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27536A">
        <w:trPr>
          <w:trHeight w:hRule="exact" w:val="2759"/>
        </w:trPr>
        <w:tc>
          <w:tcPr>
            <w:tcW w:w="9156" w:type="dxa"/>
            <w:tcBorders>
              <w:top w:val="single" w:sz="24" w:space="0" w:color="22413A"/>
              <w:left w:val="single" w:sz="24" w:space="0" w:color="22413A"/>
              <w:bottom w:val="single" w:sz="24" w:space="0" w:color="22413A"/>
              <w:right w:val="single" w:sz="24" w:space="0" w:color="22413A"/>
            </w:tcBorders>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54AC451B" w:rsidR="00D0226A" w:rsidRPr="001E03E1" w:rsidRDefault="002C54F7"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468D5" w:rsidRPr="007E1540">
                      <w:rPr>
                        <w:sz w:val="72"/>
                        <w:szCs w:val="72"/>
                      </w:rPr>
                      <w:t>R</w:t>
                    </w:r>
                    <w:r w:rsidR="008B12DF" w:rsidRPr="007E1540">
                      <w:rPr>
                        <w:sz w:val="72"/>
                        <w:szCs w:val="72"/>
                      </w:rPr>
                      <w:t xml:space="preserve">egulating </w:t>
                    </w:r>
                    <w:r w:rsidR="008468D5" w:rsidRPr="007E1540">
                      <w:rPr>
                        <w:sz w:val="72"/>
                        <w:szCs w:val="72"/>
                      </w:rPr>
                      <w:t xml:space="preserve">duties to reduce risks to </w:t>
                    </w:r>
                    <w:r w:rsidR="008B12DF" w:rsidRPr="007E1540">
                      <w:rPr>
                        <w:sz w:val="72"/>
                        <w:szCs w:val="72"/>
                      </w:rPr>
                      <w:t>ALARP</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9264"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03A3697" w14:textId="28714B45" w:rsidR="000B43AB"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13847105" w:history="1">
        <w:r w:rsidR="000B43AB" w:rsidRPr="00B85CBC">
          <w:rPr>
            <w:rStyle w:val="Hyperlink"/>
          </w:rPr>
          <w:t>1.</w:t>
        </w:r>
        <w:r w:rsidR="000B43AB">
          <w:rPr>
            <w:rFonts w:asciiTheme="minorHAnsi" w:eastAsiaTheme="minorEastAsia" w:hAnsiTheme="minorHAnsi" w:cstheme="minorBidi"/>
            <w:kern w:val="2"/>
            <w:szCs w:val="24"/>
            <w:lang w:eastAsia="en-GB" w:bidi="ar-SA"/>
            <w14:ligatures w14:val="standardContextual"/>
          </w:rPr>
          <w:tab/>
        </w:r>
        <w:r w:rsidR="000B43AB" w:rsidRPr="00B85CBC">
          <w:rPr>
            <w:rStyle w:val="Hyperlink"/>
          </w:rPr>
          <w:t>Introduction</w:t>
        </w:r>
        <w:r w:rsidR="000B43AB">
          <w:rPr>
            <w:webHidden/>
          </w:rPr>
          <w:tab/>
        </w:r>
        <w:r w:rsidR="000B43AB">
          <w:rPr>
            <w:webHidden/>
          </w:rPr>
          <w:fldChar w:fldCharType="begin"/>
        </w:r>
        <w:r w:rsidR="000B43AB">
          <w:rPr>
            <w:webHidden/>
          </w:rPr>
          <w:instrText xml:space="preserve"> PAGEREF _Toc213847105 \h </w:instrText>
        </w:r>
        <w:r w:rsidR="000B43AB">
          <w:rPr>
            <w:webHidden/>
          </w:rPr>
        </w:r>
        <w:r w:rsidR="000B43AB">
          <w:rPr>
            <w:webHidden/>
          </w:rPr>
          <w:fldChar w:fldCharType="separate"/>
        </w:r>
        <w:r w:rsidR="000B43AB">
          <w:rPr>
            <w:webHidden/>
          </w:rPr>
          <w:t>3</w:t>
        </w:r>
        <w:r w:rsidR="000B43AB">
          <w:rPr>
            <w:webHidden/>
          </w:rPr>
          <w:fldChar w:fldCharType="end"/>
        </w:r>
      </w:hyperlink>
    </w:p>
    <w:p w14:paraId="344D27D5" w14:textId="39DEB931" w:rsidR="000B43AB" w:rsidRDefault="000B43A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847106" w:history="1">
        <w:r w:rsidRPr="00B85CBC">
          <w:rPr>
            <w:rStyle w:val="Hyperlink"/>
          </w:rPr>
          <w:t>2.</w:t>
        </w:r>
        <w:r>
          <w:rPr>
            <w:rFonts w:asciiTheme="minorHAnsi" w:eastAsiaTheme="minorEastAsia" w:hAnsiTheme="minorHAnsi" w:cstheme="minorBidi"/>
            <w:kern w:val="2"/>
            <w:szCs w:val="24"/>
            <w:lang w:eastAsia="en-GB" w:bidi="ar-SA"/>
            <w14:ligatures w14:val="standardContextual"/>
          </w:rPr>
          <w:tab/>
        </w:r>
        <w:r w:rsidRPr="00B85CBC">
          <w:rPr>
            <w:rStyle w:val="Hyperlink"/>
          </w:rPr>
          <w:t>Purpose and scope</w:t>
        </w:r>
        <w:r>
          <w:rPr>
            <w:webHidden/>
          </w:rPr>
          <w:tab/>
        </w:r>
        <w:r>
          <w:rPr>
            <w:webHidden/>
          </w:rPr>
          <w:fldChar w:fldCharType="begin"/>
        </w:r>
        <w:r>
          <w:rPr>
            <w:webHidden/>
          </w:rPr>
          <w:instrText xml:space="preserve"> PAGEREF _Toc213847106 \h </w:instrText>
        </w:r>
        <w:r>
          <w:rPr>
            <w:webHidden/>
          </w:rPr>
        </w:r>
        <w:r>
          <w:rPr>
            <w:webHidden/>
          </w:rPr>
          <w:fldChar w:fldCharType="separate"/>
        </w:r>
        <w:r>
          <w:rPr>
            <w:webHidden/>
          </w:rPr>
          <w:t>4</w:t>
        </w:r>
        <w:r>
          <w:rPr>
            <w:webHidden/>
          </w:rPr>
          <w:fldChar w:fldCharType="end"/>
        </w:r>
      </w:hyperlink>
    </w:p>
    <w:p w14:paraId="0EFDDC37" w14:textId="5688CF80" w:rsidR="000B43AB" w:rsidRDefault="000B43A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847107" w:history="1">
        <w:r w:rsidRPr="00B85CBC">
          <w:rPr>
            <w:rStyle w:val="Hyperlink"/>
          </w:rPr>
          <w:t>3.</w:t>
        </w:r>
        <w:r>
          <w:rPr>
            <w:rFonts w:asciiTheme="minorHAnsi" w:eastAsiaTheme="minorEastAsia" w:hAnsiTheme="minorHAnsi" w:cstheme="minorBidi"/>
            <w:kern w:val="2"/>
            <w:szCs w:val="24"/>
            <w:lang w:eastAsia="en-GB" w:bidi="ar-SA"/>
            <w14:ligatures w14:val="standardContextual"/>
          </w:rPr>
          <w:tab/>
        </w:r>
        <w:r w:rsidRPr="00B85CBC">
          <w:rPr>
            <w:rStyle w:val="Hyperlink"/>
          </w:rPr>
          <w:t>Relationship to licence and other relevant legislation</w:t>
        </w:r>
        <w:r>
          <w:rPr>
            <w:webHidden/>
          </w:rPr>
          <w:tab/>
        </w:r>
        <w:r>
          <w:rPr>
            <w:webHidden/>
          </w:rPr>
          <w:fldChar w:fldCharType="begin"/>
        </w:r>
        <w:r>
          <w:rPr>
            <w:webHidden/>
          </w:rPr>
          <w:instrText xml:space="preserve"> PAGEREF _Toc213847107 \h </w:instrText>
        </w:r>
        <w:r>
          <w:rPr>
            <w:webHidden/>
          </w:rPr>
        </w:r>
        <w:r>
          <w:rPr>
            <w:webHidden/>
          </w:rPr>
          <w:fldChar w:fldCharType="separate"/>
        </w:r>
        <w:r>
          <w:rPr>
            <w:webHidden/>
          </w:rPr>
          <w:t>5</w:t>
        </w:r>
        <w:r>
          <w:rPr>
            <w:webHidden/>
          </w:rPr>
          <w:fldChar w:fldCharType="end"/>
        </w:r>
      </w:hyperlink>
    </w:p>
    <w:p w14:paraId="3BF5E88C" w14:textId="196F72B0" w:rsidR="000B43AB" w:rsidRDefault="000B43A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847108" w:history="1">
        <w:r w:rsidRPr="00B85CBC">
          <w:rPr>
            <w:rStyle w:val="Hyperlink"/>
          </w:rPr>
          <w:t>4.</w:t>
        </w:r>
        <w:r>
          <w:rPr>
            <w:rFonts w:asciiTheme="minorHAnsi" w:eastAsiaTheme="minorEastAsia" w:hAnsiTheme="minorHAnsi" w:cstheme="minorBidi"/>
            <w:kern w:val="2"/>
            <w:szCs w:val="24"/>
            <w:lang w:eastAsia="en-GB" w:bidi="ar-SA"/>
            <w14:ligatures w14:val="standardContextual"/>
          </w:rPr>
          <w:tab/>
        </w:r>
        <w:r w:rsidRPr="00B85CBC">
          <w:rPr>
            <w:rStyle w:val="Hyperlink"/>
          </w:rPr>
          <w:t>Relationship to Safety Assessment Principles, WENRA Reference Levels, and IAEA Safety Standards</w:t>
        </w:r>
        <w:r>
          <w:rPr>
            <w:webHidden/>
          </w:rPr>
          <w:tab/>
        </w:r>
        <w:r>
          <w:rPr>
            <w:webHidden/>
          </w:rPr>
          <w:fldChar w:fldCharType="begin"/>
        </w:r>
        <w:r>
          <w:rPr>
            <w:webHidden/>
          </w:rPr>
          <w:instrText xml:space="preserve"> PAGEREF _Toc213847108 \h </w:instrText>
        </w:r>
        <w:r>
          <w:rPr>
            <w:webHidden/>
          </w:rPr>
        </w:r>
        <w:r>
          <w:rPr>
            <w:webHidden/>
          </w:rPr>
          <w:fldChar w:fldCharType="separate"/>
        </w:r>
        <w:r>
          <w:rPr>
            <w:webHidden/>
          </w:rPr>
          <w:t>6</w:t>
        </w:r>
        <w:r>
          <w:rPr>
            <w:webHidden/>
          </w:rPr>
          <w:fldChar w:fldCharType="end"/>
        </w:r>
      </w:hyperlink>
    </w:p>
    <w:p w14:paraId="63E71009" w14:textId="129FFF1F" w:rsidR="000B43AB" w:rsidRDefault="000B43A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847109" w:history="1">
        <w:r w:rsidRPr="00B85CBC">
          <w:rPr>
            <w:rStyle w:val="Hyperlink"/>
          </w:rPr>
          <w:t>5.</w:t>
        </w:r>
        <w:r>
          <w:rPr>
            <w:rFonts w:asciiTheme="minorHAnsi" w:eastAsiaTheme="minorEastAsia" w:hAnsiTheme="minorHAnsi" w:cstheme="minorBidi"/>
            <w:kern w:val="2"/>
            <w:szCs w:val="24"/>
            <w:lang w:eastAsia="en-GB" w:bidi="ar-SA"/>
            <w14:ligatures w14:val="standardContextual"/>
          </w:rPr>
          <w:tab/>
        </w:r>
        <w:r w:rsidRPr="00B85CBC">
          <w:rPr>
            <w:rStyle w:val="Hyperlink"/>
          </w:rPr>
          <w:t>Concepts supporting regulatory judgements on reducing risks to ALARP</w:t>
        </w:r>
        <w:r>
          <w:rPr>
            <w:webHidden/>
          </w:rPr>
          <w:tab/>
        </w:r>
        <w:r>
          <w:rPr>
            <w:webHidden/>
          </w:rPr>
          <w:fldChar w:fldCharType="begin"/>
        </w:r>
        <w:r>
          <w:rPr>
            <w:webHidden/>
          </w:rPr>
          <w:instrText xml:space="preserve"> PAGEREF _Toc213847109 \h </w:instrText>
        </w:r>
        <w:r>
          <w:rPr>
            <w:webHidden/>
          </w:rPr>
        </w:r>
        <w:r>
          <w:rPr>
            <w:webHidden/>
          </w:rPr>
          <w:fldChar w:fldCharType="separate"/>
        </w:r>
        <w:r>
          <w:rPr>
            <w:webHidden/>
          </w:rPr>
          <w:t>7</w:t>
        </w:r>
        <w:r>
          <w:rPr>
            <w:webHidden/>
          </w:rPr>
          <w:fldChar w:fldCharType="end"/>
        </w:r>
      </w:hyperlink>
    </w:p>
    <w:p w14:paraId="325F068E" w14:textId="06DACBA2" w:rsidR="000B43AB" w:rsidRDefault="000B43A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847110" w:history="1">
        <w:r w:rsidRPr="00B85CBC">
          <w:rPr>
            <w:rStyle w:val="Hyperlink"/>
          </w:rPr>
          <w:t>6.</w:t>
        </w:r>
        <w:r>
          <w:rPr>
            <w:rFonts w:asciiTheme="minorHAnsi" w:eastAsiaTheme="minorEastAsia" w:hAnsiTheme="minorHAnsi" w:cstheme="minorBidi"/>
            <w:kern w:val="2"/>
            <w:szCs w:val="24"/>
            <w:lang w:eastAsia="en-GB" w:bidi="ar-SA"/>
            <w14:ligatures w14:val="standardContextual"/>
          </w:rPr>
          <w:tab/>
        </w:r>
        <w:r w:rsidRPr="00B85CBC">
          <w:rPr>
            <w:rStyle w:val="Hyperlink"/>
          </w:rPr>
          <w:t>Advice to Inspectors</w:t>
        </w:r>
        <w:r>
          <w:rPr>
            <w:webHidden/>
          </w:rPr>
          <w:tab/>
        </w:r>
        <w:r>
          <w:rPr>
            <w:webHidden/>
          </w:rPr>
          <w:fldChar w:fldCharType="begin"/>
        </w:r>
        <w:r>
          <w:rPr>
            <w:webHidden/>
          </w:rPr>
          <w:instrText xml:space="preserve"> PAGEREF _Toc213847110 \h </w:instrText>
        </w:r>
        <w:r>
          <w:rPr>
            <w:webHidden/>
          </w:rPr>
        </w:r>
        <w:r>
          <w:rPr>
            <w:webHidden/>
          </w:rPr>
          <w:fldChar w:fldCharType="separate"/>
        </w:r>
        <w:r>
          <w:rPr>
            <w:webHidden/>
          </w:rPr>
          <w:t>18</w:t>
        </w:r>
        <w:r>
          <w:rPr>
            <w:webHidden/>
          </w:rPr>
          <w:fldChar w:fldCharType="end"/>
        </w:r>
      </w:hyperlink>
    </w:p>
    <w:p w14:paraId="028B54E6" w14:textId="535AFC8A" w:rsidR="000B43AB" w:rsidRDefault="000B43AB">
      <w:pPr>
        <w:pStyle w:val="TOC1"/>
        <w:rPr>
          <w:rFonts w:asciiTheme="minorHAnsi" w:eastAsiaTheme="minorEastAsia" w:hAnsiTheme="minorHAnsi" w:cstheme="minorBidi"/>
          <w:kern w:val="2"/>
          <w:szCs w:val="24"/>
          <w:lang w:eastAsia="en-GB" w:bidi="ar-SA"/>
          <w14:ligatures w14:val="standardContextual"/>
        </w:rPr>
      </w:pPr>
      <w:hyperlink w:anchor="_Toc213847111" w:history="1">
        <w:r w:rsidRPr="00B85CBC">
          <w:rPr>
            <w:rStyle w:val="Hyperlink"/>
          </w:rPr>
          <w:t>Appendix 1: Cost benefit analysis</w:t>
        </w:r>
        <w:r>
          <w:rPr>
            <w:webHidden/>
          </w:rPr>
          <w:tab/>
        </w:r>
        <w:r>
          <w:rPr>
            <w:webHidden/>
          </w:rPr>
          <w:fldChar w:fldCharType="begin"/>
        </w:r>
        <w:r>
          <w:rPr>
            <w:webHidden/>
          </w:rPr>
          <w:instrText xml:space="preserve"> PAGEREF _Toc213847111 \h </w:instrText>
        </w:r>
        <w:r>
          <w:rPr>
            <w:webHidden/>
          </w:rPr>
        </w:r>
        <w:r>
          <w:rPr>
            <w:webHidden/>
          </w:rPr>
          <w:fldChar w:fldCharType="separate"/>
        </w:r>
        <w:r>
          <w:rPr>
            <w:webHidden/>
          </w:rPr>
          <w:t>20</w:t>
        </w:r>
        <w:r>
          <w:rPr>
            <w:webHidden/>
          </w:rPr>
          <w:fldChar w:fldCharType="end"/>
        </w:r>
      </w:hyperlink>
    </w:p>
    <w:p w14:paraId="3644B0D4" w14:textId="157E0B42" w:rsidR="000B43AB" w:rsidRDefault="000B43AB">
      <w:pPr>
        <w:pStyle w:val="TOC1"/>
        <w:rPr>
          <w:rFonts w:asciiTheme="minorHAnsi" w:eastAsiaTheme="minorEastAsia" w:hAnsiTheme="minorHAnsi" w:cstheme="minorBidi"/>
          <w:kern w:val="2"/>
          <w:szCs w:val="24"/>
          <w:lang w:eastAsia="en-GB" w:bidi="ar-SA"/>
          <w14:ligatures w14:val="standardContextual"/>
        </w:rPr>
      </w:pPr>
      <w:hyperlink w:anchor="_Toc213847112" w:history="1">
        <w:r w:rsidRPr="00B85CBC">
          <w:rPr>
            <w:rStyle w:val="Hyperlink"/>
          </w:rPr>
          <w:t>Appendix 2: Time at risk situation specific considerations</w:t>
        </w:r>
        <w:r>
          <w:rPr>
            <w:webHidden/>
          </w:rPr>
          <w:tab/>
        </w:r>
        <w:r>
          <w:rPr>
            <w:webHidden/>
          </w:rPr>
          <w:fldChar w:fldCharType="begin"/>
        </w:r>
        <w:r>
          <w:rPr>
            <w:webHidden/>
          </w:rPr>
          <w:instrText xml:space="preserve"> PAGEREF _Toc213847112 \h </w:instrText>
        </w:r>
        <w:r>
          <w:rPr>
            <w:webHidden/>
          </w:rPr>
        </w:r>
        <w:r>
          <w:rPr>
            <w:webHidden/>
          </w:rPr>
          <w:fldChar w:fldCharType="separate"/>
        </w:r>
        <w:r>
          <w:rPr>
            <w:webHidden/>
          </w:rPr>
          <w:t>22</w:t>
        </w:r>
        <w:r>
          <w:rPr>
            <w:webHidden/>
          </w:rPr>
          <w:fldChar w:fldCharType="end"/>
        </w:r>
      </w:hyperlink>
    </w:p>
    <w:p w14:paraId="0440947B" w14:textId="70D2864D" w:rsidR="000B43AB" w:rsidRDefault="000B43AB">
      <w:pPr>
        <w:pStyle w:val="TOC1"/>
        <w:rPr>
          <w:rFonts w:asciiTheme="minorHAnsi" w:eastAsiaTheme="minorEastAsia" w:hAnsiTheme="minorHAnsi" w:cstheme="minorBidi"/>
          <w:kern w:val="2"/>
          <w:szCs w:val="24"/>
          <w:lang w:eastAsia="en-GB" w:bidi="ar-SA"/>
          <w14:ligatures w14:val="standardContextual"/>
        </w:rPr>
      </w:pPr>
      <w:hyperlink w:anchor="_Toc213847113" w:history="1">
        <w:r w:rsidRPr="00B85CBC">
          <w:rPr>
            <w:rStyle w:val="Hyperlink"/>
          </w:rPr>
          <w:t>Appendix 3: Optioneering</w:t>
        </w:r>
        <w:r>
          <w:rPr>
            <w:webHidden/>
          </w:rPr>
          <w:tab/>
        </w:r>
        <w:r>
          <w:rPr>
            <w:webHidden/>
          </w:rPr>
          <w:fldChar w:fldCharType="begin"/>
        </w:r>
        <w:r>
          <w:rPr>
            <w:webHidden/>
          </w:rPr>
          <w:instrText xml:space="preserve"> PAGEREF _Toc213847113 \h </w:instrText>
        </w:r>
        <w:r>
          <w:rPr>
            <w:webHidden/>
          </w:rPr>
        </w:r>
        <w:r>
          <w:rPr>
            <w:webHidden/>
          </w:rPr>
          <w:fldChar w:fldCharType="separate"/>
        </w:r>
        <w:r>
          <w:rPr>
            <w:webHidden/>
          </w:rPr>
          <w:t>24</w:t>
        </w:r>
        <w:r>
          <w:rPr>
            <w:webHidden/>
          </w:rPr>
          <w:fldChar w:fldCharType="end"/>
        </w:r>
      </w:hyperlink>
    </w:p>
    <w:p w14:paraId="3C8CE689" w14:textId="1068AE11" w:rsidR="000B43AB" w:rsidRDefault="000B43AB">
      <w:pPr>
        <w:pStyle w:val="TOC1"/>
        <w:rPr>
          <w:rFonts w:asciiTheme="minorHAnsi" w:eastAsiaTheme="minorEastAsia" w:hAnsiTheme="minorHAnsi" w:cstheme="minorBidi"/>
          <w:kern w:val="2"/>
          <w:szCs w:val="24"/>
          <w:lang w:eastAsia="en-GB" w:bidi="ar-SA"/>
          <w14:ligatures w14:val="standardContextual"/>
        </w:rPr>
      </w:pPr>
      <w:hyperlink w:anchor="_Toc213847114" w:history="1">
        <w:r w:rsidRPr="00B85CBC">
          <w:rPr>
            <w:rStyle w:val="Hyperlink"/>
          </w:rPr>
          <w:t>References</w:t>
        </w:r>
        <w:r>
          <w:rPr>
            <w:webHidden/>
          </w:rPr>
          <w:tab/>
        </w:r>
        <w:r>
          <w:rPr>
            <w:webHidden/>
          </w:rPr>
          <w:fldChar w:fldCharType="begin"/>
        </w:r>
        <w:r>
          <w:rPr>
            <w:webHidden/>
          </w:rPr>
          <w:instrText xml:space="preserve"> PAGEREF _Toc213847114 \h </w:instrText>
        </w:r>
        <w:r>
          <w:rPr>
            <w:webHidden/>
          </w:rPr>
        </w:r>
        <w:r>
          <w:rPr>
            <w:webHidden/>
          </w:rPr>
          <w:fldChar w:fldCharType="separate"/>
        </w:r>
        <w:r>
          <w:rPr>
            <w:webHidden/>
          </w:rPr>
          <w:t>27</w:t>
        </w:r>
        <w:r>
          <w:rPr>
            <w:webHidden/>
          </w:rPr>
          <w:fldChar w:fldCharType="end"/>
        </w:r>
      </w:hyperlink>
    </w:p>
    <w:p w14:paraId="0474E3EC" w14:textId="2EB084DA" w:rsidR="000B43AB" w:rsidRDefault="000B43AB">
      <w:pPr>
        <w:pStyle w:val="TOC1"/>
        <w:rPr>
          <w:rFonts w:asciiTheme="minorHAnsi" w:eastAsiaTheme="minorEastAsia" w:hAnsiTheme="minorHAnsi" w:cstheme="minorBidi"/>
          <w:kern w:val="2"/>
          <w:szCs w:val="24"/>
          <w:lang w:eastAsia="en-GB" w:bidi="ar-SA"/>
          <w14:ligatures w14:val="standardContextual"/>
        </w:rPr>
      </w:pPr>
      <w:hyperlink w:anchor="_Toc213847115" w:history="1">
        <w:r w:rsidRPr="00B85CBC">
          <w:rPr>
            <w:rStyle w:val="Hyperlink"/>
          </w:rPr>
          <w:t>List of key acronyms, abbreviations and initialisms</w:t>
        </w:r>
        <w:r>
          <w:rPr>
            <w:webHidden/>
          </w:rPr>
          <w:tab/>
        </w:r>
        <w:r>
          <w:rPr>
            <w:webHidden/>
          </w:rPr>
          <w:fldChar w:fldCharType="begin"/>
        </w:r>
        <w:r>
          <w:rPr>
            <w:webHidden/>
          </w:rPr>
          <w:instrText xml:space="preserve"> PAGEREF _Toc213847115 \h </w:instrText>
        </w:r>
        <w:r>
          <w:rPr>
            <w:webHidden/>
          </w:rPr>
        </w:r>
        <w:r>
          <w:rPr>
            <w:webHidden/>
          </w:rPr>
          <w:fldChar w:fldCharType="separate"/>
        </w:r>
        <w:r>
          <w:rPr>
            <w:webHidden/>
          </w:rPr>
          <w:t>28</w:t>
        </w:r>
        <w:r>
          <w:rPr>
            <w:webHidden/>
          </w:rPr>
          <w:fldChar w:fldCharType="end"/>
        </w:r>
      </w:hyperlink>
    </w:p>
    <w:p w14:paraId="13589986" w14:textId="2FC91DD1" w:rsidR="000B43AB" w:rsidRDefault="000B43AB">
      <w:pPr>
        <w:pStyle w:val="TOC1"/>
        <w:rPr>
          <w:rFonts w:asciiTheme="minorHAnsi" w:eastAsiaTheme="minorEastAsia" w:hAnsiTheme="minorHAnsi" w:cstheme="minorBidi"/>
          <w:kern w:val="2"/>
          <w:szCs w:val="24"/>
          <w:lang w:eastAsia="en-GB" w:bidi="ar-SA"/>
          <w14:ligatures w14:val="standardContextual"/>
        </w:rPr>
      </w:pPr>
      <w:hyperlink w:anchor="_Toc213847116" w:history="1">
        <w:r w:rsidRPr="00B85CBC">
          <w:rPr>
            <w:rStyle w:val="Hyperlink"/>
          </w:rPr>
          <w:t>Document control information</w:t>
        </w:r>
        <w:r>
          <w:rPr>
            <w:webHidden/>
          </w:rPr>
          <w:tab/>
        </w:r>
        <w:r>
          <w:rPr>
            <w:webHidden/>
          </w:rPr>
          <w:fldChar w:fldCharType="begin"/>
        </w:r>
        <w:r>
          <w:rPr>
            <w:webHidden/>
          </w:rPr>
          <w:instrText xml:space="preserve"> PAGEREF _Toc213847116 \h </w:instrText>
        </w:r>
        <w:r>
          <w:rPr>
            <w:webHidden/>
          </w:rPr>
        </w:r>
        <w:r>
          <w:rPr>
            <w:webHidden/>
          </w:rPr>
          <w:fldChar w:fldCharType="separate"/>
        </w:r>
        <w:r>
          <w:rPr>
            <w:webHidden/>
          </w:rPr>
          <w:t>28</w:t>
        </w:r>
        <w:r>
          <w:rPr>
            <w:webHidden/>
          </w:rPr>
          <w:fldChar w:fldCharType="end"/>
        </w:r>
      </w:hyperlink>
    </w:p>
    <w:p w14:paraId="0CC4B54A" w14:textId="4906536A" w:rsidR="00267815" w:rsidRDefault="00404B0C" w:rsidP="00267815">
      <w:r>
        <w:fldChar w:fldCharType="end"/>
      </w:r>
    </w:p>
    <w:bookmarkEnd w:id="0"/>
    <w:p w14:paraId="3E742336" w14:textId="77777777" w:rsidR="00621BF6" w:rsidRDefault="00621BF6" w:rsidP="005754AE">
      <w:pPr>
        <w:sectPr w:rsidR="00621BF6" w:rsidSect="007E1540">
          <w:headerReference w:type="default" r:id="rId16"/>
          <w:footerReference w:type="default" r:id="rId17"/>
          <w:pgSz w:w="11906" w:h="16838" w:code="9"/>
          <w:pgMar w:top="1440" w:right="1440" w:bottom="1440" w:left="1440" w:header="397" w:footer="397" w:gutter="0"/>
          <w:cols w:space="312"/>
          <w:docGrid w:linePitch="360"/>
        </w:sectPr>
      </w:pPr>
    </w:p>
    <w:p w14:paraId="43A875A4" w14:textId="18F9331D" w:rsidR="008D49A5" w:rsidRPr="00106181" w:rsidRDefault="008D49A5" w:rsidP="00106181">
      <w:pPr>
        <w:pStyle w:val="Heading1"/>
      </w:pPr>
      <w:bookmarkStart w:id="1" w:name="_Toc213847105"/>
      <w:r w:rsidRPr="00106181">
        <w:lastRenderedPageBreak/>
        <w:t>Introduction</w:t>
      </w:r>
      <w:bookmarkEnd w:id="1"/>
    </w:p>
    <w:p w14:paraId="6923801B" w14:textId="210C6A41" w:rsidR="001776DB" w:rsidRPr="00E77535" w:rsidRDefault="001776DB" w:rsidP="0014651A">
      <w:pPr>
        <w:pStyle w:val="F9-Paragraph"/>
      </w:pPr>
      <w:r w:rsidRPr="00E77535">
        <w:t xml:space="preserve">This Technical Assessment Guide (TAG) is part of a suite of guidance available to ONR inspectors to assist in their application of the Safety Assessment Principles </w:t>
      </w:r>
      <w:r w:rsidR="00C53269">
        <w:t xml:space="preserve">(SAPs) </w:t>
      </w:r>
      <w:sdt>
        <w:sdtPr>
          <w:id w:val="1189648320"/>
          <w:citation/>
        </w:sdtPr>
        <w:sdtEndPr/>
        <w:sdtContent>
          <w:r w:rsidR="001B7311" w:rsidRPr="00E77535">
            <w:fldChar w:fldCharType="begin"/>
          </w:r>
          <w:r w:rsidR="00356B20">
            <w:instrText xml:space="preserve">CITATION ONR1 \l 2057 </w:instrText>
          </w:r>
          <w:r w:rsidR="001B7311" w:rsidRPr="00E77535">
            <w:fldChar w:fldCharType="separate"/>
          </w:r>
          <w:r w:rsidR="00356B20">
            <w:rPr>
              <w:noProof/>
            </w:rPr>
            <w:t>[1]</w:t>
          </w:r>
          <w:r w:rsidR="001B7311" w:rsidRPr="00E77535">
            <w:fldChar w:fldCharType="end"/>
          </w:r>
        </w:sdtContent>
      </w:sdt>
      <w:r w:rsidRPr="00E77535">
        <w:t xml:space="preserve"> which are used in the technical assessment of the safety cases for nuclear facilities and in the formation of regulatory judgements.</w:t>
      </w:r>
    </w:p>
    <w:p w14:paraId="7358C707" w14:textId="693E6397" w:rsidR="00D93542" w:rsidRDefault="001776DB" w:rsidP="0014651A">
      <w:pPr>
        <w:pStyle w:val="F9-Paragraph"/>
      </w:pPr>
      <w:r>
        <w:t xml:space="preserve">This TAG has been written with due regard for relevant legislation, </w:t>
      </w:r>
      <w:r w:rsidR="003725A5">
        <w:t xml:space="preserve">licence </w:t>
      </w:r>
      <w:r>
        <w:t xml:space="preserve">conditions and international guidance. The overarching relationships between the TAGs and these areas of legislation and guidance are discussed further in the </w:t>
      </w:r>
      <w:r w:rsidR="00253C22">
        <w:t>“</w:t>
      </w:r>
      <w:r w:rsidR="00253C22" w:rsidRPr="00253C22">
        <w:t>An introduction to ONR’s technical assessment and inspection guides</w:t>
      </w:r>
      <w:r w:rsidR="00253C22">
        <w:t xml:space="preserve">” </w:t>
      </w:r>
      <w:r>
        <w:t>document</w:t>
      </w:r>
      <w:r w:rsidR="00253C22" w:rsidRPr="00253C22">
        <w:t xml:space="preserve"> </w:t>
      </w:r>
      <w:sdt>
        <w:sdtPr>
          <w:id w:val="1143477734"/>
          <w:citation/>
        </w:sdtPr>
        <w:sdtEndPr/>
        <w:sdtContent>
          <w:r w:rsidR="00253C22">
            <w:fldChar w:fldCharType="begin"/>
          </w:r>
          <w:r w:rsidR="00356B20">
            <w:instrText xml:space="preserve">CITATION ONR2 \l 2057 </w:instrText>
          </w:r>
          <w:r w:rsidR="00253C22">
            <w:fldChar w:fldCharType="separate"/>
          </w:r>
          <w:r w:rsidR="00356B20">
            <w:rPr>
              <w:noProof/>
            </w:rPr>
            <w:t>[2]</w:t>
          </w:r>
          <w:r w:rsidR="00253C22">
            <w:fldChar w:fldCharType="end"/>
          </w:r>
        </w:sdtContent>
      </w:sdt>
      <w:r w:rsidR="001D1EF3">
        <w:t>.</w:t>
      </w:r>
      <w:bookmarkStart w:id="2" w:name="_Purpose_and_Scope"/>
      <w:bookmarkEnd w:id="2"/>
    </w:p>
    <w:p w14:paraId="48C1DA97" w14:textId="281A5B46" w:rsidR="00D93542" w:rsidRPr="00D93542" w:rsidRDefault="00D93542" w:rsidP="0014651A">
      <w:pPr>
        <w:pStyle w:val="F9-Paragraph"/>
      </w:pPr>
      <w:r w:rsidRPr="00D93542">
        <w:t xml:space="preserve">This </w:t>
      </w:r>
      <w:r w:rsidR="00253C22">
        <w:t>TAG</w:t>
      </w:r>
      <w:r w:rsidRPr="00D93542">
        <w:t xml:space="preserve"> provides guidance to inspectors in judging whether the measures proposed or implemented by dutyholders reduce risks</w:t>
      </w:r>
      <w:r w:rsidR="00AC792C">
        <w:t xml:space="preserve"> as low as reasonably practicable</w:t>
      </w:r>
      <w:r w:rsidR="00AC792C" w:rsidRPr="00D93542">
        <w:t xml:space="preserve"> </w:t>
      </w:r>
      <w:r w:rsidR="00614F6B">
        <w:t>(</w:t>
      </w:r>
      <w:r w:rsidRPr="00D93542">
        <w:t>ALARP</w:t>
      </w:r>
      <w:r w:rsidR="00614F6B">
        <w:t>)</w:t>
      </w:r>
      <w:r w:rsidRPr="00D93542">
        <w:t>. It is primarily intended for use in relation to ONR’s nuclear safety and nuclear site health and safety purposes, although the guidance on relevant good practice (RGP) can be generalised to non-safety goal-based obligations.</w:t>
      </w:r>
    </w:p>
    <w:p w14:paraId="70BAF2A8" w14:textId="77777777" w:rsidR="00106181" w:rsidRDefault="00106181" w:rsidP="00106181">
      <w:pPr>
        <w:pStyle w:val="Heading1"/>
        <w:numPr>
          <w:ilvl w:val="0"/>
          <w:numId w:val="4"/>
        </w:numPr>
        <w:sectPr w:rsidR="00106181" w:rsidSect="007E1540">
          <w:pgSz w:w="11906" w:h="16838" w:code="9"/>
          <w:pgMar w:top="1440" w:right="1440" w:bottom="1440" w:left="1440" w:header="397" w:footer="397" w:gutter="0"/>
          <w:cols w:space="312"/>
          <w:docGrid w:linePitch="360"/>
        </w:sectPr>
      </w:pPr>
    </w:p>
    <w:p w14:paraId="14DDDD70" w14:textId="0443383B" w:rsidR="00A43C85" w:rsidRDefault="000950B3" w:rsidP="00106181">
      <w:pPr>
        <w:pStyle w:val="Heading1"/>
      </w:pPr>
      <w:bookmarkStart w:id="3" w:name="_Toc213847106"/>
      <w:r>
        <w:lastRenderedPageBreak/>
        <w:t xml:space="preserve">Purpose and </w:t>
      </w:r>
      <w:r w:rsidR="00065CEE">
        <w:t>s</w:t>
      </w:r>
      <w:r>
        <w:t>cope</w:t>
      </w:r>
      <w:bookmarkEnd w:id="3"/>
    </w:p>
    <w:p w14:paraId="26170D63" w14:textId="3A7EE7E6" w:rsidR="00612E05" w:rsidRDefault="00612E05" w:rsidP="00E77535">
      <w:pPr>
        <w:pStyle w:val="F9-Paragraph"/>
      </w:pPr>
      <w:r>
        <w:t xml:space="preserve">“Reasonable practicability” is central to the UK’s health and safety system. </w:t>
      </w:r>
      <w:r w:rsidR="0014651A">
        <w:br/>
      </w:r>
      <w:r>
        <w:t xml:space="preserve">It </w:t>
      </w:r>
      <w:r w:rsidR="006164C8">
        <w:t xml:space="preserve">is </w:t>
      </w:r>
      <w:r>
        <w:t>used to create goal-based duties</w:t>
      </w:r>
      <w:r>
        <w:rPr>
          <w:rStyle w:val="FootnoteReference"/>
        </w:rPr>
        <w:footnoteReference w:id="2"/>
      </w:r>
      <w:r>
        <w:t xml:space="preserve"> in the Health and Safety at Work etc. Act 1974 (HSWA), in some health and safety regulations and in some of the nuclear site licence conditions. </w:t>
      </w:r>
    </w:p>
    <w:p w14:paraId="5D6955B2" w14:textId="77777777" w:rsidR="00612E05" w:rsidRDefault="00612E05" w:rsidP="00E77535">
      <w:pPr>
        <w:pStyle w:val="F9-Paragraph"/>
      </w:pPr>
      <w:r>
        <w:t xml:space="preserve">HSWA requires that dutyholders reduce the risk “so far as is reasonably practicable” (SFAIRP) both to their employees (section 2(1) of the Act) and to everyone else (section 2(2)). </w:t>
      </w:r>
    </w:p>
    <w:p w14:paraId="2D09797D" w14:textId="5F3D9CD5" w:rsidR="00612E05" w:rsidRDefault="00612E05" w:rsidP="00165A17">
      <w:pPr>
        <w:pStyle w:val="F9-Paragraph"/>
      </w:pPr>
      <w:r>
        <w:t xml:space="preserve">SFAIRP is the term used in legislation and licence conditions but the phrase “as low as reasonably practicable” (ALARP) is </w:t>
      </w:r>
      <w:r w:rsidR="00FC4AC0">
        <w:t>the common day</w:t>
      </w:r>
      <w:r w:rsidR="00E2040D">
        <w:t xml:space="preserve">-to-day term used in </w:t>
      </w:r>
      <w:r w:rsidR="003C735E">
        <w:t>health and safety in the UK</w:t>
      </w:r>
      <w:r>
        <w:t xml:space="preserve">. Both </w:t>
      </w:r>
      <w:r w:rsidR="00CC6140">
        <w:t xml:space="preserve">terms have </w:t>
      </w:r>
      <w:r>
        <w:t>a similar meaning and involve weighing the risk of harm against the cost in money, time, or trouble needed to reduce it further. For consistency, this guide uses ALARP unless directly referencing legal duties.</w:t>
      </w:r>
    </w:p>
    <w:p w14:paraId="309B8217" w14:textId="51E13898" w:rsidR="00612E05" w:rsidRDefault="00612E05" w:rsidP="00D863E2">
      <w:pPr>
        <w:pStyle w:val="F9-Paragraph"/>
      </w:pPr>
      <w:r>
        <w:t>In the nuclear industry, hazards are often high and situations complex or novel, making sound ALARP judgements essential. This guide, along with other ONR resources and training, supports inspectors in making these regulatory decisions.</w:t>
      </w:r>
    </w:p>
    <w:p w14:paraId="2A4D378C" w14:textId="037B0E2C" w:rsidR="00BC2256" w:rsidRDefault="007E23C2" w:rsidP="00D863E2">
      <w:pPr>
        <w:pStyle w:val="F9-Paragraph"/>
      </w:pPr>
      <w:r>
        <w:t xml:space="preserve">The duty to reduce risks to ALARP lies with dutyholders. </w:t>
      </w:r>
      <w:r w:rsidR="001D6A0A">
        <w:t xml:space="preserve">For the nuclear industry, ONR is </w:t>
      </w:r>
      <w:r w:rsidR="009A00CF">
        <w:t xml:space="preserve">responsible for the day-to-day enforcement of this requirement although, in some cases, it may ultimately </w:t>
      </w:r>
      <w:r w:rsidR="001C6527">
        <w:t xml:space="preserve">be for a </w:t>
      </w:r>
      <w:r>
        <w:t xml:space="preserve">court </w:t>
      </w:r>
      <w:r w:rsidR="001C6527">
        <w:t xml:space="preserve">to </w:t>
      </w:r>
      <w:r>
        <w:t xml:space="preserve">determine whether a dutyholder has complied with the </w:t>
      </w:r>
      <w:r w:rsidR="002748A4">
        <w:t>legislation</w:t>
      </w:r>
      <w:r w:rsidR="00285503">
        <w:t xml:space="preserve"> (</w:t>
      </w:r>
      <w:r w:rsidR="003E487F">
        <w:t>depending on the circumstances)</w:t>
      </w:r>
      <w:r>
        <w:t>.</w:t>
      </w:r>
    </w:p>
    <w:p w14:paraId="4E5F9756" w14:textId="123F3D9A" w:rsidR="007E23C2" w:rsidRDefault="007E23C2" w:rsidP="00D863E2">
      <w:pPr>
        <w:pStyle w:val="F9-Paragraph"/>
      </w:pPr>
      <w:r>
        <w:t>Not all legal duties are qualified by the ALARP principl</w:t>
      </w:r>
      <w:r w:rsidR="002B4FD1">
        <w:t>e: only those duties or licence conditions that</w:t>
      </w:r>
      <w:r w:rsidR="007721F7">
        <w:t xml:space="preserve"> make use of SFAIRP are goal-setting in this way. </w:t>
      </w:r>
      <w:r w:rsidR="0014651A">
        <w:br/>
      </w:r>
      <w:r w:rsidR="00157AA4">
        <w:t xml:space="preserve">This </w:t>
      </w:r>
      <w:r>
        <w:t xml:space="preserve">TAG does not apply to duties that are not </w:t>
      </w:r>
      <w:r w:rsidR="00F14EFC">
        <w:t xml:space="preserve">qualified </w:t>
      </w:r>
      <w:r w:rsidR="006F612F">
        <w:t>by SFAIRP</w:t>
      </w:r>
      <w:r>
        <w:t>.</w:t>
      </w:r>
    </w:p>
    <w:p w14:paraId="259DD9AF" w14:textId="126000A2" w:rsidR="009D5566" w:rsidRDefault="007E23C2" w:rsidP="00D863E2">
      <w:pPr>
        <w:pStyle w:val="F9-Paragraph"/>
      </w:pPr>
      <w:r>
        <w:t xml:space="preserve">This TAG is </w:t>
      </w:r>
      <w:r w:rsidR="006F612F">
        <w:t>closely-related to other</w:t>
      </w:r>
      <w:r>
        <w:t xml:space="preserve"> ONR publications, including:</w:t>
      </w:r>
    </w:p>
    <w:p w14:paraId="71274657" w14:textId="19874851" w:rsidR="009D5566" w:rsidRPr="000B43AB" w:rsidRDefault="007E23C2" w:rsidP="000B43AB">
      <w:pPr>
        <w:pStyle w:val="Bulletlist1"/>
      </w:pPr>
      <w:r w:rsidRPr="000B43AB">
        <w:t>The Risk-Informed Regulatory Decision Making (RIRDM) fra</w:t>
      </w:r>
      <w:r w:rsidR="000A51EE" w:rsidRPr="000B43AB">
        <w:t>mework</w:t>
      </w:r>
      <w:r w:rsidR="0002288B" w:rsidRPr="000B43AB">
        <w:t xml:space="preserve"> </w:t>
      </w:r>
      <w:sdt>
        <w:sdtPr>
          <w:id w:val="-631017656"/>
          <w:citation/>
        </w:sdtPr>
        <w:sdtEndPr/>
        <w:sdtContent>
          <w:r w:rsidR="00B47A82" w:rsidRPr="000B43AB">
            <w:fldChar w:fldCharType="begin"/>
          </w:r>
          <w:r w:rsidR="00356B20" w:rsidRPr="000B43AB">
            <w:instrText xml:space="preserve">CITATION ONR24 \l 2057 </w:instrText>
          </w:r>
          <w:r w:rsidR="00B47A82" w:rsidRPr="000B43AB">
            <w:fldChar w:fldCharType="separate"/>
          </w:r>
          <w:r w:rsidR="00356B20" w:rsidRPr="000B43AB">
            <w:t>[3]</w:t>
          </w:r>
          <w:r w:rsidR="00B47A82" w:rsidRPr="000B43AB">
            <w:fldChar w:fldCharType="end"/>
          </w:r>
        </w:sdtContent>
      </w:sdt>
      <w:r w:rsidRPr="000B43AB">
        <w:t xml:space="preserve">, which explains </w:t>
      </w:r>
      <w:r w:rsidR="00FA3DA6" w:rsidRPr="000B43AB">
        <w:t xml:space="preserve">the role of </w:t>
      </w:r>
      <w:r w:rsidRPr="000B43AB">
        <w:t xml:space="preserve">ALARP’s in ONR’s </w:t>
      </w:r>
      <w:r w:rsidR="00FA3DA6" w:rsidRPr="000B43AB">
        <w:t xml:space="preserve">regulatory </w:t>
      </w:r>
      <w:r w:rsidRPr="000B43AB">
        <w:t>decision</w:t>
      </w:r>
      <w:r w:rsidR="00A543BE">
        <w:t xml:space="preserve"> </w:t>
      </w:r>
      <w:r w:rsidRPr="000B43AB">
        <w:t>making</w:t>
      </w:r>
      <w:r w:rsidR="00FA3DA6" w:rsidRPr="000B43AB">
        <w:t xml:space="preserve"> processes.</w:t>
      </w:r>
    </w:p>
    <w:p w14:paraId="79A207CB" w14:textId="4AFEFA0E" w:rsidR="009D5566" w:rsidRPr="000B43AB" w:rsidRDefault="007E23C2" w:rsidP="000B43AB">
      <w:pPr>
        <w:pStyle w:val="Bulletlist1"/>
      </w:pPr>
      <w:r w:rsidRPr="000B43AB">
        <w:t xml:space="preserve">The Licensing Nuclear Installations </w:t>
      </w:r>
      <w:r w:rsidR="000B43AB">
        <w:t xml:space="preserve">(LNI) </w:t>
      </w:r>
      <w:r w:rsidRPr="000B43AB">
        <w:t>document</w:t>
      </w:r>
      <w:r w:rsidR="003C50BF" w:rsidRPr="000B43AB">
        <w:t xml:space="preserve"> </w:t>
      </w:r>
      <w:sdt>
        <w:sdtPr>
          <w:id w:val="-359436063"/>
          <w:citation/>
        </w:sdtPr>
        <w:sdtEndPr/>
        <w:sdtContent>
          <w:r w:rsidR="003C50BF" w:rsidRPr="000B43AB">
            <w:fldChar w:fldCharType="begin"/>
          </w:r>
          <w:r w:rsidR="009722D3" w:rsidRPr="000B43AB">
            <w:instrText xml:space="preserve">CITATION ONR2021 \l 2057 </w:instrText>
          </w:r>
          <w:r w:rsidR="003C50BF" w:rsidRPr="000B43AB">
            <w:fldChar w:fldCharType="separate"/>
          </w:r>
          <w:r w:rsidR="009722D3" w:rsidRPr="000B43AB">
            <w:t>[4]</w:t>
          </w:r>
          <w:r w:rsidR="003C50BF" w:rsidRPr="000B43AB">
            <w:fldChar w:fldCharType="end"/>
          </w:r>
        </w:sdtContent>
      </w:sdt>
      <w:r w:rsidRPr="000B43AB">
        <w:t xml:space="preserve">, which outlines the nuclear </w:t>
      </w:r>
      <w:r w:rsidR="002B00D3" w:rsidRPr="000B43AB">
        <w:t>site licen</w:t>
      </w:r>
      <w:r w:rsidR="00A543BE">
        <w:t>s</w:t>
      </w:r>
      <w:r w:rsidR="002B00D3" w:rsidRPr="000B43AB">
        <w:t xml:space="preserve">ing </w:t>
      </w:r>
      <w:r w:rsidRPr="000B43AB">
        <w:t>regime</w:t>
      </w:r>
      <w:r w:rsidR="009D5566" w:rsidRPr="000B43AB">
        <w:t>.</w:t>
      </w:r>
    </w:p>
    <w:p w14:paraId="5927460C" w14:textId="3022B007" w:rsidR="006B7EE0" w:rsidRDefault="00610788" w:rsidP="00106181">
      <w:pPr>
        <w:pStyle w:val="Heading1"/>
      </w:pPr>
      <w:bookmarkStart w:id="4" w:name="_Toc213847107"/>
      <w:r>
        <w:lastRenderedPageBreak/>
        <w:t>Relationship to licence and other relevant legislation</w:t>
      </w:r>
      <w:bookmarkEnd w:id="4"/>
    </w:p>
    <w:p w14:paraId="6CFFA577" w14:textId="58F21E65" w:rsidR="00A83240" w:rsidRDefault="00A83240" w:rsidP="00D863E2">
      <w:pPr>
        <w:pStyle w:val="F9-Paragraph"/>
      </w:pPr>
      <w:r>
        <w:t xml:space="preserve">ONR’s </w:t>
      </w:r>
      <w:r w:rsidR="00782709">
        <w:t xml:space="preserve">regulation of </w:t>
      </w:r>
      <w:r w:rsidR="00181679">
        <w:t xml:space="preserve">nuclear safety and nuclear site health and </w:t>
      </w:r>
      <w:r w:rsidR="00782709">
        <w:t xml:space="preserve">safety </w:t>
      </w:r>
      <w:r>
        <w:t xml:space="preserve">is underpinned by several key </w:t>
      </w:r>
      <w:r w:rsidR="002473B7">
        <w:t>pieces of law</w:t>
      </w:r>
      <w:r>
        <w:t>:</w:t>
      </w:r>
    </w:p>
    <w:p w14:paraId="7541C473" w14:textId="5B84F63C" w:rsidR="00A83240" w:rsidRDefault="00A83240" w:rsidP="000B43AB">
      <w:pPr>
        <w:pStyle w:val="Bulletlist1"/>
      </w:pPr>
      <w:r>
        <w:t xml:space="preserve">The Health and Safety at Work etc. Act 1974 (HSWA), which places duties on employers to ensure, </w:t>
      </w:r>
      <w:r w:rsidR="00B80E2F">
        <w:t>SFAIRP,</w:t>
      </w:r>
      <w:r>
        <w:t xml:space="preserve"> the health</w:t>
      </w:r>
      <w:r w:rsidR="009D34F9">
        <w:t xml:space="preserve">, </w:t>
      </w:r>
      <w:r>
        <w:t xml:space="preserve">safety, and welfare of </w:t>
      </w:r>
      <w:r w:rsidR="009D34F9">
        <w:t xml:space="preserve">their employees and the health and safety of </w:t>
      </w:r>
      <w:r w:rsidR="00661ECA">
        <w:t>anyone else who isn’t an employee</w:t>
      </w:r>
      <w:r>
        <w:t>.</w:t>
      </w:r>
      <w:r w:rsidR="00CC7670">
        <w:t xml:space="preserve"> These duties apply to all employers in GB </w:t>
      </w:r>
      <w:r w:rsidR="002520E8">
        <w:t xml:space="preserve">in relation to all </w:t>
      </w:r>
      <w:r w:rsidR="00706CA4">
        <w:t xml:space="preserve">matters of </w:t>
      </w:r>
      <w:r w:rsidR="002520E8">
        <w:t>health and safety – not just nuclear safety.</w:t>
      </w:r>
    </w:p>
    <w:p w14:paraId="4C71E011" w14:textId="6F23D328" w:rsidR="00A83240" w:rsidRDefault="00A83240" w:rsidP="000B43AB">
      <w:pPr>
        <w:pStyle w:val="Bulletlist1"/>
      </w:pPr>
      <w:r>
        <w:t xml:space="preserve">The Energy Act 2013, which gives ONR its powers to enforce </w:t>
      </w:r>
      <w:r w:rsidR="003E487F">
        <w:t>the Nuclear Installations Act 1965 (</w:t>
      </w:r>
      <w:r>
        <w:t>NIA</w:t>
      </w:r>
      <w:r w:rsidR="003E487F">
        <w:t>)</w:t>
      </w:r>
      <w:r>
        <w:t xml:space="preserve"> and other legislation.</w:t>
      </w:r>
    </w:p>
    <w:p w14:paraId="476590C3" w14:textId="749E46AA" w:rsidR="000F63D5" w:rsidRDefault="00E23027" w:rsidP="000B43AB">
      <w:pPr>
        <w:pStyle w:val="Bulletlist1"/>
      </w:pPr>
      <w:r>
        <w:t xml:space="preserve">Health and safety regulations and nuclear regulations as </w:t>
      </w:r>
      <w:r w:rsidR="001B1A06">
        <w:t xml:space="preserve">created by HSWA </w:t>
      </w:r>
      <w:r w:rsidR="00CC7670">
        <w:t>or</w:t>
      </w:r>
      <w:r w:rsidR="001B1A06">
        <w:t xml:space="preserve"> TEA13</w:t>
      </w:r>
      <w:r w:rsidR="008B0F90">
        <w:t xml:space="preserve">, such as the Ionising Radiations Regulations 2017 which require the </w:t>
      </w:r>
      <w:r w:rsidR="000F63D5">
        <w:t>limitation of ionising radiation exposure SFAIRP.</w:t>
      </w:r>
    </w:p>
    <w:p w14:paraId="58D55F18" w14:textId="77777777" w:rsidR="000F63D5" w:rsidRDefault="000F63D5" w:rsidP="000B43AB">
      <w:pPr>
        <w:pStyle w:val="Bulletlist1"/>
      </w:pPr>
      <w:r>
        <w:t>The Regulatory Reform (Fire Safety) Order 2005 (FSO) in England and Wales, and the Fire (Scotland) Act 2005 (F(S)A) in Scotland, which place duties on responsible persons to ensure fire safety, SFAIRP.</w:t>
      </w:r>
    </w:p>
    <w:p w14:paraId="2A4C930E" w14:textId="29342F76" w:rsidR="00E23027" w:rsidRDefault="000F63D5" w:rsidP="000B43AB">
      <w:pPr>
        <w:pStyle w:val="Bulletlist1"/>
      </w:pPr>
      <w:r>
        <w:t>The Nuclear Installations Act 1965 (NIA 1965), which requires certain installations to hold a nuclear site licence with conditions attached by ONR.</w:t>
      </w:r>
    </w:p>
    <w:p w14:paraId="180F5068" w14:textId="11DCB080" w:rsidR="00A83240" w:rsidRPr="0090138F" w:rsidRDefault="00A83240" w:rsidP="00D863E2">
      <w:pPr>
        <w:pStyle w:val="F9-Paragraph"/>
      </w:pPr>
      <w:r>
        <w:t>For nuclear installations, a key requirement is the production of an “adequate</w:t>
      </w:r>
      <w:r w:rsidR="005F0354">
        <w:t>”</w:t>
      </w:r>
      <w:r>
        <w:t xml:space="preserve"> safety case under Licence Condition 23 (LC 23), </w:t>
      </w:r>
      <w:r w:rsidR="0082496C">
        <w:t xml:space="preserve">and it is expected that this will demonstrate </w:t>
      </w:r>
      <w:r>
        <w:t xml:space="preserve">that risks have been reduced to ALARP. </w:t>
      </w:r>
    </w:p>
    <w:p w14:paraId="2E757CFC" w14:textId="77777777" w:rsidR="00106181" w:rsidRDefault="00106181" w:rsidP="00106181">
      <w:pPr>
        <w:pStyle w:val="Heading1"/>
        <w:numPr>
          <w:ilvl w:val="0"/>
          <w:numId w:val="4"/>
        </w:numPr>
        <w:sectPr w:rsidR="00106181" w:rsidSect="007E1540">
          <w:pgSz w:w="11906" w:h="16838" w:code="9"/>
          <w:pgMar w:top="1440" w:right="1440" w:bottom="1440" w:left="1440" w:header="397" w:footer="397" w:gutter="0"/>
          <w:cols w:space="312"/>
          <w:docGrid w:linePitch="360"/>
        </w:sectPr>
      </w:pPr>
      <w:bookmarkStart w:id="5" w:name="_Relationship_to_Safety"/>
      <w:bookmarkEnd w:id="5"/>
    </w:p>
    <w:p w14:paraId="219A98D5" w14:textId="0265B53F" w:rsidR="00140E1C" w:rsidRDefault="000950B3" w:rsidP="00106181">
      <w:pPr>
        <w:pStyle w:val="Heading1"/>
      </w:pPr>
      <w:bookmarkStart w:id="6" w:name="_Toc213847108"/>
      <w:r w:rsidRPr="000950B3">
        <w:lastRenderedPageBreak/>
        <w:t xml:space="preserve">Relationship to </w:t>
      </w:r>
      <w:r>
        <w:t>Safety Assessment Principles</w:t>
      </w:r>
      <w:r w:rsidR="00670232">
        <w:t xml:space="preserve">, </w:t>
      </w:r>
      <w:r w:rsidR="00670232" w:rsidRPr="000950B3">
        <w:t>WENRA</w:t>
      </w:r>
      <w:r w:rsidR="00670232">
        <w:t xml:space="preserve"> </w:t>
      </w:r>
      <w:r w:rsidR="00670232" w:rsidRPr="000950B3">
        <w:t>Reference Levels</w:t>
      </w:r>
      <w:r w:rsidR="00670232">
        <w:t xml:space="preserve">, and </w:t>
      </w:r>
      <w:r w:rsidR="00670232" w:rsidRPr="000950B3">
        <w:t>IAEA Safety Standards</w:t>
      </w:r>
      <w:bookmarkEnd w:id="6"/>
      <w:r w:rsidR="00670232">
        <w:t xml:space="preserve"> </w:t>
      </w:r>
    </w:p>
    <w:p w14:paraId="0BD05C54" w14:textId="3843253B" w:rsidR="00C53269" w:rsidRDefault="00EF496A" w:rsidP="00D863E2">
      <w:pPr>
        <w:pStyle w:val="F9-Paragraph"/>
      </w:pPr>
      <w:bookmarkStart w:id="7" w:name="_Concepts_supporting_regulatory"/>
      <w:bookmarkEnd w:id="7"/>
      <w:r>
        <w:t>ONR</w:t>
      </w:r>
      <w:r w:rsidR="002C2EE5">
        <w:t>’s</w:t>
      </w:r>
      <w:r>
        <w:t xml:space="preserve"> SAPs </w:t>
      </w:r>
      <w:r w:rsidR="0082496C">
        <w:t>have been</w:t>
      </w:r>
      <w:r>
        <w:t xml:space="preserve"> developed </w:t>
      </w:r>
      <w:r w:rsidR="00936577">
        <w:t>against the background of UK law</w:t>
      </w:r>
      <w:r>
        <w:t xml:space="preserve"> and benchmarked against both IAEA</w:t>
      </w:r>
      <w:r w:rsidR="00FE0D83">
        <w:t xml:space="preserve"> </w:t>
      </w:r>
      <w:sdt>
        <w:sdtPr>
          <w:id w:val="-1151590903"/>
          <w:citation/>
        </w:sdtPr>
        <w:sdtEndPr/>
        <w:sdtContent>
          <w:r w:rsidR="00FE0D83">
            <w:fldChar w:fldCharType="begin"/>
          </w:r>
          <w:r w:rsidR="00FE0D83">
            <w:instrText xml:space="preserve"> CITATION IAE1 \l 2057 </w:instrText>
          </w:r>
          <w:r w:rsidR="00FE0D83">
            <w:fldChar w:fldCharType="separate"/>
          </w:r>
          <w:r w:rsidR="00F53898">
            <w:rPr>
              <w:noProof/>
            </w:rPr>
            <w:t>[5]</w:t>
          </w:r>
          <w:r w:rsidR="00FE0D83">
            <w:fldChar w:fldCharType="end"/>
          </w:r>
        </w:sdtContent>
      </w:sdt>
      <w:r>
        <w:t xml:space="preserve"> and WENRA</w:t>
      </w:r>
      <w:r w:rsidR="0060379E">
        <w:t xml:space="preserve"> </w:t>
      </w:r>
      <w:sdt>
        <w:sdtPr>
          <w:id w:val="-139655515"/>
          <w:citation/>
        </w:sdtPr>
        <w:sdtEndPr/>
        <w:sdtContent>
          <w:r w:rsidR="0060379E">
            <w:fldChar w:fldCharType="begin"/>
          </w:r>
          <w:r w:rsidR="0060379E">
            <w:instrText xml:space="preserve"> CITATION WEN \l 2057 </w:instrText>
          </w:r>
          <w:r w:rsidR="0060379E">
            <w:fldChar w:fldCharType="separate"/>
          </w:r>
          <w:r w:rsidR="00F53898">
            <w:rPr>
              <w:noProof/>
            </w:rPr>
            <w:t>[6]</w:t>
          </w:r>
          <w:r w:rsidR="0060379E">
            <w:fldChar w:fldCharType="end"/>
          </w:r>
        </w:sdtContent>
      </w:sdt>
      <w:r>
        <w:t xml:space="preserve"> standards. </w:t>
      </w:r>
    </w:p>
    <w:p w14:paraId="6629E8AD" w14:textId="617CCCF9" w:rsidR="00970E1A" w:rsidRDefault="00EF496A" w:rsidP="00D863E2">
      <w:pPr>
        <w:pStyle w:val="F9-Paragraph"/>
      </w:pPr>
      <w:r>
        <w:t xml:space="preserve">The SAPs define ONR’s regulatory expectations and guide inspectors in making judgements. The overarching legal requirement for dutyholders to reduce risks to ALARP informs the application of these principles. </w:t>
      </w:r>
    </w:p>
    <w:p w14:paraId="0587748F" w14:textId="41522881" w:rsidR="00EF496A" w:rsidRDefault="00EF496A" w:rsidP="00106181">
      <w:pPr>
        <w:pStyle w:val="F9-Paragraph"/>
      </w:pPr>
      <w:r>
        <w:t>The SAPs are broader in scope than the IAEA and WENRA standards. However, ONR considers all three</w:t>
      </w:r>
      <w:r w:rsidR="004D0714">
        <w:t xml:space="preserve"> </w:t>
      </w:r>
      <w:r>
        <w:t xml:space="preserve">SAPs, IAEA Safety Standards, and WENRA </w:t>
      </w:r>
      <w:r w:rsidR="008E3327">
        <w:t>safety reference levels</w:t>
      </w:r>
      <w:r>
        <w:t xml:space="preserve"> and Safety Objectives</w:t>
      </w:r>
      <w:r w:rsidR="004D0714">
        <w:t xml:space="preserve"> </w:t>
      </w:r>
      <w:r>
        <w:t xml:space="preserve">to represent RGP </w:t>
      </w:r>
      <w:r w:rsidR="00670232">
        <w:t>for</w:t>
      </w:r>
      <w:r>
        <w:t xml:space="preserve"> nuclear safety. RGP is a key concept in ONR’s judgements</w:t>
      </w:r>
      <w:r w:rsidR="00F7095A">
        <w:t xml:space="preserve"> on ALARP</w:t>
      </w:r>
      <w:r w:rsidR="00177081">
        <w:t>.</w:t>
      </w:r>
    </w:p>
    <w:p w14:paraId="743C32FC" w14:textId="77777777" w:rsidR="00106181" w:rsidRDefault="00106181" w:rsidP="00106181">
      <w:pPr>
        <w:pStyle w:val="Heading1"/>
        <w:numPr>
          <w:ilvl w:val="0"/>
          <w:numId w:val="4"/>
        </w:numPr>
        <w:sectPr w:rsidR="00106181" w:rsidSect="007E1540">
          <w:pgSz w:w="11906" w:h="16838" w:code="9"/>
          <w:pgMar w:top="1440" w:right="1440" w:bottom="1440" w:left="1440" w:header="397" w:footer="397" w:gutter="0"/>
          <w:cols w:space="312"/>
          <w:docGrid w:linePitch="360"/>
        </w:sectPr>
      </w:pPr>
    </w:p>
    <w:p w14:paraId="6E622D46" w14:textId="2595762E" w:rsidR="002A0BFE" w:rsidRDefault="00E352DF" w:rsidP="00106181">
      <w:pPr>
        <w:pStyle w:val="Heading1"/>
      </w:pPr>
      <w:bookmarkStart w:id="8" w:name="_Toc213847109"/>
      <w:r>
        <w:lastRenderedPageBreak/>
        <w:t>Concepts supporting regulatory judgements on reducing risks to ALARP</w:t>
      </w:r>
      <w:bookmarkEnd w:id="8"/>
    </w:p>
    <w:p w14:paraId="63CA516B" w14:textId="183A0967" w:rsidR="004836D9" w:rsidRPr="00106181" w:rsidRDefault="00C375A4" w:rsidP="00106181">
      <w:pPr>
        <w:pStyle w:val="Heading2"/>
      </w:pPr>
      <w:r w:rsidRPr="00106181">
        <w:t>Core concepts</w:t>
      </w:r>
    </w:p>
    <w:p w14:paraId="06F430DD" w14:textId="411A2EA5" w:rsidR="007616DF" w:rsidRPr="007616DF" w:rsidRDefault="007616DF" w:rsidP="0016752C">
      <w:pPr>
        <w:pStyle w:val="Heading3"/>
      </w:pPr>
      <w:r w:rsidRPr="0016752C">
        <w:t>Hazard</w:t>
      </w:r>
    </w:p>
    <w:p w14:paraId="2AE2B852" w14:textId="29E52E7D" w:rsidR="00685A66" w:rsidRDefault="007616DF" w:rsidP="00D863E2">
      <w:pPr>
        <w:pStyle w:val="F9-Paragraph"/>
      </w:pPr>
      <w:r>
        <w:t xml:space="preserve">A hazard is anything with the potential to cause harm to people. </w:t>
      </w:r>
      <w:r w:rsidR="00662B34">
        <w:br/>
      </w:r>
      <w:r>
        <w:t>This includes physical objects, substances, phenomena or activities.</w:t>
      </w:r>
    </w:p>
    <w:p w14:paraId="5D9BDA79" w14:textId="77777777" w:rsidR="00685A66" w:rsidRPr="00685A66" w:rsidRDefault="00685A66" w:rsidP="0016752C">
      <w:pPr>
        <w:pStyle w:val="Heading3"/>
      </w:pPr>
      <w:r w:rsidRPr="00685A66">
        <w:t>Risk</w:t>
      </w:r>
    </w:p>
    <w:p w14:paraId="78A99361" w14:textId="26DC2355" w:rsidR="00BE0D0C" w:rsidRDefault="00685A66" w:rsidP="00E77535">
      <w:pPr>
        <w:pStyle w:val="F9-Paragraph"/>
      </w:pPr>
      <w:r w:rsidRPr="00685A66">
        <w:t>Risk combines the likelihoo</w:t>
      </w:r>
      <w:r w:rsidR="00AF42BB">
        <w:t>d</w:t>
      </w:r>
      <w:r w:rsidR="009433F9">
        <w:t xml:space="preserve"> and severity of potential harm</w:t>
      </w:r>
      <w:r w:rsidR="008F4B11">
        <w:rPr>
          <w:rStyle w:val="FootnoteReference"/>
        </w:rPr>
        <w:footnoteReference w:id="3"/>
      </w:r>
      <w:r w:rsidRPr="00685A66">
        <w:t>. It can be expressed qualitatively or quantitatively. Dutyholders are expected to assess only those risks that are reasonably foreseeable</w:t>
      </w:r>
      <w:r w:rsidR="00AB7A0C">
        <w:rPr>
          <w:rStyle w:val="FootnoteReference"/>
        </w:rPr>
        <w:footnoteReference w:id="4"/>
      </w:r>
      <w:r w:rsidRPr="00685A66">
        <w:t xml:space="preserve"> and within their control or influence, including those from </w:t>
      </w:r>
      <w:r w:rsidR="00A125FB">
        <w:t xml:space="preserve">external sources outside of their undertaking, but where they can take </w:t>
      </w:r>
      <w:r w:rsidR="00BE068A">
        <w:t>action to reduce the risk.</w:t>
      </w:r>
    </w:p>
    <w:p w14:paraId="69057AC2" w14:textId="6644367D" w:rsidR="00A125FB" w:rsidRDefault="00AF22CE" w:rsidP="00E77535">
      <w:pPr>
        <w:pStyle w:val="F9-Paragraph"/>
      </w:pPr>
      <w:r>
        <w:t xml:space="preserve">Importantly, a risk does not need to be realised in order to be </w:t>
      </w:r>
      <w:r w:rsidR="007336A7">
        <w:t xml:space="preserve">considered within the ALARP duty: the </w:t>
      </w:r>
      <w:r w:rsidR="00F56D99">
        <w:t xml:space="preserve">mere </w:t>
      </w:r>
      <w:r w:rsidR="007336A7">
        <w:t xml:space="preserve">possibility of </w:t>
      </w:r>
      <w:r w:rsidR="00DD0C65">
        <w:t xml:space="preserve">causing </w:t>
      </w:r>
      <w:r w:rsidR="007336A7">
        <w:t xml:space="preserve">harm </w:t>
      </w:r>
      <w:r w:rsidR="00F56D99">
        <w:t>must be included</w:t>
      </w:r>
      <w:r w:rsidR="002E68AC">
        <w:t xml:space="preserve">, </w:t>
      </w:r>
      <w:r w:rsidR="00FE1C4C">
        <w:t>providing this is reasonably foreseeable</w:t>
      </w:r>
      <w:r w:rsidR="00F56D99">
        <w:t>.</w:t>
      </w:r>
    </w:p>
    <w:p w14:paraId="044FA809" w14:textId="1269296C" w:rsidR="00F271D1" w:rsidRPr="00F271D1" w:rsidRDefault="00F271D1" w:rsidP="0016752C">
      <w:pPr>
        <w:pStyle w:val="Heading3"/>
      </w:pPr>
      <w:r w:rsidRPr="00F271D1">
        <w:t>Sacrifice</w:t>
      </w:r>
    </w:p>
    <w:p w14:paraId="3A198105" w14:textId="77777777" w:rsidR="00BE0D0C" w:rsidRDefault="00F271D1" w:rsidP="00E77535">
      <w:pPr>
        <w:pStyle w:val="F9-Paragraph"/>
      </w:pPr>
      <w:r>
        <w:t xml:space="preserve">Sacrifice refers to the cost (in money, time, or </w:t>
      </w:r>
      <w:r w:rsidR="00504D12">
        <w:t>trouble</w:t>
      </w:r>
      <w:r w:rsidR="00504D12">
        <w:rPr>
          <w:rStyle w:val="FootnoteReference"/>
        </w:rPr>
        <w:footnoteReference w:id="5"/>
      </w:r>
      <w:r>
        <w:t>) of implementing risk-reduction measures.</w:t>
      </w:r>
    </w:p>
    <w:p w14:paraId="5D2ABAAF" w14:textId="7AC7A437" w:rsidR="00AB7A0C" w:rsidRDefault="00F271D1" w:rsidP="00E77535">
      <w:pPr>
        <w:pStyle w:val="F9-Paragraph"/>
      </w:pPr>
      <w:r>
        <w:t>ONR does not consider a dutyholder’s</w:t>
      </w:r>
      <w:r w:rsidR="00336A3A">
        <w:t xml:space="preserve"> ability to afford</w:t>
      </w:r>
      <w:r w:rsidR="002C0DD0">
        <w:t xml:space="preserve"> a risk reduction measure</w:t>
      </w:r>
      <w:r>
        <w:t xml:space="preserve"> when judging ALARP</w:t>
      </w:r>
      <w:r w:rsidR="002536D9">
        <w:t xml:space="preserve"> and</w:t>
      </w:r>
      <w:r>
        <w:t xml:space="preserve"> </w:t>
      </w:r>
      <w:r w:rsidR="002536D9">
        <w:t>a</w:t>
      </w:r>
      <w:r>
        <w:t>ll dutyholders are held to the same standard</w:t>
      </w:r>
      <w:r w:rsidR="002C0DD0">
        <w:t xml:space="preserve"> </w:t>
      </w:r>
      <w:r w:rsidR="006C3584">
        <w:t>regardless of the size, resources or influence</w:t>
      </w:r>
      <w:r w:rsidR="002C0DD0">
        <w:t>.</w:t>
      </w:r>
    </w:p>
    <w:p w14:paraId="39D9F65B" w14:textId="77777777" w:rsidR="006935BD" w:rsidRDefault="006935BD" w:rsidP="0016752C">
      <w:pPr>
        <w:pStyle w:val="Heading3"/>
        <w:sectPr w:rsidR="006935BD" w:rsidSect="007E1540">
          <w:pgSz w:w="11906" w:h="16838" w:code="9"/>
          <w:pgMar w:top="1440" w:right="1440" w:bottom="1440" w:left="1440" w:header="397" w:footer="397" w:gutter="0"/>
          <w:cols w:space="312"/>
          <w:docGrid w:linePitch="360"/>
        </w:sectPr>
      </w:pPr>
    </w:p>
    <w:p w14:paraId="66F77048" w14:textId="3F99A968" w:rsidR="00695A7B" w:rsidRPr="00695A7B" w:rsidRDefault="00970B0C" w:rsidP="0016752C">
      <w:pPr>
        <w:pStyle w:val="Heading3"/>
      </w:pPr>
      <w:r>
        <w:lastRenderedPageBreak/>
        <w:t>Achieving ALARP</w:t>
      </w:r>
      <w:r w:rsidR="00F81CDD">
        <w:t xml:space="preserve">: </w:t>
      </w:r>
      <w:r>
        <w:t>g</w:t>
      </w:r>
      <w:r w:rsidR="00695A7B" w:rsidRPr="00695A7B">
        <w:t xml:space="preserve">ross </w:t>
      </w:r>
      <w:r>
        <w:t>d</w:t>
      </w:r>
      <w:r w:rsidR="00695A7B" w:rsidRPr="00695A7B">
        <w:t>isproportion</w:t>
      </w:r>
    </w:p>
    <w:p w14:paraId="2960E1A8" w14:textId="62796156" w:rsidR="00262D88" w:rsidRDefault="00504EBE" w:rsidP="005D7D9D">
      <w:pPr>
        <w:pStyle w:val="F9-Paragraph"/>
      </w:pPr>
      <w:r>
        <w:t xml:space="preserve">The </w:t>
      </w:r>
      <w:r w:rsidR="00D66DCF">
        <w:t>usual</w:t>
      </w:r>
      <w:r w:rsidR="00262D88">
        <w:t xml:space="preserve"> test for whether or not risks have been reduced </w:t>
      </w:r>
      <w:r w:rsidR="003133B0">
        <w:t xml:space="preserve">to </w:t>
      </w:r>
      <w:r w:rsidR="00262D88">
        <w:t xml:space="preserve">ALARP </w:t>
      </w:r>
      <w:r w:rsidR="00E03D87">
        <w:t xml:space="preserve">is </w:t>
      </w:r>
      <w:r w:rsidR="00D66DCF">
        <w:t xml:space="preserve">based on a weighing of the </w:t>
      </w:r>
      <w:r w:rsidR="00B55530">
        <w:t>sacrifice (in money, time or trouble)</w:t>
      </w:r>
      <w:r w:rsidR="00D66DCF">
        <w:t xml:space="preserve"> involved</w:t>
      </w:r>
      <w:r w:rsidR="00B55530">
        <w:t xml:space="preserve"> in implementing </w:t>
      </w:r>
      <w:r w:rsidR="00AF4F84">
        <w:t xml:space="preserve">a </w:t>
      </w:r>
      <w:r w:rsidR="00B55530">
        <w:t>further safety measure</w:t>
      </w:r>
      <w:r w:rsidR="00E7028A">
        <w:t>,</w:t>
      </w:r>
      <w:r w:rsidR="00B55530">
        <w:t xml:space="preserve"> against the risk reduction that could be achieved by doing so</w:t>
      </w:r>
      <w:r w:rsidR="005D7D9D">
        <w:t xml:space="preserve">. </w:t>
      </w:r>
      <w:r w:rsidR="00174D64">
        <w:t xml:space="preserve">It is only when the sacrifice </w:t>
      </w:r>
      <w:r w:rsidR="00D351D1">
        <w:t xml:space="preserve">becomes grossly disproportionate to the risk reduction </w:t>
      </w:r>
      <w:r w:rsidR="009B43AB">
        <w:t>that</w:t>
      </w:r>
      <w:r w:rsidR="00E330B2">
        <w:t xml:space="preserve"> the ALARP duty is considered to have been discharged by the dutyholder</w:t>
      </w:r>
      <w:r w:rsidR="00951572">
        <w:rPr>
          <w:rStyle w:val="FootnoteReference"/>
        </w:rPr>
        <w:footnoteReference w:id="6"/>
      </w:r>
      <w:r w:rsidR="00E330B2">
        <w:t xml:space="preserve">. </w:t>
      </w:r>
    </w:p>
    <w:p w14:paraId="1A3AC3B7" w14:textId="12E6035B" w:rsidR="004A41F6" w:rsidRDefault="00E330B2" w:rsidP="008C2B9F">
      <w:pPr>
        <w:pStyle w:val="F9-Paragraph"/>
      </w:pPr>
      <w:r>
        <w:t xml:space="preserve">This test is </w:t>
      </w:r>
      <w:r w:rsidR="00E7028A">
        <w:t xml:space="preserve">primarily a </w:t>
      </w:r>
      <w:r>
        <w:t>qualitative one</w:t>
      </w:r>
      <w:r w:rsidR="0029773C">
        <w:t xml:space="preserve"> and </w:t>
      </w:r>
      <w:r w:rsidR="00402561">
        <w:t>should be based</w:t>
      </w:r>
      <w:r w:rsidR="0029773C">
        <w:t xml:space="preserve"> on</w:t>
      </w:r>
      <w:r w:rsidR="003E3215">
        <w:t xml:space="preserve"> </w:t>
      </w:r>
      <w:r w:rsidR="007A581E">
        <w:t xml:space="preserve">objective, balanced and properly-reasoned arguments </w:t>
      </w:r>
      <w:r w:rsidR="00CA70F7">
        <w:t xml:space="preserve">(together with the supporting evidence) </w:t>
      </w:r>
      <w:r w:rsidR="0029773C">
        <w:t>setting-out why further risk reduction is not reasonably practicable</w:t>
      </w:r>
      <w:r w:rsidR="004A41F6">
        <w:t>.</w:t>
      </w:r>
      <w:r w:rsidR="00F7022A">
        <w:t xml:space="preserve"> Put simply, it </w:t>
      </w:r>
      <w:r w:rsidR="001B3347">
        <w:t>is about</w:t>
      </w:r>
      <w:r w:rsidR="00DE6ADA">
        <w:t xml:space="preserve"> the a</w:t>
      </w:r>
      <w:r w:rsidR="009A6F98">
        <w:t xml:space="preserve">nswers to two </w:t>
      </w:r>
      <w:r w:rsidR="001B3347">
        <w:t xml:space="preserve">basic </w:t>
      </w:r>
      <w:r w:rsidR="009A6F98">
        <w:t>questions:</w:t>
      </w:r>
    </w:p>
    <w:p w14:paraId="4B23D85B" w14:textId="2608A394" w:rsidR="009A6F98" w:rsidRDefault="009A6F98" w:rsidP="000B43AB">
      <w:pPr>
        <w:pStyle w:val="Bulletlist1"/>
      </w:pPr>
      <w:r>
        <w:t xml:space="preserve">What </w:t>
      </w:r>
      <w:r w:rsidR="00BC63F8">
        <w:t>more could</w:t>
      </w:r>
      <w:r>
        <w:t xml:space="preserve"> be </w:t>
      </w:r>
      <w:r>
        <w:rPr>
          <w:noProof/>
        </w:rPr>
        <w:t>done</w:t>
      </w:r>
      <w:r>
        <w:t xml:space="preserve"> to reduce the risk?</w:t>
      </w:r>
    </w:p>
    <w:p w14:paraId="7E4D7D9D" w14:textId="599A4670" w:rsidR="009A6F98" w:rsidRDefault="009A6F98" w:rsidP="000B43AB">
      <w:pPr>
        <w:pStyle w:val="Bulletlist1"/>
      </w:pPr>
      <w:r>
        <w:t xml:space="preserve">Why </w:t>
      </w:r>
      <w:r w:rsidR="00207D32">
        <w:t>shouldn’t</w:t>
      </w:r>
      <w:r w:rsidR="00467018">
        <w:t xml:space="preserve"> this be done? (i.e. why </w:t>
      </w:r>
      <w:r w:rsidR="0065135B">
        <w:t>this</w:t>
      </w:r>
      <w:r>
        <w:t xml:space="preserve"> </w:t>
      </w:r>
      <w:r w:rsidR="00770388">
        <w:t xml:space="preserve">is </w:t>
      </w:r>
      <w:r>
        <w:t>grossly disproportionate to implement</w:t>
      </w:r>
      <w:r w:rsidR="00467018">
        <w:t>)</w:t>
      </w:r>
    </w:p>
    <w:p w14:paraId="08DD1363" w14:textId="1D1B6F56" w:rsidR="00E330B2" w:rsidRDefault="00A3173A" w:rsidP="007E1686">
      <w:pPr>
        <w:pStyle w:val="F9-Paragraph"/>
        <w:numPr>
          <w:ilvl w:val="0"/>
          <w:numId w:val="0"/>
        </w:numPr>
        <w:ind w:left="851"/>
      </w:pPr>
      <w:r>
        <w:t xml:space="preserve">That said, quantitative </w:t>
      </w:r>
      <w:r w:rsidR="00561126">
        <w:t>assessment, usually in the form of a cost-benefit analysis (CBA)</w:t>
      </w:r>
      <w:r w:rsidR="00652C1D">
        <w:t>,</w:t>
      </w:r>
      <w:r w:rsidR="00561126">
        <w:t xml:space="preserve"> can be useful</w:t>
      </w:r>
      <w:r w:rsidR="00DB7A62">
        <w:t xml:space="preserve"> (</w:t>
      </w:r>
      <w:r w:rsidR="000707EF">
        <w:t>refer to</w:t>
      </w:r>
      <w:r w:rsidR="00DB7A62">
        <w:t xml:space="preserve"> Appendix 1)</w:t>
      </w:r>
      <w:r w:rsidR="00F57E3B">
        <w:t xml:space="preserve"> in support of the </w:t>
      </w:r>
      <w:r w:rsidR="00646FA0">
        <w:t xml:space="preserve">argument presented. </w:t>
      </w:r>
    </w:p>
    <w:p w14:paraId="0C355629" w14:textId="77777777" w:rsidR="004A0FFB" w:rsidRPr="0048213E" w:rsidRDefault="004A0FFB" w:rsidP="006935BD">
      <w:pPr>
        <w:pStyle w:val="Heading2"/>
      </w:pPr>
      <w:r w:rsidRPr="0048213E">
        <w:t>Relevant good practice (RGP)</w:t>
      </w:r>
    </w:p>
    <w:p w14:paraId="75372175" w14:textId="0C34AEEC" w:rsidR="004A0FFB" w:rsidRPr="0048213E" w:rsidRDefault="004A0FFB" w:rsidP="006935BD">
      <w:pPr>
        <w:pStyle w:val="Heading3"/>
      </w:pPr>
      <w:r w:rsidRPr="0048213E">
        <w:t>The concept of RGP</w:t>
      </w:r>
    </w:p>
    <w:p w14:paraId="7B35583E" w14:textId="408AEF56" w:rsidR="00FF2709" w:rsidRDefault="00A91BF2" w:rsidP="00E77535">
      <w:pPr>
        <w:pStyle w:val="F9-Paragraph"/>
      </w:pPr>
      <w:r w:rsidRPr="00A91BF2">
        <w:t>In many situations, it</w:t>
      </w:r>
      <w:r w:rsidR="00C1148C">
        <w:t xml:space="preserve"> </w:t>
      </w:r>
      <w:r w:rsidR="003F1A42">
        <w:t>clear</w:t>
      </w:r>
      <w:r w:rsidRPr="00A91BF2">
        <w:t xml:space="preserve"> what measures are needed to reduce a risk to ALARP, making detailed analysis unnecessary. This is where</w:t>
      </w:r>
      <w:r w:rsidR="00CF314E">
        <w:t xml:space="preserve"> the concept of</w:t>
      </w:r>
      <w:r w:rsidRPr="00A91BF2">
        <w:t xml:space="preserve"> RGP proves useful</w:t>
      </w:r>
      <w:r w:rsidR="00B80A7C">
        <w:t xml:space="preserve">: </w:t>
      </w:r>
      <w:r w:rsidRPr="00A91BF2">
        <w:t xml:space="preserve">RGP encompasses </w:t>
      </w:r>
      <w:r w:rsidR="003D4D3A">
        <w:t xml:space="preserve">the </w:t>
      </w:r>
      <w:r w:rsidRPr="00A91BF2">
        <w:t>controls that, if implemented, typically reduce risks to ALARP based on similar circumstances.</w:t>
      </w:r>
    </w:p>
    <w:p w14:paraId="4AF69C00" w14:textId="7D83829B" w:rsidR="00E564AA" w:rsidRDefault="001D15D4" w:rsidP="00E77535">
      <w:pPr>
        <w:pStyle w:val="F9-Paragraph"/>
      </w:pPr>
      <w:r>
        <w:t>T</w:t>
      </w:r>
      <w:r w:rsidR="00E564AA">
        <w:t xml:space="preserve">he concept of RGP is </w:t>
      </w:r>
      <w:r w:rsidR="0062097A">
        <w:t xml:space="preserve">sometimes </w:t>
      </w:r>
      <w:r w:rsidR="00E564AA">
        <w:t xml:space="preserve">also used </w:t>
      </w:r>
      <w:r w:rsidR="003C48A8">
        <w:t>with reference</w:t>
      </w:r>
      <w:r w:rsidR="00E564AA">
        <w:t xml:space="preserve"> to other goal-setting requirements such as ‘suitable and sufficient’ and ‘adequate’ as used in </w:t>
      </w:r>
      <w:r w:rsidR="007E795E">
        <w:t xml:space="preserve">other pieces of </w:t>
      </w:r>
      <w:r w:rsidR="00E564AA">
        <w:t xml:space="preserve">law and nuclear site licence conditions. </w:t>
      </w:r>
      <w:r w:rsidR="005324E1">
        <w:t>The concept</w:t>
      </w:r>
      <w:r w:rsidR="00E564AA">
        <w:t xml:space="preserve"> </w:t>
      </w:r>
      <w:r w:rsidR="005324E1">
        <w:t>can</w:t>
      </w:r>
      <w:r w:rsidR="00E564AA">
        <w:t xml:space="preserve"> also </w:t>
      </w:r>
      <w:r w:rsidR="005324E1">
        <w:t xml:space="preserve">be </w:t>
      </w:r>
      <w:r w:rsidR="003A1E32">
        <w:t>relevant to</w:t>
      </w:r>
      <w:r w:rsidR="00E564AA">
        <w:t xml:space="preserve"> other safety and non-safety legal obligations such as goal-setting safeguards and security requirements</w:t>
      </w:r>
      <w:r w:rsidR="00BB0EF2">
        <w:t>: embodying what would normally be expected to be done to achieve the goal-setting requirement.</w:t>
      </w:r>
    </w:p>
    <w:p w14:paraId="71CB7E58" w14:textId="77777777" w:rsidR="00E564AA" w:rsidRDefault="00E564AA" w:rsidP="00E77535">
      <w:pPr>
        <w:pStyle w:val="F9-Paragraph"/>
      </w:pPr>
      <w:r>
        <w:t xml:space="preserve">Whenever RGP is being used, it must be clear what the underlying goal-setting requirement is to which the RGP is being applied. The rest of this section focuses on the use of RGP for demonstration risks are reduced to ALARP.  </w:t>
      </w:r>
    </w:p>
    <w:p w14:paraId="113721A7" w14:textId="3EB1E298" w:rsidR="004A0FFB" w:rsidRPr="00DB01AE" w:rsidRDefault="004A0FFB" w:rsidP="001D7024">
      <w:pPr>
        <w:pStyle w:val="Heading3"/>
        <w:rPr>
          <w:u w:val="single"/>
        </w:rPr>
      </w:pPr>
      <w:r w:rsidRPr="0048213E">
        <w:lastRenderedPageBreak/>
        <w:t>Relevant and good-enough</w:t>
      </w:r>
    </w:p>
    <w:p w14:paraId="0A2D2704" w14:textId="4CAA57FD" w:rsidR="00ED00AE" w:rsidRDefault="006A2D85" w:rsidP="00E77535">
      <w:pPr>
        <w:pStyle w:val="F9-Paragraph"/>
      </w:pPr>
      <w:r w:rsidRPr="006A2D85">
        <w:t xml:space="preserve">RGP refers to the body of ‘practice’ that is ‘good’ and ‘relevant’. </w:t>
      </w:r>
      <w:r w:rsidR="000B43AB">
        <w:br/>
      </w:r>
      <w:r w:rsidRPr="006A2D85">
        <w:t>The meaning of each of these three words is important:</w:t>
      </w:r>
    </w:p>
    <w:p w14:paraId="0F536CB4" w14:textId="2DE01FB5" w:rsidR="006A2D85" w:rsidRPr="0048213E" w:rsidRDefault="006A2D85" w:rsidP="00E77535">
      <w:pPr>
        <w:pStyle w:val="F9-Paragraph"/>
      </w:pPr>
      <w:r w:rsidRPr="005E1CF1">
        <w:rPr>
          <w:noProof/>
        </w:rPr>
        <w:t xml:space="preserve">A ‘practice’ can refer to a wide range of safety measures, controls and activities relating to reducing risks to health and safety. This can include: </w:t>
      </w:r>
    </w:p>
    <w:p w14:paraId="0E7DE366" w14:textId="40E6CDF9" w:rsidR="006A2D85" w:rsidRPr="00A012AF" w:rsidRDefault="006A2D85" w:rsidP="000B43AB">
      <w:pPr>
        <w:pStyle w:val="Bulletlist1"/>
        <w:rPr>
          <w:noProof/>
        </w:rPr>
      </w:pPr>
      <w:r w:rsidRPr="00A012AF">
        <w:rPr>
          <w:noProof/>
        </w:rPr>
        <w:t xml:space="preserve">physical measures, </w:t>
      </w:r>
      <w:r w:rsidR="00213FCD" w:rsidRPr="00A012AF">
        <w:rPr>
          <w:noProof/>
        </w:rPr>
        <w:t>such as</w:t>
      </w:r>
      <w:r w:rsidRPr="00A012AF">
        <w:rPr>
          <w:noProof/>
        </w:rPr>
        <w:t xml:space="preserve"> the design of plant and equipment, the type and number safety mechanisms, the mitigating and emergency measures, </w:t>
      </w:r>
      <w:r w:rsidR="00D91F1F">
        <w:rPr>
          <w:noProof/>
        </w:rPr>
        <w:t>or</w:t>
      </w:r>
      <w:r w:rsidRPr="00A012AF">
        <w:rPr>
          <w:noProof/>
        </w:rPr>
        <w:t xml:space="preserve"> the use personal protective equipment; </w:t>
      </w:r>
    </w:p>
    <w:p w14:paraId="0E8987C4" w14:textId="550FAA9A" w:rsidR="006A2D85" w:rsidRPr="00A012AF" w:rsidRDefault="006A2D85" w:rsidP="000B43AB">
      <w:pPr>
        <w:pStyle w:val="Bulletlist1"/>
        <w:rPr>
          <w:noProof/>
        </w:rPr>
      </w:pPr>
      <w:r w:rsidRPr="00A012AF">
        <w:rPr>
          <w:noProof/>
        </w:rPr>
        <w:t>administrative aspects, such as training practices, maintenance</w:t>
      </w:r>
      <w:r w:rsidR="00321886">
        <w:rPr>
          <w:noProof/>
        </w:rPr>
        <w:t>/</w:t>
      </w:r>
      <w:r w:rsidRPr="00A012AF">
        <w:rPr>
          <w:noProof/>
        </w:rPr>
        <w:t>inspection</w:t>
      </w:r>
      <w:r w:rsidR="00847A67">
        <w:rPr>
          <w:noProof/>
        </w:rPr>
        <w:t>/</w:t>
      </w:r>
      <w:r w:rsidRPr="00A012AF">
        <w:rPr>
          <w:noProof/>
        </w:rPr>
        <w:t>testing schedules, decision-making processes, operating instructions;</w:t>
      </w:r>
    </w:p>
    <w:p w14:paraId="38CE1BD6" w14:textId="4BEDCF32" w:rsidR="00F37A57" w:rsidRPr="00A012AF" w:rsidRDefault="00834FA7" w:rsidP="000B43AB">
      <w:pPr>
        <w:pStyle w:val="Bulletlist1"/>
        <w:rPr>
          <w:noProof/>
        </w:rPr>
      </w:pPr>
      <w:r w:rsidRPr="00A012AF">
        <w:rPr>
          <w:noProof/>
        </w:rPr>
        <w:t>other aspects,</w:t>
      </w:r>
      <w:r w:rsidR="006A2D85" w:rsidRPr="00A012AF">
        <w:rPr>
          <w:noProof/>
        </w:rPr>
        <w:t xml:space="preserve"> such as risk analysis methodologies, design principles, safety policies, risk targets etc.</w:t>
      </w:r>
    </w:p>
    <w:p w14:paraId="3E520AB4" w14:textId="5B16488F" w:rsidR="00ED00AE" w:rsidRDefault="006A2D85" w:rsidP="00E77535">
      <w:pPr>
        <w:pStyle w:val="F9-Paragraph"/>
        <w:rPr>
          <w:noProof/>
        </w:rPr>
      </w:pPr>
      <w:r w:rsidRPr="006A2D85">
        <w:rPr>
          <w:noProof/>
        </w:rPr>
        <w:t>The word ‘good’ refers to the need for the practice to be ‘good-enough’ such that, if used, the risk will be reduced to ALARP. ‘</w:t>
      </w:r>
      <w:r w:rsidR="00ED00AE">
        <w:rPr>
          <w:noProof/>
        </w:rPr>
        <w:t>G</w:t>
      </w:r>
      <w:r w:rsidRPr="006A2D85">
        <w:rPr>
          <w:noProof/>
        </w:rPr>
        <w:t xml:space="preserve">ood’ is not the same as ‘best’. Best practice may represent the very highest standard of control, but is beyond what the law requires and is not something that </w:t>
      </w:r>
      <w:r w:rsidR="00C7656F">
        <w:rPr>
          <w:noProof/>
        </w:rPr>
        <w:t>ONR</w:t>
      </w:r>
      <w:r w:rsidRPr="006A2D85">
        <w:rPr>
          <w:noProof/>
        </w:rPr>
        <w:t xml:space="preserve"> </w:t>
      </w:r>
      <w:r w:rsidR="00C7656F">
        <w:rPr>
          <w:noProof/>
        </w:rPr>
        <w:t>sh</w:t>
      </w:r>
      <w:r w:rsidRPr="006A2D85">
        <w:rPr>
          <w:noProof/>
        </w:rPr>
        <w:t xml:space="preserve">ould normally consider. </w:t>
      </w:r>
    </w:p>
    <w:p w14:paraId="0BC20CC2" w14:textId="6CCDCAE7" w:rsidR="00ED00AE" w:rsidRPr="005E1CF1" w:rsidRDefault="006A2D85" w:rsidP="00E77535">
      <w:pPr>
        <w:pStyle w:val="F9-Paragraph"/>
        <w:rPr>
          <w:noProof/>
        </w:rPr>
      </w:pPr>
      <w:r w:rsidRPr="005E1CF1">
        <w:rPr>
          <w:noProof/>
        </w:rPr>
        <w:t>The word ‘relevant’ is crucial. There are a large number of potential practices, but it is only those good practices that are relevant to the circumstances that matter when applied to a specific situation. This requires</w:t>
      </w:r>
      <w:r w:rsidR="00BA364D">
        <w:rPr>
          <w:noProof/>
        </w:rPr>
        <w:t xml:space="preserve"> careful consideration of the following</w:t>
      </w:r>
      <w:r w:rsidR="00ED00AE">
        <w:rPr>
          <w:noProof/>
        </w:rPr>
        <w:t>:</w:t>
      </w:r>
    </w:p>
    <w:p w14:paraId="67EE6155" w14:textId="30A2336D" w:rsidR="00ED00AE" w:rsidRDefault="006A2D85" w:rsidP="000B43AB">
      <w:pPr>
        <w:pStyle w:val="Bulletlist1"/>
        <w:rPr>
          <w:noProof/>
        </w:rPr>
      </w:pPr>
      <w:r w:rsidRPr="005E1CF1">
        <w:rPr>
          <w:noProof/>
        </w:rPr>
        <w:t>the source</w:t>
      </w:r>
      <w:r w:rsidR="00BA364D">
        <w:rPr>
          <w:noProof/>
        </w:rPr>
        <w:t>, status and strength</w:t>
      </w:r>
      <w:r w:rsidRPr="005E1CF1">
        <w:rPr>
          <w:noProof/>
        </w:rPr>
        <w:t xml:space="preserve"> of the good practice</w:t>
      </w:r>
      <w:r w:rsidR="00ED00AE">
        <w:rPr>
          <w:noProof/>
        </w:rPr>
        <w:t xml:space="preserve">; </w:t>
      </w:r>
    </w:p>
    <w:p w14:paraId="3D892C90" w14:textId="38AE8CD9" w:rsidR="00ED00AE" w:rsidRDefault="00BD00FC" w:rsidP="000B43AB">
      <w:pPr>
        <w:pStyle w:val="Bulletlist1"/>
        <w:rPr>
          <w:noProof/>
        </w:rPr>
      </w:pPr>
      <w:r>
        <w:rPr>
          <w:noProof/>
        </w:rPr>
        <w:t xml:space="preserve">understanding of </w:t>
      </w:r>
      <w:r w:rsidR="006A2D85" w:rsidRPr="005E1CF1">
        <w:rPr>
          <w:noProof/>
        </w:rPr>
        <w:t xml:space="preserve">the underlying legal </w:t>
      </w:r>
      <w:r w:rsidR="00BA364D">
        <w:rPr>
          <w:noProof/>
        </w:rPr>
        <w:t>requirement;</w:t>
      </w:r>
      <w:r w:rsidR="006A2D85" w:rsidRPr="005E1CF1">
        <w:rPr>
          <w:noProof/>
        </w:rPr>
        <w:t xml:space="preserve"> </w:t>
      </w:r>
    </w:p>
    <w:p w14:paraId="23695F3D" w14:textId="1B5E2CF6" w:rsidR="00927F28" w:rsidRDefault="006A2D85" w:rsidP="000B43AB">
      <w:pPr>
        <w:pStyle w:val="Bulletlist1"/>
        <w:rPr>
          <w:noProof/>
        </w:rPr>
      </w:pPr>
      <w:r w:rsidRPr="005E1CF1">
        <w:rPr>
          <w:noProof/>
        </w:rPr>
        <w:t>the specific circumstances</w:t>
      </w:r>
      <w:r w:rsidR="00BA364D">
        <w:rPr>
          <w:noProof/>
        </w:rPr>
        <w:t>;</w:t>
      </w:r>
    </w:p>
    <w:p w14:paraId="1C54B6DD" w14:textId="06EFA1D4" w:rsidR="00927F28" w:rsidRDefault="006A2D85" w:rsidP="000B43AB">
      <w:pPr>
        <w:pStyle w:val="Bulletlist1"/>
        <w:rPr>
          <w:noProof/>
        </w:rPr>
      </w:pPr>
      <w:r w:rsidRPr="005E1CF1">
        <w:rPr>
          <w:noProof/>
        </w:rPr>
        <w:t>any constraints (including those coming from the need to meet other legal requirements)</w:t>
      </w:r>
      <w:r w:rsidR="00BA364D">
        <w:rPr>
          <w:noProof/>
        </w:rPr>
        <w:t>;</w:t>
      </w:r>
    </w:p>
    <w:p w14:paraId="260388BD" w14:textId="321FE7EE" w:rsidR="006A2D85" w:rsidRPr="00FF2709" w:rsidRDefault="006A2D85" w:rsidP="000B43AB">
      <w:pPr>
        <w:pStyle w:val="Bulletlist1"/>
        <w:rPr>
          <w:noProof/>
        </w:rPr>
      </w:pPr>
      <w:r w:rsidRPr="005E1CF1">
        <w:rPr>
          <w:noProof/>
        </w:rPr>
        <w:t xml:space="preserve">cross-discipline considerations. </w:t>
      </w:r>
    </w:p>
    <w:p w14:paraId="3CD121DE" w14:textId="7A5451CB" w:rsidR="004A0FFB" w:rsidRPr="0048213E" w:rsidRDefault="004A0FFB" w:rsidP="006935BD">
      <w:pPr>
        <w:pStyle w:val="Heading3"/>
      </w:pPr>
      <w:r w:rsidRPr="0048213E">
        <w:t>How and where a RGP is used</w:t>
      </w:r>
    </w:p>
    <w:p w14:paraId="70A914B2" w14:textId="5510BDDF" w:rsidR="0072379C" w:rsidRDefault="0072379C" w:rsidP="00E77535">
      <w:pPr>
        <w:pStyle w:val="F9-Paragraph"/>
      </w:pPr>
      <w:r>
        <w:t xml:space="preserve">RGP has no legal basis and is not referenced in legislation. </w:t>
      </w:r>
      <w:r w:rsidR="006C5A98">
        <w:t>It is a regulatory policy</w:t>
      </w:r>
      <w:r w:rsidR="00B030B4">
        <w:t xml:space="preserve"> concept.</w:t>
      </w:r>
      <w:r w:rsidR="006C5A98">
        <w:t xml:space="preserve"> </w:t>
      </w:r>
      <w:r>
        <w:t>Therefore, although the regulator’s view of what constitutes RGP is likely to be persuasive in a court case</w:t>
      </w:r>
      <w:r w:rsidR="00BD1941">
        <w:t xml:space="preserve"> as to what was reasonably practicable, </w:t>
      </w:r>
      <w:r>
        <w:t>there is no requirement in law for a dutyholder to apply RGP to a particular situation. Dutyholders are free to choose an alternative approach to RGP, providing they have satisfied the legal requirement of reducing the risk to ALARP.</w:t>
      </w:r>
    </w:p>
    <w:p w14:paraId="46417CC9" w14:textId="2A61EB14" w:rsidR="00FD56B3" w:rsidRDefault="0072379C" w:rsidP="00E77535">
      <w:pPr>
        <w:pStyle w:val="F9-Paragraph"/>
      </w:pPr>
      <w:r>
        <w:lastRenderedPageBreak/>
        <w:t>The concept of RGP is less helpful for novel or unusual circumstances</w:t>
      </w:r>
      <w:r w:rsidR="00FD56B3">
        <w:t>.</w:t>
      </w:r>
      <w:r>
        <w:t xml:space="preserve"> </w:t>
      </w:r>
      <w:r w:rsidR="00390760">
        <w:br/>
      </w:r>
      <w:r>
        <w:t xml:space="preserve">In these cases, RGP is </w:t>
      </w:r>
      <w:r w:rsidR="00F70B90">
        <w:t xml:space="preserve">usually </w:t>
      </w:r>
      <w:r>
        <w:t xml:space="preserve">only a starting point for a more detailed demonstration by the dutyholder against the </w:t>
      </w:r>
      <w:r w:rsidR="003817E5">
        <w:t>ALARP requirement</w:t>
      </w:r>
      <w:r>
        <w:t xml:space="preserve">. Whilst any available RGP should still be used as a starting point, the dutyholder may be able to demonstrate an </w:t>
      </w:r>
      <w:r w:rsidR="002E7B69">
        <w:t>alternative approach</w:t>
      </w:r>
      <w:r>
        <w:t xml:space="preserve"> in the specific circumstances. </w:t>
      </w:r>
    </w:p>
    <w:p w14:paraId="745D9D36" w14:textId="6C64BC21" w:rsidR="0072379C" w:rsidRDefault="0072379C" w:rsidP="00E77535">
      <w:pPr>
        <w:pStyle w:val="F9-Paragraph"/>
      </w:pPr>
      <w:r>
        <w:t>ONR’s Tolerability of Risk (TOR) policy (refer to Section</w:t>
      </w:r>
      <w:r w:rsidR="005E732F">
        <w:t xml:space="preserve"> </w:t>
      </w:r>
      <w:r w:rsidR="003242DF">
        <w:fldChar w:fldCharType="begin"/>
      </w:r>
      <w:r w:rsidR="003242DF">
        <w:instrText xml:space="preserve"> REF _Ref212016767 \r \h </w:instrText>
      </w:r>
      <w:r w:rsidR="003242DF">
        <w:fldChar w:fldCharType="separate"/>
      </w:r>
      <w:r w:rsidR="003242DF">
        <w:rPr>
          <w:cs/>
        </w:rPr>
        <w:t>‎</w:t>
      </w:r>
      <w:r w:rsidR="003242DF">
        <w:t>5.4</w:t>
      </w:r>
      <w:r w:rsidR="003242DF">
        <w:fldChar w:fldCharType="end"/>
      </w:r>
      <w:r>
        <w:t xml:space="preserve">) </w:t>
      </w:r>
      <w:r w:rsidR="004D3B6C">
        <w:t>leads us to undertake</w:t>
      </w:r>
      <w:r>
        <w:t xml:space="preserve"> a more detailed exploration of ALARP justifications</w:t>
      </w:r>
      <w:r w:rsidR="002531E6">
        <w:t xml:space="preserve"> </w:t>
      </w:r>
      <w:r>
        <w:t xml:space="preserve">in </w:t>
      </w:r>
      <w:r w:rsidR="00CB7598">
        <w:t xml:space="preserve">high risk </w:t>
      </w:r>
      <w:r>
        <w:t>situations, especially where the underlying risks are at the ‘intolerable’ region in the TOR framework.</w:t>
      </w:r>
    </w:p>
    <w:p w14:paraId="4AD7ADEA" w14:textId="35BB48A5" w:rsidR="004A0FFB" w:rsidRPr="0048213E" w:rsidRDefault="004A0FFB" w:rsidP="006935BD">
      <w:pPr>
        <w:pStyle w:val="Heading3"/>
      </w:pPr>
      <w:r w:rsidRPr="0048213E">
        <w:t>Determining RGP</w:t>
      </w:r>
    </w:p>
    <w:p w14:paraId="5CF89BF3" w14:textId="7BE3E5D9" w:rsidR="001A5D12" w:rsidRDefault="00914CA9" w:rsidP="00E77535">
      <w:pPr>
        <w:pStyle w:val="F9-Paragraph"/>
      </w:pPr>
      <w:r w:rsidRPr="00914CA9">
        <w:t>Regulators like ONR determine what is considered RGP in specific situations, guiding</w:t>
      </w:r>
      <w:r w:rsidR="00800076">
        <w:t xml:space="preserve"> our</w:t>
      </w:r>
      <w:r w:rsidRPr="00914CA9">
        <w:t xml:space="preserve"> regulatory decisions</w:t>
      </w:r>
      <w:r w:rsidR="00A53A59">
        <w:t xml:space="preserve">, but it </w:t>
      </w:r>
      <w:r w:rsidR="00044091">
        <w:t>is</w:t>
      </w:r>
      <w:r w:rsidR="006A0FD2">
        <w:t xml:space="preserve"> ultimately</w:t>
      </w:r>
      <w:r w:rsidR="00044091">
        <w:t xml:space="preserve"> </w:t>
      </w:r>
      <w:r w:rsidR="006A0FD2">
        <w:t xml:space="preserve">only </w:t>
      </w:r>
      <w:r w:rsidR="00044091">
        <w:t xml:space="preserve">through the </w:t>
      </w:r>
      <w:r w:rsidRPr="00914CA9">
        <w:t>court</w:t>
      </w:r>
      <w:r w:rsidR="00044091">
        <w:t>s</w:t>
      </w:r>
      <w:r w:rsidRPr="00914CA9">
        <w:t xml:space="preserve"> or </w:t>
      </w:r>
      <w:r w:rsidR="007A5ECA">
        <w:t xml:space="preserve">a </w:t>
      </w:r>
      <w:r w:rsidRPr="00914CA9">
        <w:t>judicial review</w:t>
      </w:r>
      <w:r w:rsidR="007A5ECA">
        <w:t xml:space="preserve"> </w:t>
      </w:r>
      <w:r w:rsidR="00044091">
        <w:t xml:space="preserve">in which </w:t>
      </w:r>
      <w:r w:rsidRPr="00914CA9">
        <w:t xml:space="preserve">the final decision on whether a dutyholder has reduced risks to ALARP </w:t>
      </w:r>
      <w:r w:rsidR="00467711">
        <w:t xml:space="preserve">in any particular case </w:t>
      </w:r>
      <w:r w:rsidRPr="00914CA9">
        <w:t>would be determined</w:t>
      </w:r>
      <w:r w:rsidR="001077B5">
        <w:t>, if and when that happens</w:t>
      </w:r>
      <w:r w:rsidR="007A5ECA">
        <w:t xml:space="preserve"> (and thus would then effectively </w:t>
      </w:r>
      <w:r w:rsidR="002168B3">
        <w:t>define the RGP i</w:t>
      </w:r>
      <w:r w:rsidR="00D74192">
        <w:t>n th</w:t>
      </w:r>
      <w:r w:rsidR="00467711">
        <w:t>ose circumstances</w:t>
      </w:r>
      <w:r w:rsidR="00D74192">
        <w:t>).</w:t>
      </w:r>
    </w:p>
    <w:p w14:paraId="1778E1B6" w14:textId="79EF6C91" w:rsidR="00FC48A5" w:rsidRDefault="00DE137E" w:rsidP="00E77535">
      <w:pPr>
        <w:pStyle w:val="F9-Paragraph"/>
      </w:pPr>
      <w:r>
        <w:t xml:space="preserve">Nevertheless, </w:t>
      </w:r>
      <w:r w:rsidR="00D20688">
        <w:t xml:space="preserve">a </w:t>
      </w:r>
      <w:r>
        <w:t>d</w:t>
      </w:r>
      <w:r w:rsidR="00914CA9" w:rsidRPr="00914CA9">
        <w:t xml:space="preserve">utyholder </w:t>
      </w:r>
      <w:r>
        <w:t>may wish to</w:t>
      </w:r>
      <w:r w:rsidR="00914CA9" w:rsidRPr="00914CA9">
        <w:t xml:space="preserve"> consider what </w:t>
      </w:r>
      <w:r w:rsidR="004711D9">
        <w:t xml:space="preserve">it </w:t>
      </w:r>
      <w:r w:rsidR="00914CA9" w:rsidRPr="00914CA9">
        <w:t>deem</w:t>
      </w:r>
      <w:r w:rsidR="004711D9">
        <w:t>s</w:t>
      </w:r>
      <w:r w:rsidR="00914CA9" w:rsidRPr="00914CA9">
        <w:t xml:space="preserve"> to be RGP </w:t>
      </w:r>
      <w:r w:rsidR="00123D1F">
        <w:t>when considering what is reasonably practicable</w:t>
      </w:r>
      <w:r w:rsidR="00914CA9" w:rsidRPr="00914CA9">
        <w:t>.</w:t>
      </w:r>
    </w:p>
    <w:p w14:paraId="0435BA72" w14:textId="6D672EE5" w:rsidR="004A0FFB" w:rsidRPr="00914CA9" w:rsidRDefault="00914CA9" w:rsidP="00E77535">
      <w:pPr>
        <w:pStyle w:val="F9-Paragraph"/>
      </w:pPr>
      <w:r w:rsidRPr="00914CA9">
        <w:t>RGP standards may evolve due to increased</w:t>
      </w:r>
      <w:r w:rsidR="00C567AB">
        <w:t xml:space="preserve"> </w:t>
      </w:r>
      <w:r w:rsidRPr="00914CA9">
        <w:t>knowledge</w:t>
      </w:r>
      <w:r w:rsidR="00C567AB">
        <w:t xml:space="preserve"> about hazards</w:t>
      </w:r>
      <w:r w:rsidRPr="00914CA9">
        <w:t xml:space="preserve">, changes in </w:t>
      </w:r>
      <w:r w:rsidR="001A5D12">
        <w:t>acceptability of risk controls</w:t>
      </w:r>
      <w:r w:rsidRPr="00914CA9">
        <w:t xml:space="preserve">, new legislation, or technological innovations. Therefore, </w:t>
      </w:r>
      <w:r w:rsidR="00BF4258">
        <w:t>RGP needs to be reviewed regularly</w:t>
      </w:r>
      <w:r w:rsidRPr="00914CA9">
        <w:t>.</w:t>
      </w:r>
    </w:p>
    <w:p w14:paraId="1C3E5FC3" w14:textId="7709ED84" w:rsidR="004A0FFB" w:rsidRPr="0048213E" w:rsidRDefault="004A0FFB" w:rsidP="006935BD">
      <w:pPr>
        <w:pStyle w:val="Heading3"/>
      </w:pPr>
      <w:r w:rsidRPr="0048213E">
        <w:t>Sources of RGP</w:t>
      </w:r>
    </w:p>
    <w:p w14:paraId="2C13D6F8" w14:textId="607D6645" w:rsidR="001A5D12" w:rsidRDefault="001A5D12" w:rsidP="00FD1DA9">
      <w:pPr>
        <w:pStyle w:val="F9-Paragraph"/>
      </w:pPr>
      <w:r w:rsidRPr="001A5D12">
        <w:t>There are several</w:t>
      </w:r>
      <w:r w:rsidR="009D178A">
        <w:t xml:space="preserve"> key</w:t>
      </w:r>
      <w:r w:rsidRPr="001A5D12">
        <w:t xml:space="preserve"> sources of RGP</w:t>
      </w:r>
      <w:r w:rsidR="009D178A">
        <w:t>. These can be summarised as follow</w:t>
      </w:r>
      <w:r w:rsidR="00367151">
        <w:t>s</w:t>
      </w:r>
      <w:r w:rsidR="009D178A">
        <w:t xml:space="preserve">, in order of the significance of the </w:t>
      </w:r>
      <w:r w:rsidR="00FD1DA9">
        <w:t>source and the likely weight that it would carry in court</w:t>
      </w:r>
      <w:r w:rsidR="002962A5">
        <w:t>:</w:t>
      </w:r>
    </w:p>
    <w:p w14:paraId="65557DA4" w14:textId="4EA0D511" w:rsidR="001A5D12" w:rsidRPr="0048213E" w:rsidRDefault="001A5D12" w:rsidP="000B43AB">
      <w:pPr>
        <w:pStyle w:val="Bulletlist1"/>
        <w:rPr>
          <w:noProof/>
        </w:rPr>
      </w:pPr>
      <w:r w:rsidRPr="0048213E">
        <w:rPr>
          <w:b/>
          <w:noProof/>
        </w:rPr>
        <w:t>Approved Codes of Practice (ACoPs)</w:t>
      </w:r>
      <w:r w:rsidRPr="0048213E">
        <w:rPr>
          <w:noProof/>
        </w:rPr>
        <w:t xml:space="preserve">: </w:t>
      </w:r>
      <w:r w:rsidR="00AB7DAB">
        <w:rPr>
          <w:noProof/>
        </w:rPr>
        <w:t>these c</w:t>
      </w:r>
      <w:r w:rsidRPr="0048213E">
        <w:rPr>
          <w:noProof/>
        </w:rPr>
        <w:t xml:space="preserve">arry the strongest weight with </w:t>
      </w:r>
      <w:r w:rsidR="002962A5">
        <w:rPr>
          <w:noProof/>
        </w:rPr>
        <w:t xml:space="preserve">a </w:t>
      </w:r>
      <w:r w:rsidRPr="0048213E">
        <w:rPr>
          <w:noProof/>
        </w:rPr>
        <w:t>special legal status</w:t>
      </w:r>
      <w:r w:rsidR="00473339">
        <w:rPr>
          <w:rStyle w:val="FootnoteReference"/>
          <w:noProof/>
        </w:rPr>
        <w:footnoteReference w:id="7"/>
      </w:r>
      <w:r w:rsidRPr="0048213E">
        <w:rPr>
          <w:noProof/>
        </w:rPr>
        <w:t>.</w:t>
      </w:r>
    </w:p>
    <w:p w14:paraId="6511443B" w14:textId="5C29056C" w:rsidR="001A5D12" w:rsidRPr="0048213E" w:rsidRDefault="001A5D12" w:rsidP="000B43AB">
      <w:pPr>
        <w:pStyle w:val="Bulletlist1"/>
        <w:rPr>
          <w:noProof/>
        </w:rPr>
      </w:pPr>
      <w:r w:rsidRPr="0048213E">
        <w:rPr>
          <w:b/>
          <w:noProof/>
        </w:rPr>
        <w:t>Published regulatory guidance</w:t>
      </w:r>
      <w:r w:rsidRPr="0048213E">
        <w:rPr>
          <w:noProof/>
        </w:rPr>
        <w:t xml:space="preserve">: </w:t>
      </w:r>
      <w:r w:rsidR="00AB7DAB">
        <w:rPr>
          <w:noProof/>
        </w:rPr>
        <w:t>these i</w:t>
      </w:r>
      <w:r w:rsidRPr="0048213E">
        <w:rPr>
          <w:noProof/>
        </w:rPr>
        <w:t>nclude ONR Technical Inspection Guid</w:t>
      </w:r>
      <w:r w:rsidR="003242DF">
        <w:rPr>
          <w:noProof/>
        </w:rPr>
        <w:t>es</w:t>
      </w:r>
      <w:r w:rsidRPr="0048213E">
        <w:rPr>
          <w:noProof/>
        </w:rPr>
        <w:t xml:space="preserve"> (TIG</w:t>
      </w:r>
      <w:r w:rsidR="003242DF">
        <w:rPr>
          <w:noProof/>
        </w:rPr>
        <w:t>s</w:t>
      </w:r>
      <w:r w:rsidRPr="0048213E">
        <w:rPr>
          <w:noProof/>
        </w:rPr>
        <w:t>), TAG</w:t>
      </w:r>
      <w:r w:rsidR="003242DF">
        <w:rPr>
          <w:noProof/>
        </w:rPr>
        <w:t>s</w:t>
      </w:r>
      <w:r w:rsidRPr="0048213E">
        <w:rPr>
          <w:noProof/>
        </w:rPr>
        <w:t>, and HSE guidance.</w:t>
      </w:r>
    </w:p>
    <w:p w14:paraId="2B49A3FB" w14:textId="7F6FFD32" w:rsidR="001438FA" w:rsidRPr="0048213E" w:rsidRDefault="001438FA" w:rsidP="000B43AB">
      <w:pPr>
        <w:pStyle w:val="Bulletlist1"/>
        <w:rPr>
          <w:noProof/>
        </w:rPr>
      </w:pPr>
      <w:r w:rsidRPr="0048213E">
        <w:rPr>
          <w:b/>
          <w:noProof/>
        </w:rPr>
        <w:t>Other written sources</w:t>
      </w:r>
      <w:r w:rsidR="00AB7DAB">
        <w:rPr>
          <w:noProof/>
        </w:rPr>
        <w:t xml:space="preserve">: </w:t>
      </w:r>
      <w:r w:rsidRPr="0048213E">
        <w:rPr>
          <w:noProof/>
        </w:rPr>
        <w:t>which may be recognised as good practice, including guidance produced by other government departments and regulators, national and international standard-setting bodies, industry bodies and professional institutes.</w:t>
      </w:r>
    </w:p>
    <w:p w14:paraId="3C172255" w14:textId="4A51340E" w:rsidR="00B56BCD" w:rsidRPr="0048213E" w:rsidRDefault="001A5D12" w:rsidP="000B43AB">
      <w:pPr>
        <w:pStyle w:val="Bulletlist1"/>
        <w:rPr>
          <w:noProof/>
        </w:rPr>
      </w:pPr>
      <w:r w:rsidRPr="0048213E">
        <w:rPr>
          <w:b/>
          <w:noProof/>
        </w:rPr>
        <w:lastRenderedPageBreak/>
        <w:t>Unwritten sources</w:t>
      </w:r>
      <w:r w:rsidRPr="0048213E">
        <w:rPr>
          <w:noProof/>
        </w:rPr>
        <w:t xml:space="preserve">: </w:t>
      </w:r>
      <w:r w:rsidR="00AB7DAB">
        <w:rPr>
          <w:noProof/>
        </w:rPr>
        <w:t>w</w:t>
      </w:r>
      <w:r w:rsidRPr="0048213E">
        <w:rPr>
          <w:noProof/>
        </w:rPr>
        <w:t>ell-established practices across specific industries.</w:t>
      </w:r>
    </w:p>
    <w:p w14:paraId="2864F73B" w14:textId="63DAB794" w:rsidR="006A0CB5" w:rsidRDefault="001A5D12" w:rsidP="00E77535">
      <w:pPr>
        <w:pStyle w:val="F9-Paragraph"/>
      </w:pPr>
      <w:r w:rsidRPr="001A5D12">
        <w:t xml:space="preserve">If industry guidance doesn't </w:t>
      </w:r>
      <w:r w:rsidR="00B56BCD">
        <w:t xml:space="preserve">align with </w:t>
      </w:r>
      <w:r w:rsidRPr="001A5D12">
        <w:t>ONR's</w:t>
      </w:r>
      <w:r w:rsidR="008077A8">
        <w:t xml:space="preserve"> views on</w:t>
      </w:r>
      <w:r w:rsidRPr="001A5D12">
        <w:t xml:space="preserve"> RGP, </w:t>
      </w:r>
      <w:r w:rsidR="005C1336">
        <w:t xml:space="preserve">any difference </w:t>
      </w:r>
      <w:r w:rsidR="00990E49">
        <w:t>should be</w:t>
      </w:r>
      <w:r w:rsidR="005C1336">
        <w:t xml:space="preserve"> noted in </w:t>
      </w:r>
      <w:r w:rsidR="006A0CB5">
        <w:t xml:space="preserve">the </w:t>
      </w:r>
      <w:r w:rsidR="005C1336">
        <w:t>relevant ONR guidanc</w:t>
      </w:r>
      <w:r w:rsidR="00432645">
        <w:t>e</w:t>
      </w:r>
      <w:r w:rsidR="00B15459">
        <w:t xml:space="preserve"> </w:t>
      </w:r>
      <w:r w:rsidR="00656A9A">
        <w:t xml:space="preserve">where possible </w:t>
      </w:r>
      <w:r w:rsidR="00B15459">
        <w:t>and e</w:t>
      </w:r>
      <w:r w:rsidRPr="001A5D12">
        <w:t xml:space="preserve">fforts </w:t>
      </w:r>
      <w:r w:rsidR="00B56BCD">
        <w:t>should be</w:t>
      </w:r>
      <w:r w:rsidRPr="001A5D12">
        <w:t xml:space="preserve"> made to </w:t>
      </w:r>
      <w:r w:rsidR="005C1336">
        <w:t>secure alignment</w:t>
      </w:r>
      <w:r w:rsidRPr="001A5D12">
        <w:t>.</w:t>
      </w:r>
    </w:p>
    <w:p w14:paraId="7EAA3930" w14:textId="01FC1C60" w:rsidR="00216DB3" w:rsidRDefault="001A5D12" w:rsidP="00E77535">
      <w:pPr>
        <w:pStyle w:val="F9-Paragraph"/>
      </w:pPr>
      <w:r w:rsidRPr="001A5D12">
        <w:t>Mixing different standards is discouraged if an applicable</w:t>
      </w:r>
      <w:r w:rsidR="005C1336">
        <w:t xml:space="preserve"> </w:t>
      </w:r>
      <w:r w:rsidR="00FB7827">
        <w:t>all-encompassing</w:t>
      </w:r>
      <w:r w:rsidRPr="001A5D12">
        <w:t xml:space="preserve"> standard exists, especially those set by authoritative bodies like British Standards or </w:t>
      </w:r>
      <w:r w:rsidR="00656A9A">
        <w:t xml:space="preserve">the </w:t>
      </w:r>
      <w:r w:rsidRPr="001A5D12">
        <w:t>IAEA. However, in some cases, combining standards from different sources may be warranted. The key is to ensure the overall outcome meets the ALARP requirement.</w:t>
      </w:r>
    </w:p>
    <w:p w14:paraId="13EE7955" w14:textId="40BBC610" w:rsidR="00B90370" w:rsidRPr="0048213E" w:rsidRDefault="00B90370" w:rsidP="006935BD">
      <w:pPr>
        <w:pStyle w:val="Heading3"/>
      </w:pPr>
      <w:r w:rsidRPr="0048213E">
        <w:t>Replication</w:t>
      </w:r>
    </w:p>
    <w:p w14:paraId="0160BCF7" w14:textId="5393D297" w:rsidR="007A0568" w:rsidRDefault="007A0568" w:rsidP="00E77535">
      <w:pPr>
        <w:pStyle w:val="F9-Paragraph"/>
      </w:pPr>
      <w:r>
        <w:t>Replication involves implementing a design and associated arrangements</w:t>
      </w:r>
      <w:r w:rsidR="00340DFA">
        <w:t xml:space="preserve"> (for example</w:t>
      </w:r>
      <w:r w:rsidR="008676E5">
        <w:t xml:space="preserve"> the</w:t>
      </w:r>
      <w:r w:rsidR="00340DFA">
        <w:t xml:space="preserve"> supply chain)</w:t>
      </w:r>
      <w:r>
        <w:t xml:space="preserve"> in multiple instances, typically in building new nuclear reactors of a specific design over several years.</w:t>
      </w:r>
    </w:p>
    <w:p w14:paraId="7EF92AFD" w14:textId="6222230E" w:rsidR="0055504C" w:rsidRDefault="007A0568" w:rsidP="00E77535">
      <w:pPr>
        <w:pStyle w:val="F9-Paragraph"/>
      </w:pPr>
      <w:r>
        <w:t>Dutyholders must still demonstrate</w:t>
      </w:r>
      <w:r w:rsidR="00D9361D">
        <w:t xml:space="preserve"> that</w:t>
      </w:r>
      <w:r>
        <w:t xml:space="preserve"> risks </w:t>
      </w:r>
      <w:r w:rsidR="00D9361D">
        <w:t xml:space="preserve">are </w:t>
      </w:r>
      <w:r>
        <w:t xml:space="preserve">reduced to ALARP. </w:t>
      </w:r>
      <w:r w:rsidR="001D7024">
        <w:br/>
      </w:r>
      <w:r w:rsidR="00943B70">
        <w:t xml:space="preserve">Nevertheless, ONR recognises that, providing the overall nuclear safety risks are low, timescales are reasonable and a suitable case is made by the dutyholder, then the previous as-built plant can serve as a template for the next-to-be-built plant. In general, this may be achieved without needing to </w:t>
      </w:r>
      <w:r w:rsidR="001D7024">
        <w:br/>
      </w:r>
      <w:r w:rsidR="00943B70">
        <w:t>re-open previously-justified ALARP arguments</w:t>
      </w:r>
      <w:r w:rsidR="00321766">
        <w:t>.</w:t>
      </w:r>
    </w:p>
    <w:p w14:paraId="190F055B" w14:textId="51F8375F" w:rsidR="00053215" w:rsidRDefault="007A0568" w:rsidP="00E77535">
      <w:pPr>
        <w:pStyle w:val="F9-Paragraph"/>
      </w:pPr>
      <w:r>
        <w:t xml:space="preserve">However, learning from previous </w:t>
      </w:r>
      <w:r w:rsidR="00053215">
        <w:t xml:space="preserve">construction, operational experience or location-related differences must also be taken into account </w:t>
      </w:r>
      <w:r w:rsidR="00226EFB">
        <w:t>and may</w:t>
      </w:r>
      <w:r w:rsidR="00F55854">
        <w:t>, if necessary to reduce risks ALARP,</w:t>
      </w:r>
      <w:r w:rsidR="00226EFB">
        <w:t xml:space="preserve"> lead to some changes</w:t>
      </w:r>
      <w:r w:rsidR="00F55854">
        <w:t xml:space="preserve">. </w:t>
      </w:r>
      <w:r w:rsidR="00226EFB">
        <w:t xml:space="preserve"> </w:t>
      </w:r>
    </w:p>
    <w:p w14:paraId="4A1CC38C" w14:textId="1B2EFAFB" w:rsidR="001C2871" w:rsidRPr="00685A66" w:rsidRDefault="007A0568" w:rsidP="00E77535">
      <w:pPr>
        <w:pStyle w:val="F9-Paragraph"/>
      </w:pPr>
      <w:r>
        <w:t>This approach balances ONR's risk-informed and enabling regulation strategy and continuous safety improvement from operating experience, evolving standards, and new technology.</w:t>
      </w:r>
      <w:r w:rsidR="00BF6455">
        <w:t xml:space="preserve"> </w:t>
      </w:r>
      <w:r>
        <w:t>ONR's regulatory strategy on replication at Sizewell C outlines the advantages and limitations of this approach</w:t>
      </w:r>
      <w:r w:rsidR="0060379E">
        <w:t xml:space="preserve"> </w:t>
      </w:r>
      <w:sdt>
        <w:sdtPr>
          <w:id w:val="-121155033"/>
          <w:citation/>
        </w:sdtPr>
        <w:sdtEndPr/>
        <w:sdtContent>
          <w:r w:rsidR="00BA0358">
            <w:fldChar w:fldCharType="begin"/>
          </w:r>
          <w:r w:rsidR="00356B20">
            <w:instrText xml:space="preserve">CITATION ONR231 \l 2057 </w:instrText>
          </w:r>
          <w:r w:rsidR="00BA0358">
            <w:fldChar w:fldCharType="separate"/>
          </w:r>
          <w:r w:rsidR="00356B20">
            <w:rPr>
              <w:noProof/>
            </w:rPr>
            <w:t>[7]</w:t>
          </w:r>
          <w:r w:rsidR="00BA0358">
            <w:fldChar w:fldCharType="end"/>
          </w:r>
        </w:sdtContent>
      </w:sdt>
      <w:r>
        <w:t>.</w:t>
      </w:r>
    </w:p>
    <w:p w14:paraId="630B970E" w14:textId="09F12679" w:rsidR="007E3F73" w:rsidRPr="004C30A9" w:rsidRDefault="00054917" w:rsidP="006935BD">
      <w:pPr>
        <w:pStyle w:val="Heading2"/>
      </w:pPr>
      <w:bookmarkStart w:id="9" w:name="_ONR’s_expectation_of"/>
      <w:bookmarkEnd w:id="9"/>
      <w:r>
        <w:t>ONR’s expectation</w:t>
      </w:r>
      <w:r w:rsidR="00AF4984">
        <w:t xml:space="preserve"> of a dutyholder’s ALARP demonstration</w:t>
      </w:r>
      <w:r w:rsidR="008976EA">
        <w:t xml:space="preserve"> </w:t>
      </w:r>
      <w:r w:rsidR="00495370" w:rsidRPr="004C30A9">
        <w:t xml:space="preserve"> </w:t>
      </w:r>
    </w:p>
    <w:p w14:paraId="4D7C9FB7" w14:textId="613A3982" w:rsidR="00271DA6" w:rsidRPr="00271DA6" w:rsidRDefault="00760F8D" w:rsidP="00E77535">
      <w:pPr>
        <w:pStyle w:val="F9-Paragraph"/>
      </w:pPr>
      <w:r>
        <w:t>There are several f</w:t>
      </w:r>
      <w:r w:rsidR="00271DA6" w:rsidRPr="00271DA6">
        <w:t xml:space="preserve">actors that </w:t>
      </w:r>
      <w:r>
        <w:t>ONR expects dutyholders</w:t>
      </w:r>
      <w:r w:rsidR="00271DA6" w:rsidRPr="00271DA6">
        <w:t xml:space="preserve"> to </w:t>
      </w:r>
      <w:r>
        <w:t xml:space="preserve">have </w:t>
      </w:r>
      <w:r w:rsidR="00271DA6" w:rsidRPr="00271DA6">
        <w:t>consider</w:t>
      </w:r>
      <w:r>
        <w:t>ed</w:t>
      </w:r>
      <w:r w:rsidR="00271DA6" w:rsidRPr="00271DA6">
        <w:t xml:space="preserve"> in developing a balanced approach to reduce risks to ALARP</w:t>
      </w:r>
      <w:r>
        <w:t>.</w:t>
      </w:r>
    </w:p>
    <w:p w14:paraId="5D3D9183" w14:textId="7231C498" w:rsidR="009B0959" w:rsidRDefault="00157A95" w:rsidP="006935BD">
      <w:pPr>
        <w:pStyle w:val="Heading3"/>
      </w:pPr>
      <w:bookmarkStart w:id="10" w:name="_5.2.1._Consideration_of"/>
      <w:bookmarkEnd w:id="10"/>
      <w:r>
        <w:t>Consideration of all</w:t>
      </w:r>
      <w:r w:rsidR="00BF3B2A">
        <w:t xml:space="preserve"> risks</w:t>
      </w:r>
      <w:r w:rsidR="00C071CE">
        <w:t xml:space="preserve"> </w:t>
      </w:r>
    </w:p>
    <w:p w14:paraId="1A0E0407" w14:textId="0658E208" w:rsidR="003556A1" w:rsidRDefault="00A33BE7" w:rsidP="00E77535">
      <w:pPr>
        <w:pStyle w:val="F9-Paragraph"/>
      </w:pPr>
      <w:r>
        <w:t xml:space="preserve">The risk profile of an </w:t>
      </w:r>
      <w:r w:rsidR="005775F7">
        <w:t>nuclear</w:t>
      </w:r>
      <w:r>
        <w:t xml:space="preserve"> site can be complex and often</w:t>
      </w:r>
      <w:r w:rsidRPr="00634589">
        <w:t xml:space="preserve"> include</w:t>
      </w:r>
      <w:r>
        <w:t>s</w:t>
      </w:r>
      <w:r w:rsidRPr="00634589">
        <w:t xml:space="preserve"> a variety of</w:t>
      </w:r>
      <w:r w:rsidR="003556A1">
        <w:t xml:space="preserve"> conventional, radiological </w:t>
      </w:r>
      <w:r w:rsidR="004F04A6">
        <w:t xml:space="preserve">and nuclear hazards, some of which will be encountered often and be well-understood, to those are </w:t>
      </w:r>
      <w:r w:rsidR="00A81DFD">
        <w:t xml:space="preserve">less commonly seen and possibly unique to a particular installation. </w:t>
      </w:r>
    </w:p>
    <w:p w14:paraId="1174D985" w14:textId="77777777" w:rsidR="000B43AB" w:rsidRDefault="000B43AB" w:rsidP="00E77535">
      <w:pPr>
        <w:pStyle w:val="F9-Paragraph"/>
        <w:sectPr w:rsidR="000B43AB" w:rsidSect="007E1540">
          <w:pgSz w:w="11906" w:h="16838" w:code="9"/>
          <w:pgMar w:top="1440" w:right="1440" w:bottom="1440" w:left="1440" w:header="397" w:footer="397" w:gutter="0"/>
          <w:cols w:space="312"/>
          <w:docGrid w:linePitch="360"/>
        </w:sectPr>
      </w:pPr>
    </w:p>
    <w:p w14:paraId="17602A7D" w14:textId="41B40D30" w:rsidR="009A69B0" w:rsidRDefault="00A33BE7" w:rsidP="00E77535">
      <w:pPr>
        <w:pStyle w:val="F9-Paragraph"/>
      </w:pPr>
      <w:r w:rsidRPr="00056C50">
        <w:lastRenderedPageBreak/>
        <w:t>ONR expects dutyholders to</w:t>
      </w:r>
      <w:r w:rsidR="00696D42">
        <w:t>:</w:t>
      </w:r>
    </w:p>
    <w:p w14:paraId="0AA5993D" w14:textId="336ABE22" w:rsidR="00696D42" w:rsidRPr="0048213E" w:rsidRDefault="00696D42" w:rsidP="000B43AB">
      <w:pPr>
        <w:pStyle w:val="Bulletlist1"/>
        <w:rPr>
          <w:noProof/>
        </w:rPr>
      </w:pPr>
      <w:r w:rsidRPr="0048213E">
        <w:rPr>
          <w:noProof/>
        </w:rPr>
        <w:t xml:space="preserve">Consider </w:t>
      </w:r>
      <w:r w:rsidR="006C758C">
        <w:rPr>
          <w:noProof/>
        </w:rPr>
        <w:t>overall</w:t>
      </w:r>
      <w:r w:rsidRPr="0048213E">
        <w:rPr>
          <w:noProof/>
        </w:rPr>
        <w:t xml:space="preserve"> risk of the facility or site as a whole</w:t>
      </w:r>
      <w:r w:rsidR="00E137F4">
        <w:rPr>
          <w:noProof/>
        </w:rPr>
        <w:t>;</w:t>
      </w:r>
    </w:p>
    <w:p w14:paraId="39892280" w14:textId="23629A19" w:rsidR="00D66B47" w:rsidRDefault="00D66B47" w:rsidP="000B43AB">
      <w:pPr>
        <w:pStyle w:val="Bulletlist1"/>
        <w:rPr>
          <w:noProof/>
        </w:rPr>
      </w:pPr>
      <w:r w:rsidRPr="006D4E0F">
        <w:rPr>
          <w:noProof/>
        </w:rPr>
        <w:t>Co</w:t>
      </w:r>
      <w:r>
        <w:rPr>
          <w:noProof/>
        </w:rPr>
        <w:t>nsider all different types of risks: nuclear, radiological and conventional</w:t>
      </w:r>
      <w:r w:rsidR="00E137F4">
        <w:rPr>
          <w:noProof/>
        </w:rPr>
        <w:t>;</w:t>
      </w:r>
    </w:p>
    <w:p w14:paraId="06E44292" w14:textId="05050399" w:rsidR="005C529B" w:rsidRDefault="005C529B" w:rsidP="000B43AB">
      <w:pPr>
        <w:pStyle w:val="Bulletlist1"/>
        <w:rPr>
          <w:noProof/>
        </w:rPr>
      </w:pPr>
      <w:r>
        <w:rPr>
          <w:noProof/>
        </w:rPr>
        <w:t xml:space="preserve">Consider both the </w:t>
      </w:r>
      <w:r w:rsidR="003C31F5">
        <w:rPr>
          <w:noProof/>
        </w:rPr>
        <w:t>short-term and longer-term risk</w:t>
      </w:r>
      <w:r w:rsidR="00E137F4">
        <w:rPr>
          <w:noProof/>
        </w:rPr>
        <w:t>;</w:t>
      </w:r>
    </w:p>
    <w:p w14:paraId="4F462F05" w14:textId="3FA2287C" w:rsidR="003C31F5" w:rsidRDefault="003C31F5" w:rsidP="000B43AB">
      <w:pPr>
        <w:pStyle w:val="Bulletlist1"/>
        <w:rPr>
          <w:noProof/>
        </w:rPr>
      </w:pPr>
      <w:r>
        <w:rPr>
          <w:noProof/>
        </w:rPr>
        <w:t>Consider the different groups exposed to the risk (</w:t>
      </w:r>
      <w:r w:rsidR="005468CE">
        <w:rPr>
          <w:noProof/>
        </w:rPr>
        <w:t>different worker groups and the public)</w:t>
      </w:r>
      <w:r w:rsidR="00E137F4">
        <w:rPr>
          <w:noProof/>
        </w:rPr>
        <w:t>;</w:t>
      </w:r>
    </w:p>
    <w:p w14:paraId="19772515" w14:textId="54D9737B" w:rsidR="00A33BE7" w:rsidRDefault="003E36B0" w:rsidP="000B43AB">
      <w:pPr>
        <w:pStyle w:val="Bulletlist1"/>
      </w:pPr>
      <w:r>
        <w:rPr>
          <w:noProof/>
        </w:rPr>
        <w:t xml:space="preserve">Consider how risk reduction measures can change risk – potentially even presenting new </w:t>
      </w:r>
      <w:r w:rsidR="00D22F58">
        <w:rPr>
          <w:noProof/>
        </w:rPr>
        <w:t xml:space="preserve">or different risks </w:t>
      </w:r>
      <w:r w:rsidR="00445C30">
        <w:rPr>
          <w:noProof/>
        </w:rPr>
        <w:t>(for example,</w:t>
      </w:r>
      <w:r w:rsidR="00D22F58">
        <w:rPr>
          <w:noProof/>
        </w:rPr>
        <w:t xml:space="preserve"> due to spurious activation of a safety measure)</w:t>
      </w:r>
      <w:r w:rsidR="00E137F4" w:rsidRPr="00EE790A">
        <w:rPr>
          <w:noProof/>
        </w:rPr>
        <w:t>.</w:t>
      </w:r>
    </w:p>
    <w:p w14:paraId="5F654A23" w14:textId="51F56D2C" w:rsidR="003C0D9F" w:rsidRPr="00056C50" w:rsidRDefault="00A33BE7" w:rsidP="00E77535">
      <w:pPr>
        <w:pStyle w:val="F9-Paragraph"/>
      </w:pPr>
      <w:r w:rsidRPr="00056C50">
        <w:t xml:space="preserve">Sites in close proximity </w:t>
      </w:r>
      <w:r>
        <w:t>should</w:t>
      </w:r>
      <w:r w:rsidRPr="00056C50">
        <w:t xml:space="preserve"> consider the risks they pose to each other in their assessments. ONR recognises that</w:t>
      </w:r>
      <w:r w:rsidR="00F659C8">
        <w:t xml:space="preserve"> a</w:t>
      </w:r>
      <w:r w:rsidRPr="00056C50">
        <w:t xml:space="preserve"> </w:t>
      </w:r>
      <w:r w:rsidR="00F659C8" w:rsidRPr="00056C50">
        <w:t>dutyholder</w:t>
      </w:r>
      <w:r w:rsidR="00F659C8">
        <w:t>’s</w:t>
      </w:r>
      <w:r w:rsidR="00C22932">
        <w:t xml:space="preserve"> </w:t>
      </w:r>
      <w:r w:rsidR="006F4472">
        <w:t>legal obligation</w:t>
      </w:r>
      <w:r w:rsidRPr="00056C50">
        <w:t xml:space="preserve"> is limited to </w:t>
      </w:r>
      <w:r w:rsidR="00C22932">
        <w:t>its</w:t>
      </w:r>
      <w:r w:rsidR="00C22932" w:rsidRPr="00056C50">
        <w:t xml:space="preserve"> </w:t>
      </w:r>
      <w:r w:rsidRPr="00056C50">
        <w:t>undertaking</w:t>
      </w:r>
      <w:r w:rsidR="006F4472">
        <w:t>. F</w:t>
      </w:r>
      <w:r w:rsidR="005B779C" w:rsidRPr="005B779C">
        <w:t xml:space="preserve">or example, the ALARP justification for Site A (such as in arguing a further risk control measure is not reasonably practicable) should not include the sacrifice born by Site B in controlling the </w:t>
      </w:r>
      <w:r w:rsidR="005B3AE2">
        <w:t xml:space="preserve">any </w:t>
      </w:r>
      <w:r w:rsidR="005B779C" w:rsidRPr="005B779C">
        <w:t xml:space="preserve">resulting risk on its site. In such cases, care must be exercised by both dutyholders in determining the boundaries of their legal duties and developing the appropriate independent ALARP justifications. A combined ALARP justification on shared risk reduction sacrifices can only be made if the sites are within the same legal entity </w:t>
      </w:r>
      <w:r w:rsidR="00230D85">
        <w:t>(</w:t>
      </w:r>
      <w:r w:rsidR="005B779C" w:rsidRPr="005B779C">
        <w:t>i.e.</w:t>
      </w:r>
      <w:r w:rsidR="001D7024">
        <w:t>,</w:t>
      </w:r>
      <w:r w:rsidR="005B779C" w:rsidRPr="005B779C">
        <w:t xml:space="preserve"> owned by the same operating company</w:t>
      </w:r>
      <w:r w:rsidR="00230D85">
        <w:t>)</w:t>
      </w:r>
      <w:r w:rsidR="005B779C" w:rsidRPr="005B779C">
        <w:t xml:space="preserve">. ONR inspectors considering such situations should seek specialist advice in </w:t>
      </w:r>
      <w:r w:rsidR="004E6288">
        <w:t>regulating such situations</w:t>
      </w:r>
      <w:r w:rsidR="005B779C" w:rsidRPr="005B779C">
        <w:t>.</w:t>
      </w:r>
    </w:p>
    <w:p w14:paraId="5DD08DF7" w14:textId="6B9502F1" w:rsidR="00A33BE7" w:rsidRDefault="00A33BE7" w:rsidP="00E77535">
      <w:pPr>
        <w:pStyle w:val="F9-Paragraph"/>
      </w:pPr>
      <w:r w:rsidRPr="0086253E">
        <w:t xml:space="preserve">Dutyholders should also consider </w:t>
      </w:r>
      <w:r w:rsidR="004E6288">
        <w:t xml:space="preserve">all </w:t>
      </w:r>
      <w:r w:rsidRPr="0086253E">
        <w:t>relevant legislation when determining the optimised option to reduce risks. The term ‘optimisation’ is used to refer to the level of protection that meets the legal requirements of ALARP and legal requirements such as Best Available Techniques (BAT)</w:t>
      </w:r>
      <w:r w:rsidR="001D7024">
        <w:t xml:space="preserve"> </w:t>
      </w:r>
      <w:r w:rsidRPr="0086253E">
        <w:t>/</w:t>
      </w:r>
      <w:r w:rsidR="001D7024">
        <w:t xml:space="preserve"> </w:t>
      </w:r>
      <w:r w:rsidRPr="0086253E">
        <w:t>Best Practicable Means (BPM)</w:t>
      </w:r>
      <w:r w:rsidR="00BE1FBD">
        <w:t xml:space="preserve"> or those in security or safeguards.</w:t>
      </w:r>
      <w:r w:rsidRPr="0086253E">
        <w:t xml:space="preserve"> Optimisation is also the term used </w:t>
      </w:r>
      <w:r w:rsidRPr="00715895">
        <w:t>in the IAEA Safety Fundamentals</w:t>
      </w:r>
      <w:r w:rsidR="003154FC">
        <w:t>,</w:t>
      </w:r>
      <w:r w:rsidRPr="00715895">
        <w:t xml:space="preserve"> Principle 5 which states</w:t>
      </w:r>
      <w:r>
        <w:t>:</w:t>
      </w:r>
      <w:r w:rsidRPr="00715895">
        <w:t xml:space="preserve"> </w:t>
      </w:r>
    </w:p>
    <w:p w14:paraId="24E3234F" w14:textId="266796E9" w:rsidR="00A33BE7" w:rsidRPr="00B24791" w:rsidRDefault="00A33BE7" w:rsidP="00A33BE7">
      <w:pPr>
        <w:pStyle w:val="QuoteText"/>
      </w:pPr>
      <w:r w:rsidRPr="00715895">
        <w:t>‘protection must be optimised to provide the highest level of</w:t>
      </w:r>
      <w:r>
        <w:t xml:space="preserve"> safety that can reasonably be achieved.’ </w:t>
      </w:r>
      <w:sdt>
        <w:sdtPr>
          <w:id w:val="181561964"/>
          <w:citation/>
        </w:sdtPr>
        <w:sdtEndPr/>
        <w:sdtContent>
          <w:r w:rsidR="006B1CB3">
            <w:fldChar w:fldCharType="begin"/>
          </w:r>
          <w:r w:rsidR="006B1CB3">
            <w:instrText xml:space="preserve"> CITATION IAE06 \l 2057 </w:instrText>
          </w:r>
          <w:r w:rsidR="006B1CB3">
            <w:fldChar w:fldCharType="separate"/>
          </w:r>
          <w:r w:rsidR="00F53898" w:rsidRPr="00F53898">
            <w:rPr>
              <w:noProof/>
            </w:rPr>
            <w:t>[8]</w:t>
          </w:r>
          <w:r w:rsidR="006B1CB3">
            <w:fldChar w:fldCharType="end"/>
          </w:r>
        </w:sdtContent>
      </w:sdt>
    </w:p>
    <w:p w14:paraId="38CE5ABA" w14:textId="2CCB9955" w:rsidR="00A33BE7" w:rsidRPr="00B24791" w:rsidRDefault="00A33BE7" w:rsidP="00E77535">
      <w:pPr>
        <w:pStyle w:val="F9-Paragraph"/>
        <w:rPr>
          <w:rFonts w:eastAsia="Calibri"/>
        </w:rPr>
      </w:pPr>
      <w:r w:rsidRPr="00056C50">
        <w:t xml:space="preserve">ONR inspectors </w:t>
      </w:r>
      <w:r w:rsidR="002D0A3F">
        <w:t xml:space="preserve">should </w:t>
      </w:r>
      <w:r w:rsidRPr="00056C50">
        <w:t xml:space="preserve">work together to make their judgements, and </w:t>
      </w:r>
      <w:r w:rsidR="002F5553">
        <w:t>inspectors</w:t>
      </w:r>
      <w:r w:rsidR="002F5553" w:rsidRPr="00056C50">
        <w:t xml:space="preserve"> </w:t>
      </w:r>
      <w:r w:rsidR="002D0A3F">
        <w:t xml:space="preserve">should </w:t>
      </w:r>
      <w:r w:rsidR="00FD72C7">
        <w:t xml:space="preserve">engage </w:t>
      </w:r>
      <w:r w:rsidRPr="00056C50">
        <w:t xml:space="preserve">with </w:t>
      </w:r>
      <w:r w:rsidR="00F42AF5">
        <w:t xml:space="preserve">the relevant external regulators, such as the </w:t>
      </w:r>
      <w:r w:rsidRPr="00056C50">
        <w:t>environmental agencies</w:t>
      </w:r>
      <w:r w:rsidR="00F42AF5">
        <w:t>,</w:t>
      </w:r>
      <w:r w:rsidRPr="00056C50">
        <w:t xml:space="preserve"> to ensure </w:t>
      </w:r>
      <w:r w:rsidR="00A817C9">
        <w:t>sound</w:t>
      </w:r>
      <w:r w:rsidR="00A817C9" w:rsidRPr="00056C50">
        <w:t xml:space="preserve"> </w:t>
      </w:r>
      <w:r w:rsidRPr="00056C50">
        <w:t>regulatory decisions.</w:t>
      </w:r>
    </w:p>
    <w:p w14:paraId="72DF4632" w14:textId="77777777" w:rsidR="000B43AB" w:rsidRDefault="000B43AB" w:rsidP="006935BD">
      <w:pPr>
        <w:pStyle w:val="Heading3"/>
        <w:sectPr w:rsidR="000B43AB" w:rsidSect="007E1540">
          <w:pgSz w:w="11906" w:h="16838" w:code="9"/>
          <w:pgMar w:top="1440" w:right="1440" w:bottom="1440" w:left="1440" w:header="397" w:footer="397" w:gutter="0"/>
          <w:cols w:space="312"/>
          <w:docGrid w:linePitch="360"/>
        </w:sectPr>
      </w:pPr>
      <w:bookmarkStart w:id="11" w:name="_5.2.2._Consideration_of"/>
      <w:bookmarkEnd w:id="11"/>
    </w:p>
    <w:p w14:paraId="5F7B60EB" w14:textId="1147DC23" w:rsidR="00A33BE7" w:rsidRPr="001D02BC" w:rsidRDefault="00A33BE7" w:rsidP="006935BD">
      <w:pPr>
        <w:pStyle w:val="Heading3"/>
      </w:pPr>
      <w:r w:rsidRPr="001D02BC">
        <w:lastRenderedPageBreak/>
        <w:t>Consideration of lifecycles and changes</w:t>
      </w:r>
    </w:p>
    <w:p w14:paraId="1B41FEED" w14:textId="6C73747D" w:rsidR="00A33BE7" w:rsidRPr="002416F4" w:rsidRDefault="00A33BE7" w:rsidP="00E77535">
      <w:pPr>
        <w:pStyle w:val="F9-Paragraph"/>
      </w:pPr>
      <w:r w:rsidRPr="002416F4">
        <w:rPr>
          <w:rFonts w:eastAsia="Calibri"/>
        </w:rPr>
        <w:t xml:space="preserve">The risk profile of an ONR-regulated site changes over its lifecycle, as operations and activities vary with each stage. For example, </w:t>
      </w:r>
      <w:r w:rsidR="00CD4D03">
        <w:rPr>
          <w:rFonts w:eastAsia="Calibri"/>
        </w:rPr>
        <w:t xml:space="preserve">conventional </w:t>
      </w:r>
      <w:r w:rsidRPr="002416F4">
        <w:rPr>
          <w:rFonts w:eastAsia="Calibri"/>
        </w:rPr>
        <w:t xml:space="preserve">health and safety risks </w:t>
      </w:r>
      <w:r w:rsidR="00CD4D03">
        <w:rPr>
          <w:rFonts w:eastAsia="Calibri"/>
        </w:rPr>
        <w:t>may be</w:t>
      </w:r>
      <w:r w:rsidRPr="002416F4">
        <w:rPr>
          <w:rFonts w:eastAsia="Calibri"/>
        </w:rPr>
        <w:t xml:space="preserve"> higher during construction</w:t>
      </w:r>
      <w:r w:rsidR="00CD4D03">
        <w:rPr>
          <w:rFonts w:eastAsia="Calibri"/>
        </w:rPr>
        <w:t xml:space="preserve"> or outages</w:t>
      </w:r>
      <w:r w:rsidRPr="002416F4">
        <w:rPr>
          <w:rFonts w:eastAsia="Calibri"/>
        </w:rPr>
        <w:t xml:space="preserve">, while nuclear safety risks </w:t>
      </w:r>
      <w:r w:rsidR="00CD4D03">
        <w:rPr>
          <w:rFonts w:eastAsia="Calibri"/>
        </w:rPr>
        <w:t xml:space="preserve">may be </w:t>
      </w:r>
      <w:r w:rsidRPr="002416F4">
        <w:rPr>
          <w:rFonts w:eastAsia="Calibri"/>
        </w:rPr>
        <w:t>higher during operation. Dutyholders are expected consider these changes in their risk assessments.</w:t>
      </w:r>
    </w:p>
    <w:p w14:paraId="4DDD7E9F" w14:textId="7DE13727" w:rsidR="00A33BE7" w:rsidRPr="002416F4" w:rsidRDefault="00A33BE7" w:rsidP="00E77535">
      <w:pPr>
        <w:pStyle w:val="F9-Paragraph"/>
      </w:pPr>
      <w:r w:rsidRPr="002416F4">
        <w:t xml:space="preserve">The Construction (Design and Management) Regulations 2015 (CDM15) apply to all construction projects from concept to completion. Notably, the application of the principles of prevention to reduce </w:t>
      </w:r>
      <w:r w:rsidR="00335907">
        <w:t xml:space="preserve">the </w:t>
      </w:r>
      <w:r w:rsidRPr="002416F4">
        <w:t>risks arising from construction activities to ALARP during different stages of a construction project, in particular during the design phase. More details can be found in ONR's TIG on CDM15</w:t>
      </w:r>
      <w:r w:rsidR="008C2A83">
        <w:t xml:space="preserve"> </w:t>
      </w:r>
      <w:sdt>
        <w:sdtPr>
          <w:id w:val="184411798"/>
          <w:citation/>
        </w:sdtPr>
        <w:sdtEndPr/>
        <w:sdtContent>
          <w:r w:rsidR="00C52624">
            <w:fldChar w:fldCharType="begin"/>
          </w:r>
          <w:r w:rsidR="00356B20">
            <w:instrText xml:space="preserve">CITATION ONR3 \l 2057 </w:instrText>
          </w:r>
          <w:r w:rsidR="00C52624">
            <w:fldChar w:fldCharType="separate"/>
          </w:r>
          <w:r w:rsidR="00356B20">
            <w:rPr>
              <w:noProof/>
            </w:rPr>
            <w:t>[9]</w:t>
          </w:r>
          <w:r w:rsidR="00C52624">
            <w:fldChar w:fldCharType="end"/>
          </w:r>
        </w:sdtContent>
      </w:sdt>
      <w:r w:rsidRPr="002416F4">
        <w:t xml:space="preserve">.  </w:t>
      </w:r>
    </w:p>
    <w:p w14:paraId="454F8043" w14:textId="3D8CF5D8" w:rsidR="00A33BE7" w:rsidRPr="002416F4" w:rsidRDefault="00A33BE7" w:rsidP="00E77535">
      <w:pPr>
        <w:pStyle w:val="F9-Paragraph"/>
      </w:pPr>
      <w:r w:rsidRPr="002416F4">
        <w:t xml:space="preserve">Dutyholders may need to consider different </w:t>
      </w:r>
      <w:r w:rsidR="008F4B66">
        <w:t xml:space="preserve">design and risk reduction </w:t>
      </w:r>
      <w:r w:rsidRPr="002416F4">
        <w:t xml:space="preserve">options at various project stages, a process known as 'optioneering'. More details </w:t>
      </w:r>
      <w:r w:rsidR="006B1CB3">
        <w:t>can be found</w:t>
      </w:r>
      <w:r w:rsidRPr="002416F4">
        <w:t xml:space="preserve"> in </w:t>
      </w:r>
      <w:r w:rsidRPr="00F60A26">
        <w:t>Appendix 3.</w:t>
      </w:r>
    </w:p>
    <w:p w14:paraId="15F876C4" w14:textId="6F713460" w:rsidR="00A33BE7" w:rsidRPr="002416F4" w:rsidRDefault="00A33BE7" w:rsidP="00E77535">
      <w:pPr>
        <w:pStyle w:val="F9-Paragraph"/>
      </w:pPr>
      <w:r w:rsidRPr="002416F4">
        <w:t xml:space="preserve">ONR expects dutyholders to protect future generations as effectively as the present one. Projects in the nuclear industry often span many years, </w:t>
      </w:r>
      <w:r w:rsidR="006C758C">
        <w:t>affecting different populations of people</w:t>
      </w:r>
      <w:r w:rsidRPr="002416F4">
        <w:t>. For such cases, ONR expects dutyholders to assess risks in a holistic manner and not be restricted to part of the overall time period or part of a process.</w:t>
      </w:r>
    </w:p>
    <w:p w14:paraId="77F0EA4F" w14:textId="6647EE52" w:rsidR="00A33BE7" w:rsidRPr="002416F4" w:rsidRDefault="00A33BE7" w:rsidP="00E77535">
      <w:pPr>
        <w:pStyle w:val="F9-Paragraph"/>
        <w:rPr>
          <w:rFonts w:eastAsia="Calibri"/>
        </w:rPr>
      </w:pPr>
      <w:r w:rsidRPr="002416F4">
        <w:t xml:space="preserve">There may be times when risks temporarily increase due to essential actions, such as maintenance, addressing ageing facilities, decommissioning, or emergency conditions. </w:t>
      </w:r>
      <w:r w:rsidR="008A4314">
        <w:t>Such risk increases can still be ALARP providing d</w:t>
      </w:r>
      <w:r w:rsidRPr="002416F4">
        <w:t>utyholders must monitor and control these 'time at risk' situations</w:t>
      </w:r>
      <w:r w:rsidR="008A4314">
        <w:t xml:space="preserve"> properly</w:t>
      </w:r>
      <w:r w:rsidR="00F60A26">
        <w:t xml:space="preserve"> (refer to </w:t>
      </w:r>
      <w:r w:rsidRPr="00F60A26">
        <w:t>Appendix 2</w:t>
      </w:r>
      <w:r w:rsidRPr="002416F4">
        <w:t xml:space="preserve"> </w:t>
      </w:r>
      <w:r w:rsidR="00F60A26">
        <w:t>for</w:t>
      </w:r>
      <w:r w:rsidRPr="002416F4">
        <w:t xml:space="preserve"> more details</w:t>
      </w:r>
      <w:r w:rsidR="00F60A26">
        <w:t>)</w:t>
      </w:r>
      <w:r w:rsidRPr="002416F4">
        <w:t>.</w:t>
      </w:r>
    </w:p>
    <w:p w14:paraId="7059BFDF" w14:textId="5E1D66CE" w:rsidR="00A33BE7" w:rsidRPr="002416F4" w:rsidRDefault="00A33BE7" w:rsidP="006935BD">
      <w:pPr>
        <w:pStyle w:val="Heading3"/>
      </w:pPr>
      <w:r w:rsidRPr="002416F4">
        <w:t>Written assessment of foreseeable risks</w:t>
      </w:r>
    </w:p>
    <w:p w14:paraId="5C4F0B62" w14:textId="062CE3AD" w:rsidR="009E2FEA" w:rsidRPr="002416F4" w:rsidRDefault="009E2FEA" w:rsidP="00E77535">
      <w:pPr>
        <w:pStyle w:val="F9-Paragraph"/>
      </w:pPr>
      <w:r w:rsidRPr="002416F4">
        <w:t>The Management of Health and Safety Regulations 1999 (MHSWR) Regulation 3(6) requires employers with five or more employees to record significant risk assessment findings. For licensees of nuclear installations, LC</w:t>
      </w:r>
      <w:r w:rsidR="005468CE">
        <w:t> </w:t>
      </w:r>
      <w:r w:rsidRPr="002416F4">
        <w:t>23 also requires them to produce an adequate safety case on any operation that may affect safety to demonstrate the safety of that operation and to identify the conditions and limits necessary in the interests of safety.</w:t>
      </w:r>
      <w:r>
        <w:t xml:space="preserve"> </w:t>
      </w:r>
      <w:r w:rsidRPr="002416F4">
        <w:t>Similar requirements are found in other regulations, including IRR17, COSHH, DSEAR, and COMAH.</w:t>
      </w:r>
    </w:p>
    <w:p w14:paraId="31F49D3B" w14:textId="223B3EC8" w:rsidR="00F37A57" w:rsidRDefault="00F37A57" w:rsidP="00E77535">
      <w:pPr>
        <w:pStyle w:val="F9-Paragraph"/>
      </w:pPr>
      <w:r>
        <w:t>We expect risk assessments to:</w:t>
      </w:r>
    </w:p>
    <w:p w14:paraId="1040A8AB" w14:textId="77777777" w:rsidR="00F37A57" w:rsidRDefault="00F37A57" w:rsidP="000B43AB">
      <w:pPr>
        <w:pStyle w:val="Bulletlist1"/>
      </w:pPr>
      <w:r>
        <w:t>Identify hazards and who may be harmed;</w:t>
      </w:r>
    </w:p>
    <w:p w14:paraId="488F2FF8" w14:textId="6A1B79D1" w:rsidR="002615AA" w:rsidRDefault="002615AA" w:rsidP="000B43AB">
      <w:pPr>
        <w:pStyle w:val="Bulletlist1"/>
      </w:pPr>
      <w:r>
        <w:t>Identify the likelihood and consequences of the foreseeable risks;</w:t>
      </w:r>
    </w:p>
    <w:p w14:paraId="1B935F7F" w14:textId="77777777" w:rsidR="00F37A57" w:rsidRDefault="00F37A57" w:rsidP="000B43AB">
      <w:pPr>
        <w:pStyle w:val="Bulletlist1"/>
      </w:pPr>
      <w:r>
        <w:t>Evaluate existing controls and determine if more are needed;</w:t>
      </w:r>
    </w:p>
    <w:p w14:paraId="7FC34786" w14:textId="03271EF8" w:rsidR="00F37A57" w:rsidRDefault="00F37A57" w:rsidP="000B43AB">
      <w:pPr>
        <w:pStyle w:val="Bulletlist1"/>
      </w:pPr>
      <w:r>
        <w:t xml:space="preserve">Be proportionate to the </w:t>
      </w:r>
      <w:r w:rsidR="002615AA">
        <w:t>risk</w:t>
      </w:r>
      <w:r>
        <w:t xml:space="preserve"> level;</w:t>
      </w:r>
    </w:p>
    <w:p w14:paraId="5BBCDCB9" w14:textId="72F0C5A0" w:rsidR="002615AA" w:rsidRDefault="005E5821" w:rsidP="000B43AB">
      <w:pPr>
        <w:pStyle w:val="Bulletlist1"/>
      </w:pPr>
      <w:r>
        <w:lastRenderedPageBreak/>
        <w:t xml:space="preserve">Recognise and take </w:t>
      </w:r>
      <w:r w:rsidR="002615AA">
        <w:t>appropriate account of uncertainty</w:t>
      </w:r>
      <w:r>
        <w:t>;</w:t>
      </w:r>
    </w:p>
    <w:p w14:paraId="019BEF52" w14:textId="77777777" w:rsidR="00F37A57" w:rsidRDefault="00F37A57" w:rsidP="000B43AB">
      <w:pPr>
        <w:pStyle w:val="Bulletlist1"/>
      </w:pPr>
      <w:r>
        <w:t>Be reviewed periodically.</w:t>
      </w:r>
    </w:p>
    <w:p w14:paraId="5638D835" w14:textId="01F5A925" w:rsidR="00F37A57" w:rsidRDefault="00F37A57" w:rsidP="00E77535">
      <w:pPr>
        <w:pStyle w:val="F9-Paragraph"/>
      </w:pPr>
      <w:r w:rsidRPr="00E110A4">
        <w:t>For those risks that are well-known and well-understood, there are often well-established standards for control measures in the form of RGP that the dutyholder may choose to follow</w:t>
      </w:r>
      <w:r>
        <w:t xml:space="preserve">. Where risks are novel or complex, a more detailed, first-principles approach is expected. </w:t>
      </w:r>
      <w:r w:rsidRPr="00FD7A46">
        <w:t xml:space="preserve">There is no </w:t>
      </w:r>
      <w:r w:rsidR="002C1D89">
        <w:t>‘</w:t>
      </w:r>
      <w:r>
        <w:t>one-size-fits-all</w:t>
      </w:r>
      <w:r w:rsidR="002C1D89">
        <w:t>’</w:t>
      </w:r>
      <w:r>
        <w:t xml:space="preserve"> approach to risk assessment</w:t>
      </w:r>
      <w:r w:rsidRPr="00FD7A46">
        <w:t>.</w:t>
      </w:r>
      <w:r>
        <w:t xml:space="preserve"> It is important to note that a written risk assessment by a dutyholder in itself does not necessarily mean it is suitable and sufficient. </w:t>
      </w:r>
    </w:p>
    <w:p w14:paraId="0F009F73" w14:textId="498D79BD" w:rsidR="00F37A57" w:rsidRDefault="00F37A57" w:rsidP="00E77535">
      <w:pPr>
        <w:pStyle w:val="F9-Paragraph"/>
      </w:pPr>
      <w:r w:rsidRPr="005B7A45">
        <w:t>Risks should be reviewed and reduced further if reasonably practicable. Since risk assessment and ALARP duties are ongoing, changes in circumstances can alter risks, their tolerability, and</w:t>
      </w:r>
      <w:r>
        <w:t xml:space="preserve"> the and adequacy of</w:t>
      </w:r>
      <w:r w:rsidRPr="005B7A45">
        <w:t xml:space="preserve"> control measures. Dutyholders should </w:t>
      </w:r>
      <w:r w:rsidR="00A04476">
        <w:t xml:space="preserve">also </w:t>
      </w:r>
      <w:r w:rsidRPr="005B7A45">
        <w:t>periodically revisit risk assessments to ensure they remain suitable and sufficient.</w:t>
      </w:r>
    </w:p>
    <w:p w14:paraId="010C11FF" w14:textId="03BA2359" w:rsidR="00A33BE7" w:rsidRPr="002416F4" w:rsidRDefault="00A33BE7" w:rsidP="00E77535">
      <w:pPr>
        <w:pStyle w:val="F9-Paragraph"/>
      </w:pPr>
      <w:r w:rsidRPr="002416F4">
        <w:t>While there</w:t>
      </w:r>
      <w:r w:rsidR="00D3545B">
        <w:t xml:space="preserve"> i</w:t>
      </w:r>
      <w:r w:rsidRPr="002416F4">
        <w:t xml:space="preserve">s no explicit legal requirement to produce a </w:t>
      </w:r>
      <w:r w:rsidR="00A04476">
        <w:t xml:space="preserve">specific </w:t>
      </w:r>
      <w:r w:rsidRPr="002416F4">
        <w:t>document demonstrating ALARP</w:t>
      </w:r>
      <w:r w:rsidR="00A31CF5">
        <w:t xml:space="preserve">, </w:t>
      </w:r>
      <w:r w:rsidRPr="002416F4">
        <w:t xml:space="preserve">ONR </w:t>
      </w:r>
      <w:r w:rsidR="00203189">
        <w:t xml:space="preserve">still </w:t>
      </w:r>
      <w:r w:rsidRPr="002416F4">
        <w:t>expects dutyholders to be able to provide the relevant evidence captured in a written form</w:t>
      </w:r>
      <w:r w:rsidR="00203189">
        <w:t xml:space="preserve"> as part of a suitable and sufficient safety case (LC23)</w:t>
      </w:r>
      <w:r w:rsidRPr="002416F4">
        <w:t>. In court proceedings, dutyholders would also be asked to present evidence to demonstrate they have reduced risks to ALARP.</w:t>
      </w:r>
    </w:p>
    <w:p w14:paraId="471B0282" w14:textId="77777777" w:rsidR="00A33BE7" w:rsidRPr="00841632" w:rsidRDefault="00A33BE7" w:rsidP="00E77535">
      <w:pPr>
        <w:pStyle w:val="F9-Paragraph"/>
        <w:rPr>
          <w:rFonts w:eastAsia="Calibri"/>
        </w:rPr>
      </w:pPr>
      <w:r w:rsidRPr="002416F4">
        <w:t>Many dutyholders use quantitative risk assessment methodologies in their safety cases. ONR recognises the importance these analyses may have to inform engineering choices and demonstrating the effectiveness of decisions made to reduce risks. ONR considers these analyses when making judgments, for example, against numerical targets in the SAPs.</w:t>
      </w:r>
      <w:r>
        <w:t xml:space="preserve"> </w:t>
      </w:r>
    </w:p>
    <w:p w14:paraId="723C08C5" w14:textId="723BC96C" w:rsidR="00A33BE7" w:rsidRDefault="00A33BE7" w:rsidP="006935BD">
      <w:pPr>
        <w:pStyle w:val="Heading3"/>
      </w:pPr>
      <w:r w:rsidRPr="005F3035">
        <w:t xml:space="preserve">Appropriate use of RGP </w:t>
      </w:r>
    </w:p>
    <w:p w14:paraId="50E4620C" w14:textId="41455465" w:rsidR="00CD36E6" w:rsidRPr="00B469D8" w:rsidRDefault="00A33BE7" w:rsidP="00E77535">
      <w:pPr>
        <w:pStyle w:val="F9-Paragraph"/>
      </w:pPr>
      <w:r w:rsidRPr="00B469D8">
        <w:t xml:space="preserve">When judging if a dutyholder’s evidence shows that risks are reduced to ALARP, ONR </w:t>
      </w:r>
      <w:r w:rsidR="002F6CEC">
        <w:t>will</w:t>
      </w:r>
      <w:r w:rsidR="002F6CEC" w:rsidRPr="00B469D8">
        <w:t xml:space="preserve"> </w:t>
      </w:r>
      <w:r w:rsidRPr="00B469D8">
        <w:t xml:space="preserve">accept the use of RGP if applied appropriately. </w:t>
      </w:r>
      <w:r w:rsidR="000B43AB">
        <w:br/>
      </w:r>
      <w:r w:rsidRPr="00B469D8">
        <w:t>If dutyholders use a different approach, ONR may require evidence that that equivalent outcomes of risk reduction are achieved.</w:t>
      </w:r>
      <w:r w:rsidR="002F6CEC" w:rsidRPr="002F6CEC">
        <w:t xml:space="preserve"> </w:t>
      </w:r>
      <w:r w:rsidR="002F6CEC" w:rsidRPr="00B469D8">
        <w:t>ONR does not usually accept lower protection standards than those achieved by current RGP</w:t>
      </w:r>
      <w:r w:rsidR="00537162">
        <w:t>.</w:t>
      </w:r>
    </w:p>
    <w:p w14:paraId="55C6355E" w14:textId="06388EC6" w:rsidR="00CB06DB" w:rsidRDefault="00AD6934" w:rsidP="00E77535">
      <w:pPr>
        <w:pStyle w:val="F9-Paragraph"/>
      </w:pPr>
      <w:r>
        <w:t>ONR expects</w:t>
      </w:r>
      <w:r w:rsidR="00C67108" w:rsidRPr="00CD36E6">
        <w:t xml:space="preserve"> proportionate use of inherently safe design principles as well as codes, standards and guidance. ONR’s SAPs </w:t>
      </w:r>
      <w:r w:rsidR="00FB5ABE">
        <w:t xml:space="preserve">and </w:t>
      </w:r>
      <w:r w:rsidR="00C67108" w:rsidRPr="00CD36E6">
        <w:t>the general principles of prevention outlined in Schedule 1 of MHSWR, by aiming to</w:t>
      </w:r>
      <w:r w:rsidR="00CB06DB">
        <w:t>:</w:t>
      </w:r>
    </w:p>
    <w:p w14:paraId="292567E3" w14:textId="3E1185C3" w:rsidR="007577E5" w:rsidRDefault="00C67108" w:rsidP="000B43AB">
      <w:pPr>
        <w:pStyle w:val="Bulletlist1"/>
      </w:pPr>
      <w:r w:rsidRPr="00CD36E6">
        <w:t xml:space="preserve">eliminate </w:t>
      </w:r>
      <w:r w:rsidR="00A1455B">
        <w:t xml:space="preserve">a hazard </w:t>
      </w:r>
      <w:r w:rsidR="00445C30">
        <w:t>(for example</w:t>
      </w:r>
      <w:r w:rsidR="00DA689D">
        <w:t>,</w:t>
      </w:r>
      <w:r w:rsidR="00B81EDD">
        <w:t xml:space="preserve"> switching to a non-flammable alternative hydraulic fluid)</w:t>
      </w:r>
      <w:r w:rsidR="00A1455B">
        <w:t xml:space="preserve"> in preference to</w:t>
      </w:r>
      <w:r w:rsidR="007577E5">
        <w:t>;</w:t>
      </w:r>
    </w:p>
    <w:p w14:paraId="109A31FA" w14:textId="7A94EB3D" w:rsidR="007577E5" w:rsidRDefault="00A1455B" w:rsidP="000B43AB">
      <w:pPr>
        <w:pStyle w:val="Bulletlist1"/>
      </w:pPr>
      <w:r>
        <w:t xml:space="preserve">reducing it </w:t>
      </w:r>
      <w:r w:rsidR="00445C30">
        <w:t>(for example</w:t>
      </w:r>
      <w:r w:rsidR="00DA689D">
        <w:t>,</w:t>
      </w:r>
      <w:r w:rsidR="00B81EDD">
        <w:t xml:space="preserve"> by reducing the inventory of a hazardous chemical)</w:t>
      </w:r>
      <w:r>
        <w:t xml:space="preserve"> in preference to</w:t>
      </w:r>
      <w:r w:rsidR="007577E5">
        <w:t>;</w:t>
      </w:r>
    </w:p>
    <w:p w14:paraId="49600787" w14:textId="0FE4A9A1" w:rsidR="00E40290" w:rsidRDefault="007577E5" w:rsidP="000B43AB">
      <w:pPr>
        <w:pStyle w:val="Bulletlist1"/>
      </w:pPr>
      <w:r>
        <w:lastRenderedPageBreak/>
        <w:t>controlling or mitigating it</w:t>
      </w:r>
      <w:r w:rsidR="000C2C07">
        <w:t xml:space="preserve">, with a preference towards </w:t>
      </w:r>
      <w:r w:rsidR="00E71962">
        <w:t xml:space="preserve">robust </w:t>
      </w:r>
      <w:r w:rsidR="000C2C07">
        <w:t xml:space="preserve">engineered protection over administrative </w:t>
      </w:r>
      <w:r w:rsidR="00AD2216">
        <w:t>controls</w:t>
      </w:r>
      <w:r w:rsidR="000C2C07">
        <w:t>, and collective protective measures in preference to individual measures</w:t>
      </w:r>
      <w:r w:rsidR="00FB5ABE">
        <w:t>.</w:t>
      </w:r>
    </w:p>
    <w:p w14:paraId="412F9D8D" w14:textId="39367EE2" w:rsidR="009C7BF3" w:rsidRDefault="00A904D8" w:rsidP="00E77535">
      <w:pPr>
        <w:pStyle w:val="F9-Paragraph"/>
      </w:pPr>
      <w:r w:rsidRPr="00A904D8">
        <w:t xml:space="preserve">When </w:t>
      </w:r>
      <w:r w:rsidR="00447225">
        <w:t>reviewing</w:t>
      </w:r>
      <w:r w:rsidRPr="00A904D8">
        <w:t xml:space="preserve"> safety measures in older facilities during upgrades or reviews, ONR expects dutyholders</w:t>
      </w:r>
      <w:r w:rsidR="00202444">
        <w:t xml:space="preserve"> </w:t>
      </w:r>
      <w:sdt>
        <w:sdtPr>
          <w:id w:val="77184056"/>
          <w:citation/>
        </w:sdtPr>
        <w:sdtEndPr/>
        <w:sdtContent>
          <w:r w:rsidR="00DE388B">
            <w:fldChar w:fldCharType="begin"/>
          </w:r>
          <w:r w:rsidR="00356B20">
            <w:instrText xml:space="preserve">CITATION ONR4 \l 2057 </w:instrText>
          </w:r>
          <w:r w:rsidR="00DE388B">
            <w:fldChar w:fldCharType="separate"/>
          </w:r>
          <w:r w:rsidR="00356B20">
            <w:rPr>
              <w:noProof/>
            </w:rPr>
            <w:t>[10]</w:t>
          </w:r>
          <w:r w:rsidR="00DE388B">
            <w:fldChar w:fldCharType="end"/>
          </w:r>
        </w:sdtContent>
      </w:sdt>
      <w:r w:rsidRPr="00A904D8">
        <w:t xml:space="preserve"> to compare current safety arrangements with </w:t>
      </w:r>
      <w:r w:rsidR="00E32422">
        <w:t>modern RGP</w:t>
      </w:r>
      <w:r w:rsidRPr="00A904D8">
        <w:t>, even if those standards weren’t in place when the facility was built.</w:t>
      </w:r>
    </w:p>
    <w:p w14:paraId="4B53D701" w14:textId="3935243C" w:rsidR="00C67108" w:rsidRPr="00A810F6" w:rsidRDefault="00951B02" w:rsidP="00E77535">
      <w:pPr>
        <w:pStyle w:val="F9-Paragraph"/>
      </w:pPr>
      <w:r w:rsidRPr="00951B02">
        <w:t xml:space="preserve">Sometimes, it </w:t>
      </w:r>
      <w:r w:rsidR="00DF54E5">
        <w:t xml:space="preserve">is not reasonably practicable </w:t>
      </w:r>
      <w:r w:rsidRPr="00951B02">
        <w:t xml:space="preserve">to </w:t>
      </w:r>
      <w:r w:rsidR="00DF54E5">
        <w:t>modify</w:t>
      </w:r>
      <w:r w:rsidRPr="00951B02">
        <w:t xml:space="preserve"> older facilities to meet </w:t>
      </w:r>
      <w:r w:rsidR="00CD2428">
        <w:t>moderns</w:t>
      </w:r>
      <w:r w:rsidR="009C7BF3">
        <w:t xml:space="preserve"> standard (</w:t>
      </w:r>
      <w:r w:rsidR="00CD2428" w:rsidRPr="00C67108">
        <w:t>refer to Section 6 of</w:t>
      </w:r>
      <w:r w:rsidR="009D563C">
        <w:t xml:space="preserve"> </w:t>
      </w:r>
      <w:sdt>
        <w:sdtPr>
          <w:id w:val="-1523626338"/>
          <w:citation/>
        </w:sdtPr>
        <w:sdtEndPr/>
        <w:sdtContent>
          <w:r w:rsidR="00ED2A01">
            <w:fldChar w:fldCharType="begin"/>
          </w:r>
          <w:r w:rsidR="00356B20">
            <w:instrText xml:space="preserve">CITATION ONR5 \l 2057 </w:instrText>
          </w:r>
          <w:r w:rsidR="00ED2A01">
            <w:fldChar w:fldCharType="separate"/>
          </w:r>
          <w:r w:rsidR="00356B20">
            <w:rPr>
              <w:noProof/>
            </w:rPr>
            <w:t>[11]</w:t>
          </w:r>
          <w:r w:rsidR="00ED2A01">
            <w:fldChar w:fldCharType="end"/>
          </w:r>
        </w:sdtContent>
      </w:sdt>
      <w:r w:rsidR="003B3F1C">
        <w:t xml:space="preserve"> </w:t>
      </w:r>
      <w:r w:rsidR="00CD2428" w:rsidRPr="00C67108">
        <w:t xml:space="preserve">for case law information on ‘time’ and </w:t>
      </w:r>
      <w:r w:rsidR="00CD2428" w:rsidRPr="00F60A26">
        <w:t>Appendix 2</w:t>
      </w:r>
      <w:r w:rsidRPr="00951B02">
        <w:t>.</w:t>
      </w:r>
      <w:r w:rsidR="009C7BF3">
        <w:t>)</w:t>
      </w:r>
      <w:r w:rsidRPr="00951B02">
        <w:t xml:space="preserve"> However, dutyholders should still look for ways to further lower risks, such as using partial </w:t>
      </w:r>
      <w:r w:rsidR="00DF54E5">
        <w:t>implementation of opti</w:t>
      </w:r>
      <w:r w:rsidR="00BE3EE8">
        <w:t>ons</w:t>
      </w:r>
      <w:r w:rsidRPr="00951B02">
        <w:t>, new technology, or</w:t>
      </w:r>
      <w:r w:rsidR="00DF54E5">
        <w:t xml:space="preserve"> other </w:t>
      </w:r>
      <w:r w:rsidRPr="00951B02">
        <w:t>practices as they become available. ONR expects dutyholders to consider the facility’s age, its future use, and any remaining issues when deciding what risk reductions are</w:t>
      </w:r>
      <w:r w:rsidR="009C7BF3">
        <w:t xml:space="preserve"> </w:t>
      </w:r>
      <w:r w:rsidR="00CD2428">
        <w:t>practicable</w:t>
      </w:r>
    </w:p>
    <w:p w14:paraId="0B7D96C7" w14:textId="4D959960" w:rsidR="00220FE1" w:rsidRPr="008727D0" w:rsidRDefault="009C1005" w:rsidP="006935BD">
      <w:pPr>
        <w:pStyle w:val="Heading2"/>
      </w:pPr>
      <w:bookmarkStart w:id="12" w:name="_ONR’s_approach_in"/>
      <w:bookmarkStart w:id="13" w:name="_Ref212016767"/>
      <w:bookmarkEnd w:id="12"/>
      <w:r>
        <w:t xml:space="preserve">ONR’s approach </w:t>
      </w:r>
      <w:r w:rsidR="00AA3B42">
        <w:t>in</w:t>
      </w:r>
      <w:r>
        <w:t xml:space="preserve"> regu</w:t>
      </w:r>
      <w:r w:rsidR="00772538">
        <w:t>lating duties to reduce risks to ALARP</w:t>
      </w:r>
      <w:bookmarkEnd w:id="13"/>
    </w:p>
    <w:p w14:paraId="4FA1FFE8" w14:textId="0D548E7D" w:rsidR="00CF2FBA" w:rsidRPr="0048213E" w:rsidRDefault="00CF2FBA" w:rsidP="006935BD">
      <w:pPr>
        <w:pStyle w:val="Heading3"/>
      </w:pPr>
      <w:bookmarkStart w:id="14" w:name="_5.3.1._Tolerability_of"/>
      <w:bookmarkEnd w:id="14"/>
      <w:r w:rsidRPr="0048213E">
        <w:t>Tolerability of Risk (TOR)</w:t>
      </w:r>
    </w:p>
    <w:p w14:paraId="2A540E15" w14:textId="61D5D4B2" w:rsidR="000171F1" w:rsidRDefault="00CF2FBA" w:rsidP="00E77535">
      <w:pPr>
        <w:pStyle w:val="F9-Paragraph"/>
      </w:pPr>
      <w:r w:rsidRPr="00CF2FBA">
        <w:t>The concept of tolerability of risk (TOR), introduced in HSE’s Tolerability of Risk from Nuclear Power Stations</w:t>
      </w:r>
      <w:r w:rsidR="00DE1E4D">
        <w:t xml:space="preserve"> </w:t>
      </w:r>
      <w:sdt>
        <w:sdtPr>
          <w:id w:val="923377035"/>
          <w:citation/>
        </w:sdtPr>
        <w:sdtEndPr/>
        <w:sdtContent>
          <w:r w:rsidR="00EC7F15">
            <w:fldChar w:fldCharType="begin"/>
          </w:r>
          <w:r w:rsidR="00EC7F15">
            <w:instrText xml:space="preserve"> CITATION HSE92 \l 2057 </w:instrText>
          </w:r>
          <w:r w:rsidR="00EC7F15">
            <w:fldChar w:fldCharType="separate"/>
          </w:r>
          <w:r w:rsidR="00F53898">
            <w:rPr>
              <w:noProof/>
            </w:rPr>
            <w:t>[12]</w:t>
          </w:r>
          <w:r w:rsidR="00EC7F15">
            <w:fldChar w:fldCharType="end"/>
          </w:r>
        </w:sdtContent>
      </w:sdt>
      <w:r w:rsidRPr="00CF2FBA">
        <w:t xml:space="preserve"> and expanded in </w:t>
      </w:r>
      <w:r w:rsidR="00F94D1B">
        <w:t>“</w:t>
      </w:r>
      <w:r w:rsidRPr="00CF2FBA">
        <w:t>Reducing Risk and Protecting People</w:t>
      </w:r>
      <w:r w:rsidR="00F94D1B">
        <w:t>”</w:t>
      </w:r>
      <w:r w:rsidRPr="00CF2FBA">
        <w:t xml:space="preserve"> (R2P2)</w:t>
      </w:r>
      <w:r w:rsidR="00D55A65">
        <w:t xml:space="preserve"> </w:t>
      </w:r>
      <w:sdt>
        <w:sdtPr>
          <w:id w:val="-213349462"/>
          <w:citation/>
        </w:sdtPr>
        <w:sdtEndPr/>
        <w:sdtContent>
          <w:r w:rsidR="005D475C">
            <w:fldChar w:fldCharType="begin"/>
          </w:r>
          <w:r w:rsidR="005D475C">
            <w:instrText xml:space="preserve"> CITATION Hea01 \l 2057 </w:instrText>
          </w:r>
          <w:r w:rsidR="005D475C">
            <w:fldChar w:fldCharType="separate"/>
          </w:r>
          <w:r w:rsidR="00F53898">
            <w:rPr>
              <w:noProof/>
            </w:rPr>
            <w:t>[13]</w:t>
          </w:r>
          <w:r w:rsidR="005D475C">
            <w:fldChar w:fldCharType="end"/>
          </w:r>
        </w:sdtContent>
      </w:sdt>
      <w:r w:rsidRPr="00CF2FBA">
        <w:t>, categorises risks into three regions</w:t>
      </w:r>
      <w:r w:rsidR="00B966D9">
        <w:t xml:space="preserve"> (refer to </w:t>
      </w:r>
      <w:r w:rsidR="00B966D9">
        <w:fldChar w:fldCharType="begin"/>
      </w:r>
      <w:r w:rsidR="00B966D9">
        <w:instrText xml:space="preserve"> REF _Ref212017773 \h </w:instrText>
      </w:r>
      <w:r w:rsidR="00B966D9">
        <w:fldChar w:fldCharType="separate"/>
      </w:r>
      <w:r w:rsidR="00B966D9">
        <w:t xml:space="preserve">Figure </w:t>
      </w:r>
      <w:r w:rsidR="00B966D9">
        <w:rPr>
          <w:noProof/>
        </w:rPr>
        <w:t>1</w:t>
      </w:r>
      <w:r w:rsidR="00B966D9">
        <w:fldChar w:fldCharType="end"/>
      </w:r>
      <w:r w:rsidR="00B966D9">
        <w:t>).</w:t>
      </w:r>
    </w:p>
    <w:p w14:paraId="51D9FC93" w14:textId="77777777" w:rsidR="00DA689D" w:rsidRDefault="00DA689D" w:rsidP="00DA689D">
      <w:pPr>
        <w:keepNext/>
        <w:ind w:left="851"/>
        <w:jc w:val="center"/>
      </w:pPr>
      <w:r w:rsidRPr="00F551E5">
        <w:object w:dxaOrig="6376" w:dyaOrig="5941" w14:anchorId="3C139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lerability of risk framework - depicted by an inverted triangle. Unacceptable is at the top of the triangle with 'Broadly Acceptable' at the bottom. The axis to the left of the triangle states 'Increasing individual and societal concerns'." style="width:315pt;height:291pt;mso-position-horizontal:absolute;mso-position-horizontal-relative:text;mso-position-vertical:absolute;mso-position-vertical-relative:text;mso-width-relative:page;mso-height-relative:page" o:ole="">
            <v:imagedata r:id="rId18" o:title=""/>
          </v:shape>
          <o:OLEObject Type="Embed" ProgID="Visio.Drawing.15" ShapeID="_x0000_i1025" DrawAspect="Content" ObjectID="_1826106617" r:id="rId19"/>
        </w:object>
      </w:r>
    </w:p>
    <w:p w14:paraId="6E8612E4" w14:textId="5105C217" w:rsidR="00D23B38" w:rsidRDefault="00DA689D" w:rsidP="00DA689D">
      <w:pPr>
        <w:pStyle w:val="Caption"/>
        <w:jc w:val="center"/>
        <w:rPr>
          <w:rFonts w:eastAsia="Times New Roman"/>
          <w:szCs w:val="24"/>
          <w:lang w:bidi="ar-SA"/>
        </w:rPr>
      </w:pPr>
      <w:bookmarkStart w:id="15" w:name="_Ref212017773"/>
      <w:r>
        <w:t xml:space="preserve">Figure </w:t>
      </w:r>
      <w:r>
        <w:fldChar w:fldCharType="begin"/>
      </w:r>
      <w:r>
        <w:instrText xml:space="preserve"> SEQ Figure \* ARABIC </w:instrText>
      </w:r>
      <w:r>
        <w:fldChar w:fldCharType="separate"/>
      </w:r>
      <w:r w:rsidR="00560E66">
        <w:rPr>
          <w:noProof/>
        </w:rPr>
        <w:t>1</w:t>
      </w:r>
      <w:r>
        <w:fldChar w:fldCharType="end"/>
      </w:r>
      <w:bookmarkEnd w:id="15"/>
      <w:r>
        <w:t xml:space="preserve"> - </w:t>
      </w:r>
      <w:r w:rsidRPr="00C75C4D">
        <w:t>Tolerability regions</w:t>
      </w:r>
    </w:p>
    <w:p w14:paraId="5666BCD4" w14:textId="4F6C5CEF" w:rsidR="00C0324D" w:rsidRDefault="003C2632" w:rsidP="00E77535">
      <w:pPr>
        <w:pStyle w:val="F9-Paragraph"/>
      </w:pPr>
      <w:r w:rsidRPr="003C2632">
        <w:lastRenderedPageBreak/>
        <w:t>As explained in R2P2, “tolerability” refers to the general willingness of society as a whole to live with a risk so as to secure certain benefits</w:t>
      </w:r>
      <w:r w:rsidR="00BE1EC2">
        <w:t xml:space="preserve"> </w:t>
      </w:r>
      <w:sdt>
        <w:sdtPr>
          <w:id w:val="2006477151"/>
          <w:citation/>
        </w:sdtPr>
        <w:sdtEndPr/>
        <w:sdtContent>
          <w:r w:rsidR="00BC2E6B">
            <w:fldChar w:fldCharType="begin"/>
          </w:r>
          <w:r w:rsidR="00BC2E6B">
            <w:instrText xml:space="preserve"> CITATION HSE01 \l 2057 </w:instrText>
          </w:r>
          <w:r w:rsidR="00BC2E6B">
            <w:fldChar w:fldCharType="separate"/>
          </w:r>
          <w:r w:rsidR="00F53898">
            <w:rPr>
              <w:noProof/>
            </w:rPr>
            <w:t>[14]</w:t>
          </w:r>
          <w:r w:rsidR="00BC2E6B">
            <w:fldChar w:fldCharType="end"/>
          </w:r>
        </w:sdtContent>
      </w:sdt>
      <w:r w:rsidRPr="003C2632">
        <w:t xml:space="preserve">. </w:t>
      </w:r>
      <w:r w:rsidR="00583795">
        <w:t>The upper and lower ends of this scale are</w:t>
      </w:r>
      <w:r w:rsidR="00C0324D">
        <w:t>:</w:t>
      </w:r>
    </w:p>
    <w:p w14:paraId="2484676D" w14:textId="77777777" w:rsidR="00803E8F" w:rsidRPr="00F06790" w:rsidRDefault="00803E8F" w:rsidP="000B43AB">
      <w:pPr>
        <w:pStyle w:val="Bulletlist1"/>
        <w:rPr>
          <w:lang w:bidi="ar-SA"/>
        </w:rPr>
      </w:pPr>
      <w:r w:rsidRPr="00F06790">
        <w:rPr>
          <w:b/>
          <w:lang w:bidi="ar-SA"/>
        </w:rPr>
        <w:t>Unacceptable</w:t>
      </w:r>
      <w:r w:rsidRPr="00F06790">
        <w:rPr>
          <w:lang w:bidi="ar-SA"/>
        </w:rPr>
        <w:t xml:space="preserve"> risks are those that would be considered too high even for those who tolerate higher personal or professional risks (such as workers in the highest risk professions such as offshore fishing or mining) and, save for some exceptional minority groups, would not be tolerated for the majority for any significant period.</w:t>
      </w:r>
    </w:p>
    <w:p w14:paraId="0EE81CF8" w14:textId="0A8BF394" w:rsidR="00C0324D" w:rsidRPr="00C0324D" w:rsidRDefault="003C2632" w:rsidP="000B43AB">
      <w:pPr>
        <w:pStyle w:val="Bulletlist1"/>
      </w:pPr>
      <w:r w:rsidRPr="0048213E">
        <w:rPr>
          <w:b/>
          <w:lang w:bidi="ar-SA"/>
        </w:rPr>
        <w:t>Broadly acceptable</w:t>
      </w:r>
      <w:r w:rsidRPr="00C0324D">
        <w:rPr>
          <w:lang w:bidi="ar-SA"/>
        </w:rPr>
        <w:t xml:space="preserve"> risks are those that are commensurate with the ordinary day-to-day risks that most people accept as part of their daily life (for example, in crossing the road or undertaking routine rail and air travel). </w:t>
      </w:r>
    </w:p>
    <w:p w14:paraId="477FAB4A" w14:textId="6C1D2FF2" w:rsidR="005C0A05" w:rsidRDefault="005C0A05" w:rsidP="00E77535">
      <w:pPr>
        <w:pStyle w:val="F9-Paragraph"/>
      </w:pPr>
      <w:r w:rsidRPr="005C0A05">
        <w:t xml:space="preserve">The legal duty to reduce risks to ALARP is separate from the TOR concept. </w:t>
      </w:r>
      <w:r w:rsidR="00D36545">
        <w:t>D</w:t>
      </w:r>
      <w:r w:rsidRPr="005C0A05">
        <w:t xml:space="preserve">utyholders must reduce risks to ALARP, regardless of </w:t>
      </w:r>
      <w:r w:rsidR="00D36545">
        <w:t xml:space="preserve">the size of the risk or </w:t>
      </w:r>
      <w:r w:rsidRPr="005C0A05">
        <w:t xml:space="preserve">whether the risk is tolerable. </w:t>
      </w:r>
      <w:r w:rsidR="001C0DAA" w:rsidRPr="001C0DAA">
        <w:t xml:space="preserve">It is possible for a risk to be unacceptable </w:t>
      </w:r>
      <w:r w:rsidR="001476AC">
        <w:t xml:space="preserve">(and </w:t>
      </w:r>
      <w:r w:rsidR="00AA3D4D">
        <w:t>t</w:t>
      </w:r>
      <w:r w:rsidR="001C0DAA" w:rsidRPr="001C0DAA">
        <w:t>hus subject to the highest level of regulatory attention</w:t>
      </w:r>
      <w:r w:rsidR="001476AC">
        <w:t>)</w:t>
      </w:r>
      <w:r w:rsidR="001C0DAA" w:rsidRPr="001C0DAA">
        <w:t xml:space="preserve"> even if the dutyholder has met its legal obligation </w:t>
      </w:r>
      <w:r w:rsidR="00485515">
        <w:t xml:space="preserve">to reduce it </w:t>
      </w:r>
      <w:r w:rsidR="00AD0779">
        <w:t xml:space="preserve">to be </w:t>
      </w:r>
      <w:r w:rsidR="00485515">
        <w:t>A</w:t>
      </w:r>
      <w:r w:rsidR="001C0DAA" w:rsidRPr="001C0DAA">
        <w:t xml:space="preserve">LARP. Likewise, it is possible for a risk to be broadly acceptable </w:t>
      </w:r>
      <w:r w:rsidR="001476AC">
        <w:t>(</w:t>
      </w:r>
      <w:r w:rsidR="001C0DAA" w:rsidRPr="001C0DAA">
        <w:t>and therefore not attract any significant regulatory attention</w:t>
      </w:r>
      <w:r w:rsidR="001476AC">
        <w:t>)</w:t>
      </w:r>
      <w:r w:rsidR="001C0DAA" w:rsidRPr="001C0DAA">
        <w:t xml:space="preserve"> while the dutyholder has not, or is yet to, demonstrate the </w:t>
      </w:r>
      <w:r w:rsidR="003767CA">
        <w:t>it has been reduced</w:t>
      </w:r>
      <w:r w:rsidR="001C0DAA" w:rsidRPr="001C0DAA">
        <w:t xml:space="preserve"> </w:t>
      </w:r>
      <w:r w:rsidR="00E44C07">
        <w:t xml:space="preserve">to be </w:t>
      </w:r>
      <w:r w:rsidR="001C0DAA" w:rsidRPr="001C0DAA">
        <w:t xml:space="preserve">ALARP. </w:t>
      </w:r>
    </w:p>
    <w:p w14:paraId="592715D0" w14:textId="2924C185" w:rsidR="00A32840" w:rsidRDefault="00224892" w:rsidP="006935BD">
      <w:pPr>
        <w:pStyle w:val="Heading3"/>
      </w:pPr>
      <w:r w:rsidRPr="0048213E">
        <w:t>The Basic Safety Levels and Basic Safety Objectives</w:t>
      </w:r>
    </w:p>
    <w:p w14:paraId="14B541B2" w14:textId="04C39827" w:rsidR="00924D32" w:rsidRDefault="00924D32" w:rsidP="00E77535">
      <w:pPr>
        <w:pStyle w:val="F9-Paragraph"/>
      </w:pPr>
      <w:r w:rsidRPr="00924D32">
        <w:t xml:space="preserve">ONR’s Safety Assessment Principles (SAPs) translate TOR into nine numerical targets, expressed </w:t>
      </w:r>
      <w:r w:rsidR="001D7586">
        <w:t>in terms of a</w:t>
      </w:r>
      <w:r w:rsidRPr="00924D32">
        <w:t xml:space="preserve"> Basic Safety Level (BSL)</w:t>
      </w:r>
      <w:r w:rsidR="001D7586">
        <w:t xml:space="preserve"> </w:t>
      </w:r>
      <w:r w:rsidR="00803E8F">
        <w:t xml:space="preserve">and a </w:t>
      </w:r>
      <w:r w:rsidR="00803E8F" w:rsidRPr="00924D32">
        <w:t>Basic Safety Objective</w:t>
      </w:r>
      <w:r w:rsidR="00803E8F">
        <w:t xml:space="preserve"> </w:t>
      </w:r>
      <w:r w:rsidR="00803E8F" w:rsidRPr="00924D32">
        <w:t>(BSO)</w:t>
      </w:r>
      <w:r w:rsidR="00803E8F">
        <w:t xml:space="preserve"> </w:t>
      </w:r>
      <w:r w:rsidR="001D7586">
        <w:t>in each case</w:t>
      </w:r>
      <w:r w:rsidRPr="00924D32">
        <w:t xml:space="preserve">. </w:t>
      </w:r>
      <w:r w:rsidR="0091517D">
        <w:t xml:space="preserve">Each case examines risk from a different perspective </w:t>
      </w:r>
      <w:r w:rsidR="00445C30">
        <w:t>(for example,</w:t>
      </w:r>
      <w:r w:rsidR="00503FB9">
        <w:t>,</w:t>
      </w:r>
      <w:r w:rsidR="0091517D">
        <w:t xml:space="preserve"> to a different group</w:t>
      </w:r>
      <w:r w:rsidR="00FB6035">
        <w:t xml:space="preserve"> of people and/or quantified in a different way). </w:t>
      </w:r>
      <w:r w:rsidR="00FD1FFF">
        <w:t>Risks above the BSL are ‘unacceptable’ and risks below the BSO are ‘broadly acceptable’</w:t>
      </w:r>
      <w:r w:rsidR="000611B9">
        <w:t>.</w:t>
      </w:r>
    </w:p>
    <w:p w14:paraId="2D5AD370" w14:textId="7A193967" w:rsidR="00736E05" w:rsidRDefault="00736E05" w:rsidP="00E77535">
      <w:pPr>
        <w:pStyle w:val="F9-Paragraph"/>
      </w:pPr>
      <w:r w:rsidRPr="00736E05">
        <w:t xml:space="preserve">ONR </w:t>
      </w:r>
      <w:r w:rsidR="0042389A">
        <w:t xml:space="preserve">generally </w:t>
      </w:r>
      <w:r w:rsidRPr="00736E05">
        <w:t>expects dutyholders to ensure risks arising from a new facility or activity meet the BSLs</w:t>
      </w:r>
      <w:r w:rsidR="004662F1">
        <w:t xml:space="preserve"> as a minimum</w:t>
      </w:r>
      <w:r>
        <w:t xml:space="preserve">. </w:t>
      </w:r>
      <w:r w:rsidRPr="00736E05">
        <w:t>However, even if the BSLs are met, the risks may not be reduced to ALARP. In such circumstances, ONR expects dutyholders to have considered other potential options to reduce the risks to ALARP and implement those options unless they can be adequately justified as not being reasonably practicable</w:t>
      </w:r>
      <w:r w:rsidR="00C3592C">
        <w:t>.</w:t>
      </w:r>
    </w:p>
    <w:p w14:paraId="4BD00EC9" w14:textId="0EE1D648" w:rsidR="00A8540D" w:rsidRPr="005C0A05" w:rsidRDefault="00B75FED" w:rsidP="00E77535">
      <w:pPr>
        <w:pStyle w:val="F9-Paragraph"/>
      </w:pPr>
      <w:r>
        <w:t>ONR considers that the</w:t>
      </w:r>
      <w:r w:rsidRPr="0048213E">
        <w:t xml:space="preserve"> BSOs should be achievable with the application of modern standards and technologies. As such, achieving the BSOs should be an aim for new facilities, but only where it is reasonably practicable to do so.</w:t>
      </w:r>
    </w:p>
    <w:p w14:paraId="2BF926E1" w14:textId="349CE4CC" w:rsidR="00CF2FBA" w:rsidRPr="0048213E" w:rsidRDefault="00CF2FBA" w:rsidP="00894F6B">
      <w:pPr>
        <w:pStyle w:val="Heading3"/>
        <w:rPr>
          <w:rFonts w:eastAsia="Times New Roman"/>
          <w:lang w:bidi="ar-SA"/>
        </w:rPr>
      </w:pPr>
      <w:r w:rsidRPr="0048213E">
        <w:t>Risk</w:t>
      </w:r>
      <w:r w:rsidR="000B43AB">
        <w:t>-</w:t>
      </w:r>
      <w:r w:rsidRPr="0048213E">
        <w:t>Informed Targeted Engagement</w:t>
      </w:r>
      <w:r w:rsidR="00E157E2" w:rsidRPr="0048213E">
        <w:t>s</w:t>
      </w:r>
    </w:p>
    <w:p w14:paraId="6E7F9AD8" w14:textId="3D70C44C" w:rsidR="00567187" w:rsidRPr="00E01506" w:rsidRDefault="00955FB7" w:rsidP="00E77535">
      <w:pPr>
        <w:pStyle w:val="F9-Paragraph"/>
      </w:pPr>
      <w:r>
        <w:t xml:space="preserve">It is ONR’s </w:t>
      </w:r>
      <w:r w:rsidRPr="00FD3402">
        <w:t>policy</w:t>
      </w:r>
      <w:r w:rsidR="00BC2E6B">
        <w:t xml:space="preserve"> </w:t>
      </w:r>
      <w:r w:rsidRPr="00FD3402">
        <w:t>to use its resources responsibly and in a targeted manner to make timely judgements</w:t>
      </w:r>
      <w:r w:rsidRPr="00D26F86">
        <w:t xml:space="preserve"> and decisions</w:t>
      </w:r>
      <w:r w:rsidR="00B966D9" w:rsidRPr="00B966D9">
        <w:t xml:space="preserve"> </w:t>
      </w:r>
      <w:sdt>
        <w:sdtPr>
          <w:id w:val="1302650962"/>
          <w:citation/>
        </w:sdtPr>
        <w:sdtEndPr/>
        <w:sdtContent>
          <w:r w:rsidR="00B966D9">
            <w:fldChar w:fldCharType="begin"/>
          </w:r>
          <w:r w:rsidR="00356B20">
            <w:instrText xml:space="preserve">CITATION ONR6 \l 2057 </w:instrText>
          </w:r>
          <w:r w:rsidR="00B966D9">
            <w:fldChar w:fldCharType="separate"/>
          </w:r>
          <w:r w:rsidR="00356B20">
            <w:rPr>
              <w:noProof/>
            </w:rPr>
            <w:t>[15]</w:t>
          </w:r>
          <w:r w:rsidR="00B966D9">
            <w:fldChar w:fldCharType="end"/>
          </w:r>
        </w:sdtContent>
      </w:sdt>
      <w:r>
        <w:t>.</w:t>
      </w:r>
      <w:r w:rsidR="004662F1">
        <w:t xml:space="preserve"> </w:t>
      </w:r>
      <w:r w:rsidR="002D49BA">
        <w:t xml:space="preserve">This means ONR will focus </w:t>
      </w:r>
      <w:r w:rsidR="002D49BA" w:rsidRPr="00AC7DF4">
        <w:t xml:space="preserve">on those activities that give rise to the most serious risks, where the hazards or vulnerabilities are least well controlled, or where ongoing </w:t>
      </w:r>
      <w:r w:rsidR="002D49BA" w:rsidRPr="00E01506">
        <w:t>compliance with the law needs to be established</w:t>
      </w:r>
      <w:r w:rsidR="006A2F47" w:rsidRPr="00E01506">
        <w:t>.</w:t>
      </w:r>
    </w:p>
    <w:p w14:paraId="33AD8273" w14:textId="1237BF1A" w:rsidR="00D01061" w:rsidRPr="00E01506" w:rsidRDefault="00E01506" w:rsidP="000B43AB">
      <w:pPr>
        <w:pStyle w:val="Bulletlist1"/>
      </w:pPr>
      <w:r w:rsidRPr="0048213E">
        <w:rPr>
          <w:b/>
          <w:lang w:bidi="ar-SA"/>
        </w:rPr>
        <w:lastRenderedPageBreak/>
        <w:t xml:space="preserve">Where </w:t>
      </w:r>
      <w:r w:rsidR="00D01061" w:rsidRPr="0048213E">
        <w:rPr>
          <w:b/>
          <w:lang w:bidi="ar-SA"/>
        </w:rPr>
        <w:t>risks exceed BSLs</w:t>
      </w:r>
      <w:r w:rsidR="00D01061" w:rsidRPr="00E01506">
        <w:rPr>
          <w:lang w:bidi="ar-SA"/>
        </w:rPr>
        <w:t xml:space="preserve">, into the unacceptable region, ONR prioritises regulatory attention and expects urgent action from the dutyholder to reduce risks. </w:t>
      </w:r>
    </w:p>
    <w:p w14:paraId="2DBF99A3" w14:textId="22652A17" w:rsidR="00D01061" w:rsidRPr="00E01506" w:rsidRDefault="00D01061" w:rsidP="000B43AB">
      <w:pPr>
        <w:pStyle w:val="Bulletlist1"/>
        <w:rPr>
          <w:lang w:bidi="ar-SA"/>
        </w:rPr>
      </w:pPr>
      <w:r w:rsidRPr="0048213E">
        <w:rPr>
          <w:b/>
          <w:lang w:bidi="ar-SA"/>
        </w:rPr>
        <w:t xml:space="preserve">For </w:t>
      </w:r>
      <w:r w:rsidR="00E01506" w:rsidRPr="0048213E">
        <w:rPr>
          <w:b/>
          <w:lang w:bidi="ar-SA"/>
        </w:rPr>
        <w:t xml:space="preserve">risks lying </w:t>
      </w:r>
      <w:r w:rsidRPr="0048213E">
        <w:rPr>
          <w:b/>
          <w:lang w:bidi="ar-SA"/>
        </w:rPr>
        <w:t>between BSLs and BSOs</w:t>
      </w:r>
      <w:r w:rsidRPr="0048213E">
        <w:rPr>
          <w:lang w:bidi="ar-SA"/>
        </w:rPr>
        <w:t xml:space="preserve">, ONR’s engagement </w:t>
      </w:r>
      <w:r w:rsidR="008034D9" w:rsidRPr="0048213E">
        <w:rPr>
          <w:lang w:bidi="ar-SA"/>
        </w:rPr>
        <w:t xml:space="preserve">will flex depending on a number of factors including the level of risk, </w:t>
      </w:r>
      <w:r w:rsidR="00E01506" w:rsidRPr="0048213E">
        <w:rPr>
          <w:lang w:bidi="ar-SA"/>
        </w:rPr>
        <w:t>size of any risk gap and the adequacy of the safety case.</w:t>
      </w:r>
    </w:p>
    <w:p w14:paraId="15E0A3FE" w14:textId="01CDCA03" w:rsidR="00567187" w:rsidRPr="00E01506" w:rsidRDefault="00CF2FBA" w:rsidP="000B43AB">
      <w:pPr>
        <w:pStyle w:val="Bulletlist1"/>
      </w:pPr>
      <w:r w:rsidRPr="0048213E">
        <w:rPr>
          <w:b/>
          <w:lang w:bidi="ar-SA"/>
        </w:rPr>
        <w:t xml:space="preserve">Where risks fall </w:t>
      </w:r>
      <w:r w:rsidR="00F65D60" w:rsidRPr="0048213E">
        <w:rPr>
          <w:b/>
          <w:lang w:bidi="ar-SA"/>
        </w:rPr>
        <w:t>to the BSO</w:t>
      </w:r>
      <w:r w:rsidR="0007030E" w:rsidRPr="0048213E">
        <w:rPr>
          <w:b/>
          <w:lang w:bidi="ar-SA"/>
        </w:rPr>
        <w:t>s</w:t>
      </w:r>
      <w:r w:rsidR="00F65D60" w:rsidRPr="00E01506">
        <w:rPr>
          <w:lang w:bidi="ar-SA"/>
        </w:rPr>
        <w:t xml:space="preserve">, into the broadly acceptable region, ONR will not focus significant regulatory attention and will not usually seek further safety improvement (even though the dutyholder’s legal obligation to reduce risk </w:t>
      </w:r>
      <w:r w:rsidR="00C32399">
        <w:rPr>
          <w:lang w:bidi="ar-SA"/>
        </w:rPr>
        <w:t xml:space="preserve">to </w:t>
      </w:r>
      <w:r w:rsidR="00F65D60" w:rsidRPr="00E01506">
        <w:rPr>
          <w:lang w:bidi="ar-SA"/>
        </w:rPr>
        <w:t>ALARP is unchanged)</w:t>
      </w:r>
      <w:r w:rsidRPr="00E01506">
        <w:rPr>
          <w:lang w:bidi="ar-SA"/>
        </w:rPr>
        <w:t>.</w:t>
      </w:r>
    </w:p>
    <w:p w14:paraId="526F04AC" w14:textId="29AA127B" w:rsidR="00CF2FBA" w:rsidRPr="0048213E" w:rsidRDefault="00CF2FBA" w:rsidP="00894F6B">
      <w:pPr>
        <w:pStyle w:val="Heading3"/>
        <w:rPr>
          <w:rFonts w:eastAsia="Times New Roman"/>
          <w:lang w:bidi="ar-SA"/>
        </w:rPr>
      </w:pPr>
      <w:r w:rsidRPr="0048213E">
        <w:t>Risk</w:t>
      </w:r>
      <w:r w:rsidR="000B43AB">
        <w:t>-</w:t>
      </w:r>
      <w:r w:rsidRPr="0048213E">
        <w:t>Informed Regulatory Decision</w:t>
      </w:r>
      <w:r w:rsidR="00E47304" w:rsidRPr="0048213E">
        <w:t xml:space="preserve"> </w:t>
      </w:r>
      <w:r w:rsidRPr="0048213E">
        <w:t>Making</w:t>
      </w:r>
    </w:p>
    <w:p w14:paraId="13390BD8" w14:textId="3EAD78BC" w:rsidR="00940484" w:rsidRDefault="00940484" w:rsidP="00E77535">
      <w:pPr>
        <w:pStyle w:val="F9-Paragraph"/>
      </w:pPr>
      <w:r>
        <w:t xml:space="preserve">ONR’s regulatory decisions (including both enforcement and permissioning decisions) </w:t>
      </w:r>
      <w:r w:rsidR="00185242">
        <w:t xml:space="preserve">can </w:t>
      </w:r>
      <w:r w:rsidR="003B1B31">
        <w:t xml:space="preserve">take into account more information beyond whether or not the </w:t>
      </w:r>
      <w:r w:rsidR="00856B1D">
        <w:t xml:space="preserve">dutyholder is considered to be legally compliant </w:t>
      </w:r>
      <w:r w:rsidR="00445C30">
        <w:t>(for example,</w:t>
      </w:r>
      <w:r w:rsidR="00856B1D">
        <w:t xml:space="preserve"> in demonstrating that risks have been reduced </w:t>
      </w:r>
      <w:r w:rsidR="00C32399">
        <w:t xml:space="preserve">to </w:t>
      </w:r>
      <w:r w:rsidR="00856B1D">
        <w:t>ALARP).</w:t>
      </w:r>
      <w:r w:rsidR="00EB6A2E">
        <w:t xml:space="preserve"> </w:t>
      </w:r>
      <w:r w:rsidR="001557C5">
        <w:t>We consider:</w:t>
      </w:r>
    </w:p>
    <w:p w14:paraId="2C59C7BF" w14:textId="23005E3A" w:rsidR="001557C5" w:rsidRPr="00587B45" w:rsidRDefault="001557C5" w:rsidP="000B43AB">
      <w:pPr>
        <w:pStyle w:val="Bulletlist1"/>
      </w:pPr>
      <w:r w:rsidRPr="0048213E">
        <w:rPr>
          <w:b/>
          <w:lang w:bidi="ar-SA"/>
        </w:rPr>
        <w:t>Dutyholder factors</w:t>
      </w:r>
      <w:r w:rsidRPr="00587B45">
        <w:rPr>
          <w:lang w:bidi="ar-SA"/>
        </w:rPr>
        <w:t>. These relate to a specific dutyholder</w:t>
      </w:r>
      <w:r w:rsidR="000B387E" w:rsidRPr="00587B45">
        <w:rPr>
          <w:lang w:bidi="ar-SA"/>
        </w:rPr>
        <w:t xml:space="preserve"> and include: </w:t>
      </w:r>
      <w:r w:rsidRPr="00587B45">
        <w:rPr>
          <w:lang w:bidi="ar-SA"/>
        </w:rPr>
        <w:t>compliance history, previous incident history, degree of co-operation</w:t>
      </w:r>
      <w:r w:rsidR="00587B45" w:rsidRPr="00587B45">
        <w:rPr>
          <w:lang w:bidi="ar-SA"/>
        </w:rPr>
        <w:t xml:space="preserve"> and</w:t>
      </w:r>
      <w:r w:rsidRPr="00587B45">
        <w:rPr>
          <w:lang w:bidi="ar-SA"/>
        </w:rPr>
        <w:t xml:space="preserve"> </w:t>
      </w:r>
      <w:r w:rsidR="00587B45" w:rsidRPr="00587B45">
        <w:rPr>
          <w:lang w:bidi="ar-SA"/>
        </w:rPr>
        <w:t xml:space="preserve">the extent </w:t>
      </w:r>
      <w:r w:rsidR="0082083C" w:rsidRPr="00587B45">
        <w:rPr>
          <w:lang w:bidi="ar-SA"/>
        </w:rPr>
        <w:t xml:space="preserve">of </w:t>
      </w:r>
      <w:r w:rsidR="00587B45" w:rsidRPr="00587B45">
        <w:rPr>
          <w:lang w:bidi="ar-SA"/>
        </w:rPr>
        <w:t xml:space="preserve">regulatory </w:t>
      </w:r>
      <w:r w:rsidR="0082083C" w:rsidRPr="00587B45">
        <w:rPr>
          <w:lang w:bidi="ar-SA"/>
        </w:rPr>
        <w:t>confidence in them</w:t>
      </w:r>
      <w:r w:rsidR="000B387E" w:rsidRPr="00587B45">
        <w:rPr>
          <w:lang w:bidi="ar-SA"/>
        </w:rPr>
        <w:t>;</w:t>
      </w:r>
    </w:p>
    <w:p w14:paraId="5248CBBE" w14:textId="3599FCE3" w:rsidR="0082083C" w:rsidRPr="00587B45" w:rsidRDefault="0082083C" w:rsidP="000B43AB">
      <w:pPr>
        <w:pStyle w:val="Bulletlist1"/>
      </w:pPr>
      <w:r w:rsidRPr="0048213E">
        <w:rPr>
          <w:b/>
          <w:lang w:bidi="ar-SA"/>
        </w:rPr>
        <w:t>Strategic factors</w:t>
      </w:r>
      <w:r w:rsidRPr="00587B45">
        <w:rPr>
          <w:lang w:bidi="ar-SA"/>
        </w:rPr>
        <w:t xml:space="preserve">. These relate to </w:t>
      </w:r>
      <w:r w:rsidR="003A05DC" w:rsidRPr="00587B45">
        <w:rPr>
          <w:lang w:bidi="ar-SA"/>
        </w:rPr>
        <w:t>aspects beyond the control of an individual dutyholder but nevertheless within ONR’s authority and capability to take into account. These includ</w:t>
      </w:r>
      <w:r w:rsidR="000B387E" w:rsidRPr="00587B45">
        <w:rPr>
          <w:lang w:bidi="ar-SA"/>
        </w:rPr>
        <w:t xml:space="preserve">e: the wider public interest, the need to protect vulnerable groups and the balance of risk beyond the dutyholder’s undertaking such as the risk impact arising elsewhere </w:t>
      </w:r>
      <w:r w:rsidR="001255E4" w:rsidRPr="00587B45">
        <w:rPr>
          <w:lang w:bidi="ar-SA"/>
        </w:rPr>
        <w:t xml:space="preserve">for example on a different dutyholder’s site. </w:t>
      </w:r>
    </w:p>
    <w:p w14:paraId="3CF1226B" w14:textId="22CBEDB7" w:rsidR="001255E4" w:rsidRDefault="007D13E6" w:rsidP="00E77535">
      <w:pPr>
        <w:pStyle w:val="F9-Paragraph"/>
      </w:pPr>
      <w:r>
        <w:t>There are</w:t>
      </w:r>
      <w:r w:rsidR="00FA5226">
        <w:t xml:space="preserve"> also</w:t>
      </w:r>
      <w:r>
        <w:t xml:space="preserve"> some wider national factors that are </w:t>
      </w:r>
      <w:r w:rsidR="00445C30">
        <w:t>out with</w:t>
      </w:r>
      <w:r>
        <w:t xml:space="preserve"> ONR’s authority and </w:t>
      </w:r>
      <w:r w:rsidR="007912FF">
        <w:t>capability</w:t>
      </w:r>
      <w:r>
        <w:t xml:space="preserve"> </w:t>
      </w:r>
      <w:r w:rsidR="00F96490">
        <w:t xml:space="preserve">to </w:t>
      </w:r>
      <w:r w:rsidR="00587729">
        <w:t>judge</w:t>
      </w:r>
      <w:r w:rsidR="00EE6F2B">
        <w:t xml:space="preserve">, such as </w:t>
      </w:r>
      <w:r w:rsidR="00587B45">
        <w:t>‘defence of the realm’, ‘</w:t>
      </w:r>
      <w:r w:rsidR="00EA1C37">
        <w:t xml:space="preserve">the need for </w:t>
      </w:r>
      <w:r w:rsidR="00587B45">
        <w:t xml:space="preserve">decarbonisation’ or ‘keeping the lights on’. ONR’s current understanding </w:t>
      </w:r>
      <w:r w:rsidR="008D39A8">
        <w:t xml:space="preserve">is that such factors </w:t>
      </w:r>
      <w:r w:rsidR="00F94F8C">
        <w:t xml:space="preserve">are not part </w:t>
      </w:r>
      <w:r w:rsidR="00012967">
        <w:t xml:space="preserve">of our decision making </w:t>
      </w:r>
      <w:r w:rsidR="00A851CD">
        <w:t xml:space="preserve">process as we do not posses the authority or capability </w:t>
      </w:r>
      <w:r w:rsidR="003634A7">
        <w:t xml:space="preserve">with which to do this lawfully. </w:t>
      </w:r>
    </w:p>
    <w:p w14:paraId="0B2B8DD9" w14:textId="77777777" w:rsidR="00894F6B" w:rsidRDefault="00894F6B" w:rsidP="00894F6B">
      <w:pPr>
        <w:pStyle w:val="Heading1"/>
        <w:sectPr w:rsidR="00894F6B" w:rsidSect="007E1540">
          <w:pgSz w:w="11906" w:h="16838" w:code="9"/>
          <w:pgMar w:top="1440" w:right="1440" w:bottom="1440" w:left="1440" w:header="397" w:footer="397" w:gutter="0"/>
          <w:cols w:space="312"/>
          <w:docGrid w:linePitch="360"/>
        </w:sectPr>
      </w:pPr>
    </w:p>
    <w:p w14:paraId="1AAE740D" w14:textId="77777777" w:rsidR="00F7687C" w:rsidRPr="00272217" w:rsidRDefault="00671550" w:rsidP="00894F6B">
      <w:pPr>
        <w:pStyle w:val="Heading1"/>
      </w:pPr>
      <w:bookmarkStart w:id="16" w:name="_Toc213847110"/>
      <w:r w:rsidRPr="00272217">
        <w:lastRenderedPageBreak/>
        <w:t>Advice to Inspectors</w:t>
      </w:r>
      <w:bookmarkEnd w:id="16"/>
      <w:r w:rsidR="00495370" w:rsidRPr="00272217">
        <w:t xml:space="preserve"> </w:t>
      </w:r>
    </w:p>
    <w:p w14:paraId="1A3F535D" w14:textId="3578E287" w:rsidR="00C65E5D" w:rsidRPr="00272217" w:rsidRDefault="00050C5B" w:rsidP="00894F6B">
      <w:pPr>
        <w:pStyle w:val="F9-Paragraph"/>
      </w:pPr>
      <w:r w:rsidRPr="00272217">
        <w:t>This section provides guidance to ONR inspectors on interpreting legal duties, applying RGP and exercising regulatory judgement consistently and proportionately.</w:t>
      </w:r>
    </w:p>
    <w:p w14:paraId="762191E2" w14:textId="0B09B018" w:rsidR="00050C5B" w:rsidRPr="00272217" w:rsidRDefault="00050C5B" w:rsidP="00894F6B">
      <w:pPr>
        <w:pStyle w:val="Heading2"/>
      </w:pPr>
      <w:r w:rsidRPr="00272217">
        <w:t xml:space="preserve">Key </w:t>
      </w:r>
      <w:r w:rsidR="00894F6B">
        <w:t>p</w:t>
      </w:r>
      <w:r w:rsidRPr="00272217">
        <w:t>rinciples</w:t>
      </w:r>
    </w:p>
    <w:p w14:paraId="00E670B5" w14:textId="789D0AD4" w:rsidR="00050C5B" w:rsidRPr="00050C5B" w:rsidRDefault="00050C5B" w:rsidP="000B43AB">
      <w:pPr>
        <w:pStyle w:val="Bulletlist1"/>
      </w:pPr>
      <w:r w:rsidRPr="00894F6B">
        <w:rPr>
          <w:b/>
        </w:rPr>
        <w:t xml:space="preserve">ALARP </w:t>
      </w:r>
      <w:r w:rsidR="00445C30">
        <w:rPr>
          <w:b/>
        </w:rPr>
        <w:t>j</w:t>
      </w:r>
      <w:r w:rsidRPr="00894F6B">
        <w:rPr>
          <w:b/>
        </w:rPr>
        <w:t>udgement</w:t>
      </w:r>
      <w:r w:rsidRPr="00050C5B">
        <w:t>: Determining whether risks have been reduced to ALARP is</w:t>
      </w:r>
      <w:r w:rsidR="00A015CE" w:rsidRPr="00272217">
        <w:t xml:space="preserve"> primarily</w:t>
      </w:r>
      <w:r w:rsidRPr="00050C5B">
        <w:t xml:space="preserve"> a qualitative process. Quantitative </w:t>
      </w:r>
      <w:r w:rsidR="00530305">
        <w:t xml:space="preserve">approaches, such as CBA, can be </w:t>
      </w:r>
      <w:r w:rsidR="00B25A16">
        <w:t>helpful elements of</w:t>
      </w:r>
      <w:r w:rsidR="00530305">
        <w:t xml:space="preserve"> ALARP </w:t>
      </w:r>
      <w:r w:rsidR="00B91E78">
        <w:t xml:space="preserve">justification </w:t>
      </w:r>
      <w:r w:rsidR="00530305">
        <w:t xml:space="preserve">but </w:t>
      </w:r>
      <w:r w:rsidR="007E1770">
        <w:t>should not be the sole argument</w:t>
      </w:r>
      <w:r w:rsidR="00B25A16">
        <w:t xml:space="preserve"> </w:t>
      </w:r>
      <w:r w:rsidR="00667898">
        <w:t>(</w:t>
      </w:r>
      <w:r w:rsidR="00CC555C">
        <w:t>refer to</w:t>
      </w:r>
      <w:r w:rsidR="00667898">
        <w:t xml:space="preserve"> Appendix 1). </w:t>
      </w:r>
    </w:p>
    <w:p w14:paraId="237E8EEC" w14:textId="22E4A49D" w:rsidR="00050C5B" w:rsidRPr="00050C5B" w:rsidRDefault="00050C5B" w:rsidP="000B43AB">
      <w:pPr>
        <w:pStyle w:val="Bulletlist1"/>
      </w:pPr>
      <w:r w:rsidRPr="00894F6B">
        <w:rPr>
          <w:b/>
        </w:rPr>
        <w:t xml:space="preserve">Dutyholder </w:t>
      </w:r>
      <w:r w:rsidR="00445C30">
        <w:rPr>
          <w:b/>
        </w:rPr>
        <w:t>r</w:t>
      </w:r>
      <w:r w:rsidRPr="00894F6B">
        <w:rPr>
          <w:b/>
        </w:rPr>
        <w:t>esponsibility</w:t>
      </w:r>
      <w:r w:rsidRPr="00050C5B">
        <w:t xml:space="preserve">: It is the dutyholder’s legal obligation to carry out suitable and sufficient risk assessments and implement measures to reduce risks to ALARP. This duty is ongoing and </w:t>
      </w:r>
      <w:r w:rsidR="00E0689E">
        <w:t xml:space="preserve">must be delivered alongside any other statutory requirements </w:t>
      </w:r>
      <w:r w:rsidR="00445C30">
        <w:t>(for example,</w:t>
      </w:r>
      <w:r w:rsidR="00E0689E">
        <w:t xml:space="preserve"> </w:t>
      </w:r>
      <w:r w:rsidR="0087016B">
        <w:t xml:space="preserve">other health and safety duties, as well as duties </w:t>
      </w:r>
      <w:r w:rsidR="00E0689E">
        <w:t xml:space="preserve">in relation to the environment, </w:t>
      </w:r>
      <w:r w:rsidR="00D22F04">
        <w:t>security</w:t>
      </w:r>
      <w:r w:rsidR="0087016B">
        <w:t xml:space="preserve"> or</w:t>
      </w:r>
      <w:r w:rsidR="00D22F04">
        <w:t xml:space="preserve"> safeguards).</w:t>
      </w:r>
    </w:p>
    <w:p w14:paraId="70C622D8" w14:textId="2E34E7E4" w:rsidR="00C65E5D" w:rsidRDefault="00050C5B" w:rsidP="000B43AB">
      <w:pPr>
        <w:pStyle w:val="Bulletlist1"/>
      </w:pPr>
      <w:r w:rsidRPr="00894F6B">
        <w:rPr>
          <w:b/>
        </w:rPr>
        <w:t>Written Safety Cases</w:t>
      </w:r>
      <w:r w:rsidRPr="00050C5B">
        <w:t xml:space="preserve">: Where required by legislation or licence conditions, dutyholders must present a </w:t>
      </w:r>
      <w:r w:rsidR="009E3AA7">
        <w:t>written</w:t>
      </w:r>
      <w:r w:rsidR="00806F38">
        <w:t xml:space="preserve"> </w:t>
      </w:r>
      <w:r w:rsidRPr="00050C5B">
        <w:t xml:space="preserve">safety </w:t>
      </w:r>
      <w:r w:rsidR="003A055A">
        <w:t>case.</w:t>
      </w:r>
      <w:r w:rsidRPr="00050C5B">
        <w:t xml:space="preserve"> Inspectors should apply a risk-informed and proportionate sampling approach to assess adequacy.</w:t>
      </w:r>
    </w:p>
    <w:p w14:paraId="5DF9B7A4" w14:textId="0BA984DC" w:rsidR="00050C5B" w:rsidRPr="00272217" w:rsidRDefault="00050C5B" w:rsidP="00894F6B">
      <w:pPr>
        <w:pStyle w:val="Heading2"/>
      </w:pPr>
      <w:r w:rsidRPr="00272217">
        <w:t xml:space="preserve">Inspector </w:t>
      </w:r>
      <w:r w:rsidR="00894F6B">
        <w:t>e</w:t>
      </w:r>
      <w:r w:rsidRPr="00272217">
        <w:t>ngagement</w:t>
      </w:r>
    </w:p>
    <w:p w14:paraId="5006FF92" w14:textId="1F9DF2AB" w:rsidR="00050C5B" w:rsidRPr="00050C5B" w:rsidRDefault="00050C5B" w:rsidP="000B43AB">
      <w:pPr>
        <w:pStyle w:val="Bulletlist1"/>
        <w:rPr>
          <w:lang w:bidi="ar-SA"/>
        </w:rPr>
      </w:pPr>
      <w:r w:rsidRPr="00050C5B">
        <w:rPr>
          <w:lang w:bidi="ar-SA"/>
        </w:rPr>
        <w:t xml:space="preserve">Inspectors </w:t>
      </w:r>
      <w:r w:rsidR="00C65E5D" w:rsidRPr="00272217">
        <w:rPr>
          <w:lang w:bidi="ar-SA"/>
        </w:rPr>
        <w:t>should seek to</w:t>
      </w:r>
      <w:r w:rsidRPr="00050C5B">
        <w:rPr>
          <w:lang w:bidi="ar-SA"/>
        </w:rPr>
        <w:t xml:space="preserve"> understand the dutyholder’s rationale for</w:t>
      </w:r>
      <w:r w:rsidR="00C65E5D" w:rsidRPr="00272217">
        <w:rPr>
          <w:lang w:bidi="ar-SA"/>
        </w:rPr>
        <w:t xml:space="preserve"> claiming to</w:t>
      </w:r>
      <w:r w:rsidRPr="00050C5B">
        <w:rPr>
          <w:lang w:bidi="ar-SA"/>
        </w:rPr>
        <w:t xml:space="preserve"> meet ALARP obligations.</w:t>
      </w:r>
    </w:p>
    <w:p w14:paraId="37875A95" w14:textId="00F83359" w:rsidR="00050C5B" w:rsidRPr="00272217" w:rsidRDefault="00050C5B" w:rsidP="000B43AB">
      <w:pPr>
        <w:pStyle w:val="Bulletlist1"/>
        <w:rPr>
          <w:lang w:bidi="ar-SA"/>
        </w:rPr>
      </w:pPr>
      <w:r w:rsidRPr="00050C5B">
        <w:rPr>
          <w:lang w:bidi="ar-SA"/>
        </w:rPr>
        <w:t>Engagements should be targeted, balanced and consistent.</w:t>
      </w:r>
    </w:p>
    <w:p w14:paraId="30F19FE8" w14:textId="1E8BD2C4" w:rsidR="00FC4DD5" w:rsidRPr="00272217" w:rsidRDefault="00FC4DD5" w:rsidP="000B43AB">
      <w:pPr>
        <w:pStyle w:val="Bulletlist1"/>
        <w:rPr>
          <w:lang w:bidi="ar-SA"/>
        </w:rPr>
      </w:pPr>
      <w:r w:rsidRPr="00272217">
        <w:rPr>
          <w:lang w:bidi="ar-SA"/>
        </w:rPr>
        <w:t>There are nine numerical targets in the SAPs. These should be used to target ONR’s attention for nuclear safety hazards.</w:t>
      </w:r>
    </w:p>
    <w:p w14:paraId="5EAAD819" w14:textId="35C65F3D" w:rsidR="00050C5B" w:rsidRPr="00050C5B" w:rsidRDefault="00050C5B" w:rsidP="000B43AB">
      <w:pPr>
        <w:pStyle w:val="Bulletlist1"/>
        <w:rPr>
          <w:lang w:bidi="ar-SA"/>
        </w:rPr>
      </w:pPr>
      <w:r w:rsidRPr="00050C5B">
        <w:rPr>
          <w:lang w:bidi="ar-SA"/>
        </w:rPr>
        <w:t xml:space="preserve">Inspectors may offer guidance </w:t>
      </w:r>
      <w:r w:rsidR="00273930">
        <w:rPr>
          <w:lang w:bidi="ar-SA"/>
        </w:rPr>
        <w:t>to assist dutyholder</w:t>
      </w:r>
      <w:r w:rsidR="007F45D6">
        <w:rPr>
          <w:lang w:bidi="ar-SA"/>
        </w:rPr>
        <w:t xml:space="preserve">s in understanding their legal obligations; </w:t>
      </w:r>
      <w:r w:rsidRPr="00050C5B">
        <w:rPr>
          <w:lang w:bidi="ar-SA"/>
        </w:rPr>
        <w:t>but</w:t>
      </w:r>
      <w:r w:rsidR="007F45D6">
        <w:rPr>
          <w:lang w:bidi="ar-SA"/>
        </w:rPr>
        <w:t xml:space="preserve"> inspectors</w:t>
      </w:r>
      <w:r w:rsidRPr="00050C5B">
        <w:rPr>
          <w:lang w:bidi="ar-SA"/>
        </w:rPr>
        <w:t xml:space="preserve"> must ultimately form independent regulatory judgements.</w:t>
      </w:r>
    </w:p>
    <w:p w14:paraId="5B312C58" w14:textId="015A94C3" w:rsidR="00050C5B" w:rsidRPr="00272217" w:rsidRDefault="00050C5B" w:rsidP="00894F6B">
      <w:pPr>
        <w:pStyle w:val="Heading2"/>
      </w:pPr>
      <w:r w:rsidRPr="00272217">
        <w:t xml:space="preserve">Indicators of </w:t>
      </w:r>
      <w:r w:rsidR="00894F6B">
        <w:t>a</w:t>
      </w:r>
      <w:r w:rsidRPr="00272217">
        <w:t>dequacy</w:t>
      </w:r>
    </w:p>
    <w:p w14:paraId="087F1014" w14:textId="77777777" w:rsidR="00050C5B" w:rsidRPr="00050C5B" w:rsidRDefault="00050C5B" w:rsidP="00894F6B">
      <w:pPr>
        <w:pStyle w:val="F9-Paragraph"/>
      </w:pPr>
      <w:r w:rsidRPr="00050C5B">
        <w:t>Inspectors should look for:</w:t>
      </w:r>
    </w:p>
    <w:p w14:paraId="0D987628" w14:textId="4CD682B9" w:rsidR="00050C5B" w:rsidRPr="00050C5B" w:rsidRDefault="00050C5B" w:rsidP="000B43AB">
      <w:pPr>
        <w:pStyle w:val="Bulletlist1"/>
        <w:rPr>
          <w:lang w:bidi="ar-SA"/>
        </w:rPr>
      </w:pPr>
      <w:r w:rsidRPr="00050C5B">
        <w:rPr>
          <w:lang w:bidi="ar-SA"/>
        </w:rPr>
        <w:t xml:space="preserve">A safety case </w:t>
      </w:r>
      <w:r w:rsidR="00123895">
        <w:rPr>
          <w:lang w:bidi="ar-SA"/>
        </w:rPr>
        <w:t>or equivalent document</w:t>
      </w:r>
      <w:r w:rsidRPr="00050C5B">
        <w:rPr>
          <w:lang w:bidi="ar-SA"/>
        </w:rPr>
        <w:t xml:space="preserve"> with rigour proportionate to the hazard.</w:t>
      </w:r>
    </w:p>
    <w:p w14:paraId="2CF99A6C" w14:textId="215DCD88" w:rsidR="00050C5B" w:rsidRPr="00050C5B" w:rsidRDefault="00050C5B" w:rsidP="000B43AB">
      <w:pPr>
        <w:pStyle w:val="Bulletlist1"/>
        <w:rPr>
          <w:lang w:bidi="ar-SA"/>
        </w:rPr>
      </w:pPr>
      <w:r w:rsidRPr="00050C5B">
        <w:rPr>
          <w:lang w:bidi="ar-SA"/>
        </w:rPr>
        <w:t>Evidence of a fit-for-purpose risk assessment underpinning the</w:t>
      </w:r>
      <w:r w:rsidR="00B91E78">
        <w:rPr>
          <w:lang w:bidi="ar-SA"/>
        </w:rPr>
        <w:t xml:space="preserve"> demonstration of</w:t>
      </w:r>
      <w:r w:rsidR="001D00A3">
        <w:rPr>
          <w:lang w:bidi="ar-SA"/>
        </w:rPr>
        <w:t xml:space="preserve"> ALARP</w:t>
      </w:r>
      <w:r w:rsidRPr="00050C5B">
        <w:rPr>
          <w:lang w:bidi="ar-SA"/>
        </w:rPr>
        <w:t>.</w:t>
      </w:r>
    </w:p>
    <w:p w14:paraId="7EA5FC6B" w14:textId="13303CBD" w:rsidR="00050C5B" w:rsidRPr="00050C5B" w:rsidRDefault="00050C5B" w:rsidP="000B43AB">
      <w:pPr>
        <w:pStyle w:val="Bulletlist1"/>
        <w:rPr>
          <w:lang w:bidi="ar-SA"/>
        </w:rPr>
      </w:pPr>
      <w:r w:rsidRPr="00050C5B">
        <w:rPr>
          <w:lang w:bidi="ar-SA"/>
        </w:rPr>
        <w:lastRenderedPageBreak/>
        <w:t xml:space="preserve">Consideration of all foreseeable risks under the dutyholder’s control, across all </w:t>
      </w:r>
      <w:r w:rsidR="00744DB6" w:rsidRPr="00272217">
        <w:rPr>
          <w:lang w:bidi="ar-SA"/>
        </w:rPr>
        <w:t xml:space="preserve">permitted </w:t>
      </w:r>
      <w:r w:rsidRPr="00050C5B">
        <w:rPr>
          <w:lang w:bidi="ar-SA"/>
        </w:rPr>
        <w:t>operating states and</w:t>
      </w:r>
      <w:r w:rsidR="00744DB6" w:rsidRPr="00272217">
        <w:rPr>
          <w:lang w:bidi="ar-SA"/>
        </w:rPr>
        <w:t xml:space="preserve"> levels of</w:t>
      </w:r>
      <w:r w:rsidRPr="00050C5B">
        <w:rPr>
          <w:lang w:bidi="ar-SA"/>
        </w:rPr>
        <w:t xml:space="preserve"> defence</w:t>
      </w:r>
      <w:r w:rsidR="00744DB6" w:rsidRPr="00272217">
        <w:rPr>
          <w:lang w:bidi="ar-SA"/>
        </w:rPr>
        <w:t xml:space="preserve"> in depth</w:t>
      </w:r>
      <w:r w:rsidRPr="00050C5B">
        <w:rPr>
          <w:lang w:bidi="ar-SA"/>
        </w:rPr>
        <w:t>.</w:t>
      </w:r>
    </w:p>
    <w:p w14:paraId="40D1973F" w14:textId="087A97B9" w:rsidR="00050C5B" w:rsidRPr="00272217" w:rsidRDefault="00744DB6" w:rsidP="000B43AB">
      <w:pPr>
        <w:pStyle w:val="Bulletlist1"/>
        <w:rPr>
          <w:lang w:bidi="ar-SA"/>
        </w:rPr>
      </w:pPr>
      <w:r w:rsidRPr="00272217">
        <w:rPr>
          <w:lang w:bidi="ar-SA"/>
        </w:rPr>
        <w:t>Appropriate u</w:t>
      </w:r>
      <w:r w:rsidR="00050C5B" w:rsidRPr="00272217">
        <w:rPr>
          <w:lang w:bidi="ar-SA"/>
        </w:rPr>
        <w:t>se of</w:t>
      </w:r>
      <w:r w:rsidR="00C704FE">
        <w:rPr>
          <w:lang w:bidi="ar-SA"/>
        </w:rPr>
        <w:t xml:space="preserve"> probabilistic safety analysis</w:t>
      </w:r>
      <w:r w:rsidR="00050C5B" w:rsidRPr="00272217">
        <w:rPr>
          <w:lang w:bidi="ar-SA"/>
        </w:rPr>
        <w:t xml:space="preserve"> </w:t>
      </w:r>
      <w:r w:rsidR="00C704FE">
        <w:rPr>
          <w:lang w:bidi="ar-SA"/>
        </w:rPr>
        <w:t>(</w:t>
      </w:r>
      <w:r w:rsidR="00050C5B" w:rsidRPr="00272217">
        <w:rPr>
          <w:lang w:bidi="ar-SA"/>
        </w:rPr>
        <w:t>PSA</w:t>
      </w:r>
      <w:r w:rsidR="00C704FE">
        <w:rPr>
          <w:lang w:bidi="ar-SA"/>
        </w:rPr>
        <w:t>)</w:t>
      </w:r>
      <w:r w:rsidR="00050C5B" w:rsidRPr="00272217">
        <w:rPr>
          <w:lang w:bidi="ar-SA"/>
        </w:rPr>
        <w:t xml:space="preserve"> for complex, high-hazard facilities, complement</w:t>
      </w:r>
      <w:r w:rsidR="00BE67DC" w:rsidRPr="00272217">
        <w:rPr>
          <w:lang w:bidi="ar-SA"/>
        </w:rPr>
        <w:t>ing</w:t>
      </w:r>
      <w:r w:rsidR="00C25DFE" w:rsidRPr="00272217">
        <w:rPr>
          <w:lang w:bidi="ar-SA"/>
        </w:rPr>
        <w:t xml:space="preserve"> the underpinning</w:t>
      </w:r>
      <w:r w:rsidR="00050C5B" w:rsidRPr="00272217">
        <w:rPr>
          <w:lang w:bidi="ar-SA"/>
        </w:rPr>
        <w:t xml:space="preserve"> deterministic analysis.</w:t>
      </w:r>
      <w:r w:rsidR="001D1A9F" w:rsidRPr="00272217">
        <w:rPr>
          <w:lang w:bidi="ar-SA"/>
        </w:rPr>
        <w:t xml:space="preserve"> </w:t>
      </w:r>
      <w:r w:rsidR="004658B7">
        <w:rPr>
          <w:lang w:bidi="ar-SA"/>
        </w:rPr>
        <w:t>This can be particularly helpful in understanding a more best-estimate appreciation of the risks</w:t>
      </w:r>
      <w:r w:rsidR="006B4B3F">
        <w:rPr>
          <w:lang w:bidi="ar-SA"/>
        </w:rPr>
        <w:t xml:space="preserve"> in contrast to the generally conversative approach taken by design basis analysis</w:t>
      </w:r>
      <w:r w:rsidR="00504EBE">
        <w:rPr>
          <w:lang w:bidi="ar-SA"/>
        </w:rPr>
        <w:t xml:space="preserve"> (DBA)</w:t>
      </w:r>
      <w:r w:rsidR="006B4B3F">
        <w:rPr>
          <w:lang w:bidi="ar-SA"/>
        </w:rPr>
        <w:t>.</w:t>
      </w:r>
    </w:p>
    <w:p w14:paraId="43A427D3" w14:textId="6F944723" w:rsidR="00050C5B" w:rsidRPr="00050C5B" w:rsidRDefault="0096101A" w:rsidP="000B43AB">
      <w:pPr>
        <w:pStyle w:val="Bulletlist1"/>
        <w:rPr>
          <w:lang w:bidi="ar-SA"/>
        </w:rPr>
      </w:pPr>
      <w:r w:rsidRPr="00272217">
        <w:rPr>
          <w:lang w:bidi="ar-SA"/>
        </w:rPr>
        <w:t>Appropriate a</w:t>
      </w:r>
      <w:r w:rsidR="00050C5B" w:rsidRPr="00050C5B">
        <w:rPr>
          <w:lang w:bidi="ar-SA"/>
        </w:rPr>
        <w:t>pplication of RGP</w:t>
      </w:r>
      <w:r w:rsidR="008555A7" w:rsidRPr="00272217">
        <w:rPr>
          <w:lang w:bidi="ar-SA"/>
        </w:rPr>
        <w:t xml:space="preserve"> sufficient to meet the overall legal requirement</w:t>
      </w:r>
      <w:r w:rsidR="005F136C" w:rsidRPr="00272217">
        <w:rPr>
          <w:lang w:bidi="ar-SA"/>
        </w:rPr>
        <w:t>.</w:t>
      </w:r>
      <w:r w:rsidR="005733E6" w:rsidRPr="00272217">
        <w:rPr>
          <w:lang w:bidi="ar-SA"/>
        </w:rPr>
        <w:t xml:space="preserve"> In novel or unusual circumstances, or in cases where the underlying risk is high, RGP is usually only a starting point to a more detailed assessment against the legal requirement</w:t>
      </w:r>
      <w:r w:rsidR="003D448F">
        <w:rPr>
          <w:lang w:bidi="ar-SA"/>
        </w:rPr>
        <w:t>.</w:t>
      </w:r>
    </w:p>
    <w:p w14:paraId="0B989EA0" w14:textId="77777777" w:rsidR="00050C5B" w:rsidRPr="00050C5B" w:rsidRDefault="00050C5B" w:rsidP="000B43AB">
      <w:pPr>
        <w:pStyle w:val="Bulletlist1"/>
        <w:rPr>
          <w:lang w:bidi="ar-SA"/>
        </w:rPr>
      </w:pPr>
      <w:r w:rsidRPr="00050C5B">
        <w:rPr>
          <w:lang w:bidi="ar-SA"/>
        </w:rPr>
        <w:t>Justification for deviations from RGP, supported by equivalent or better outcomes.</w:t>
      </w:r>
    </w:p>
    <w:p w14:paraId="790A12D9" w14:textId="77777777" w:rsidR="00050C5B" w:rsidRPr="00050C5B" w:rsidRDefault="00050C5B" w:rsidP="000B43AB">
      <w:pPr>
        <w:pStyle w:val="Bulletlist1"/>
        <w:rPr>
          <w:lang w:bidi="ar-SA"/>
        </w:rPr>
      </w:pPr>
      <w:r w:rsidRPr="00050C5B">
        <w:rPr>
          <w:lang w:bidi="ar-SA"/>
        </w:rPr>
        <w:t>Consideration of partial or alternative measures where full implementation is not reasonably practicable.</w:t>
      </w:r>
    </w:p>
    <w:p w14:paraId="12820DEA" w14:textId="6B7E010E" w:rsidR="00050C5B" w:rsidRPr="00050C5B" w:rsidRDefault="00050C5B" w:rsidP="000B43AB">
      <w:pPr>
        <w:pStyle w:val="Bulletlist1"/>
        <w:rPr>
          <w:lang w:bidi="ar-SA"/>
        </w:rPr>
      </w:pPr>
      <w:r w:rsidRPr="00050C5B">
        <w:rPr>
          <w:lang w:bidi="ar-SA"/>
        </w:rPr>
        <w:t>Avoidance of standalone reliance on CBA.</w:t>
      </w:r>
    </w:p>
    <w:p w14:paraId="02A756CF" w14:textId="5CF9FC9E" w:rsidR="00650ECB" w:rsidRDefault="00050C5B" w:rsidP="000B43AB">
      <w:pPr>
        <w:pStyle w:val="Bulletlist1"/>
        <w:rPr>
          <w:lang w:bidi="ar-SA"/>
        </w:rPr>
      </w:pPr>
      <w:r w:rsidRPr="00050C5B">
        <w:rPr>
          <w:lang w:bidi="ar-SA"/>
        </w:rPr>
        <w:t>Optioneering that begins with the safest option and considers lifecycle risks</w:t>
      </w:r>
      <w:r w:rsidR="005733E6" w:rsidRPr="00272217">
        <w:rPr>
          <w:lang w:bidi="ar-SA"/>
        </w:rPr>
        <w:t xml:space="preserve"> (</w:t>
      </w:r>
      <w:r w:rsidR="00894F6B">
        <w:rPr>
          <w:lang w:bidi="ar-SA"/>
        </w:rPr>
        <w:t>refer to</w:t>
      </w:r>
      <w:r w:rsidR="005733E6" w:rsidRPr="00272217">
        <w:rPr>
          <w:lang w:bidi="ar-SA"/>
        </w:rPr>
        <w:t xml:space="preserve"> Appendix 3)</w:t>
      </w:r>
      <w:r w:rsidRPr="00050C5B">
        <w:rPr>
          <w:lang w:bidi="ar-SA"/>
        </w:rPr>
        <w:t>.</w:t>
      </w:r>
    </w:p>
    <w:p w14:paraId="292300F7" w14:textId="133F68E2" w:rsidR="00050C5B" w:rsidRPr="00650ECB" w:rsidRDefault="00050C5B" w:rsidP="000B43AB">
      <w:pPr>
        <w:pStyle w:val="Bulletlist1"/>
        <w:rPr>
          <w:lang w:bidi="ar-SA"/>
        </w:rPr>
        <w:sectPr w:rsidR="00050C5B" w:rsidRPr="00650ECB" w:rsidSect="007E1540">
          <w:pgSz w:w="11906" w:h="16838" w:code="9"/>
          <w:pgMar w:top="1440" w:right="1440" w:bottom="1440" w:left="1440" w:header="397" w:footer="397" w:gutter="0"/>
          <w:cols w:space="312"/>
          <w:docGrid w:linePitch="360"/>
        </w:sectPr>
      </w:pPr>
      <w:r w:rsidRPr="00650ECB">
        <w:rPr>
          <w:lang w:bidi="ar-SA"/>
        </w:rPr>
        <w:t>Cross-disciplinary collaboration within ONR to ensure balanced judgements</w:t>
      </w:r>
      <w:r w:rsidR="003D448F" w:rsidRPr="00650ECB">
        <w:rPr>
          <w:lang w:bidi="ar-SA"/>
        </w:rPr>
        <w:t>.</w:t>
      </w:r>
    </w:p>
    <w:p w14:paraId="04CCA155" w14:textId="75CC8316" w:rsidR="009C22B3" w:rsidRDefault="009C22B3" w:rsidP="00503FB9">
      <w:pPr>
        <w:pStyle w:val="Heading1"/>
        <w:numPr>
          <w:ilvl w:val="0"/>
          <w:numId w:val="0"/>
        </w:numPr>
        <w:ind w:left="851"/>
      </w:pPr>
      <w:bookmarkStart w:id="17" w:name="_Appendix_1:_Cost"/>
      <w:bookmarkStart w:id="18" w:name="_Toc213847111"/>
      <w:bookmarkEnd w:id="17"/>
      <w:r w:rsidRPr="00AB6C95">
        <w:lastRenderedPageBreak/>
        <w:t>A</w:t>
      </w:r>
      <w:r w:rsidR="00A06206" w:rsidRPr="00AB6C95">
        <w:t>ppendix 1</w:t>
      </w:r>
      <w:r w:rsidR="007349E9" w:rsidRPr="00AB6C95">
        <w:t>:</w:t>
      </w:r>
      <w:r w:rsidR="00A06206" w:rsidRPr="00AB6C95">
        <w:t xml:space="preserve"> Cost </w:t>
      </w:r>
      <w:r w:rsidR="002D06C0">
        <w:t>b</w:t>
      </w:r>
      <w:r w:rsidR="00A06206" w:rsidRPr="00AB6C95">
        <w:t xml:space="preserve">enefit </w:t>
      </w:r>
      <w:r w:rsidR="002D06C0">
        <w:t>a</w:t>
      </w:r>
      <w:r w:rsidR="00A06206" w:rsidRPr="00AB6C95">
        <w:t>nalysis</w:t>
      </w:r>
      <w:bookmarkEnd w:id="18"/>
      <w:r w:rsidR="00F866DD">
        <w:t xml:space="preserve"> </w:t>
      </w:r>
    </w:p>
    <w:p w14:paraId="6C02C80A" w14:textId="2370F471" w:rsidR="00B01FA4" w:rsidRPr="000533C9" w:rsidRDefault="00B01FA4" w:rsidP="00CC555C">
      <w:pPr>
        <w:pStyle w:val="Heading2"/>
        <w:numPr>
          <w:ilvl w:val="0"/>
          <w:numId w:val="0"/>
        </w:numPr>
        <w:ind w:left="851"/>
      </w:pPr>
      <w:r w:rsidRPr="000533C9">
        <w:t>Purpose of CBA</w:t>
      </w:r>
    </w:p>
    <w:p w14:paraId="50C4689F" w14:textId="45673C3A" w:rsidR="00B01FA4" w:rsidRDefault="003B32CC" w:rsidP="00CC555C">
      <w:pPr>
        <w:pStyle w:val="F9-Paragraph"/>
      </w:pPr>
      <w:r>
        <w:t>CBA is u</w:t>
      </w:r>
      <w:r w:rsidR="00463739" w:rsidRPr="000533C9">
        <w:t xml:space="preserve">sed </w:t>
      </w:r>
      <w:r w:rsidR="00DE5A78" w:rsidRPr="00DE5A78">
        <w:t xml:space="preserve">to completement qualitative arguments by providing a quantitative perspective of the weighing of risk against the </w:t>
      </w:r>
      <w:r>
        <w:t xml:space="preserve">sacrifice </w:t>
      </w:r>
      <w:r w:rsidR="00445C30">
        <w:br/>
      </w:r>
      <w:r>
        <w:t>(</w:t>
      </w:r>
      <w:r w:rsidR="00445C30">
        <w:t xml:space="preserve">i.e., </w:t>
      </w:r>
      <w:r w:rsidR="00DE5A78" w:rsidRPr="00DE5A78">
        <w:t>time, trouble and cost</w:t>
      </w:r>
      <w:r>
        <w:t>) of reducing that risk</w:t>
      </w:r>
      <w:r w:rsidR="00463739" w:rsidRPr="000533C9">
        <w:t>.</w:t>
      </w:r>
      <w:r w:rsidR="00150356" w:rsidRPr="000533C9">
        <w:t xml:space="preserve"> CBA t</w:t>
      </w:r>
      <w:r w:rsidR="00463739" w:rsidRPr="000533C9">
        <w:t xml:space="preserve">ranslates both safety benefits and sacrifices into a common unit (typically monetary) to support the </w:t>
      </w:r>
      <w:r w:rsidR="00913D28">
        <w:t>‘</w:t>
      </w:r>
      <w:r w:rsidR="00463739" w:rsidRPr="000533C9">
        <w:t>gross disproportion</w:t>
      </w:r>
      <w:r w:rsidR="00913D28">
        <w:t>’</w:t>
      </w:r>
      <w:r w:rsidR="00463739" w:rsidRPr="000533C9">
        <w:t xml:space="preserve"> test.</w:t>
      </w:r>
    </w:p>
    <w:p w14:paraId="48B48C52" w14:textId="4991140F" w:rsidR="00A96036" w:rsidRDefault="00A96036" w:rsidP="00E77535">
      <w:pPr>
        <w:pStyle w:val="F9-Paragraph"/>
      </w:pPr>
      <w:r w:rsidRPr="003B59B6">
        <w:t xml:space="preserve">There is no </w:t>
      </w:r>
      <w:r>
        <w:t>definitive legal</w:t>
      </w:r>
      <w:r w:rsidRPr="003B59B6">
        <w:t xml:space="preserve"> guidance on </w:t>
      </w:r>
      <w:r>
        <w:t>how to determine what level of disproportion constitutes ‘gross disproportion</w:t>
      </w:r>
      <w:r w:rsidR="00913D28">
        <w:t>’</w:t>
      </w:r>
      <w:r>
        <w:t xml:space="preserve">. </w:t>
      </w:r>
      <w:r w:rsidRPr="003B59B6">
        <w:t>It is a judgement made on a case-by-case basis, usually qualitatively</w:t>
      </w:r>
      <w:r>
        <w:t xml:space="preserve"> but, where CBA is used, </w:t>
      </w:r>
      <w:r w:rsidR="00913D28">
        <w:t xml:space="preserve">this </w:t>
      </w:r>
      <w:r>
        <w:t>can be quanti</w:t>
      </w:r>
      <w:r w:rsidR="00913D28">
        <w:t>tative</w:t>
      </w:r>
      <w:r>
        <w:t xml:space="preserve">. In such cases, </w:t>
      </w:r>
      <w:r w:rsidRPr="003B59B6">
        <w:t xml:space="preserve">John Locke, former Director General of HSE, suggested at the Sizewell B Public Inquiry a gross disproportion factor of up to three for worker risks. For public risks, </w:t>
      </w:r>
      <w:r w:rsidR="00592471">
        <w:t xml:space="preserve">he suggested that </w:t>
      </w:r>
      <w:r w:rsidRPr="003B59B6">
        <w:t>the factor depends on the risk level: about two for low risks and around ten for higher risks.</w:t>
      </w:r>
      <w:r w:rsidR="001C6B14">
        <w:t xml:space="preserve"> </w:t>
      </w:r>
    </w:p>
    <w:p w14:paraId="37BF00FD" w14:textId="254663A5" w:rsidR="00EA65CC" w:rsidRPr="0048213E" w:rsidRDefault="00EA65CC" w:rsidP="00CC555C">
      <w:pPr>
        <w:pStyle w:val="Heading2"/>
        <w:numPr>
          <w:ilvl w:val="0"/>
          <w:numId w:val="0"/>
        </w:numPr>
        <w:ind w:left="851"/>
      </w:pPr>
      <w:r w:rsidRPr="0048213E">
        <w:t>Valid factors</w:t>
      </w:r>
    </w:p>
    <w:p w14:paraId="23DA7246" w14:textId="56A2C153" w:rsidR="00EA65CC" w:rsidRDefault="00EA65CC" w:rsidP="00E77535">
      <w:pPr>
        <w:pStyle w:val="F9-Paragraph"/>
      </w:pPr>
      <w:r>
        <w:t xml:space="preserve">The sacrifice side of the ALARP balance can legitimately include any costs borne by the dutyholder in implementing </w:t>
      </w:r>
      <w:r w:rsidR="00642669">
        <w:t>the proposed safety measure</w:t>
      </w:r>
      <w:r w:rsidR="008017AE">
        <w:t xml:space="preserve"> </w:t>
      </w:r>
      <w:r w:rsidR="00642669">
        <w:t xml:space="preserve">that are being evaluated. This can include lost profit </w:t>
      </w:r>
      <w:r w:rsidR="00445C30">
        <w:t>(for example,</w:t>
      </w:r>
      <w:r w:rsidR="00642669">
        <w:t xml:space="preserve"> resulting from a power station outage) as well as the direct costs of purchasing, installing and otherwise preparing for t</w:t>
      </w:r>
      <w:r w:rsidR="008017AE">
        <w:t>he safety measure (such as training etc.).</w:t>
      </w:r>
      <w:r w:rsidR="00C155A6">
        <w:t xml:space="preserve"> </w:t>
      </w:r>
      <w:r w:rsidR="00723EE3">
        <w:br/>
      </w:r>
      <w:r w:rsidR="00C155A6">
        <w:t xml:space="preserve">Care must be exercised to ensure that these are fairly represented and not </w:t>
      </w:r>
      <w:r w:rsidR="00F35DE4">
        <w:br/>
      </w:r>
      <w:r w:rsidR="00C155A6">
        <w:t xml:space="preserve">over-inflated. If </w:t>
      </w:r>
      <w:r w:rsidR="00EB6336">
        <w:t xml:space="preserve">the new safety measure only requires an adjustment to the timing of an outage, or an extension to it, then it is only this additional expense that should be included – not the full cost of the outage that would have taken place anyway. </w:t>
      </w:r>
    </w:p>
    <w:p w14:paraId="6377401F" w14:textId="26C72A9A" w:rsidR="008017AE" w:rsidRDefault="003D3D37" w:rsidP="00E77535">
      <w:pPr>
        <w:pStyle w:val="F9-Paragraph"/>
      </w:pPr>
      <w:r>
        <w:t xml:space="preserve">The risk side of the ALARP balance is usually constructed by multiplying the likelihood of an accident </w:t>
      </w:r>
      <w:r w:rsidR="007A4504">
        <w:t xml:space="preserve">by an estimate of the harm </w:t>
      </w:r>
      <w:r w:rsidR="00561D7E">
        <w:t>represented financially</w:t>
      </w:r>
      <w:r w:rsidR="007A4504">
        <w:t>.</w:t>
      </w:r>
      <w:r w:rsidR="00561D7E">
        <w:t xml:space="preserve"> </w:t>
      </w:r>
      <w:r w:rsidR="007A4504">
        <w:t xml:space="preserve">Figures are available to represent the </w:t>
      </w:r>
      <w:r w:rsidR="001D1CE1">
        <w:t xml:space="preserve">financial impact of different degrees of harm, including death. It </w:t>
      </w:r>
      <w:r w:rsidR="00CB6369">
        <w:t xml:space="preserve">is usually also appropriate to consider the cost of any clean-up </w:t>
      </w:r>
      <w:r w:rsidR="00DA4E31">
        <w:t>and</w:t>
      </w:r>
      <w:r w:rsidR="00CB6369">
        <w:t xml:space="preserve"> other socio-economic harms</w:t>
      </w:r>
      <w:r w:rsidR="00904B35">
        <w:t xml:space="preserve"> in situations where there is off-site impact. </w:t>
      </w:r>
      <w:r w:rsidR="00CB6369">
        <w:t xml:space="preserve"> </w:t>
      </w:r>
    </w:p>
    <w:p w14:paraId="1BA7CEA4" w14:textId="77777777" w:rsidR="00503FB9" w:rsidRDefault="00503FB9" w:rsidP="00CC555C">
      <w:pPr>
        <w:pStyle w:val="Heading2"/>
        <w:numPr>
          <w:ilvl w:val="0"/>
          <w:numId w:val="0"/>
        </w:numPr>
        <w:ind w:left="851"/>
        <w:sectPr w:rsidR="00503FB9" w:rsidSect="007E1540">
          <w:pgSz w:w="11906" w:h="16838" w:code="9"/>
          <w:pgMar w:top="1440" w:right="1440" w:bottom="1440" w:left="1440" w:header="397" w:footer="397" w:gutter="0"/>
          <w:cols w:space="312"/>
          <w:docGrid w:linePitch="360"/>
        </w:sectPr>
      </w:pPr>
    </w:p>
    <w:p w14:paraId="1FD82D97" w14:textId="4F649B47" w:rsidR="00904B35" w:rsidRPr="0048213E" w:rsidRDefault="00904B35" w:rsidP="00CC555C">
      <w:pPr>
        <w:pStyle w:val="Heading2"/>
        <w:numPr>
          <w:ilvl w:val="0"/>
          <w:numId w:val="0"/>
        </w:numPr>
        <w:ind w:left="851"/>
      </w:pPr>
      <w:r w:rsidRPr="0048213E">
        <w:lastRenderedPageBreak/>
        <w:t>Invalid factors</w:t>
      </w:r>
    </w:p>
    <w:p w14:paraId="634E0149" w14:textId="602F64EF" w:rsidR="0085137A" w:rsidRDefault="00E321A1" w:rsidP="00E77535">
      <w:pPr>
        <w:pStyle w:val="F9-Paragraph"/>
      </w:pPr>
      <w:r>
        <w:t>Risks and sacrifices</w:t>
      </w:r>
      <w:r w:rsidR="00904B35">
        <w:t xml:space="preserve"> that are </w:t>
      </w:r>
      <w:r w:rsidR="00F35DE4">
        <w:t>out with</w:t>
      </w:r>
      <w:r w:rsidR="00904B35">
        <w:t xml:space="preserve"> the dutyholder’s undertaking are not valid in the ALARP balance.</w:t>
      </w:r>
      <w:r w:rsidR="001B3CCD">
        <w:t xml:space="preserve"> It is only those factors that are within </w:t>
      </w:r>
      <w:r w:rsidR="00903B54">
        <w:t>a dutyholder’s</w:t>
      </w:r>
      <w:r w:rsidR="001B3CCD">
        <w:t xml:space="preserve"> control </w:t>
      </w:r>
      <w:r w:rsidR="00903B54">
        <w:t xml:space="preserve">or </w:t>
      </w:r>
      <w:r w:rsidR="0085137A" w:rsidRPr="00685A66">
        <w:t xml:space="preserve">influence, including those from </w:t>
      </w:r>
      <w:r w:rsidR="0085137A">
        <w:t>external sources outside of their undertaking</w:t>
      </w:r>
      <w:r w:rsidR="00903B54">
        <w:t xml:space="preserve"> </w:t>
      </w:r>
      <w:r w:rsidR="0085137A">
        <w:t xml:space="preserve">where </w:t>
      </w:r>
      <w:r w:rsidR="00903B54">
        <w:t>it</w:t>
      </w:r>
      <w:r w:rsidR="0085137A">
        <w:t xml:space="preserve"> can take action to reduce the risk</w:t>
      </w:r>
      <w:r w:rsidR="00503FB9">
        <w:t>.</w:t>
      </w:r>
    </w:p>
    <w:p w14:paraId="1ACEA124" w14:textId="6DB22056" w:rsidR="00904B35" w:rsidRPr="000533C9" w:rsidRDefault="00A04694" w:rsidP="00E77535">
      <w:pPr>
        <w:pStyle w:val="F9-Paragraph"/>
      </w:pPr>
      <w:r>
        <w:t xml:space="preserve">Whether or not a dutyholder can actually afford to implement a safety measure is not relevant to determining whether or not it is ALARP to do so. </w:t>
      </w:r>
      <w:r w:rsidR="00610CA7">
        <w:t>However, there are complexities that can arise here in terms of prioritisation</w:t>
      </w:r>
      <w:r w:rsidR="00BC3E1B">
        <w:t xml:space="preserve"> and having the means to implement safety measures, and these can sometimes be considered for inclusion as part of the ‘time’ or ‘trouble’ aspects of the sacrifice. </w:t>
      </w:r>
      <w:r>
        <w:t xml:space="preserve"> </w:t>
      </w:r>
      <w:r w:rsidR="00904B35">
        <w:t xml:space="preserve"> </w:t>
      </w:r>
    </w:p>
    <w:p w14:paraId="2C204F8C" w14:textId="2CC15EA3" w:rsidR="00F1788E" w:rsidRPr="000533C9" w:rsidRDefault="00463739" w:rsidP="001F5F11">
      <w:pPr>
        <w:pStyle w:val="Heading2"/>
        <w:numPr>
          <w:ilvl w:val="0"/>
          <w:numId w:val="0"/>
        </w:numPr>
        <w:ind w:left="851"/>
      </w:pPr>
      <w:r w:rsidRPr="000533C9">
        <w:t>Limitations</w:t>
      </w:r>
    </w:p>
    <w:p w14:paraId="434763FC" w14:textId="49E9D211" w:rsidR="00463739" w:rsidRPr="000533C9" w:rsidRDefault="00463739" w:rsidP="000B43AB">
      <w:pPr>
        <w:pStyle w:val="Bulletlist1"/>
        <w:rPr>
          <w:lang w:bidi="ar-SA"/>
        </w:rPr>
      </w:pPr>
      <w:bookmarkStart w:id="19" w:name="_Toc211419525"/>
      <w:bookmarkStart w:id="20" w:name="_Toc211431664"/>
      <w:r w:rsidRPr="000533C9">
        <w:rPr>
          <w:lang w:bidi="ar-SA"/>
        </w:rPr>
        <w:t>CBA alone is not sufficient to demonstrate ALARP.</w:t>
      </w:r>
      <w:r w:rsidR="000533C9" w:rsidRPr="000533C9">
        <w:rPr>
          <w:lang w:bidi="ar-SA"/>
        </w:rPr>
        <w:t xml:space="preserve"> CBA is not </w:t>
      </w:r>
      <w:r w:rsidR="00AE1E55">
        <w:rPr>
          <w:lang w:bidi="ar-SA"/>
        </w:rPr>
        <w:t xml:space="preserve">needed or </w:t>
      </w:r>
      <w:r w:rsidR="000533C9" w:rsidRPr="000533C9">
        <w:rPr>
          <w:lang w:bidi="ar-SA"/>
        </w:rPr>
        <w:t>expected for most ALARP demonstrations</w:t>
      </w:r>
      <w:r w:rsidR="00AE1E55">
        <w:rPr>
          <w:lang w:bidi="ar-SA"/>
        </w:rPr>
        <w:t>, but it can be a useful addition to the</w:t>
      </w:r>
      <w:r w:rsidR="004309F5">
        <w:rPr>
          <w:lang w:bidi="ar-SA"/>
        </w:rPr>
        <w:t xml:space="preserve"> </w:t>
      </w:r>
      <w:r w:rsidR="00AE1E55">
        <w:rPr>
          <w:lang w:bidi="ar-SA"/>
        </w:rPr>
        <w:t>qualitative argument</w:t>
      </w:r>
      <w:r w:rsidR="004309F5">
        <w:rPr>
          <w:lang w:bidi="ar-SA"/>
        </w:rPr>
        <w:t>s</w:t>
      </w:r>
      <w:r w:rsidR="00AE1E55">
        <w:rPr>
          <w:lang w:bidi="ar-SA"/>
        </w:rPr>
        <w:t xml:space="preserve"> which should comprise the core of the</w:t>
      </w:r>
      <w:r w:rsidR="00854BFC">
        <w:rPr>
          <w:lang w:bidi="ar-SA"/>
        </w:rPr>
        <w:t xml:space="preserve"> justification.</w:t>
      </w:r>
      <w:bookmarkEnd w:id="19"/>
      <w:bookmarkEnd w:id="20"/>
    </w:p>
    <w:p w14:paraId="24D38FE4" w14:textId="67F70C53" w:rsidR="00463739" w:rsidRPr="000533C9" w:rsidRDefault="00854BFC" w:rsidP="000B43AB">
      <w:pPr>
        <w:pStyle w:val="Bulletlist1"/>
        <w:rPr>
          <w:lang w:bidi="ar-SA"/>
        </w:rPr>
      </w:pPr>
      <w:bookmarkStart w:id="21" w:name="_Toc211419526"/>
      <w:bookmarkStart w:id="22" w:name="_Toc211431665"/>
      <w:r>
        <w:rPr>
          <w:lang w:bidi="ar-SA"/>
        </w:rPr>
        <w:t>CBA c</w:t>
      </w:r>
      <w:r w:rsidR="00463739" w:rsidRPr="000533C9">
        <w:rPr>
          <w:lang w:bidi="ar-SA"/>
        </w:rPr>
        <w:t>annot be used to override legal duties</w:t>
      </w:r>
      <w:r w:rsidR="00536F16" w:rsidRPr="000533C9">
        <w:rPr>
          <w:lang w:bidi="ar-SA"/>
        </w:rPr>
        <w:t xml:space="preserve">, </w:t>
      </w:r>
      <w:r w:rsidR="00463739" w:rsidRPr="000533C9">
        <w:rPr>
          <w:lang w:bidi="ar-SA"/>
        </w:rPr>
        <w:t>justify</w:t>
      </w:r>
      <w:r w:rsidR="00536F16" w:rsidRPr="000533C9">
        <w:rPr>
          <w:lang w:bidi="ar-SA"/>
        </w:rPr>
        <w:t xml:space="preserve"> intolerable risks or</w:t>
      </w:r>
      <w:r w:rsidR="00463739" w:rsidRPr="000533C9">
        <w:rPr>
          <w:lang w:bidi="ar-SA"/>
        </w:rPr>
        <w:t xml:space="preserve"> poor engineering.</w:t>
      </w:r>
      <w:bookmarkEnd w:id="21"/>
      <w:bookmarkEnd w:id="22"/>
    </w:p>
    <w:p w14:paraId="6343F365" w14:textId="0BA0B2B2" w:rsidR="00463739" w:rsidRPr="000533C9" w:rsidRDefault="00854BFC" w:rsidP="000B43AB">
      <w:pPr>
        <w:pStyle w:val="Bulletlist1"/>
        <w:rPr>
          <w:lang w:bidi="ar-SA"/>
        </w:rPr>
      </w:pPr>
      <w:bookmarkStart w:id="23" w:name="_Toc211419527"/>
      <w:bookmarkStart w:id="24" w:name="_Toc211431666"/>
      <w:r>
        <w:rPr>
          <w:lang w:bidi="ar-SA"/>
        </w:rPr>
        <w:t>CBA s</w:t>
      </w:r>
      <w:r w:rsidR="00536F16" w:rsidRPr="000533C9">
        <w:rPr>
          <w:lang w:bidi="ar-SA"/>
        </w:rPr>
        <w:t>hould</w:t>
      </w:r>
      <w:r w:rsidR="00463739" w:rsidRPr="000533C9">
        <w:rPr>
          <w:lang w:bidi="ar-SA"/>
        </w:rPr>
        <w:t xml:space="preserve"> not be used to reject relevant good practice unless the alternative is demonstrably equivalent or better.</w:t>
      </w:r>
      <w:bookmarkEnd w:id="23"/>
      <w:bookmarkEnd w:id="24"/>
    </w:p>
    <w:p w14:paraId="3A72C32B" w14:textId="6E194DBF" w:rsidR="00521ABD" w:rsidRPr="000533C9" w:rsidRDefault="00463739" w:rsidP="00CC555C">
      <w:pPr>
        <w:pStyle w:val="Heading2"/>
        <w:numPr>
          <w:ilvl w:val="0"/>
          <w:numId w:val="0"/>
        </w:numPr>
        <w:ind w:left="851"/>
      </w:pPr>
      <w:r w:rsidRPr="000533C9">
        <w:t>Uncertainty</w:t>
      </w:r>
      <w:r w:rsidR="00185CCF" w:rsidRPr="000533C9">
        <w:t xml:space="preserve"> and proportionality</w:t>
      </w:r>
      <w:r w:rsidRPr="000533C9">
        <w:t xml:space="preserve"> </w:t>
      </w:r>
    </w:p>
    <w:p w14:paraId="40DD542A" w14:textId="63A5F3B4" w:rsidR="00463739" w:rsidRPr="000533C9" w:rsidRDefault="00463739" w:rsidP="000B43AB">
      <w:pPr>
        <w:pStyle w:val="Bulletlist1"/>
        <w:rPr>
          <w:b/>
        </w:rPr>
      </w:pPr>
      <w:r w:rsidRPr="000533C9">
        <w:t>Many inputs to CBA are uncertain</w:t>
      </w:r>
      <w:r w:rsidR="00FF5C6E" w:rsidRPr="000533C9">
        <w:t xml:space="preserve"> both in determining the sacrifice and safety benefits</w:t>
      </w:r>
      <w:r w:rsidRPr="000533C9">
        <w:t xml:space="preserve">; </w:t>
      </w:r>
      <w:r w:rsidR="004D6516" w:rsidRPr="000533C9">
        <w:t>in light of inherent uncertainty,</w:t>
      </w:r>
      <w:r w:rsidR="00C575F2" w:rsidRPr="000533C9">
        <w:t xml:space="preserve"> analysis</w:t>
      </w:r>
      <w:r w:rsidR="000533C9" w:rsidRPr="000533C9">
        <w:t xml:space="preserve"> </w:t>
      </w:r>
      <w:r w:rsidR="00C575F2" w:rsidRPr="000533C9">
        <w:t>should be systematic</w:t>
      </w:r>
      <w:r w:rsidR="000533C9" w:rsidRPr="000533C9">
        <w:t xml:space="preserve"> and supported by</w:t>
      </w:r>
      <w:r w:rsidR="004D6516" w:rsidRPr="000533C9">
        <w:t xml:space="preserve"> appropriate</w:t>
      </w:r>
      <w:r w:rsidR="00C575F2" w:rsidRPr="000533C9">
        <w:t xml:space="preserve"> </w:t>
      </w:r>
      <w:r w:rsidRPr="000533C9">
        <w:t>sensitivity analysis</w:t>
      </w:r>
      <w:r w:rsidR="000533C9" w:rsidRPr="000533C9">
        <w:t>.</w:t>
      </w:r>
    </w:p>
    <w:p w14:paraId="5C875A45" w14:textId="1CCAD9A2" w:rsidR="00463739" w:rsidRPr="000533C9" w:rsidRDefault="00463739" w:rsidP="000B43AB">
      <w:pPr>
        <w:pStyle w:val="Bulletlist1"/>
        <w:rPr>
          <w:lang w:bidi="ar-SA"/>
        </w:rPr>
      </w:pPr>
      <w:bookmarkStart w:id="25" w:name="_Toc211419528"/>
      <w:bookmarkStart w:id="26" w:name="_Toc211431667"/>
      <w:r w:rsidRPr="000533C9">
        <w:rPr>
          <w:lang w:bidi="ar-SA"/>
        </w:rPr>
        <w:t xml:space="preserve">Where </w:t>
      </w:r>
      <w:r w:rsidR="00F377E3">
        <w:rPr>
          <w:lang w:bidi="ar-SA"/>
        </w:rPr>
        <w:t>CBA is employed, its rigour</w:t>
      </w:r>
      <w:r w:rsidR="00C20067">
        <w:rPr>
          <w:lang w:bidi="ar-SA"/>
        </w:rPr>
        <w:t xml:space="preserve"> should</w:t>
      </w:r>
      <w:r w:rsidRPr="000533C9">
        <w:rPr>
          <w:lang w:bidi="ar-SA"/>
        </w:rPr>
        <w:t xml:space="preserve"> be proportionate to the risk level and consequences.</w:t>
      </w:r>
      <w:bookmarkEnd w:id="25"/>
      <w:bookmarkEnd w:id="26"/>
    </w:p>
    <w:p w14:paraId="1AAA45B2" w14:textId="5DDE7C72" w:rsidR="003F4538" w:rsidRDefault="00463739" w:rsidP="000B43AB">
      <w:pPr>
        <w:pStyle w:val="Bulletlist1"/>
        <w:rPr>
          <w:lang w:bidi="ar-SA"/>
        </w:rPr>
      </w:pPr>
      <w:bookmarkStart w:id="27" w:name="_Toc211419529"/>
      <w:bookmarkStart w:id="28" w:name="_Toc211431668"/>
      <w:r w:rsidRPr="000533C9">
        <w:rPr>
          <w:lang w:bidi="ar-SA"/>
        </w:rPr>
        <w:t>ONR follows HSE guidance</w:t>
      </w:r>
      <w:r w:rsidR="007708A2">
        <w:rPr>
          <w:lang w:bidi="ar-SA"/>
        </w:rPr>
        <w:t xml:space="preserve"> </w:t>
      </w:r>
      <w:sdt>
        <w:sdtPr>
          <w:rPr>
            <w:lang w:bidi="ar-SA"/>
          </w:rPr>
          <w:id w:val="-1934730551"/>
          <w:citation/>
        </w:sdtPr>
        <w:sdtEndPr/>
        <w:sdtContent>
          <w:r w:rsidR="001A7BC6">
            <w:rPr>
              <w:lang w:bidi="ar-SA"/>
            </w:rPr>
            <w:fldChar w:fldCharType="begin"/>
          </w:r>
          <w:r w:rsidR="001A7BC6">
            <w:rPr>
              <w:lang w:bidi="ar-SA"/>
            </w:rPr>
            <w:instrText xml:space="preserve"> CITATION HSE \l 2057 </w:instrText>
          </w:r>
          <w:r w:rsidR="001A7BC6">
            <w:rPr>
              <w:lang w:bidi="ar-SA"/>
            </w:rPr>
            <w:fldChar w:fldCharType="separate"/>
          </w:r>
          <w:r w:rsidR="00F53898" w:rsidRPr="00F53898">
            <w:rPr>
              <w:noProof/>
              <w:lang w:bidi="ar-SA"/>
            </w:rPr>
            <w:t>[16]</w:t>
          </w:r>
          <w:r w:rsidR="001A7BC6">
            <w:rPr>
              <w:lang w:bidi="ar-SA"/>
            </w:rPr>
            <w:fldChar w:fldCharType="end"/>
          </w:r>
        </w:sdtContent>
      </w:sdt>
      <w:r w:rsidRPr="000533C9">
        <w:rPr>
          <w:lang w:bidi="ar-SA"/>
        </w:rPr>
        <w:t xml:space="preserve"> on CBA for case-by-case evaluation.</w:t>
      </w:r>
      <w:bookmarkEnd w:id="27"/>
      <w:bookmarkEnd w:id="28"/>
    </w:p>
    <w:p w14:paraId="6EC6B88B" w14:textId="77777777" w:rsidR="000533C9" w:rsidRPr="000533C9" w:rsidRDefault="000533C9" w:rsidP="000533C9">
      <w:pPr>
        <w:rPr>
          <w:lang w:bidi="ar-SA"/>
        </w:rPr>
      </w:pPr>
    </w:p>
    <w:p w14:paraId="283BCB56" w14:textId="77777777" w:rsidR="00CC555C" w:rsidRDefault="00CC555C" w:rsidP="00106181">
      <w:pPr>
        <w:pStyle w:val="Heading1"/>
        <w:sectPr w:rsidR="00CC555C" w:rsidSect="007E1540">
          <w:pgSz w:w="11906" w:h="16838" w:code="9"/>
          <w:pgMar w:top="1440" w:right="1440" w:bottom="1440" w:left="1440" w:header="397" w:footer="397" w:gutter="0"/>
          <w:cols w:space="312"/>
          <w:docGrid w:linePitch="360"/>
        </w:sectPr>
      </w:pPr>
      <w:bookmarkStart w:id="29" w:name="_Appendix_2:_Time"/>
      <w:bookmarkStart w:id="30" w:name="_Toc211431669"/>
      <w:bookmarkEnd w:id="29"/>
    </w:p>
    <w:p w14:paraId="38B11E2B" w14:textId="13989E3E" w:rsidR="003A62E4" w:rsidRDefault="003F4538" w:rsidP="00CC555C">
      <w:pPr>
        <w:pStyle w:val="Heading1"/>
        <w:numPr>
          <w:ilvl w:val="0"/>
          <w:numId w:val="0"/>
        </w:numPr>
        <w:ind w:left="851"/>
      </w:pPr>
      <w:bookmarkStart w:id="31" w:name="_Toc213847112"/>
      <w:r>
        <w:lastRenderedPageBreak/>
        <w:t>Appendix 2: Time at risk situation</w:t>
      </w:r>
      <w:r w:rsidR="0042230A">
        <w:t xml:space="preserve"> </w:t>
      </w:r>
      <w:r w:rsidR="00964513">
        <w:t xml:space="preserve">specific </w:t>
      </w:r>
      <w:r w:rsidR="0042230A">
        <w:t>considerations</w:t>
      </w:r>
      <w:bookmarkEnd w:id="30"/>
      <w:bookmarkEnd w:id="31"/>
    </w:p>
    <w:p w14:paraId="70CDBDEC" w14:textId="72953450" w:rsidR="0098626C" w:rsidRPr="0098626C" w:rsidRDefault="0098626C" w:rsidP="00CC555C">
      <w:pPr>
        <w:pStyle w:val="F9-Paragraph"/>
      </w:pPr>
      <w:r w:rsidRPr="0098626C">
        <w:t xml:space="preserve">This appendix </w:t>
      </w:r>
      <w:r w:rsidR="001D0B1E">
        <w:t>summarises</w:t>
      </w:r>
      <w:r w:rsidR="001D0B1E" w:rsidRPr="0098626C">
        <w:t xml:space="preserve"> </w:t>
      </w:r>
      <w:r w:rsidRPr="0098626C">
        <w:t xml:space="preserve">ONR’s expectations when short-term increases in risk may be justified for longer-term safety benefits. </w:t>
      </w:r>
      <w:r w:rsidR="00A744C6">
        <w:t xml:space="preserve">Inspectors should also refer to principle NT.3 in the SAPs. </w:t>
      </w:r>
      <w:r w:rsidRPr="0098626C">
        <w:t>It categorises these situations into three types:</w:t>
      </w:r>
    </w:p>
    <w:p w14:paraId="1FFC079D" w14:textId="7EEE6414" w:rsidR="0098626C" w:rsidRPr="0098626C" w:rsidRDefault="0098626C" w:rsidP="00CC555C">
      <w:pPr>
        <w:pStyle w:val="Heading2"/>
        <w:numPr>
          <w:ilvl w:val="0"/>
          <w:numId w:val="0"/>
        </w:numPr>
        <w:ind w:left="851"/>
        <w:rPr>
          <w:lang w:bidi="ar-SA"/>
        </w:rPr>
      </w:pPr>
      <w:r w:rsidRPr="0098626C">
        <w:rPr>
          <w:lang w:bidi="ar-SA"/>
        </w:rPr>
        <w:t>Through-</w:t>
      </w:r>
      <w:r w:rsidR="00CC555C">
        <w:rPr>
          <w:lang w:bidi="ar-SA"/>
        </w:rPr>
        <w:t>l</w:t>
      </w:r>
      <w:r w:rsidRPr="0098626C">
        <w:rPr>
          <w:lang w:bidi="ar-SA"/>
        </w:rPr>
        <w:t xml:space="preserve">ife </w:t>
      </w:r>
      <w:r w:rsidR="00CC555C">
        <w:rPr>
          <w:lang w:bidi="ar-SA"/>
        </w:rPr>
        <w:t>r</w:t>
      </w:r>
      <w:r w:rsidRPr="0098626C">
        <w:rPr>
          <w:lang w:bidi="ar-SA"/>
        </w:rPr>
        <w:t>isk</w:t>
      </w:r>
    </w:p>
    <w:p w14:paraId="22BCD5B3" w14:textId="77709245" w:rsidR="0098626C" w:rsidRPr="0098626C" w:rsidRDefault="0098626C" w:rsidP="000B43AB">
      <w:pPr>
        <w:pStyle w:val="Bulletlist1"/>
        <w:rPr>
          <w:lang w:bidi="ar-SA"/>
        </w:rPr>
      </w:pPr>
      <w:r w:rsidRPr="0098626C">
        <w:rPr>
          <w:lang w:bidi="ar-SA"/>
        </w:rPr>
        <w:t>Temporary risk increases may occur</w:t>
      </w:r>
      <w:r w:rsidR="006B51CA">
        <w:rPr>
          <w:lang w:bidi="ar-SA"/>
        </w:rPr>
        <w:t xml:space="preserve"> for example</w:t>
      </w:r>
      <w:r w:rsidRPr="0098626C">
        <w:rPr>
          <w:lang w:bidi="ar-SA"/>
        </w:rPr>
        <w:t xml:space="preserve"> during maintenance, </w:t>
      </w:r>
      <w:r w:rsidR="00732E50">
        <w:rPr>
          <w:lang w:bidi="ar-SA"/>
        </w:rPr>
        <w:t xml:space="preserve">temporary disconnections of </w:t>
      </w:r>
      <w:r w:rsidRPr="0098626C">
        <w:rPr>
          <w:lang w:bidi="ar-SA"/>
        </w:rPr>
        <w:t>safety system</w:t>
      </w:r>
      <w:r w:rsidR="00732E50">
        <w:rPr>
          <w:lang w:bidi="ar-SA"/>
        </w:rPr>
        <w:t>s</w:t>
      </w:r>
      <w:r w:rsidRPr="0098626C">
        <w:rPr>
          <w:lang w:bidi="ar-SA"/>
        </w:rPr>
        <w:t>, or emergency operations.</w:t>
      </w:r>
    </w:p>
    <w:p w14:paraId="415EE854" w14:textId="16D1B7AB" w:rsidR="0098626C" w:rsidRPr="0098626C" w:rsidRDefault="0098626C" w:rsidP="000B43AB">
      <w:pPr>
        <w:pStyle w:val="Bulletlist1"/>
        <w:rPr>
          <w:lang w:bidi="ar-SA"/>
        </w:rPr>
      </w:pPr>
      <w:r w:rsidRPr="0098626C">
        <w:rPr>
          <w:lang w:bidi="ar-SA"/>
        </w:rPr>
        <w:t>ONR does not</w:t>
      </w:r>
      <w:r w:rsidR="005A55B3">
        <w:rPr>
          <w:lang w:bidi="ar-SA"/>
        </w:rPr>
        <w:t xml:space="preserve"> generally</w:t>
      </w:r>
      <w:r w:rsidRPr="0098626C">
        <w:rPr>
          <w:lang w:bidi="ar-SA"/>
        </w:rPr>
        <w:t xml:space="preserve"> accept justification based solely on short duration.</w:t>
      </w:r>
    </w:p>
    <w:p w14:paraId="7103B01C" w14:textId="75EBB595" w:rsidR="0098626C" w:rsidRPr="0098626C" w:rsidRDefault="00165B40" w:rsidP="000B43AB">
      <w:pPr>
        <w:pStyle w:val="Bulletlist1"/>
        <w:rPr>
          <w:lang w:bidi="ar-SA"/>
        </w:rPr>
      </w:pPr>
      <w:r>
        <w:rPr>
          <w:lang w:bidi="ar-SA"/>
        </w:rPr>
        <w:t>ONR</w:t>
      </w:r>
      <w:r w:rsidR="0037238A">
        <w:rPr>
          <w:lang w:bidi="ar-SA"/>
        </w:rPr>
        <w:t xml:space="preserve"> expect</w:t>
      </w:r>
      <w:r>
        <w:rPr>
          <w:lang w:bidi="ar-SA"/>
        </w:rPr>
        <w:t>s</w:t>
      </w:r>
      <w:r w:rsidR="0037238A">
        <w:rPr>
          <w:lang w:bidi="ar-SA"/>
        </w:rPr>
        <w:t xml:space="preserve"> d</w:t>
      </w:r>
      <w:r w:rsidR="0098626C" w:rsidRPr="0098626C">
        <w:rPr>
          <w:lang w:bidi="ar-SA"/>
        </w:rPr>
        <w:t xml:space="preserve">utyholders </w:t>
      </w:r>
      <w:r w:rsidR="0037238A">
        <w:rPr>
          <w:lang w:bidi="ar-SA"/>
        </w:rPr>
        <w:t>to</w:t>
      </w:r>
      <w:r w:rsidR="0098626C" w:rsidRPr="0098626C">
        <w:rPr>
          <w:lang w:bidi="ar-SA"/>
        </w:rPr>
        <w:t xml:space="preserve"> monitor plant conditions and ensure assumptions in ALARP demonstrations remain valid.</w:t>
      </w:r>
    </w:p>
    <w:p w14:paraId="35881AF5" w14:textId="2D0BD58C" w:rsidR="0098626C" w:rsidRPr="0098626C" w:rsidRDefault="0098626C" w:rsidP="000B43AB">
      <w:pPr>
        <w:pStyle w:val="Bulletlist1"/>
        <w:rPr>
          <w:lang w:bidi="ar-SA"/>
        </w:rPr>
      </w:pPr>
      <w:r w:rsidRPr="0098626C">
        <w:rPr>
          <w:lang w:bidi="ar-SA"/>
        </w:rPr>
        <w:t xml:space="preserve">If risks become unacceptable, </w:t>
      </w:r>
      <w:r w:rsidR="005C6D42" w:rsidRPr="005C6D42">
        <w:rPr>
          <w:lang w:bidi="ar-SA"/>
        </w:rPr>
        <w:t xml:space="preserve">the dutyholder should be actively managing and prioritising the situation </w:t>
      </w:r>
      <w:r w:rsidR="005927D2">
        <w:rPr>
          <w:lang w:bidi="ar-SA"/>
        </w:rPr>
        <w:t>to ensure that the risk is controlled ALARP and timely steps are being taken to reduce it as quickly as reasonably practicable</w:t>
      </w:r>
      <w:r w:rsidR="005C6D42">
        <w:rPr>
          <w:lang w:bidi="ar-SA"/>
        </w:rPr>
        <w:t>.</w:t>
      </w:r>
    </w:p>
    <w:p w14:paraId="417EFB5A" w14:textId="6662549F" w:rsidR="0098626C" w:rsidRPr="0098626C" w:rsidRDefault="0098626C" w:rsidP="00CC555C">
      <w:pPr>
        <w:pStyle w:val="Heading2"/>
        <w:numPr>
          <w:ilvl w:val="0"/>
          <w:numId w:val="0"/>
        </w:numPr>
        <w:ind w:left="851"/>
        <w:rPr>
          <w:lang w:bidi="ar-SA"/>
        </w:rPr>
      </w:pPr>
      <w:r w:rsidRPr="0098626C">
        <w:rPr>
          <w:lang w:bidi="ar-SA"/>
        </w:rPr>
        <w:t xml:space="preserve">Residual </w:t>
      </w:r>
      <w:r w:rsidR="00CC555C">
        <w:rPr>
          <w:lang w:bidi="ar-SA"/>
        </w:rPr>
        <w:t>f</w:t>
      </w:r>
      <w:r w:rsidRPr="0098626C">
        <w:rPr>
          <w:lang w:bidi="ar-SA"/>
        </w:rPr>
        <w:t xml:space="preserve">acility </w:t>
      </w:r>
      <w:r w:rsidR="00CC555C">
        <w:rPr>
          <w:lang w:bidi="ar-SA"/>
        </w:rPr>
        <w:t>l</w:t>
      </w:r>
      <w:r w:rsidRPr="0098626C">
        <w:rPr>
          <w:lang w:bidi="ar-SA"/>
        </w:rPr>
        <w:t>ife</w:t>
      </w:r>
    </w:p>
    <w:p w14:paraId="3F7D7713" w14:textId="6054B39B" w:rsidR="0098626C" w:rsidRPr="0098626C" w:rsidRDefault="0098626C" w:rsidP="000B43AB">
      <w:pPr>
        <w:pStyle w:val="Bulletlist1"/>
        <w:rPr>
          <w:lang w:bidi="ar-SA"/>
        </w:rPr>
      </w:pPr>
      <w:r w:rsidRPr="0098626C">
        <w:rPr>
          <w:lang w:bidi="ar-SA"/>
        </w:rPr>
        <w:t xml:space="preserve">Ageing facilities may </w:t>
      </w:r>
      <w:r w:rsidR="005C6D42">
        <w:rPr>
          <w:lang w:bidi="ar-SA"/>
        </w:rPr>
        <w:t>exhibit</w:t>
      </w:r>
      <w:r w:rsidRPr="0098626C">
        <w:rPr>
          <w:lang w:bidi="ar-SA"/>
        </w:rPr>
        <w:t xml:space="preserve"> eroded safety margins</w:t>
      </w:r>
      <w:r w:rsidR="00630500">
        <w:rPr>
          <w:lang w:bidi="ar-SA"/>
        </w:rPr>
        <w:t xml:space="preserve"> or higher residual risk</w:t>
      </w:r>
      <w:r w:rsidR="00653E6A">
        <w:rPr>
          <w:lang w:bidi="ar-SA"/>
        </w:rPr>
        <w:t xml:space="preserve"> particularly rel</w:t>
      </w:r>
      <w:r w:rsidR="00563701">
        <w:rPr>
          <w:lang w:bidi="ar-SA"/>
        </w:rPr>
        <w:t xml:space="preserve">ative to </w:t>
      </w:r>
      <w:r w:rsidR="00630500">
        <w:rPr>
          <w:lang w:bidi="ar-SA"/>
        </w:rPr>
        <w:t xml:space="preserve">newer facilities </w:t>
      </w:r>
      <w:r w:rsidR="00291D99">
        <w:rPr>
          <w:lang w:bidi="ar-SA"/>
        </w:rPr>
        <w:t>designed to modern standards.</w:t>
      </w:r>
    </w:p>
    <w:p w14:paraId="4B4DE367" w14:textId="52E5F8D9" w:rsidR="0098626C" w:rsidRPr="0098626C" w:rsidRDefault="0098626C" w:rsidP="000B43AB">
      <w:pPr>
        <w:pStyle w:val="Bulletlist1"/>
        <w:rPr>
          <w:lang w:bidi="ar-SA"/>
        </w:rPr>
      </w:pPr>
      <w:r w:rsidRPr="0098626C">
        <w:rPr>
          <w:lang w:bidi="ar-SA"/>
        </w:rPr>
        <w:t>Dutyholders m</w:t>
      </w:r>
      <w:r w:rsidR="00205AAC">
        <w:rPr>
          <w:lang w:bidi="ar-SA"/>
        </w:rPr>
        <w:t>ight</w:t>
      </w:r>
      <w:r w:rsidRPr="0098626C">
        <w:rPr>
          <w:lang w:bidi="ar-SA"/>
        </w:rPr>
        <w:t xml:space="preserve"> argue that upgrades are unreasonable due to limited remaining life.</w:t>
      </w:r>
    </w:p>
    <w:p w14:paraId="0619B58C" w14:textId="77777777" w:rsidR="0098626C" w:rsidRPr="0098626C" w:rsidRDefault="0098626C" w:rsidP="000B43AB">
      <w:pPr>
        <w:pStyle w:val="Bulletlist1"/>
        <w:rPr>
          <w:lang w:bidi="ar-SA"/>
        </w:rPr>
      </w:pPr>
      <w:r w:rsidRPr="0098626C">
        <w:rPr>
          <w:lang w:bidi="ar-SA"/>
        </w:rPr>
        <w:t>ONR expects:</w:t>
      </w:r>
    </w:p>
    <w:p w14:paraId="23566825" w14:textId="77777777" w:rsidR="0098626C" w:rsidRPr="00CC555C" w:rsidRDefault="0098626C" w:rsidP="000B43AB">
      <w:pPr>
        <w:pStyle w:val="Bulletlist2"/>
      </w:pPr>
      <w:r w:rsidRPr="00CC555C">
        <w:t>Remaining life to be short relative to design life.</w:t>
      </w:r>
    </w:p>
    <w:p w14:paraId="44E61454" w14:textId="0F436D7E" w:rsidR="0098626C" w:rsidRPr="00CC555C" w:rsidRDefault="0098626C" w:rsidP="000B43AB">
      <w:pPr>
        <w:pStyle w:val="Bulletlist2"/>
      </w:pPr>
      <w:r w:rsidRPr="00CC555C">
        <w:t>Ongoing</w:t>
      </w:r>
      <w:r w:rsidR="00431391" w:rsidRPr="00CC555C">
        <w:t xml:space="preserve"> careful</w:t>
      </w:r>
      <w:r w:rsidRPr="00CC555C">
        <w:t xml:space="preserve"> monitoring and review</w:t>
      </w:r>
      <w:r w:rsidR="00431391" w:rsidRPr="00CC555C">
        <w:t>, consistent with</w:t>
      </w:r>
      <w:r w:rsidR="006D639C" w:rsidRPr="00CC555C">
        <w:t xml:space="preserve"> good asset management and</w:t>
      </w:r>
      <w:r w:rsidR="00431391" w:rsidRPr="00CC555C">
        <w:t xml:space="preserve"> requirements of LC15</w:t>
      </w:r>
      <w:r w:rsidR="006D639C" w:rsidRPr="00CC555C">
        <w:t xml:space="preserve"> for periodic safety review</w:t>
      </w:r>
      <w:r w:rsidRPr="00CC555C">
        <w:t>.</w:t>
      </w:r>
    </w:p>
    <w:p w14:paraId="49A6BFE5" w14:textId="0CE369E6" w:rsidR="0098626C" w:rsidRPr="00CC555C" w:rsidRDefault="0098626C" w:rsidP="000B43AB">
      <w:pPr>
        <w:pStyle w:val="Bulletlist2"/>
      </w:pPr>
      <w:r w:rsidRPr="00CC555C">
        <w:t>Updated ALARP demonstrations using current data and standards.</w:t>
      </w:r>
    </w:p>
    <w:p w14:paraId="1D1C84D1" w14:textId="420474E4" w:rsidR="0098626C" w:rsidRPr="00CC555C" w:rsidRDefault="0098626C" w:rsidP="000B43AB">
      <w:pPr>
        <w:pStyle w:val="Bulletlist2"/>
      </w:pPr>
      <w:r w:rsidRPr="00CC555C">
        <w:t>Risk levels to remain below</w:t>
      </w:r>
      <w:r w:rsidR="006C61C7" w:rsidRPr="00CC555C">
        <w:t xml:space="preserve"> TOR</w:t>
      </w:r>
      <w:r w:rsidRPr="00CC555C">
        <w:t xml:space="preserve"> BSLs.</w:t>
      </w:r>
      <w:r w:rsidR="001065C5" w:rsidRPr="00CC555C">
        <w:t xml:space="preserve"> If ONR judges risks to be intolerable, it expects the dutyholder to stop operating the facility and not undertake further operations, unless there is no safer alternative.</w:t>
      </w:r>
    </w:p>
    <w:p w14:paraId="6A200A7C" w14:textId="28CC3E10" w:rsidR="0098626C" w:rsidRPr="0098626C" w:rsidRDefault="0098626C" w:rsidP="000B43AB">
      <w:pPr>
        <w:pStyle w:val="Bulletlist1"/>
        <w:rPr>
          <w:lang w:bidi="ar-SA"/>
        </w:rPr>
      </w:pPr>
      <w:r w:rsidRPr="0098626C">
        <w:rPr>
          <w:lang w:bidi="ar-SA"/>
        </w:rPr>
        <w:t xml:space="preserve">ONR </w:t>
      </w:r>
      <w:r w:rsidR="00F96073">
        <w:rPr>
          <w:lang w:bidi="ar-SA"/>
        </w:rPr>
        <w:t>may</w:t>
      </w:r>
      <w:r w:rsidRPr="0098626C">
        <w:rPr>
          <w:lang w:bidi="ar-SA"/>
        </w:rPr>
        <w:t xml:space="preserve"> accept lifetime-based arguments</w:t>
      </w:r>
      <w:r w:rsidR="00F96073">
        <w:rPr>
          <w:lang w:bidi="ar-SA"/>
        </w:rPr>
        <w:t xml:space="preserve"> by a dutyholder not to make an improvement</w:t>
      </w:r>
      <w:r w:rsidRPr="0098626C">
        <w:rPr>
          <w:lang w:bidi="ar-SA"/>
        </w:rPr>
        <w:t xml:space="preserve"> </w:t>
      </w:r>
      <w:r w:rsidR="00F96073">
        <w:rPr>
          <w:lang w:bidi="ar-SA"/>
        </w:rPr>
        <w:t>if</w:t>
      </w:r>
      <w:r w:rsidRPr="0098626C">
        <w:rPr>
          <w:lang w:bidi="ar-SA"/>
        </w:rPr>
        <w:t xml:space="preserve"> the end-of-life is irrevocably fixed (typically </w:t>
      </w:r>
      <w:r w:rsidR="00725321">
        <w:rPr>
          <w:lang w:bidi="ar-SA"/>
        </w:rPr>
        <w:t>≤</w:t>
      </w:r>
      <w:r w:rsidRPr="0098626C">
        <w:rPr>
          <w:lang w:bidi="ar-SA"/>
        </w:rPr>
        <w:t>10 years).</w:t>
      </w:r>
    </w:p>
    <w:p w14:paraId="6A3F189A" w14:textId="50A27392" w:rsidR="0098626C" w:rsidRPr="0098626C" w:rsidRDefault="0098626C" w:rsidP="00CC555C">
      <w:pPr>
        <w:pStyle w:val="Heading2"/>
        <w:numPr>
          <w:ilvl w:val="0"/>
          <w:numId w:val="0"/>
        </w:numPr>
        <w:ind w:left="851"/>
        <w:rPr>
          <w:lang w:bidi="ar-SA"/>
        </w:rPr>
      </w:pPr>
      <w:r w:rsidRPr="0098626C">
        <w:rPr>
          <w:lang w:bidi="ar-SA"/>
        </w:rPr>
        <w:lastRenderedPageBreak/>
        <w:t>End-of-</w:t>
      </w:r>
      <w:r w:rsidR="001F5F11">
        <w:rPr>
          <w:lang w:bidi="ar-SA"/>
        </w:rPr>
        <w:t>l</w:t>
      </w:r>
      <w:r w:rsidRPr="0098626C">
        <w:rPr>
          <w:lang w:bidi="ar-SA"/>
        </w:rPr>
        <w:t xml:space="preserve">ife </w:t>
      </w:r>
      <w:r w:rsidR="001F5F11">
        <w:rPr>
          <w:lang w:bidi="ar-SA"/>
        </w:rPr>
        <w:t>l</w:t>
      </w:r>
      <w:r w:rsidRPr="0098626C">
        <w:rPr>
          <w:lang w:bidi="ar-SA"/>
        </w:rPr>
        <w:t>egacy</w:t>
      </w:r>
    </w:p>
    <w:p w14:paraId="119FB8D2" w14:textId="000F8E9A" w:rsidR="0098626C" w:rsidRPr="0098626C" w:rsidRDefault="0098626C" w:rsidP="000B43AB">
      <w:pPr>
        <w:pStyle w:val="Bulletlist1"/>
        <w:rPr>
          <w:lang w:bidi="ar-SA"/>
        </w:rPr>
      </w:pPr>
      <w:r w:rsidRPr="0098626C">
        <w:rPr>
          <w:lang w:bidi="ar-SA"/>
        </w:rPr>
        <w:t>Decommissioning may temporarily increase risks to achieve long-term hazard reduction</w:t>
      </w:r>
      <w:r w:rsidR="00C2187F">
        <w:rPr>
          <w:lang w:bidi="ar-SA"/>
        </w:rPr>
        <w:t xml:space="preserve"> and ultimately a safer end-state</w:t>
      </w:r>
      <w:r w:rsidRPr="0098626C">
        <w:rPr>
          <w:lang w:bidi="ar-SA"/>
        </w:rPr>
        <w:t>.</w:t>
      </w:r>
    </w:p>
    <w:p w14:paraId="378200D8" w14:textId="6F27702B" w:rsidR="0098626C" w:rsidRPr="0098626C" w:rsidRDefault="0098626C" w:rsidP="000B43AB">
      <w:pPr>
        <w:pStyle w:val="Bulletlist1"/>
        <w:rPr>
          <w:lang w:bidi="ar-SA"/>
        </w:rPr>
      </w:pPr>
      <w:r w:rsidRPr="0098626C">
        <w:rPr>
          <w:lang w:bidi="ar-SA"/>
        </w:rPr>
        <w:t>Dutyholders</w:t>
      </w:r>
      <w:r w:rsidR="002D6EC8">
        <w:rPr>
          <w:lang w:bidi="ar-SA"/>
        </w:rPr>
        <w:t xml:space="preserve"> are expected to</w:t>
      </w:r>
      <w:r w:rsidRPr="0098626C">
        <w:rPr>
          <w:lang w:bidi="ar-SA"/>
        </w:rPr>
        <w:t>:</w:t>
      </w:r>
    </w:p>
    <w:p w14:paraId="11672CEC" w14:textId="0B438812" w:rsidR="0098626C" w:rsidRPr="0098626C" w:rsidRDefault="0098626C" w:rsidP="000B43AB">
      <w:pPr>
        <w:pStyle w:val="Bulletlist2"/>
      </w:pPr>
      <w:r w:rsidRPr="0098626C">
        <w:t>Compare increased risks</w:t>
      </w:r>
      <w:r w:rsidR="00B96E42">
        <w:t xml:space="preserve"> associated with decommissioning</w:t>
      </w:r>
      <w:r w:rsidRPr="0098626C">
        <w:t xml:space="preserve"> with risks of inaction.</w:t>
      </w:r>
    </w:p>
    <w:p w14:paraId="3E331407" w14:textId="4B0E4E88" w:rsidR="0098626C" w:rsidRPr="0098626C" w:rsidRDefault="0098626C" w:rsidP="000B43AB">
      <w:pPr>
        <w:pStyle w:val="Bulletlist2"/>
      </w:pPr>
      <w:r w:rsidRPr="0098626C">
        <w:t>Consider alternatives</w:t>
      </w:r>
      <w:r w:rsidR="00692F13">
        <w:t xml:space="preserve"> available to address the hazard</w:t>
      </w:r>
      <w:r w:rsidRPr="0098626C">
        <w:t>.</w:t>
      </w:r>
    </w:p>
    <w:p w14:paraId="48943685" w14:textId="77777777" w:rsidR="0098626C" w:rsidRPr="0098626C" w:rsidRDefault="0098626C" w:rsidP="000B43AB">
      <w:pPr>
        <w:pStyle w:val="Bulletlist2"/>
      </w:pPr>
      <w:r w:rsidRPr="0098626C">
        <w:t>Implement engineering and operational controls to minimise risk magnitude and duration.</w:t>
      </w:r>
    </w:p>
    <w:p w14:paraId="78FC6E52" w14:textId="3E75A3A2" w:rsidR="0098626C" w:rsidRPr="0098626C" w:rsidRDefault="0098626C" w:rsidP="000B43AB">
      <w:pPr>
        <w:pStyle w:val="Bulletlist1"/>
        <w:rPr>
          <w:lang w:bidi="ar-SA"/>
        </w:rPr>
      </w:pPr>
      <w:r w:rsidRPr="0098626C">
        <w:rPr>
          <w:lang w:bidi="ar-SA"/>
        </w:rPr>
        <w:t xml:space="preserve">ONR </w:t>
      </w:r>
      <w:r w:rsidR="00B96E42">
        <w:rPr>
          <w:lang w:bidi="ar-SA"/>
        </w:rPr>
        <w:t>typically rejects</w:t>
      </w:r>
      <w:r w:rsidR="00FF7F08">
        <w:rPr>
          <w:lang w:bidi="ar-SA"/>
        </w:rPr>
        <w:t xml:space="preserve"> arguments by dutyholders to</w:t>
      </w:r>
      <w:r w:rsidRPr="0098626C">
        <w:rPr>
          <w:lang w:bidi="ar-SA"/>
        </w:rPr>
        <w:t xml:space="preserve"> delay</w:t>
      </w:r>
      <w:r w:rsidR="00FF7F08">
        <w:rPr>
          <w:lang w:bidi="ar-SA"/>
        </w:rPr>
        <w:t xml:space="preserve"> decommissioning</w:t>
      </w:r>
      <w:r w:rsidR="000F11C7">
        <w:rPr>
          <w:lang w:bidi="ar-SA"/>
        </w:rPr>
        <w:t>,</w:t>
      </w:r>
      <w:r w:rsidRPr="0098626C">
        <w:rPr>
          <w:lang w:bidi="ar-SA"/>
        </w:rPr>
        <w:t xml:space="preserve"> based on discounted future costs</w:t>
      </w:r>
      <w:r w:rsidR="00931159">
        <w:rPr>
          <w:lang w:bidi="ar-SA"/>
        </w:rPr>
        <w:t xml:space="preserve"> (</w:t>
      </w:r>
      <w:r w:rsidR="001F5F11">
        <w:rPr>
          <w:lang w:bidi="ar-SA"/>
        </w:rPr>
        <w:t>refer to</w:t>
      </w:r>
      <w:r w:rsidR="00931159">
        <w:rPr>
          <w:lang w:bidi="ar-SA"/>
        </w:rPr>
        <w:t xml:space="preserve"> Appendix 1)</w:t>
      </w:r>
      <w:r w:rsidRPr="0098626C">
        <w:rPr>
          <w:lang w:bidi="ar-SA"/>
        </w:rPr>
        <w:t xml:space="preserve"> or time-at-risk arguments alone.</w:t>
      </w:r>
    </w:p>
    <w:p w14:paraId="3DFD067E" w14:textId="77777777" w:rsidR="0098626C" w:rsidRPr="0098626C" w:rsidRDefault="0098626C" w:rsidP="0098626C">
      <w:pPr>
        <w:rPr>
          <w:lang w:bidi="ar-SA"/>
        </w:rPr>
        <w:sectPr w:rsidR="0098626C" w:rsidRPr="0098626C" w:rsidSect="007E1540">
          <w:pgSz w:w="11906" w:h="16838" w:code="9"/>
          <w:pgMar w:top="1440" w:right="1440" w:bottom="1440" w:left="1440" w:header="397" w:footer="397" w:gutter="0"/>
          <w:cols w:space="312"/>
          <w:docGrid w:linePitch="360"/>
        </w:sectPr>
      </w:pPr>
    </w:p>
    <w:p w14:paraId="04294FE6" w14:textId="39795856" w:rsidR="00700A94" w:rsidRPr="00DD0479" w:rsidRDefault="00A06206" w:rsidP="00CC555C">
      <w:pPr>
        <w:pStyle w:val="Heading1"/>
        <w:numPr>
          <w:ilvl w:val="0"/>
          <w:numId w:val="0"/>
        </w:numPr>
        <w:ind w:left="851"/>
      </w:pPr>
      <w:bookmarkStart w:id="32" w:name="_Appendix_3:_Optioneering"/>
      <w:bookmarkStart w:id="33" w:name="_Toc211431670"/>
      <w:bookmarkStart w:id="34" w:name="_Toc213847113"/>
      <w:bookmarkEnd w:id="32"/>
      <w:r>
        <w:lastRenderedPageBreak/>
        <w:t xml:space="preserve">Appendix </w:t>
      </w:r>
      <w:r w:rsidR="003F4538">
        <w:t>3</w:t>
      </w:r>
      <w:r w:rsidR="007349E9">
        <w:t>:</w:t>
      </w:r>
      <w:r>
        <w:t xml:space="preserve"> </w:t>
      </w:r>
      <w:r w:rsidR="00356561">
        <w:t>Optioneering</w:t>
      </w:r>
      <w:bookmarkEnd w:id="33"/>
      <w:bookmarkEnd w:id="34"/>
      <w:r w:rsidR="00700A94" w:rsidRPr="00DD0479">
        <w:tab/>
      </w:r>
    </w:p>
    <w:p w14:paraId="69233A31" w14:textId="77777777" w:rsidR="0022010C" w:rsidRPr="0022010C" w:rsidRDefault="00806E25" w:rsidP="00CC555C">
      <w:pPr>
        <w:pStyle w:val="F9-Paragraph"/>
        <w:rPr>
          <w:bCs/>
          <w:noProof/>
        </w:rPr>
      </w:pPr>
      <w:r w:rsidRPr="00806E25">
        <w:t>This appendix outlines ONR’s expectations for how dutyholders should demonstrate that they have considered a range of options to reduce risks to ALARP, especially in complex, novel, or high-risk situations.</w:t>
      </w:r>
    </w:p>
    <w:p w14:paraId="33CEBBB5" w14:textId="248C46FE" w:rsidR="00806E25" w:rsidRPr="0022010C" w:rsidRDefault="00806E25" w:rsidP="00CC555C">
      <w:pPr>
        <w:pStyle w:val="Heading2"/>
        <w:numPr>
          <w:ilvl w:val="0"/>
          <w:numId w:val="0"/>
        </w:numPr>
        <w:ind w:left="851"/>
        <w:rPr>
          <w:noProof/>
        </w:rPr>
      </w:pPr>
      <w:r w:rsidRPr="0022010C">
        <w:t xml:space="preserve">Key </w:t>
      </w:r>
      <w:r w:rsidR="00CC555C">
        <w:t>t</w:t>
      </w:r>
      <w:r w:rsidRPr="0022010C">
        <w:t>hemes</w:t>
      </w:r>
    </w:p>
    <w:p w14:paraId="1D03EAFE" w14:textId="77777777" w:rsidR="00806E25" w:rsidRPr="00806E25" w:rsidRDefault="00806E25" w:rsidP="00CC555C">
      <w:pPr>
        <w:pStyle w:val="F9-Paragraph"/>
      </w:pPr>
      <w:r w:rsidRPr="00806E25">
        <w:rPr>
          <w:b/>
          <w:bCs/>
        </w:rPr>
        <w:t>Purpose</w:t>
      </w:r>
      <w:r w:rsidRPr="00806E25">
        <w:t>: Optioneering supports ALARP demonstrations by showing that all reasonably practicable options have been considered and the most appropriate one selected.</w:t>
      </w:r>
    </w:p>
    <w:p w14:paraId="3A5ADCC1" w14:textId="46CF7B49" w:rsidR="00806E25" w:rsidRPr="00806E25" w:rsidRDefault="00806E25" w:rsidP="00CC555C">
      <w:pPr>
        <w:pStyle w:val="F9-Paragraph"/>
      </w:pPr>
      <w:r w:rsidRPr="00806E25">
        <w:rPr>
          <w:b/>
          <w:bCs/>
        </w:rPr>
        <w:t xml:space="preserve">When </w:t>
      </w:r>
      <w:r w:rsidR="00F35DE4">
        <w:rPr>
          <w:b/>
          <w:bCs/>
        </w:rPr>
        <w:t>r</w:t>
      </w:r>
      <w:r w:rsidRPr="00806E25">
        <w:rPr>
          <w:b/>
          <w:bCs/>
        </w:rPr>
        <w:t>equired</w:t>
      </w:r>
      <w:r w:rsidRPr="00806E25">
        <w:t xml:space="preserve">: </w:t>
      </w:r>
      <w:r w:rsidR="000531A1">
        <w:t>transparent, proportionate and balanced optioneering is p</w:t>
      </w:r>
      <w:r w:rsidRPr="00806E25">
        <w:t>articularly important:</w:t>
      </w:r>
    </w:p>
    <w:p w14:paraId="4AD3A0B8" w14:textId="52548D0D" w:rsidR="00806E25" w:rsidRPr="00806E25" w:rsidRDefault="00640446" w:rsidP="000B43AB">
      <w:pPr>
        <w:pStyle w:val="Bulletlist1"/>
      </w:pPr>
      <w:r>
        <w:t>When c</w:t>
      </w:r>
      <w:r w:rsidR="000A52DB">
        <w:t>onsidering</w:t>
      </w:r>
      <w:r>
        <w:t xml:space="preserve"> n</w:t>
      </w:r>
      <w:r w:rsidR="00806E25" w:rsidRPr="00806E25">
        <w:t>ovel or complex risks</w:t>
      </w:r>
      <w:r w:rsidR="00101309">
        <w:t>, especially on high</w:t>
      </w:r>
      <w:r w:rsidR="004874A3">
        <w:t>er</w:t>
      </w:r>
      <w:r w:rsidR="00101309">
        <w:t xml:space="preserve"> hazard</w:t>
      </w:r>
      <w:r w:rsidR="004874A3">
        <w:t xml:space="preserve"> sites</w:t>
      </w:r>
      <w:r w:rsidR="002942CA">
        <w:t>;</w:t>
      </w:r>
    </w:p>
    <w:p w14:paraId="56354699" w14:textId="77677452" w:rsidR="00806E25" w:rsidRPr="00806E25" w:rsidRDefault="007C6519" w:rsidP="000B43AB">
      <w:pPr>
        <w:pStyle w:val="Bulletlist1"/>
      </w:pPr>
      <w:r>
        <w:t>Across the various d</w:t>
      </w:r>
      <w:r w:rsidR="00806E25" w:rsidRPr="00806E25">
        <w:t>esign stages of major projects</w:t>
      </w:r>
      <w:r w:rsidR="00215CC7">
        <w:t>;</w:t>
      </w:r>
    </w:p>
    <w:p w14:paraId="68BD0BCF" w14:textId="48A5B446" w:rsidR="0022010C" w:rsidRPr="00C1119D" w:rsidRDefault="0028054A" w:rsidP="000B43AB">
      <w:pPr>
        <w:pStyle w:val="Bulletlist1"/>
      </w:pPr>
      <w:r>
        <w:t>I</w:t>
      </w:r>
      <w:r w:rsidR="004874A3">
        <w:t>n s</w:t>
      </w:r>
      <w:r w:rsidR="00806E25" w:rsidRPr="00806E25">
        <w:t>ituations lacking applicable RGP</w:t>
      </w:r>
      <w:r w:rsidR="00215CC7">
        <w:t>.</w:t>
      </w:r>
    </w:p>
    <w:p w14:paraId="07C04409" w14:textId="60673A0F" w:rsidR="00806E25" w:rsidRPr="0022010C" w:rsidRDefault="00806E25" w:rsidP="00CC555C">
      <w:pPr>
        <w:pStyle w:val="Heading2"/>
        <w:numPr>
          <w:ilvl w:val="0"/>
          <w:numId w:val="0"/>
        </w:numPr>
        <w:ind w:left="851"/>
      </w:pPr>
      <w:r w:rsidRPr="0022010C">
        <w:t xml:space="preserve">ONR </w:t>
      </w:r>
      <w:r w:rsidR="00CC555C">
        <w:t>e</w:t>
      </w:r>
      <w:r w:rsidRPr="0022010C">
        <w:t>xpectations</w:t>
      </w:r>
    </w:p>
    <w:p w14:paraId="75FEC769" w14:textId="348C5079" w:rsidR="00806E25" w:rsidRDefault="00806E25" w:rsidP="00CC555C">
      <w:pPr>
        <w:pStyle w:val="Heading3"/>
        <w:numPr>
          <w:ilvl w:val="0"/>
          <w:numId w:val="0"/>
        </w:numPr>
        <w:ind w:left="851"/>
      </w:pPr>
      <w:r w:rsidRPr="00806E25">
        <w:t>Transparency</w:t>
      </w:r>
    </w:p>
    <w:p w14:paraId="03056377" w14:textId="72E28532" w:rsidR="00322A9D" w:rsidRPr="00806E25" w:rsidRDefault="00322A9D" w:rsidP="00CC555C">
      <w:pPr>
        <w:pStyle w:val="F9-Paragraph"/>
      </w:pPr>
      <w:r w:rsidRPr="00322A9D">
        <w:t>Dutyholders are expected to:</w:t>
      </w:r>
    </w:p>
    <w:p w14:paraId="4A35058C" w14:textId="127BA3B0" w:rsidR="00806E25" w:rsidRPr="00806E25" w:rsidRDefault="00806E25" w:rsidP="000B43AB">
      <w:pPr>
        <w:pStyle w:val="Bulletlist1"/>
      </w:pPr>
      <w:r w:rsidRPr="00806E25">
        <w:t>Clearly document all options considered.</w:t>
      </w:r>
      <w:r w:rsidR="00942B9E">
        <w:t xml:space="preserve"> This should include appropriate consideration of </w:t>
      </w:r>
      <w:r w:rsidR="00CF6D3A">
        <w:t xml:space="preserve">partial options and combinations of options. </w:t>
      </w:r>
    </w:p>
    <w:p w14:paraId="6F22B62E" w14:textId="555BE912" w:rsidR="00806E25" w:rsidRDefault="00806E25" w:rsidP="000B43AB">
      <w:pPr>
        <w:pStyle w:val="Bulletlist1"/>
      </w:pPr>
      <w:r w:rsidRPr="00806E25">
        <w:t>Justify selection criteria and the chosen option</w:t>
      </w:r>
      <w:r w:rsidR="00CF6D3A">
        <w:t xml:space="preserve">, which should be the safest option or combination of options that </w:t>
      </w:r>
      <w:r w:rsidR="00AF57CF">
        <w:t>is reasonably practicable.</w:t>
      </w:r>
    </w:p>
    <w:p w14:paraId="0BDEE3E3" w14:textId="2264449B" w:rsidR="00AF57CF" w:rsidRPr="00806E25" w:rsidRDefault="00AF57CF" w:rsidP="000B43AB">
      <w:pPr>
        <w:pStyle w:val="Bulletlist1"/>
      </w:pPr>
      <w:r>
        <w:t xml:space="preserve">Consider the time needed implement options: it can sometimes be the case that a simple, quick option can be implemented to gain an early risk benefit whilst more complete options </w:t>
      </w:r>
      <w:r w:rsidR="00045CFD">
        <w:t>are implemented later.</w:t>
      </w:r>
    </w:p>
    <w:p w14:paraId="106DCD84" w14:textId="05F7EF67" w:rsidR="00806E25" w:rsidRPr="00806E25" w:rsidRDefault="00806E25" w:rsidP="00CC555C">
      <w:pPr>
        <w:pStyle w:val="Heading3"/>
        <w:numPr>
          <w:ilvl w:val="0"/>
          <w:numId w:val="0"/>
        </w:numPr>
        <w:ind w:left="851"/>
      </w:pPr>
      <w:r w:rsidRPr="00806E25">
        <w:t>Proportionality</w:t>
      </w:r>
    </w:p>
    <w:p w14:paraId="52264D2F" w14:textId="5FA43512" w:rsidR="00715F45" w:rsidRDefault="00590306" w:rsidP="00CC555C">
      <w:pPr>
        <w:pStyle w:val="F9-Paragraph"/>
      </w:pPr>
      <w:r>
        <w:t>ONR expects:</w:t>
      </w:r>
    </w:p>
    <w:p w14:paraId="5F71FC72" w14:textId="707BA746" w:rsidR="00806E25" w:rsidRPr="00806E25" w:rsidRDefault="00806E25" w:rsidP="000B43AB">
      <w:pPr>
        <w:pStyle w:val="Bulletlist1"/>
      </w:pPr>
      <w:r w:rsidRPr="00806E25">
        <w:t xml:space="preserve">The depth of optioneering </w:t>
      </w:r>
      <w:r w:rsidR="00590306">
        <w:t>undertaken by dutyholders to be proportionate to</w:t>
      </w:r>
      <w:r w:rsidRPr="00806E25">
        <w:t xml:space="preserve"> the level of risk.</w:t>
      </w:r>
    </w:p>
    <w:p w14:paraId="32EE83CC" w14:textId="779D5C1A" w:rsidR="00806E25" w:rsidRPr="00806E25" w:rsidRDefault="00806E25" w:rsidP="000B43AB">
      <w:pPr>
        <w:pStyle w:val="Bulletlist1"/>
      </w:pPr>
      <w:r w:rsidRPr="00806E25">
        <w:t xml:space="preserve">More rigour </w:t>
      </w:r>
      <w:r w:rsidR="00590306">
        <w:t>in optioneering</w:t>
      </w:r>
      <w:r w:rsidRPr="00806E25">
        <w:t xml:space="preserve"> where RGP is lacking or not met.</w:t>
      </w:r>
    </w:p>
    <w:p w14:paraId="6A868DE6" w14:textId="77777777" w:rsidR="000B43AB" w:rsidRDefault="000B43AB" w:rsidP="000B43AB">
      <w:pPr>
        <w:pStyle w:val="Bulletlist1"/>
        <w:sectPr w:rsidR="000B43AB" w:rsidSect="00560E66">
          <w:pgSz w:w="11906" w:h="16838" w:code="9"/>
          <w:pgMar w:top="1440" w:right="1440" w:bottom="1440" w:left="1440" w:header="397" w:footer="397" w:gutter="0"/>
          <w:cols w:space="312"/>
          <w:docGrid w:linePitch="360"/>
        </w:sectPr>
      </w:pPr>
    </w:p>
    <w:p w14:paraId="410FFB7F" w14:textId="48B778EF" w:rsidR="000171F1" w:rsidRDefault="00590306" w:rsidP="000B43AB">
      <w:pPr>
        <w:pStyle w:val="Bulletlist1"/>
      </w:pPr>
      <w:r>
        <w:lastRenderedPageBreak/>
        <w:t xml:space="preserve">Dutyholders </w:t>
      </w:r>
      <w:r w:rsidR="00B1237B">
        <w:t xml:space="preserve">should </w:t>
      </w:r>
      <w:r>
        <w:t>consider</w:t>
      </w:r>
      <w:r w:rsidR="00806E25" w:rsidRPr="00806E25">
        <w:t xml:space="preserve"> the full lifecycle of the facility or project</w:t>
      </w:r>
      <w:r w:rsidR="00E3708F">
        <w:t xml:space="preserve"> in a graded manner, informed by</w:t>
      </w:r>
      <w:r w:rsidR="0059644D">
        <w:t xml:space="preserve"> the scale and nature of the project</w:t>
      </w:r>
      <w:r w:rsidR="00806E25" w:rsidRPr="00806E25">
        <w:t>.</w:t>
      </w:r>
      <w:r w:rsidR="00350AA1">
        <w:t xml:space="preserve"> </w:t>
      </w:r>
      <w:r w:rsidR="00F35DE4">
        <w:br/>
      </w:r>
      <w:r w:rsidR="00350AA1">
        <w:t xml:space="preserve">More complex projects are likely to require an iterative approach to </w:t>
      </w:r>
      <w:r w:rsidR="00307B43">
        <w:t>successful optioneering.</w:t>
      </w:r>
    </w:p>
    <w:p w14:paraId="39EC7772" w14:textId="2DEBA353" w:rsidR="00806E25" w:rsidRPr="00806E25" w:rsidRDefault="00806E25" w:rsidP="00CC555C">
      <w:pPr>
        <w:pStyle w:val="Heading3"/>
        <w:numPr>
          <w:ilvl w:val="0"/>
          <w:numId w:val="0"/>
        </w:numPr>
        <w:ind w:left="851"/>
      </w:pPr>
      <w:r w:rsidRPr="00806E25">
        <w:t xml:space="preserve">Balance of </w:t>
      </w:r>
      <w:r w:rsidR="00CC555C">
        <w:t>ri</w:t>
      </w:r>
      <w:r w:rsidRPr="00806E25">
        <w:t>sk</w:t>
      </w:r>
    </w:p>
    <w:p w14:paraId="76C79213" w14:textId="6F9D4C93" w:rsidR="00B67DE7" w:rsidRPr="00B67DE7" w:rsidRDefault="00B67DE7" w:rsidP="00CC555C">
      <w:pPr>
        <w:pStyle w:val="F9-Paragraph"/>
      </w:pPr>
      <w:r w:rsidRPr="00B67DE7">
        <w:t>Optioneering should be proportionate in taking into account of the impact of all relevant health and safety risks (including nuclear) alongside other constraints to reach a</w:t>
      </w:r>
      <w:r w:rsidR="000171F1">
        <w:t>n</w:t>
      </w:r>
      <w:r w:rsidRPr="00B67DE7">
        <w:t xml:space="preserve"> </w:t>
      </w:r>
      <w:r w:rsidR="00B1237B">
        <w:t>optimised</w:t>
      </w:r>
      <w:r w:rsidR="00B1237B" w:rsidRPr="00B67DE7">
        <w:t xml:space="preserve"> </w:t>
      </w:r>
      <w:r w:rsidRPr="00B67DE7">
        <w:t>decision. Examples of other constraints include other legislative requirements covering safeguards, security and environment</w:t>
      </w:r>
      <w:r w:rsidR="00B1237B">
        <w:t>al protection</w:t>
      </w:r>
      <w:r w:rsidRPr="00B67DE7">
        <w:t>.</w:t>
      </w:r>
    </w:p>
    <w:p w14:paraId="2ED20FD0" w14:textId="7735E9E2" w:rsidR="00806E25" w:rsidRPr="00806E25" w:rsidRDefault="00806E25" w:rsidP="00560E66">
      <w:pPr>
        <w:pStyle w:val="Heading3"/>
        <w:numPr>
          <w:ilvl w:val="0"/>
          <w:numId w:val="0"/>
        </w:numPr>
        <w:ind w:left="851"/>
      </w:pPr>
      <w:r w:rsidRPr="00806E25">
        <w:t xml:space="preserve">Key </w:t>
      </w:r>
      <w:r w:rsidR="00CC555C">
        <w:t>s</w:t>
      </w:r>
      <w:r w:rsidRPr="00806E25">
        <w:t xml:space="preserve">teps in the </w:t>
      </w:r>
      <w:r w:rsidR="00CC555C">
        <w:t>p</w:t>
      </w:r>
      <w:r w:rsidRPr="00806E25">
        <w:t>rocess</w:t>
      </w:r>
    </w:p>
    <w:p w14:paraId="4E245C2B" w14:textId="46C7C3C8" w:rsidR="00A66B0B" w:rsidRDefault="00560E66" w:rsidP="00CC555C">
      <w:pPr>
        <w:pStyle w:val="F9-Paragraph"/>
      </w:pPr>
      <w:r>
        <w:fldChar w:fldCharType="begin"/>
      </w:r>
      <w:r>
        <w:instrText xml:space="preserve"> REF _Ref212016338 \h </w:instrText>
      </w:r>
      <w:r>
        <w:fldChar w:fldCharType="separate"/>
      </w:r>
      <w:r>
        <w:t xml:space="preserve">Figure </w:t>
      </w:r>
      <w:r>
        <w:rPr>
          <w:noProof/>
        </w:rPr>
        <w:t>2</w:t>
      </w:r>
      <w:r>
        <w:fldChar w:fldCharType="end"/>
      </w:r>
      <w:r>
        <w:t xml:space="preserve"> </w:t>
      </w:r>
      <w:r w:rsidR="00A66B0B" w:rsidRPr="00A66B0B">
        <w:t>illustrates an indicative optioneering process</w:t>
      </w:r>
      <w:r w:rsidR="004E0A41">
        <w:t xml:space="preserve"> which could be considered by inspectors to represent RGP. The points below expand </w:t>
      </w:r>
      <w:r w:rsidR="00F205A6">
        <w:t xml:space="preserve">upon the key steps in </w:t>
      </w:r>
      <w:r>
        <w:fldChar w:fldCharType="begin"/>
      </w:r>
      <w:r>
        <w:instrText xml:space="preserve"> REF _Ref212016338 \h </w:instrText>
      </w:r>
      <w:r>
        <w:fldChar w:fldCharType="separate"/>
      </w:r>
      <w:r>
        <w:t xml:space="preserve">Figure </w:t>
      </w:r>
      <w:r>
        <w:rPr>
          <w:noProof/>
        </w:rPr>
        <w:t>2</w:t>
      </w:r>
      <w:r>
        <w:fldChar w:fldCharType="end"/>
      </w:r>
      <w:r w:rsidR="00F205A6">
        <w:t>. A good optioneering process should:</w:t>
      </w:r>
    </w:p>
    <w:p w14:paraId="4BB56FA2" w14:textId="0C45002C" w:rsidR="00806E25" w:rsidRPr="00806E25" w:rsidRDefault="00806E25" w:rsidP="000B43AB">
      <w:pPr>
        <w:pStyle w:val="Bulletlist1"/>
      </w:pPr>
      <w:r w:rsidRPr="00806E25">
        <w:t>Define minimum legal and regulatory requirements.</w:t>
      </w:r>
    </w:p>
    <w:p w14:paraId="0A888839" w14:textId="77777777" w:rsidR="00806E25" w:rsidRPr="00806E25" w:rsidRDefault="00806E25" w:rsidP="000B43AB">
      <w:pPr>
        <w:pStyle w:val="Bulletlist1"/>
      </w:pPr>
      <w:r w:rsidRPr="00806E25">
        <w:t>Use established standards to inform options.</w:t>
      </w:r>
    </w:p>
    <w:p w14:paraId="32DEBB8A" w14:textId="77777777" w:rsidR="00806E25" w:rsidRPr="00806E25" w:rsidRDefault="00806E25" w:rsidP="000B43AB">
      <w:pPr>
        <w:pStyle w:val="Bulletlist1"/>
      </w:pPr>
      <w:r w:rsidRPr="00806E25">
        <w:t>Evaluate options using weighted safety and performance criteria.</w:t>
      </w:r>
    </w:p>
    <w:p w14:paraId="25CD65E4" w14:textId="77777777" w:rsidR="00806E25" w:rsidRPr="00806E25" w:rsidRDefault="00806E25" w:rsidP="000B43AB">
      <w:pPr>
        <w:pStyle w:val="Bulletlist1"/>
      </w:pPr>
      <w:r w:rsidRPr="00806E25">
        <w:t>Prioritise inherently safer designs and passive safety features.</w:t>
      </w:r>
    </w:p>
    <w:p w14:paraId="53CA9D9D" w14:textId="77777777" w:rsidR="00806E25" w:rsidRPr="00806E25" w:rsidRDefault="00806E25" w:rsidP="000B43AB">
      <w:pPr>
        <w:pStyle w:val="Bulletlist1"/>
      </w:pPr>
      <w:r w:rsidRPr="00806E25">
        <w:t>Consider implementation time and practicality.</w:t>
      </w:r>
    </w:p>
    <w:p w14:paraId="5A99E4EF" w14:textId="77777777" w:rsidR="00047554" w:rsidRDefault="00806E25" w:rsidP="000B43AB">
      <w:pPr>
        <w:pStyle w:val="Bulletlist1"/>
      </w:pPr>
      <w:r w:rsidRPr="00806E25">
        <w:t>Ensure multidisciplinary input and record decisions transparently.</w:t>
      </w:r>
    </w:p>
    <w:p w14:paraId="41F516C2" w14:textId="753DB01B" w:rsidR="00097041" w:rsidRDefault="00F205A6" w:rsidP="000B43AB">
      <w:pPr>
        <w:pStyle w:val="Bulletlist1"/>
      </w:pPr>
      <w:r w:rsidRPr="000D5493">
        <w:t>For major projects</w:t>
      </w:r>
      <w:r w:rsidR="000D5493" w:rsidRPr="000D5493">
        <w:t xml:space="preserve"> be </w:t>
      </w:r>
      <w:r w:rsidR="00806E25" w:rsidRPr="00806E25">
        <w:t>iterative and evolve with design maturity.</w:t>
      </w:r>
    </w:p>
    <w:p w14:paraId="22A46B45" w14:textId="77777777" w:rsidR="00560E66" w:rsidRDefault="00700A94" w:rsidP="00560E66">
      <w:pPr>
        <w:keepNext/>
        <w:tabs>
          <w:tab w:val="left" w:pos="1349"/>
        </w:tabs>
        <w:jc w:val="center"/>
      </w:pPr>
      <w:r>
        <w:rPr>
          <w:noProof/>
        </w:rPr>
        <w:lastRenderedPageBreak/>
        <w:drawing>
          <wp:inline distT="0" distB="0" distL="0" distR="0" wp14:anchorId="2AA1723A" wp14:editId="4EA424E3">
            <wp:extent cx="4857750" cy="5040188"/>
            <wp:effectExtent l="0" t="0" r="0" b="8255"/>
            <wp:docPr id="46" name="Picture 46" descr="Optioneering process - comprising of 9 steps. Step 1 is define problem. Step 2 is identify stakeholders step three is a stablished study team Step 4 is identify requirements/ constraints Step 5 is identify options step 6 is select factors step 7 is evaluate options step 8 is produced study reports step 9 is record stakeholder decision and r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ptioneering process - comprising of 9 steps. Step 1 is define problem. Step 2 is identify stakeholders step three is a stablished study team Step 4 is identify requirements/ constraints Step 5 is identify options step 6 is select factors step 7 is evaluate options step 8 is produced study reports step 9 is record stakeholder decision and rationa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1031" cy="5168099"/>
                    </a:xfrm>
                    <a:prstGeom prst="rect">
                      <a:avLst/>
                    </a:prstGeom>
                    <a:noFill/>
                  </pic:spPr>
                </pic:pic>
              </a:graphicData>
            </a:graphic>
          </wp:inline>
        </w:drawing>
      </w:r>
    </w:p>
    <w:p w14:paraId="434A7846" w14:textId="1BC57C71" w:rsidR="00543E80" w:rsidRDefault="00560E66" w:rsidP="00560E66">
      <w:pPr>
        <w:pStyle w:val="Caption"/>
        <w:jc w:val="center"/>
      </w:pPr>
      <w:bookmarkStart w:id="35" w:name="_Ref212016338"/>
      <w:r>
        <w:t xml:space="preserve">Figure </w:t>
      </w:r>
      <w:r>
        <w:fldChar w:fldCharType="begin"/>
      </w:r>
      <w:r>
        <w:instrText xml:space="preserve"> SEQ Figure \* ARABIC </w:instrText>
      </w:r>
      <w:r>
        <w:fldChar w:fldCharType="separate"/>
      </w:r>
      <w:r>
        <w:rPr>
          <w:noProof/>
        </w:rPr>
        <w:t>2</w:t>
      </w:r>
      <w:r>
        <w:fldChar w:fldCharType="end"/>
      </w:r>
      <w:bookmarkEnd w:id="35"/>
      <w:r>
        <w:t xml:space="preserve"> - </w:t>
      </w:r>
      <w:r w:rsidRPr="008548C8">
        <w:t>Indicative optioneering process.</w:t>
      </w:r>
    </w:p>
    <w:p w14:paraId="4C9852A8" w14:textId="77777777" w:rsidR="00560E66" w:rsidRDefault="00560E66" w:rsidP="0014651A">
      <w:pPr>
        <w:pStyle w:val="Heading1"/>
        <w:numPr>
          <w:ilvl w:val="0"/>
          <w:numId w:val="0"/>
        </w:numPr>
        <w:ind w:left="851" w:hanging="851"/>
        <w:sectPr w:rsidR="00560E66" w:rsidSect="00560E66">
          <w:pgSz w:w="11906" w:h="16838" w:code="9"/>
          <w:pgMar w:top="1440" w:right="1440" w:bottom="1440" w:left="1440" w:header="397" w:footer="397" w:gutter="0"/>
          <w:cols w:space="312"/>
          <w:docGrid w:linePitch="360"/>
        </w:sectPr>
      </w:pPr>
    </w:p>
    <w:bookmarkStart w:id="36" w:name="_Toc213847114" w:displacedByCustomXml="next"/>
    <w:sdt>
      <w:sdtPr>
        <w:rPr>
          <w:color w:val="auto"/>
          <w:sz w:val="24"/>
        </w:rPr>
        <w:id w:val="-791281332"/>
        <w:docPartObj>
          <w:docPartGallery w:val="Bibliographies"/>
          <w:docPartUnique/>
        </w:docPartObj>
      </w:sdtPr>
      <w:sdtEndPr/>
      <w:sdtContent>
        <w:p w14:paraId="24D60A04" w14:textId="214B7F9E" w:rsidR="00CC555C" w:rsidRDefault="00CC555C" w:rsidP="0014651A">
          <w:pPr>
            <w:pStyle w:val="Heading1"/>
            <w:numPr>
              <w:ilvl w:val="0"/>
              <w:numId w:val="0"/>
            </w:numPr>
            <w:ind w:left="851" w:hanging="851"/>
          </w:pPr>
          <w:r>
            <w:t>References</w:t>
          </w:r>
          <w:bookmarkEnd w:id="36"/>
        </w:p>
        <w:sdt>
          <w:sdtPr>
            <w:id w:val="-573587230"/>
            <w:bibliography/>
          </w:sdtPr>
          <w:sdtEndPr/>
          <w:sdtContent>
            <w:p w14:paraId="0CA18ECF" w14:textId="77777777" w:rsidR="009722D3" w:rsidRDefault="00CC555C">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9722D3" w14:paraId="34F6DCA3" w14:textId="77777777">
                <w:trPr>
                  <w:divId w:val="1851875368"/>
                  <w:tblCellSpacing w:w="15" w:type="dxa"/>
                </w:trPr>
                <w:tc>
                  <w:tcPr>
                    <w:tcW w:w="50" w:type="pct"/>
                    <w:hideMark/>
                  </w:tcPr>
                  <w:p w14:paraId="03C6A0AE" w14:textId="69B2D4FB" w:rsidR="009722D3" w:rsidRDefault="009722D3" w:rsidP="009722D3">
                    <w:pPr>
                      <w:pStyle w:val="Bibliography"/>
                      <w:spacing w:after="0"/>
                      <w:rPr>
                        <w:noProof/>
                        <w:szCs w:val="24"/>
                      </w:rPr>
                    </w:pPr>
                    <w:r>
                      <w:rPr>
                        <w:noProof/>
                      </w:rPr>
                      <w:t xml:space="preserve">[1] </w:t>
                    </w:r>
                  </w:p>
                </w:tc>
                <w:tc>
                  <w:tcPr>
                    <w:tcW w:w="0" w:type="auto"/>
                    <w:hideMark/>
                  </w:tcPr>
                  <w:p w14:paraId="760EE868" w14:textId="77777777" w:rsidR="009722D3" w:rsidRDefault="009722D3" w:rsidP="009722D3">
                    <w:pPr>
                      <w:pStyle w:val="Bibliography"/>
                      <w:spacing w:after="0"/>
                      <w:rPr>
                        <w:noProof/>
                      </w:rPr>
                    </w:pPr>
                    <w:r>
                      <w:rPr>
                        <w:noProof/>
                      </w:rPr>
                      <w:t>ONR, “Safety Assessment Principles (SAPs) for Nuclear Facilities - 2014 Edition (Revision 1),” [Online]. Available: Available via the ONR website..</w:t>
                    </w:r>
                  </w:p>
                </w:tc>
              </w:tr>
              <w:tr w:rsidR="009722D3" w14:paraId="360937C4" w14:textId="77777777">
                <w:trPr>
                  <w:divId w:val="1851875368"/>
                  <w:tblCellSpacing w:w="15" w:type="dxa"/>
                </w:trPr>
                <w:tc>
                  <w:tcPr>
                    <w:tcW w:w="50" w:type="pct"/>
                    <w:hideMark/>
                  </w:tcPr>
                  <w:p w14:paraId="7D7B209E" w14:textId="77777777" w:rsidR="009722D3" w:rsidRDefault="009722D3" w:rsidP="009722D3">
                    <w:pPr>
                      <w:pStyle w:val="Bibliography"/>
                      <w:spacing w:after="0"/>
                      <w:rPr>
                        <w:noProof/>
                      </w:rPr>
                    </w:pPr>
                    <w:r>
                      <w:rPr>
                        <w:noProof/>
                      </w:rPr>
                      <w:t xml:space="preserve">[2] </w:t>
                    </w:r>
                  </w:p>
                </w:tc>
                <w:tc>
                  <w:tcPr>
                    <w:tcW w:w="0" w:type="auto"/>
                    <w:hideMark/>
                  </w:tcPr>
                  <w:p w14:paraId="779F5192" w14:textId="77777777" w:rsidR="009722D3" w:rsidRDefault="009722D3" w:rsidP="009722D3">
                    <w:pPr>
                      <w:pStyle w:val="Bibliography"/>
                      <w:spacing w:after="0"/>
                      <w:rPr>
                        <w:noProof/>
                      </w:rPr>
                    </w:pPr>
                    <w:r>
                      <w:rPr>
                        <w:noProof/>
                      </w:rPr>
                      <w:t>ONR, “ONR-RD-REF-001 - An introduction to ONR’s technical assessment and inspection guides,” [Online]. Available: Available via the ONR website..</w:t>
                    </w:r>
                  </w:p>
                </w:tc>
              </w:tr>
              <w:tr w:rsidR="009722D3" w14:paraId="1F6E9FE0" w14:textId="77777777">
                <w:trPr>
                  <w:divId w:val="1851875368"/>
                  <w:tblCellSpacing w:w="15" w:type="dxa"/>
                </w:trPr>
                <w:tc>
                  <w:tcPr>
                    <w:tcW w:w="50" w:type="pct"/>
                    <w:hideMark/>
                  </w:tcPr>
                  <w:p w14:paraId="1AAD1912" w14:textId="77777777" w:rsidR="009722D3" w:rsidRDefault="009722D3" w:rsidP="009722D3">
                    <w:pPr>
                      <w:pStyle w:val="Bibliography"/>
                      <w:spacing w:after="0"/>
                      <w:rPr>
                        <w:noProof/>
                      </w:rPr>
                    </w:pPr>
                    <w:r>
                      <w:rPr>
                        <w:noProof/>
                      </w:rPr>
                      <w:t xml:space="preserve">[3] </w:t>
                    </w:r>
                  </w:p>
                </w:tc>
                <w:tc>
                  <w:tcPr>
                    <w:tcW w:w="0" w:type="auto"/>
                    <w:hideMark/>
                  </w:tcPr>
                  <w:p w14:paraId="7DA78A39" w14:textId="77777777" w:rsidR="009722D3" w:rsidRDefault="009722D3" w:rsidP="009722D3">
                    <w:pPr>
                      <w:pStyle w:val="Bibliography"/>
                      <w:spacing w:after="0"/>
                      <w:rPr>
                        <w:noProof/>
                      </w:rPr>
                    </w:pPr>
                    <w:r>
                      <w:rPr>
                        <w:noProof/>
                      </w:rPr>
                      <w:t>ONR, “ONR-RD-FW-001 - Risk-informed regulatory decision making (RIRDM),” 2024. [Online]. Available: Available via the ONR website..</w:t>
                    </w:r>
                  </w:p>
                </w:tc>
              </w:tr>
              <w:tr w:rsidR="009722D3" w14:paraId="0ADF8AC4" w14:textId="77777777">
                <w:trPr>
                  <w:divId w:val="1851875368"/>
                  <w:tblCellSpacing w:w="15" w:type="dxa"/>
                </w:trPr>
                <w:tc>
                  <w:tcPr>
                    <w:tcW w:w="50" w:type="pct"/>
                    <w:hideMark/>
                  </w:tcPr>
                  <w:p w14:paraId="71F80EE4" w14:textId="77777777" w:rsidR="009722D3" w:rsidRDefault="009722D3" w:rsidP="009722D3">
                    <w:pPr>
                      <w:pStyle w:val="Bibliography"/>
                      <w:spacing w:after="0"/>
                      <w:rPr>
                        <w:noProof/>
                      </w:rPr>
                    </w:pPr>
                    <w:r>
                      <w:rPr>
                        <w:noProof/>
                      </w:rPr>
                      <w:t xml:space="preserve">[4] </w:t>
                    </w:r>
                  </w:p>
                </w:tc>
                <w:tc>
                  <w:tcPr>
                    <w:tcW w:w="0" w:type="auto"/>
                    <w:hideMark/>
                  </w:tcPr>
                  <w:p w14:paraId="54603BB6" w14:textId="77777777" w:rsidR="009722D3" w:rsidRDefault="009722D3" w:rsidP="009722D3">
                    <w:pPr>
                      <w:pStyle w:val="Bibliography"/>
                      <w:spacing w:after="0"/>
                      <w:rPr>
                        <w:noProof/>
                      </w:rPr>
                    </w:pPr>
                    <w:r>
                      <w:rPr>
                        <w:noProof/>
                      </w:rPr>
                      <w:t>ONR, “Licensing Nuclear Installations,” 2021. [Online]. Available: Available via the ONR website..</w:t>
                    </w:r>
                  </w:p>
                </w:tc>
              </w:tr>
              <w:tr w:rsidR="009722D3" w14:paraId="4B77E308" w14:textId="77777777">
                <w:trPr>
                  <w:divId w:val="1851875368"/>
                  <w:tblCellSpacing w:w="15" w:type="dxa"/>
                </w:trPr>
                <w:tc>
                  <w:tcPr>
                    <w:tcW w:w="50" w:type="pct"/>
                    <w:hideMark/>
                  </w:tcPr>
                  <w:p w14:paraId="3CDB25EB" w14:textId="77777777" w:rsidR="009722D3" w:rsidRDefault="009722D3" w:rsidP="009722D3">
                    <w:pPr>
                      <w:pStyle w:val="Bibliography"/>
                      <w:spacing w:after="0"/>
                      <w:rPr>
                        <w:noProof/>
                      </w:rPr>
                    </w:pPr>
                    <w:r>
                      <w:rPr>
                        <w:noProof/>
                      </w:rPr>
                      <w:t xml:space="preserve">[5] </w:t>
                    </w:r>
                  </w:p>
                </w:tc>
                <w:tc>
                  <w:tcPr>
                    <w:tcW w:w="0" w:type="auto"/>
                    <w:hideMark/>
                  </w:tcPr>
                  <w:p w14:paraId="3E4A825C" w14:textId="77777777" w:rsidR="009722D3" w:rsidRDefault="009722D3" w:rsidP="009722D3">
                    <w:pPr>
                      <w:pStyle w:val="Bibliography"/>
                      <w:spacing w:after="0"/>
                      <w:rPr>
                        <w:noProof/>
                      </w:rPr>
                    </w:pPr>
                    <w:r>
                      <w:rPr>
                        <w:noProof/>
                      </w:rPr>
                      <w:t>IAEA, “IAEA Safety Standards,” [Online]. Available: https://www.iaea.org/resources/safety-standards/search.</w:t>
                    </w:r>
                  </w:p>
                </w:tc>
              </w:tr>
              <w:tr w:rsidR="009722D3" w14:paraId="748E0585" w14:textId="77777777">
                <w:trPr>
                  <w:divId w:val="1851875368"/>
                  <w:tblCellSpacing w:w="15" w:type="dxa"/>
                </w:trPr>
                <w:tc>
                  <w:tcPr>
                    <w:tcW w:w="50" w:type="pct"/>
                    <w:hideMark/>
                  </w:tcPr>
                  <w:p w14:paraId="514D7B0E" w14:textId="77777777" w:rsidR="009722D3" w:rsidRDefault="009722D3" w:rsidP="009722D3">
                    <w:pPr>
                      <w:pStyle w:val="Bibliography"/>
                      <w:spacing w:after="0"/>
                      <w:rPr>
                        <w:noProof/>
                      </w:rPr>
                    </w:pPr>
                    <w:r>
                      <w:rPr>
                        <w:noProof/>
                      </w:rPr>
                      <w:t xml:space="preserve">[6] </w:t>
                    </w:r>
                  </w:p>
                </w:tc>
                <w:tc>
                  <w:tcPr>
                    <w:tcW w:w="0" w:type="auto"/>
                    <w:hideMark/>
                  </w:tcPr>
                  <w:p w14:paraId="24769710" w14:textId="77777777" w:rsidR="009722D3" w:rsidRDefault="009722D3" w:rsidP="009722D3">
                    <w:pPr>
                      <w:pStyle w:val="Bibliography"/>
                      <w:spacing w:after="0"/>
                      <w:rPr>
                        <w:noProof/>
                      </w:rPr>
                    </w:pPr>
                    <w:r>
                      <w:rPr>
                        <w:noProof/>
                      </w:rPr>
                      <w:t>WENRA, “WENRA publications,” [Online]. Available: https://www.wenra.eu/publications.</w:t>
                    </w:r>
                  </w:p>
                </w:tc>
              </w:tr>
              <w:tr w:rsidR="009722D3" w14:paraId="4B5ADFAE" w14:textId="77777777">
                <w:trPr>
                  <w:divId w:val="1851875368"/>
                  <w:tblCellSpacing w:w="15" w:type="dxa"/>
                </w:trPr>
                <w:tc>
                  <w:tcPr>
                    <w:tcW w:w="50" w:type="pct"/>
                    <w:hideMark/>
                  </w:tcPr>
                  <w:p w14:paraId="0776AED0" w14:textId="77777777" w:rsidR="009722D3" w:rsidRDefault="009722D3" w:rsidP="009722D3">
                    <w:pPr>
                      <w:pStyle w:val="Bibliography"/>
                      <w:spacing w:after="0"/>
                      <w:rPr>
                        <w:noProof/>
                      </w:rPr>
                    </w:pPr>
                    <w:r>
                      <w:rPr>
                        <w:noProof/>
                      </w:rPr>
                      <w:t xml:space="preserve">[7] </w:t>
                    </w:r>
                  </w:p>
                </w:tc>
                <w:tc>
                  <w:tcPr>
                    <w:tcW w:w="0" w:type="auto"/>
                    <w:hideMark/>
                  </w:tcPr>
                  <w:p w14:paraId="6F1D1FD3" w14:textId="77777777" w:rsidR="009722D3" w:rsidRDefault="009722D3" w:rsidP="009722D3">
                    <w:pPr>
                      <w:pStyle w:val="Bibliography"/>
                      <w:spacing w:after="0"/>
                      <w:rPr>
                        <w:noProof/>
                      </w:rPr>
                    </w:pPr>
                    <w:r>
                      <w:rPr>
                        <w:noProof/>
                      </w:rPr>
                      <w:t>ONR, “Strategy for the Regulation of Replication on Sizewell C,” 2023. [Online]. Available: Available internally to ONR staff via CM9 (Record ref.: 2023/11377).</w:t>
                    </w:r>
                  </w:p>
                </w:tc>
              </w:tr>
              <w:tr w:rsidR="009722D3" w14:paraId="37CF7AEE" w14:textId="77777777">
                <w:trPr>
                  <w:divId w:val="1851875368"/>
                  <w:tblCellSpacing w:w="15" w:type="dxa"/>
                </w:trPr>
                <w:tc>
                  <w:tcPr>
                    <w:tcW w:w="50" w:type="pct"/>
                    <w:hideMark/>
                  </w:tcPr>
                  <w:p w14:paraId="78440421" w14:textId="77777777" w:rsidR="009722D3" w:rsidRDefault="009722D3" w:rsidP="009722D3">
                    <w:pPr>
                      <w:pStyle w:val="Bibliography"/>
                      <w:spacing w:after="0"/>
                      <w:rPr>
                        <w:noProof/>
                      </w:rPr>
                    </w:pPr>
                    <w:r>
                      <w:rPr>
                        <w:noProof/>
                      </w:rPr>
                      <w:t xml:space="preserve">[8] </w:t>
                    </w:r>
                  </w:p>
                </w:tc>
                <w:tc>
                  <w:tcPr>
                    <w:tcW w:w="0" w:type="auto"/>
                    <w:hideMark/>
                  </w:tcPr>
                  <w:p w14:paraId="645F51BC" w14:textId="77777777" w:rsidR="009722D3" w:rsidRDefault="009722D3" w:rsidP="009722D3">
                    <w:pPr>
                      <w:pStyle w:val="Bibliography"/>
                      <w:spacing w:after="0"/>
                      <w:rPr>
                        <w:noProof/>
                      </w:rPr>
                    </w:pPr>
                    <w:r>
                      <w:rPr>
                        <w:noProof/>
                      </w:rPr>
                      <w:t>IAEA, “Fundamental Safety Principles: Safety Fundamentals No. SF-1,” 2006. [Online]. Available: http://www-pub.iaea.org/MTCD/publications/PDF/Pub1273_web.pdf.</w:t>
                    </w:r>
                  </w:p>
                </w:tc>
              </w:tr>
              <w:tr w:rsidR="009722D3" w14:paraId="6007685F" w14:textId="77777777">
                <w:trPr>
                  <w:divId w:val="1851875368"/>
                  <w:tblCellSpacing w:w="15" w:type="dxa"/>
                </w:trPr>
                <w:tc>
                  <w:tcPr>
                    <w:tcW w:w="50" w:type="pct"/>
                    <w:hideMark/>
                  </w:tcPr>
                  <w:p w14:paraId="2DABC9F0" w14:textId="77777777" w:rsidR="009722D3" w:rsidRDefault="009722D3" w:rsidP="009722D3">
                    <w:pPr>
                      <w:pStyle w:val="Bibliography"/>
                      <w:spacing w:after="0"/>
                      <w:rPr>
                        <w:noProof/>
                      </w:rPr>
                    </w:pPr>
                    <w:r>
                      <w:rPr>
                        <w:noProof/>
                      </w:rPr>
                      <w:t xml:space="preserve">[9] </w:t>
                    </w:r>
                  </w:p>
                </w:tc>
                <w:tc>
                  <w:tcPr>
                    <w:tcW w:w="0" w:type="auto"/>
                    <w:hideMark/>
                  </w:tcPr>
                  <w:p w14:paraId="326ECEFC" w14:textId="77777777" w:rsidR="009722D3" w:rsidRDefault="009722D3" w:rsidP="009722D3">
                    <w:pPr>
                      <w:pStyle w:val="Bibliography"/>
                      <w:spacing w:after="0"/>
                      <w:rPr>
                        <w:noProof/>
                      </w:rPr>
                    </w:pPr>
                    <w:r>
                      <w:rPr>
                        <w:noProof/>
                      </w:rPr>
                      <w:t>ONR, “NS-INSP-GD-074 - Construction (Design and Management) Regulations,” [Online]. Available: Available via the ONR website..</w:t>
                    </w:r>
                  </w:p>
                </w:tc>
              </w:tr>
              <w:tr w:rsidR="009722D3" w14:paraId="623EC6BA" w14:textId="77777777">
                <w:trPr>
                  <w:divId w:val="1851875368"/>
                  <w:tblCellSpacing w:w="15" w:type="dxa"/>
                </w:trPr>
                <w:tc>
                  <w:tcPr>
                    <w:tcW w:w="50" w:type="pct"/>
                    <w:hideMark/>
                  </w:tcPr>
                  <w:p w14:paraId="173BE1A7" w14:textId="77777777" w:rsidR="009722D3" w:rsidRDefault="009722D3" w:rsidP="009722D3">
                    <w:pPr>
                      <w:pStyle w:val="Bibliography"/>
                      <w:spacing w:after="0"/>
                      <w:rPr>
                        <w:noProof/>
                      </w:rPr>
                    </w:pPr>
                    <w:r>
                      <w:rPr>
                        <w:noProof/>
                      </w:rPr>
                      <w:t xml:space="preserve">[10] </w:t>
                    </w:r>
                  </w:p>
                </w:tc>
                <w:tc>
                  <w:tcPr>
                    <w:tcW w:w="0" w:type="auto"/>
                    <w:hideMark/>
                  </w:tcPr>
                  <w:p w14:paraId="6F4C6EAD" w14:textId="77777777" w:rsidR="009722D3" w:rsidRDefault="009722D3" w:rsidP="009722D3">
                    <w:pPr>
                      <w:pStyle w:val="Bibliography"/>
                      <w:spacing w:after="0"/>
                      <w:rPr>
                        <w:noProof/>
                      </w:rPr>
                    </w:pPr>
                    <w:r>
                      <w:rPr>
                        <w:noProof/>
                      </w:rPr>
                      <w:t>ONR, “NS-TAST-GD-050 - Periodic Safety Reviews (PSRs),” [Online]. Available: Available via the ONR website..</w:t>
                    </w:r>
                  </w:p>
                </w:tc>
              </w:tr>
              <w:tr w:rsidR="009722D3" w14:paraId="3218D01A" w14:textId="77777777">
                <w:trPr>
                  <w:divId w:val="1851875368"/>
                  <w:tblCellSpacing w:w="15" w:type="dxa"/>
                </w:trPr>
                <w:tc>
                  <w:tcPr>
                    <w:tcW w:w="50" w:type="pct"/>
                    <w:hideMark/>
                  </w:tcPr>
                  <w:p w14:paraId="1D5AAC5B" w14:textId="77777777" w:rsidR="009722D3" w:rsidRDefault="009722D3" w:rsidP="009722D3">
                    <w:pPr>
                      <w:pStyle w:val="Bibliography"/>
                      <w:spacing w:after="0"/>
                      <w:rPr>
                        <w:noProof/>
                      </w:rPr>
                    </w:pPr>
                    <w:r>
                      <w:rPr>
                        <w:noProof/>
                      </w:rPr>
                      <w:t xml:space="preserve">[11] </w:t>
                    </w:r>
                  </w:p>
                </w:tc>
                <w:tc>
                  <w:tcPr>
                    <w:tcW w:w="0" w:type="auto"/>
                    <w:hideMark/>
                  </w:tcPr>
                  <w:p w14:paraId="3A92F048" w14:textId="77777777" w:rsidR="009722D3" w:rsidRDefault="009722D3" w:rsidP="009722D3">
                    <w:pPr>
                      <w:pStyle w:val="Bibliography"/>
                      <w:spacing w:after="0"/>
                      <w:rPr>
                        <w:noProof/>
                      </w:rPr>
                    </w:pPr>
                    <w:r>
                      <w:rPr>
                        <w:noProof/>
                      </w:rPr>
                      <w:t>ONR, “ONR-GEN-GD-018 - So Far As Is Reasonably Practicable (SFAIRP),” [Online]. Available: Available via the ONR website..</w:t>
                    </w:r>
                  </w:p>
                </w:tc>
              </w:tr>
              <w:tr w:rsidR="009722D3" w14:paraId="39F54D1D" w14:textId="77777777">
                <w:trPr>
                  <w:divId w:val="1851875368"/>
                  <w:tblCellSpacing w:w="15" w:type="dxa"/>
                </w:trPr>
                <w:tc>
                  <w:tcPr>
                    <w:tcW w:w="50" w:type="pct"/>
                    <w:hideMark/>
                  </w:tcPr>
                  <w:p w14:paraId="7CF43608" w14:textId="77777777" w:rsidR="009722D3" w:rsidRDefault="009722D3" w:rsidP="009722D3">
                    <w:pPr>
                      <w:pStyle w:val="Bibliography"/>
                      <w:spacing w:after="0"/>
                      <w:rPr>
                        <w:noProof/>
                      </w:rPr>
                    </w:pPr>
                    <w:r>
                      <w:rPr>
                        <w:noProof/>
                      </w:rPr>
                      <w:t xml:space="preserve">[12] </w:t>
                    </w:r>
                  </w:p>
                </w:tc>
                <w:tc>
                  <w:tcPr>
                    <w:tcW w:w="0" w:type="auto"/>
                    <w:hideMark/>
                  </w:tcPr>
                  <w:p w14:paraId="3FC9C0C6" w14:textId="77777777" w:rsidR="009722D3" w:rsidRDefault="009722D3" w:rsidP="009722D3">
                    <w:pPr>
                      <w:pStyle w:val="Bibliography"/>
                      <w:spacing w:after="0"/>
                      <w:rPr>
                        <w:noProof/>
                      </w:rPr>
                    </w:pPr>
                    <w:r>
                      <w:rPr>
                        <w:noProof/>
                      </w:rPr>
                      <w:t>HSE, “The Tolerability of Risk From Nuclear Power Stations,” https://www.onr.org.uk/documents/tolerability.pdf, 1992.</w:t>
                    </w:r>
                  </w:p>
                </w:tc>
              </w:tr>
              <w:tr w:rsidR="009722D3" w14:paraId="170F3452" w14:textId="77777777">
                <w:trPr>
                  <w:divId w:val="1851875368"/>
                  <w:tblCellSpacing w:w="15" w:type="dxa"/>
                </w:trPr>
                <w:tc>
                  <w:tcPr>
                    <w:tcW w:w="50" w:type="pct"/>
                    <w:hideMark/>
                  </w:tcPr>
                  <w:p w14:paraId="129C1B91" w14:textId="77777777" w:rsidR="009722D3" w:rsidRDefault="009722D3" w:rsidP="009722D3">
                    <w:pPr>
                      <w:pStyle w:val="Bibliography"/>
                      <w:spacing w:after="0"/>
                      <w:rPr>
                        <w:noProof/>
                      </w:rPr>
                    </w:pPr>
                    <w:r>
                      <w:rPr>
                        <w:noProof/>
                      </w:rPr>
                      <w:t xml:space="preserve">[13] </w:t>
                    </w:r>
                  </w:p>
                </w:tc>
                <w:tc>
                  <w:tcPr>
                    <w:tcW w:w="0" w:type="auto"/>
                    <w:hideMark/>
                  </w:tcPr>
                  <w:p w14:paraId="09DA4ED7" w14:textId="77777777" w:rsidR="009722D3" w:rsidRDefault="009722D3" w:rsidP="009722D3">
                    <w:pPr>
                      <w:pStyle w:val="Bibliography"/>
                      <w:spacing w:after="0"/>
                      <w:rPr>
                        <w:noProof/>
                      </w:rPr>
                    </w:pPr>
                    <w:r>
                      <w:rPr>
                        <w:noProof/>
                      </w:rPr>
                      <w:t>Health and Safety Executive (HSE), “Reduce Risk and Protecting People (R2P2),” 2001. [Online]. Available: https://www.hse.gov.uk/managing/theory/r2p2.pdf.</w:t>
                    </w:r>
                  </w:p>
                </w:tc>
              </w:tr>
              <w:tr w:rsidR="009722D3" w14:paraId="76C1779E" w14:textId="77777777">
                <w:trPr>
                  <w:divId w:val="1851875368"/>
                  <w:tblCellSpacing w:w="15" w:type="dxa"/>
                </w:trPr>
                <w:tc>
                  <w:tcPr>
                    <w:tcW w:w="50" w:type="pct"/>
                    <w:hideMark/>
                  </w:tcPr>
                  <w:p w14:paraId="3D56F9B1" w14:textId="77777777" w:rsidR="009722D3" w:rsidRDefault="009722D3" w:rsidP="009722D3">
                    <w:pPr>
                      <w:pStyle w:val="Bibliography"/>
                      <w:spacing w:after="0"/>
                      <w:rPr>
                        <w:noProof/>
                      </w:rPr>
                    </w:pPr>
                    <w:r>
                      <w:rPr>
                        <w:noProof/>
                      </w:rPr>
                      <w:t xml:space="preserve">[14] </w:t>
                    </w:r>
                  </w:p>
                </w:tc>
                <w:tc>
                  <w:tcPr>
                    <w:tcW w:w="0" w:type="auto"/>
                    <w:hideMark/>
                  </w:tcPr>
                  <w:p w14:paraId="4CB5D537" w14:textId="77777777" w:rsidR="009722D3" w:rsidRDefault="009722D3" w:rsidP="009722D3">
                    <w:pPr>
                      <w:pStyle w:val="Bibliography"/>
                      <w:spacing w:after="0"/>
                      <w:rPr>
                        <w:noProof/>
                      </w:rPr>
                    </w:pPr>
                    <w:r>
                      <w:rPr>
                        <w:noProof/>
                      </w:rPr>
                      <w:t>HSE, “Reduce Risk and Protecting People (R2P2),” 2001. [Online]. Available: https://www.hse.gov.uk/managing/theory/r2p2.pdf.</w:t>
                    </w:r>
                  </w:p>
                </w:tc>
              </w:tr>
              <w:tr w:rsidR="009722D3" w14:paraId="06AF6447" w14:textId="77777777">
                <w:trPr>
                  <w:divId w:val="1851875368"/>
                  <w:tblCellSpacing w:w="15" w:type="dxa"/>
                </w:trPr>
                <w:tc>
                  <w:tcPr>
                    <w:tcW w:w="50" w:type="pct"/>
                    <w:hideMark/>
                  </w:tcPr>
                  <w:p w14:paraId="7716E407" w14:textId="77777777" w:rsidR="009722D3" w:rsidRDefault="009722D3" w:rsidP="009722D3">
                    <w:pPr>
                      <w:pStyle w:val="Bibliography"/>
                      <w:spacing w:after="0"/>
                      <w:rPr>
                        <w:noProof/>
                      </w:rPr>
                    </w:pPr>
                    <w:r>
                      <w:rPr>
                        <w:noProof/>
                      </w:rPr>
                      <w:t xml:space="preserve">[15] </w:t>
                    </w:r>
                  </w:p>
                </w:tc>
                <w:tc>
                  <w:tcPr>
                    <w:tcW w:w="0" w:type="auto"/>
                    <w:hideMark/>
                  </w:tcPr>
                  <w:p w14:paraId="4436D5A8" w14:textId="77777777" w:rsidR="009722D3" w:rsidRDefault="009722D3" w:rsidP="009722D3">
                    <w:pPr>
                      <w:pStyle w:val="Bibliography"/>
                      <w:spacing w:after="0"/>
                      <w:rPr>
                        <w:noProof/>
                      </w:rPr>
                    </w:pPr>
                    <w:r>
                      <w:rPr>
                        <w:noProof/>
                      </w:rPr>
                      <w:t>ONR, “ONR-RD-POL-002 – Risk Informed &amp; Targeted Engagements (RITE),” [Online]. Available: Available via the ONR website..</w:t>
                    </w:r>
                  </w:p>
                </w:tc>
              </w:tr>
              <w:tr w:rsidR="009722D3" w14:paraId="733E7138" w14:textId="77777777">
                <w:trPr>
                  <w:divId w:val="1851875368"/>
                  <w:tblCellSpacing w:w="15" w:type="dxa"/>
                </w:trPr>
                <w:tc>
                  <w:tcPr>
                    <w:tcW w:w="50" w:type="pct"/>
                    <w:hideMark/>
                  </w:tcPr>
                  <w:p w14:paraId="11A6ADE5" w14:textId="77777777" w:rsidR="009722D3" w:rsidRDefault="009722D3" w:rsidP="009722D3">
                    <w:pPr>
                      <w:pStyle w:val="Bibliography"/>
                      <w:spacing w:after="0"/>
                      <w:rPr>
                        <w:noProof/>
                      </w:rPr>
                    </w:pPr>
                    <w:r>
                      <w:rPr>
                        <w:noProof/>
                      </w:rPr>
                      <w:t xml:space="preserve">[16] </w:t>
                    </w:r>
                  </w:p>
                </w:tc>
                <w:tc>
                  <w:tcPr>
                    <w:tcW w:w="0" w:type="auto"/>
                    <w:hideMark/>
                  </w:tcPr>
                  <w:p w14:paraId="4269E336" w14:textId="77777777" w:rsidR="009722D3" w:rsidRDefault="009722D3" w:rsidP="009722D3">
                    <w:pPr>
                      <w:pStyle w:val="Bibliography"/>
                      <w:spacing w:after="0"/>
                      <w:rPr>
                        <w:noProof/>
                      </w:rPr>
                    </w:pPr>
                    <w:r>
                      <w:rPr>
                        <w:noProof/>
                      </w:rPr>
                      <w:t>HSE, “ALARP suite of guidance,” [Online]. Available: https://www.hse.gov.uk/managing/theory/index.htm.</w:t>
                    </w:r>
                  </w:p>
                </w:tc>
              </w:tr>
              <w:tr w:rsidR="009722D3" w14:paraId="6E53357A" w14:textId="77777777">
                <w:trPr>
                  <w:divId w:val="1851875368"/>
                  <w:tblCellSpacing w:w="15" w:type="dxa"/>
                </w:trPr>
                <w:tc>
                  <w:tcPr>
                    <w:tcW w:w="50" w:type="pct"/>
                    <w:hideMark/>
                  </w:tcPr>
                  <w:p w14:paraId="3D8A730C" w14:textId="77777777" w:rsidR="009722D3" w:rsidRDefault="009722D3" w:rsidP="009722D3">
                    <w:pPr>
                      <w:pStyle w:val="Bibliography"/>
                      <w:spacing w:after="0"/>
                      <w:rPr>
                        <w:noProof/>
                      </w:rPr>
                    </w:pPr>
                    <w:r>
                      <w:rPr>
                        <w:noProof/>
                      </w:rPr>
                      <w:t xml:space="preserve">[17] </w:t>
                    </w:r>
                  </w:p>
                </w:tc>
                <w:tc>
                  <w:tcPr>
                    <w:tcW w:w="0" w:type="auto"/>
                    <w:hideMark/>
                  </w:tcPr>
                  <w:p w14:paraId="036C5706" w14:textId="77777777" w:rsidR="009722D3" w:rsidRDefault="009722D3" w:rsidP="009722D3">
                    <w:pPr>
                      <w:pStyle w:val="Bibliography"/>
                      <w:spacing w:after="0"/>
                      <w:rPr>
                        <w:noProof/>
                      </w:rPr>
                    </w:pPr>
                    <w:r>
                      <w:rPr>
                        <w:noProof/>
                      </w:rPr>
                      <w:t>ONR, “ONR-RD-REF-002 - List of regulatory acronyms, abbreviations and initialisms,” [Online]. Available: Available via the ONR website..</w:t>
                    </w:r>
                  </w:p>
                </w:tc>
              </w:tr>
            </w:tbl>
            <w:p w14:paraId="09378149" w14:textId="77777777" w:rsidR="009722D3" w:rsidRDefault="009722D3">
              <w:pPr>
                <w:divId w:val="1851875368"/>
                <w:rPr>
                  <w:rFonts w:eastAsia="Times New Roman"/>
                  <w:noProof/>
                </w:rPr>
              </w:pPr>
            </w:p>
            <w:p w14:paraId="424B040F" w14:textId="6E933B01" w:rsidR="00CC555C" w:rsidRDefault="00CC555C">
              <w:r>
                <w:rPr>
                  <w:b/>
                  <w:bCs/>
                </w:rPr>
                <w:fldChar w:fldCharType="end"/>
              </w:r>
            </w:p>
          </w:sdtContent>
        </w:sdt>
      </w:sdtContent>
    </w:sdt>
    <w:p w14:paraId="02E6E86F" w14:textId="14C2C751" w:rsidR="00F020DD" w:rsidRDefault="00F020DD" w:rsidP="00F020DD">
      <w:pPr>
        <w:pStyle w:val="Heading1"/>
        <w:numPr>
          <w:ilvl w:val="0"/>
          <w:numId w:val="0"/>
        </w:numPr>
      </w:pPr>
      <w:bookmarkStart w:id="37" w:name="_Toc89268373"/>
      <w:bookmarkStart w:id="38" w:name="_Toc208907988"/>
      <w:bookmarkStart w:id="39" w:name="_Toc213847115"/>
      <w:r>
        <w:lastRenderedPageBreak/>
        <w:t xml:space="preserve">List of </w:t>
      </w:r>
      <w:r w:rsidR="004B3AB5">
        <w:t xml:space="preserve">key </w:t>
      </w:r>
      <w:r>
        <w:t>acronyms, a</w:t>
      </w:r>
      <w:r w:rsidRPr="003B4701">
        <w:t>bbreviations</w:t>
      </w:r>
      <w:bookmarkEnd w:id="37"/>
      <w:r>
        <w:t xml:space="preserve"> and </w:t>
      </w:r>
      <w:bookmarkEnd w:id="38"/>
      <w:r w:rsidR="005D2ED4">
        <w:t>initialisms</w:t>
      </w:r>
      <w:bookmarkEnd w:id="39"/>
    </w:p>
    <w:p w14:paraId="45C70820" w14:textId="13B6A505" w:rsidR="000B20F0" w:rsidRDefault="000B20F0" w:rsidP="00F53898">
      <w:pPr>
        <w:tabs>
          <w:tab w:val="left" w:pos="1440"/>
        </w:tabs>
        <w:spacing w:after="0" w:line="240" w:lineRule="auto"/>
        <w:contextualSpacing/>
      </w:pPr>
      <w:r>
        <w:t xml:space="preserve">ALARP </w:t>
      </w:r>
      <w:r>
        <w:tab/>
        <w:t>As low as reasonably practicable</w:t>
      </w:r>
    </w:p>
    <w:p w14:paraId="68914E7E" w14:textId="517593ED" w:rsidR="00230D85" w:rsidRDefault="00230D85" w:rsidP="00F53898">
      <w:pPr>
        <w:tabs>
          <w:tab w:val="left" w:pos="1440"/>
        </w:tabs>
        <w:spacing w:after="0" w:line="240" w:lineRule="auto"/>
        <w:contextualSpacing/>
      </w:pPr>
      <w:r>
        <w:t>BAT</w:t>
      </w:r>
      <w:r>
        <w:tab/>
        <w:t>Best Available Techniques</w:t>
      </w:r>
    </w:p>
    <w:p w14:paraId="18D56375" w14:textId="49902D6E" w:rsidR="00230D85" w:rsidRDefault="00230D85" w:rsidP="00F53898">
      <w:pPr>
        <w:tabs>
          <w:tab w:val="left" w:pos="1440"/>
        </w:tabs>
        <w:spacing w:after="0" w:line="240" w:lineRule="auto"/>
        <w:contextualSpacing/>
      </w:pPr>
      <w:r>
        <w:t>BPM</w:t>
      </w:r>
      <w:r>
        <w:tab/>
        <w:t>Best Practicable Means</w:t>
      </w:r>
    </w:p>
    <w:p w14:paraId="0BFD9FCF" w14:textId="6053B60E" w:rsidR="007477A3" w:rsidRDefault="007477A3" w:rsidP="00F53898">
      <w:pPr>
        <w:tabs>
          <w:tab w:val="left" w:pos="1440"/>
        </w:tabs>
        <w:spacing w:after="0" w:line="240" w:lineRule="auto"/>
        <w:contextualSpacing/>
      </w:pPr>
      <w:r>
        <w:t>BSL</w:t>
      </w:r>
      <w:r>
        <w:tab/>
      </w:r>
      <w:r w:rsidRPr="00924D32">
        <w:t>Basic Safety Level</w:t>
      </w:r>
    </w:p>
    <w:p w14:paraId="45D7CCFF" w14:textId="73D6BCC7" w:rsidR="007477A3" w:rsidRDefault="007477A3" w:rsidP="00F53898">
      <w:pPr>
        <w:tabs>
          <w:tab w:val="left" w:pos="1440"/>
        </w:tabs>
        <w:spacing w:after="0" w:line="240" w:lineRule="auto"/>
        <w:contextualSpacing/>
      </w:pPr>
      <w:r>
        <w:t>BSO</w:t>
      </w:r>
      <w:r>
        <w:tab/>
        <w:t>B</w:t>
      </w:r>
      <w:r w:rsidRPr="00924D32">
        <w:t>asic Safety Objective</w:t>
      </w:r>
    </w:p>
    <w:p w14:paraId="15D240AA" w14:textId="4E3415DB" w:rsidR="00230D85" w:rsidRDefault="00230D85" w:rsidP="00F53898">
      <w:pPr>
        <w:tabs>
          <w:tab w:val="left" w:pos="1440"/>
        </w:tabs>
        <w:spacing w:after="0" w:line="240" w:lineRule="auto"/>
        <w:contextualSpacing/>
      </w:pPr>
      <w:r>
        <w:t>CBA</w:t>
      </w:r>
      <w:r>
        <w:tab/>
        <w:t>Cost Benefit Analysis</w:t>
      </w:r>
    </w:p>
    <w:p w14:paraId="145529C4" w14:textId="3D0D68AA" w:rsidR="000B20F0" w:rsidRDefault="000B20F0" w:rsidP="000B20F0">
      <w:pPr>
        <w:tabs>
          <w:tab w:val="left" w:pos="1440"/>
        </w:tabs>
        <w:spacing w:after="0" w:line="240" w:lineRule="auto"/>
        <w:contextualSpacing/>
      </w:pPr>
      <w:r>
        <w:t xml:space="preserve">RGP </w:t>
      </w:r>
      <w:r>
        <w:tab/>
        <w:t>Relevant good practice</w:t>
      </w:r>
    </w:p>
    <w:p w14:paraId="5C932697" w14:textId="5205F28B" w:rsidR="000B20F0" w:rsidRDefault="000B20F0" w:rsidP="00F53898">
      <w:pPr>
        <w:tabs>
          <w:tab w:val="left" w:pos="1440"/>
        </w:tabs>
        <w:spacing w:after="0" w:line="240" w:lineRule="auto"/>
        <w:contextualSpacing/>
      </w:pPr>
      <w:r>
        <w:t>SFA</w:t>
      </w:r>
      <w:r w:rsidR="002C54F7">
        <w:t>IR</w:t>
      </w:r>
      <w:r>
        <w:t xml:space="preserve">P  </w:t>
      </w:r>
      <w:r>
        <w:tab/>
        <w:t>So far as is reasonably practicable</w:t>
      </w:r>
    </w:p>
    <w:p w14:paraId="0C9D90F5" w14:textId="455CCE24" w:rsidR="00230D85" w:rsidRDefault="00230D85" w:rsidP="00F53898">
      <w:pPr>
        <w:tabs>
          <w:tab w:val="left" w:pos="1440"/>
        </w:tabs>
        <w:spacing w:after="0" w:line="240" w:lineRule="auto"/>
        <w:contextualSpacing/>
      </w:pPr>
      <w:r>
        <w:t>TOR</w:t>
      </w:r>
      <w:r>
        <w:tab/>
        <w:t>Tolerability of Risk</w:t>
      </w:r>
    </w:p>
    <w:p w14:paraId="7FAEA0FA" w14:textId="77777777" w:rsidR="000B20F0" w:rsidRDefault="000B20F0" w:rsidP="00F53898">
      <w:pPr>
        <w:tabs>
          <w:tab w:val="left" w:pos="1440"/>
        </w:tabs>
        <w:spacing w:after="0" w:line="240" w:lineRule="auto"/>
        <w:contextualSpacing/>
      </w:pPr>
    </w:p>
    <w:p w14:paraId="6F6FA54A" w14:textId="13A55195" w:rsidR="00F020DD" w:rsidRDefault="000B20F0" w:rsidP="00F53898">
      <w:pPr>
        <w:tabs>
          <w:tab w:val="left" w:pos="1440"/>
        </w:tabs>
        <w:spacing w:after="0" w:line="240" w:lineRule="auto"/>
        <w:contextualSpacing/>
      </w:pPr>
      <w:r>
        <w:rPr>
          <w:b/>
          <w:bCs/>
        </w:rPr>
        <w:t xml:space="preserve">Note: </w:t>
      </w:r>
      <w:r w:rsidR="00F020DD" w:rsidRPr="00D31955">
        <w:t>A comprehensive list of regulatory acronyms, abbreviations and initialisms can be accessed</w:t>
      </w:r>
      <w:r w:rsidR="00F020DD">
        <w:t xml:space="preserve"> </w:t>
      </w:r>
      <w:r w:rsidR="00F020DD" w:rsidRPr="00D31955">
        <w:t xml:space="preserve">via </w:t>
      </w:r>
      <w:hyperlink r:id="rId21" w:history="1">
        <w:r w:rsidR="00F020DD" w:rsidRPr="004854AE">
          <w:rPr>
            <w:rStyle w:val="Hyperlink"/>
          </w:rPr>
          <w:t>HOW2 Hub</w:t>
        </w:r>
      </w:hyperlink>
      <w:r w:rsidR="00F020DD">
        <w:t xml:space="preserve"> </w:t>
      </w:r>
      <w:sdt>
        <w:sdtPr>
          <w:id w:val="1444428763"/>
          <w:citation/>
        </w:sdtPr>
        <w:sdtEndPr/>
        <w:sdtContent>
          <w:r w:rsidR="00F020DD">
            <w:fldChar w:fldCharType="begin"/>
          </w:r>
          <w:r w:rsidR="00356B20">
            <w:instrText xml:space="preserve">CITATION ONR548 \l 2057 </w:instrText>
          </w:r>
          <w:r w:rsidR="00F020DD">
            <w:fldChar w:fldCharType="separate"/>
          </w:r>
          <w:r w:rsidR="00356B20" w:rsidRPr="00356B20">
            <w:rPr>
              <w:noProof/>
            </w:rPr>
            <w:t>[17]</w:t>
          </w:r>
          <w:r w:rsidR="00F020DD">
            <w:fldChar w:fldCharType="end"/>
          </w:r>
        </w:sdtContent>
      </w:sdt>
      <w:r w:rsidR="00F020DD">
        <w:t xml:space="preserve">. </w:t>
      </w:r>
    </w:p>
    <w:p w14:paraId="0C484077" w14:textId="77777777" w:rsidR="00F020DD" w:rsidRDefault="00F020DD"/>
    <w:p w14:paraId="02630A5A" w14:textId="6731AC51" w:rsidR="00CC555C" w:rsidRPr="00595C8C" w:rsidRDefault="00CC555C" w:rsidP="00CC555C">
      <w:pPr>
        <w:pStyle w:val="Heading1"/>
        <w:numPr>
          <w:ilvl w:val="0"/>
          <w:numId w:val="0"/>
        </w:numPr>
        <w:ind w:left="851" w:hanging="851"/>
      </w:pPr>
      <w:bookmarkStart w:id="40" w:name="_Toc213847116"/>
      <w:r>
        <w:t>Document control</w:t>
      </w:r>
      <w:r w:rsidR="000B43AB">
        <w:t xml:space="preserve"> information</w:t>
      </w:r>
      <w:bookmarkEnd w:id="40"/>
    </w:p>
    <w:p w14:paraId="54112A7A" w14:textId="663441C9" w:rsidR="00CC555C" w:rsidRPr="007E1540" w:rsidRDefault="00CC555C" w:rsidP="00E00457">
      <w:pPr>
        <w:spacing w:after="120"/>
        <w:rPr>
          <w:szCs w:val="24"/>
        </w:rPr>
      </w:pPr>
      <w:r w:rsidRPr="007E1540">
        <w:rPr>
          <w:b/>
          <w:bCs/>
          <w:szCs w:val="24"/>
        </w:rPr>
        <w:t>Authored by</w:t>
      </w:r>
      <w:r>
        <w:rPr>
          <w:b/>
          <w:bCs/>
          <w:szCs w:val="24"/>
        </w:rPr>
        <w:t>:</w:t>
      </w:r>
      <w:r w:rsidRPr="007E1540">
        <w:rPr>
          <w:szCs w:val="24"/>
        </w:rPr>
        <w:t xml:space="preserve"> </w:t>
      </w:r>
      <w:r>
        <w:rPr>
          <w:szCs w:val="24"/>
        </w:rPr>
        <w:t xml:space="preserve">Superintending </w:t>
      </w:r>
      <w:r w:rsidRPr="007E1540">
        <w:rPr>
          <w:szCs w:val="24"/>
        </w:rPr>
        <w:t>Inspector</w:t>
      </w:r>
    </w:p>
    <w:p w14:paraId="31977C5D" w14:textId="02945541" w:rsidR="00CC555C" w:rsidRPr="007E1540" w:rsidRDefault="00CC555C" w:rsidP="00E00457">
      <w:pPr>
        <w:spacing w:after="120"/>
        <w:rPr>
          <w:szCs w:val="24"/>
        </w:rPr>
      </w:pPr>
      <w:r w:rsidRPr="007E1540">
        <w:rPr>
          <w:b/>
          <w:bCs/>
          <w:szCs w:val="24"/>
        </w:rPr>
        <w:t>Approved by</w:t>
      </w:r>
      <w:r>
        <w:rPr>
          <w:b/>
          <w:bCs/>
          <w:szCs w:val="24"/>
        </w:rPr>
        <w:t>:</w:t>
      </w:r>
      <w:r w:rsidRPr="007E1540">
        <w:rPr>
          <w:szCs w:val="24"/>
        </w:rPr>
        <w:t xml:space="preserve"> Superintending Inspector</w:t>
      </w:r>
    </w:p>
    <w:p w14:paraId="1B8AC0CC" w14:textId="45B1E87B" w:rsidR="00CC555C" w:rsidRPr="007E1540" w:rsidRDefault="00CC555C" w:rsidP="00E00457">
      <w:pPr>
        <w:spacing w:after="120"/>
        <w:rPr>
          <w:szCs w:val="24"/>
        </w:rPr>
      </w:pPr>
      <w:r w:rsidRPr="007E1540">
        <w:rPr>
          <w:b/>
          <w:bCs/>
          <w:szCs w:val="24"/>
        </w:rPr>
        <w:t>Issue</w:t>
      </w:r>
      <w:r w:rsidRPr="007E1540">
        <w:rPr>
          <w:szCs w:val="24"/>
        </w:rPr>
        <w:t xml:space="preserve">: </w:t>
      </w:r>
      <w:sdt>
        <w:sdtPr>
          <w:rPr>
            <w:szCs w:val="24"/>
          </w:rPr>
          <w:alias w:val="Issue No."/>
          <w:tag w:val=""/>
          <w:id w:val="-894428327"/>
          <w:placeholder>
            <w:docPart w:val="92D025F4C96D451D80D5DF02586DC8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7E1686">
            <w:rPr>
              <w:szCs w:val="24"/>
            </w:rPr>
            <w:t>12.3</w:t>
          </w:r>
        </w:sdtContent>
      </w:sdt>
    </w:p>
    <w:p w14:paraId="351310C0" w14:textId="77777777" w:rsidR="00CC555C" w:rsidRPr="007E1540" w:rsidRDefault="00CC555C" w:rsidP="00E00457">
      <w:pPr>
        <w:spacing w:after="120"/>
        <w:rPr>
          <w:szCs w:val="24"/>
        </w:rPr>
      </w:pPr>
      <w:r>
        <w:rPr>
          <w:b/>
          <w:bCs/>
          <w:szCs w:val="24"/>
        </w:rPr>
        <w:t>Published</w:t>
      </w:r>
      <w:r w:rsidRPr="007E1540">
        <w:rPr>
          <w:szCs w:val="24"/>
        </w:rPr>
        <w:t xml:space="preserve">: </w:t>
      </w:r>
      <w:r>
        <w:rPr>
          <w:szCs w:val="24"/>
        </w:rPr>
        <w:t>October 2025</w:t>
      </w:r>
    </w:p>
    <w:p w14:paraId="377669E5" w14:textId="77777777" w:rsidR="00CC555C" w:rsidRDefault="00CC555C" w:rsidP="00E00457">
      <w:pPr>
        <w:spacing w:after="120"/>
        <w:rPr>
          <w:szCs w:val="24"/>
        </w:rPr>
      </w:pPr>
      <w:r w:rsidRPr="007E1540">
        <w:rPr>
          <w:b/>
          <w:bCs/>
          <w:szCs w:val="24"/>
        </w:rPr>
        <w:t xml:space="preserve">Next </w:t>
      </w:r>
      <w:r>
        <w:rPr>
          <w:b/>
          <w:bCs/>
          <w:szCs w:val="24"/>
        </w:rPr>
        <w:t>scheduled review</w:t>
      </w:r>
      <w:r w:rsidRPr="007E1540">
        <w:rPr>
          <w:szCs w:val="24"/>
        </w:rPr>
        <w:t>: Jan</w:t>
      </w:r>
      <w:r>
        <w:rPr>
          <w:szCs w:val="24"/>
        </w:rPr>
        <w:t xml:space="preserve">uary </w:t>
      </w:r>
      <w:r w:rsidRPr="007E1540">
        <w:rPr>
          <w:szCs w:val="24"/>
        </w:rPr>
        <w:t>2029</w:t>
      </w:r>
    </w:p>
    <w:p w14:paraId="54C94F5B" w14:textId="77777777" w:rsidR="00CC555C" w:rsidRPr="007E1540" w:rsidRDefault="00CC555C" w:rsidP="00E00457">
      <w:pPr>
        <w:spacing w:after="120"/>
        <w:rPr>
          <w:szCs w:val="24"/>
        </w:rPr>
      </w:pPr>
      <w:r w:rsidRPr="007E1540">
        <w:rPr>
          <w:b/>
          <w:bCs/>
          <w:szCs w:val="24"/>
        </w:rPr>
        <w:t xml:space="preserve">Document </w:t>
      </w:r>
      <w:r>
        <w:rPr>
          <w:b/>
          <w:bCs/>
          <w:szCs w:val="24"/>
        </w:rPr>
        <w:t>reference</w:t>
      </w:r>
      <w:r>
        <w:rPr>
          <w:szCs w:val="24"/>
        </w:rPr>
        <w:t>: NS-TAST-GD-005</w:t>
      </w:r>
    </w:p>
    <w:p w14:paraId="49F635BE" w14:textId="77777777" w:rsidR="00CC555C" w:rsidRPr="007E1540" w:rsidRDefault="00CC555C" w:rsidP="00E00457">
      <w:pPr>
        <w:rPr>
          <w:szCs w:val="24"/>
        </w:rPr>
      </w:pPr>
      <w:r w:rsidRPr="007E1540">
        <w:rPr>
          <w:b/>
          <w:bCs/>
          <w:szCs w:val="24"/>
        </w:rPr>
        <w:t xml:space="preserve">Record </w:t>
      </w:r>
      <w:r>
        <w:rPr>
          <w:b/>
          <w:bCs/>
          <w:szCs w:val="24"/>
        </w:rPr>
        <w:t>reference</w:t>
      </w:r>
      <w:r>
        <w:rPr>
          <w:szCs w:val="24"/>
        </w:rPr>
        <w:t xml:space="preserve">: </w:t>
      </w:r>
      <w:hyperlink r:id="rId22" w:tgtFrame="_blank" w:tooltip="ONRHH-822789359-20799" w:history="1">
        <w:r w:rsidRPr="00E77535">
          <w:rPr>
            <w:rStyle w:val="Hyperlink"/>
            <w:szCs w:val="24"/>
          </w:rPr>
          <w:t>ONRHH-822789359-20799</w:t>
        </w:r>
      </w:hyperlink>
    </w:p>
    <w:p w14:paraId="5BC233FA" w14:textId="6A8A2038" w:rsidR="00E00457" w:rsidRDefault="00E00457" w:rsidP="00E00457">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 </w:t>
      </w:r>
      <w:r w:rsidRPr="007A0C68">
        <w:t>Revision commentary</w:t>
      </w:r>
    </w:p>
    <w:tbl>
      <w:tblPr>
        <w:tblStyle w:val="ONRTable1"/>
        <w:tblW w:w="5000" w:type="pct"/>
        <w:tblInd w:w="0" w:type="dxa"/>
        <w:tblLook w:val="04A0" w:firstRow="1" w:lastRow="0" w:firstColumn="1" w:lastColumn="0" w:noHBand="0" w:noVBand="1"/>
      </w:tblPr>
      <w:tblGrid>
        <w:gridCol w:w="984"/>
        <w:gridCol w:w="8042"/>
      </w:tblGrid>
      <w:tr w:rsidR="00CC555C" w:rsidRPr="00DF5930" w14:paraId="24F55761" w14:textId="77777777" w:rsidTr="00E00457">
        <w:trPr>
          <w:cnfStyle w:val="100000000000" w:firstRow="1" w:lastRow="0" w:firstColumn="0" w:lastColumn="0" w:oddVBand="0" w:evenVBand="0" w:oddHBand="0" w:evenHBand="0" w:firstRowFirstColumn="0" w:firstRowLastColumn="0" w:lastRowFirstColumn="0" w:lastRowLastColumn="0"/>
        </w:trPr>
        <w:tc>
          <w:tcPr>
            <w:tcW w:w="545" w:type="pct"/>
          </w:tcPr>
          <w:p w14:paraId="613A4AE8" w14:textId="77777777" w:rsidR="00CC555C" w:rsidRPr="00DF5930" w:rsidRDefault="00CC555C" w:rsidP="00C74FA9">
            <w:pPr>
              <w:spacing w:before="60" w:after="60" w:line="240" w:lineRule="auto"/>
              <w:rPr>
                <w:b w:val="0"/>
                <w:bCs/>
              </w:rPr>
            </w:pPr>
            <w:r w:rsidRPr="00DF5930">
              <w:rPr>
                <w:b w:val="0"/>
                <w:bCs/>
              </w:rPr>
              <w:t>Issue</w:t>
            </w:r>
          </w:p>
        </w:tc>
        <w:tc>
          <w:tcPr>
            <w:tcW w:w="4455" w:type="pct"/>
          </w:tcPr>
          <w:p w14:paraId="14589268" w14:textId="77777777" w:rsidR="00CC555C" w:rsidRPr="00DF5930" w:rsidRDefault="00CC555C" w:rsidP="00C74FA9">
            <w:pPr>
              <w:spacing w:before="60" w:after="60" w:line="240" w:lineRule="auto"/>
              <w:rPr>
                <w:b w:val="0"/>
                <w:bCs/>
              </w:rPr>
            </w:pPr>
            <w:r w:rsidRPr="00DF5930">
              <w:rPr>
                <w:b w:val="0"/>
                <w:bCs/>
              </w:rPr>
              <w:t xml:space="preserve">Description of </w:t>
            </w:r>
            <w:r>
              <w:rPr>
                <w:b w:val="0"/>
                <w:bCs/>
              </w:rPr>
              <w:t>u</w:t>
            </w:r>
            <w:r w:rsidRPr="00DF5930">
              <w:rPr>
                <w:b w:val="0"/>
                <w:bCs/>
              </w:rPr>
              <w:t>pdate(s)</w:t>
            </w:r>
          </w:p>
        </w:tc>
      </w:tr>
      <w:tr w:rsidR="00CC555C" w14:paraId="662D122F" w14:textId="77777777" w:rsidTr="00E00457">
        <w:tc>
          <w:tcPr>
            <w:tcW w:w="545" w:type="pct"/>
          </w:tcPr>
          <w:p w14:paraId="7325F588" w14:textId="77777777" w:rsidR="00CC555C" w:rsidRPr="000B43AB" w:rsidRDefault="00CC555C" w:rsidP="000B43AB">
            <w:pPr>
              <w:spacing w:before="60" w:after="60" w:line="240" w:lineRule="auto"/>
              <w:rPr>
                <w:szCs w:val="24"/>
              </w:rPr>
            </w:pPr>
            <w:r w:rsidRPr="000B43AB">
              <w:rPr>
                <w:szCs w:val="24"/>
              </w:rPr>
              <w:t>12.2</w:t>
            </w:r>
          </w:p>
        </w:tc>
        <w:tc>
          <w:tcPr>
            <w:tcW w:w="4455" w:type="pct"/>
          </w:tcPr>
          <w:p w14:paraId="124965AF" w14:textId="77777777" w:rsidR="00CC555C" w:rsidRPr="000B43AB" w:rsidRDefault="00CC555C" w:rsidP="000B43AB">
            <w:pPr>
              <w:spacing w:before="60" w:after="60" w:line="240" w:lineRule="auto"/>
              <w:rPr>
                <w:szCs w:val="24"/>
              </w:rPr>
            </w:pPr>
            <w:r w:rsidRPr="000B43AB">
              <w:rPr>
                <w:szCs w:val="24"/>
              </w:rPr>
              <w:t>Minor revision:</w:t>
            </w:r>
          </w:p>
          <w:p w14:paraId="24CEA70B" w14:textId="77777777" w:rsidR="00CC555C" w:rsidRPr="000B43AB" w:rsidRDefault="00CC555C" w:rsidP="000B43AB">
            <w:pPr>
              <w:pStyle w:val="Bulletlist1"/>
              <w:spacing w:before="60" w:after="60"/>
              <w:ind w:left="466"/>
              <w:rPr>
                <w:szCs w:val="24"/>
              </w:rPr>
            </w:pPr>
            <w:r w:rsidRPr="000B43AB">
              <w:rPr>
                <w:szCs w:val="24"/>
              </w:rPr>
              <w:t>Reduction in verbosity across the document to improve readability, transparency and navigability. This is consistent with ONR’s commitment in its Corporate Plan for 2025/26 to improve all Technical Assessment Guides and Technical Inspection Guides this year.</w:t>
            </w:r>
          </w:p>
          <w:p w14:paraId="26EB1AE1" w14:textId="77777777" w:rsidR="00CC555C" w:rsidRPr="000B43AB" w:rsidRDefault="00CC555C" w:rsidP="000B43AB">
            <w:pPr>
              <w:pStyle w:val="Bulletlist1"/>
              <w:spacing w:before="60" w:after="60"/>
              <w:ind w:left="466"/>
              <w:rPr>
                <w:szCs w:val="24"/>
              </w:rPr>
            </w:pPr>
            <w:r w:rsidRPr="000B43AB">
              <w:rPr>
                <w:szCs w:val="24"/>
              </w:rPr>
              <w:t>Simplification of glossary, references and cross-references</w:t>
            </w:r>
          </w:p>
          <w:p w14:paraId="2472E0F6" w14:textId="77777777" w:rsidR="00CC555C" w:rsidRPr="000B43AB" w:rsidRDefault="00CC555C" w:rsidP="000B43AB">
            <w:pPr>
              <w:pStyle w:val="Bulletlist1"/>
              <w:spacing w:before="60" w:after="60"/>
              <w:ind w:left="466"/>
              <w:rPr>
                <w:szCs w:val="24"/>
              </w:rPr>
            </w:pPr>
            <w:r w:rsidRPr="000B43AB">
              <w:rPr>
                <w:szCs w:val="24"/>
              </w:rPr>
              <w:t>These changes are not structural and do not affect the meaning or interpretation of concepts.</w:t>
            </w:r>
          </w:p>
        </w:tc>
      </w:tr>
      <w:tr w:rsidR="000B43AB" w14:paraId="2A12FDE9" w14:textId="77777777" w:rsidTr="00E00457">
        <w:tc>
          <w:tcPr>
            <w:tcW w:w="545" w:type="pct"/>
          </w:tcPr>
          <w:p w14:paraId="74DA4C35" w14:textId="0C66155F" w:rsidR="000B43AB" w:rsidRPr="000B43AB" w:rsidRDefault="000B43AB" w:rsidP="000B43AB">
            <w:pPr>
              <w:spacing w:before="60" w:after="60" w:line="240" w:lineRule="auto"/>
              <w:rPr>
                <w:szCs w:val="24"/>
              </w:rPr>
            </w:pPr>
            <w:r w:rsidRPr="000B43AB">
              <w:rPr>
                <w:szCs w:val="24"/>
              </w:rPr>
              <w:t>12.3</w:t>
            </w:r>
          </w:p>
        </w:tc>
        <w:tc>
          <w:tcPr>
            <w:tcW w:w="4455" w:type="pct"/>
          </w:tcPr>
          <w:p w14:paraId="75AA873C" w14:textId="30FB08C7" w:rsidR="000B43AB" w:rsidRPr="000B43AB" w:rsidRDefault="000B43AB" w:rsidP="000B43AB">
            <w:pPr>
              <w:spacing w:before="60" w:after="60" w:line="240" w:lineRule="auto"/>
              <w:rPr>
                <w:szCs w:val="24"/>
              </w:rPr>
            </w:pPr>
            <w:r w:rsidRPr="000B43AB">
              <w:rPr>
                <w:szCs w:val="24"/>
              </w:rPr>
              <w:t>Minor typographical errors corrected.</w:t>
            </w:r>
          </w:p>
        </w:tc>
      </w:tr>
    </w:tbl>
    <w:p w14:paraId="4F00E459" w14:textId="37A13DEE" w:rsidR="00700A94" w:rsidRDefault="00700A94" w:rsidP="00CC555C">
      <w:pPr>
        <w:pStyle w:val="Caption"/>
      </w:pPr>
    </w:p>
    <w:sectPr w:rsidR="00700A94" w:rsidSect="007E154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AA045" w14:textId="77777777" w:rsidR="00A4696B" w:rsidRDefault="00A4696B" w:rsidP="007D199A">
      <w:pPr>
        <w:spacing w:after="0"/>
      </w:pPr>
      <w:r>
        <w:separator/>
      </w:r>
    </w:p>
    <w:p w14:paraId="44B3419F" w14:textId="77777777" w:rsidR="00A4696B" w:rsidRDefault="00A4696B"/>
    <w:p w14:paraId="2BE94056" w14:textId="77777777" w:rsidR="00A4696B" w:rsidRDefault="00A4696B"/>
  </w:endnote>
  <w:endnote w:type="continuationSeparator" w:id="0">
    <w:p w14:paraId="334B26C5" w14:textId="77777777" w:rsidR="00A4696B" w:rsidRDefault="00A4696B" w:rsidP="007D199A">
      <w:pPr>
        <w:spacing w:after="0"/>
      </w:pPr>
      <w:r>
        <w:continuationSeparator/>
      </w:r>
    </w:p>
    <w:p w14:paraId="651B14D4" w14:textId="77777777" w:rsidR="00A4696B" w:rsidRDefault="00A4696B"/>
    <w:p w14:paraId="5AFAEADF" w14:textId="77777777" w:rsidR="00A4696B" w:rsidRDefault="00A46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68353" w14:textId="1880C988" w:rsidR="005A1D9C" w:rsidRPr="005A1D9C" w:rsidRDefault="00D74605" w:rsidP="005A1D9C">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C93D0" w14:textId="77777777" w:rsidR="00A4696B" w:rsidRPr="005E0344" w:rsidRDefault="00A4696B" w:rsidP="005E0344">
      <w:pPr>
        <w:spacing w:after="120"/>
        <w:rPr>
          <w:color w:val="000000" w:themeColor="text2"/>
        </w:rPr>
      </w:pPr>
      <w:r w:rsidRPr="005E0344">
        <w:rPr>
          <w:color w:val="000000" w:themeColor="text2"/>
        </w:rPr>
        <w:separator/>
      </w:r>
    </w:p>
    <w:p w14:paraId="12DF7ADE" w14:textId="77777777" w:rsidR="00A4696B" w:rsidRDefault="00A4696B"/>
  </w:footnote>
  <w:footnote w:type="continuationSeparator" w:id="0">
    <w:p w14:paraId="213789A5" w14:textId="77777777" w:rsidR="00A4696B" w:rsidRPr="005E0344" w:rsidRDefault="00A4696B" w:rsidP="0090581D">
      <w:pPr>
        <w:spacing w:after="120"/>
        <w:rPr>
          <w:color w:val="000000" w:themeColor="text2"/>
        </w:rPr>
      </w:pPr>
      <w:r w:rsidRPr="005E0344">
        <w:rPr>
          <w:color w:val="000000" w:themeColor="text2"/>
        </w:rPr>
        <w:continuationSeparator/>
      </w:r>
    </w:p>
    <w:p w14:paraId="6AA848BE" w14:textId="77777777" w:rsidR="00A4696B" w:rsidRDefault="00A4696B"/>
    <w:p w14:paraId="54FB9E01" w14:textId="77777777" w:rsidR="00A4696B" w:rsidRDefault="00A4696B"/>
  </w:footnote>
  <w:footnote w:type="continuationNotice" w:id="1">
    <w:p w14:paraId="3BE02C1D" w14:textId="77777777" w:rsidR="00A4696B" w:rsidRDefault="00A4696B">
      <w:pPr>
        <w:spacing w:after="0"/>
      </w:pPr>
    </w:p>
    <w:p w14:paraId="22093904" w14:textId="77777777" w:rsidR="00A4696B" w:rsidRDefault="00A4696B"/>
    <w:p w14:paraId="56DD182E" w14:textId="77777777" w:rsidR="00A4696B" w:rsidRDefault="00A4696B"/>
  </w:footnote>
  <w:footnote w:id="2">
    <w:p w14:paraId="71A03CFA" w14:textId="77777777" w:rsidR="00612E05" w:rsidRDefault="00612E05" w:rsidP="0014651A">
      <w:pPr>
        <w:pStyle w:val="FootnoteText"/>
        <w:ind w:left="0" w:firstLine="0"/>
      </w:pPr>
      <w:r>
        <w:rPr>
          <w:rStyle w:val="FootnoteReference"/>
        </w:rPr>
        <w:footnoteRef/>
      </w:r>
      <w:r>
        <w:t xml:space="preserve"> Goal-based duties are framed qualitatively, usually in terms of a reasonableness test of some sort, and usually also leave the dutyholder free to select the approach taken. They are in contrast to so-called prescriptive duties that may specify a definite objective (such as a fixed numerical dose limit) and/or the means by which compliance should be achieved (such as a requirement for consultation with a named party).</w:t>
      </w:r>
    </w:p>
  </w:footnote>
  <w:footnote w:id="3">
    <w:p w14:paraId="24474407" w14:textId="11E5938F" w:rsidR="008F4B11" w:rsidRDefault="008F4B11" w:rsidP="008F4B11">
      <w:pPr>
        <w:pStyle w:val="FootnoteText"/>
      </w:pPr>
      <w:r>
        <w:rPr>
          <w:rStyle w:val="FootnoteReference"/>
        </w:rPr>
        <w:footnoteRef/>
      </w:r>
      <w:r>
        <w:t xml:space="preserve"> R v Board of Trustees of Science Museum [1993] ECWA Crim 2.</w:t>
      </w:r>
    </w:p>
  </w:footnote>
  <w:footnote w:id="4">
    <w:p w14:paraId="5D90B10D" w14:textId="77777777" w:rsidR="00AB7A0C" w:rsidRDefault="00AB7A0C" w:rsidP="00AB7A0C">
      <w:pPr>
        <w:pStyle w:val="FootnoteText"/>
      </w:pPr>
      <w:r>
        <w:rPr>
          <w:rStyle w:val="FootnoteReference"/>
        </w:rPr>
        <w:footnoteRef/>
      </w:r>
      <w:r>
        <w:t xml:space="preserve"> R v Tangerine Confetionery Ltd and Veolia (UK) ES Ltd [2011] EWCA Crim 2015.</w:t>
      </w:r>
    </w:p>
  </w:footnote>
  <w:footnote w:id="5">
    <w:p w14:paraId="095DF715" w14:textId="77777777" w:rsidR="00504D12" w:rsidRDefault="00504D12" w:rsidP="00504D12">
      <w:pPr>
        <w:pStyle w:val="FootnoteText"/>
      </w:pPr>
      <w:r>
        <w:rPr>
          <w:rStyle w:val="FootnoteReference"/>
        </w:rPr>
        <w:footnoteRef/>
      </w:r>
      <w:r>
        <w:t xml:space="preserve"> </w:t>
      </w:r>
      <w:r w:rsidRPr="00F2493D">
        <w:t>Edwards v National Coal Board [1949] 1 ALL ER 743 (CA)</w:t>
      </w:r>
      <w:r>
        <w:t>.</w:t>
      </w:r>
    </w:p>
  </w:footnote>
  <w:footnote w:id="6">
    <w:p w14:paraId="2F5BBEED" w14:textId="6548ADB3" w:rsidR="00951572" w:rsidRDefault="00951572" w:rsidP="000B43AB">
      <w:pPr>
        <w:pStyle w:val="FootnoteText"/>
        <w:ind w:left="0" w:firstLine="0"/>
      </w:pPr>
      <w:r>
        <w:rPr>
          <w:rStyle w:val="FootnoteReference"/>
        </w:rPr>
        <w:footnoteRef/>
      </w:r>
      <w:r>
        <w:t xml:space="preserve"> This </w:t>
      </w:r>
      <w:r w:rsidR="00F32D1A">
        <w:t xml:space="preserve">interpretation is </w:t>
      </w:r>
      <w:r w:rsidR="00664763">
        <w:t>based</w:t>
      </w:r>
      <w:r w:rsidR="00F32D1A">
        <w:t xml:space="preserve"> the long-established case law from </w:t>
      </w:r>
      <w:r w:rsidRPr="00F2493D">
        <w:t>Edwards v National Coal Board [1949] 1 ALL ER 743 (CA)</w:t>
      </w:r>
      <w:r w:rsidR="003301C7">
        <w:t>, and subsequent rulings</w:t>
      </w:r>
      <w:r>
        <w:t>.</w:t>
      </w:r>
    </w:p>
  </w:footnote>
  <w:footnote w:id="7">
    <w:p w14:paraId="45CCA7AF" w14:textId="38BEF975" w:rsidR="00150B1D" w:rsidRDefault="00473339" w:rsidP="000B43AB">
      <w:pPr>
        <w:pStyle w:val="FootnoteText"/>
        <w:ind w:left="0" w:firstLine="0"/>
      </w:pPr>
      <w:r>
        <w:rPr>
          <w:rStyle w:val="FootnoteReference"/>
        </w:rPr>
        <w:footnoteRef/>
      </w:r>
      <w:r>
        <w:t xml:space="preserve"> </w:t>
      </w:r>
      <w:r w:rsidR="000B43AB">
        <w:t>Refer to</w:t>
      </w:r>
      <w:r w:rsidR="00563AC9">
        <w:t xml:space="preserve"> section</w:t>
      </w:r>
      <w:r w:rsidR="006466F8">
        <w:t>s</w:t>
      </w:r>
      <w:r w:rsidR="00563AC9">
        <w:t xml:space="preserve"> 17</w:t>
      </w:r>
      <w:r w:rsidR="00572784">
        <w:t>-18</w:t>
      </w:r>
      <w:r w:rsidR="00563AC9">
        <w:t xml:space="preserve"> of</w:t>
      </w:r>
      <w:r w:rsidR="000B43AB">
        <w:t xml:space="preserve"> the</w:t>
      </w:r>
      <w:r w:rsidR="00563AC9">
        <w:t xml:space="preserve"> HSWA and 79</w:t>
      </w:r>
      <w:r w:rsidR="00572784">
        <w:t>-80</w:t>
      </w:r>
      <w:r w:rsidR="00563AC9">
        <w:t xml:space="preserve"> of TEA</w:t>
      </w:r>
      <w:r w:rsidR="00B12B20">
        <w:t xml:space="preserve"> with regard to codes of practice that have been approved by the relevant regulator</w:t>
      </w:r>
      <w:r w:rsidR="006466F8">
        <w:t xml:space="preserve"> under these two different Acts.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A4BE624" w:rsidR="00177666" w:rsidRPr="00046936" w:rsidRDefault="002C54F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468D5">
          <w:rPr>
            <w:sz w:val="20"/>
            <w:szCs w:val="24"/>
          </w:rPr>
          <w:t>Regulating duties to reduce risks to ALARP</w:t>
        </w:r>
      </w:sdtContent>
    </w:sdt>
    <w:r w:rsidR="004E3932" w:rsidRPr="00046936">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77535">
          <w:rPr>
            <w:sz w:val="20"/>
            <w:szCs w:val="24"/>
          </w:rPr>
          <w:t>12.</w:t>
        </w:r>
        <w:r w:rsidR="007E1686">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E23"/>
    <w:multiLevelType w:val="hybridMultilevel"/>
    <w:tmpl w:val="9932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36145"/>
    <w:multiLevelType w:val="hybridMultilevel"/>
    <w:tmpl w:val="D292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979DC"/>
    <w:multiLevelType w:val="hybridMultilevel"/>
    <w:tmpl w:val="72EE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12D21"/>
    <w:multiLevelType w:val="multilevel"/>
    <w:tmpl w:val="310E4A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D43E8C"/>
    <w:multiLevelType w:val="hybridMultilevel"/>
    <w:tmpl w:val="50C058DE"/>
    <w:styleLink w:val="List17"/>
    <w:lvl w:ilvl="0" w:tplc="FFFFFFFF">
      <w:start w:val="1"/>
      <w:numFmt w:val="bullet"/>
      <w:pStyle w:val="StyleBullet2Left1Firstline0"/>
      <w:lvlText w:val=""/>
      <w:lvlJc w:val="left"/>
      <w:pPr>
        <w:tabs>
          <w:tab w:val="num" w:pos="1174"/>
        </w:tabs>
        <w:ind w:left="117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C012D0"/>
    <w:multiLevelType w:val="hybridMultilevel"/>
    <w:tmpl w:val="F1CCA8E2"/>
    <w:lvl w:ilvl="0" w:tplc="08090001">
      <w:start w:val="1"/>
      <w:numFmt w:val="bullet"/>
      <w:lvlText w:val=""/>
      <w:lvlJc w:val="left"/>
      <w:pPr>
        <w:ind w:left="1134" w:hanging="360"/>
      </w:pPr>
      <w:rPr>
        <w:rFonts w:ascii="Symbol"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7" w15:restartNumberingAfterBreak="0">
    <w:nsid w:val="1DE4653A"/>
    <w:multiLevelType w:val="multilevel"/>
    <w:tmpl w:val="64B02936"/>
    <w:lvl w:ilvl="0">
      <w:start w:val="1"/>
      <w:numFmt w:val="bullet"/>
      <w:lvlText w:val=""/>
      <w:lvlJc w:val="left"/>
      <w:pPr>
        <w:ind w:left="1146" w:hanging="360"/>
      </w:pPr>
      <w:rPr>
        <w:rFonts w:ascii="Symbol" w:hAnsi="Symbol" w:hint="default"/>
      </w:rPr>
    </w:lvl>
    <w:lvl w:ilvl="1">
      <w:start w:val="1"/>
      <w:numFmt w:val="decimal"/>
      <w:lvlText w:val="%1.%2."/>
      <w:lvlJc w:val="left"/>
      <w:pPr>
        <w:ind w:left="1578" w:hanging="432"/>
      </w:pPr>
    </w:lvl>
    <w:lvl w:ilvl="2">
      <w:start w:val="1"/>
      <w:numFmt w:val="decimal"/>
      <w:lvlText w:val="%1.%2.%3."/>
      <w:lvlJc w:val="left"/>
      <w:pPr>
        <w:ind w:left="2010" w:hanging="504"/>
      </w:pPr>
    </w:lvl>
    <w:lvl w:ilvl="3">
      <w:start w:val="1"/>
      <w:numFmt w:val="decimal"/>
      <w:lvlText w:val="%1.%2.%3.%4."/>
      <w:lvlJc w:val="left"/>
      <w:pPr>
        <w:ind w:left="2514" w:hanging="648"/>
      </w:pPr>
    </w:lvl>
    <w:lvl w:ilvl="4">
      <w:start w:val="1"/>
      <w:numFmt w:val="decimal"/>
      <w:lvlText w:val="%1.%2.%3.%4.%5."/>
      <w:lvlJc w:val="left"/>
      <w:pPr>
        <w:ind w:left="3018" w:hanging="792"/>
      </w:pPr>
    </w:lvl>
    <w:lvl w:ilvl="5">
      <w:start w:val="1"/>
      <w:numFmt w:val="decimal"/>
      <w:lvlText w:val="%1.%2.%3.%4.%5.%6."/>
      <w:lvlJc w:val="left"/>
      <w:pPr>
        <w:ind w:left="3522" w:hanging="936"/>
      </w:pPr>
    </w:lvl>
    <w:lvl w:ilvl="6">
      <w:start w:val="1"/>
      <w:numFmt w:val="decimal"/>
      <w:lvlText w:val="%1.%2.%3.%4.%5.%6.%7."/>
      <w:lvlJc w:val="left"/>
      <w:pPr>
        <w:ind w:left="4026" w:hanging="1080"/>
      </w:pPr>
    </w:lvl>
    <w:lvl w:ilvl="7">
      <w:start w:val="1"/>
      <w:numFmt w:val="decimal"/>
      <w:lvlText w:val="%1.%2.%3.%4.%5.%6.%7.%8."/>
      <w:lvlJc w:val="left"/>
      <w:pPr>
        <w:ind w:left="4530" w:hanging="1224"/>
      </w:pPr>
    </w:lvl>
    <w:lvl w:ilvl="8">
      <w:start w:val="1"/>
      <w:numFmt w:val="decimal"/>
      <w:lvlText w:val="%1.%2.%3.%4.%5.%6.%7.%8.%9."/>
      <w:lvlJc w:val="left"/>
      <w:pPr>
        <w:ind w:left="5106" w:hanging="1440"/>
      </w:pPr>
    </w:lvl>
  </w:abstractNum>
  <w:abstractNum w:abstractNumId="8" w15:restartNumberingAfterBreak="0">
    <w:nsid w:val="241C7A27"/>
    <w:multiLevelType w:val="multilevel"/>
    <w:tmpl w:val="0B8A0EE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282FB5"/>
    <w:multiLevelType w:val="multilevel"/>
    <w:tmpl w:val="7E7A7CC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bullet"/>
      <w:lvlText w:val=""/>
      <w:lvlJc w:val="left"/>
      <w:pPr>
        <w:ind w:left="1440" w:hanging="360"/>
      </w:pPr>
      <w:rPr>
        <w:rFonts w:ascii="Symbol" w:hAnsi="Symbol"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2F9A69E6"/>
    <w:multiLevelType w:val="multilevel"/>
    <w:tmpl w:val="E30A76C4"/>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40D157C9"/>
    <w:multiLevelType w:val="hybridMultilevel"/>
    <w:tmpl w:val="11F2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BE0083"/>
    <w:multiLevelType w:val="multilevel"/>
    <w:tmpl w:val="85940AB0"/>
    <w:lvl w:ilvl="0">
      <w:start w:val="1"/>
      <w:numFmt w:val="bullet"/>
      <w:lvlText w:val=""/>
      <w:lvlJc w:val="left"/>
      <w:pPr>
        <w:tabs>
          <w:tab w:val="num" w:pos="735"/>
        </w:tabs>
        <w:ind w:left="735" w:hanging="360"/>
      </w:pPr>
      <w:rPr>
        <w:rFonts w:ascii="Symbol" w:hAnsi="Symbol" w:hint="default"/>
        <w:sz w:val="20"/>
      </w:rPr>
    </w:lvl>
    <w:lvl w:ilvl="1">
      <w:start w:val="1"/>
      <w:numFmt w:val="bullet"/>
      <w:lvlText w:val=""/>
      <w:lvlJc w:val="left"/>
      <w:pPr>
        <w:tabs>
          <w:tab w:val="num" w:pos="1455"/>
        </w:tabs>
        <w:ind w:left="1455" w:hanging="360"/>
      </w:pPr>
      <w:rPr>
        <w:rFonts w:ascii="Symbol" w:hAnsi="Symbol" w:hint="default"/>
        <w:sz w:val="20"/>
      </w:rPr>
    </w:lvl>
    <w:lvl w:ilvl="2">
      <w:start w:val="1"/>
      <w:numFmt w:val="bullet"/>
      <w:lvlText w:val=""/>
      <w:lvlJc w:val="left"/>
      <w:pPr>
        <w:tabs>
          <w:tab w:val="num" w:pos="2175"/>
        </w:tabs>
        <w:ind w:left="2175" w:hanging="360"/>
      </w:pPr>
      <w:rPr>
        <w:rFonts w:ascii="Symbol" w:hAnsi="Symbol" w:hint="default"/>
        <w:sz w:val="20"/>
      </w:rPr>
    </w:lvl>
    <w:lvl w:ilvl="3" w:tentative="1">
      <w:start w:val="1"/>
      <w:numFmt w:val="bullet"/>
      <w:lvlText w:val=""/>
      <w:lvlJc w:val="left"/>
      <w:pPr>
        <w:tabs>
          <w:tab w:val="num" w:pos="2895"/>
        </w:tabs>
        <w:ind w:left="2895" w:hanging="360"/>
      </w:pPr>
      <w:rPr>
        <w:rFonts w:ascii="Symbol" w:hAnsi="Symbol" w:hint="default"/>
        <w:sz w:val="20"/>
      </w:rPr>
    </w:lvl>
    <w:lvl w:ilvl="4" w:tentative="1">
      <w:start w:val="1"/>
      <w:numFmt w:val="bullet"/>
      <w:lvlText w:val=""/>
      <w:lvlJc w:val="left"/>
      <w:pPr>
        <w:tabs>
          <w:tab w:val="num" w:pos="3615"/>
        </w:tabs>
        <w:ind w:left="3615" w:hanging="360"/>
      </w:pPr>
      <w:rPr>
        <w:rFonts w:ascii="Symbol" w:hAnsi="Symbol" w:hint="default"/>
        <w:sz w:val="20"/>
      </w:rPr>
    </w:lvl>
    <w:lvl w:ilvl="5" w:tentative="1">
      <w:start w:val="1"/>
      <w:numFmt w:val="bullet"/>
      <w:lvlText w:val=""/>
      <w:lvlJc w:val="left"/>
      <w:pPr>
        <w:tabs>
          <w:tab w:val="num" w:pos="4335"/>
        </w:tabs>
        <w:ind w:left="4335" w:hanging="360"/>
      </w:pPr>
      <w:rPr>
        <w:rFonts w:ascii="Symbol" w:hAnsi="Symbol" w:hint="default"/>
        <w:sz w:val="20"/>
      </w:rPr>
    </w:lvl>
    <w:lvl w:ilvl="6" w:tentative="1">
      <w:start w:val="1"/>
      <w:numFmt w:val="bullet"/>
      <w:lvlText w:val=""/>
      <w:lvlJc w:val="left"/>
      <w:pPr>
        <w:tabs>
          <w:tab w:val="num" w:pos="5055"/>
        </w:tabs>
        <w:ind w:left="5055" w:hanging="360"/>
      </w:pPr>
      <w:rPr>
        <w:rFonts w:ascii="Symbol" w:hAnsi="Symbol" w:hint="default"/>
        <w:sz w:val="20"/>
      </w:rPr>
    </w:lvl>
    <w:lvl w:ilvl="7" w:tentative="1">
      <w:start w:val="1"/>
      <w:numFmt w:val="bullet"/>
      <w:lvlText w:val=""/>
      <w:lvlJc w:val="left"/>
      <w:pPr>
        <w:tabs>
          <w:tab w:val="num" w:pos="5775"/>
        </w:tabs>
        <w:ind w:left="5775" w:hanging="360"/>
      </w:pPr>
      <w:rPr>
        <w:rFonts w:ascii="Symbol" w:hAnsi="Symbol" w:hint="default"/>
        <w:sz w:val="20"/>
      </w:rPr>
    </w:lvl>
    <w:lvl w:ilvl="8" w:tentative="1">
      <w:start w:val="1"/>
      <w:numFmt w:val="bullet"/>
      <w:lvlText w:val=""/>
      <w:lvlJc w:val="left"/>
      <w:pPr>
        <w:tabs>
          <w:tab w:val="num" w:pos="6495"/>
        </w:tabs>
        <w:ind w:left="6495" w:hanging="360"/>
      </w:pPr>
      <w:rPr>
        <w:rFonts w:ascii="Symbol" w:hAnsi="Symbol" w:hint="default"/>
        <w:sz w:val="20"/>
      </w:rPr>
    </w:lvl>
  </w:abstractNum>
  <w:abstractNum w:abstractNumId="14" w15:restartNumberingAfterBreak="0">
    <w:nsid w:val="43BE1EAE"/>
    <w:multiLevelType w:val="multilevel"/>
    <w:tmpl w:val="5BE2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061786"/>
    <w:multiLevelType w:val="multilevel"/>
    <w:tmpl w:val="3D22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66247A"/>
    <w:multiLevelType w:val="hybridMultilevel"/>
    <w:tmpl w:val="0A32A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6A1B61"/>
    <w:multiLevelType w:val="hybridMultilevel"/>
    <w:tmpl w:val="0F0EDC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957587"/>
    <w:multiLevelType w:val="multilevel"/>
    <w:tmpl w:val="EED4C9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4B56415"/>
    <w:multiLevelType w:val="hybridMultilevel"/>
    <w:tmpl w:val="977869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5AA2876"/>
    <w:multiLevelType w:val="hybridMultilevel"/>
    <w:tmpl w:val="CB8E7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30F31"/>
    <w:multiLevelType w:val="multilevel"/>
    <w:tmpl w:val="1D72FC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69604F"/>
    <w:multiLevelType w:val="hybridMultilevel"/>
    <w:tmpl w:val="1708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94EC9"/>
    <w:multiLevelType w:val="multilevel"/>
    <w:tmpl w:val="64B02936"/>
    <w:lvl w:ilvl="0">
      <w:start w:val="1"/>
      <w:numFmt w:val="bullet"/>
      <w:lvlText w:val=""/>
      <w:lvlJc w:val="left"/>
      <w:pPr>
        <w:ind w:left="1146" w:hanging="360"/>
      </w:pPr>
      <w:rPr>
        <w:rFonts w:ascii="Symbol" w:hAnsi="Symbol" w:hint="default"/>
      </w:rPr>
    </w:lvl>
    <w:lvl w:ilvl="1">
      <w:start w:val="1"/>
      <w:numFmt w:val="decimal"/>
      <w:lvlText w:val="%1.%2."/>
      <w:lvlJc w:val="left"/>
      <w:pPr>
        <w:ind w:left="1578" w:hanging="432"/>
      </w:pPr>
    </w:lvl>
    <w:lvl w:ilvl="2">
      <w:start w:val="1"/>
      <w:numFmt w:val="decimal"/>
      <w:lvlText w:val="%1.%2.%3."/>
      <w:lvlJc w:val="left"/>
      <w:pPr>
        <w:ind w:left="2010" w:hanging="504"/>
      </w:pPr>
    </w:lvl>
    <w:lvl w:ilvl="3">
      <w:start w:val="1"/>
      <w:numFmt w:val="decimal"/>
      <w:lvlText w:val="%1.%2.%3.%4."/>
      <w:lvlJc w:val="left"/>
      <w:pPr>
        <w:ind w:left="2514" w:hanging="648"/>
      </w:pPr>
    </w:lvl>
    <w:lvl w:ilvl="4">
      <w:start w:val="1"/>
      <w:numFmt w:val="decimal"/>
      <w:lvlText w:val="%1.%2.%3.%4.%5."/>
      <w:lvlJc w:val="left"/>
      <w:pPr>
        <w:ind w:left="3018" w:hanging="792"/>
      </w:pPr>
    </w:lvl>
    <w:lvl w:ilvl="5">
      <w:start w:val="1"/>
      <w:numFmt w:val="decimal"/>
      <w:lvlText w:val="%1.%2.%3.%4.%5.%6."/>
      <w:lvlJc w:val="left"/>
      <w:pPr>
        <w:ind w:left="3522" w:hanging="936"/>
      </w:pPr>
    </w:lvl>
    <w:lvl w:ilvl="6">
      <w:start w:val="1"/>
      <w:numFmt w:val="decimal"/>
      <w:lvlText w:val="%1.%2.%3.%4.%5.%6.%7."/>
      <w:lvlJc w:val="left"/>
      <w:pPr>
        <w:ind w:left="4026" w:hanging="1080"/>
      </w:pPr>
    </w:lvl>
    <w:lvl w:ilvl="7">
      <w:start w:val="1"/>
      <w:numFmt w:val="decimal"/>
      <w:lvlText w:val="%1.%2.%3.%4.%5.%6.%7.%8."/>
      <w:lvlJc w:val="left"/>
      <w:pPr>
        <w:ind w:left="4530" w:hanging="1224"/>
      </w:pPr>
    </w:lvl>
    <w:lvl w:ilvl="8">
      <w:start w:val="1"/>
      <w:numFmt w:val="decimal"/>
      <w:lvlText w:val="%1.%2.%3.%4.%5.%6.%7.%8.%9."/>
      <w:lvlJc w:val="left"/>
      <w:pPr>
        <w:ind w:left="5106" w:hanging="1440"/>
      </w:pPr>
    </w:lvl>
  </w:abstractNum>
  <w:abstractNum w:abstractNumId="24" w15:restartNumberingAfterBreak="0">
    <w:nsid w:val="75F46359"/>
    <w:multiLevelType w:val="hybridMultilevel"/>
    <w:tmpl w:val="F9FCDD0C"/>
    <w:lvl w:ilvl="0" w:tplc="BA364F7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968DEFE">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47535"/>
    <w:multiLevelType w:val="multilevel"/>
    <w:tmpl w:val="E5B0160A"/>
    <w:lvl w:ilvl="0">
      <w:start w:val="1"/>
      <w:numFmt w:val="decimal"/>
      <w:pStyle w:val="F9-Paragraph"/>
      <w:lvlText w:val="%1."/>
      <w:lvlJc w:val="left"/>
      <w:pPr>
        <w:ind w:left="786"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672562017">
    <w:abstractNumId w:val="24"/>
  </w:num>
  <w:num w:numId="2" w16cid:durableId="12733691">
    <w:abstractNumId w:val="25"/>
  </w:num>
  <w:num w:numId="3" w16cid:durableId="1206604504">
    <w:abstractNumId w:val="18"/>
  </w:num>
  <w:num w:numId="4" w16cid:durableId="617558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614516">
    <w:abstractNumId w:val="26"/>
  </w:num>
  <w:num w:numId="6" w16cid:durableId="234055474">
    <w:abstractNumId w:val="1"/>
  </w:num>
  <w:num w:numId="7" w16cid:durableId="19377130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1118725">
    <w:abstractNumId w:val="9"/>
  </w:num>
  <w:num w:numId="9" w16cid:durableId="1265767839">
    <w:abstractNumId w:val="5"/>
  </w:num>
  <w:num w:numId="10" w16cid:durableId="846483262">
    <w:abstractNumId w:val="7"/>
  </w:num>
  <w:num w:numId="11" w16cid:durableId="881089037">
    <w:abstractNumId w:val="23"/>
  </w:num>
  <w:num w:numId="12" w16cid:durableId="1905530352">
    <w:abstractNumId w:val="10"/>
  </w:num>
  <w:num w:numId="13" w16cid:durableId="648442107">
    <w:abstractNumId w:val="6"/>
  </w:num>
  <w:num w:numId="14" w16cid:durableId="2009555286">
    <w:abstractNumId w:val="14"/>
  </w:num>
  <w:num w:numId="15" w16cid:durableId="203297736">
    <w:abstractNumId w:val="3"/>
  </w:num>
  <w:num w:numId="16" w16cid:durableId="473450987">
    <w:abstractNumId w:val="0"/>
  </w:num>
  <w:num w:numId="17" w16cid:durableId="1302223619">
    <w:abstractNumId w:val="15"/>
  </w:num>
  <w:num w:numId="18" w16cid:durableId="874658736">
    <w:abstractNumId w:val="21"/>
  </w:num>
  <w:num w:numId="19" w16cid:durableId="998121291">
    <w:abstractNumId w:val="4"/>
  </w:num>
  <w:num w:numId="20" w16cid:durableId="769740569">
    <w:abstractNumId w:val="13"/>
  </w:num>
  <w:num w:numId="21" w16cid:durableId="1588805825">
    <w:abstractNumId w:val="11"/>
  </w:num>
  <w:num w:numId="22" w16cid:durableId="963928285">
    <w:abstractNumId w:val="17"/>
  </w:num>
  <w:num w:numId="23" w16cid:durableId="1538926816">
    <w:abstractNumId w:val="19"/>
  </w:num>
  <w:num w:numId="24" w16cid:durableId="1324703008">
    <w:abstractNumId w:val="16"/>
  </w:num>
  <w:num w:numId="25" w16cid:durableId="1241528222">
    <w:abstractNumId w:val="20"/>
  </w:num>
  <w:num w:numId="26" w16cid:durableId="930236255">
    <w:abstractNumId w:val="12"/>
  </w:num>
  <w:num w:numId="27" w16cid:durableId="260918179">
    <w:abstractNumId w:val="2"/>
  </w:num>
  <w:num w:numId="28" w16cid:durableId="422072654">
    <w:abstractNumId w:val="22"/>
  </w:num>
  <w:num w:numId="29" w16cid:durableId="102464604">
    <w:abstractNumId w:val="8"/>
  </w:num>
  <w:num w:numId="30" w16cid:durableId="948469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55269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330931">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46"/>
    <w:rsid w:val="000005E1"/>
    <w:rsid w:val="00001B3D"/>
    <w:rsid w:val="000029C3"/>
    <w:rsid w:val="00002E90"/>
    <w:rsid w:val="00002F03"/>
    <w:rsid w:val="00004C16"/>
    <w:rsid w:val="00004D7A"/>
    <w:rsid w:val="00004D90"/>
    <w:rsid w:val="00004D99"/>
    <w:rsid w:val="000059B3"/>
    <w:rsid w:val="00006FEB"/>
    <w:rsid w:val="0001114A"/>
    <w:rsid w:val="00011177"/>
    <w:rsid w:val="000119C9"/>
    <w:rsid w:val="00011A4C"/>
    <w:rsid w:val="00011D14"/>
    <w:rsid w:val="0001217A"/>
    <w:rsid w:val="00012967"/>
    <w:rsid w:val="000138C8"/>
    <w:rsid w:val="00013C04"/>
    <w:rsid w:val="00014814"/>
    <w:rsid w:val="00014EF6"/>
    <w:rsid w:val="000164AE"/>
    <w:rsid w:val="00017122"/>
    <w:rsid w:val="000171F1"/>
    <w:rsid w:val="00017612"/>
    <w:rsid w:val="0002011C"/>
    <w:rsid w:val="000202D5"/>
    <w:rsid w:val="00020DFE"/>
    <w:rsid w:val="00021547"/>
    <w:rsid w:val="0002250C"/>
    <w:rsid w:val="0002288B"/>
    <w:rsid w:val="00023554"/>
    <w:rsid w:val="000238FF"/>
    <w:rsid w:val="00023A31"/>
    <w:rsid w:val="00023A57"/>
    <w:rsid w:val="00024121"/>
    <w:rsid w:val="000241F5"/>
    <w:rsid w:val="00024522"/>
    <w:rsid w:val="00024B2E"/>
    <w:rsid w:val="0002569E"/>
    <w:rsid w:val="0002619D"/>
    <w:rsid w:val="00027721"/>
    <w:rsid w:val="00027F4F"/>
    <w:rsid w:val="00030430"/>
    <w:rsid w:val="0003078E"/>
    <w:rsid w:val="000307C0"/>
    <w:rsid w:val="00030B41"/>
    <w:rsid w:val="00030F29"/>
    <w:rsid w:val="00031B89"/>
    <w:rsid w:val="000320D0"/>
    <w:rsid w:val="00032564"/>
    <w:rsid w:val="00032908"/>
    <w:rsid w:val="00032F62"/>
    <w:rsid w:val="000339EC"/>
    <w:rsid w:val="00034D0E"/>
    <w:rsid w:val="00035755"/>
    <w:rsid w:val="00035AFE"/>
    <w:rsid w:val="00035E8B"/>
    <w:rsid w:val="0003693D"/>
    <w:rsid w:val="00036943"/>
    <w:rsid w:val="00036AFF"/>
    <w:rsid w:val="00037135"/>
    <w:rsid w:val="00037148"/>
    <w:rsid w:val="00037599"/>
    <w:rsid w:val="00037EE2"/>
    <w:rsid w:val="00037FA3"/>
    <w:rsid w:val="000400AA"/>
    <w:rsid w:val="000404AC"/>
    <w:rsid w:val="000415EB"/>
    <w:rsid w:val="000422D6"/>
    <w:rsid w:val="00042679"/>
    <w:rsid w:val="000426EE"/>
    <w:rsid w:val="000427E6"/>
    <w:rsid w:val="00042898"/>
    <w:rsid w:val="00044091"/>
    <w:rsid w:val="00044315"/>
    <w:rsid w:val="0004440F"/>
    <w:rsid w:val="000446BE"/>
    <w:rsid w:val="00045CFD"/>
    <w:rsid w:val="00045F09"/>
    <w:rsid w:val="00046473"/>
    <w:rsid w:val="000468DF"/>
    <w:rsid w:val="00046936"/>
    <w:rsid w:val="00047554"/>
    <w:rsid w:val="00047BF3"/>
    <w:rsid w:val="00050C5B"/>
    <w:rsid w:val="00051CD1"/>
    <w:rsid w:val="00051EB8"/>
    <w:rsid w:val="00051FF2"/>
    <w:rsid w:val="00052177"/>
    <w:rsid w:val="000527C6"/>
    <w:rsid w:val="00052B4C"/>
    <w:rsid w:val="00052BAA"/>
    <w:rsid w:val="00052C8A"/>
    <w:rsid w:val="00053004"/>
    <w:rsid w:val="000531A1"/>
    <w:rsid w:val="00053215"/>
    <w:rsid w:val="00053384"/>
    <w:rsid w:val="000533C9"/>
    <w:rsid w:val="000548C8"/>
    <w:rsid w:val="00054917"/>
    <w:rsid w:val="00054BED"/>
    <w:rsid w:val="0005507F"/>
    <w:rsid w:val="000553B4"/>
    <w:rsid w:val="000555AA"/>
    <w:rsid w:val="00055898"/>
    <w:rsid w:val="00055A8E"/>
    <w:rsid w:val="00056108"/>
    <w:rsid w:val="000561AC"/>
    <w:rsid w:val="0005680A"/>
    <w:rsid w:val="00056EF4"/>
    <w:rsid w:val="00057AF1"/>
    <w:rsid w:val="00060172"/>
    <w:rsid w:val="000607AB"/>
    <w:rsid w:val="00060D40"/>
    <w:rsid w:val="000611B9"/>
    <w:rsid w:val="000614C3"/>
    <w:rsid w:val="00061AF7"/>
    <w:rsid w:val="00063D62"/>
    <w:rsid w:val="00064151"/>
    <w:rsid w:val="0006426F"/>
    <w:rsid w:val="0006499E"/>
    <w:rsid w:val="00064EB2"/>
    <w:rsid w:val="00064FA1"/>
    <w:rsid w:val="00065889"/>
    <w:rsid w:val="00065CEE"/>
    <w:rsid w:val="00066723"/>
    <w:rsid w:val="0006770B"/>
    <w:rsid w:val="0006782D"/>
    <w:rsid w:val="00067862"/>
    <w:rsid w:val="000679D0"/>
    <w:rsid w:val="000700C2"/>
    <w:rsid w:val="0007030E"/>
    <w:rsid w:val="000707EF"/>
    <w:rsid w:val="00070A57"/>
    <w:rsid w:val="00071B2E"/>
    <w:rsid w:val="00071B69"/>
    <w:rsid w:val="000755BE"/>
    <w:rsid w:val="00075605"/>
    <w:rsid w:val="00075684"/>
    <w:rsid w:val="00075C3B"/>
    <w:rsid w:val="00075C66"/>
    <w:rsid w:val="00076076"/>
    <w:rsid w:val="00076513"/>
    <w:rsid w:val="00076E20"/>
    <w:rsid w:val="000803BF"/>
    <w:rsid w:val="0008073C"/>
    <w:rsid w:val="00080857"/>
    <w:rsid w:val="00080CA3"/>
    <w:rsid w:val="00081114"/>
    <w:rsid w:val="0008184B"/>
    <w:rsid w:val="000818B7"/>
    <w:rsid w:val="00081F1E"/>
    <w:rsid w:val="0008246D"/>
    <w:rsid w:val="000825F9"/>
    <w:rsid w:val="00082879"/>
    <w:rsid w:val="00083304"/>
    <w:rsid w:val="0008348F"/>
    <w:rsid w:val="00083532"/>
    <w:rsid w:val="00085BE3"/>
    <w:rsid w:val="00086CCF"/>
    <w:rsid w:val="00090C47"/>
    <w:rsid w:val="00090F03"/>
    <w:rsid w:val="00090FA9"/>
    <w:rsid w:val="00091B24"/>
    <w:rsid w:val="00091EEA"/>
    <w:rsid w:val="00092086"/>
    <w:rsid w:val="0009220B"/>
    <w:rsid w:val="000924E6"/>
    <w:rsid w:val="0009279C"/>
    <w:rsid w:val="000936EB"/>
    <w:rsid w:val="0009500B"/>
    <w:rsid w:val="000950B3"/>
    <w:rsid w:val="0009591D"/>
    <w:rsid w:val="00095CCA"/>
    <w:rsid w:val="0009628A"/>
    <w:rsid w:val="0009661B"/>
    <w:rsid w:val="00096C80"/>
    <w:rsid w:val="00097041"/>
    <w:rsid w:val="00097237"/>
    <w:rsid w:val="000A00B5"/>
    <w:rsid w:val="000A01F5"/>
    <w:rsid w:val="000A04B2"/>
    <w:rsid w:val="000A0B67"/>
    <w:rsid w:val="000A132E"/>
    <w:rsid w:val="000A2547"/>
    <w:rsid w:val="000A28DA"/>
    <w:rsid w:val="000A2C07"/>
    <w:rsid w:val="000A390D"/>
    <w:rsid w:val="000A3C06"/>
    <w:rsid w:val="000A466D"/>
    <w:rsid w:val="000A4AB0"/>
    <w:rsid w:val="000A500D"/>
    <w:rsid w:val="000A51AB"/>
    <w:rsid w:val="000A51C3"/>
    <w:rsid w:val="000A51EE"/>
    <w:rsid w:val="000A52DB"/>
    <w:rsid w:val="000A5EAA"/>
    <w:rsid w:val="000A6365"/>
    <w:rsid w:val="000A669C"/>
    <w:rsid w:val="000A6E9A"/>
    <w:rsid w:val="000A7490"/>
    <w:rsid w:val="000A757A"/>
    <w:rsid w:val="000A7B54"/>
    <w:rsid w:val="000B0D26"/>
    <w:rsid w:val="000B0E7E"/>
    <w:rsid w:val="000B14E3"/>
    <w:rsid w:val="000B14FA"/>
    <w:rsid w:val="000B1A29"/>
    <w:rsid w:val="000B1CF1"/>
    <w:rsid w:val="000B20F0"/>
    <w:rsid w:val="000B2221"/>
    <w:rsid w:val="000B2A70"/>
    <w:rsid w:val="000B3382"/>
    <w:rsid w:val="000B387E"/>
    <w:rsid w:val="000B43AB"/>
    <w:rsid w:val="000B4604"/>
    <w:rsid w:val="000B47EA"/>
    <w:rsid w:val="000B480F"/>
    <w:rsid w:val="000B4DD2"/>
    <w:rsid w:val="000B5153"/>
    <w:rsid w:val="000B55A2"/>
    <w:rsid w:val="000B5637"/>
    <w:rsid w:val="000B5AB0"/>
    <w:rsid w:val="000B5DA0"/>
    <w:rsid w:val="000B7116"/>
    <w:rsid w:val="000B7141"/>
    <w:rsid w:val="000C1582"/>
    <w:rsid w:val="000C175D"/>
    <w:rsid w:val="000C1EA8"/>
    <w:rsid w:val="000C2C07"/>
    <w:rsid w:val="000C2CEF"/>
    <w:rsid w:val="000C2DDC"/>
    <w:rsid w:val="000C3D45"/>
    <w:rsid w:val="000C4273"/>
    <w:rsid w:val="000C582C"/>
    <w:rsid w:val="000C6DDC"/>
    <w:rsid w:val="000C71F3"/>
    <w:rsid w:val="000C75EB"/>
    <w:rsid w:val="000C77A0"/>
    <w:rsid w:val="000C7A85"/>
    <w:rsid w:val="000D05C7"/>
    <w:rsid w:val="000D1238"/>
    <w:rsid w:val="000D2FD4"/>
    <w:rsid w:val="000D3C2E"/>
    <w:rsid w:val="000D3E7F"/>
    <w:rsid w:val="000D4580"/>
    <w:rsid w:val="000D51A8"/>
    <w:rsid w:val="000D5493"/>
    <w:rsid w:val="000D5BD9"/>
    <w:rsid w:val="000D5EE1"/>
    <w:rsid w:val="000D661C"/>
    <w:rsid w:val="000D6870"/>
    <w:rsid w:val="000D6A18"/>
    <w:rsid w:val="000D6DE4"/>
    <w:rsid w:val="000D721C"/>
    <w:rsid w:val="000D774E"/>
    <w:rsid w:val="000D7E1F"/>
    <w:rsid w:val="000E07EA"/>
    <w:rsid w:val="000E0821"/>
    <w:rsid w:val="000E158B"/>
    <w:rsid w:val="000E25AE"/>
    <w:rsid w:val="000E2E64"/>
    <w:rsid w:val="000E32B4"/>
    <w:rsid w:val="000E3545"/>
    <w:rsid w:val="000E4BB4"/>
    <w:rsid w:val="000E5869"/>
    <w:rsid w:val="000E589C"/>
    <w:rsid w:val="000E6117"/>
    <w:rsid w:val="000E63F0"/>
    <w:rsid w:val="000E664D"/>
    <w:rsid w:val="000E68E9"/>
    <w:rsid w:val="000E6A07"/>
    <w:rsid w:val="000E6C21"/>
    <w:rsid w:val="000E6ED1"/>
    <w:rsid w:val="000E7693"/>
    <w:rsid w:val="000E7A6E"/>
    <w:rsid w:val="000F11C7"/>
    <w:rsid w:val="000F17BB"/>
    <w:rsid w:val="000F1B7B"/>
    <w:rsid w:val="000F2145"/>
    <w:rsid w:val="000F21D3"/>
    <w:rsid w:val="000F247B"/>
    <w:rsid w:val="000F2811"/>
    <w:rsid w:val="000F2ED4"/>
    <w:rsid w:val="000F31A8"/>
    <w:rsid w:val="000F3932"/>
    <w:rsid w:val="000F5184"/>
    <w:rsid w:val="000F63D5"/>
    <w:rsid w:val="000F6AC8"/>
    <w:rsid w:val="000F7416"/>
    <w:rsid w:val="000F7670"/>
    <w:rsid w:val="00100236"/>
    <w:rsid w:val="00100242"/>
    <w:rsid w:val="0010050B"/>
    <w:rsid w:val="00100539"/>
    <w:rsid w:val="0010059B"/>
    <w:rsid w:val="00101309"/>
    <w:rsid w:val="00101450"/>
    <w:rsid w:val="00101FD6"/>
    <w:rsid w:val="001028E8"/>
    <w:rsid w:val="00102C55"/>
    <w:rsid w:val="00103144"/>
    <w:rsid w:val="001031B2"/>
    <w:rsid w:val="00103249"/>
    <w:rsid w:val="00103541"/>
    <w:rsid w:val="00104186"/>
    <w:rsid w:val="001046FB"/>
    <w:rsid w:val="00104A0D"/>
    <w:rsid w:val="001054AF"/>
    <w:rsid w:val="00105E0B"/>
    <w:rsid w:val="00106181"/>
    <w:rsid w:val="001065C5"/>
    <w:rsid w:val="00106F4B"/>
    <w:rsid w:val="001071AB"/>
    <w:rsid w:val="0010771C"/>
    <w:rsid w:val="001077B5"/>
    <w:rsid w:val="00107BE2"/>
    <w:rsid w:val="00111FA6"/>
    <w:rsid w:val="00112578"/>
    <w:rsid w:val="001134D2"/>
    <w:rsid w:val="00113B2D"/>
    <w:rsid w:val="00113FBC"/>
    <w:rsid w:val="001142B9"/>
    <w:rsid w:val="0011430D"/>
    <w:rsid w:val="0011438C"/>
    <w:rsid w:val="001147FB"/>
    <w:rsid w:val="0011507E"/>
    <w:rsid w:val="00115904"/>
    <w:rsid w:val="001177CA"/>
    <w:rsid w:val="001200CD"/>
    <w:rsid w:val="001211E4"/>
    <w:rsid w:val="00122FCC"/>
    <w:rsid w:val="00123895"/>
    <w:rsid w:val="00123D1F"/>
    <w:rsid w:val="00123EC5"/>
    <w:rsid w:val="00124249"/>
    <w:rsid w:val="00124420"/>
    <w:rsid w:val="00124459"/>
    <w:rsid w:val="001244E0"/>
    <w:rsid w:val="00124AC6"/>
    <w:rsid w:val="00124F75"/>
    <w:rsid w:val="001255E4"/>
    <w:rsid w:val="0012584E"/>
    <w:rsid w:val="0012626C"/>
    <w:rsid w:val="00126752"/>
    <w:rsid w:val="00126F5E"/>
    <w:rsid w:val="00126FF0"/>
    <w:rsid w:val="00127130"/>
    <w:rsid w:val="001273AE"/>
    <w:rsid w:val="0012764A"/>
    <w:rsid w:val="00130B30"/>
    <w:rsid w:val="00131B05"/>
    <w:rsid w:val="00131B6F"/>
    <w:rsid w:val="00131D2C"/>
    <w:rsid w:val="001321E2"/>
    <w:rsid w:val="001324ED"/>
    <w:rsid w:val="00132531"/>
    <w:rsid w:val="00132D9D"/>
    <w:rsid w:val="00132E64"/>
    <w:rsid w:val="0013360A"/>
    <w:rsid w:val="00133DAD"/>
    <w:rsid w:val="00134DD8"/>
    <w:rsid w:val="0013509A"/>
    <w:rsid w:val="001352EE"/>
    <w:rsid w:val="00135411"/>
    <w:rsid w:val="00135B11"/>
    <w:rsid w:val="001360CF"/>
    <w:rsid w:val="00136D65"/>
    <w:rsid w:val="00137137"/>
    <w:rsid w:val="001372A1"/>
    <w:rsid w:val="001376DA"/>
    <w:rsid w:val="00137975"/>
    <w:rsid w:val="00140008"/>
    <w:rsid w:val="00140C4A"/>
    <w:rsid w:val="00140DEE"/>
    <w:rsid w:val="00140E1C"/>
    <w:rsid w:val="00141320"/>
    <w:rsid w:val="00141396"/>
    <w:rsid w:val="00141F05"/>
    <w:rsid w:val="00141FE1"/>
    <w:rsid w:val="001425D7"/>
    <w:rsid w:val="001428B5"/>
    <w:rsid w:val="001429AA"/>
    <w:rsid w:val="00142F02"/>
    <w:rsid w:val="001438FA"/>
    <w:rsid w:val="00143BF9"/>
    <w:rsid w:val="001447A9"/>
    <w:rsid w:val="00144B2A"/>
    <w:rsid w:val="00145BD0"/>
    <w:rsid w:val="0014651A"/>
    <w:rsid w:val="00146BB6"/>
    <w:rsid w:val="00147303"/>
    <w:rsid w:val="00147434"/>
    <w:rsid w:val="001476AC"/>
    <w:rsid w:val="00147AE4"/>
    <w:rsid w:val="0015020C"/>
    <w:rsid w:val="00150356"/>
    <w:rsid w:val="001503D0"/>
    <w:rsid w:val="00150A9E"/>
    <w:rsid w:val="00150B1D"/>
    <w:rsid w:val="001513D9"/>
    <w:rsid w:val="001516F2"/>
    <w:rsid w:val="00152F7B"/>
    <w:rsid w:val="0015383F"/>
    <w:rsid w:val="00153B41"/>
    <w:rsid w:val="0015407B"/>
    <w:rsid w:val="00154DAA"/>
    <w:rsid w:val="0015569E"/>
    <w:rsid w:val="001557C5"/>
    <w:rsid w:val="0015587D"/>
    <w:rsid w:val="00155CD0"/>
    <w:rsid w:val="00156323"/>
    <w:rsid w:val="0015651E"/>
    <w:rsid w:val="001566D6"/>
    <w:rsid w:val="00156CFA"/>
    <w:rsid w:val="001571E5"/>
    <w:rsid w:val="00157358"/>
    <w:rsid w:val="00157A95"/>
    <w:rsid w:val="00157AA4"/>
    <w:rsid w:val="001603DA"/>
    <w:rsid w:val="00160C7B"/>
    <w:rsid w:val="00161059"/>
    <w:rsid w:val="001612BE"/>
    <w:rsid w:val="00161B02"/>
    <w:rsid w:val="00161FCA"/>
    <w:rsid w:val="001630C7"/>
    <w:rsid w:val="00163869"/>
    <w:rsid w:val="00163ED0"/>
    <w:rsid w:val="00164F0B"/>
    <w:rsid w:val="00165A17"/>
    <w:rsid w:val="00165B40"/>
    <w:rsid w:val="00166F08"/>
    <w:rsid w:val="0016752C"/>
    <w:rsid w:val="00170010"/>
    <w:rsid w:val="00170055"/>
    <w:rsid w:val="001702FE"/>
    <w:rsid w:val="00170794"/>
    <w:rsid w:val="00171D98"/>
    <w:rsid w:val="00172DDD"/>
    <w:rsid w:val="00174AFA"/>
    <w:rsid w:val="00174CC5"/>
    <w:rsid w:val="00174CE7"/>
    <w:rsid w:val="00174D01"/>
    <w:rsid w:val="00174D64"/>
    <w:rsid w:val="00175BDA"/>
    <w:rsid w:val="00175D27"/>
    <w:rsid w:val="00177081"/>
    <w:rsid w:val="001773B4"/>
    <w:rsid w:val="00177527"/>
    <w:rsid w:val="00177666"/>
    <w:rsid w:val="001776DB"/>
    <w:rsid w:val="00177D31"/>
    <w:rsid w:val="00180FAA"/>
    <w:rsid w:val="00181238"/>
    <w:rsid w:val="001812F6"/>
    <w:rsid w:val="00181435"/>
    <w:rsid w:val="00181679"/>
    <w:rsid w:val="001818AE"/>
    <w:rsid w:val="00182379"/>
    <w:rsid w:val="001829E0"/>
    <w:rsid w:val="00182CEE"/>
    <w:rsid w:val="00182E44"/>
    <w:rsid w:val="00183909"/>
    <w:rsid w:val="00183CA2"/>
    <w:rsid w:val="001844A2"/>
    <w:rsid w:val="001849CA"/>
    <w:rsid w:val="00184AC0"/>
    <w:rsid w:val="00184E7D"/>
    <w:rsid w:val="00185242"/>
    <w:rsid w:val="00185410"/>
    <w:rsid w:val="00185529"/>
    <w:rsid w:val="00185669"/>
    <w:rsid w:val="001856C0"/>
    <w:rsid w:val="00185926"/>
    <w:rsid w:val="00185CCF"/>
    <w:rsid w:val="00186576"/>
    <w:rsid w:val="001866F2"/>
    <w:rsid w:val="001872EF"/>
    <w:rsid w:val="0019090E"/>
    <w:rsid w:val="00190E70"/>
    <w:rsid w:val="00192082"/>
    <w:rsid w:val="00192352"/>
    <w:rsid w:val="00192560"/>
    <w:rsid w:val="0019399A"/>
    <w:rsid w:val="00194624"/>
    <w:rsid w:val="00194FFC"/>
    <w:rsid w:val="0019531B"/>
    <w:rsid w:val="00195A32"/>
    <w:rsid w:val="00195BF9"/>
    <w:rsid w:val="00196194"/>
    <w:rsid w:val="001965DC"/>
    <w:rsid w:val="00197245"/>
    <w:rsid w:val="00197498"/>
    <w:rsid w:val="00197F52"/>
    <w:rsid w:val="001A01E5"/>
    <w:rsid w:val="001A0905"/>
    <w:rsid w:val="001A0B9E"/>
    <w:rsid w:val="001A164A"/>
    <w:rsid w:val="001A260A"/>
    <w:rsid w:val="001A35F7"/>
    <w:rsid w:val="001A3AE9"/>
    <w:rsid w:val="001A4371"/>
    <w:rsid w:val="001A4FC6"/>
    <w:rsid w:val="001A504A"/>
    <w:rsid w:val="001A5CF1"/>
    <w:rsid w:val="001A5D12"/>
    <w:rsid w:val="001A6DAA"/>
    <w:rsid w:val="001A6EA7"/>
    <w:rsid w:val="001A7661"/>
    <w:rsid w:val="001A7BC6"/>
    <w:rsid w:val="001B16F8"/>
    <w:rsid w:val="001B19A3"/>
    <w:rsid w:val="001B1A06"/>
    <w:rsid w:val="001B1D5A"/>
    <w:rsid w:val="001B2040"/>
    <w:rsid w:val="001B3124"/>
    <w:rsid w:val="001B326C"/>
    <w:rsid w:val="001B3347"/>
    <w:rsid w:val="001B3CCD"/>
    <w:rsid w:val="001B4397"/>
    <w:rsid w:val="001B4A2E"/>
    <w:rsid w:val="001B5A09"/>
    <w:rsid w:val="001B5DDB"/>
    <w:rsid w:val="001B662B"/>
    <w:rsid w:val="001B69FF"/>
    <w:rsid w:val="001B6C94"/>
    <w:rsid w:val="001B7311"/>
    <w:rsid w:val="001B7C88"/>
    <w:rsid w:val="001C06EA"/>
    <w:rsid w:val="001C0DAA"/>
    <w:rsid w:val="001C0EB6"/>
    <w:rsid w:val="001C198C"/>
    <w:rsid w:val="001C1E02"/>
    <w:rsid w:val="001C245D"/>
    <w:rsid w:val="001C2871"/>
    <w:rsid w:val="001C2CAE"/>
    <w:rsid w:val="001C2D30"/>
    <w:rsid w:val="001C3353"/>
    <w:rsid w:val="001C33B6"/>
    <w:rsid w:val="001C397F"/>
    <w:rsid w:val="001C39ED"/>
    <w:rsid w:val="001C3A16"/>
    <w:rsid w:val="001C44F1"/>
    <w:rsid w:val="001C4D63"/>
    <w:rsid w:val="001C52F7"/>
    <w:rsid w:val="001C6527"/>
    <w:rsid w:val="001C6AF6"/>
    <w:rsid w:val="001C6B14"/>
    <w:rsid w:val="001C6EC0"/>
    <w:rsid w:val="001C764A"/>
    <w:rsid w:val="001C79EF"/>
    <w:rsid w:val="001C7F5E"/>
    <w:rsid w:val="001D00A3"/>
    <w:rsid w:val="001D0B1E"/>
    <w:rsid w:val="001D0DE0"/>
    <w:rsid w:val="001D10B5"/>
    <w:rsid w:val="001D1262"/>
    <w:rsid w:val="001D15D4"/>
    <w:rsid w:val="001D19BA"/>
    <w:rsid w:val="001D1A9F"/>
    <w:rsid w:val="001D1CE1"/>
    <w:rsid w:val="001D1EF3"/>
    <w:rsid w:val="001D22BA"/>
    <w:rsid w:val="001D34C6"/>
    <w:rsid w:val="001D35C9"/>
    <w:rsid w:val="001D38F4"/>
    <w:rsid w:val="001D5373"/>
    <w:rsid w:val="001D5AFF"/>
    <w:rsid w:val="001D6A0A"/>
    <w:rsid w:val="001D6A64"/>
    <w:rsid w:val="001D6AB7"/>
    <w:rsid w:val="001D6F50"/>
    <w:rsid w:val="001D7024"/>
    <w:rsid w:val="001D7416"/>
    <w:rsid w:val="001D74B4"/>
    <w:rsid w:val="001D7586"/>
    <w:rsid w:val="001D75C5"/>
    <w:rsid w:val="001D7D9D"/>
    <w:rsid w:val="001D7EC2"/>
    <w:rsid w:val="001E0098"/>
    <w:rsid w:val="001E03E1"/>
    <w:rsid w:val="001E05A1"/>
    <w:rsid w:val="001E088C"/>
    <w:rsid w:val="001E1021"/>
    <w:rsid w:val="001E1293"/>
    <w:rsid w:val="001E1556"/>
    <w:rsid w:val="001E1E06"/>
    <w:rsid w:val="001E38E0"/>
    <w:rsid w:val="001E41E3"/>
    <w:rsid w:val="001E6286"/>
    <w:rsid w:val="001E6324"/>
    <w:rsid w:val="001E6A0D"/>
    <w:rsid w:val="001E6C0A"/>
    <w:rsid w:val="001F0460"/>
    <w:rsid w:val="001F059F"/>
    <w:rsid w:val="001F0AC4"/>
    <w:rsid w:val="001F33AF"/>
    <w:rsid w:val="001F35C1"/>
    <w:rsid w:val="001F36E3"/>
    <w:rsid w:val="001F3C31"/>
    <w:rsid w:val="001F4323"/>
    <w:rsid w:val="001F45D5"/>
    <w:rsid w:val="001F4B9D"/>
    <w:rsid w:val="001F50F7"/>
    <w:rsid w:val="001F5319"/>
    <w:rsid w:val="001F56F4"/>
    <w:rsid w:val="001F5F11"/>
    <w:rsid w:val="001F6074"/>
    <w:rsid w:val="001F685A"/>
    <w:rsid w:val="001F6AD7"/>
    <w:rsid w:val="001F725E"/>
    <w:rsid w:val="002002BB"/>
    <w:rsid w:val="00200811"/>
    <w:rsid w:val="002008E5"/>
    <w:rsid w:val="00200C8B"/>
    <w:rsid w:val="00200CA1"/>
    <w:rsid w:val="00201EA0"/>
    <w:rsid w:val="00202444"/>
    <w:rsid w:val="00202524"/>
    <w:rsid w:val="00203189"/>
    <w:rsid w:val="0020449C"/>
    <w:rsid w:val="00205AAC"/>
    <w:rsid w:val="002065D1"/>
    <w:rsid w:val="00207156"/>
    <w:rsid w:val="00207846"/>
    <w:rsid w:val="00207854"/>
    <w:rsid w:val="00207D32"/>
    <w:rsid w:val="00210276"/>
    <w:rsid w:val="00210C81"/>
    <w:rsid w:val="002112BC"/>
    <w:rsid w:val="00211DC0"/>
    <w:rsid w:val="002131D9"/>
    <w:rsid w:val="0021338D"/>
    <w:rsid w:val="00213B77"/>
    <w:rsid w:val="00213FCD"/>
    <w:rsid w:val="002141BF"/>
    <w:rsid w:val="00214D43"/>
    <w:rsid w:val="00214E0B"/>
    <w:rsid w:val="002150DB"/>
    <w:rsid w:val="002151AC"/>
    <w:rsid w:val="00215855"/>
    <w:rsid w:val="00215CC7"/>
    <w:rsid w:val="00216180"/>
    <w:rsid w:val="002168B3"/>
    <w:rsid w:val="00216DB3"/>
    <w:rsid w:val="00217EA3"/>
    <w:rsid w:val="00217FE8"/>
    <w:rsid w:val="0022010C"/>
    <w:rsid w:val="0022056E"/>
    <w:rsid w:val="00220FE1"/>
    <w:rsid w:val="00221228"/>
    <w:rsid w:val="00221B7C"/>
    <w:rsid w:val="00221B9C"/>
    <w:rsid w:val="00221ED0"/>
    <w:rsid w:val="00222044"/>
    <w:rsid w:val="00222B2A"/>
    <w:rsid w:val="00222E9D"/>
    <w:rsid w:val="00223579"/>
    <w:rsid w:val="002238B4"/>
    <w:rsid w:val="0022409C"/>
    <w:rsid w:val="002242EE"/>
    <w:rsid w:val="00224892"/>
    <w:rsid w:val="00224ACD"/>
    <w:rsid w:val="00224B63"/>
    <w:rsid w:val="00225AD4"/>
    <w:rsid w:val="002260B0"/>
    <w:rsid w:val="002266D7"/>
    <w:rsid w:val="002266DF"/>
    <w:rsid w:val="00226E55"/>
    <w:rsid w:val="00226EFB"/>
    <w:rsid w:val="00227610"/>
    <w:rsid w:val="00230199"/>
    <w:rsid w:val="00230D85"/>
    <w:rsid w:val="00231379"/>
    <w:rsid w:val="002319AB"/>
    <w:rsid w:val="002319AC"/>
    <w:rsid w:val="00231BA5"/>
    <w:rsid w:val="00232044"/>
    <w:rsid w:val="00233A2D"/>
    <w:rsid w:val="00234342"/>
    <w:rsid w:val="00234745"/>
    <w:rsid w:val="0023573F"/>
    <w:rsid w:val="00236232"/>
    <w:rsid w:val="0023723F"/>
    <w:rsid w:val="00237651"/>
    <w:rsid w:val="00237C0F"/>
    <w:rsid w:val="0024040D"/>
    <w:rsid w:val="00240FBD"/>
    <w:rsid w:val="00241690"/>
    <w:rsid w:val="0024202D"/>
    <w:rsid w:val="002420C6"/>
    <w:rsid w:val="0024215E"/>
    <w:rsid w:val="00242438"/>
    <w:rsid w:val="00242B20"/>
    <w:rsid w:val="00242DAD"/>
    <w:rsid w:val="002438C5"/>
    <w:rsid w:val="00243DF3"/>
    <w:rsid w:val="002449D0"/>
    <w:rsid w:val="00244C47"/>
    <w:rsid w:val="00245505"/>
    <w:rsid w:val="00245A0D"/>
    <w:rsid w:val="00245C21"/>
    <w:rsid w:val="00245D8A"/>
    <w:rsid w:val="002463D8"/>
    <w:rsid w:val="0024677F"/>
    <w:rsid w:val="00246B34"/>
    <w:rsid w:val="002473B7"/>
    <w:rsid w:val="0024777A"/>
    <w:rsid w:val="00247EAA"/>
    <w:rsid w:val="002500E0"/>
    <w:rsid w:val="00250983"/>
    <w:rsid w:val="00250C07"/>
    <w:rsid w:val="002514FE"/>
    <w:rsid w:val="002516DE"/>
    <w:rsid w:val="0025188F"/>
    <w:rsid w:val="00251FEB"/>
    <w:rsid w:val="002520E8"/>
    <w:rsid w:val="00252883"/>
    <w:rsid w:val="002531E6"/>
    <w:rsid w:val="00253354"/>
    <w:rsid w:val="002536D9"/>
    <w:rsid w:val="00253C22"/>
    <w:rsid w:val="00253D43"/>
    <w:rsid w:val="00254067"/>
    <w:rsid w:val="00254513"/>
    <w:rsid w:val="00255BE6"/>
    <w:rsid w:val="00255BF4"/>
    <w:rsid w:val="00255FA3"/>
    <w:rsid w:val="00256394"/>
    <w:rsid w:val="00257077"/>
    <w:rsid w:val="00257288"/>
    <w:rsid w:val="002577DD"/>
    <w:rsid w:val="0025793F"/>
    <w:rsid w:val="00260460"/>
    <w:rsid w:val="00260762"/>
    <w:rsid w:val="00260C65"/>
    <w:rsid w:val="002615AA"/>
    <w:rsid w:val="00261886"/>
    <w:rsid w:val="00261C7D"/>
    <w:rsid w:val="00261E16"/>
    <w:rsid w:val="00261FB6"/>
    <w:rsid w:val="0026244C"/>
    <w:rsid w:val="002629F8"/>
    <w:rsid w:val="00262D88"/>
    <w:rsid w:val="00263396"/>
    <w:rsid w:val="00263BCD"/>
    <w:rsid w:val="00263C4B"/>
    <w:rsid w:val="0026433E"/>
    <w:rsid w:val="00264349"/>
    <w:rsid w:val="0026454E"/>
    <w:rsid w:val="002648CE"/>
    <w:rsid w:val="00264F64"/>
    <w:rsid w:val="00265099"/>
    <w:rsid w:val="00265586"/>
    <w:rsid w:val="002657B7"/>
    <w:rsid w:val="002659FA"/>
    <w:rsid w:val="00266818"/>
    <w:rsid w:val="0026709C"/>
    <w:rsid w:val="0026718A"/>
    <w:rsid w:val="00267815"/>
    <w:rsid w:val="002708D5"/>
    <w:rsid w:val="00271794"/>
    <w:rsid w:val="00271DA6"/>
    <w:rsid w:val="00271EE0"/>
    <w:rsid w:val="00272217"/>
    <w:rsid w:val="0027258B"/>
    <w:rsid w:val="00272664"/>
    <w:rsid w:val="00273930"/>
    <w:rsid w:val="002748A4"/>
    <w:rsid w:val="00274B84"/>
    <w:rsid w:val="00274CF3"/>
    <w:rsid w:val="0027536A"/>
    <w:rsid w:val="002768E5"/>
    <w:rsid w:val="002772AC"/>
    <w:rsid w:val="00277612"/>
    <w:rsid w:val="00277835"/>
    <w:rsid w:val="0028032C"/>
    <w:rsid w:val="0028054A"/>
    <w:rsid w:val="002808B4"/>
    <w:rsid w:val="00280CAD"/>
    <w:rsid w:val="00280DDF"/>
    <w:rsid w:val="00281182"/>
    <w:rsid w:val="00281A45"/>
    <w:rsid w:val="0028230B"/>
    <w:rsid w:val="0028266D"/>
    <w:rsid w:val="00282C48"/>
    <w:rsid w:val="00282C72"/>
    <w:rsid w:val="00282CD7"/>
    <w:rsid w:val="00283DEA"/>
    <w:rsid w:val="00283FEB"/>
    <w:rsid w:val="00284B03"/>
    <w:rsid w:val="00284BD8"/>
    <w:rsid w:val="00284C69"/>
    <w:rsid w:val="00284C8A"/>
    <w:rsid w:val="00284D37"/>
    <w:rsid w:val="00285503"/>
    <w:rsid w:val="0028562B"/>
    <w:rsid w:val="00285D2E"/>
    <w:rsid w:val="00286990"/>
    <w:rsid w:val="00287025"/>
    <w:rsid w:val="00287B36"/>
    <w:rsid w:val="002907F7"/>
    <w:rsid w:val="00290819"/>
    <w:rsid w:val="0029099D"/>
    <w:rsid w:val="00290BC5"/>
    <w:rsid w:val="00290F0B"/>
    <w:rsid w:val="00291645"/>
    <w:rsid w:val="00291773"/>
    <w:rsid w:val="002917FF"/>
    <w:rsid w:val="00291D99"/>
    <w:rsid w:val="002929BD"/>
    <w:rsid w:val="00292ADF"/>
    <w:rsid w:val="00292E07"/>
    <w:rsid w:val="00293447"/>
    <w:rsid w:val="00293497"/>
    <w:rsid w:val="00293F78"/>
    <w:rsid w:val="002942CA"/>
    <w:rsid w:val="00294B42"/>
    <w:rsid w:val="002962A5"/>
    <w:rsid w:val="0029645D"/>
    <w:rsid w:val="002968D7"/>
    <w:rsid w:val="00296ECB"/>
    <w:rsid w:val="00297036"/>
    <w:rsid w:val="00297394"/>
    <w:rsid w:val="0029773C"/>
    <w:rsid w:val="002A015C"/>
    <w:rsid w:val="002A033C"/>
    <w:rsid w:val="002A0615"/>
    <w:rsid w:val="002A0BDA"/>
    <w:rsid w:val="002A0BFE"/>
    <w:rsid w:val="002A0DEC"/>
    <w:rsid w:val="002A11CE"/>
    <w:rsid w:val="002A1B1F"/>
    <w:rsid w:val="002A28FB"/>
    <w:rsid w:val="002A2EC4"/>
    <w:rsid w:val="002A37E2"/>
    <w:rsid w:val="002A405D"/>
    <w:rsid w:val="002A558D"/>
    <w:rsid w:val="002A5C72"/>
    <w:rsid w:val="002A5EDD"/>
    <w:rsid w:val="002A6641"/>
    <w:rsid w:val="002A6710"/>
    <w:rsid w:val="002A694F"/>
    <w:rsid w:val="002A6958"/>
    <w:rsid w:val="002A6C24"/>
    <w:rsid w:val="002A6D74"/>
    <w:rsid w:val="002A7F1E"/>
    <w:rsid w:val="002B00D3"/>
    <w:rsid w:val="002B0771"/>
    <w:rsid w:val="002B1C53"/>
    <w:rsid w:val="002B2115"/>
    <w:rsid w:val="002B2FF9"/>
    <w:rsid w:val="002B3462"/>
    <w:rsid w:val="002B37DD"/>
    <w:rsid w:val="002B37E6"/>
    <w:rsid w:val="002B3A19"/>
    <w:rsid w:val="002B4088"/>
    <w:rsid w:val="002B4186"/>
    <w:rsid w:val="002B4395"/>
    <w:rsid w:val="002B4F46"/>
    <w:rsid w:val="002B4FD1"/>
    <w:rsid w:val="002B5DC4"/>
    <w:rsid w:val="002B6669"/>
    <w:rsid w:val="002B6718"/>
    <w:rsid w:val="002B6979"/>
    <w:rsid w:val="002B6B67"/>
    <w:rsid w:val="002B7815"/>
    <w:rsid w:val="002C0443"/>
    <w:rsid w:val="002C04F6"/>
    <w:rsid w:val="002C0547"/>
    <w:rsid w:val="002C0DD0"/>
    <w:rsid w:val="002C114A"/>
    <w:rsid w:val="002C19C5"/>
    <w:rsid w:val="002C1A62"/>
    <w:rsid w:val="002C1CE3"/>
    <w:rsid w:val="002C1D89"/>
    <w:rsid w:val="002C283F"/>
    <w:rsid w:val="002C2AF1"/>
    <w:rsid w:val="002C2B86"/>
    <w:rsid w:val="002C2EE1"/>
    <w:rsid w:val="002C2EE5"/>
    <w:rsid w:val="002C349B"/>
    <w:rsid w:val="002C4554"/>
    <w:rsid w:val="002C4756"/>
    <w:rsid w:val="002C54F7"/>
    <w:rsid w:val="002C5F1A"/>
    <w:rsid w:val="002C6CA7"/>
    <w:rsid w:val="002C6D38"/>
    <w:rsid w:val="002C6D7D"/>
    <w:rsid w:val="002C755F"/>
    <w:rsid w:val="002D06C0"/>
    <w:rsid w:val="002D0772"/>
    <w:rsid w:val="002D0A3F"/>
    <w:rsid w:val="002D1DA0"/>
    <w:rsid w:val="002D1DF1"/>
    <w:rsid w:val="002D1E3B"/>
    <w:rsid w:val="002D2E61"/>
    <w:rsid w:val="002D3134"/>
    <w:rsid w:val="002D3AA8"/>
    <w:rsid w:val="002D422F"/>
    <w:rsid w:val="002D49BA"/>
    <w:rsid w:val="002D52B3"/>
    <w:rsid w:val="002D5653"/>
    <w:rsid w:val="002D56DE"/>
    <w:rsid w:val="002D66AC"/>
    <w:rsid w:val="002D67F7"/>
    <w:rsid w:val="002D6834"/>
    <w:rsid w:val="002D6EC8"/>
    <w:rsid w:val="002D76BF"/>
    <w:rsid w:val="002E062C"/>
    <w:rsid w:val="002E08B0"/>
    <w:rsid w:val="002E0BE4"/>
    <w:rsid w:val="002E1584"/>
    <w:rsid w:val="002E2ABD"/>
    <w:rsid w:val="002E3227"/>
    <w:rsid w:val="002E3B58"/>
    <w:rsid w:val="002E3E8A"/>
    <w:rsid w:val="002E3E99"/>
    <w:rsid w:val="002E3EC1"/>
    <w:rsid w:val="002E4873"/>
    <w:rsid w:val="002E4D2B"/>
    <w:rsid w:val="002E58EF"/>
    <w:rsid w:val="002E5DA7"/>
    <w:rsid w:val="002E6214"/>
    <w:rsid w:val="002E6242"/>
    <w:rsid w:val="002E68AC"/>
    <w:rsid w:val="002E6931"/>
    <w:rsid w:val="002E6A6A"/>
    <w:rsid w:val="002E7966"/>
    <w:rsid w:val="002E7B69"/>
    <w:rsid w:val="002F071C"/>
    <w:rsid w:val="002F17D6"/>
    <w:rsid w:val="002F1D91"/>
    <w:rsid w:val="002F3397"/>
    <w:rsid w:val="002F3956"/>
    <w:rsid w:val="002F4645"/>
    <w:rsid w:val="002F5553"/>
    <w:rsid w:val="002F5F3C"/>
    <w:rsid w:val="002F63EF"/>
    <w:rsid w:val="002F6CEC"/>
    <w:rsid w:val="002F6D10"/>
    <w:rsid w:val="002F7345"/>
    <w:rsid w:val="002F7407"/>
    <w:rsid w:val="0030013E"/>
    <w:rsid w:val="0030062B"/>
    <w:rsid w:val="003014D8"/>
    <w:rsid w:val="003016C1"/>
    <w:rsid w:val="00301BB7"/>
    <w:rsid w:val="00301DF0"/>
    <w:rsid w:val="0030380D"/>
    <w:rsid w:val="00303F1A"/>
    <w:rsid w:val="0030550B"/>
    <w:rsid w:val="003056D0"/>
    <w:rsid w:val="0030609C"/>
    <w:rsid w:val="00306178"/>
    <w:rsid w:val="003063E3"/>
    <w:rsid w:val="00306661"/>
    <w:rsid w:val="0030698B"/>
    <w:rsid w:val="0030703B"/>
    <w:rsid w:val="00307154"/>
    <w:rsid w:val="00307279"/>
    <w:rsid w:val="00307389"/>
    <w:rsid w:val="00307B43"/>
    <w:rsid w:val="00310F1B"/>
    <w:rsid w:val="0031138C"/>
    <w:rsid w:val="0031160C"/>
    <w:rsid w:val="00312411"/>
    <w:rsid w:val="0031255A"/>
    <w:rsid w:val="00312E18"/>
    <w:rsid w:val="003133B0"/>
    <w:rsid w:val="00313883"/>
    <w:rsid w:val="003143D6"/>
    <w:rsid w:val="00314667"/>
    <w:rsid w:val="003146BD"/>
    <w:rsid w:val="00314923"/>
    <w:rsid w:val="00314BF7"/>
    <w:rsid w:val="0031502C"/>
    <w:rsid w:val="003154FC"/>
    <w:rsid w:val="003164A3"/>
    <w:rsid w:val="00316576"/>
    <w:rsid w:val="00316E79"/>
    <w:rsid w:val="0031797D"/>
    <w:rsid w:val="00317AE1"/>
    <w:rsid w:val="00320825"/>
    <w:rsid w:val="0032109B"/>
    <w:rsid w:val="00321766"/>
    <w:rsid w:val="003217C9"/>
    <w:rsid w:val="00321886"/>
    <w:rsid w:val="00321E06"/>
    <w:rsid w:val="003226C2"/>
    <w:rsid w:val="00322A9D"/>
    <w:rsid w:val="00322D89"/>
    <w:rsid w:val="00323206"/>
    <w:rsid w:val="00323244"/>
    <w:rsid w:val="00323385"/>
    <w:rsid w:val="00323E71"/>
    <w:rsid w:val="003241AA"/>
    <w:rsid w:val="003242B9"/>
    <w:rsid w:val="003242BF"/>
    <w:rsid w:val="003242DF"/>
    <w:rsid w:val="00324697"/>
    <w:rsid w:val="00325B23"/>
    <w:rsid w:val="003264C3"/>
    <w:rsid w:val="00326CC5"/>
    <w:rsid w:val="0032732F"/>
    <w:rsid w:val="003277C5"/>
    <w:rsid w:val="003301C7"/>
    <w:rsid w:val="00330BDE"/>
    <w:rsid w:val="003316FD"/>
    <w:rsid w:val="003319D8"/>
    <w:rsid w:val="003321F5"/>
    <w:rsid w:val="0033259D"/>
    <w:rsid w:val="00332C4F"/>
    <w:rsid w:val="00332FCD"/>
    <w:rsid w:val="0033310C"/>
    <w:rsid w:val="00333F81"/>
    <w:rsid w:val="0033407B"/>
    <w:rsid w:val="00335907"/>
    <w:rsid w:val="0033592B"/>
    <w:rsid w:val="00336A3A"/>
    <w:rsid w:val="00336EFD"/>
    <w:rsid w:val="0034086D"/>
    <w:rsid w:val="003408E8"/>
    <w:rsid w:val="00340C2D"/>
    <w:rsid w:val="00340CED"/>
    <w:rsid w:val="00340DFA"/>
    <w:rsid w:val="00340E1C"/>
    <w:rsid w:val="00341331"/>
    <w:rsid w:val="003413ED"/>
    <w:rsid w:val="0034218D"/>
    <w:rsid w:val="00342DA9"/>
    <w:rsid w:val="00342FEE"/>
    <w:rsid w:val="00342FEF"/>
    <w:rsid w:val="00343373"/>
    <w:rsid w:val="00345C38"/>
    <w:rsid w:val="00345F5A"/>
    <w:rsid w:val="00345FAB"/>
    <w:rsid w:val="003463AA"/>
    <w:rsid w:val="00346BCC"/>
    <w:rsid w:val="00346C8E"/>
    <w:rsid w:val="00346D02"/>
    <w:rsid w:val="0034766E"/>
    <w:rsid w:val="00347D08"/>
    <w:rsid w:val="0035040D"/>
    <w:rsid w:val="0035070C"/>
    <w:rsid w:val="00350859"/>
    <w:rsid w:val="00350AA1"/>
    <w:rsid w:val="0035166D"/>
    <w:rsid w:val="00351CA3"/>
    <w:rsid w:val="00351FA1"/>
    <w:rsid w:val="00352A52"/>
    <w:rsid w:val="00352AEA"/>
    <w:rsid w:val="003538CB"/>
    <w:rsid w:val="00354261"/>
    <w:rsid w:val="003545EF"/>
    <w:rsid w:val="00354F6C"/>
    <w:rsid w:val="003556A1"/>
    <w:rsid w:val="00355A7C"/>
    <w:rsid w:val="00355BAC"/>
    <w:rsid w:val="003560F4"/>
    <w:rsid w:val="00356561"/>
    <w:rsid w:val="00356B20"/>
    <w:rsid w:val="00357A80"/>
    <w:rsid w:val="003603CC"/>
    <w:rsid w:val="00361A1D"/>
    <w:rsid w:val="00361DD2"/>
    <w:rsid w:val="003628BF"/>
    <w:rsid w:val="00362B2D"/>
    <w:rsid w:val="003634A7"/>
    <w:rsid w:val="003652E5"/>
    <w:rsid w:val="003664F8"/>
    <w:rsid w:val="00367151"/>
    <w:rsid w:val="00367BD5"/>
    <w:rsid w:val="00367C2F"/>
    <w:rsid w:val="00367C6E"/>
    <w:rsid w:val="003709A2"/>
    <w:rsid w:val="0037176F"/>
    <w:rsid w:val="0037238A"/>
    <w:rsid w:val="003724AB"/>
    <w:rsid w:val="003725A5"/>
    <w:rsid w:val="00372D17"/>
    <w:rsid w:val="00372D70"/>
    <w:rsid w:val="00374C84"/>
    <w:rsid w:val="00375245"/>
    <w:rsid w:val="00375A22"/>
    <w:rsid w:val="003767CA"/>
    <w:rsid w:val="00380B6E"/>
    <w:rsid w:val="00380E2A"/>
    <w:rsid w:val="00380EC8"/>
    <w:rsid w:val="003813A0"/>
    <w:rsid w:val="00381586"/>
    <w:rsid w:val="003817E5"/>
    <w:rsid w:val="00381B58"/>
    <w:rsid w:val="00381E94"/>
    <w:rsid w:val="003839FA"/>
    <w:rsid w:val="00383BA5"/>
    <w:rsid w:val="00384511"/>
    <w:rsid w:val="00384710"/>
    <w:rsid w:val="0038521A"/>
    <w:rsid w:val="00385D29"/>
    <w:rsid w:val="00385FF9"/>
    <w:rsid w:val="00386999"/>
    <w:rsid w:val="003871DC"/>
    <w:rsid w:val="003879EF"/>
    <w:rsid w:val="00387D87"/>
    <w:rsid w:val="00387F7D"/>
    <w:rsid w:val="00390041"/>
    <w:rsid w:val="00390162"/>
    <w:rsid w:val="00390327"/>
    <w:rsid w:val="00390760"/>
    <w:rsid w:val="00390FFD"/>
    <w:rsid w:val="00391585"/>
    <w:rsid w:val="00393B78"/>
    <w:rsid w:val="00393D0B"/>
    <w:rsid w:val="003945FD"/>
    <w:rsid w:val="003946A6"/>
    <w:rsid w:val="003946FB"/>
    <w:rsid w:val="00394752"/>
    <w:rsid w:val="00394BF9"/>
    <w:rsid w:val="00394FF2"/>
    <w:rsid w:val="003963E2"/>
    <w:rsid w:val="003963E4"/>
    <w:rsid w:val="00396B7A"/>
    <w:rsid w:val="00396BCD"/>
    <w:rsid w:val="003970B0"/>
    <w:rsid w:val="003976CD"/>
    <w:rsid w:val="00397B8B"/>
    <w:rsid w:val="00397CE6"/>
    <w:rsid w:val="00397DFB"/>
    <w:rsid w:val="003A01E9"/>
    <w:rsid w:val="003A041D"/>
    <w:rsid w:val="003A055A"/>
    <w:rsid w:val="003A05DC"/>
    <w:rsid w:val="003A0636"/>
    <w:rsid w:val="003A08CC"/>
    <w:rsid w:val="003A10B3"/>
    <w:rsid w:val="003A1E32"/>
    <w:rsid w:val="003A1E4D"/>
    <w:rsid w:val="003A23C4"/>
    <w:rsid w:val="003A23DC"/>
    <w:rsid w:val="003A2930"/>
    <w:rsid w:val="003A3035"/>
    <w:rsid w:val="003A30DC"/>
    <w:rsid w:val="003A44CB"/>
    <w:rsid w:val="003A4909"/>
    <w:rsid w:val="003A4D7C"/>
    <w:rsid w:val="003A563B"/>
    <w:rsid w:val="003A59AF"/>
    <w:rsid w:val="003A5A7B"/>
    <w:rsid w:val="003A5D14"/>
    <w:rsid w:val="003A62E4"/>
    <w:rsid w:val="003A672C"/>
    <w:rsid w:val="003A700C"/>
    <w:rsid w:val="003A7A16"/>
    <w:rsid w:val="003A7E62"/>
    <w:rsid w:val="003B013A"/>
    <w:rsid w:val="003B0B98"/>
    <w:rsid w:val="003B0E08"/>
    <w:rsid w:val="003B0EB3"/>
    <w:rsid w:val="003B14A8"/>
    <w:rsid w:val="003B1963"/>
    <w:rsid w:val="003B1B31"/>
    <w:rsid w:val="003B2582"/>
    <w:rsid w:val="003B2DB2"/>
    <w:rsid w:val="003B32CC"/>
    <w:rsid w:val="003B334C"/>
    <w:rsid w:val="003B3F1C"/>
    <w:rsid w:val="003B42A8"/>
    <w:rsid w:val="003B47CF"/>
    <w:rsid w:val="003B4876"/>
    <w:rsid w:val="003B4E06"/>
    <w:rsid w:val="003B5031"/>
    <w:rsid w:val="003B63D7"/>
    <w:rsid w:val="003B69C9"/>
    <w:rsid w:val="003B6E9F"/>
    <w:rsid w:val="003B74CF"/>
    <w:rsid w:val="003C0306"/>
    <w:rsid w:val="003C06B8"/>
    <w:rsid w:val="003C0A2E"/>
    <w:rsid w:val="003C0D9F"/>
    <w:rsid w:val="003C0DD8"/>
    <w:rsid w:val="003C0FCF"/>
    <w:rsid w:val="003C114C"/>
    <w:rsid w:val="003C2632"/>
    <w:rsid w:val="003C2646"/>
    <w:rsid w:val="003C29EA"/>
    <w:rsid w:val="003C2DC4"/>
    <w:rsid w:val="003C30F4"/>
    <w:rsid w:val="003C31F5"/>
    <w:rsid w:val="003C3931"/>
    <w:rsid w:val="003C4063"/>
    <w:rsid w:val="003C465D"/>
    <w:rsid w:val="003C4820"/>
    <w:rsid w:val="003C484B"/>
    <w:rsid w:val="003C4862"/>
    <w:rsid w:val="003C48A8"/>
    <w:rsid w:val="003C4A0A"/>
    <w:rsid w:val="003C4B2C"/>
    <w:rsid w:val="003C4E11"/>
    <w:rsid w:val="003C50BF"/>
    <w:rsid w:val="003C592A"/>
    <w:rsid w:val="003C6071"/>
    <w:rsid w:val="003C735E"/>
    <w:rsid w:val="003C78A8"/>
    <w:rsid w:val="003C7A1B"/>
    <w:rsid w:val="003D0271"/>
    <w:rsid w:val="003D07B5"/>
    <w:rsid w:val="003D0CC4"/>
    <w:rsid w:val="003D0F23"/>
    <w:rsid w:val="003D181C"/>
    <w:rsid w:val="003D3012"/>
    <w:rsid w:val="003D399F"/>
    <w:rsid w:val="003D3D37"/>
    <w:rsid w:val="003D416F"/>
    <w:rsid w:val="003D448F"/>
    <w:rsid w:val="003D495D"/>
    <w:rsid w:val="003D4D3A"/>
    <w:rsid w:val="003D53C4"/>
    <w:rsid w:val="003D55F7"/>
    <w:rsid w:val="003D5C0C"/>
    <w:rsid w:val="003D62D4"/>
    <w:rsid w:val="003D6506"/>
    <w:rsid w:val="003D6836"/>
    <w:rsid w:val="003D6CBF"/>
    <w:rsid w:val="003D7310"/>
    <w:rsid w:val="003D7531"/>
    <w:rsid w:val="003D7703"/>
    <w:rsid w:val="003D7D0C"/>
    <w:rsid w:val="003D7D76"/>
    <w:rsid w:val="003E0277"/>
    <w:rsid w:val="003E098E"/>
    <w:rsid w:val="003E1584"/>
    <w:rsid w:val="003E1E03"/>
    <w:rsid w:val="003E27D1"/>
    <w:rsid w:val="003E2B5A"/>
    <w:rsid w:val="003E2F1A"/>
    <w:rsid w:val="003E2FAE"/>
    <w:rsid w:val="003E3199"/>
    <w:rsid w:val="003E3215"/>
    <w:rsid w:val="003E36B0"/>
    <w:rsid w:val="003E4064"/>
    <w:rsid w:val="003E487F"/>
    <w:rsid w:val="003E4A89"/>
    <w:rsid w:val="003E5F13"/>
    <w:rsid w:val="003E6ECC"/>
    <w:rsid w:val="003E789E"/>
    <w:rsid w:val="003F09DA"/>
    <w:rsid w:val="003F125C"/>
    <w:rsid w:val="003F1A42"/>
    <w:rsid w:val="003F265E"/>
    <w:rsid w:val="003F27E1"/>
    <w:rsid w:val="003F4538"/>
    <w:rsid w:val="003F48A9"/>
    <w:rsid w:val="003F4908"/>
    <w:rsid w:val="003F496E"/>
    <w:rsid w:val="003F4FCA"/>
    <w:rsid w:val="003F5C37"/>
    <w:rsid w:val="003F5C69"/>
    <w:rsid w:val="003F6D63"/>
    <w:rsid w:val="003F71BF"/>
    <w:rsid w:val="003F72C9"/>
    <w:rsid w:val="003F791D"/>
    <w:rsid w:val="00400E7C"/>
    <w:rsid w:val="00401461"/>
    <w:rsid w:val="0040198E"/>
    <w:rsid w:val="00401AC5"/>
    <w:rsid w:val="00402561"/>
    <w:rsid w:val="00402894"/>
    <w:rsid w:val="00402B8E"/>
    <w:rsid w:val="00403707"/>
    <w:rsid w:val="004039F7"/>
    <w:rsid w:val="004042F1"/>
    <w:rsid w:val="004044A0"/>
    <w:rsid w:val="00404B0C"/>
    <w:rsid w:val="00404D7A"/>
    <w:rsid w:val="00405E9C"/>
    <w:rsid w:val="0040622C"/>
    <w:rsid w:val="00406333"/>
    <w:rsid w:val="0040633B"/>
    <w:rsid w:val="004070AF"/>
    <w:rsid w:val="00407113"/>
    <w:rsid w:val="00407451"/>
    <w:rsid w:val="00407A5A"/>
    <w:rsid w:val="00407CF7"/>
    <w:rsid w:val="0041015A"/>
    <w:rsid w:val="004103AD"/>
    <w:rsid w:val="00410606"/>
    <w:rsid w:val="00410EAB"/>
    <w:rsid w:val="00411532"/>
    <w:rsid w:val="00411A62"/>
    <w:rsid w:val="004123C7"/>
    <w:rsid w:val="004133BD"/>
    <w:rsid w:val="004134AA"/>
    <w:rsid w:val="0041395D"/>
    <w:rsid w:val="00413D90"/>
    <w:rsid w:val="00414010"/>
    <w:rsid w:val="00415099"/>
    <w:rsid w:val="00415256"/>
    <w:rsid w:val="0041586A"/>
    <w:rsid w:val="00415ED6"/>
    <w:rsid w:val="004176BE"/>
    <w:rsid w:val="00417790"/>
    <w:rsid w:val="00417CAF"/>
    <w:rsid w:val="00420A11"/>
    <w:rsid w:val="00420F22"/>
    <w:rsid w:val="00422265"/>
    <w:rsid w:val="0042230A"/>
    <w:rsid w:val="00423876"/>
    <w:rsid w:val="0042389A"/>
    <w:rsid w:val="00423B6F"/>
    <w:rsid w:val="0042507B"/>
    <w:rsid w:val="0042563B"/>
    <w:rsid w:val="00425749"/>
    <w:rsid w:val="00425CC9"/>
    <w:rsid w:val="00425CF6"/>
    <w:rsid w:val="004264AC"/>
    <w:rsid w:val="00427A6E"/>
    <w:rsid w:val="00427E9D"/>
    <w:rsid w:val="004309F5"/>
    <w:rsid w:val="00430CC7"/>
    <w:rsid w:val="00431168"/>
    <w:rsid w:val="00431391"/>
    <w:rsid w:val="0043183C"/>
    <w:rsid w:val="00431864"/>
    <w:rsid w:val="004320DC"/>
    <w:rsid w:val="00432645"/>
    <w:rsid w:val="00432730"/>
    <w:rsid w:val="00432EED"/>
    <w:rsid w:val="00433409"/>
    <w:rsid w:val="00433F68"/>
    <w:rsid w:val="004347C6"/>
    <w:rsid w:val="00435496"/>
    <w:rsid w:val="00435549"/>
    <w:rsid w:val="004356C9"/>
    <w:rsid w:val="00436275"/>
    <w:rsid w:val="0043731E"/>
    <w:rsid w:val="00437340"/>
    <w:rsid w:val="004373A7"/>
    <w:rsid w:val="00437762"/>
    <w:rsid w:val="00437CB2"/>
    <w:rsid w:val="00437D94"/>
    <w:rsid w:val="00437E0B"/>
    <w:rsid w:val="00440008"/>
    <w:rsid w:val="0044030C"/>
    <w:rsid w:val="00441205"/>
    <w:rsid w:val="00441241"/>
    <w:rsid w:val="004415E2"/>
    <w:rsid w:val="00441C3B"/>
    <w:rsid w:val="00442F90"/>
    <w:rsid w:val="004432AD"/>
    <w:rsid w:val="004436B7"/>
    <w:rsid w:val="0044486C"/>
    <w:rsid w:val="004452BE"/>
    <w:rsid w:val="00445C30"/>
    <w:rsid w:val="00445D8F"/>
    <w:rsid w:val="0044649A"/>
    <w:rsid w:val="00446C9F"/>
    <w:rsid w:val="00446E56"/>
    <w:rsid w:val="00447225"/>
    <w:rsid w:val="00452324"/>
    <w:rsid w:val="00452544"/>
    <w:rsid w:val="00453010"/>
    <w:rsid w:val="0045323D"/>
    <w:rsid w:val="0045519B"/>
    <w:rsid w:val="00455577"/>
    <w:rsid w:val="00455ACA"/>
    <w:rsid w:val="00455E41"/>
    <w:rsid w:val="00457612"/>
    <w:rsid w:val="00457936"/>
    <w:rsid w:val="00457B39"/>
    <w:rsid w:val="00461C73"/>
    <w:rsid w:val="00461F4B"/>
    <w:rsid w:val="00462031"/>
    <w:rsid w:val="00462386"/>
    <w:rsid w:val="00462902"/>
    <w:rsid w:val="00462BA8"/>
    <w:rsid w:val="00463739"/>
    <w:rsid w:val="004640E7"/>
    <w:rsid w:val="004648A4"/>
    <w:rsid w:val="004650CE"/>
    <w:rsid w:val="004658B7"/>
    <w:rsid w:val="004659F5"/>
    <w:rsid w:val="00465B08"/>
    <w:rsid w:val="00465D69"/>
    <w:rsid w:val="004662F1"/>
    <w:rsid w:val="00467018"/>
    <w:rsid w:val="004673AC"/>
    <w:rsid w:val="00467711"/>
    <w:rsid w:val="004701CB"/>
    <w:rsid w:val="00470B77"/>
    <w:rsid w:val="004711D9"/>
    <w:rsid w:val="00471380"/>
    <w:rsid w:val="00471BAB"/>
    <w:rsid w:val="004727D2"/>
    <w:rsid w:val="004727E8"/>
    <w:rsid w:val="004730B2"/>
    <w:rsid w:val="00473339"/>
    <w:rsid w:val="004740C9"/>
    <w:rsid w:val="0047410A"/>
    <w:rsid w:val="00474999"/>
    <w:rsid w:val="00475147"/>
    <w:rsid w:val="0047537A"/>
    <w:rsid w:val="00476089"/>
    <w:rsid w:val="00477C9E"/>
    <w:rsid w:val="00481241"/>
    <w:rsid w:val="00481268"/>
    <w:rsid w:val="00481CAA"/>
    <w:rsid w:val="00481CBB"/>
    <w:rsid w:val="0048213E"/>
    <w:rsid w:val="004825F3"/>
    <w:rsid w:val="004829CA"/>
    <w:rsid w:val="00482ED8"/>
    <w:rsid w:val="004830CE"/>
    <w:rsid w:val="00483168"/>
    <w:rsid w:val="0048323C"/>
    <w:rsid w:val="004834A6"/>
    <w:rsid w:val="004835C9"/>
    <w:rsid w:val="004836D9"/>
    <w:rsid w:val="0048376F"/>
    <w:rsid w:val="00483FDB"/>
    <w:rsid w:val="0048420D"/>
    <w:rsid w:val="00484471"/>
    <w:rsid w:val="00485515"/>
    <w:rsid w:val="004857D0"/>
    <w:rsid w:val="00485DCC"/>
    <w:rsid w:val="00486426"/>
    <w:rsid w:val="00486FBA"/>
    <w:rsid w:val="004874A3"/>
    <w:rsid w:val="00490128"/>
    <w:rsid w:val="00492124"/>
    <w:rsid w:val="00492B77"/>
    <w:rsid w:val="00493E7E"/>
    <w:rsid w:val="00494250"/>
    <w:rsid w:val="00494DFD"/>
    <w:rsid w:val="00494F0D"/>
    <w:rsid w:val="00495082"/>
    <w:rsid w:val="00495370"/>
    <w:rsid w:val="004960D8"/>
    <w:rsid w:val="00496578"/>
    <w:rsid w:val="0049690E"/>
    <w:rsid w:val="00496BFD"/>
    <w:rsid w:val="00496DE7"/>
    <w:rsid w:val="004A0E47"/>
    <w:rsid w:val="004A0FFB"/>
    <w:rsid w:val="004A13F2"/>
    <w:rsid w:val="004A3314"/>
    <w:rsid w:val="004A336D"/>
    <w:rsid w:val="004A34A2"/>
    <w:rsid w:val="004A3991"/>
    <w:rsid w:val="004A3D0F"/>
    <w:rsid w:val="004A3DF2"/>
    <w:rsid w:val="004A41F6"/>
    <w:rsid w:val="004A4270"/>
    <w:rsid w:val="004A48B8"/>
    <w:rsid w:val="004A5049"/>
    <w:rsid w:val="004A5B3B"/>
    <w:rsid w:val="004A688A"/>
    <w:rsid w:val="004A766E"/>
    <w:rsid w:val="004B03DA"/>
    <w:rsid w:val="004B1FF2"/>
    <w:rsid w:val="004B2E4C"/>
    <w:rsid w:val="004B3AB5"/>
    <w:rsid w:val="004B589F"/>
    <w:rsid w:val="004B5B4D"/>
    <w:rsid w:val="004B5DA2"/>
    <w:rsid w:val="004B61E3"/>
    <w:rsid w:val="004C08AC"/>
    <w:rsid w:val="004C0B51"/>
    <w:rsid w:val="004C0BB0"/>
    <w:rsid w:val="004C1206"/>
    <w:rsid w:val="004C30A9"/>
    <w:rsid w:val="004C3527"/>
    <w:rsid w:val="004C361D"/>
    <w:rsid w:val="004C385E"/>
    <w:rsid w:val="004C40C4"/>
    <w:rsid w:val="004C4229"/>
    <w:rsid w:val="004C4891"/>
    <w:rsid w:val="004C57AD"/>
    <w:rsid w:val="004C5851"/>
    <w:rsid w:val="004C60D2"/>
    <w:rsid w:val="004C61F0"/>
    <w:rsid w:val="004C7633"/>
    <w:rsid w:val="004C7788"/>
    <w:rsid w:val="004C7861"/>
    <w:rsid w:val="004C7938"/>
    <w:rsid w:val="004D0494"/>
    <w:rsid w:val="004D0714"/>
    <w:rsid w:val="004D0B02"/>
    <w:rsid w:val="004D2C89"/>
    <w:rsid w:val="004D3874"/>
    <w:rsid w:val="004D3B6C"/>
    <w:rsid w:val="004D3F5A"/>
    <w:rsid w:val="004D56EB"/>
    <w:rsid w:val="004D6516"/>
    <w:rsid w:val="004D7671"/>
    <w:rsid w:val="004E0386"/>
    <w:rsid w:val="004E0967"/>
    <w:rsid w:val="004E0A41"/>
    <w:rsid w:val="004E0AE3"/>
    <w:rsid w:val="004E0DE4"/>
    <w:rsid w:val="004E0F5B"/>
    <w:rsid w:val="004E1498"/>
    <w:rsid w:val="004E166D"/>
    <w:rsid w:val="004E1A8A"/>
    <w:rsid w:val="004E2524"/>
    <w:rsid w:val="004E2B92"/>
    <w:rsid w:val="004E30BC"/>
    <w:rsid w:val="004E34F2"/>
    <w:rsid w:val="004E3932"/>
    <w:rsid w:val="004E4A7F"/>
    <w:rsid w:val="004E56EA"/>
    <w:rsid w:val="004E6288"/>
    <w:rsid w:val="004E7C4A"/>
    <w:rsid w:val="004F04A6"/>
    <w:rsid w:val="004F0A63"/>
    <w:rsid w:val="004F0FA5"/>
    <w:rsid w:val="004F1E79"/>
    <w:rsid w:val="004F2B47"/>
    <w:rsid w:val="004F2C0E"/>
    <w:rsid w:val="004F309F"/>
    <w:rsid w:val="004F36D8"/>
    <w:rsid w:val="004F38E9"/>
    <w:rsid w:val="004F3FB5"/>
    <w:rsid w:val="004F5536"/>
    <w:rsid w:val="004F5F33"/>
    <w:rsid w:val="004F6262"/>
    <w:rsid w:val="004F6522"/>
    <w:rsid w:val="004F7E8F"/>
    <w:rsid w:val="005003F5"/>
    <w:rsid w:val="00500897"/>
    <w:rsid w:val="00500F36"/>
    <w:rsid w:val="0050103A"/>
    <w:rsid w:val="0050217E"/>
    <w:rsid w:val="005025BB"/>
    <w:rsid w:val="00503862"/>
    <w:rsid w:val="00503FB9"/>
    <w:rsid w:val="00504D12"/>
    <w:rsid w:val="00504EBE"/>
    <w:rsid w:val="00504F63"/>
    <w:rsid w:val="005057CE"/>
    <w:rsid w:val="00506316"/>
    <w:rsid w:val="00506B8F"/>
    <w:rsid w:val="00506BE3"/>
    <w:rsid w:val="00507535"/>
    <w:rsid w:val="00507D28"/>
    <w:rsid w:val="00510259"/>
    <w:rsid w:val="00510944"/>
    <w:rsid w:val="00511635"/>
    <w:rsid w:val="005116DC"/>
    <w:rsid w:val="00511A6E"/>
    <w:rsid w:val="00511B0F"/>
    <w:rsid w:val="00511DC9"/>
    <w:rsid w:val="00511E77"/>
    <w:rsid w:val="005121BE"/>
    <w:rsid w:val="005128C9"/>
    <w:rsid w:val="005137CB"/>
    <w:rsid w:val="00514751"/>
    <w:rsid w:val="0051517D"/>
    <w:rsid w:val="00516A6C"/>
    <w:rsid w:val="0052058D"/>
    <w:rsid w:val="00520705"/>
    <w:rsid w:val="005210DF"/>
    <w:rsid w:val="0052144C"/>
    <w:rsid w:val="00521ABD"/>
    <w:rsid w:val="005222EE"/>
    <w:rsid w:val="005223EE"/>
    <w:rsid w:val="005258D2"/>
    <w:rsid w:val="0052648C"/>
    <w:rsid w:val="00526E1D"/>
    <w:rsid w:val="00530305"/>
    <w:rsid w:val="00530928"/>
    <w:rsid w:val="005314E8"/>
    <w:rsid w:val="0053217F"/>
    <w:rsid w:val="005324E1"/>
    <w:rsid w:val="00533AB8"/>
    <w:rsid w:val="0053418B"/>
    <w:rsid w:val="00534626"/>
    <w:rsid w:val="00534954"/>
    <w:rsid w:val="00534F84"/>
    <w:rsid w:val="00535B41"/>
    <w:rsid w:val="00536721"/>
    <w:rsid w:val="00536847"/>
    <w:rsid w:val="00536F16"/>
    <w:rsid w:val="00536F91"/>
    <w:rsid w:val="00537162"/>
    <w:rsid w:val="005378DF"/>
    <w:rsid w:val="00537DD5"/>
    <w:rsid w:val="00537FBB"/>
    <w:rsid w:val="00540029"/>
    <w:rsid w:val="00540AAE"/>
    <w:rsid w:val="00541A4F"/>
    <w:rsid w:val="00541B72"/>
    <w:rsid w:val="00541F78"/>
    <w:rsid w:val="0054312E"/>
    <w:rsid w:val="00543665"/>
    <w:rsid w:val="00543E80"/>
    <w:rsid w:val="00543F27"/>
    <w:rsid w:val="005448CC"/>
    <w:rsid w:val="00544F3F"/>
    <w:rsid w:val="005453F0"/>
    <w:rsid w:val="00546108"/>
    <w:rsid w:val="005468CE"/>
    <w:rsid w:val="00546ACB"/>
    <w:rsid w:val="00546CDA"/>
    <w:rsid w:val="00546F27"/>
    <w:rsid w:val="00547B9A"/>
    <w:rsid w:val="00547C55"/>
    <w:rsid w:val="00547F0F"/>
    <w:rsid w:val="005504C2"/>
    <w:rsid w:val="00552A1F"/>
    <w:rsid w:val="00552A6B"/>
    <w:rsid w:val="005536F1"/>
    <w:rsid w:val="0055388E"/>
    <w:rsid w:val="0055463B"/>
    <w:rsid w:val="00554699"/>
    <w:rsid w:val="00554F52"/>
    <w:rsid w:val="0055504C"/>
    <w:rsid w:val="005551DE"/>
    <w:rsid w:val="0055558D"/>
    <w:rsid w:val="00556573"/>
    <w:rsid w:val="00556FFA"/>
    <w:rsid w:val="005574F4"/>
    <w:rsid w:val="005604B8"/>
    <w:rsid w:val="005604D5"/>
    <w:rsid w:val="00560E66"/>
    <w:rsid w:val="00561126"/>
    <w:rsid w:val="00561A36"/>
    <w:rsid w:val="00561D7E"/>
    <w:rsid w:val="0056234B"/>
    <w:rsid w:val="0056364D"/>
    <w:rsid w:val="00563701"/>
    <w:rsid w:val="00563AC9"/>
    <w:rsid w:val="0056403B"/>
    <w:rsid w:val="005642AB"/>
    <w:rsid w:val="0056471E"/>
    <w:rsid w:val="00564B30"/>
    <w:rsid w:val="00564BE3"/>
    <w:rsid w:val="0056557D"/>
    <w:rsid w:val="005662AB"/>
    <w:rsid w:val="00567176"/>
    <w:rsid w:val="00567187"/>
    <w:rsid w:val="005672A7"/>
    <w:rsid w:val="005710AF"/>
    <w:rsid w:val="005716E2"/>
    <w:rsid w:val="00571B2A"/>
    <w:rsid w:val="00572529"/>
    <w:rsid w:val="00572784"/>
    <w:rsid w:val="00572BDB"/>
    <w:rsid w:val="00572CAE"/>
    <w:rsid w:val="005733E6"/>
    <w:rsid w:val="0057373B"/>
    <w:rsid w:val="00574CDA"/>
    <w:rsid w:val="00575314"/>
    <w:rsid w:val="005754AE"/>
    <w:rsid w:val="0057566C"/>
    <w:rsid w:val="00575729"/>
    <w:rsid w:val="005759F8"/>
    <w:rsid w:val="00575D6E"/>
    <w:rsid w:val="00576AF6"/>
    <w:rsid w:val="00576FF2"/>
    <w:rsid w:val="005775F7"/>
    <w:rsid w:val="00577FB5"/>
    <w:rsid w:val="00580200"/>
    <w:rsid w:val="005816C7"/>
    <w:rsid w:val="00582AD3"/>
    <w:rsid w:val="005831CA"/>
    <w:rsid w:val="00583795"/>
    <w:rsid w:val="0058398F"/>
    <w:rsid w:val="0058497B"/>
    <w:rsid w:val="00584CD6"/>
    <w:rsid w:val="005852D1"/>
    <w:rsid w:val="00585610"/>
    <w:rsid w:val="0058590F"/>
    <w:rsid w:val="0058666A"/>
    <w:rsid w:val="00586B64"/>
    <w:rsid w:val="00587729"/>
    <w:rsid w:val="00587A22"/>
    <w:rsid w:val="00587B45"/>
    <w:rsid w:val="00587E35"/>
    <w:rsid w:val="00590025"/>
    <w:rsid w:val="005900A5"/>
    <w:rsid w:val="005901F3"/>
    <w:rsid w:val="00590306"/>
    <w:rsid w:val="005904AF"/>
    <w:rsid w:val="00590AC6"/>
    <w:rsid w:val="00590F2F"/>
    <w:rsid w:val="0059104A"/>
    <w:rsid w:val="00592169"/>
    <w:rsid w:val="00592471"/>
    <w:rsid w:val="005927D2"/>
    <w:rsid w:val="00592806"/>
    <w:rsid w:val="0059299D"/>
    <w:rsid w:val="005936C5"/>
    <w:rsid w:val="005936F2"/>
    <w:rsid w:val="005938B6"/>
    <w:rsid w:val="00594859"/>
    <w:rsid w:val="005949EC"/>
    <w:rsid w:val="005956E0"/>
    <w:rsid w:val="0059573C"/>
    <w:rsid w:val="00595819"/>
    <w:rsid w:val="00595C2A"/>
    <w:rsid w:val="00595C8C"/>
    <w:rsid w:val="0059630D"/>
    <w:rsid w:val="0059644D"/>
    <w:rsid w:val="00596B51"/>
    <w:rsid w:val="0059716E"/>
    <w:rsid w:val="005972A5"/>
    <w:rsid w:val="0059769D"/>
    <w:rsid w:val="00597747"/>
    <w:rsid w:val="00597A18"/>
    <w:rsid w:val="00597C3D"/>
    <w:rsid w:val="005A1248"/>
    <w:rsid w:val="005A1354"/>
    <w:rsid w:val="005A1D9C"/>
    <w:rsid w:val="005A2B8A"/>
    <w:rsid w:val="005A40AF"/>
    <w:rsid w:val="005A4221"/>
    <w:rsid w:val="005A4370"/>
    <w:rsid w:val="005A48A0"/>
    <w:rsid w:val="005A4BB6"/>
    <w:rsid w:val="005A4CDD"/>
    <w:rsid w:val="005A51AE"/>
    <w:rsid w:val="005A52B9"/>
    <w:rsid w:val="005A55B3"/>
    <w:rsid w:val="005A6261"/>
    <w:rsid w:val="005A6415"/>
    <w:rsid w:val="005A6615"/>
    <w:rsid w:val="005A7B11"/>
    <w:rsid w:val="005B08AB"/>
    <w:rsid w:val="005B2054"/>
    <w:rsid w:val="005B26CC"/>
    <w:rsid w:val="005B28F8"/>
    <w:rsid w:val="005B2950"/>
    <w:rsid w:val="005B2DBA"/>
    <w:rsid w:val="005B2E0A"/>
    <w:rsid w:val="005B2F2A"/>
    <w:rsid w:val="005B338E"/>
    <w:rsid w:val="005B37C7"/>
    <w:rsid w:val="005B3AE2"/>
    <w:rsid w:val="005B3C4D"/>
    <w:rsid w:val="005B4638"/>
    <w:rsid w:val="005B4840"/>
    <w:rsid w:val="005B565A"/>
    <w:rsid w:val="005B57E4"/>
    <w:rsid w:val="005B58C3"/>
    <w:rsid w:val="005B5AA1"/>
    <w:rsid w:val="005B5ABD"/>
    <w:rsid w:val="005B5DD1"/>
    <w:rsid w:val="005B5ED5"/>
    <w:rsid w:val="005B6131"/>
    <w:rsid w:val="005B70C7"/>
    <w:rsid w:val="005B7509"/>
    <w:rsid w:val="005B779C"/>
    <w:rsid w:val="005B7A45"/>
    <w:rsid w:val="005B7B48"/>
    <w:rsid w:val="005B7FC8"/>
    <w:rsid w:val="005C0A05"/>
    <w:rsid w:val="005C0C76"/>
    <w:rsid w:val="005C1097"/>
    <w:rsid w:val="005C1336"/>
    <w:rsid w:val="005C140A"/>
    <w:rsid w:val="005C4B89"/>
    <w:rsid w:val="005C529B"/>
    <w:rsid w:val="005C5F56"/>
    <w:rsid w:val="005C6763"/>
    <w:rsid w:val="005C6D33"/>
    <w:rsid w:val="005C6D42"/>
    <w:rsid w:val="005C7406"/>
    <w:rsid w:val="005C7915"/>
    <w:rsid w:val="005D026A"/>
    <w:rsid w:val="005D0FD0"/>
    <w:rsid w:val="005D17BB"/>
    <w:rsid w:val="005D1B28"/>
    <w:rsid w:val="005D1E84"/>
    <w:rsid w:val="005D20B1"/>
    <w:rsid w:val="005D234A"/>
    <w:rsid w:val="005D2664"/>
    <w:rsid w:val="005D2ED4"/>
    <w:rsid w:val="005D3164"/>
    <w:rsid w:val="005D375B"/>
    <w:rsid w:val="005D393A"/>
    <w:rsid w:val="005D475C"/>
    <w:rsid w:val="005D4A9D"/>
    <w:rsid w:val="005D5968"/>
    <w:rsid w:val="005D5FED"/>
    <w:rsid w:val="005D6046"/>
    <w:rsid w:val="005D6938"/>
    <w:rsid w:val="005D6939"/>
    <w:rsid w:val="005D6A64"/>
    <w:rsid w:val="005D6C5E"/>
    <w:rsid w:val="005D701B"/>
    <w:rsid w:val="005D7513"/>
    <w:rsid w:val="005D7CDA"/>
    <w:rsid w:val="005D7D97"/>
    <w:rsid w:val="005D7D9D"/>
    <w:rsid w:val="005E0344"/>
    <w:rsid w:val="005E0C02"/>
    <w:rsid w:val="005E0CF3"/>
    <w:rsid w:val="005E12CC"/>
    <w:rsid w:val="005E177C"/>
    <w:rsid w:val="005E17B4"/>
    <w:rsid w:val="005E1CF1"/>
    <w:rsid w:val="005E211F"/>
    <w:rsid w:val="005E2876"/>
    <w:rsid w:val="005E2C9F"/>
    <w:rsid w:val="005E3060"/>
    <w:rsid w:val="005E34AD"/>
    <w:rsid w:val="005E39E5"/>
    <w:rsid w:val="005E3BE0"/>
    <w:rsid w:val="005E440B"/>
    <w:rsid w:val="005E5197"/>
    <w:rsid w:val="005E5539"/>
    <w:rsid w:val="005E5821"/>
    <w:rsid w:val="005E5FCC"/>
    <w:rsid w:val="005E68F4"/>
    <w:rsid w:val="005E72C3"/>
    <w:rsid w:val="005E732F"/>
    <w:rsid w:val="005E7691"/>
    <w:rsid w:val="005F0354"/>
    <w:rsid w:val="005F09E0"/>
    <w:rsid w:val="005F0D3B"/>
    <w:rsid w:val="005F0E57"/>
    <w:rsid w:val="005F136C"/>
    <w:rsid w:val="005F1D5D"/>
    <w:rsid w:val="005F1F2E"/>
    <w:rsid w:val="005F25FD"/>
    <w:rsid w:val="005F276F"/>
    <w:rsid w:val="005F2C85"/>
    <w:rsid w:val="005F3035"/>
    <w:rsid w:val="005F31EF"/>
    <w:rsid w:val="005F38A4"/>
    <w:rsid w:val="005F629F"/>
    <w:rsid w:val="005F645B"/>
    <w:rsid w:val="005F7343"/>
    <w:rsid w:val="005F7667"/>
    <w:rsid w:val="005F7C0F"/>
    <w:rsid w:val="005F7CCD"/>
    <w:rsid w:val="005F7CF9"/>
    <w:rsid w:val="005F7D8E"/>
    <w:rsid w:val="00600446"/>
    <w:rsid w:val="006004F4"/>
    <w:rsid w:val="006016C8"/>
    <w:rsid w:val="006022D8"/>
    <w:rsid w:val="006031B6"/>
    <w:rsid w:val="00603579"/>
    <w:rsid w:val="0060379E"/>
    <w:rsid w:val="00603F1F"/>
    <w:rsid w:val="00604314"/>
    <w:rsid w:val="00605277"/>
    <w:rsid w:val="006059C5"/>
    <w:rsid w:val="00605ADB"/>
    <w:rsid w:val="00605EC1"/>
    <w:rsid w:val="00606C8A"/>
    <w:rsid w:val="00607C90"/>
    <w:rsid w:val="00610247"/>
    <w:rsid w:val="006106EE"/>
    <w:rsid w:val="00610788"/>
    <w:rsid w:val="00610799"/>
    <w:rsid w:val="00610BDB"/>
    <w:rsid w:val="00610CA7"/>
    <w:rsid w:val="00611116"/>
    <w:rsid w:val="00611C9F"/>
    <w:rsid w:val="00611E68"/>
    <w:rsid w:val="00612565"/>
    <w:rsid w:val="00612E05"/>
    <w:rsid w:val="00613BC2"/>
    <w:rsid w:val="00613C8D"/>
    <w:rsid w:val="00613EC3"/>
    <w:rsid w:val="00614137"/>
    <w:rsid w:val="0061499E"/>
    <w:rsid w:val="00614BA7"/>
    <w:rsid w:val="00614F6B"/>
    <w:rsid w:val="006154A0"/>
    <w:rsid w:val="00615FE2"/>
    <w:rsid w:val="006164C8"/>
    <w:rsid w:val="00617034"/>
    <w:rsid w:val="00617925"/>
    <w:rsid w:val="00617B12"/>
    <w:rsid w:val="0062037B"/>
    <w:rsid w:val="0062097A"/>
    <w:rsid w:val="00621151"/>
    <w:rsid w:val="00621B86"/>
    <w:rsid w:val="00621BF6"/>
    <w:rsid w:val="0062253B"/>
    <w:rsid w:val="00622922"/>
    <w:rsid w:val="00622EF4"/>
    <w:rsid w:val="006234EF"/>
    <w:rsid w:val="006238D2"/>
    <w:rsid w:val="00623E20"/>
    <w:rsid w:val="00623F79"/>
    <w:rsid w:val="006241BE"/>
    <w:rsid w:val="006247A5"/>
    <w:rsid w:val="006248C1"/>
    <w:rsid w:val="00624D71"/>
    <w:rsid w:val="006258EC"/>
    <w:rsid w:val="0062642C"/>
    <w:rsid w:val="00627555"/>
    <w:rsid w:val="006275C2"/>
    <w:rsid w:val="00627B76"/>
    <w:rsid w:val="00630500"/>
    <w:rsid w:val="00630AED"/>
    <w:rsid w:val="00630F7A"/>
    <w:rsid w:val="006316C4"/>
    <w:rsid w:val="0063197D"/>
    <w:rsid w:val="00631BFB"/>
    <w:rsid w:val="0063227E"/>
    <w:rsid w:val="006322A0"/>
    <w:rsid w:val="00633003"/>
    <w:rsid w:val="00634589"/>
    <w:rsid w:val="006355A5"/>
    <w:rsid w:val="006361FD"/>
    <w:rsid w:val="00636632"/>
    <w:rsid w:val="00636C06"/>
    <w:rsid w:val="00637095"/>
    <w:rsid w:val="006375CD"/>
    <w:rsid w:val="0063790B"/>
    <w:rsid w:val="00637B24"/>
    <w:rsid w:val="0064007C"/>
    <w:rsid w:val="00640446"/>
    <w:rsid w:val="0064100D"/>
    <w:rsid w:val="00641101"/>
    <w:rsid w:val="00641A6F"/>
    <w:rsid w:val="00641DD3"/>
    <w:rsid w:val="00641EB8"/>
    <w:rsid w:val="00642187"/>
    <w:rsid w:val="0064226F"/>
    <w:rsid w:val="00642669"/>
    <w:rsid w:val="00642B76"/>
    <w:rsid w:val="006434ED"/>
    <w:rsid w:val="006447C9"/>
    <w:rsid w:val="0064502E"/>
    <w:rsid w:val="006466F8"/>
    <w:rsid w:val="00646C0B"/>
    <w:rsid w:val="00646FA0"/>
    <w:rsid w:val="006479FF"/>
    <w:rsid w:val="00647E25"/>
    <w:rsid w:val="006504A3"/>
    <w:rsid w:val="00650ECB"/>
    <w:rsid w:val="0065135B"/>
    <w:rsid w:val="0065154A"/>
    <w:rsid w:val="00651859"/>
    <w:rsid w:val="00652161"/>
    <w:rsid w:val="0065275C"/>
    <w:rsid w:val="00652C1D"/>
    <w:rsid w:val="00653298"/>
    <w:rsid w:val="00653832"/>
    <w:rsid w:val="00653989"/>
    <w:rsid w:val="00653E6A"/>
    <w:rsid w:val="00654866"/>
    <w:rsid w:val="00654A3D"/>
    <w:rsid w:val="00655380"/>
    <w:rsid w:val="0065568A"/>
    <w:rsid w:val="00655C35"/>
    <w:rsid w:val="00655DC3"/>
    <w:rsid w:val="00656105"/>
    <w:rsid w:val="00656A9A"/>
    <w:rsid w:val="00657029"/>
    <w:rsid w:val="0065703C"/>
    <w:rsid w:val="006617E8"/>
    <w:rsid w:val="00661878"/>
    <w:rsid w:val="00661ECA"/>
    <w:rsid w:val="006620EF"/>
    <w:rsid w:val="006621E2"/>
    <w:rsid w:val="00662926"/>
    <w:rsid w:val="00662B34"/>
    <w:rsid w:val="00662FC7"/>
    <w:rsid w:val="006631D0"/>
    <w:rsid w:val="006632EE"/>
    <w:rsid w:val="00663A7C"/>
    <w:rsid w:val="00664763"/>
    <w:rsid w:val="00665209"/>
    <w:rsid w:val="00667083"/>
    <w:rsid w:val="00667898"/>
    <w:rsid w:val="00667DF2"/>
    <w:rsid w:val="00667E0A"/>
    <w:rsid w:val="00670232"/>
    <w:rsid w:val="00670677"/>
    <w:rsid w:val="00670DF1"/>
    <w:rsid w:val="00671011"/>
    <w:rsid w:val="00671345"/>
    <w:rsid w:val="00671550"/>
    <w:rsid w:val="00671A14"/>
    <w:rsid w:val="00672430"/>
    <w:rsid w:val="00672A9B"/>
    <w:rsid w:val="00672B5A"/>
    <w:rsid w:val="00673118"/>
    <w:rsid w:val="00673A29"/>
    <w:rsid w:val="00673EB6"/>
    <w:rsid w:val="00674020"/>
    <w:rsid w:val="0067445C"/>
    <w:rsid w:val="00674646"/>
    <w:rsid w:val="00674CCD"/>
    <w:rsid w:val="00675644"/>
    <w:rsid w:val="00675884"/>
    <w:rsid w:val="0067623F"/>
    <w:rsid w:val="00677979"/>
    <w:rsid w:val="006808ED"/>
    <w:rsid w:val="0068183D"/>
    <w:rsid w:val="00682F44"/>
    <w:rsid w:val="00683880"/>
    <w:rsid w:val="00683DA5"/>
    <w:rsid w:val="006848AF"/>
    <w:rsid w:val="00684B05"/>
    <w:rsid w:val="00684E55"/>
    <w:rsid w:val="00684FA5"/>
    <w:rsid w:val="00685A66"/>
    <w:rsid w:val="00686BC9"/>
    <w:rsid w:val="0068740E"/>
    <w:rsid w:val="006878F8"/>
    <w:rsid w:val="00690476"/>
    <w:rsid w:val="00691129"/>
    <w:rsid w:val="00691A00"/>
    <w:rsid w:val="00691BEE"/>
    <w:rsid w:val="00691F25"/>
    <w:rsid w:val="00692F13"/>
    <w:rsid w:val="006935A9"/>
    <w:rsid w:val="006935BD"/>
    <w:rsid w:val="00693EB9"/>
    <w:rsid w:val="00693FB6"/>
    <w:rsid w:val="00694E5F"/>
    <w:rsid w:val="00694F3E"/>
    <w:rsid w:val="006950AF"/>
    <w:rsid w:val="00695A7B"/>
    <w:rsid w:val="00695D71"/>
    <w:rsid w:val="00696D42"/>
    <w:rsid w:val="00696EE0"/>
    <w:rsid w:val="00696FDF"/>
    <w:rsid w:val="006970EB"/>
    <w:rsid w:val="0069787C"/>
    <w:rsid w:val="006978C5"/>
    <w:rsid w:val="00697980"/>
    <w:rsid w:val="00697AE6"/>
    <w:rsid w:val="006A0098"/>
    <w:rsid w:val="006A00E9"/>
    <w:rsid w:val="006A0A5D"/>
    <w:rsid w:val="006A0ABC"/>
    <w:rsid w:val="006A0CB5"/>
    <w:rsid w:val="006A0FD2"/>
    <w:rsid w:val="006A1083"/>
    <w:rsid w:val="006A19EF"/>
    <w:rsid w:val="006A1D74"/>
    <w:rsid w:val="006A1DD4"/>
    <w:rsid w:val="006A2217"/>
    <w:rsid w:val="006A230C"/>
    <w:rsid w:val="006A2D85"/>
    <w:rsid w:val="006A2F47"/>
    <w:rsid w:val="006A3563"/>
    <w:rsid w:val="006A43D5"/>
    <w:rsid w:val="006A525B"/>
    <w:rsid w:val="006A53E3"/>
    <w:rsid w:val="006A56F4"/>
    <w:rsid w:val="006A5F8A"/>
    <w:rsid w:val="006A68DA"/>
    <w:rsid w:val="006A691F"/>
    <w:rsid w:val="006A74B2"/>
    <w:rsid w:val="006A7AC2"/>
    <w:rsid w:val="006A7DE3"/>
    <w:rsid w:val="006B0589"/>
    <w:rsid w:val="006B0935"/>
    <w:rsid w:val="006B0D8C"/>
    <w:rsid w:val="006B1850"/>
    <w:rsid w:val="006B1CB3"/>
    <w:rsid w:val="006B2789"/>
    <w:rsid w:val="006B3157"/>
    <w:rsid w:val="006B3667"/>
    <w:rsid w:val="006B36FC"/>
    <w:rsid w:val="006B3FFE"/>
    <w:rsid w:val="006B4B3F"/>
    <w:rsid w:val="006B51CA"/>
    <w:rsid w:val="006B677A"/>
    <w:rsid w:val="006B6D8E"/>
    <w:rsid w:val="006B6E36"/>
    <w:rsid w:val="006B6E65"/>
    <w:rsid w:val="006B77C2"/>
    <w:rsid w:val="006B7A7A"/>
    <w:rsid w:val="006B7EE0"/>
    <w:rsid w:val="006B7F2C"/>
    <w:rsid w:val="006C045F"/>
    <w:rsid w:val="006C0C60"/>
    <w:rsid w:val="006C19F6"/>
    <w:rsid w:val="006C1FA4"/>
    <w:rsid w:val="006C235D"/>
    <w:rsid w:val="006C2ECB"/>
    <w:rsid w:val="006C3520"/>
    <w:rsid w:val="006C3584"/>
    <w:rsid w:val="006C3E47"/>
    <w:rsid w:val="006C3F66"/>
    <w:rsid w:val="006C4196"/>
    <w:rsid w:val="006C44E4"/>
    <w:rsid w:val="006C47ED"/>
    <w:rsid w:val="006C4D5B"/>
    <w:rsid w:val="006C5332"/>
    <w:rsid w:val="006C55FF"/>
    <w:rsid w:val="006C5A98"/>
    <w:rsid w:val="006C5B1A"/>
    <w:rsid w:val="006C61C7"/>
    <w:rsid w:val="006C63B0"/>
    <w:rsid w:val="006C6862"/>
    <w:rsid w:val="006C6B70"/>
    <w:rsid w:val="006C7433"/>
    <w:rsid w:val="006C758C"/>
    <w:rsid w:val="006C76A2"/>
    <w:rsid w:val="006C76A8"/>
    <w:rsid w:val="006C78E9"/>
    <w:rsid w:val="006C792E"/>
    <w:rsid w:val="006D0D5F"/>
    <w:rsid w:val="006D0E78"/>
    <w:rsid w:val="006D116C"/>
    <w:rsid w:val="006D242C"/>
    <w:rsid w:val="006D2665"/>
    <w:rsid w:val="006D2933"/>
    <w:rsid w:val="006D2D91"/>
    <w:rsid w:val="006D30F3"/>
    <w:rsid w:val="006D3177"/>
    <w:rsid w:val="006D3727"/>
    <w:rsid w:val="006D3A9A"/>
    <w:rsid w:val="006D3AFA"/>
    <w:rsid w:val="006D4099"/>
    <w:rsid w:val="006D5755"/>
    <w:rsid w:val="006D6082"/>
    <w:rsid w:val="006D639C"/>
    <w:rsid w:val="006D684C"/>
    <w:rsid w:val="006D6DEA"/>
    <w:rsid w:val="006D6FD4"/>
    <w:rsid w:val="006D72B1"/>
    <w:rsid w:val="006D73FC"/>
    <w:rsid w:val="006D77B8"/>
    <w:rsid w:val="006E0D7E"/>
    <w:rsid w:val="006E1F4B"/>
    <w:rsid w:val="006E3994"/>
    <w:rsid w:val="006E3B2E"/>
    <w:rsid w:val="006E3DD9"/>
    <w:rsid w:val="006E46C6"/>
    <w:rsid w:val="006E4BAC"/>
    <w:rsid w:val="006E5AB4"/>
    <w:rsid w:val="006E7C42"/>
    <w:rsid w:val="006F0256"/>
    <w:rsid w:val="006F095E"/>
    <w:rsid w:val="006F0F94"/>
    <w:rsid w:val="006F168A"/>
    <w:rsid w:val="006F1B57"/>
    <w:rsid w:val="006F1C0C"/>
    <w:rsid w:val="006F1FE1"/>
    <w:rsid w:val="006F283E"/>
    <w:rsid w:val="006F29AB"/>
    <w:rsid w:val="006F2B77"/>
    <w:rsid w:val="006F2D6A"/>
    <w:rsid w:val="006F317F"/>
    <w:rsid w:val="006F3AE9"/>
    <w:rsid w:val="006F41BF"/>
    <w:rsid w:val="006F4472"/>
    <w:rsid w:val="006F4AD3"/>
    <w:rsid w:val="006F4C88"/>
    <w:rsid w:val="006F5076"/>
    <w:rsid w:val="006F6009"/>
    <w:rsid w:val="006F612F"/>
    <w:rsid w:val="006F62A9"/>
    <w:rsid w:val="006F6D04"/>
    <w:rsid w:val="006F6DA0"/>
    <w:rsid w:val="00700800"/>
    <w:rsid w:val="00700A94"/>
    <w:rsid w:val="00700BFD"/>
    <w:rsid w:val="00700C3A"/>
    <w:rsid w:val="00700FFB"/>
    <w:rsid w:val="00701846"/>
    <w:rsid w:val="00702632"/>
    <w:rsid w:val="0070293F"/>
    <w:rsid w:val="0070321D"/>
    <w:rsid w:val="00703E1D"/>
    <w:rsid w:val="00703FEF"/>
    <w:rsid w:val="007056F8"/>
    <w:rsid w:val="00705951"/>
    <w:rsid w:val="007060D3"/>
    <w:rsid w:val="007068BA"/>
    <w:rsid w:val="00706B47"/>
    <w:rsid w:val="00706CA4"/>
    <w:rsid w:val="00707004"/>
    <w:rsid w:val="00707D15"/>
    <w:rsid w:val="0071046A"/>
    <w:rsid w:val="00710D50"/>
    <w:rsid w:val="00710DFD"/>
    <w:rsid w:val="007124FD"/>
    <w:rsid w:val="00712F59"/>
    <w:rsid w:val="0071316D"/>
    <w:rsid w:val="0071317D"/>
    <w:rsid w:val="00713321"/>
    <w:rsid w:val="00713E93"/>
    <w:rsid w:val="00714143"/>
    <w:rsid w:val="007145C7"/>
    <w:rsid w:val="00715895"/>
    <w:rsid w:val="00715CA0"/>
    <w:rsid w:val="00715F45"/>
    <w:rsid w:val="0071630E"/>
    <w:rsid w:val="00716AB1"/>
    <w:rsid w:val="00717CD6"/>
    <w:rsid w:val="007200E9"/>
    <w:rsid w:val="0072014A"/>
    <w:rsid w:val="007205CE"/>
    <w:rsid w:val="007205DE"/>
    <w:rsid w:val="007205F1"/>
    <w:rsid w:val="007211A2"/>
    <w:rsid w:val="007212E2"/>
    <w:rsid w:val="00721704"/>
    <w:rsid w:val="00721891"/>
    <w:rsid w:val="0072195B"/>
    <w:rsid w:val="00721D63"/>
    <w:rsid w:val="00722406"/>
    <w:rsid w:val="00722D94"/>
    <w:rsid w:val="00722F7A"/>
    <w:rsid w:val="007236F4"/>
    <w:rsid w:val="0072379C"/>
    <w:rsid w:val="0072397F"/>
    <w:rsid w:val="00723AE7"/>
    <w:rsid w:val="00723EE3"/>
    <w:rsid w:val="00724888"/>
    <w:rsid w:val="00724B5B"/>
    <w:rsid w:val="00724BF7"/>
    <w:rsid w:val="00725321"/>
    <w:rsid w:val="00725731"/>
    <w:rsid w:val="00725F91"/>
    <w:rsid w:val="00726142"/>
    <w:rsid w:val="007267A7"/>
    <w:rsid w:val="00726D4F"/>
    <w:rsid w:val="007274A5"/>
    <w:rsid w:val="007276A5"/>
    <w:rsid w:val="00730F74"/>
    <w:rsid w:val="0073125A"/>
    <w:rsid w:val="00731351"/>
    <w:rsid w:val="00731635"/>
    <w:rsid w:val="00731780"/>
    <w:rsid w:val="00731819"/>
    <w:rsid w:val="00731FAA"/>
    <w:rsid w:val="0073211B"/>
    <w:rsid w:val="00732364"/>
    <w:rsid w:val="00732833"/>
    <w:rsid w:val="00732844"/>
    <w:rsid w:val="0073298A"/>
    <w:rsid w:val="00732AB8"/>
    <w:rsid w:val="00732B81"/>
    <w:rsid w:val="00732C7B"/>
    <w:rsid w:val="00732E50"/>
    <w:rsid w:val="00732FE8"/>
    <w:rsid w:val="00732FED"/>
    <w:rsid w:val="007336A7"/>
    <w:rsid w:val="00733B89"/>
    <w:rsid w:val="00733F43"/>
    <w:rsid w:val="00733FC6"/>
    <w:rsid w:val="007340E6"/>
    <w:rsid w:val="007349E9"/>
    <w:rsid w:val="00734D2B"/>
    <w:rsid w:val="00735A5C"/>
    <w:rsid w:val="00735C4E"/>
    <w:rsid w:val="00736332"/>
    <w:rsid w:val="0073646D"/>
    <w:rsid w:val="00736B4D"/>
    <w:rsid w:val="00736E05"/>
    <w:rsid w:val="00737705"/>
    <w:rsid w:val="00737786"/>
    <w:rsid w:val="007405B2"/>
    <w:rsid w:val="007408D4"/>
    <w:rsid w:val="00741172"/>
    <w:rsid w:val="00741445"/>
    <w:rsid w:val="007420AC"/>
    <w:rsid w:val="00742561"/>
    <w:rsid w:val="00742617"/>
    <w:rsid w:val="00742867"/>
    <w:rsid w:val="00742F08"/>
    <w:rsid w:val="00743709"/>
    <w:rsid w:val="0074378E"/>
    <w:rsid w:val="00743857"/>
    <w:rsid w:val="0074396C"/>
    <w:rsid w:val="00743BBB"/>
    <w:rsid w:val="0074418E"/>
    <w:rsid w:val="007445A3"/>
    <w:rsid w:val="00744701"/>
    <w:rsid w:val="0074480D"/>
    <w:rsid w:val="00744DB6"/>
    <w:rsid w:val="00745A19"/>
    <w:rsid w:val="00747121"/>
    <w:rsid w:val="007477A3"/>
    <w:rsid w:val="00747DBC"/>
    <w:rsid w:val="00750150"/>
    <w:rsid w:val="00750D2B"/>
    <w:rsid w:val="007514C2"/>
    <w:rsid w:val="00751D0C"/>
    <w:rsid w:val="00752672"/>
    <w:rsid w:val="007534B6"/>
    <w:rsid w:val="007535DD"/>
    <w:rsid w:val="00753CED"/>
    <w:rsid w:val="00755252"/>
    <w:rsid w:val="007556BE"/>
    <w:rsid w:val="00755760"/>
    <w:rsid w:val="00756329"/>
    <w:rsid w:val="00756DF5"/>
    <w:rsid w:val="00756E2B"/>
    <w:rsid w:val="007577E5"/>
    <w:rsid w:val="007578E0"/>
    <w:rsid w:val="00757994"/>
    <w:rsid w:val="00757CBD"/>
    <w:rsid w:val="00760F8D"/>
    <w:rsid w:val="007612E4"/>
    <w:rsid w:val="007616DF"/>
    <w:rsid w:val="00762778"/>
    <w:rsid w:val="0076284C"/>
    <w:rsid w:val="00762DA0"/>
    <w:rsid w:val="00762EAB"/>
    <w:rsid w:val="00763107"/>
    <w:rsid w:val="00763266"/>
    <w:rsid w:val="00763A89"/>
    <w:rsid w:val="007645BB"/>
    <w:rsid w:val="00766608"/>
    <w:rsid w:val="007668B3"/>
    <w:rsid w:val="00766EA7"/>
    <w:rsid w:val="00767BCB"/>
    <w:rsid w:val="00767EED"/>
    <w:rsid w:val="007701BD"/>
    <w:rsid w:val="00770388"/>
    <w:rsid w:val="007708A2"/>
    <w:rsid w:val="0077148D"/>
    <w:rsid w:val="007721F7"/>
    <w:rsid w:val="00772538"/>
    <w:rsid w:val="00773005"/>
    <w:rsid w:val="00774C94"/>
    <w:rsid w:val="007753E4"/>
    <w:rsid w:val="007760D1"/>
    <w:rsid w:val="007776E5"/>
    <w:rsid w:val="00780D1A"/>
    <w:rsid w:val="007818E1"/>
    <w:rsid w:val="007822B1"/>
    <w:rsid w:val="00782709"/>
    <w:rsid w:val="00783AFA"/>
    <w:rsid w:val="0078454B"/>
    <w:rsid w:val="0078462A"/>
    <w:rsid w:val="0078468E"/>
    <w:rsid w:val="00784C69"/>
    <w:rsid w:val="00785427"/>
    <w:rsid w:val="007855AE"/>
    <w:rsid w:val="00785E3B"/>
    <w:rsid w:val="0078729A"/>
    <w:rsid w:val="0078772F"/>
    <w:rsid w:val="00787B3B"/>
    <w:rsid w:val="00787B9E"/>
    <w:rsid w:val="00790155"/>
    <w:rsid w:val="00790540"/>
    <w:rsid w:val="00790602"/>
    <w:rsid w:val="00790C71"/>
    <w:rsid w:val="007912FF"/>
    <w:rsid w:val="00791463"/>
    <w:rsid w:val="00791984"/>
    <w:rsid w:val="00791ACD"/>
    <w:rsid w:val="007925B8"/>
    <w:rsid w:val="007931DE"/>
    <w:rsid w:val="007935A0"/>
    <w:rsid w:val="00793606"/>
    <w:rsid w:val="007939E4"/>
    <w:rsid w:val="007939F0"/>
    <w:rsid w:val="00794B3C"/>
    <w:rsid w:val="00795735"/>
    <w:rsid w:val="00795835"/>
    <w:rsid w:val="007968CA"/>
    <w:rsid w:val="00796908"/>
    <w:rsid w:val="00797EFE"/>
    <w:rsid w:val="007A01A9"/>
    <w:rsid w:val="007A0568"/>
    <w:rsid w:val="007A1906"/>
    <w:rsid w:val="007A1ABD"/>
    <w:rsid w:val="007A2560"/>
    <w:rsid w:val="007A2662"/>
    <w:rsid w:val="007A3371"/>
    <w:rsid w:val="007A36F4"/>
    <w:rsid w:val="007A3C1F"/>
    <w:rsid w:val="007A43FF"/>
    <w:rsid w:val="007A44B6"/>
    <w:rsid w:val="007A4504"/>
    <w:rsid w:val="007A4F78"/>
    <w:rsid w:val="007A5591"/>
    <w:rsid w:val="007A56D3"/>
    <w:rsid w:val="007A581E"/>
    <w:rsid w:val="007A5964"/>
    <w:rsid w:val="007A5ECA"/>
    <w:rsid w:val="007A5FAF"/>
    <w:rsid w:val="007A6824"/>
    <w:rsid w:val="007A6AB3"/>
    <w:rsid w:val="007A781A"/>
    <w:rsid w:val="007A7F4B"/>
    <w:rsid w:val="007B02A8"/>
    <w:rsid w:val="007B1192"/>
    <w:rsid w:val="007B1FF5"/>
    <w:rsid w:val="007B228E"/>
    <w:rsid w:val="007B22C9"/>
    <w:rsid w:val="007B2B43"/>
    <w:rsid w:val="007B385D"/>
    <w:rsid w:val="007B3918"/>
    <w:rsid w:val="007B474D"/>
    <w:rsid w:val="007C0AD9"/>
    <w:rsid w:val="007C0B18"/>
    <w:rsid w:val="007C0B85"/>
    <w:rsid w:val="007C1AC3"/>
    <w:rsid w:val="007C2DA2"/>
    <w:rsid w:val="007C3748"/>
    <w:rsid w:val="007C377F"/>
    <w:rsid w:val="007C3C1D"/>
    <w:rsid w:val="007C4543"/>
    <w:rsid w:val="007C4DA0"/>
    <w:rsid w:val="007C4F94"/>
    <w:rsid w:val="007C5475"/>
    <w:rsid w:val="007C6519"/>
    <w:rsid w:val="007C6B8B"/>
    <w:rsid w:val="007C7296"/>
    <w:rsid w:val="007C7794"/>
    <w:rsid w:val="007C7799"/>
    <w:rsid w:val="007D092A"/>
    <w:rsid w:val="007D0B81"/>
    <w:rsid w:val="007D0F5B"/>
    <w:rsid w:val="007D13E6"/>
    <w:rsid w:val="007D199A"/>
    <w:rsid w:val="007D2D02"/>
    <w:rsid w:val="007D2EBE"/>
    <w:rsid w:val="007D2F3D"/>
    <w:rsid w:val="007D3EA6"/>
    <w:rsid w:val="007D5821"/>
    <w:rsid w:val="007D5AF7"/>
    <w:rsid w:val="007D608E"/>
    <w:rsid w:val="007D6368"/>
    <w:rsid w:val="007D6BCD"/>
    <w:rsid w:val="007D7134"/>
    <w:rsid w:val="007D76D2"/>
    <w:rsid w:val="007E040E"/>
    <w:rsid w:val="007E0755"/>
    <w:rsid w:val="007E07BD"/>
    <w:rsid w:val="007E096F"/>
    <w:rsid w:val="007E101A"/>
    <w:rsid w:val="007E1540"/>
    <w:rsid w:val="007E1686"/>
    <w:rsid w:val="007E1770"/>
    <w:rsid w:val="007E1C07"/>
    <w:rsid w:val="007E23C2"/>
    <w:rsid w:val="007E264D"/>
    <w:rsid w:val="007E289F"/>
    <w:rsid w:val="007E31AC"/>
    <w:rsid w:val="007E3397"/>
    <w:rsid w:val="007E366F"/>
    <w:rsid w:val="007E3F73"/>
    <w:rsid w:val="007E4FA6"/>
    <w:rsid w:val="007E534B"/>
    <w:rsid w:val="007E567E"/>
    <w:rsid w:val="007E6DF2"/>
    <w:rsid w:val="007E795E"/>
    <w:rsid w:val="007E7BE4"/>
    <w:rsid w:val="007F0C6A"/>
    <w:rsid w:val="007F1B41"/>
    <w:rsid w:val="007F215B"/>
    <w:rsid w:val="007F24B6"/>
    <w:rsid w:val="007F2A70"/>
    <w:rsid w:val="007F3972"/>
    <w:rsid w:val="007F45D6"/>
    <w:rsid w:val="007F4AE5"/>
    <w:rsid w:val="007F4C70"/>
    <w:rsid w:val="007F5305"/>
    <w:rsid w:val="007F5592"/>
    <w:rsid w:val="007F5EFE"/>
    <w:rsid w:val="007F7057"/>
    <w:rsid w:val="007F70BA"/>
    <w:rsid w:val="007F713C"/>
    <w:rsid w:val="00800076"/>
    <w:rsid w:val="00801103"/>
    <w:rsid w:val="008017AE"/>
    <w:rsid w:val="008018B0"/>
    <w:rsid w:val="00802FD4"/>
    <w:rsid w:val="008034D9"/>
    <w:rsid w:val="0080381B"/>
    <w:rsid w:val="00803D94"/>
    <w:rsid w:val="00803E8F"/>
    <w:rsid w:val="008048EF"/>
    <w:rsid w:val="00804DD6"/>
    <w:rsid w:val="008053EB"/>
    <w:rsid w:val="008053FD"/>
    <w:rsid w:val="008055A1"/>
    <w:rsid w:val="008062BB"/>
    <w:rsid w:val="008067A0"/>
    <w:rsid w:val="00806D68"/>
    <w:rsid w:val="00806E25"/>
    <w:rsid w:val="00806F38"/>
    <w:rsid w:val="0080766B"/>
    <w:rsid w:val="008077A8"/>
    <w:rsid w:val="0081110A"/>
    <w:rsid w:val="00812B54"/>
    <w:rsid w:val="00812C29"/>
    <w:rsid w:val="00814576"/>
    <w:rsid w:val="00814E21"/>
    <w:rsid w:val="00815677"/>
    <w:rsid w:val="00815CDD"/>
    <w:rsid w:val="00816445"/>
    <w:rsid w:val="008169B9"/>
    <w:rsid w:val="00816DF1"/>
    <w:rsid w:val="008173AC"/>
    <w:rsid w:val="0081751D"/>
    <w:rsid w:val="0082083C"/>
    <w:rsid w:val="008209BD"/>
    <w:rsid w:val="00821437"/>
    <w:rsid w:val="008229BA"/>
    <w:rsid w:val="00822B22"/>
    <w:rsid w:val="008233FF"/>
    <w:rsid w:val="00823889"/>
    <w:rsid w:val="00823D21"/>
    <w:rsid w:val="0082496C"/>
    <w:rsid w:val="00825890"/>
    <w:rsid w:val="00825B1E"/>
    <w:rsid w:val="00826023"/>
    <w:rsid w:val="00826C10"/>
    <w:rsid w:val="008271ED"/>
    <w:rsid w:val="00827233"/>
    <w:rsid w:val="008272AB"/>
    <w:rsid w:val="00827521"/>
    <w:rsid w:val="00827943"/>
    <w:rsid w:val="008302DB"/>
    <w:rsid w:val="00830719"/>
    <w:rsid w:val="008317A3"/>
    <w:rsid w:val="00832026"/>
    <w:rsid w:val="008320B8"/>
    <w:rsid w:val="00833AAE"/>
    <w:rsid w:val="00834427"/>
    <w:rsid w:val="008349A6"/>
    <w:rsid w:val="00834FA7"/>
    <w:rsid w:val="00835022"/>
    <w:rsid w:val="00835E88"/>
    <w:rsid w:val="0083606B"/>
    <w:rsid w:val="0083607C"/>
    <w:rsid w:val="00836192"/>
    <w:rsid w:val="00836334"/>
    <w:rsid w:val="0083673E"/>
    <w:rsid w:val="00836C17"/>
    <w:rsid w:val="00836ED5"/>
    <w:rsid w:val="00837199"/>
    <w:rsid w:val="008373D8"/>
    <w:rsid w:val="008377CE"/>
    <w:rsid w:val="00840157"/>
    <w:rsid w:val="008402FE"/>
    <w:rsid w:val="0084045D"/>
    <w:rsid w:val="00840D74"/>
    <w:rsid w:val="0084146D"/>
    <w:rsid w:val="0084289A"/>
    <w:rsid w:val="00842ED4"/>
    <w:rsid w:val="00844190"/>
    <w:rsid w:val="00844295"/>
    <w:rsid w:val="008448B2"/>
    <w:rsid w:val="00844A64"/>
    <w:rsid w:val="00844EC8"/>
    <w:rsid w:val="00845390"/>
    <w:rsid w:val="0084601B"/>
    <w:rsid w:val="0084639D"/>
    <w:rsid w:val="00846473"/>
    <w:rsid w:val="0084671B"/>
    <w:rsid w:val="008468D5"/>
    <w:rsid w:val="0084799A"/>
    <w:rsid w:val="00847A67"/>
    <w:rsid w:val="00847AE1"/>
    <w:rsid w:val="0085010C"/>
    <w:rsid w:val="0085137A"/>
    <w:rsid w:val="00851EE5"/>
    <w:rsid w:val="00851F11"/>
    <w:rsid w:val="00852140"/>
    <w:rsid w:val="00852212"/>
    <w:rsid w:val="00852677"/>
    <w:rsid w:val="00852B17"/>
    <w:rsid w:val="00852D9F"/>
    <w:rsid w:val="008539DD"/>
    <w:rsid w:val="00854010"/>
    <w:rsid w:val="008548E9"/>
    <w:rsid w:val="00854B4E"/>
    <w:rsid w:val="00854BFC"/>
    <w:rsid w:val="00854C31"/>
    <w:rsid w:val="00854C96"/>
    <w:rsid w:val="00854E44"/>
    <w:rsid w:val="00854F05"/>
    <w:rsid w:val="00855282"/>
    <w:rsid w:val="008555A7"/>
    <w:rsid w:val="00855645"/>
    <w:rsid w:val="00855BDE"/>
    <w:rsid w:val="008564EC"/>
    <w:rsid w:val="00856590"/>
    <w:rsid w:val="00856B1D"/>
    <w:rsid w:val="008571FA"/>
    <w:rsid w:val="00857AFA"/>
    <w:rsid w:val="00857CCF"/>
    <w:rsid w:val="00857F2C"/>
    <w:rsid w:val="008606F0"/>
    <w:rsid w:val="00860D39"/>
    <w:rsid w:val="008615B0"/>
    <w:rsid w:val="008651A3"/>
    <w:rsid w:val="00865489"/>
    <w:rsid w:val="0086553D"/>
    <w:rsid w:val="00865DDC"/>
    <w:rsid w:val="00865FD6"/>
    <w:rsid w:val="00866D07"/>
    <w:rsid w:val="0086747A"/>
    <w:rsid w:val="008676E5"/>
    <w:rsid w:val="00867B43"/>
    <w:rsid w:val="00867C1A"/>
    <w:rsid w:val="0087016B"/>
    <w:rsid w:val="0087043D"/>
    <w:rsid w:val="00870810"/>
    <w:rsid w:val="00870A8C"/>
    <w:rsid w:val="008711E2"/>
    <w:rsid w:val="008716E1"/>
    <w:rsid w:val="008718C8"/>
    <w:rsid w:val="008727D0"/>
    <w:rsid w:val="008728A1"/>
    <w:rsid w:val="008728A8"/>
    <w:rsid w:val="00872962"/>
    <w:rsid w:val="0087331A"/>
    <w:rsid w:val="00873D6E"/>
    <w:rsid w:val="008749F8"/>
    <w:rsid w:val="00874BDF"/>
    <w:rsid w:val="00874FEB"/>
    <w:rsid w:val="00875EB9"/>
    <w:rsid w:val="00876B62"/>
    <w:rsid w:val="0088060C"/>
    <w:rsid w:val="00880C2A"/>
    <w:rsid w:val="00881B6F"/>
    <w:rsid w:val="008820B5"/>
    <w:rsid w:val="00882708"/>
    <w:rsid w:val="00882AA4"/>
    <w:rsid w:val="008830E0"/>
    <w:rsid w:val="00883460"/>
    <w:rsid w:val="00883E22"/>
    <w:rsid w:val="008840E8"/>
    <w:rsid w:val="00884237"/>
    <w:rsid w:val="00884E43"/>
    <w:rsid w:val="00885722"/>
    <w:rsid w:val="00885D46"/>
    <w:rsid w:val="00885F6B"/>
    <w:rsid w:val="0088606B"/>
    <w:rsid w:val="008862DE"/>
    <w:rsid w:val="008865FD"/>
    <w:rsid w:val="00886782"/>
    <w:rsid w:val="00886DCB"/>
    <w:rsid w:val="00887002"/>
    <w:rsid w:val="00887533"/>
    <w:rsid w:val="00887D80"/>
    <w:rsid w:val="00887EC6"/>
    <w:rsid w:val="008902E6"/>
    <w:rsid w:val="00890667"/>
    <w:rsid w:val="0089084C"/>
    <w:rsid w:val="00890CBC"/>
    <w:rsid w:val="00890D87"/>
    <w:rsid w:val="00891167"/>
    <w:rsid w:val="00892B40"/>
    <w:rsid w:val="00892B6A"/>
    <w:rsid w:val="00892B92"/>
    <w:rsid w:val="00893409"/>
    <w:rsid w:val="00893701"/>
    <w:rsid w:val="008939AA"/>
    <w:rsid w:val="00893D9F"/>
    <w:rsid w:val="00894191"/>
    <w:rsid w:val="00894F6B"/>
    <w:rsid w:val="008955F7"/>
    <w:rsid w:val="00895F26"/>
    <w:rsid w:val="0089711D"/>
    <w:rsid w:val="008972E3"/>
    <w:rsid w:val="008976EA"/>
    <w:rsid w:val="008A01C1"/>
    <w:rsid w:val="008A0358"/>
    <w:rsid w:val="008A0416"/>
    <w:rsid w:val="008A142F"/>
    <w:rsid w:val="008A1470"/>
    <w:rsid w:val="008A15BD"/>
    <w:rsid w:val="008A175C"/>
    <w:rsid w:val="008A1C65"/>
    <w:rsid w:val="008A1EE4"/>
    <w:rsid w:val="008A1FF0"/>
    <w:rsid w:val="008A2379"/>
    <w:rsid w:val="008A25FF"/>
    <w:rsid w:val="008A28B8"/>
    <w:rsid w:val="008A2A11"/>
    <w:rsid w:val="008A2E9B"/>
    <w:rsid w:val="008A35D2"/>
    <w:rsid w:val="008A4314"/>
    <w:rsid w:val="008A4329"/>
    <w:rsid w:val="008A4533"/>
    <w:rsid w:val="008A563C"/>
    <w:rsid w:val="008A578E"/>
    <w:rsid w:val="008A6042"/>
    <w:rsid w:val="008A64CF"/>
    <w:rsid w:val="008A692F"/>
    <w:rsid w:val="008A6C7F"/>
    <w:rsid w:val="008A7C3A"/>
    <w:rsid w:val="008B0ECC"/>
    <w:rsid w:val="008B0F90"/>
    <w:rsid w:val="008B12DF"/>
    <w:rsid w:val="008B1519"/>
    <w:rsid w:val="008B1772"/>
    <w:rsid w:val="008B2C39"/>
    <w:rsid w:val="008B2F18"/>
    <w:rsid w:val="008B3779"/>
    <w:rsid w:val="008B3AB3"/>
    <w:rsid w:val="008B3B88"/>
    <w:rsid w:val="008B3E73"/>
    <w:rsid w:val="008B40AE"/>
    <w:rsid w:val="008B47E0"/>
    <w:rsid w:val="008B4C12"/>
    <w:rsid w:val="008B5BD9"/>
    <w:rsid w:val="008B6101"/>
    <w:rsid w:val="008B69E3"/>
    <w:rsid w:val="008B6A06"/>
    <w:rsid w:val="008B6D7C"/>
    <w:rsid w:val="008B6F8C"/>
    <w:rsid w:val="008B751C"/>
    <w:rsid w:val="008B7790"/>
    <w:rsid w:val="008B790B"/>
    <w:rsid w:val="008B7BCC"/>
    <w:rsid w:val="008C0AA5"/>
    <w:rsid w:val="008C0B1D"/>
    <w:rsid w:val="008C0DA7"/>
    <w:rsid w:val="008C1A0C"/>
    <w:rsid w:val="008C1DD4"/>
    <w:rsid w:val="008C213E"/>
    <w:rsid w:val="008C2478"/>
    <w:rsid w:val="008C2A83"/>
    <w:rsid w:val="008C2B9F"/>
    <w:rsid w:val="008C32F0"/>
    <w:rsid w:val="008C37B3"/>
    <w:rsid w:val="008C3882"/>
    <w:rsid w:val="008C39C8"/>
    <w:rsid w:val="008C4531"/>
    <w:rsid w:val="008C4E6B"/>
    <w:rsid w:val="008C4FEF"/>
    <w:rsid w:val="008C50C3"/>
    <w:rsid w:val="008C54E2"/>
    <w:rsid w:val="008C6574"/>
    <w:rsid w:val="008C7094"/>
    <w:rsid w:val="008D05AC"/>
    <w:rsid w:val="008D0692"/>
    <w:rsid w:val="008D07BE"/>
    <w:rsid w:val="008D0A73"/>
    <w:rsid w:val="008D0F75"/>
    <w:rsid w:val="008D17FC"/>
    <w:rsid w:val="008D2B97"/>
    <w:rsid w:val="008D315F"/>
    <w:rsid w:val="008D39A8"/>
    <w:rsid w:val="008D3F49"/>
    <w:rsid w:val="008D4383"/>
    <w:rsid w:val="008D49A5"/>
    <w:rsid w:val="008D54BE"/>
    <w:rsid w:val="008D5694"/>
    <w:rsid w:val="008D6770"/>
    <w:rsid w:val="008D6C81"/>
    <w:rsid w:val="008D6DD2"/>
    <w:rsid w:val="008D7110"/>
    <w:rsid w:val="008D7174"/>
    <w:rsid w:val="008D7506"/>
    <w:rsid w:val="008E03CB"/>
    <w:rsid w:val="008E10B6"/>
    <w:rsid w:val="008E1544"/>
    <w:rsid w:val="008E158B"/>
    <w:rsid w:val="008E1BF6"/>
    <w:rsid w:val="008E1F71"/>
    <w:rsid w:val="008E30C2"/>
    <w:rsid w:val="008E31CD"/>
    <w:rsid w:val="008E3327"/>
    <w:rsid w:val="008E3B62"/>
    <w:rsid w:val="008E4527"/>
    <w:rsid w:val="008E56C6"/>
    <w:rsid w:val="008E63B3"/>
    <w:rsid w:val="008E699C"/>
    <w:rsid w:val="008E6CF0"/>
    <w:rsid w:val="008E786D"/>
    <w:rsid w:val="008F0B48"/>
    <w:rsid w:val="008F0C26"/>
    <w:rsid w:val="008F1073"/>
    <w:rsid w:val="008F1439"/>
    <w:rsid w:val="008F174A"/>
    <w:rsid w:val="008F1B7E"/>
    <w:rsid w:val="008F1C6C"/>
    <w:rsid w:val="008F2AA7"/>
    <w:rsid w:val="008F373B"/>
    <w:rsid w:val="008F3813"/>
    <w:rsid w:val="008F4B11"/>
    <w:rsid w:val="008F4B66"/>
    <w:rsid w:val="008F543E"/>
    <w:rsid w:val="008F6691"/>
    <w:rsid w:val="008F6BA2"/>
    <w:rsid w:val="008F6C49"/>
    <w:rsid w:val="008F7051"/>
    <w:rsid w:val="008F70EF"/>
    <w:rsid w:val="008F75EF"/>
    <w:rsid w:val="008F7651"/>
    <w:rsid w:val="008F769E"/>
    <w:rsid w:val="008F7749"/>
    <w:rsid w:val="008F77FE"/>
    <w:rsid w:val="008F7F06"/>
    <w:rsid w:val="00900286"/>
    <w:rsid w:val="009006B6"/>
    <w:rsid w:val="00900CC1"/>
    <w:rsid w:val="00900F65"/>
    <w:rsid w:val="0090138F"/>
    <w:rsid w:val="0090161E"/>
    <w:rsid w:val="009020F8"/>
    <w:rsid w:val="00902622"/>
    <w:rsid w:val="00902932"/>
    <w:rsid w:val="009033A9"/>
    <w:rsid w:val="009038FA"/>
    <w:rsid w:val="00903A3E"/>
    <w:rsid w:val="00903B54"/>
    <w:rsid w:val="00904152"/>
    <w:rsid w:val="00904A05"/>
    <w:rsid w:val="00904B35"/>
    <w:rsid w:val="00904F46"/>
    <w:rsid w:val="0090581D"/>
    <w:rsid w:val="00905A55"/>
    <w:rsid w:val="00906BDE"/>
    <w:rsid w:val="009074C3"/>
    <w:rsid w:val="00907611"/>
    <w:rsid w:val="00907916"/>
    <w:rsid w:val="00907C5E"/>
    <w:rsid w:val="009100D1"/>
    <w:rsid w:val="009100E5"/>
    <w:rsid w:val="0091071E"/>
    <w:rsid w:val="00910830"/>
    <w:rsid w:val="00913064"/>
    <w:rsid w:val="00913949"/>
    <w:rsid w:val="00913D28"/>
    <w:rsid w:val="0091439C"/>
    <w:rsid w:val="00914A4B"/>
    <w:rsid w:val="00914B3C"/>
    <w:rsid w:val="00914CA9"/>
    <w:rsid w:val="0091517D"/>
    <w:rsid w:val="009161A1"/>
    <w:rsid w:val="00916284"/>
    <w:rsid w:val="0091658D"/>
    <w:rsid w:val="00916E2C"/>
    <w:rsid w:val="00916EB3"/>
    <w:rsid w:val="009172AE"/>
    <w:rsid w:val="00917FA5"/>
    <w:rsid w:val="00920572"/>
    <w:rsid w:val="009208A9"/>
    <w:rsid w:val="00920A56"/>
    <w:rsid w:val="00920BF2"/>
    <w:rsid w:val="00921774"/>
    <w:rsid w:val="00921DE6"/>
    <w:rsid w:val="009228D9"/>
    <w:rsid w:val="00922FE8"/>
    <w:rsid w:val="009235E5"/>
    <w:rsid w:val="009243C0"/>
    <w:rsid w:val="009247F3"/>
    <w:rsid w:val="00924CBA"/>
    <w:rsid w:val="00924D32"/>
    <w:rsid w:val="00925AFF"/>
    <w:rsid w:val="00925D23"/>
    <w:rsid w:val="009265C3"/>
    <w:rsid w:val="00926607"/>
    <w:rsid w:val="00926BA5"/>
    <w:rsid w:val="00926D5F"/>
    <w:rsid w:val="00926DE4"/>
    <w:rsid w:val="00927820"/>
    <w:rsid w:val="00927976"/>
    <w:rsid w:val="00927F28"/>
    <w:rsid w:val="00930054"/>
    <w:rsid w:val="00930515"/>
    <w:rsid w:val="00930C91"/>
    <w:rsid w:val="00931159"/>
    <w:rsid w:val="009313C1"/>
    <w:rsid w:val="00931E7E"/>
    <w:rsid w:val="009325B8"/>
    <w:rsid w:val="0093350D"/>
    <w:rsid w:val="00933732"/>
    <w:rsid w:val="0093373C"/>
    <w:rsid w:val="00933BDB"/>
    <w:rsid w:val="009349A9"/>
    <w:rsid w:val="00934B61"/>
    <w:rsid w:val="00935155"/>
    <w:rsid w:val="00935475"/>
    <w:rsid w:val="009355CD"/>
    <w:rsid w:val="00936577"/>
    <w:rsid w:val="00936C52"/>
    <w:rsid w:val="00940484"/>
    <w:rsid w:val="00940D8F"/>
    <w:rsid w:val="009412FD"/>
    <w:rsid w:val="009415E4"/>
    <w:rsid w:val="00941BD6"/>
    <w:rsid w:val="00941EC4"/>
    <w:rsid w:val="009423A9"/>
    <w:rsid w:val="00942B9E"/>
    <w:rsid w:val="00942E55"/>
    <w:rsid w:val="00942F73"/>
    <w:rsid w:val="009433F9"/>
    <w:rsid w:val="0094362A"/>
    <w:rsid w:val="00943663"/>
    <w:rsid w:val="00943B70"/>
    <w:rsid w:val="009444F6"/>
    <w:rsid w:val="00944BEE"/>
    <w:rsid w:val="00944CD8"/>
    <w:rsid w:val="009469F7"/>
    <w:rsid w:val="00946CB6"/>
    <w:rsid w:val="00946CFE"/>
    <w:rsid w:val="00947755"/>
    <w:rsid w:val="009479A1"/>
    <w:rsid w:val="009500CC"/>
    <w:rsid w:val="00950888"/>
    <w:rsid w:val="00950C96"/>
    <w:rsid w:val="00951572"/>
    <w:rsid w:val="00951A28"/>
    <w:rsid w:val="00951B02"/>
    <w:rsid w:val="00952FBE"/>
    <w:rsid w:val="00953DFE"/>
    <w:rsid w:val="0095489B"/>
    <w:rsid w:val="00954945"/>
    <w:rsid w:val="00954C67"/>
    <w:rsid w:val="0095513C"/>
    <w:rsid w:val="0095572A"/>
    <w:rsid w:val="00955FB7"/>
    <w:rsid w:val="00956071"/>
    <w:rsid w:val="0095678E"/>
    <w:rsid w:val="00956BAD"/>
    <w:rsid w:val="00956E81"/>
    <w:rsid w:val="00956E9E"/>
    <w:rsid w:val="009577FD"/>
    <w:rsid w:val="00957D97"/>
    <w:rsid w:val="00957F94"/>
    <w:rsid w:val="00960E50"/>
    <w:rsid w:val="0096101A"/>
    <w:rsid w:val="00961238"/>
    <w:rsid w:val="00961627"/>
    <w:rsid w:val="009629BA"/>
    <w:rsid w:val="00962BA4"/>
    <w:rsid w:val="00962C51"/>
    <w:rsid w:val="00962D37"/>
    <w:rsid w:val="00963420"/>
    <w:rsid w:val="00963E04"/>
    <w:rsid w:val="009641DB"/>
    <w:rsid w:val="00964445"/>
    <w:rsid w:val="00964513"/>
    <w:rsid w:val="00964629"/>
    <w:rsid w:val="00964639"/>
    <w:rsid w:val="009648CB"/>
    <w:rsid w:val="0096558E"/>
    <w:rsid w:val="00965715"/>
    <w:rsid w:val="00966F03"/>
    <w:rsid w:val="00966FB9"/>
    <w:rsid w:val="009671CD"/>
    <w:rsid w:val="009676FC"/>
    <w:rsid w:val="0096776A"/>
    <w:rsid w:val="00970596"/>
    <w:rsid w:val="00970B0C"/>
    <w:rsid w:val="00970E1A"/>
    <w:rsid w:val="00971691"/>
    <w:rsid w:val="0097174E"/>
    <w:rsid w:val="009722D3"/>
    <w:rsid w:val="009728B8"/>
    <w:rsid w:val="0097319E"/>
    <w:rsid w:val="00973352"/>
    <w:rsid w:val="00973674"/>
    <w:rsid w:val="00974361"/>
    <w:rsid w:val="0097459E"/>
    <w:rsid w:val="009750CF"/>
    <w:rsid w:val="009751A9"/>
    <w:rsid w:val="00975B33"/>
    <w:rsid w:val="0097668C"/>
    <w:rsid w:val="009766FF"/>
    <w:rsid w:val="00976EF8"/>
    <w:rsid w:val="00977147"/>
    <w:rsid w:val="00977393"/>
    <w:rsid w:val="00977447"/>
    <w:rsid w:val="00977F2A"/>
    <w:rsid w:val="00980B41"/>
    <w:rsid w:val="00980F0E"/>
    <w:rsid w:val="00980F9C"/>
    <w:rsid w:val="00983C57"/>
    <w:rsid w:val="009853FF"/>
    <w:rsid w:val="00985F3B"/>
    <w:rsid w:val="009861AE"/>
    <w:rsid w:val="0098626C"/>
    <w:rsid w:val="0098632B"/>
    <w:rsid w:val="009865E5"/>
    <w:rsid w:val="00986624"/>
    <w:rsid w:val="009866AE"/>
    <w:rsid w:val="0098754A"/>
    <w:rsid w:val="009878F3"/>
    <w:rsid w:val="00987F18"/>
    <w:rsid w:val="00990065"/>
    <w:rsid w:val="00990E49"/>
    <w:rsid w:val="009913D4"/>
    <w:rsid w:val="00991B26"/>
    <w:rsid w:val="0099240D"/>
    <w:rsid w:val="00992BA9"/>
    <w:rsid w:val="00992CD3"/>
    <w:rsid w:val="00993289"/>
    <w:rsid w:val="00993B20"/>
    <w:rsid w:val="00993D20"/>
    <w:rsid w:val="00994012"/>
    <w:rsid w:val="009942C5"/>
    <w:rsid w:val="0099485E"/>
    <w:rsid w:val="0099529C"/>
    <w:rsid w:val="009956AC"/>
    <w:rsid w:val="00995EB9"/>
    <w:rsid w:val="00996624"/>
    <w:rsid w:val="00997BFB"/>
    <w:rsid w:val="009A00CF"/>
    <w:rsid w:val="009A0AA4"/>
    <w:rsid w:val="009A0B17"/>
    <w:rsid w:val="009A2C5B"/>
    <w:rsid w:val="009A434C"/>
    <w:rsid w:val="009A444C"/>
    <w:rsid w:val="009A4538"/>
    <w:rsid w:val="009A454E"/>
    <w:rsid w:val="009A4F48"/>
    <w:rsid w:val="009A4F68"/>
    <w:rsid w:val="009A50F8"/>
    <w:rsid w:val="009A5D71"/>
    <w:rsid w:val="009A69B0"/>
    <w:rsid w:val="009A6F98"/>
    <w:rsid w:val="009A711E"/>
    <w:rsid w:val="009A7348"/>
    <w:rsid w:val="009A73E8"/>
    <w:rsid w:val="009B07A6"/>
    <w:rsid w:val="009B0959"/>
    <w:rsid w:val="009B0D74"/>
    <w:rsid w:val="009B1155"/>
    <w:rsid w:val="009B15ED"/>
    <w:rsid w:val="009B16EC"/>
    <w:rsid w:val="009B207B"/>
    <w:rsid w:val="009B216A"/>
    <w:rsid w:val="009B40EF"/>
    <w:rsid w:val="009B43AB"/>
    <w:rsid w:val="009B462C"/>
    <w:rsid w:val="009B5073"/>
    <w:rsid w:val="009B5F1D"/>
    <w:rsid w:val="009B6733"/>
    <w:rsid w:val="009B6BCD"/>
    <w:rsid w:val="009B78B0"/>
    <w:rsid w:val="009B7E1D"/>
    <w:rsid w:val="009B7E8A"/>
    <w:rsid w:val="009C0F66"/>
    <w:rsid w:val="009C1005"/>
    <w:rsid w:val="009C10CF"/>
    <w:rsid w:val="009C114D"/>
    <w:rsid w:val="009C15F3"/>
    <w:rsid w:val="009C22B3"/>
    <w:rsid w:val="009C2684"/>
    <w:rsid w:val="009C2C8C"/>
    <w:rsid w:val="009C2EC3"/>
    <w:rsid w:val="009C340F"/>
    <w:rsid w:val="009C34E1"/>
    <w:rsid w:val="009C3D04"/>
    <w:rsid w:val="009C47D4"/>
    <w:rsid w:val="009C4EAE"/>
    <w:rsid w:val="009C52D0"/>
    <w:rsid w:val="009C6364"/>
    <w:rsid w:val="009C6985"/>
    <w:rsid w:val="009C6EC4"/>
    <w:rsid w:val="009C7A01"/>
    <w:rsid w:val="009C7BF3"/>
    <w:rsid w:val="009C7DC5"/>
    <w:rsid w:val="009D083E"/>
    <w:rsid w:val="009D1697"/>
    <w:rsid w:val="009D178A"/>
    <w:rsid w:val="009D1AEE"/>
    <w:rsid w:val="009D1CAF"/>
    <w:rsid w:val="009D26C4"/>
    <w:rsid w:val="009D2C1E"/>
    <w:rsid w:val="009D2EEE"/>
    <w:rsid w:val="009D34F9"/>
    <w:rsid w:val="009D3A36"/>
    <w:rsid w:val="009D3AE8"/>
    <w:rsid w:val="009D3B18"/>
    <w:rsid w:val="009D3D35"/>
    <w:rsid w:val="009D3D43"/>
    <w:rsid w:val="009D3DDF"/>
    <w:rsid w:val="009D4189"/>
    <w:rsid w:val="009D4B9C"/>
    <w:rsid w:val="009D5173"/>
    <w:rsid w:val="009D5394"/>
    <w:rsid w:val="009D5566"/>
    <w:rsid w:val="009D563C"/>
    <w:rsid w:val="009D5D2B"/>
    <w:rsid w:val="009D5D46"/>
    <w:rsid w:val="009D6219"/>
    <w:rsid w:val="009D6BBC"/>
    <w:rsid w:val="009D6DB1"/>
    <w:rsid w:val="009D7733"/>
    <w:rsid w:val="009D7ED1"/>
    <w:rsid w:val="009E07C2"/>
    <w:rsid w:val="009E0E52"/>
    <w:rsid w:val="009E18EB"/>
    <w:rsid w:val="009E1AAB"/>
    <w:rsid w:val="009E2FEA"/>
    <w:rsid w:val="009E3AA7"/>
    <w:rsid w:val="009E3C45"/>
    <w:rsid w:val="009E4652"/>
    <w:rsid w:val="009E4697"/>
    <w:rsid w:val="009E4CC1"/>
    <w:rsid w:val="009E50C4"/>
    <w:rsid w:val="009E56E8"/>
    <w:rsid w:val="009E747D"/>
    <w:rsid w:val="009E788A"/>
    <w:rsid w:val="009F0419"/>
    <w:rsid w:val="009F07BE"/>
    <w:rsid w:val="009F1266"/>
    <w:rsid w:val="009F142A"/>
    <w:rsid w:val="009F17D7"/>
    <w:rsid w:val="009F194B"/>
    <w:rsid w:val="009F1A1E"/>
    <w:rsid w:val="009F26C6"/>
    <w:rsid w:val="009F3CDA"/>
    <w:rsid w:val="009F43F3"/>
    <w:rsid w:val="009F50E5"/>
    <w:rsid w:val="009F5453"/>
    <w:rsid w:val="009F5BDD"/>
    <w:rsid w:val="009F5D9C"/>
    <w:rsid w:val="009F609D"/>
    <w:rsid w:val="009F66A3"/>
    <w:rsid w:val="009F72F9"/>
    <w:rsid w:val="009F73F7"/>
    <w:rsid w:val="009F743C"/>
    <w:rsid w:val="009F756E"/>
    <w:rsid w:val="00A00205"/>
    <w:rsid w:val="00A008CC"/>
    <w:rsid w:val="00A00AF0"/>
    <w:rsid w:val="00A012AF"/>
    <w:rsid w:val="00A015CE"/>
    <w:rsid w:val="00A01F4A"/>
    <w:rsid w:val="00A01FAD"/>
    <w:rsid w:val="00A04476"/>
    <w:rsid w:val="00A04694"/>
    <w:rsid w:val="00A0496E"/>
    <w:rsid w:val="00A05419"/>
    <w:rsid w:val="00A06206"/>
    <w:rsid w:val="00A06227"/>
    <w:rsid w:val="00A068A4"/>
    <w:rsid w:val="00A07BE5"/>
    <w:rsid w:val="00A1005E"/>
    <w:rsid w:val="00A107F3"/>
    <w:rsid w:val="00A10E61"/>
    <w:rsid w:val="00A11075"/>
    <w:rsid w:val="00A111E7"/>
    <w:rsid w:val="00A118A7"/>
    <w:rsid w:val="00A11E15"/>
    <w:rsid w:val="00A12518"/>
    <w:rsid w:val="00A125FB"/>
    <w:rsid w:val="00A12DEF"/>
    <w:rsid w:val="00A12E1A"/>
    <w:rsid w:val="00A13508"/>
    <w:rsid w:val="00A138F2"/>
    <w:rsid w:val="00A13DE4"/>
    <w:rsid w:val="00A14106"/>
    <w:rsid w:val="00A1455B"/>
    <w:rsid w:val="00A14974"/>
    <w:rsid w:val="00A14B3B"/>
    <w:rsid w:val="00A14B4D"/>
    <w:rsid w:val="00A14B5A"/>
    <w:rsid w:val="00A151C9"/>
    <w:rsid w:val="00A15AA4"/>
    <w:rsid w:val="00A15BDF"/>
    <w:rsid w:val="00A16810"/>
    <w:rsid w:val="00A16CA8"/>
    <w:rsid w:val="00A16DC3"/>
    <w:rsid w:val="00A16F12"/>
    <w:rsid w:val="00A17116"/>
    <w:rsid w:val="00A17131"/>
    <w:rsid w:val="00A173B2"/>
    <w:rsid w:val="00A206FD"/>
    <w:rsid w:val="00A2264A"/>
    <w:rsid w:val="00A22F37"/>
    <w:rsid w:val="00A23150"/>
    <w:rsid w:val="00A23396"/>
    <w:rsid w:val="00A235C2"/>
    <w:rsid w:val="00A23C0F"/>
    <w:rsid w:val="00A2520A"/>
    <w:rsid w:val="00A26D55"/>
    <w:rsid w:val="00A2705B"/>
    <w:rsid w:val="00A2716D"/>
    <w:rsid w:val="00A274B6"/>
    <w:rsid w:val="00A30710"/>
    <w:rsid w:val="00A30C03"/>
    <w:rsid w:val="00A30F51"/>
    <w:rsid w:val="00A3173A"/>
    <w:rsid w:val="00A31CF5"/>
    <w:rsid w:val="00A324D2"/>
    <w:rsid w:val="00A32840"/>
    <w:rsid w:val="00A32A95"/>
    <w:rsid w:val="00A32B1F"/>
    <w:rsid w:val="00A33BE7"/>
    <w:rsid w:val="00A3455B"/>
    <w:rsid w:val="00A347F6"/>
    <w:rsid w:val="00A34D06"/>
    <w:rsid w:val="00A352D1"/>
    <w:rsid w:val="00A355C6"/>
    <w:rsid w:val="00A3567F"/>
    <w:rsid w:val="00A36528"/>
    <w:rsid w:val="00A37632"/>
    <w:rsid w:val="00A37698"/>
    <w:rsid w:val="00A3770C"/>
    <w:rsid w:val="00A405C6"/>
    <w:rsid w:val="00A4192C"/>
    <w:rsid w:val="00A41C44"/>
    <w:rsid w:val="00A41CA0"/>
    <w:rsid w:val="00A41ED3"/>
    <w:rsid w:val="00A4210E"/>
    <w:rsid w:val="00A4232B"/>
    <w:rsid w:val="00A42C54"/>
    <w:rsid w:val="00A431A9"/>
    <w:rsid w:val="00A43C85"/>
    <w:rsid w:val="00A43CD4"/>
    <w:rsid w:val="00A44600"/>
    <w:rsid w:val="00A44AF0"/>
    <w:rsid w:val="00A44BCB"/>
    <w:rsid w:val="00A4569D"/>
    <w:rsid w:val="00A45957"/>
    <w:rsid w:val="00A45A57"/>
    <w:rsid w:val="00A46726"/>
    <w:rsid w:val="00A4696B"/>
    <w:rsid w:val="00A46C5C"/>
    <w:rsid w:val="00A47741"/>
    <w:rsid w:val="00A47CE9"/>
    <w:rsid w:val="00A500FF"/>
    <w:rsid w:val="00A501C1"/>
    <w:rsid w:val="00A50555"/>
    <w:rsid w:val="00A5057F"/>
    <w:rsid w:val="00A50C91"/>
    <w:rsid w:val="00A511AC"/>
    <w:rsid w:val="00A51349"/>
    <w:rsid w:val="00A51C83"/>
    <w:rsid w:val="00A52613"/>
    <w:rsid w:val="00A526D8"/>
    <w:rsid w:val="00A528B1"/>
    <w:rsid w:val="00A535C1"/>
    <w:rsid w:val="00A53A59"/>
    <w:rsid w:val="00A53CEF"/>
    <w:rsid w:val="00A543BE"/>
    <w:rsid w:val="00A545A2"/>
    <w:rsid w:val="00A55339"/>
    <w:rsid w:val="00A56C01"/>
    <w:rsid w:val="00A56C21"/>
    <w:rsid w:val="00A56D92"/>
    <w:rsid w:val="00A577E8"/>
    <w:rsid w:val="00A6005E"/>
    <w:rsid w:val="00A600DE"/>
    <w:rsid w:val="00A60E8C"/>
    <w:rsid w:val="00A611E9"/>
    <w:rsid w:val="00A62B17"/>
    <w:rsid w:val="00A633F5"/>
    <w:rsid w:val="00A63AD2"/>
    <w:rsid w:val="00A64DCE"/>
    <w:rsid w:val="00A65258"/>
    <w:rsid w:val="00A66671"/>
    <w:rsid w:val="00A667CF"/>
    <w:rsid w:val="00A66B0B"/>
    <w:rsid w:val="00A67FE2"/>
    <w:rsid w:val="00A7180B"/>
    <w:rsid w:val="00A71D9C"/>
    <w:rsid w:val="00A72B8D"/>
    <w:rsid w:val="00A73E68"/>
    <w:rsid w:val="00A744C6"/>
    <w:rsid w:val="00A75246"/>
    <w:rsid w:val="00A75800"/>
    <w:rsid w:val="00A75B53"/>
    <w:rsid w:val="00A7609D"/>
    <w:rsid w:val="00A76B09"/>
    <w:rsid w:val="00A772F6"/>
    <w:rsid w:val="00A77C66"/>
    <w:rsid w:val="00A77CF9"/>
    <w:rsid w:val="00A806F3"/>
    <w:rsid w:val="00A810F6"/>
    <w:rsid w:val="00A8115C"/>
    <w:rsid w:val="00A814D7"/>
    <w:rsid w:val="00A817C9"/>
    <w:rsid w:val="00A81D82"/>
    <w:rsid w:val="00A81DFD"/>
    <w:rsid w:val="00A81E2E"/>
    <w:rsid w:val="00A820BE"/>
    <w:rsid w:val="00A82166"/>
    <w:rsid w:val="00A824E1"/>
    <w:rsid w:val="00A82773"/>
    <w:rsid w:val="00A82B63"/>
    <w:rsid w:val="00A82C9E"/>
    <w:rsid w:val="00A82D94"/>
    <w:rsid w:val="00A83240"/>
    <w:rsid w:val="00A83557"/>
    <w:rsid w:val="00A8368F"/>
    <w:rsid w:val="00A83E67"/>
    <w:rsid w:val="00A840E6"/>
    <w:rsid w:val="00A851CD"/>
    <w:rsid w:val="00A8540D"/>
    <w:rsid w:val="00A85464"/>
    <w:rsid w:val="00A8569B"/>
    <w:rsid w:val="00A8581F"/>
    <w:rsid w:val="00A86650"/>
    <w:rsid w:val="00A90114"/>
    <w:rsid w:val="00A902FB"/>
    <w:rsid w:val="00A904D8"/>
    <w:rsid w:val="00A91727"/>
    <w:rsid w:val="00A91B4A"/>
    <w:rsid w:val="00A91BF2"/>
    <w:rsid w:val="00A91CA5"/>
    <w:rsid w:val="00A9219F"/>
    <w:rsid w:val="00A928ED"/>
    <w:rsid w:val="00A92DC7"/>
    <w:rsid w:val="00A93E33"/>
    <w:rsid w:val="00A93F21"/>
    <w:rsid w:val="00A94BE4"/>
    <w:rsid w:val="00A95607"/>
    <w:rsid w:val="00A95E2F"/>
    <w:rsid w:val="00A96036"/>
    <w:rsid w:val="00A97084"/>
    <w:rsid w:val="00A976D4"/>
    <w:rsid w:val="00AA0B34"/>
    <w:rsid w:val="00AA16B5"/>
    <w:rsid w:val="00AA1949"/>
    <w:rsid w:val="00AA2932"/>
    <w:rsid w:val="00AA2EB4"/>
    <w:rsid w:val="00AA3B42"/>
    <w:rsid w:val="00AA3D4D"/>
    <w:rsid w:val="00AA4739"/>
    <w:rsid w:val="00AA4F9F"/>
    <w:rsid w:val="00AA5AE4"/>
    <w:rsid w:val="00AA5B74"/>
    <w:rsid w:val="00AA5F86"/>
    <w:rsid w:val="00AA69ED"/>
    <w:rsid w:val="00AA7429"/>
    <w:rsid w:val="00AA77E5"/>
    <w:rsid w:val="00AB0013"/>
    <w:rsid w:val="00AB0A8F"/>
    <w:rsid w:val="00AB0D9D"/>
    <w:rsid w:val="00AB1029"/>
    <w:rsid w:val="00AB18DA"/>
    <w:rsid w:val="00AB35C3"/>
    <w:rsid w:val="00AB3997"/>
    <w:rsid w:val="00AB3C41"/>
    <w:rsid w:val="00AB4151"/>
    <w:rsid w:val="00AB4683"/>
    <w:rsid w:val="00AB4A6C"/>
    <w:rsid w:val="00AB4EB6"/>
    <w:rsid w:val="00AB5309"/>
    <w:rsid w:val="00AB53CC"/>
    <w:rsid w:val="00AB5416"/>
    <w:rsid w:val="00AB648C"/>
    <w:rsid w:val="00AB6970"/>
    <w:rsid w:val="00AB69B9"/>
    <w:rsid w:val="00AB6C95"/>
    <w:rsid w:val="00AB7033"/>
    <w:rsid w:val="00AB7904"/>
    <w:rsid w:val="00AB7A0C"/>
    <w:rsid w:val="00AB7A74"/>
    <w:rsid w:val="00AB7DAB"/>
    <w:rsid w:val="00AC1146"/>
    <w:rsid w:val="00AC1214"/>
    <w:rsid w:val="00AC1939"/>
    <w:rsid w:val="00AC1F1F"/>
    <w:rsid w:val="00AC209C"/>
    <w:rsid w:val="00AC2580"/>
    <w:rsid w:val="00AC2952"/>
    <w:rsid w:val="00AC3D84"/>
    <w:rsid w:val="00AC415A"/>
    <w:rsid w:val="00AC4514"/>
    <w:rsid w:val="00AC4874"/>
    <w:rsid w:val="00AC4ACA"/>
    <w:rsid w:val="00AC4CB5"/>
    <w:rsid w:val="00AC6377"/>
    <w:rsid w:val="00AC7146"/>
    <w:rsid w:val="00AC792C"/>
    <w:rsid w:val="00AC7C05"/>
    <w:rsid w:val="00AC7DF4"/>
    <w:rsid w:val="00AC7E51"/>
    <w:rsid w:val="00AD00D4"/>
    <w:rsid w:val="00AD0779"/>
    <w:rsid w:val="00AD0C54"/>
    <w:rsid w:val="00AD157D"/>
    <w:rsid w:val="00AD167C"/>
    <w:rsid w:val="00AD17C7"/>
    <w:rsid w:val="00AD1AAD"/>
    <w:rsid w:val="00AD2216"/>
    <w:rsid w:val="00AD2A79"/>
    <w:rsid w:val="00AD38C5"/>
    <w:rsid w:val="00AD3A02"/>
    <w:rsid w:val="00AD4041"/>
    <w:rsid w:val="00AD42D3"/>
    <w:rsid w:val="00AD4658"/>
    <w:rsid w:val="00AD4E5B"/>
    <w:rsid w:val="00AD5522"/>
    <w:rsid w:val="00AD57BD"/>
    <w:rsid w:val="00AD6719"/>
    <w:rsid w:val="00AD6934"/>
    <w:rsid w:val="00AD78FC"/>
    <w:rsid w:val="00AD7E9D"/>
    <w:rsid w:val="00AE0309"/>
    <w:rsid w:val="00AE10B2"/>
    <w:rsid w:val="00AE1CB6"/>
    <w:rsid w:val="00AE1E55"/>
    <w:rsid w:val="00AE2111"/>
    <w:rsid w:val="00AE22A0"/>
    <w:rsid w:val="00AE302B"/>
    <w:rsid w:val="00AE305D"/>
    <w:rsid w:val="00AE386C"/>
    <w:rsid w:val="00AE43C8"/>
    <w:rsid w:val="00AE4444"/>
    <w:rsid w:val="00AE4D93"/>
    <w:rsid w:val="00AE4F54"/>
    <w:rsid w:val="00AE5080"/>
    <w:rsid w:val="00AE5CF9"/>
    <w:rsid w:val="00AE5E49"/>
    <w:rsid w:val="00AE605F"/>
    <w:rsid w:val="00AE6ECD"/>
    <w:rsid w:val="00AE6F58"/>
    <w:rsid w:val="00AE72C7"/>
    <w:rsid w:val="00AE7D45"/>
    <w:rsid w:val="00AE7E78"/>
    <w:rsid w:val="00AF0159"/>
    <w:rsid w:val="00AF0F0B"/>
    <w:rsid w:val="00AF17E3"/>
    <w:rsid w:val="00AF22CE"/>
    <w:rsid w:val="00AF24CC"/>
    <w:rsid w:val="00AF3D73"/>
    <w:rsid w:val="00AF42BB"/>
    <w:rsid w:val="00AF42DC"/>
    <w:rsid w:val="00AF4984"/>
    <w:rsid w:val="00AF4F84"/>
    <w:rsid w:val="00AF5173"/>
    <w:rsid w:val="00AF57CF"/>
    <w:rsid w:val="00AF5E91"/>
    <w:rsid w:val="00AF6E41"/>
    <w:rsid w:val="00AF6EA3"/>
    <w:rsid w:val="00AF745F"/>
    <w:rsid w:val="00AF7489"/>
    <w:rsid w:val="00B004A0"/>
    <w:rsid w:val="00B0085A"/>
    <w:rsid w:val="00B008D7"/>
    <w:rsid w:val="00B00B7D"/>
    <w:rsid w:val="00B0111D"/>
    <w:rsid w:val="00B01436"/>
    <w:rsid w:val="00B01FA4"/>
    <w:rsid w:val="00B021A2"/>
    <w:rsid w:val="00B02299"/>
    <w:rsid w:val="00B02B7F"/>
    <w:rsid w:val="00B030B4"/>
    <w:rsid w:val="00B03530"/>
    <w:rsid w:val="00B03DF8"/>
    <w:rsid w:val="00B0488F"/>
    <w:rsid w:val="00B05161"/>
    <w:rsid w:val="00B051E6"/>
    <w:rsid w:val="00B05874"/>
    <w:rsid w:val="00B059B2"/>
    <w:rsid w:val="00B05DFE"/>
    <w:rsid w:val="00B0749D"/>
    <w:rsid w:val="00B10649"/>
    <w:rsid w:val="00B10EE2"/>
    <w:rsid w:val="00B11951"/>
    <w:rsid w:val="00B11D57"/>
    <w:rsid w:val="00B11D5B"/>
    <w:rsid w:val="00B120C2"/>
    <w:rsid w:val="00B1237B"/>
    <w:rsid w:val="00B129F9"/>
    <w:rsid w:val="00B12B20"/>
    <w:rsid w:val="00B12C13"/>
    <w:rsid w:val="00B12F35"/>
    <w:rsid w:val="00B13B49"/>
    <w:rsid w:val="00B142A8"/>
    <w:rsid w:val="00B14FB2"/>
    <w:rsid w:val="00B1523B"/>
    <w:rsid w:val="00B15459"/>
    <w:rsid w:val="00B15678"/>
    <w:rsid w:val="00B158F5"/>
    <w:rsid w:val="00B159C4"/>
    <w:rsid w:val="00B16202"/>
    <w:rsid w:val="00B16375"/>
    <w:rsid w:val="00B163C0"/>
    <w:rsid w:val="00B169D4"/>
    <w:rsid w:val="00B16D1C"/>
    <w:rsid w:val="00B179AF"/>
    <w:rsid w:val="00B17AB3"/>
    <w:rsid w:val="00B17F00"/>
    <w:rsid w:val="00B20CBB"/>
    <w:rsid w:val="00B2162B"/>
    <w:rsid w:val="00B22005"/>
    <w:rsid w:val="00B221FE"/>
    <w:rsid w:val="00B22E13"/>
    <w:rsid w:val="00B2347E"/>
    <w:rsid w:val="00B23818"/>
    <w:rsid w:val="00B2529C"/>
    <w:rsid w:val="00B2583C"/>
    <w:rsid w:val="00B259DF"/>
    <w:rsid w:val="00B25A16"/>
    <w:rsid w:val="00B2604E"/>
    <w:rsid w:val="00B2648B"/>
    <w:rsid w:val="00B26912"/>
    <w:rsid w:val="00B26FA7"/>
    <w:rsid w:val="00B27238"/>
    <w:rsid w:val="00B27BAA"/>
    <w:rsid w:val="00B27E8F"/>
    <w:rsid w:val="00B3182C"/>
    <w:rsid w:val="00B33BF5"/>
    <w:rsid w:val="00B34963"/>
    <w:rsid w:val="00B34B93"/>
    <w:rsid w:val="00B3546F"/>
    <w:rsid w:val="00B35B6E"/>
    <w:rsid w:val="00B3632A"/>
    <w:rsid w:val="00B364BE"/>
    <w:rsid w:val="00B36675"/>
    <w:rsid w:val="00B403F7"/>
    <w:rsid w:val="00B40836"/>
    <w:rsid w:val="00B41937"/>
    <w:rsid w:val="00B420B7"/>
    <w:rsid w:val="00B42628"/>
    <w:rsid w:val="00B4323B"/>
    <w:rsid w:val="00B43305"/>
    <w:rsid w:val="00B43E1C"/>
    <w:rsid w:val="00B4411C"/>
    <w:rsid w:val="00B44B1F"/>
    <w:rsid w:val="00B46089"/>
    <w:rsid w:val="00B462C0"/>
    <w:rsid w:val="00B474A6"/>
    <w:rsid w:val="00B47A82"/>
    <w:rsid w:val="00B50450"/>
    <w:rsid w:val="00B504C3"/>
    <w:rsid w:val="00B50BD6"/>
    <w:rsid w:val="00B50C15"/>
    <w:rsid w:val="00B50D04"/>
    <w:rsid w:val="00B50EB1"/>
    <w:rsid w:val="00B51613"/>
    <w:rsid w:val="00B527E9"/>
    <w:rsid w:val="00B52F6D"/>
    <w:rsid w:val="00B53389"/>
    <w:rsid w:val="00B535BC"/>
    <w:rsid w:val="00B5369F"/>
    <w:rsid w:val="00B53E8D"/>
    <w:rsid w:val="00B547F6"/>
    <w:rsid w:val="00B5486F"/>
    <w:rsid w:val="00B54BE7"/>
    <w:rsid w:val="00B55446"/>
    <w:rsid w:val="00B55530"/>
    <w:rsid w:val="00B56437"/>
    <w:rsid w:val="00B568BE"/>
    <w:rsid w:val="00B56BCD"/>
    <w:rsid w:val="00B5773A"/>
    <w:rsid w:val="00B578FB"/>
    <w:rsid w:val="00B57F3A"/>
    <w:rsid w:val="00B6022F"/>
    <w:rsid w:val="00B60C7B"/>
    <w:rsid w:val="00B62443"/>
    <w:rsid w:val="00B6272A"/>
    <w:rsid w:val="00B6338E"/>
    <w:rsid w:val="00B63AAC"/>
    <w:rsid w:val="00B64141"/>
    <w:rsid w:val="00B648D2"/>
    <w:rsid w:val="00B64E72"/>
    <w:rsid w:val="00B6502D"/>
    <w:rsid w:val="00B65AF2"/>
    <w:rsid w:val="00B667C4"/>
    <w:rsid w:val="00B673DF"/>
    <w:rsid w:val="00B675DF"/>
    <w:rsid w:val="00B67630"/>
    <w:rsid w:val="00B67886"/>
    <w:rsid w:val="00B67DE7"/>
    <w:rsid w:val="00B7185C"/>
    <w:rsid w:val="00B723E6"/>
    <w:rsid w:val="00B72C09"/>
    <w:rsid w:val="00B73193"/>
    <w:rsid w:val="00B73194"/>
    <w:rsid w:val="00B73246"/>
    <w:rsid w:val="00B737F5"/>
    <w:rsid w:val="00B7458C"/>
    <w:rsid w:val="00B75683"/>
    <w:rsid w:val="00B756D0"/>
    <w:rsid w:val="00B75FED"/>
    <w:rsid w:val="00B76523"/>
    <w:rsid w:val="00B76626"/>
    <w:rsid w:val="00B76EBE"/>
    <w:rsid w:val="00B76FAC"/>
    <w:rsid w:val="00B77709"/>
    <w:rsid w:val="00B77913"/>
    <w:rsid w:val="00B800E8"/>
    <w:rsid w:val="00B80A7C"/>
    <w:rsid w:val="00B80CE5"/>
    <w:rsid w:val="00B80E2F"/>
    <w:rsid w:val="00B81263"/>
    <w:rsid w:val="00B81749"/>
    <w:rsid w:val="00B81BC7"/>
    <w:rsid w:val="00B81CA3"/>
    <w:rsid w:val="00B81EDD"/>
    <w:rsid w:val="00B8213A"/>
    <w:rsid w:val="00B823A4"/>
    <w:rsid w:val="00B824FB"/>
    <w:rsid w:val="00B82646"/>
    <w:rsid w:val="00B82756"/>
    <w:rsid w:val="00B83299"/>
    <w:rsid w:val="00B833AC"/>
    <w:rsid w:val="00B83439"/>
    <w:rsid w:val="00B837B1"/>
    <w:rsid w:val="00B850C0"/>
    <w:rsid w:val="00B866AB"/>
    <w:rsid w:val="00B87A44"/>
    <w:rsid w:val="00B87D9D"/>
    <w:rsid w:val="00B90370"/>
    <w:rsid w:val="00B90C82"/>
    <w:rsid w:val="00B916C2"/>
    <w:rsid w:val="00B91E78"/>
    <w:rsid w:val="00B927BD"/>
    <w:rsid w:val="00B92836"/>
    <w:rsid w:val="00B93101"/>
    <w:rsid w:val="00B936A6"/>
    <w:rsid w:val="00B9393E"/>
    <w:rsid w:val="00B940DE"/>
    <w:rsid w:val="00B94900"/>
    <w:rsid w:val="00B94B9F"/>
    <w:rsid w:val="00B95DA2"/>
    <w:rsid w:val="00B966D9"/>
    <w:rsid w:val="00B966DF"/>
    <w:rsid w:val="00B96B1A"/>
    <w:rsid w:val="00B96E42"/>
    <w:rsid w:val="00B96FED"/>
    <w:rsid w:val="00B97359"/>
    <w:rsid w:val="00B97503"/>
    <w:rsid w:val="00B975F2"/>
    <w:rsid w:val="00B97A8F"/>
    <w:rsid w:val="00BA0358"/>
    <w:rsid w:val="00BA1797"/>
    <w:rsid w:val="00BA19A9"/>
    <w:rsid w:val="00BA1C6C"/>
    <w:rsid w:val="00BA2189"/>
    <w:rsid w:val="00BA24C4"/>
    <w:rsid w:val="00BA364D"/>
    <w:rsid w:val="00BA42D3"/>
    <w:rsid w:val="00BA47BE"/>
    <w:rsid w:val="00BA4E58"/>
    <w:rsid w:val="00BA4EF0"/>
    <w:rsid w:val="00BA5151"/>
    <w:rsid w:val="00BA5936"/>
    <w:rsid w:val="00BA5CFC"/>
    <w:rsid w:val="00BA6DC3"/>
    <w:rsid w:val="00BA6F1F"/>
    <w:rsid w:val="00BA7074"/>
    <w:rsid w:val="00BA71B3"/>
    <w:rsid w:val="00BA75C9"/>
    <w:rsid w:val="00BA77DA"/>
    <w:rsid w:val="00BB0EF2"/>
    <w:rsid w:val="00BB0FD4"/>
    <w:rsid w:val="00BB1A11"/>
    <w:rsid w:val="00BB2D75"/>
    <w:rsid w:val="00BB3608"/>
    <w:rsid w:val="00BB3C64"/>
    <w:rsid w:val="00BB427B"/>
    <w:rsid w:val="00BB4954"/>
    <w:rsid w:val="00BB4B03"/>
    <w:rsid w:val="00BB5B6C"/>
    <w:rsid w:val="00BB5EBA"/>
    <w:rsid w:val="00BB7449"/>
    <w:rsid w:val="00BB769F"/>
    <w:rsid w:val="00BB7829"/>
    <w:rsid w:val="00BB7D8D"/>
    <w:rsid w:val="00BC04C4"/>
    <w:rsid w:val="00BC08DA"/>
    <w:rsid w:val="00BC0BF6"/>
    <w:rsid w:val="00BC0E13"/>
    <w:rsid w:val="00BC17D3"/>
    <w:rsid w:val="00BC2049"/>
    <w:rsid w:val="00BC2256"/>
    <w:rsid w:val="00BC26C5"/>
    <w:rsid w:val="00BC27B8"/>
    <w:rsid w:val="00BC2E6B"/>
    <w:rsid w:val="00BC2F53"/>
    <w:rsid w:val="00BC3E1B"/>
    <w:rsid w:val="00BC4D44"/>
    <w:rsid w:val="00BC4DD9"/>
    <w:rsid w:val="00BC4F72"/>
    <w:rsid w:val="00BC6136"/>
    <w:rsid w:val="00BC63F8"/>
    <w:rsid w:val="00BC6749"/>
    <w:rsid w:val="00BC6BD8"/>
    <w:rsid w:val="00BC6DA0"/>
    <w:rsid w:val="00BC739D"/>
    <w:rsid w:val="00BC7468"/>
    <w:rsid w:val="00BC7A60"/>
    <w:rsid w:val="00BC7D78"/>
    <w:rsid w:val="00BD00FC"/>
    <w:rsid w:val="00BD0898"/>
    <w:rsid w:val="00BD0D79"/>
    <w:rsid w:val="00BD1457"/>
    <w:rsid w:val="00BD1941"/>
    <w:rsid w:val="00BD1BDA"/>
    <w:rsid w:val="00BD2314"/>
    <w:rsid w:val="00BD33BA"/>
    <w:rsid w:val="00BD37E5"/>
    <w:rsid w:val="00BD3FCF"/>
    <w:rsid w:val="00BD4E53"/>
    <w:rsid w:val="00BD5750"/>
    <w:rsid w:val="00BD6766"/>
    <w:rsid w:val="00BD6D58"/>
    <w:rsid w:val="00BD7438"/>
    <w:rsid w:val="00BE02F6"/>
    <w:rsid w:val="00BE04F6"/>
    <w:rsid w:val="00BE068A"/>
    <w:rsid w:val="00BE0D0C"/>
    <w:rsid w:val="00BE149A"/>
    <w:rsid w:val="00BE156E"/>
    <w:rsid w:val="00BE15D9"/>
    <w:rsid w:val="00BE1EC2"/>
    <w:rsid w:val="00BE1FBD"/>
    <w:rsid w:val="00BE2AD9"/>
    <w:rsid w:val="00BE32AE"/>
    <w:rsid w:val="00BE36B8"/>
    <w:rsid w:val="00BE3739"/>
    <w:rsid w:val="00BE3773"/>
    <w:rsid w:val="00BE3EE8"/>
    <w:rsid w:val="00BE506A"/>
    <w:rsid w:val="00BE67DC"/>
    <w:rsid w:val="00BE7A2F"/>
    <w:rsid w:val="00BE7A95"/>
    <w:rsid w:val="00BF0E8A"/>
    <w:rsid w:val="00BF23A8"/>
    <w:rsid w:val="00BF27FE"/>
    <w:rsid w:val="00BF3268"/>
    <w:rsid w:val="00BF3671"/>
    <w:rsid w:val="00BF3B2A"/>
    <w:rsid w:val="00BF4258"/>
    <w:rsid w:val="00BF4526"/>
    <w:rsid w:val="00BF4926"/>
    <w:rsid w:val="00BF538F"/>
    <w:rsid w:val="00BF5B1D"/>
    <w:rsid w:val="00BF6455"/>
    <w:rsid w:val="00BF67A8"/>
    <w:rsid w:val="00BF682F"/>
    <w:rsid w:val="00BF6E1C"/>
    <w:rsid w:val="00BF783F"/>
    <w:rsid w:val="00C007AB"/>
    <w:rsid w:val="00C01C72"/>
    <w:rsid w:val="00C025EA"/>
    <w:rsid w:val="00C02A97"/>
    <w:rsid w:val="00C0324D"/>
    <w:rsid w:val="00C03587"/>
    <w:rsid w:val="00C03AC5"/>
    <w:rsid w:val="00C0411E"/>
    <w:rsid w:val="00C043B3"/>
    <w:rsid w:val="00C05D1D"/>
    <w:rsid w:val="00C0696F"/>
    <w:rsid w:val="00C06BDB"/>
    <w:rsid w:val="00C06F2E"/>
    <w:rsid w:val="00C071CE"/>
    <w:rsid w:val="00C079AB"/>
    <w:rsid w:val="00C10E61"/>
    <w:rsid w:val="00C10FE5"/>
    <w:rsid w:val="00C1119D"/>
    <w:rsid w:val="00C11247"/>
    <w:rsid w:val="00C11419"/>
    <w:rsid w:val="00C11485"/>
    <w:rsid w:val="00C1148C"/>
    <w:rsid w:val="00C1179C"/>
    <w:rsid w:val="00C12411"/>
    <w:rsid w:val="00C12610"/>
    <w:rsid w:val="00C126E6"/>
    <w:rsid w:val="00C128FA"/>
    <w:rsid w:val="00C134E3"/>
    <w:rsid w:val="00C13701"/>
    <w:rsid w:val="00C13CD0"/>
    <w:rsid w:val="00C14787"/>
    <w:rsid w:val="00C14A76"/>
    <w:rsid w:val="00C15123"/>
    <w:rsid w:val="00C155A6"/>
    <w:rsid w:val="00C1596D"/>
    <w:rsid w:val="00C15B8D"/>
    <w:rsid w:val="00C15EDF"/>
    <w:rsid w:val="00C17010"/>
    <w:rsid w:val="00C173CC"/>
    <w:rsid w:val="00C20067"/>
    <w:rsid w:val="00C2044B"/>
    <w:rsid w:val="00C20562"/>
    <w:rsid w:val="00C20AD3"/>
    <w:rsid w:val="00C215C3"/>
    <w:rsid w:val="00C2187F"/>
    <w:rsid w:val="00C218DA"/>
    <w:rsid w:val="00C21A18"/>
    <w:rsid w:val="00C21A62"/>
    <w:rsid w:val="00C21AA5"/>
    <w:rsid w:val="00C22671"/>
    <w:rsid w:val="00C22932"/>
    <w:rsid w:val="00C230F3"/>
    <w:rsid w:val="00C2365C"/>
    <w:rsid w:val="00C23985"/>
    <w:rsid w:val="00C23A96"/>
    <w:rsid w:val="00C23E7B"/>
    <w:rsid w:val="00C24033"/>
    <w:rsid w:val="00C24897"/>
    <w:rsid w:val="00C249C6"/>
    <w:rsid w:val="00C24CDA"/>
    <w:rsid w:val="00C254C8"/>
    <w:rsid w:val="00C2574F"/>
    <w:rsid w:val="00C25AC9"/>
    <w:rsid w:val="00C25DFE"/>
    <w:rsid w:val="00C262D0"/>
    <w:rsid w:val="00C27260"/>
    <w:rsid w:val="00C310F2"/>
    <w:rsid w:val="00C311EC"/>
    <w:rsid w:val="00C31542"/>
    <w:rsid w:val="00C321F3"/>
    <w:rsid w:val="00C32399"/>
    <w:rsid w:val="00C329D6"/>
    <w:rsid w:val="00C32C35"/>
    <w:rsid w:val="00C32CC1"/>
    <w:rsid w:val="00C3399E"/>
    <w:rsid w:val="00C3588D"/>
    <w:rsid w:val="00C358B5"/>
    <w:rsid w:val="00C3592C"/>
    <w:rsid w:val="00C35AC9"/>
    <w:rsid w:val="00C35D86"/>
    <w:rsid w:val="00C36FAC"/>
    <w:rsid w:val="00C375A4"/>
    <w:rsid w:val="00C4052A"/>
    <w:rsid w:val="00C40B3F"/>
    <w:rsid w:val="00C40E7B"/>
    <w:rsid w:val="00C414EA"/>
    <w:rsid w:val="00C4179B"/>
    <w:rsid w:val="00C41CCF"/>
    <w:rsid w:val="00C41E7C"/>
    <w:rsid w:val="00C420D7"/>
    <w:rsid w:val="00C42182"/>
    <w:rsid w:val="00C42677"/>
    <w:rsid w:val="00C426EC"/>
    <w:rsid w:val="00C42C0D"/>
    <w:rsid w:val="00C42CED"/>
    <w:rsid w:val="00C43579"/>
    <w:rsid w:val="00C43843"/>
    <w:rsid w:val="00C44510"/>
    <w:rsid w:val="00C4474C"/>
    <w:rsid w:val="00C44DA5"/>
    <w:rsid w:val="00C453A5"/>
    <w:rsid w:val="00C45C8A"/>
    <w:rsid w:val="00C46410"/>
    <w:rsid w:val="00C46449"/>
    <w:rsid w:val="00C46A74"/>
    <w:rsid w:val="00C46F2A"/>
    <w:rsid w:val="00C475D4"/>
    <w:rsid w:val="00C47BDD"/>
    <w:rsid w:val="00C50448"/>
    <w:rsid w:val="00C507E9"/>
    <w:rsid w:val="00C50A1D"/>
    <w:rsid w:val="00C51190"/>
    <w:rsid w:val="00C51323"/>
    <w:rsid w:val="00C51366"/>
    <w:rsid w:val="00C515BF"/>
    <w:rsid w:val="00C52624"/>
    <w:rsid w:val="00C53269"/>
    <w:rsid w:val="00C53895"/>
    <w:rsid w:val="00C53B86"/>
    <w:rsid w:val="00C53F93"/>
    <w:rsid w:val="00C53FF7"/>
    <w:rsid w:val="00C5437B"/>
    <w:rsid w:val="00C5442D"/>
    <w:rsid w:val="00C54508"/>
    <w:rsid w:val="00C54908"/>
    <w:rsid w:val="00C54AC0"/>
    <w:rsid w:val="00C54FE4"/>
    <w:rsid w:val="00C557F4"/>
    <w:rsid w:val="00C55F83"/>
    <w:rsid w:val="00C567AB"/>
    <w:rsid w:val="00C575F2"/>
    <w:rsid w:val="00C57ABE"/>
    <w:rsid w:val="00C60299"/>
    <w:rsid w:val="00C607A3"/>
    <w:rsid w:val="00C60EDE"/>
    <w:rsid w:val="00C61305"/>
    <w:rsid w:val="00C615C9"/>
    <w:rsid w:val="00C61BB8"/>
    <w:rsid w:val="00C63C7E"/>
    <w:rsid w:val="00C64157"/>
    <w:rsid w:val="00C6483C"/>
    <w:rsid w:val="00C64AE9"/>
    <w:rsid w:val="00C652E2"/>
    <w:rsid w:val="00C655CA"/>
    <w:rsid w:val="00C65E5D"/>
    <w:rsid w:val="00C6617F"/>
    <w:rsid w:val="00C6632F"/>
    <w:rsid w:val="00C66D3D"/>
    <w:rsid w:val="00C67108"/>
    <w:rsid w:val="00C6734E"/>
    <w:rsid w:val="00C67755"/>
    <w:rsid w:val="00C67871"/>
    <w:rsid w:val="00C703CB"/>
    <w:rsid w:val="00C7042B"/>
    <w:rsid w:val="00C704FE"/>
    <w:rsid w:val="00C70CFF"/>
    <w:rsid w:val="00C71031"/>
    <w:rsid w:val="00C71436"/>
    <w:rsid w:val="00C71829"/>
    <w:rsid w:val="00C718FE"/>
    <w:rsid w:val="00C72C41"/>
    <w:rsid w:val="00C73205"/>
    <w:rsid w:val="00C74FA2"/>
    <w:rsid w:val="00C74FAD"/>
    <w:rsid w:val="00C7547A"/>
    <w:rsid w:val="00C75B98"/>
    <w:rsid w:val="00C75CFB"/>
    <w:rsid w:val="00C7639F"/>
    <w:rsid w:val="00C7656F"/>
    <w:rsid w:val="00C77307"/>
    <w:rsid w:val="00C7777B"/>
    <w:rsid w:val="00C801D3"/>
    <w:rsid w:val="00C8068E"/>
    <w:rsid w:val="00C81C71"/>
    <w:rsid w:val="00C81DEC"/>
    <w:rsid w:val="00C81FEE"/>
    <w:rsid w:val="00C82198"/>
    <w:rsid w:val="00C8260B"/>
    <w:rsid w:val="00C82651"/>
    <w:rsid w:val="00C82A31"/>
    <w:rsid w:val="00C82B91"/>
    <w:rsid w:val="00C82E4F"/>
    <w:rsid w:val="00C83A7D"/>
    <w:rsid w:val="00C83AB4"/>
    <w:rsid w:val="00C83C12"/>
    <w:rsid w:val="00C84166"/>
    <w:rsid w:val="00C8482B"/>
    <w:rsid w:val="00C84F52"/>
    <w:rsid w:val="00C8692D"/>
    <w:rsid w:val="00C86998"/>
    <w:rsid w:val="00C86C26"/>
    <w:rsid w:val="00C8701E"/>
    <w:rsid w:val="00C8773D"/>
    <w:rsid w:val="00C87ABB"/>
    <w:rsid w:val="00C903FF"/>
    <w:rsid w:val="00C91701"/>
    <w:rsid w:val="00C91831"/>
    <w:rsid w:val="00C92A69"/>
    <w:rsid w:val="00C93148"/>
    <w:rsid w:val="00C93D2D"/>
    <w:rsid w:val="00C94387"/>
    <w:rsid w:val="00C947A5"/>
    <w:rsid w:val="00C94852"/>
    <w:rsid w:val="00C95081"/>
    <w:rsid w:val="00C95169"/>
    <w:rsid w:val="00C95271"/>
    <w:rsid w:val="00C953DF"/>
    <w:rsid w:val="00C9599A"/>
    <w:rsid w:val="00C95D4C"/>
    <w:rsid w:val="00C95DC8"/>
    <w:rsid w:val="00C95FB2"/>
    <w:rsid w:val="00C96713"/>
    <w:rsid w:val="00C967B0"/>
    <w:rsid w:val="00C96A08"/>
    <w:rsid w:val="00C96C9B"/>
    <w:rsid w:val="00CA0714"/>
    <w:rsid w:val="00CA1001"/>
    <w:rsid w:val="00CA1560"/>
    <w:rsid w:val="00CA1D83"/>
    <w:rsid w:val="00CA2196"/>
    <w:rsid w:val="00CA4D07"/>
    <w:rsid w:val="00CA70F7"/>
    <w:rsid w:val="00CA7B44"/>
    <w:rsid w:val="00CA7FB1"/>
    <w:rsid w:val="00CB06DB"/>
    <w:rsid w:val="00CB071D"/>
    <w:rsid w:val="00CB0989"/>
    <w:rsid w:val="00CB0B83"/>
    <w:rsid w:val="00CB0F51"/>
    <w:rsid w:val="00CB146A"/>
    <w:rsid w:val="00CB1591"/>
    <w:rsid w:val="00CB1DBA"/>
    <w:rsid w:val="00CB316B"/>
    <w:rsid w:val="00CB31F1"/>
    <w:rsid w:val="00CB3555"/>
    <w:rsid w:val="00CB3D43"/>
    <w:rsid w:val="00CB4F6F"/>
    <w:rsid w:val="00CB50BB"/>
    <w:rsid w:val="00CB51CE"/>
    <w:rsid w:val="00CB545B"/>
    <w:rsid w:val="00CB5611"/>
    <w:rsid w:val="00CB6369"/>
    <w:rsid w:val="00CB690D"/>
    <w:rsid w:val="00CB7174"/>
    <w:rsid w:val="00CB7598"/>
    <w:rsid w:val="00CB7E5A"/>
    <w:rsid w:val="00CC01CD"/>
    <w:rsid w:val="00CC1526"/>
    <w:rsid w:val="00CC1834"/>
    <w:rsid w:val="00CC2FE9"/>
    <w:rsid w:val="00CC35C5"/>
    <w:rsid w:val="00CC3C63"/>
    <w:rsid w:val="00CC4AAB"/>
    <w:rsid w:val="00CC4B0A"/>
    <w:rsid w:val="00CC555C"/>
    <w:rsid w:val="00CC55AE"/>
    <w:rsid w:val="00CC5F97"/>
    <w:rsid w:val="00CC6140"/>
    <w:rsid w:val="00CC6FA4"/>
    <w:rsid w:val="00CC7670"/>
    <w:rsid w:val="00CC7BDA"/>
    <w:rsid w:val="00CC7C5A"/>
    <w:rsid w:val="00CD0133"/>
    <w:rsid w:val="00CD02C8"/>
    <w:rsid w:val="00CD1A27"/>
    <w:rsid w:val="00CD1B25"/>
    <w:rsid w:val="00CD225E"/>
    <w:rsid w:val="00CD2428"/>
    <w:rsid w:val="00CD36E6"/>
    <w:rsid w:val="00CD48E3"/>
    <w:rsid w:val="00CD49C1"/>
    <w:rsid w:val="00CD4D03"/>
    <w:rsid w:val="00CD5244"/>
    <w:rsid w:val="00CD6BD9"/>
    <w:rsid w:val="00CD7117"/>
    <w:rsid w:val="00CD7882"/>
    <w:rsid w:val="00CE0E2B"/>
    <w:rsid w:val="00CE14FB"/>
    <w:rsid w:val="00CE1EF0"/>
    <w:rsid w:val="00CE203A"/>
    <w:rsid w:val="00CE2709"/>
    <w:rsid w:val="00CE2D64"/>
    <w:rsid w:val="00CE3543"/>
    <w:rsid w:val="00CE592C"/>
    <w:rsid w:val="00CE6198"/>
    <w:rsid w:val="00CE6C04"/>
    <w:rsid w:val="00CE7365"/>
    <w:rsid w:val="00CF06BA"/>
    <w:rsid w:val="00CF140D"/>
    <w:rsid w:val="00CF15D0"/>
    <w:rsid w:val="00CF22DB"/>
    <w:rsid w:val="00CF28A8"/>
    <w:rsid w:val="00CF2FBA"/>
    <w:rsid w:val="00CF314E"/>
    <w:rsid w:val="00CF3F57"/>
    <w:rsid w:val="00CF475D"/>
    <w:rsid w:val="00CF4C6A"/>
    <w:rsid w:val="00CF52F9"/>
    <w:rsid w:val="00CF5575"/>
    <w:rsid w:val="00CF5689"/>
    <w:rsid w:val="00CF6230"/>
    <w:rsid w:val="00CF6278"/>
    <w:rsid w:val="00CF6744"/>
    <w:rsid w:val="00CF6D3A"/>
    <w:rsid w:val="00CF7AA1"/>
    <w:rsid w:val="00CF7DBC"/>
    <w:rsid w:val="00D01061"/>
    <w:rsid w:val="00D01129"/>
    <w:rsid w:val="00D0173F"/>
    <w:rsid w:val="00D017FC"/>
    <w:rsid w:val="00D01D84"/>
    <w:rsid w:val="00D02120"/>
    <w:rsid w:val="00D0226A"/>
    <w:rsid w:val="00D02582"/>
    <w:rsid w:val="00D02976"/>
    <w:rsid w:val="00D02AFE"/>
    <w:rsid w:val="00D0366C"/>
    <w:rsid w:val="00D04D5C"/>
    <w:rsid w:val="00D050C3"/>
    <w:rsid w:val="00D05112"/>
    <w:rsid w:val="00D05409"/>
    <w:rsid w:val="00D058E5"/>
    <w:rsid w:val="00D05A12"/>
    <w:rsid w:val="00D06388"/>
    <w:rsid w:val="00D063D6"/>
    <w:rsid w:val="00D073BF"/>
    <w:rsid w:val="00D075F1"/>
    <w:rsid w:val="00D075F9"/>
    <w:rsid w:val="00D07917"/>
    <w:rsid w:val="00D07E25"/>
    <w:rsid w:val="00D105DE"/>
    <w:rsid w:val="00D10824"/>
    <w:rsid w:val="00D10C42"/>
    <w:rsid w:val="00D10F9B"/>
    <w:rsid w:val="00D11780"/>
    <w:rsid w:val="00D1256B"/>
    <w:rsid w:val="00D125FD"/>
    <w:rsid w:val="00D13147"/>
    <w:rsid w:val="00D13629"/>
    <w:rsid w:val="00D14A7B"/>
    <w:rsid w:val="00D14E8D"/>
    <w:rsid w:val="00D15D47"/>
    <w:rsid w:val="00D162FF"/>
    <w:rsid w:val="00D166B0"/>
    <w:rsid w:val="00D170E8"/>
    <w:rsid w:val="00D171E4"/>
    <w:rsid w:val="00D17962"/>
    <w:rsid w:val="00D17B95"/>
    <w:rsid w:val="00D20688"/>
    <w:rsid w:val="00D21515"/>
    <w:rsid w:val="00D21998"/>
    <w:rsid w:val="00D21E90"/>
    <w:rsid w:val="00D21EE4"/>
    <w:rsid w:val="00D2242E"/>
    <w:rsid w:val="00D22608"/>
    <w:rsid w:val="00D22BEA"/>
    <w:rsid w:val="00D22D4F"/>
    <w:rsid w:val="00D22E9F"/>
    <w:rsid w:val="00D22F04"/>
    <w:rsid w:val="00D22F58"/>
    <w:rsid w:val="00D2334E"/>
    <w:rsid w:val="00D236D9"/>
    <w:rsid w:val="00D23B38"/>
    <w:rsid w:val="00D251CE"/>
    <w:rsid w:val="00D26077"/>
    <w:rsid w:val="00D26F47"/>
    <w:rsid w:val="00D26F86"/>
    <w:rsid w:val="00D270CB"/>
    <w:rsid w:val="00D27128"/>
    <w:rsid w:val="00D271CB"/>
    <w:rsid w:val="00D278D4"/>
    <w:rsid w:val="00D31597"/>
    <w:rsid w:val="00D319CB"/>
    <w:rsid w:val="00D32587"/>
    <w:rsid w:val="00D326B2"/>
    <w:rsid w:val="00D327FC"/>
    <w:rsid w:val="00D32B76"/>
    <w:rsid w:val="00D33223"/>
    <w:rsid w:val="00D33693"/>
    <w:rsid w:val="00D340F4"/>
    <w:rsid w:val="00D34934"/>
    <w:rsid w:val="00D349BA"/>
    <w:rsid w:val="00D34B3D"/>
    <w:rsid w:val="00D34D64"/>
    <w:rsid w:val="00D351D1"/>
    <w:rsid w:val="00D3545B"/>
    <w:rsid w:val="00D35BC0"/>
    <w:rsid w:val="00D35FA3"/>
    <w:rsid w:val="00D36242"/>
    <w:rsid w:val="00D363F1"/>
    <w:rsid w:val="00D36545"/>
    <w:rsid w:val="00D370AC"/>
    <w:rsid w:val="00D378BF"/>
    <w:rsid w:val="00D409EE"/>
    <w:rsid w:val="00D4111C"/>
    <w:rsid w:val="00D41B35"/>
    <w:rsid w:val="00D433CF"/>
    <w:rsid w:val="00D43A74"/>
    <w:rsid w:val="00D442FE"/>
    <w:rsid w:val="00D4670D"/>
    <w:rsid w:val="00D500C4"/>
    <w:rsid w:val="00D50189"/>
    <w:rsid w:val="00D50754"/>
    <w:rsid w:val="00D50D40"/>
    <w:rsid w:val="00D51257"/>
    <w:rsid w:val="00D51C51"/>
    <w:rsid w:val="00D52D7A"/>
    <w:rsid w:val="00D531E9"/>
    <w:rsid w:val="00D53952"/>
    <w:rsid w:val="00D53E96"/>
    <w:rsid w:val="00D541F3"/>
    <w:rsid w:val="00D549C5"/>
    <w:rsid w:val="00D54F43"/>
    <w:rsid w:val="00D551A0"/>
    <w:rsid w:val="00D557FD"/>
    <w:rsid w:val="00D55878"/>
    <w:rsid w:val="00D55A65"/>
    <w:rsid w:val="00D5715A"/>
    <w:rsid w:val="00D575DB"/>
    <w:rsid w:val="00D577A3"/>
    <w:rsid w:val="00D57E10"/>
    <w:rsid w:val="00D6037A"/>
    <w:rsid w:val="00D60561"/>
    <w:rsid w:val="00D60F08"/>
    <w:rsid w:val="00D6109E"/>
    <w:rsid w:val="00D62C84"/>
    <w:rsid w:val="00D62E60"/>
    <w:rsid w:val="00D63DBD"/>
    <w:rsid w:val="00D66B47"/>
    <w:rsid w:val="00D66DCF"/>
    <w:rsid w:val="00D670D1"/>
    <w:rsid w:val="00D6721E"/>
    <w:rsid w:val="00D6774E"/>
    <w:rsid w:val="00D70A86"/>
    <w:rsid w:val="00D71687"/>
    <w:rsid w:val="00D7258A"/>
    <w:rsid w:val="00D74192"/>
    <w:rsid w:val="00D74605"/>
    <w:rsid w:val="00D74813"/>
    <w:rsid w:val="00D74C11"/>
    <w:rsid w:val="00D74C47"/>
    <w:rsid w:val="00D757CE"/>
    <w:rsid w:val="00D75FF7"/>
    <w:rsid w:val="00D76391"/>
    <w:rsid w:val="00D77347"/>
    <w:rsid w:val="00D7786F"/>
    <w:rsid w:val="00D8008E"/>
    <w:rsid w:val="00D80DFB"/>
    <w:rsid w:val="00D817BA"/>
    <w:rsid w:val="00D821D2"/>
    <w:rsid w:val="00D82A73"/>
    <w:rsid w:val="00D84ED4"/>
    <w:rsid w:val="00D856D0"/>
    <w:rsid w:val="00D8591A"/>
    <w:rsid w:val="00D85D26"/>
    <w:rsid w:val="00D863E2"/>
    <w:rsid w:val="00D86597"/>
    <w:rsid w:val="00D86822"/>
    <w:rsid w:val="00D86D52"/>
    <w:rsid w:val="00D86E79"/>
    <w:rsid w:val="00D879C6"/>
    <w:rsid w:val="00D87A44"/>
    <w:rsid w:val="00D87DAB"/>
    <w:rsid w:val="00D9056C"/>
    <w:rsid w:val="00D90846"/>
    <w:rsid w:val="00D90C3D"/>
    <w:rsid w:val="00D90F67"/>
    <w:rsid w:val="00D90FB3"/>
    <w:rsid w:val="00D9144D"/>
    <w:rsid w:val="00D91F1F"/>
    <w:rsid w:val="00D92519"/>
    <w:rsid w:val="00D92B3B"/>
    <w:rsid w:val="00D93542"/>
    <w:rsid w:val="00D9361D"/>
    <w:rsid w:val="00D9368C"/>
    <w:rsid w:val="00D93FAF"/>
    <w:rsid w:val="00D950FB"/>
    <w:rsid w:val="00D95393"/>
    <w:rsid w:val="00D9548D"/>
    <w:rsid w:val="00D974EC"/>
    <w:rsid w:val="00D97AEB"/>
    <w:rsid w:val="00D97B3E"/>
    <w:rsid w:val="00D97DE9"/>
    <w:rsid w:val="00DA0116"/>
    <w:rsid w:val="00DA0136"/>
    <w:rsid w:val="00DA2074"/>
    <w:rsid w:val="00DA2081"/>
    <w:rsid w:val="00DA2869"/>
    <w:rsid w:val="00DA30BC"/>
    <w:rsid w:val="00DA31E9"/>
    <w:rsid w:val="00DA36F9"/>
    <w:rsid w:val="00DA38C8"/>
    <w:rsid w:val="00DA3A5C"/>
    <w:rsid w:val="00DA3EE8"/>
    <w:rsid w:val="00DA40BD"/>
    <w:rsid w:val="00DA4E31"/>
    <w:rsid w:val="00DA567E"/>
    <w:rsid w:val="00DA5B67"/>
    <w:rsid w:val="00DA5C91"/>
    <w:rsid w:val="00DA5CE0"/>
    <w:rsid w:val="00DA61CE"/>
    <w:rsid w:val="00DA689D"/>
    <w:rsid w:val="00DA69C2"/>
    <w:rsid w:val="00DA6C3C"/>
    <w:rsid w:val="00DA6D70"/>
    <w:rsid w:val="00DA6F06"/>
    <w:rsid w:val="00DB01AE"/>
    <w:rsid w:val="00DB080B"/>
    <w:rsid w:val="00DB08FA"/>
    <w:rsid w:val="00DB0BB2"/>
    <w:rsid w:val="00DB0E66"/>
    <w:rsid w:val="00DB1065"/>
    <w:rsid w:val="00DB16CB"/>
    <w:rsid w:val="00DB2C01"/>
    <w:rsid w:val="00DB2F0A"/>
    <w:rsid w:val="00DB3162"/>
    <w:rsid w:val="00DB3FF4"/>
    <w:rsid w:val="00DB440A"/>
    <w:rsid w:val="00DB4CA5"/>
    <w:rsid w:val="00DB4CFF"/>
    <w:rsid w:val="00DB5345"/>
    <w:rsid w:val="00DB57B9"/>
    <w:rsid w:val="00DB57FD"/>
    <w:rsid w:val="00DB6050"/>
    <w:rsid w:val="00DB784F"/>
    <w:rsid w:val="00DB7A62"/>
    <w:rsid w:val="00DB7B4D"/>
    <w:rsid w:val="00DC05A1"/>
    <w:rsid w:val="00DC0A98"/>
    <w:rsid w:val="00DC0B15"/>
    <w:rsid w:val="00DC0E3F"/>
    <w:rsid w:val="00DC21DE"/>
    <w:rsid w:val="00DC26D9"/>
    <w:rsid w:val="00DC2C34"/>
    <w:rsid w:val="00DC3FAF"/>
    <w:rsid w:val="00DC4909"/>
    <w:rsid w:val="00DC5B13"/>
    <w:rsid w:val="00DC6166"/>
    <w:rsid w:val="00DC6644"/>
    <w:rsid w:val="00DC6832"/>
    <w:rsid w:val="00DC6CB1"/>
    <w:rsid w:val="00DC77D5"/>
    <w:rsid w:val="00DC7C71"/>
    <w:rsid w:val="00DD0600"/>
    <w:rsid w:val="00DD0865"/>
    <w:rsid w:val="00DD0C65"/>
    <w:rsid w:val="00DD1D8C"/>
    <w:rsid w:val="00DD210E"/>
    <w:rsid w:val="00DD2143"/>
    <w:rsid w:val="00DD223C"/>
    <w:rsid w:val="00DD3560"/>
    <w:rsid w:val="00DD3989"/>
    <w:rsid w:val="00DD4D65"/>
    <w:rsid w:val="00DD5252"/>
    <w:rsid w:val="00DD5692"/>
    <w:rsid w:val="00DD5D35"/>
    <w:rsid w:val="00DD5FF6"/>
    <w:rsid w:val="00DD63FB"/>
    <w:rsid w:val="00DD6EF0"/>
    <w:rsid w:val="00DD7C9F"/>
    <w:rsid w:val="00DD7D85"/>
    <w:rsid w:val="00DE0E5F"/>
    <w:rsid w:val="00DE137E"/>
    <w:rsid w:val="00DE1E4D"/>
    <w:rsid w:val="00DE2C87"/>
    <w:rsid w:val="00DE341D"/>
    <w:rsid w:val="00DE35EA"/>
    <w:rsid w:val="00DE360D"/>
    <w:rsid w:val="00DE388B"/>
    <w:rsid w:val="00DE3AC5"/>
    <w:rsid w:val="00DE459A"/>
    <w:rsid w:val="00DE582A"/>
    <w:rsid w:val="00DE5A78"/>
    <w:rsid w:val="00DE6ADA"/>
    <w:rsid w:val="00DE7487"/>
    <w:rsid w:val="00DF02C9"/>
    <w:rsid w:val="00DF082B"/>
    <w:rsid w:val="00DF1291"/>
    <w:rsid w:val="00DF14A9"/>
    <w:rsid w:val="00DF1A3F"/>
    <w:rsid w:val="00DF1C4B"/>
    <w:rsid w:val="00DF1CCF"/>
    <w:rsid w:val="00DF2018"/>
    <w:rsid w:val="00DF20DC"/>
    <w:rsid w:val="00DF27DA"/>
    <w:rsid w:val="00DF29ED"/>
    <w:rsid w:val="00DF2CAA"/>
    <w:rsid w:val="00DF45B7"/>
    <w:rsid w:val="00DF4DA5"/>
    <w:rsid w:val="00DF4DBE"/>
    <w:rsid w:val="00DF52DF"/>
    <w:rsid w:val="00DF54E5"/>
    <w:rsid w:val="00DF5528"/>
    <w:rsid w:val="00DF5930"/>
    <w:rsid w:val="00DF6CBE"/>
    <w:rsid w:val="00DF6CC8"/>
    <w:rsid w:val="00E00457"/>
    <w:rsid w:val="00E00A5F"/>
    <w:rsid w:val="00E01506"/>
    <w:rsid w:val="00E02160"/>
    <w:rsid w:val="00E021AE"/>
    <w:rsid w:val="00E02283"/>
    <w:rsid w:val="00E028F3"/>
    <w:rsid w:val="00E02C0D"/>
    <w:rsid w:val="00E02D4F"/>
    <w:rsid w:val="00E03B37"/>
    <w:rsid w:val="00E03D87"/>
    <w:rsid w:val="00E05041"/>
    <w:rsid w:val="00E056CB"/>
    <w:rsid w:val="00E057A1"/>
    <w:rsid w:val="00E0678B"/>
    <w:rsid w:val="00E0689E"/>
    <w:rsid w:val="00E06B00"/>
    <w:rsid w:val="00E110A4"/>
    <w:rsid w:val="00E11183"/>
    <w:rsid w:val="00E1179C"/>
    <w:rsid w:val="00E11B4A"/>
    <w:rsid w:val="00E11E98"/>
    <w:rsid w:val="00E120B8"/>
    <w:rsid w:val="00E12831"/>
    <w:rsid w:val="00E12838"/>
    <w:rsid w:val="00E12DDE"/>
    <w:rsid w:val="00E12E30"/>
    <w:rsid w:val="00E1367F"/>
    <w:rsid w:val="00E137F4"/>
    <w:rsid w:val="00E1414C"/>
    <w:rsid w:val="00E14388"/>
    <w:rsid w:val="00E14AB5"/>
    <w:rsid w:val="00E14C31"/>
    <w:rsid w:val="00E1547A"/>
    <w:rsid w:val="00E155F5"/>
    <w:rsid w:val="00E157E2"/>
    <w:rsid w:val="00E15A1A"/>
    <w:rsid w:val="00E176F5"/>
    <w:rsid w:val="00E17992"/>
    <w:rsid w:val="00E2040D"/>
    <w:rsid w:val="00E218F5"/>
    <w:rsid w:val="00E21CB4"/>
    <w:rsid w:val="00E2222A"/>
    <w:rsid w:val="00E22363"/>
    <w:rsid w:val="00E22998"/>
    <w:rsid w:val="00E22FB7"/>
    <w:rsid w:val="00E23027"/>
    <w:rsid w:val="00E2306F"/>
    <w:rsid w:val="00E23F98"/>
    <w:rsid w:val="00E24AF0"/>
    <w:rsid w:val="00E257A2"/>
    <w:rsid w:val="00E27345"/>
    <w:rsid w:val="00E27948"/>
    <w:rsid w:val="00E2796C"/>
    <w:rsid w:val="00E27F4F"/>
    <w:rsid w:val="00E3070D"/>
    <w:rsid w:val="00E30C84"/>
    <w:rsid w:val="00E317BD"/>
    <w:rsid w:val="00E3214E"/>
    <w:rsid w:val="00E321A1"/>
    <w:rsid w:val="00E32422"/>
    <w:rsid w:val="00E327F2"/>
    <w:rsid w:val="00E32C29"/>
    <w:rsid w:val="00E32FCB"/>
    <w:rsid w:val="00E330B2"/>
    <w:rsid w:val="00E33EBB"/>
    <w:rsid w:val="00E352DF"/>
    <w:rsid w:val="00E35852"/>
    <w:rsid w:val="00E36067"/>
    <w:rsid w:val="00E3630A"/>
    <w:rsid w:val="00E36ECC"/>
    <w:rsid w:val="00E3708F"/>
    <w:rsid w:val="00E40290"/>
    <w:rsid w:val="00E40450"/>
    <w:rsid w:val="00E405EE"/>
    <w:rsid w:val="00E40820"/>
    <w:rsid w:val="00E40A1D"/>
    <w:rsid w:val="00E41165"/>
    <w:rsid w:val="00E4172F"/>
    <w:rsid w:val="00E425F4"/>
    <w:rsid w:val="00E44898"/>
    <w:rsid w:val="00E44C07"/>
    <w:rsid w:val="00E45239"/>
    <w:rsid w:val="00E45663"/>
    <w:rsid w:val="00E45797"/>
    <w:rsid w:val="00E45B63"/>
    <w:rsid w:val="00E45C68"/>
    <w:rsid w:val="00E4636E"/>
    <w:rsid w:val="00E4658F"/>
    <w:rsid w:val="00E46D01"/>
    <w:rsid w:val="00E47259"/>
    <w:rsid w:val="00E47304"/>
    <w:rsid w:val="00E4760B"/>
    <w:rsid w:val="00E4788D"/>
    <w:rsid w:val="00E51231"/>
    <w:rsid w:val="00E51252"/>
    <w:rsid w:val="00E517AC"/>
    <w:rsid w:val="00E51AA1"/>
    <w:rsid w:val="00E51C8B"/>
    <w:rsid w:val="00E54649"/>
    <w:rsid w:val="00E54A67"/>
    <w:rsid w:val="00E553E0"/>
    <w:rsid w:val="00E55B98"/>
    <w:rsid w:val="00E564AA"/>
    <w:rsid w:val="00E56FED"/>
    <w:rsid w:val="00E573CC"/>
    <w:rsid w:val="00E57D2E"/>
    <w:rsid w:val="00E57DB9"/>
    <w:rsid w:val="00E6034A"/>
    <w:rsid w:val="00E6192B"/>
    <w:rsid w:val="00E61C0D"/>
    <w:rsid w:val="00E624CE"/>
    <w:rsid w:val="00E627BD"/>
    <w:rsid w:val="00E62B3F"/>
    <w:rsid w:val="00E6342A"/>
    <w:rsid w:val="00E63EB4"/>
    <w:rsid w:val="00E64540"/>
    <w:rsid w:val="00E64912"/>
    <w:rsid w:val="00E65893"/>
    <w:rsid w:val="00E66160"/>
    <w:rsid w:val="00E66627"/>
    <w:rsid w:val="00E66C57"/>
    <w:rsid w:val="00E67022"/>
    <w:rsid w:val="00E675C6"/>
    <w:rsid w:val="00E67EBF"/>
    <w:rsid w:val="00E70192"/>
    <w:rsid w:val="00E7028A"/>
    <w:rsid w:val="00E7067E"/>
    <w:rsid w:val="00E70956"/>
    <w:rsid w:val="00E71329"/>
    <w:rsid w:val="00E714FE"/>
    <w:rsid w:val="00E7177A"/>
    <w:rsid w:val="00E71962"/>
    <w:rsid w:val="00E71CB9"/>
    <w:rsid w:val="00E72742"/>
    <w:rsid w:val="00E72B55"/>
    <w:rsid w:val="00E72F88"/>
    <w:rsid w:val="00E73F8A"/>
    <w:rsid w:val="00E74301"/>
    <w:rsid w:val="00E74B04"/>
    <w:rsid w:val="00E74F6A"/>
    <w:rsid w:val="00E76434"/>
    <w:rsid w:val="00E76526"/>
    <w:rsid w:val="00E7691D"/>
    <w:rsid w:val="00E76F14"/>
    <w:rsid w:val="00E76F78"/>
    <w:rsid w:val="00E77535"/>
    <w:rsid w:val="00E77B73"/>
    <w:rsid w:val="00E80273"/>
    <w:rsid w:val="00E82F92"/>
    <w:rsid w:val="00E833CF"/>
    <w:rsid w:val="00E8363B"/>
    <w:rsid w:val="00E84329"/>
    <w:rsid w:val="00E8456C"/>
    <w:rsid w:val="00E84966"/>
    <w:rsid w:val="00E8614B"/>
    <w:rsid w:val="00E86FE6"/>
    <w:rsid w:val="00E87952"/>
    <w:rsid w:val="00E87B47"/>
    <w:rsid w:val="00E90780"/>
    <w:rsid w:val="00E91804"/>
    <w:rsid w:val="00E919ED"/>
    <w:rsid w:val="00E91C71"/>
    <w:rsid w:val="00E92383"/>
    <w:rsid w:val="00E927EF"/>
    <w:rsid w:val="00E92AC6"/>
    <w:rsid w:val="00E92FD7"/>
    <w:rsid w:val="00E9389E"/>
    <w:rsid w:val="00E9478D"/>
    <w:rsid w:val="00E96168"/>
    <w:rsid w:val="00E967F2"/>
    <w:rsid w:val="00E970CA"/>
    <w:rsid w:val="00E970EA"/>
    <w:rsid w:val="00E97736"/>
    <w:rsid w:val="00E979E9"/>
    <w:rsid w:val="00E97A00"/>
    <w:rsid w:val="00E97F3F"/>
    <w:rsid w:val="00EA047F"/>
    <w:rsid w:val="00EA04B0"/>
    <w:rsid w:val="00EA0882"/>
    <w:rsid w:val="00EA08DA"/>
    <w:rsid w:val="00EA0F4F"/>
    <w:rsid w:val="00EA1B3A"/>
    <w:rsid w:val="00EA1C37"/>
    <w:rsid w:val="00EA1E2D"/>
    <w:rsid w:val="00EA2109"/>
    <w:rsid w:val="00EA2ACB"/>
    <w:rsid w:val="00EA3064"/>
    <w:rsid w:val="00EA3979"/>
    <w:rsid w:val="00EA4902"/>
    <w:rsid w:val="00EA4FB0"/>
    <w:rsid w:val="00EA5A94"/>
    <w:rsid w:val="00EA65CC"/>
    <w:rsid w:val="00EA7151"/>
    <w:rsid w:val="00EA73C6"/>
    <w:rsid w:val="00EA77A3"/>
    <w:rsid w:val="00EA7FD2"/>
    <w:rsid w:val="00EB0084"/>
    <w:rsid w:val="00EB0086"/>
    <w:rsid w:val="00EB05D9"/>
    <w:rsid w:val="00EB175F"/>
    <w:rsid w:val="00EB1BF2"/>
    <w:rsid w:val="00EB1E68"/>
    <w:rsid w:val="00EB21C0"/>
    <w:rsid w:val="00EB2355"/>
    <w:rsid w:val="00EB4FF5"/>
    <w:rsid w:val="00EB559D"/>
    <w:rsid w:val="00EB6336"/>
    <w:rsid w:val="00EB6567"/>
    <w:rsid w:val="00EB6A2E"/>
    <w:rsid w:val="00EB78F9"/>
    <w:rsid w:val="00EB790C"/>
    <w:rsid w:val="00EC02AE"/>
    <w:rsid w:val="00EC06A8"/>
    <w:rsid w:val="00EC1109"/>
    <w:rsid w:val="00EC1F1F"/>
    <w:rsid w:val="00EC1FD6"/>
    <w:rsid w:val="00EC24B5"/>
    <w:rsid w:val="00EC2678"/>
    <w:rsid w:val="00EC2D1C"/>
    <w:rsid w:val="00EC2FA0"/>
    <w:rsid w:val="00EC3241"/>
    <w:rsid w:val="00EC43B7"/>
    <w:rsid w:val="00EC4E3E"/>
    <w:rsid w:val="00EC55D2"/>
    <w:rsid w:val="00EC58A8"/>
    <w:rsid w:val="00EC601E"/>
    <w:rsid w:val="00EC780E"/>
    <w:rsid w:val="00EC7B01"/>
    <w:rsid w:val="00EC7E8F"/>
    <w:rsid w:val="00EC7F15"/>
    <w:rsid w:val="00ED00AE"/>
    <w:rsid w:val="00ED02B3"/>
    <w:rsid w:val="00ED0B17"/>
    <w:rsid w:val="00ED1710"/>
    <w:rsid w:val="00ED2737"/>
    <w:rsid w:val="00ED2A01"/>
    <w:rsid w:val="00ED2C38"/>
    <w:rsid w:val="00ED3876"/>
    <w:rsid w:val="00ED38DF"/>
    <w:rsid w:val="00ED3D88"/>
    <w:rsid w:val="00ED4CFC"/>
    <w:rsid w:val="00ED4D4E"/>
    <w:rsid w:val="00ED55E2"/>
    <w:rsid w:val="00ED5A4B"/>
    <w:rsid w:val="00ED5DC5"/>
    <w:rsid w:val="00ED60F7"/>
    <w:rsid w:val="00ED666B"/>
    <w:rsid w:val="00ED6936"/>
    <w:rsid w:val="00ED7533"/>
    <w:rsid w:val="00ED7F0F"/>
    <w:rsid w:val="00EE0C77"/>
    <w:rsid w:val="00EE0DF9"/>
    <w:rsid w:val="00EE13E1"/>
    <w:rsid w:val="00EE28AB"/>
    <w:rsid w:val="00EE2C41"/>
    <w:rsid w:val="00EE2FD9"/>
    <w:rsid w:val="00EE323B"/>
    <w:rsid w:val="00EE42D5"/>
    <w:rsid w:val="00EE4671"/>
    <w:rsid w:val="00EE4E54"/>
    <w:rsid w:val="00EE4EFB"/>
    <w:rsid w:val="00EE6674"/>
    <w:rsid w:val="00EE6B84"/>
    <w:rsid w:val="00EE6F2B"/>
    <w:rsid w:val="00EE761C"/>
    <w:rsid w:val="00EE78C3"/>
    <w:rsid w:val="00EE790A"/>
    <w:rsid w:val="00EF02C2"/>
    <w:rsid w:val="00EF07E0"/>
    <w:rsid w:val="00EF15E2"/>
    <w:rsid w:val="00EF1817"/>
    <w:rsid w:val="00EF1AC8"/>
    <w:rsid w:val="00EF1D5F"/>
    <w:rsid w:val="00EF1E16"/>
    <w:rsid w:val="00EF2116"/>
    <w:rsid w:val="00EF24DE"/>
    <w:rsid w:val="00EF3016"/>
    <w:rsid w:val="00EF305C"/>
    <w:rsid w:val="00EF316A"/>
    <w:rsid w:val="00EF3EE3"/>
    <w:rsid w:val="00EF4074"/>
    <w:rsid w:val="00EF496A"/>
    <w:rsid w:val="00EF5395"/>
    <w:rsid w:val="00EF5CF2"/>
    <w:rsid w:val="00EF63FE"/>
    <w:rsid w:val="00EF647D"/>
    <w:rsid w:val="00EF6C37"/>
    <w:rsid w:val="00EF7DA7"/>
    <w:rsid w:val="00EF7F78"/>
    <w:rsid w:val="00F00D95"/>
    <w:rsid w:val="00F016E0"/>
    <w:rsid w:val="00F020DD"/>
    <w:rsid w:val="00F022F0"/>
    <w:rsid w:val="00F02727"/>
    <w:rsid w:val="00F03613"/>
    <w:rsid w:val="00F03926"/>
    <w:rsid w:val="00F03CD9"/>
    <w:rsid w:val="00F047BB"/>
    <w:rsid w:val="00F050B5"/>
    <w:rsid w:val="00F059E3"/>
    <w:rsid w:val="00F06373"/>
    <w:rsid w:val="00F06A67"/>
    <w:rsid w:val="00F06C93"/>
    <w:rsid w:val="00F074CF"/>
    <w:rsid w:val="00F07C83"/>
    <w:rsid w:val="00F12468"/>
    <w:rsid w:val="00F127FC"/>
    <w:rsid w:val="00F13DDA"/>
    <w:rsid w:val="00F1477A"/>
    <w:rsid w:val="00F14EFC"/>
    <w:rsid w:val="00F151F1"/>
    <w:rsid w:val="00F16532"/>
    <w:rsid w:val="00F16BFC"/>
    <w:rsid w:val="00F1788E"/>
    <w:rsid w:val="00F205A6"/>
    <w:rsid w:val="00F2082F"/>
    <w:rsid w:val="00F20E3D"/>
    <w:rsid w:val="00F216C0"/>
    <w:rsid w:val="00F217C0"/>
    <w:rsid w:val="00F220BD"/>
    <w:rsid w:val="00F23050"/>
    <w:rsid w:val="00F23C47"/>
    <w:rsid w:val="00F2493D"/>
    <w:rsid w:val="00F262F1"/>
    <w:rsid w:val="00F271D1"/>
    <w:rsid w:val="00F27DB7"/>
    <w:rsid w:val="00F30D53"/>
    <w:rsid w:val="00F315DE"/>
    <w:rsid w:val="00F31C9E"/>
    <w:rsid w:val="00F31D6C"/>
    <w:rsid w:val="00F327E9"/>
    <w:rsid w:val="00F32990"/>
    <w:rsid w:val="00F32D1A"/>
    <w:rsid w:val="00F332E4"/>
    <w:rsid w:val="00F34CEC"/>
    <w:rsid w:val="00F34F68"/>
    <w:rsid w:val="00F34FF5"/>
    <w:rsid w:val="00F35C5D"/>
    <w:rsid w:val="00F35DE4"/>
    <w:rsid w:val="00F36490"/>
    <w:rsid w:val="00F365AE"/>
    <w:rsid w:val="00F376C9"/>
    <w:rsid w:val="00F377E3"/>
    <w:rsid w:val="00F37A57"/>
    <w:rsid w:val="00F37BC8"/>
    <w:rsid w:val="00F41036"/>
    <w:rsid w:val="00F412AE"/>
    <w:rsid w:val="00F41B7D"/>
    <w:rsid w:val="00F41EA7"/>
    <w:rsid w:val="00F42AF5"/>
    <w:rsid w:val="00F436BB"/>
    <w:rsid w:val="00F4453B"/>
    <w:rsid w:val="00F449A5"/>
    <w:rsid w:val="00F44BEF"/>
    <w:rsid w:val="00F44CBB"/>
    <w:rsid w:val="00F452DC"/>
    <w:rsid w:val="00F45F05"/>
    <w:rsid w:val="00F465FF"/>
    <w:rsid w:val="00F46E3F"/>
    <w:rsid w:val="00F46FE4"/>
    <w:rsid w:val="00F47145"/>
    <w:rsid w:val="00F47E97"/>
    <w:rsid w:val="00F47F44"/>
    <w:rsid w:val="00F50849"/>
    <w:rsid w:val="00F50C6F"/>
    <w:rsid w:val="00F51611"/>
    <w:rsid w:val="00F51F4E"/>
    <w:rsid w:val="00F53543"/>
    <w:rsid w:val="00F53898"/>
    <w:rsid w:val="00F5407B"/>
    <w:rsid w:val="00F545BF"/>
    <w:rsid w:val="00F5493C"/>
    <w:rsid w:val="00F55191"/>
    <w:rsid w:val="00F551E5"/>
    <w:rsid w:val="00F556B9"/>
    <w:rsid w:val="00F556CF"/>
    <w:rsid w:val="00F55854"/>
    <w:rsid w:val="00F56152"/>
    <w:rsid w:val="00F565F9"/>
    <w:rsid w:val="00F567AC"/>
    <w:rsid w:val="00F56D99"/>
    <w:rsid w:val="00F57E3B"/>
    <w:rsid w:val="00F57F23"/>
    <w:rsid w:val="00F6015C"/>
    <w:rsid w:val="00F603A9"/>
    <w:rsid w:val="00F607C1"/>
    <w:rsid w:val="00F60A26"/>
    <w:rsid w:val="00F60CA8"/>
    <w:rsid w:val="00F61B86"/>
    <w:rsid w:val="00F61F5D"/>
    <w:rsid w:val="00F622D0"/>
    <w:rsid w:val="00F62F1C"/>
    <w:rsid w:val="00F63A7A"/>
    <w:rsid w:val="00F63AA5"/>
    <w:rsid w:val="00F63F98"/>
    <w:rsid w:val="00F658D7"/>
    <w:rsid w:val="00F659C8"/>
    <w:rsid w:val="00F65D60"/>
    <w:rsid w:val="00F65E2D"/>
    <w:rsid w:val="00F671E9"/>
    <w:rsid w:val="00F67333"/>
    <w:rsid w:val="00F67BBF"/>
    <w:rsid w:val="00F67D5D"/>
    <w:rsid w:val="00F67DD2"/>
    <w:rsid w:val="00F7022A"/>
    <w:rsid w:val="00F7095A"/>
    <w:rsid w:val="00F70B0D"/>
    <w:rsid w:val="00F70B90"/>
    <w:rsid w:val="00F70D82"/>
    <w:rsid w:val="00F7162D"/>
    <w:rsid w:val="00F71B56"/>
    <w:rsid w:val="00F72126"/>
    <w:rsid w:val="00F725F1"/>
    <w:rsid w:val="00F7377F"/>
    <w:rsid w:val="00F73B05"/>
    <w:rsid w:val="00F73D1A"/>
    <w:rsid w:val="00F73F33"/>
    <w:rsid w:val="00F73FD5"/>
    <w:rsid w:val="00F740BC"/>
    <w:rsid w:val="00F74402"/>
    <w:rsid w:val="00F7473A"/>
    <w:rsid w:val="00F7687C"/>
    <w:rsid w:val="00F8070E"/>
    <w:rsid w:val="00F81963"/>
    <w:rsid w:val="00F819C8"/>
    <w:rsid w:val="00F81AD7"/>
    <w:rsid w:val="00F81CDD"/>
    <w:rsid w:val="00F820FC"/>
    <w:rsid w:val="00F82225"/>
    <w:rsid w:val="00F82377"/>
    <w:rsid w:val="00F82525"/>
    <w:rsid w:val="00F82649"/>
    <w:rsid w:val="00F82761"/>
    <w:rsid w:val="00F832C8"/>
    <w:rsid w:val="00F84763"/>
    <w:rsid w:val="00F866DD"/>
    <w:rsid w:val="00F867FF"/>
    <w:rsid w:val="00F86B4A"/>
    <w:rsid w:val="00F86E28"/>
    <w:rsid w:val="00F873B3"/>
    <w:rsid w:val="00F9098A"/>
    <w:rsid w:val="00F92602"/>
    <w:rsid w:val="00F92BE8"/>
    <w:rsid w:val="00F92F9F"/>
    <w:rsid w:val="00F93842"/>
    <w:rsid w:val="00F93FA5"/>
    <w:rsid w:val="00F94346"/>
    <w:rsid w:val="00F94648"/>
    <w:rsid w:val="00F94D1B"/>
    <w:rsid w:val="00F94F8C"/>
    <w:rsid w:val="00F95F23"/>
    <w:rsid w:val="00F9600E"/>
    <w:rsid w:val="00F96073"/>
    <w:rsid w:val="00F96490"/>
    <w:rsid w:val="00FA016B"/>
    <w:rsid w:val="00FA0811"/>
    <w:rsid w:val="00FA0D86"/>
    <w:rsid w:val="00FA105E"/>
    <w:rsid w:val="00FA2DF8"/>
    <w:rsid w:val="00FA35D0"/>
    <w:rsid w:val="00FA3DA6"/>
    <w:rsid w:val="00FA42B9"/>
    <w:rsid w:val="00FA45EB"/>
    <w:rsid w:val="00FA46A3"/>
    <w:rsid w:val="00FA4EEE"/>
    <w:rsid w:val="00FA4FE3"/>
    <w:rsid w:val="00FA50BD"/>
    <w:rsid w:val="00FA5226"/>
    <w:rsid w:val="00FA638A"/>
    <w:rsid w:val="00FA7231"/>
    <w:rsid w:val="00FA755A"/>
    <w:rsid w:val="00FA7FD2"/>
    <w:rsid w:val="00FB0206"/>
    <w:rsid w:val="00FB0394"/>
    <w:rsid w:val="00FB0ECD"/>
    <w:rsid w:val="00FB10CD"/>
    <w:rsid w:val="00FB13D4"/>
    <w:rsid w:val="00FB2B03"/>
    <w:rsid w:val="00FB2B0F"/>
    <w:rsid w:val="00FB2C11"/>
    <w:rsid w:val="00FB2C96"/>
    <w:rsid w:val="00FB318D"/>
    <w:rsid w:val="00FB321C"/>
    <w:rsid w:val="00FB482F"/>
    <w:rsid w:val="00FB4A39"/>
    <w:rsid w:val="00FB4F6B"/>
    <w:rsid w:val="00FB5A6C"/>
    <w:rsid w:val="00FB5ABE"/>
    <w:rsid w:val="00FB5F40"/>
    <w:rsid w:val="00FB5FE1"/>
    <w:rsid w:val="00FB6035"/>
    <w:rsid w:val="00FB63B2"/>
    <w:rsid w:val="00FB6A26"/>
    <w:rsid w:val="00FB6E11"/>
    <w:rsid w:val="00FB72C1"/>
    <w:rsid w:val="00FB779F"/>
    <w:rsid w:val="00FB7827"/>
    <w:rsid w:val="00FB7960"/>
    <w:rsid w:val="00FB79AA"/>
    <w:rsid w:val="00FB7C17"/>
    <w:rsid w:val="00FC00E9"/>
    <w:rsid w:val="00FC00EE"/>
    <w:rsid w:val="00FC0576"/>
    <w:rsid w:val="00FC0E8D"/>
    <w:rsid w:val="00FC11A8"/>
    <w:rsid w:val="00FC1647"/>
    <w:rsid w:val="00FC23E0"/>
    <w:rsid w:val="00FC2864"/>
    <w:rsid w:val="00FC28E0"/>
    <w:rsid w:val="00FC33B5"/>
    <w:rsid w:val="00FC367E"/>
    <w:rsid w:val="00FC3AE3"/>
    <w:rsid w:val="00FC42F1"/>
    <w:rsid w:val="00FC46EF"/>
    <w:rsid w:val="00FC48A5"/>
    <w:rsid w:val="00FC4918"/>
    <w:rsid w:val="00FC4AC0"/>
    <w:rsid w:val="00FC4B7B"/>
    <w:rsid w:val="00FC4C2C"/>
    <w:rsid w:val="00FC4DD5"/>
    <w:rsid w:val="00FC5FE9"/>
    <w:rsid w:val="00FC750C"/>
    <w:rsid w:val="00FD1065"/>
    <w:rsid w:val="00FD1DA9"/>
    <w:rsid w:val="00FD1FFF"/>
    <w:rsid w:val="00FD2285"/>
    <w:rsid w:val="00FD31B3"/>
    <w:rsid w:val="00FD3402"/>
    <w:rsid w:val="00FD374A"/>
    <w:rsid w:val="00FD392C"/>
    <w:rsid w:val="00FD418B"/>
    <w:rsid w:val="00FD4204"/>
    <w:rsid w:val="00FD54CC"/>
    <w:rsid w:val="00FD56B3"/>
    <w:rsid w:val="00FD5752"/>
    <w:rsid w:val="00FD72C7"/>
    <w:rsid w:val="00FD743E"/>
    <w:rsid w:val="00FD748E"/>
    <w:rsid w:val="00FD7A46"/>
    <w:rsid w:val="00FE02DE"/>
    <w:rsid w:val="00FE04A7"/>
    <w:rsid w:val="00FE060B"/>
    <w:rsid w:val="00FE072C"/>
    <w:rsid w:val="00FE0D83"/>
    <w:rsid w:val="00FE10A6"/>
    <w:rsid w:val="00FE1BA2"/>
    <w:rsid w:val="00FE1C4C"/>
    <w:rsid w:val="00FE3316"/>
    <w:rsid w:val="00FE389F"/>
    <w:rsid w:val="00FE3DE2"/>
    <w:rsid w:val="00FE3DEA"/>
    <w:rsid w:val="00FE3FEF"/>
    <w:rsid w:val="00FE57B4"/>
    <w:rsid w:val="00FE5FED"/>
    <w:rsid w:val="00FE6B64"/>
    <w:rsid w:val="00FE6F78"/>
    <w:rsid w:val="00FE73FC"/>
    <w:rsid w:val="00FE7D9F"/>
    <w:rsid w:val="00FF0539"/>
    <w:rsid w:val="00FF061B"/>
    <w:rsid w:val="00FF14EF"/>
    <w:rsid w:val="00FF1603"/>
    <w:rsid w:val="00FF1B65"/>
    <w:rsid w:val="00FF1D42"/>
    <w:rsid w:val="00FF1DC5"/>
    <w:rsid w:val="00FF2709"/>
    <w:rsid w:val="00FF2C85"/>
    <w:rsid w:val="00FF2E0E"/>
    <w:rsid w:val="00FF2FBF"/>
    <w:rsid w:val="00FF3172"/>
    <w:rsid w:val="00FF3CCB"/>
    <w:rsid w:val="00FF43BF"/>
    <w:rsid w:val="00FF52DF"/>
    <w:rsid w:val="00FF576C"/>
    <w:rsid w:val="00FF57B5"/>
    <w:rsid w:val="00FF587D"/>
    <w:rsid w:val="00FF5C6E"/>
    <w:rsid w:val="00FF6EB8"/>
    <w:rsid w:val="00FF78E6"/>
    <w:rsid w:val="00FF7F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106181"/>
    <w:pPr>
      <w:keepNext/>
      <w:numPr>
        <w:numId w:val="29"/>
      </w:numPr>
      <w:spacing w:before="240"/>
      <w:ind w:left="851" w:hanging="851"/>
      <w:outlineLvl w:val="0"/>
    </w:pPr>
    <w:rPr>
      <w:color w:val="22413A"/>
      <w:sz w:val="48"/>
    </w:rPr>
  </w:style>
  <w:style w:type="paragraph" w:styleId="Heading2">
    <w:name w:val="heading 2"/>
    <w:basedOn w:val="Heading1"/>
    <w:next w:val="Normal"/>
    <w:link w:val="Heading2Char"/>
    <w:qFormat/>
    <w:rsid w:val="00106181"/>
    <w:pPr>
      <w:numPr>
        <w:ilvl w:val="1"/>
      </w:numPr>
      <w:ind w:left="851" w:hanging="851"/>
      <w:outlineLvl w:val="1"/>
    </w:pPr>
    <w:rPr>
      <w:sz w:val="36"/>
      <w:szCs w:val="16"/>
    </w:rPr>
  </w:style>
  <w:style w:type="paragraph" w:styleId="Heading3">
    <w:name w:val="heading 3"/>
    <w:basedOn w:val="Heading2"/>
    <w:next w:val="Normal"/>
    <w:link w:val="Heading3Char"/>
    <w:qFormat/>
    <w:rsid w:val="0016752C"/>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06181"/>
    <w:rPr>
      <w:rFonts w:ascii="Arial" w:hAnsi="Arial"/>
      <w:color w:val="22413A"/>
      <w:sz w:val="36"/>
      <w:szCs w:val="16"/>
      <w:lang w:eastAsia="en-US" w:bidi="he-IL"/>
    </w:rPr>
  </w:style>
  <w:style w:type="character" w:customStyle="1" w:styleId="Heading3Char">
    <w:name w:val="Heading 3 Char"/>
    <w:link w:val="Heading3"/>
    <w:rsid w:val="0016752C"/>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106181"/>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B43AB"/>
    <w:pPr>
      <w:numPr>
        <w:numId w:val="1"/>
      </w:numPr>
      <w:spacing w:before="240" w:after="120" w:line="240" w:lineRule="auto"/>
      <w:ind w:left="1276"/>
    </w:pPr>
    <w:rPr>
      <w:bCs/>
    </w:rPr>
  </w:style>
  <w:style w:type="paragraph" w:customStyle="1" w:styleId="Bulletlist2">
    <w:name w:val="Bullet list 2"/>
    <w:basedOn w:val="Bulletlist1"/>
    <w:uiPriority w:val="1"/>
    <w:qFormat/>
    <w:rsid w:val="00CC555C"/>
    <w:pPr>
      <w:numPr>
        <w:ilvl w:val="1"/>
      </w:numPr>
      <w:ind w:left="1843"/>
    </w:pPr>
    <w:rPr>
      <w:bCs w:val="0"/>
      <w:lang w:bidi="ar-SA"/>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61C73"/>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0A51C3"/>
    <w:pPr>
      <w:numPr>
        <w:numId w:val="6"/>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E77535"/>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E77535"/>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4A336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A336D"/>
    <w:rPr>
      <w:rFonts w:ascii="Arial" w:eastAsiaTheme="minorHAnsi" w:hAnsi="Arial" w:cstheme="minorBidi"/>
      <w:b/>
      <w:bCs/>
      <w:lang w:eastAsia="en-US" w:bidi="he-IL"/>
    </w:rPr>
  </w:style>
  <w:style w:type="paragraph" w:customStyle="1" w:styleId="TSBullet2Circle">
    <w:name w:val="TS Bullet 2 Circle"/>
    <w:basedOn w:val="Normal"/>
    <w:rsid w:val="00AB5309"/>
    <w:pPr>
      <w:numPr>
        <w:numId w:val="8"/>
      </w:numPr>
      <w:spacing w:line="240" w:lineRule="auto"/>
      <w:contextualSpacing/>
    </w:pPr>
    <w:rPr>
      <w:rFonts w:eastAsia="Times New Roman" w:cs="Times New Roman"/>
      <w:sz w:val="22"/>
      <w:szCs w:val="24"/>
      <w:lang w:bidi="ar-SA"/>
    </w:rPr>
  </w:style>
  <w:style w:type="paragraph" w:customStyle="1" w:styleId="StyleBullet2Left1Firstline0">
    <w:name w:val="Style Bullet 2 + Left:  1&quot; First line:  0&quot;"/>
    <w:basedOn w:val="Normal"/>
    <w:rsid w:val="00AB5309"/>
    <w:pPr>
      <w:numPr>
        <w:numId w:val="9"/>
      </w:numPr>
      <w:tabs>
        <w:tab w:val="left" w:pos="1440"/>
      </w:tabs>
      <w:spacing w:line="240" w:lineRule="auto"/>
      <w:jc w:val="both"/>
    </w:pPr>
    <w:rPr>
      <w:rFonts w:eastAsia="Times New Roman"/>
      <w:sz w:val="22"/>
      <w:lang w:bidi="ar-SA"/>
    </w:rPr>
  </w:style>
  <w:style w:type="numbering" w:customStyle="1" w:styleId="List17">
    <w:name w:val="List 17"/>
    <w:rsid w:val="00AB5309"/>
    <w:pPr>
      <w:numPr>
        <w:numId w:val="9"/>
      </w:numPr>
    </w:pPr>
  </w:style>
  <w:style w:type="paragraph" w:styleId="Revision">
    <w:name w:val="Revision"/>
    <w:hidden/>
    <w:uiPriority w:val="99"/>
    <w:semiHidden/>
    <w:rsid w:val="00380B6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676">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138208">
      <w:bodyDiv w:val="1"/>
      <w:marLeft w:val="0"/>
      <w:marRight w:val="0"/>
      <w:marTop w:val="0"/>
      <w:marBottom w:val="0"/>
      <w:divBdr>
        <w:top w:val="none" w:sz="0" w:space="0" w:color="auto"/>
        <w:left w:val="none" w:sz="0" w:space="0" w:color="auto"/>
        <w:bottom w:val="none" w:sz="0" w:space="0" w:color="auto"/>
        <w:right w:val="none" w:sz="0" w:space="0" w:color="auto"/>
      </w:divBdr>
    </w:div>
    <w:div w:id="7798852">
      <w:bodyDiv w:val="1"/>
      <w:marLeft w:val="0"/>
      <w:marRight w:val="0"/>
      <w:marTop w:val="0"/>
      <w:marBottom w:val="0"/>
      <w:divBdr>
        <w:top w:val="none" w:sz="0" w:space="0" w:color="auto"/>
        <w:left w:val="none" w:sz="0" w:space="0" w:color="auto"/>
        <w:bottom w:val="none" w:sz="0" w:space="0" w:color="auto"/>
        <w:right w:val="none" w:sz="0" w:space="0" w:color="auto"/>
      </w:divBdr>
    </w:div>
    <w:div w:id="11301300">
      <w:bodyDiv w:val="1"/>
      <w:marLeft w:val="0"/>
      <w:marRight w:val="0"/>
      <w:marTop w:val="0"/>
      <w:marBottom w:val="0"/>
      <w:divBdr>
        <w:top w:val="none" w:sz="0" w:space="0" w:color="auto"/>
        <w:left w:val="none" w:sz="0" w:space="0" w:color="auto"/>
        <w:bottom w:val="none" w:sz="0" w:space="0" w:color="auto"/>
        <w:right w:val="none" w:sz="0" w:space="0" w:color="auto"/>
      </w:divBdr>
    </w:div>
    <w:div w:id="14768625">
      <w:bodyDiv w:val="1"/>
      <w:marLeft w:val="0"/>
      <w:marRight w:val="0"/>
      <w:marTop w:val="0"/>
      <w:marBottom w:val="0"/>
      <w:divBdr>
        <w:top w:val="none" w:sz="0" w:space="0" w:color="auto"/>
        <w:left w:val="none" w:sz="0" w:space="0" w:color="auto"/>
        <w:bottom w:val="none" w:sz="0" w:space="0" w:color="auto"/>
        <w:right w:val="none" w:sz="0" w:space="0" w:color="auto"/>
      </w:divBdr>
    </w:div>
    <w:div w:id="15272536">
      <w:bodyDiv w:val="1"/>
      <w:marLeft w:val="0"/>
      <w:marRight w:val="0"/>
      <w:marTop w:val="0"/>
      <w:marBottom w:val="0"/>
      <w:divBdr>
        <w:top w:val="none" w:sz="0" w:space="0" w:color="auto"/>
        <w:left w:val="none" w:sz="0" w:space="0" w:color="auto"/>
        <w:bottom w:val="none" w:sz="0" w:space="0" w:color="auto"/>
        <w:right w:val="none" w:sz="0" w:space="0" w:color="auto"/>
      </w:divBdr>
    </w:div>
    <w:div w:id="18163990">
      <w:bodyDiv w:val="1"/>
      <w:marLeft w:val="0"/>
      <w:marRight w:val="0"/>
      <w:marTop w:val="0"/>
      <w:marBottom w:val="0"/>
      <w:divBdr>
        <w:top w:val="none" w:sz="0" w:space="0" w:color="auto"/>
        <w:left w:val="none" w:sz="0" w:space="0" w:color="auto"/>
        <w:bottom w:val="none" w:sz="0" w:space="0" w:color="auto"/>
        <w:right w:val="none" w:sz="0" w:space="0" w:color="auto"/>
      </w:divBdr>
    </w:div>
    <w:div w:id="30425348">
      <w:bodyDiv w:val="1"/>
      <w:marLeft w:val="0"/>
      <w:marRight w:val="0"/>
      <w:marTop w:val="0"/>
      <w:marBottom w:val="0"/>
      <w:divBdr>
        <w:top w:val="none" w:sz="0" w:space="0" w:color="auto"/>
        <w:left w:val="none" w:sz="0" w:space="0" w:color="auto"/>
        <w:bottom w:val="none" w:sz="0" w:space="0" w:color="auto"/>
        <w:right w:val="none" w:sz="0" w:space="0" w:color="auto"/>
      </w:divBdr>
    </w:div>
    <w:div w:id="34737256">
      <w:bodyDiv w:val="1"/>
      <w:marLeft w:val="0"/>
      <w:marRight w:val="0"/>
      <w:marTop w:val="0"/>
      <w:marBottom w:val="0"/>
      <w:divBdr>
        <w:top w:val="none" w:sz="0" w:space="0" w:color="auto"/>
        <w:left w:val="none" w:sz="0" w:space="0" w:color="auto"/>
        <w:bottom w:val="none" w:sz="0" w:space="0" w:color="auto"/>
        <w:right w:val="none" w:sz="0" w:space="0" w:color="auto"/>
      </w:divBdr>
    </w:div>
    <w:div w:id="42338768">
      <w:bodyDiv w:val="1"/>
      <w:marLeft w:val="0"/>
      <w:marRight w:val="0"/>
      <w:marTop w:val="0"/>
      <w:marBottom w:val="0"/>
      <w:divBdr>
        <w:top w:val="none" w:sz="0" w:space="0" w:color="auto"/>
        <w:left w:val="none" w:sz="0" w:space="0" w:color="auto"/>
        <w:bottom w:val="none" w:sz="0" w:space="0" w:color="auto"/>
        <w:right w:val="none" w:sz="0" w:space="0" w:color="auto"/>
      </w:divBdr>
    </w:div>
    <w:div w:id="42757291">
      <w:bodyDiv w:val="1"/>
      <w:marLeft w:val="0"/>
      <w:marRight w:val="0"/>
      <w:marTop w:val="0"/>
      <w:marBottom w:val="0"/>
      <w:divBdr>
        <w:top w:val="none" w:sz="0" w:space="0" w:color="auto"/>
        <w:left w:val="none" w:sz="0" w:space="0" w:color="auto"/>
        <w:bottom w:val="none" w:sz="0" w:space="0" w:color="auto"/>
        <w:right w:val="none" w:sz="0" w:space="0" w:color="auto"/>
      </w:divBdr>
    </w:div>
    <w:div w:id="46684014">
      <w:bodyDiv w:val="1"/>
      <w:marLeft w:val="0"/>
      <w:marRight w:val="0"/>
      <w:marTop w:val="0"/>
      <w:marBottom w:val="0"/>
      <w:divBdr>
        <w:top w:val="none" w:sz="0" w:space="0" w:color="auto"/>
        <w:left w:val="none" w:sz="0" w:space="0" w:color="auto"/>
        <w:bottom w:val="none" w:sz="0" w:space="0" w:color="auto"/>
        <w:right w:val="none" w:sz="0" w:space="0" w:color="auto"/>
      </w:divBdr>
    </w:div>
    <w:div w:id="47849326">
      <w:bodyDiv w:val="1"/>
      <w:marLeft w:val="0"/>
      <w:marRight w:val="0"/>
      <w:marTop w:val="0"/>
      <w:marBottom w:val="0"/>
      <w:divBdr>
        <w:top w:val="none" w:sz="0" w:space="0" w:color="auto"/>
        <w:left w:val="none" w:sz="0" w:space="0" w:color="auto"/>
        <w:bottom w:val="none" w:sz="0" w:space="0" w:color="auto"/>
        <w:right w:val="none" w:sz="0" w:space="0" w:color="auto"/>
      </w:divBdr>
    </w:div>
    <w:div w:id="48960267">
      <w:bodyDiv w:val="1"/>
      <w:marLeft w:val="0"/>
      <w:marRight w:val="0"/>
      <w:marTop w:val="0"/>
      <w:marBottom w:val="0"/>
      <w:divBdr>
        <w:top w:val="none" w:sz="0" w:space="0" w:color="auto"/>
        <w:left w:val="none" w:sz="0" w:space="0" w:color="auto"/>
        <w:bottom w:val="none" w:sz="0" w:space="0" w:color="auto"/>
        <w:right w:val="none" w:sz="0" w:space="0" w:color="auto"/>
      </w:divBdr>
    </w:div>
    <w:div w:id="55319286">
      <w:bodyDiv w:val="1"/>
      <w:marLeft w:val="0"/>
      <w:marRight w:val="0"/>
      <w:marTop w:val="0"/>
      <w:marBottom w:val="0"/>
      <w:divBdr>
        <w:top w:val="none" w:sz="0" w:space="0" w:color="auto"/>
        <w:left w:val="none" w:sz="0" w:space="0" w:color="auto"/>
        <w:bottom w:val="none" w:sz="0" w:space="0" w:color="auto"/>
        <w:right w:val="none" w:sz="0" w:space="0" w:color="auto"/>
      </w:divBdr>
    </w:div>
    <w:div w:id="73675184">
      <w:bodyDiv w:val="1"/>
      <w:marLeft w:val="0"/>
      <w:marRight w:val="0"/>
      <w:marTop w:val="0"/>
      <w:marBottom w:val="0"/>
      <w:divBdr>
        <w:top w:val="none" w:sz="0" w:space="0" w:color="auto"/>
        <w:left w:val="none" w:sz="0" w:space="0" w:color="auto"/>
        <w:bottom w:val="none" w:sz="0" w:space="0" w:color="auto"/>
        <w:right w:val="none" w:sz="0" w:space="0" w:color="auto"/>
      </w:divBdr>
    </w:div>
    <w:div w:id="77362309">
      <w:bodyDiv w:val="1"/>
      <w:marLeft w:val="0"/>
      <w:marRight w:val="0"/>
      <w:marTop w:val="0"/>
      <w:marBottom w:val="0"/>
      <w:divBdr>
        <w:top w:val="none" w:sz="0" w:space="0" w:color="auto"/>
        <w:left w:val="none" w:sz="0" w:space="0" w:color="auto"/>
        <w:bottom w:val="none" w:sz="0" w:space="0" w:color="auto"/>
        <w:right w:val="none" w:sz="0" w:space="0" w:color="auto"/>
      </w:divBdr>
    </w:div>
    <w:div w:id="86653257">
      <w:bodyDiv w:val="1"/>
      <w:marLeft w:val="0"/>
      <w:marRight w:val="0"/>
      <w:marTop w:val="0"/>
      <w:marBottom w:val="0"/>
      <w:divBdr>
        <w:top w:val="none" w:sz="0" w:space="0" w:color="auto"/>
        <w:left w:val="none" w:sz="0" w:space="0" w:color="auto"/>
        <w:bottom w:val="none" w:sz="0" w:space="0" w:color="auto"/>
        <w:right w:val="none" w:sz="0" w:space="0" w:color="auto"/>
      </w:divBdr>
    </w:div>
    <w:div w:id="8867103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251045">
      <w:bodyDiv w:val="1"/>
      <w:marLeft w:val="0"/>
      <w:marRight w:val="0"/>
      <w:marTop w:val="0"/>
      <w:marBottom w:val="0"/>
      <w:divBdr>
        <w:top w:val="none" w:sz="0" w:space="0" w:color="auto"/>
        <w:left w:val="none" w:sz="0" w:space="0" w:color="auto"/>
        <w:bottom w:val="none" w:sz="0" w:space="0" w:color="auto"/>
        <w:right w:val="none" w:sz="0" w:space="0" w:color="auto"/>
      </w:divBdr>
    </w:div>
    <w:div w:id="95642512">
      <w:bodyDiv w:val="1"/>
      <w:marLeft w:val="0"/>
      <w:marRight w:val="0"/>
      <w:marTop w:val="0"/>
      <w:marBottom w:val="0"/>
      <w:divBdr>
        <w:top w:val="none" w:sz="0" w:space="0" w:color="auto"/>
        <w:left w:val="none" w:sz="0" w:space="0" w:color="auto"/>
        <w:bottom w:val="none" w:sz="0" w:space="0" w:color="auto"/>
        <w:right w:val="none" w:sz="0" w:space="0" w:color="auto"/>
      </w:divBdr>
    </w:div>
    <w:div w:id="96366667">
      <w:bodyDiv w:val="1"/>
      <w:marLeft w:val="0"/>
      <w:marRight w:val="0"/>
      <w:marTop w:val="0"/>
      <w:marBottom w:val="0"/>
      <w:divBdr>
        <w:top w:val="none" w:sz="0" w:space="0" w:color="auto"/>
        <w:left w:val="none" w:sz="0" w:space="0" w:color="auto"/>
        <w:bottom w:val="none" w:sz="0" w:space="0" w:color="auto"/>
        <w:right w:val="none" w:sz="0" w:space="0" w:color="auto"/>
      </w:divBdr>
    </w:div>
    <w:div w:id="102774562">
      <w:bodyDiv w:val="1"/>
      <w:marLeft w:val="0"/>
      <w:marRight w:val="0"/>
      <w:marTop w:val="0"/>
      <w:marBottom w:val="0"/>
      <w:divBdr>
        <w:top w:val="none" w:sz="0" w:space="0" w:color="auto"/>
        <w:left w:val="none" w:sz="0" w:space="0" w:color="auto"/>
        <w:bottom w:val="none" w:sz="0" w:space="0" w:color="auto"/>
        <w:right w:val="none" w:sz="0" w:space="0" w:color="auto"/>
      </w:divBdr>
    </w:div>
    <w:div w:id="104078751">
      <w:bodyDiv w:val="1"/>
      <w:marLeft w:val="0"/>
      <w:marRight w:val="0"/>
      <w:marTop w:val="0"/>
      <w:marBottom w:val="0"/>
      <w:divBdr>
        <w:top w:val="none" w:sz="0" w:space="0" w:color="auto"/>
        <w:left w:val="none" w:sz="0" w:space="0" w:color="auto"/>
        <w:bottom w:val="none" w:sz="0" w:space="0" w:color="auto"/>
        <w:right w:val="none" w:sz="0" w:space="0" w:color="auto"/>
      </w:divBdr>
    </w:div>
    <w:div w:id="108595560">
      <w:bodyDiv w:val="1"/>
      <w:marLeft w:val="0"/>
      <w:marRight w:val="0"/>
      <w:marTop w:val="0"/>
      <w:marBottom w:val="0"/>
      <w:divBdr>
        <w:top w:val="none" w:sz="0" w:space="0" w:color="auto"/>
        <w:left w:val="none" w:sz="0" w:space="0" w:color="auto"/>
        <w:bottom w:val="none" w:sz="0" w:space="0" w:color="auto"/>
        <w:right w:val="none" w:sz="0" w:space="0" w:color="auto"/>
      </w:divBdr>
    </w:div>
    <w:div w:id="110518863">
      <w:bodyDiv w:val="1"/>
      <w:marLeft w:val="0"/>
      <w:marRight w:val="0"/>
      <w:marTop w:val="0"/>
      <w:marBottom w:val="0"/>
      <w:divBdr>
        <w:top w:val="none" w:sz="0" w:space="0" w:color="auto"/>
        <w:left w:val="none" w:sz="0" w:space="0" w:color="auto"/>
        <w:bottom w:val="none" w:sz="0" w:space="0" w:color="auto"/>
        <w:right w:val="none" w:sz="0" w:space="0" w:color="auto"/>
      </w:divBdr>
    </w:div>
    <w:div w:id="122045141">
      <w:bodyDiv w:val="1"/>
      <w:marLeft w:val="0"/>
      <w:marRight w:val="0"/>
      <w:marTop w:val="0"/>
      <w:marBottom w:val="0"/>
      <w:divBdr>
        <w:top w:val="none" w:sz="0" w:space="0" w:color="auto"/>
        <w:left w:val="none" w:sz="0" w:space="0" w:color="auto"/>
        <w:bottom w:val="none" w:sz="0" w:space="0" w:color="auto"/>
        <w:right w:val="none" w:sz="0" w:space="0" w:color="auto"/>
      </w:divBdr>
    </w:div>
    <w:div w:id="128597386">
      <w:bodyDiv w:val="1"/>
      <w:marLeft w:val="0"/>
      <w:marRight w:val="0"/>
      <w:marTop w:val="0"/>
      <w:marBottom w:val="0"/>
      <w:divBdr>
        <w:top w:val="none" w:sz="0" w:space="0" w:color="auto"/>
        <w:left w:val="none" w:sz="0" w:space="0" w:color="auto"/>
        <w:bottom w:val="none" w:sz="0" w:space="0" w:color="auto"/>
        <w:right w:val="none" w:sz="0" w:space="0" w:color="auto"/>
      </w:divBdr>
    </w:div>
    <w:div w:id="129596029">
      <w:bodyDiv w:val="1"/>
      <w:marLeft w:val="0"/>
      <w:marRight w:val="0"/>
      <w:marTop w:val="0"/>
      <w:marBottom w:val="0"/>
      <w:divBdr>
        <w:top w:val="none" w:sz="0" w:space="0" w:color="auto"/>
        <w:left w:val="none" w:sz="0" w:space="0" w:color="auto"/>
        <w:bottom w:val="none" w:sz="0" w:space="0" w:color="auto"/>
        <w:right w:val="none" w:sz="0" w:space="0" w:color="auto"/>
      </w:divBdr>
    </w:div>
    <w:div w:id="132604063">
      <w:bodyDiv w:val="1"/>
      <w:marLeft w:val="0"/>
      <w:marRight w:val="0"/>
      <w:marTop w:val="0"/>
      <w:marBottom w:val="0"/>
      <w:divBdr>
        <w:top w:val="none" w:sz="0" w:space="0" w:color="auto"/>
        <w:left w:val="none" w:sz="0" w:space="0" w:color="auto"/>
        <w:bottom w:val="none" w:sz="0" w:space="0" w:color="auto"/>
        <w:right w:val="none" w:sz="0" w:space="0" w:color="auto"/>
      </w:divBdr>
    </w:div>
    <w:div w:id="136800198">
      <w:bodyDiv w:val="1"/>
      <w:marLeft w:val="0"/>
      <w:marRight w:val="0"/>
      <w:marTop w:val="0"/>
      <w:marBottom w:val="0"/>
      <w:divBdr>
        <w:top w:val="none" w:sz="0" w:space="0" w:color="auto"/>
        <w:left w:val="none" w:sz="0" w:space="0" w:color="auto"/>
        <w:bottom w:val="none" w:sz="0" w:space="0" w:color="auto"/>
        <w:right w:val="none" w:sz="0" w:space="0" w:color="auto"/>
      </w:divBdr>
    </w:div>
    <w:div w:id="150565021">
      <w:bodyDiv w:val="1"/>
      <w:marLeft w:val="0"/>
      <w:marRight w:val="0"/>
      <w:marTop w:val="0"/>
      <w:marBottom w:val="0"/>
      <w:divBdr>
        <w:top w:val="none" w:sz="0" w:space="0" w:color="auto"/>
        <w:left w:val="none" w:sz="0" w:space="0" w:color="auto"/>
        <w:bottom w:val="none" w:sz="0" w:space="0" w:color="auto"/>
        <w:right w:val="none" w:sz="0" w:space="0" w:color="auto"/>
      </w:divBdr>
    </w:div>
    <w:div w:id="150945106">
      <w:bodyDiv w:val="1"/>
      <w:marLeft w:val="0"/>
      <w:marRight w:val="0"/>
      <w:marTop w:val="0"/>
      <w:marBottom w:val="0"/>
      <w:divBdr>
        <w:top w:val="none" w:sz="0" w:space="0" w:color="auto"/>
        <w:left w:val="none" w:sz="0" w:space="0" w:color="auto"/>
        <w:bottom w:val="none" w:sz="0" w:space="0" w:color="auto"/>
        <w:right w:val="none" w:sz="0" w:space="0" w:color="auto"/>
      </w:divBdr>
    </w:div>
    <w:div w:id="151680146">
      <w:bodyDiv w:val="1"/>
      <w:marLeft w:val="0"/>
      <w:marRight w:val="0"/>
      <w:marTop w:val="0"/>
      <w:marBottom w:val="0"/>
      <w:divBdr>
        <w:top w:val="none" w:sz="0" w:space="0" w:color="auto"/>
        <w:left w:val="none" w:sz="0" w:space="0" w:color="auto"/>
        <w:bottom w:val="none" w:sz="0" w:space="0" w:color="auto"/>
        <w:right w:val="none" w:sz="0" w:space="0" w:color="auto"/>
      </w:divBdr>
    </w:div>
    <w:div w:id="165365114">
      <w:bodyDiv w:val="1"/>
      <w:marLeft w:val="0"/>
      <w:marRight w:val="0"/>
      <w:marTop w:val="0"/>
      <w:marBottom w:val="0"/>
      <w:divBdr>
        <w:top w:val="none" w:sz="0" w:space="0" w:color="auto"/>
        <w:left w:val="none" w:sz="0" w:space="0" w:color="auto"/>
        <w:bottom w:val="none" w:sz="0" w:space="0" w:color="auto"/>
        <w:right w:val="none" w:sz="0" w:space="0" w:color="auto"/>
      </w:divBdr>
    </w:div>
    <w:div w:id="174074523">
      <w:bodyDiv w:val="1"/>
      <w:marLeft w:val="0"/>
      <w:marRight w:val="0"/>
      <w:marTop w:val="0"/>
      <w:marBottom w:val="0"/>
      <w:divBdr>
        <w:top w:val="none" w:sz="0" w:space="0" w:color="auto"/>
        <w:left w:val="none" w:sz="0" w:space="0" w:color="auto"/>
        <w:bottom w:val="none" w:sz="0" w:space="0" w:color="auto"/>
        <w:right w:val="none" w:sz="0" w:space="0" w:color="auto"/>
      </w:divBdr>
    </w:div>
    <w:div w:id="183861199">
      <w:bodyDiv w:val="1"/>
      <w:marLeft w:val="0"/>
      <w:marRight w:val="0"/>
      <w:marTop w:val="0"/>
      <w:marBottom w:val="0"/>
      <w:divBdr>
        <w:top w:val="none" w:sz="0" w:space="0" w:color="auto"/>
        <w:left w:val="none" w:sz="0" w:space="0" w:color="auto"/>
        <w:bottom w:val="none" w:sz="0" w:space="0" w:color="auto"/>
        <w:right w:val="none" w:sz="0" w:space="0" w:color="auto"/>
      </w:divBdr>
    </w:div>
    <w:div w:id="187985051">
      <w:bodyDiv w:val="1"/>
      <w:marLeft w:val="0"/>
      <w:marRight w:val="0"/>
      <w:marTop w:val="0"/>
      <w:marBottom w:val="0"/>
      <w:divBdr>
        <w:top w:val="none" w:sz="0" w:space="0" w:color="auto"/>
        <w:left w:val="none" w:sz="0" w:space="0" w:color="auto"/>
        <w:bottom w:val="none" w:sz="0" w:space="0" w:color="auto"/>
        <w:right w:val="none" w:sz="0" w:space="0" w:color="auto"/>
      </w:divBdr>
    </w:div>
    <w:div w:id="188954993">
      <w:bodyDiv w:val="1"/>
      <w:marLeft w:val="0"/>
      <w:marRight w:val="0"/>
      <w:marTop w:val="0"/>
      <w:marBottom w:val="0"/>
      <w:divBdr>
        <w:top w:val="none" w:sz="0" w:space="0" w:color="auto"/>
        <w:left w:val="none" w:sz="0" w:space="0" w:color="auto"/>
        <w:bottom w:val="none" w:sz="0" w:space="0" w:color="auto"/>
        <w:right w:val="none" w:sz="0" w:space="0" w:color="auto"/>
      </w:divBdr>
    </w:div>
    <w:div w:id="195122098">
      <w:bodyDiv w:val="1"/>
      <w:marLeft w:val="0"/>
      <w:marRight w:val="0"/>
      <w:marTop w:val="0"/>
      <w:marBottom w:val="0"/>
      <w:divBdr>
        <w:top w:val="none" w:sz="0" w:space="0" w:color="auto"/>
        <w:left w:val="none" w:sz="0" w:space="0" w:color="auto"/>
        <w:bottom w:val="none" w:sz="0" w:space="0" w:color="auto"/>
        <w:right w:val="none" w:sz="0" w:space="0" w:color="auto"/>
      </w:divBdr>
    </w:div>
    <w:div w:id="195390994">
      <w:bodyDiv w:val="1"/>
      <w:marLeft w:val="0"/>
      <w:marRight w:val="0"/>
      <w:marTop w:val="0"/>
      <w:marBottom w:val="0"/>
      <w:divBdr>
        <w:top w:val="none" w:sz="0" w:space="0" w:color="auto"/>
        <w:left w:val="none" w:sz="0" w:space="0" w:color="auto"/>
        <w:bottom w:val="none" w:sz="0" w:space="0" w:color="auto"/>
        <w:right w:val="none" w:sz="0" w:space="0" w:color="auto"/>
      </w:divBdr>
    </w:div>
    <w:div w:id="195511932">
      <w:bodyDiv w:val="1"/>
      <w:marLeft w:val="0"/>
      <w:marRight w:val="0"/>
      <w:marTop w:val="0"/>
      <w:marBottom w:val="0"/>
      <w:divBdr>
        <w:top w:val="none" w:sz="0" w:space="0" w:color="auto"/>
        <w:left w:val="none" w:sz="0" w:space="0" w:color="auto"/>
        <w:bottom w:val="none" w:sz="0" w:space="0" w:color="auto"/>
        <w:right w:val="none" w:sz="0" w:space="0" w:color="auto"/>
      </w:divBdr>
    </w:div>
    <w:div w:id="197940062">
      <w:bodyDiv w:val="1"/>
      <w:marLeft w:val="0"/>
      <w:marRight w:val="0"/>
      <w:marTop w:val="0"/>
      <w:marBottom w:val="0"/>
      <w:divBdr>
        <w:top w:val="none" w:sz="0" w:space="0" w:color="auto"/>
        <w:left w:val="none" w:sz="0" w:space="0" w:color="auto"/>
        <w:bottom w:val="none" w:sz="0" w:space="0" w:color="auto"/>
        <w:right w:val="none" w:sz="0" w:space="0" w:color="auto"/>
      </w:divBdr>
    </w:div>
    <w:div w:id="198863836">
      <w:bodyDiv w:val="1"/>
      <w:marLeft w:val="0"/>
      <w:marRight w:val="0"/>
      <w:marTop w:val="0"/>
      <w:marBottom w:val="0"/>
      <w:divBdr>
        <w:top w:val="none" w:sz="0" w:space="0" w:color="auto"/>
        <w:left w:val="none" w:sz="0" w:space="0" w:color="auto"/>
        <w:bottom w:val="none" w:sz="0" w:space="0" w:color="auto"/>
        <w:right w:val="none" w:sz="0" w:space="0" w:color="auto"/>
      </w:divBdr>
    </w:div>
    <w:div w:id="20009618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148845">
      <w:bodyDiv w:val="1"/>
      <w:marLeft w:val="0"/>
      <w:marRight w:val="0"/>
      <w:marTop w:val="0"/>
      <w:marBottom w:val="0"/>
      <w:divBdr>
        <w:top w:val="none" w:sz="0" w:space="0" w:color="auto"/>
        <w:left w:val="none" w:sz="0" w:space="0" w:color="auto"/>
        <w:bottom w:val="none" w:sz="0" w:space="0" w:color="auto"/>
        <w:right w:val="none" w:sz="0" w:space="0" w:color="auto"/>
      </w:divBdr>
    </w:div>
    <w:div w:id="209266210">
      <w:bodyDiv w:val="1"/>
      <w:marLeft w:val="0"/>
      <w:marRight w:val="0"/>
      <w:marTop w:val="0"/>
      <w:marBottom w:val="0"/>
      <w:divBdr>
        <w:top w:val="none" w:sz="0" w:space="0" w:color="auto"/>
        <w:left w:val="none" w:sz="0" w:space="0" w:color="auto"/>
        <w:bottom w:val="none" w:sz="0" w:space="0" w:color="auto"/>
        <w:right w:val="none" w:sz="0" w:space="0" w:color="auto"/>
      </w:divBdr>
    </w:div>
    <w:div w:id="210652560">
      <w:bodyDiv w:val="1"/>
      <w:marLeft w:val="0"/>
      <w:marRight w:val="0"/>
      <w:marTop w:val="0"/>
      <w:marBottom w:val="0"/>
      <w:divBdr>
        <w:top w:val="none" w:sz="0" w:space="0" w:color="auto"/>
        <w:left w:val="none" w:sz="0" w:space="0" w:color="auto"/>
        <w:bottom w:val="none" w:sz="0" w:space="0" w:color="auto"/>
        <w:right w:val="none" w:sz="0" w:space="0" w:color="auto"/>
      </w:divBdr>
    </w:div>
    <w:div w:id="215358518">
      <w:bodyDiv w:val="1"/>
      <w:marLeft w:val="0"/>
      <w:marRight w:val="0"/>
      <w:marTop w:val="0"/>
      <w:marBottom w:val="0"/>
      <w:divBdr>
        <w:top w:val="none" w:sz="0" w:space="0" w:color="auto"/>
        <w:left w:val="none" w:sz="0" w:space="0" w:color="auto"/>
        <w:bottom w:val="none" w:sz="0" w:space="0" w:color="auto"/>
        <w:right w:val="none" w:sz="0" w:space="0" w:color="auto"/>
      </w:divBdr>
    </w:div>
    <w:div w:id="224992392">
      <w:bodyDiv w:val="1"/>
      <w:marLeft w:val="0"/>
      <w:marRight w:val="0"/>
      <w:marTop w:val="0"/>
      <w:marBottom w:val="0"/>
      <w:divBdr>
        <w:top w:val="none" w:sz="0" w:space="0" w:color="auto"/>
        <w:left w:val="none" w:sz="0" w:space="0" w:color="auto"/>
        <w:bottom w:val="none" w:sz="0" w:space="0" w:color="auto"/>
        <w:right w:val="none" w:sz="0" w:space="0" w:color="auto"/>
      </w:divBdr>
    </w:div>
    <w:div w:id="227496431">
      <w:bodyDiv w:val="1"/>
      <w:marLeft w:val="0"/>
      <w:marRight w:val="0"/>
      <w:marTop w:val="0"/>
      <w:marBottom w:val="0"/>
      <w:divBdr>
        <w:top w:val="none" w:sz="0" w:space="0" w:color="auto"/>
        <w:left w:val="none" w:sz="0" w:space="0" w:color="auto"/>
        <w:bottom w:val="none" w:sz="0" w:space="0" w:color="auto"/>
        <w:right w:val="none" w:sz="0" w:space="0" w:color="auto"/>
      </w:divBdr>
    </w:div>
    <w:div w:id="234440308">
      <w:bodyDiv w:val="1"/>
      <w:marLeft w:val="0"/>
      <w:marRight w:val="0"/>
      <w:marTop w:val="0"/>
      <w:marBottom w:val="0"/>
      <w:divBdr>
        <w:top w:val="none" w:sz="0" w:space="0" w:color="auto"/>
        <w:left w:val="none" w:sz="0" w:space="0" w:color="auto"/>
        <w:bottom w:val="none" w:sz="0" w:space="0" w:color="auto"/>
        <w:right w:val="none" w:sz="0" w:space="0" w:color="auto"/>
      </w:divBdr>
    </w:div>
    <w:div w:id="238250223">
      <w:bodyDiv w:val="1"/>
      <w:marLeft w:val="0"/>
      <w:marRight w:val="0"/>
      <w:marTop w:val="0"/>
      <w:marBottom w:val="0"/>
      <w:divBdr>
        <w:top w:val="none" w:sz="0" w:space="0" w:color="auto"/>
        <w:left w:val="none" w:sz="0" w:space="0" w:color="auto"/>
        <w:bottom w:val="none" w:sz="0" w:space="0" w:color="auto"/>
        <w:right w:val="none" w:sz="0" w:space="0" w:color="auto"/>
      </w:divBdr>
    </w:div>
    <w:div w:id="255553416">
      <w:bodyDiv w:val="1"/>
      <w:marLeft w:val="0"/>
      <w:marRight w:val="0"/>
      <w:marTop w:val="0"/>
      <w:marBottom w:val="0"/>
      <w:divBdr>
        <w:top w:val="none" w:sz="0" w:space="0" w:color="auto"/>
        <w:left w:val="none" w:sz="0" w:space="0" w:color="auto"/>
        <w:bottom w:val="none" w:sz="0" w:space="0" w:color="auto"/>
        <w:right w:val="none" w:sz="0" w:space="0" w:color="auto"/>
      </w:divBdr>
    </w:div>
    <w:div w:id="259068210">
      <w:bodyDiv w:val="1"/>
      <w:marLeft w:val="0"/>
      <w:marRight w:val="0"/>
      <w:marTop w:val="0"/>
      <w:marBottom w:val="0"/>
      <w:divBdr>
        <w:top w:val="none" w:sz="0" w:space="0" w:color="auto"/>
        <w:left w:val="none" w:sz="0" w:space="0" w:color="auto"/>
        <w:bottom w:val="none" w:sz="0" w:space="0" w:color="auto"/>
        <w:right w:val="none" w:sz="0" w:space="0" w:color="auto"/>
      </w:divBdr>
    </w:div>
    <w:div w:id="264273165">
      <w:bodyDiv w:val="1"/>
      <w:marLeft w:val="0"/>
      <w:marRight w:val="0"/>
      <w:marTop w:val="0"/>
      <w:marBottom w:val="0"/>
      <w:divBdr>
        <w:top w:val="none" w:sz="0" w:space="0" w:color="auto"/>
        <w:left w:val="none" w:sz="0" w:space="0" w:color="auto"/>
        <w:bottom w:val="none" w:sz="0" w:space="0" w:color="auto"/>
        <w:right w:val="none" w:sz="0" w:space="0" w:color="auto"/>
      </w:divBdr>
    </w:div>
    <w:div w:id="264532532">
      <w:bodyDiv w:val="1"/>
      <w:marLeft w:val="0"/>
      <w:marRight w:val="0"/>
      <w:marTop w:val="0"/>
      <w:marBottom w:val="0"/>
      <w:divBdr>
        <w:top w:val="none" w:sz="0" w:space="0" w:color="auto"/>
        <w:left w:val="none" w:sz="0" w:space="0" w:color="auto"/>
        <w:bottom w:val="none" w:sz="0" w:space="0" w:color="auto"/>
        <w:right w:val="none" w:sz="0" w:space="0" w:color="auto"/>
      </w:divBdr>
    </w:div>
    <w:div w:id="268006741">
      <w:bodyDiv w:val="1"/>
      <w:marLeft w:val="0"/>
      <w:marRight w:val="0"/>
      <w:marTop w:val="0"/>
      <w:marBottom w:val="0"/>
      <w:divBdr>
        <w:top w:val="none" w:sz="0" w:space="0" w:color="auto"/>
        <w:left w:val="none" w:sz="0" w:space="0" w:color="auto"/>
        <w:bottom w:val="none" w:sz="0" w:space="0" w:color="auto"/>
        <w:right w:val="none" w:sz="0" w:space="0" w:color="auto"/>
      </w:divBdr>
    </w:div>
    <w:div w:id="268127225">
      <w:bodyDiv w:val="1"/>
      <w:marLeft w:val="0"/>
      <w:marRight w:val="0"/>
      <w:marTop w:val="0"/>
      <w:marBottom w:val="0"/>
      <w:divBdr>
        <w:top w:val="none" w:sz="0" w:space="0" w:color="auto"/>
        <w:left w:val="none" w:sz="0" w:space="0" w:color="auto"/>
        <w:bottom w:val="none" w:sz="0" w:space="0" w:color="auto"/>
        <w:right w:val="none" w:sz="0" w:space="0" w:color="auto"/>
      </w:divBdr>
    </w:div>
    <w:div w:id="270287176">
      <w:bodyDiv w:val="1"/>
      <w:marLeft w:val="0"/>
      <w:marRight w:val="0"/>
      <w:marTop w:val="0"/>
      <w:marBottom w:val="0"/>
      <w:divBdr>
        <w:top w:val="none" w:sz="0" w:space="0" w:color="auto"/>
        <w:left w:val="none" w:sz="0" w:space="0" w:color="auto"/>
        <w:bottom w:val="none" w:sz="0" w:space="0" w:color="auto"/>
        <w:right w:val="none" w:sz="0" w:space="0" w:color="auto"/>
      </w:divBdr>
    </w:div>
    <w:div w:id="272788483">
      <w:bodyDiv w:val="1"/>
      <w:marLeft w:val="0"/>
      <w:marRight w:val="0"/>
      <w:marTop w:val="0"/>
      <w:marBottom w:val="0"/>
      <w:divBdr>
        <w:top w:val="none" w:sz="0" w:space="0" w:color="auto"/>
        <w:left w:val="none" w:sz="0" w:space="0" w:color="auto"/>
        <w:bottom w:val="none" w:sz="0" w:space="0" w:color="auto"/>
        <w:right w:val="none" w:sz="0" w:space="0" w:color="auto"/>
      </w:divBdr>
    </w:div>
    <w:div w:id="274292407">
      <w:bodyDiv w:val="1"/>
      <w:marLeft w:val="0"/>
      <w:marRight w:val="0"/>
      <w:marTop w:val="0"/>
      <w:marBottom w:val="0"/>
      <w:divBdr>
        <w:top w:val="none" w:sz="0" w:space="0" w:color="auto"/>
        <w:left w:val="none" w:sz="0" w:space="0" w:color="auto"/>
        <w:bottom w:val="none" w:sz="0" w:space="0" w:color="auto"/>
        <w:right w:val="none" w:sz="0" w:space="0" w:color="auto"/>
      </w:divBdr>
    </w:div>
    <w:div w:id="280110964">
      <w:bodyDiv w:val="1"/>
      <w:marLeft w:val="0"/>
      <w:marRight w:val="0"/>
      <w:marTop w:val="0"/>
      <w:marBottom w:val="0"/>
      <w:divBdr>
        <w:top w:val="none" w:sz="0" w:space="0" w:color="auto"/>
        <w:left w:val="none" w:sz="0" w:space="0" w:color="auto"/>
        <w:bottom w:val="none" w:sz="0" w:space="0" w:color="auto"/>
        <w:right w:val="none" w:sz="0" w:space="0" w:color="auto"/>
      </w:divBdr>
    </w:div>
    <w:div w:id="283390626">
      <w:bodyDiv w:val="1"/>
      <w:marLeft w:val="0"/>
      <w:marRight w:val="0"/>
      <w:marTop w:val="0"/>
      <w:marBottom w:val="0"/>
      <w:divBdr>
        <w:top w:val="none" w:sz="0" w:space="0" w:color="auto"/>
        <w:left w:val="none" w:sz="0" w:space="0" w:color="auto"/>
        <w:bottom w:val="none" w:sz="0" w:space="0" w:color="auto"/>
        <w:right w:val="none" w:sz="0" w:space="0" w:color="auto"/>
      </w:divBdr>
    </w:div>
    <w:div w:id="286817190">
      <w:bodyDiv w:val="1"/>
      <w:marLeft w:val="0"/>
      <w:marRight w:val="0"/>
      <w:marTop w:val="0"/>
      <w:marBottom w:val="0"/>
      <w:divBdr>
        <w:top w:val="none" w:sz="0" w:space="0" w:color="auto"/>
        <w:left w:val="none" w:sz="0" w:space="0" w:color="auto"/>
        <w:bottom w:val="none" w:sz="0" w:space="0" w:color="auto"/>
        <w:right w:val="none" w:sz="0" w:space="0" w:color="auto"/>
      </w:divBdr>
    </w:div>
    <w:div w:id="287517323">
      <w:bodyDiv w:val="1"/>
      <w:marLeft w:val="0"/>
      <w:marRight w:val="0"/>
      <w:marTop w:val="0"/>
      <w:marBottom w:val="0"/>
      <w:divBdr>
        <w:top w:val="none" w:sz="0" w:space="0" w:color="auto"/>
        <w:left w:val="none" w:sz="0" w:space="0" w:color="auto"/>
        <w:bottom w:val="none" w:sz="0" w:space="0" w:color="auto"/>
        <w:right w:val="none" w:sz="0" w:space="0" w:color="auto"/>
      </w:divBdr>
    </w:div>
    <w:div w:id="288127454">
      <w:bodyDiv w:val="1"/>
      <w:marLeft w:val="0"/>
      <w:marRight w:val="0"/>
      <w:marTop w:val="0"/>
      <w:marBottom w:val="0"/>
      <w:divBdr>
        <w:top w:val="none" w:sz="0" w:space="0" w:color="auto"/>
        <w:left w:val="none" w:sz="0" w:space="0" w:color="auto"/>
        <w:bottom w:val="none" w:sz="0" w:space="0" w:color="auto"/>
        <w:right w:val="none" w:sz="0" w:space="0" w:color="auto"/>
      </w:divBdr>
    </w:div>
    <w:div w:id="290863669">
      <w:bodyDiv w:val="1"/>
      <w:marLeft w:val="0"/>
      <w:marRight w:val="0"/>
      <w:marTop w:val="0"/>
      <w:marBottom w:val="0"/>
      <w:divBdr>
        <w:top w:val="none" w:sz="0" w:space="0" w:color="auto"/>
        <w:left w:val="none" w:sz="0" w:space="0" w:color="auto"/>
        <w:bottom w:val="none" w:sz="0" w:space="0" w:color="auto"/>
        <w:right w:val="none" w:sz="0" w:space="0" w:color="auto"/>
      </w:divBdr>
    </w:div>
    <w:div w:id="292492395">
      <w:bodyDiv w:val="1"/>
      <w:marLeft w:val="0"/>
      <w:marRight w:val="0"/>
      <w:marTop w:val="0"/>
      <w:marBottom w:val="0"/>
      <w:divBdr>
        <w:top w:val="none" w:sz="0" w:space="0" w:color="auto"/>
        <w:left w:val="none" w:sz="0" w:space="0" w:color="auto"/>
        <w:bottom w:val="none" w:sz="0" w:space="0" w:color="auto"/>
        <w:right w:val="none" w:sz="0" w:space="0" w:color="auto"/>
      </w:divBdr>
    </w:div>
    <w:div w:id="292760211">
      <w:bodyDiv w:val="1"/>
      <w:marLeft w:val="0"/>
      <w:marRight w:val="0"/>
      <w:marTop w:val="0"/>
      <w:marBottom w:val="0"/>
      <w:divBdr>
        <w:top w:val="none" w:sz="0" w:space="0" w:color="auto"/>
        <w:left w:val="none" w:sz="0" w:space="0" w:color="auto"/>
        <w:bottom w:val="none" w:sz="0" w:space="0" w:color="auto"/>
        <w:right w:val="none" w:sz="0" w:space="0" w:color="auto"/>
      </w:divBdr>
    </w:div>
    <w:div w:id="296035695">
      <w:bodyDiv w:val="1"/>
      <w:marLeft w:val="0"/>
      <w:marRight w:val="0"/>
      <w:marTop w:val="0"/>
      <w:marBottom w:val="0"/>
      <w:divBdr>
        <w:top w:val="none" w:sz="0" w:space="0" w:color="auto"/>
        <w:left w:val="none" w:sz="0" w:space="0" w:color="auto"/>
        <w:bottom w:val="none" w:sz="0" w:space="0" w:color="auto"/>
        <w:right w:val="none" w:sz="0" w:space="0" w:color="auto"/>
      </w:divBdr>
    </w:div>
    <w:div w:id="301153426">
      <w:bodyDiv w:val="1"/>
      <w:marLeft w:val="0"/>
      <w:marRight w:val="0"/>
      <w:marTop w:val="0"/>
      <w:marBottom w:val="0"/>
      <w:divBdr>
        <w:top w:val="none" w:sz="0" w:space="0" w:color="auto"/>
        <w:left w:val="none" w:sz="0" w:space="0" w:color="auto"/>
        <w:bottom w:val="none" w:sz="0" w:space="0" w:color="auto"/>
        <w:right w:val="none" w:sz="0" w:space="0" w:color="auto"/>
      </w:divBdr>
    </w:div>
    <w:div w:id="308286206">
      <w:bodyDiv w:val="1"/>
      <w:marLeft w:val="0"/>
      <w:marRight w:val="0"/>
      <w:marTop w:val="0"/>
      <w:marBottom w:val="0"/>
      <w:divBdr>
        <w:top w:val="none" w:sz="0" w:space="0" w:color="auto"/>
        <w:left w:val="none" w:sz="0" w:space="0" w:color="auto"/>
        <w:bottom w:val="none" w:sz="0" w:space="0" w:color="auto"/>
        <w:right w:val="none" w:sz="0" w:space="0" w:color="auto"/>
      </w:divBdr>
    </w:div>
    <w:div w:id="308831346">
      <w:bodyDiv w:val="1"/>
      <w:marLeft w:val="0"/>
      <w:marRight w:val="0"/>
      <w:marTop w:val="0"/>
      <w:marBottom w:val="0"/>
      <w:divBdr>
        <w:top w:val="none" w:sz="0" w:space="0" w:color="auto"/>
        <w:left w:val="none" w:sz="0" w:space="0" w:color="auto"/>
        <w:bottom w:val="none" w:sz="0" w:space="0" w:color="auto"/>
        <w:right w:val="none" w:sz="0" w:space="0" w:color="auto"/>
      </w:divBdr>
    </w:div>
    <w:div w:id="311298651">
      <w:bodyDiv w:val="1"/>
      <w:marLeft w:val="0"/>
      <w:marRight w:val="0"/>
      <w:marTop w:val="0"/>
      <w:marBottom w:val="0"/>
      <w:divBdr>
        <w:top w:val="none" w:sz="0" w:space="0" w:color="auto"/>
        <w:left w:val="none" w:sz="0" w:space="0" w:color="auto"/>
        <w:bottom w:val="none" w:sz="0" w:space="0" w:color="auto"/>
        <w:right w:val="none" w:sz="0" w:space="0" w:color="auto"/>
      </w:divBdr>
    </w:div>
    <w:div w:id="322512318">
      <w:bodyDiv w:val="1"/>
      <w:marLeft w:val="0"/>
      <w:marRight w:val="0"/>
      <w:marTop w:val="0"/>
      <w:marBottom w:val="0"/>
      <w:divBdr>
        <w:top w:val="none" w:sz="0" w:space="0" w:color="auto"/>
        <w:left w:val="none" w:sz="0" w:space="0" w:color="auto"/>
        <w:bottom w:val="none" w:sz="0" w:space="0" w:color="auto"/>
        <w:right w:val="none" w:sz="0" w:space="0" w:color="auto"/>
      </w:divBdr>
    </w:div>
    <w:div w:id="323896421">
      <w:bodyDiv w:val="1"/>
      <w:marLeft w:val="0"/>
      <w:marRight w:val="0"/>
      <w:marTop w:val="0"/>
      <w:marBottom w:val="0"/>
      <w:divBdr>
        <w:top w:val="none" w:sz="0" w:space="0" w:color="auto"/>
        <w:left w:val="none" w:sz="0" w:space="0" w:color="auto"/>
        <w:bottom w:val="none" w:sz="0" w:space="0" w:color="auto"/>
        <w:right w:val="none" w:sz="0" w:space="0" w:color="auto"/>
      </w:divBdr>
    </w:div>
    <w:div w:id="324360939">
      <w:bodyDiv w:val="1"/>
      <w:marLeft w:val="0"/>
      <w:marRight w:val="0"/>
      <w:marTop w:val="0"/>
      <w:marBottom w:val="0"/>
      <w:divBdr>
        <w:top w:val="none" w:sz="0" w:space="0" w:color="auto"/>
        <w:left w:val="none" w:sz="0" w:space="0" w:color="auto"/>
        <w:bottom w:val="none" w:sz="0" w:space="0" w:color="auto"/>
        <w:right w:val="none" w:sz="0" w:space="0" w:color="auto"/>
      </w:divBdr>
    </w:div>
    <w:div w:id="324669651">
      <w:bodyDiv w:val="1"/>
      <w:marLeft w:val="0"/>
      <w:marRight w:val="0"/>
      <w:marTop w:val="0"/>
      <w:marBottom w:val="0"/>
      <w:divBdr>
        <w:top w:val="none" w:sz="0" w:space="0" w:color="auto"/>
        <w:left w:val="none" w:sz="0" w:space="0" w:color="auto"/>
        <w:bottom w:val="none" w:sz="0" w:space="0" w:color="auto"/>
        <w:right w:val="none" w:sz="0" w:space="0" w:color="auto"/>
      </w:divBdr>
    </w:div>
    <w:div w:id="327248072">
      <w:bodyDiv w:val="1"/>
      <w:marLeft w:val="0"/>
      <w:marRight w:val="0"/>
      <w:marTop w:val="0"/>
      <w:marBottom w:val="0"/>
      <w:divBdr>
        <w:top w:val="none" w:sz="0" w:space="0" w:color="auto"/>
        <w:left w:val="none" w:sz="0" w:space="0" w:color="auto"/>
        <w:bottom w:val="none" w:sz="0" w:space="0" w:color="auto"/>
        <w:right w:val="none" w:sz="0" w:space="0" w:color="auto"/>
      </w:divBdr>
    </w:div>
    <w:div w:id="3328794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99353">
      <w:bodyDiv w:val="1"/>
      <w:marLeft w:val="0"/>
      <w:marRight w:val="0"/>
      <w:marTop w:val="0"/>
      <w:marBottom w:val="0"/>
      <w:divBdr>
        <w:top w:val="none" w:sz="0" w:space="0" w:color="auto"/>
        <w:left w:val="none" w:sz="0" w:space="0" w:color="auto"/>
        <w:bottom w:val="none" w:sz="0" w:space="0" w:color="auto"/>
        <w:right w:val="none" w:sz="0" w:space="0" w:color="auto"/>
      </w:divBdr>
    </w:div>
    <w:div w:id="334765531">
      <w:bodyDiv w:val="1"/>
      <w:marLeft w:val="0"/>
      <w:marRight w:val="0"/>
      <w:marTop w:val="0"/>
      <w:marBottom w:val="0"/>
      <w:divBdr>
        <w:top w:val="none" w:sz="0" w:space="0" w:color="auto"/>
        <w:left w:val="none" w:sz="0" w:space="0" w:color="auto"/>
        <w:bottom w:val="none" w:sz="0" w:space="0" w:color="auto"/>
        <w:right w:val="none" w:sz="0" w:space="0" w:color="auto"/>
      </w:divBdr>
    </w:div>
    <w:div w:id="336930654">
      <w:bodyDiv w:val="1"/>
      <w:marLeft w:val="0"/>
      <w:marRight w:val="0"/>
      <w:marTop w:val="0"/>
      <w:marBottom w:val="0"/>
      <w:divBdr>
        <w:top w:val="none" w:sz="0" w:space="0" w:color="auto"/>
        <w:left w:val="none" w:sz="0" w:space="0" w:color="auto"/>
        <w:bottom w:val="none" w:sz="0" w:space="0" w:color="auto"/>
        <w:right w:val="none" w:sz="0" w:space="0" w:color="auto"/>
      </w:divBdr>
    </w:div>
    <w:div w:id="339311249">
      <w:bodyDiv w:val="1"/>
      <w:marLeft w:val="0"/>
      <w:marRight w:val="0"/>
      <w:marTop w:val="0"/>
      <w:marBottom w:val="0"/>
      <w:divBdr>
        <w:top w:val="none" w:sz="0" w:space="0" w:color="auto"/>
        <w:left w:val="none" w:sz="0" w:space="0" w:color="auto"/>
        <w:bottom w:val="none" w:sz="0" w:space="0" w:color="auto"/>
        <w:right w:val="none" w:sz="0" w:space="0" w:color="auto"/>
      </w:divBdr>
    </w:div>
    <w:div w:id="344331169">
      <w:bodyDiv w:val="1"/>
      <w:marLeft w:val="0"/>
      <w:marRight w:val="0"/>
      <w:marTop w:val="0"/>
      <w:marBottom w:val="0"/>
      <w:divBdr>
        <w:top w:val="none" w:sz="0" w:space="0" w:color="auto"/>
        <w:left w:val="none" w:sz="0" w:space="0" w:color="auto"/>
        <w:bottom w:val="none" w:sz="0" w:space="0" w:color="auto"/>
        <w:right w:val="none" w:sz="0" w:space="0" w:color="auto"/>
      </w:divBdr>
    </w:div>
    <w:div w:id="347100235">
      <w:bodyDiv w:val="1"/>
      <w:marLeft w:val="0"/>
      <w:marRight w:val="0"/>
      <w:marTop w:val="0"/>
      <w:marBottom w:val="0"/>
      <w:divBdr>
        <w:top w:val="none" w:sz="0" w:space="0" w:color="auto"/>
        <w:left w:val="none" w:sz="0" w:space="0" w:color="auto"/>
        <w:bottom w:val="none" w:sz="0" w:space="0" w:color="auto"/>
        <w:right w:val="none" w:sz="0" w:space="0" w:color="auto"/>
      </w:divBdr>
    </w:div>
    <w:div w:id="349333021">
      <w:bodyDiv w:val="1"/>
      <w:marLeft w:val="0"/>
      <w:marRight w:val="0"/>
      <w:marTop w:val="0"/>
      <w:marBottom w:val="0"/>
      <w:divBdr>
        <w:top w:val="none" w:sz="0" w:space="0" w:color="auto"/>
        <w:left w:val="none" w:sz="0" w:space="0" w:color="auto"/>
        <w:bottom w:val="none" w:sz="0" w:space="0" w:color="auto"/>
        <w:right w:val="none" w:sz="0" w:space="0" w:color="auto"/>
      </w:divBdr>
    </w:div>
    <w:div w:id="349381494">
      <w:bodyDiv w:val="1"/>
      <w:marLeft w:val="0"/>
      <w:marRight w:val="0"/>
      <w:marTop w:val="0"/>
      <w:marBottom w:val="0"/>
      <w:divBdr>
        <w:top w:val="none" w:sz="0" w:space="0" w:color="auto"/>
        <w:left w:val="none" w:sz="0" w:space="0" w:color="auto"/>
        <w:bottom w:val="none" w:sz="0" w:space="0" w:color="auto"/>
        <w:right w:val="none" w:sz="0" w:space="0" w:color="auto"/>
      </w:divBdr>
    </w:div>
    <w:div w:id="350300715">
      <w:bodyDiv w:val="1"/>
      <w:marLeft w:val="0"/>
      <w:marRight w:val="0"/>
      <w:marTop w:val="0"/>
      <w:marBottom w:val="0"/>
      <w:divBdr>
        <w:top w:val="none" w:sz="0" w:space="0" w:color="auto"/>
        <w:left w:val="none" w:sz="0" w:space="0" w:color="auto"/>
        <w:bottom w:val="none" w:sz="0" w:space="0" w:color="auto"/>
        <w:right w:val="none" w:sz="0" w:space="0" w:color="auto"/>
      </w:divBdr>
    </w:div>
    <w:div w:id="350570402">
      <w:bodyDiv w:val="1"/>
      <w:marLeft w:val="0"/>
      <w:marRight w:val="0"/>
      <w:marTop w:val="0"/>
      <w:marBottom w:val="0"/>
      <w:divBdr>
        <w:top w:val="none" w:sz="0" w:space="0" w:color="auto"/>
        <w:left w:val="none" w:sz="0" w:space="0" w:color="auto"/>
        <w:bottom w:val="none" w:sz="0" w:space="0" w:color="auto"/>
        <w:right w:val="none" w:sz="0" w:space="0" w:color="auto"/>
      </w:divBdr>
    </w:div>
    <w:div w:id="353771887">
      <w:bodyDiv w:val="1"/>
      <w:marLeft w:val="0"/>
      <w:marRight w:val="0"/>
      <w:marTop w:val="0"/>
      <w:marBottom w:val="0"/>
      <w:divBdr>
        <w:top w:val="none" w:sz="0" w:space="0" w:color="auto"/>
        <w:left w:val="none" w:sz="0" w:space="0" w:color="auto"/>
        <w:bottom w:val="none" w:sz="0" w:space="0" w:color="auto"/>
        <w:right w:val="none" w:sz="0" w:space="0" w:color="auto"/>
      </w:divBdr>
    </w:div>
    <w:div w:id="356472939">
      <w:bodyDiv w:val="1"/>
      <w:marLeft w:val="0"/>
      <w:marRight w:val="0"/>
      <w:marTop w:val="0"/>
      <w:marBottom w:val="0"/>
      <w:divBdr>
        <w:top w:val="none" w:sz="0" w:space="0" w:color="auto"/>
        <w:left w:val="none" w:sz="0" w:space="0" w:color="auto"/>
        <w:bottom w:val="none" w:sz="0" w:space="0" w:color="auto"/>
        <w:right w:val="none" w:sz="0" w:space="0" w:color="auto"/>
      </w:divBdr>
    </w:div>
    <w:div w:id="360280656">
      <w:bodyDiv w:val="1"/>
      <w:marLeft w:val="0"/>
      <w:marRight w:val="0"/>
      <w:marTop w:val="0"/>
      <w:marBottom w:val="0"/>
      <w:divBdr>
        <w:top w:val="none" w:sz="0" w:space="0" w:color="auto"/>
        <w:left w:val="none" w:sz="0" w:space="0" w:color="auto"/>
        <w:bottom w:val="none" w:sz="0" w:space="0" w:color="auto"/>
        <w:right w:val="none" w:sz="0" w:space="0" w:color="auto"/>
      </w:divBdr>
    </w:div>
    <w:div w:id="369110977">
      <w:bodyDiv w:val="1"/>
      <w:marLeft w:val="0"/>
      <w:marRight w:val="0"/>
      <w:marTop w:val="0"/>
      <w:marBottom w:val="0"/>
      <w:divBdr>
        <w:top w:val="none" w:sz="0" w:space="0" w:color="auto"/>
        <w:left w:val="none" w:sz="0" w:space="0" w:color="auto"/>
        <w:bottom w:val="none" w:sz="0" w:space="0" w:color="auto"/>
        <w:right w:val="none" w:sz="0" w:space="0" w:color="auto"/>
      </w:divBdr>
    </w:div>
    <w:div w:id="371728501">
      <w:bodyDiv w:val="1"/>
      <w:marLeft w:val="0"/>
      <w:marRight w:val="0"/>
      <w:marTop w:val="0"/>
      <w:marBottom w:val="0"/>
      <w:divBdr>
        <w:top w:val="none" w:sz="0" w:space="0" w:color="auto"/>
        <w:left w:val="none" w:sz="0" w:space="0" w:color="auto"/>
        <w:bottom w:val="none" w:sz="0" w:space="0" w:color="auto"/>
        <w:right w:val="none" w:sz="0" w:space="0" w:color="auto"/>
      </w:divBdr>
    </w:div>
    <w:div w:id="372653791">
      <w:bodyDiv w:val="1"/>
      <w:marLeft w:val="0"/>
      <w:marRight w:val="0"/>
      <w:marTop w:val="0"/>
      <w:marBottom w:val="0"/>
      <w:divBdr>
        <w:top w:val="none" w:sz="0" w:space="0" w:color="auto"/>
        <w:left w:val="none" w:sz="0" w:space="0" w:color="auto"/>
        <w:bottom w:val="none" w:sz="0" w:space="0" w:color="auto"/>
        <w:right w:val="none" w:sz="0" w:space="0" w:color="auto"/>
      </w:divBdr>
    </w:div>
    <w:div w:id="374431999">
      <w:bodyDiv w:val="1"/>
      <w:marLeft w:val="0"/>
      <w:marRight w:val="0"/>
      <w:marTop w:val="0"/>
      <w:marBottom w:val="0"/>
      <w:divBdr>
        <w:top w:val="none" w:sz="0" w:space="0" w:color="auto"/>
        <w:left w:val="none" w:sz="0" w:space="0" w:color="auto"/>
        <w:bottom w:val="none" w:sz="0" w:space="0" w:color="auto"/>
        <w:right w:val="none" w:sz="0" w:space="0" w:color="auto"/>
      </w:divBdr>
    </w:div>
    <w:div w:id="376124065">
      <w:bodyDiv w:val="1"/>
      <w:marLeft w:val="0"/>
      <w:marRight w:val="0"/>
      <w:marTop w:val="0"/>
      <w:marBottom w:val="0"/>
      <w:divBdr>
        <w:top w:val="none" w:sz="0" w:space="0" w:color="auto"/>
        <w:left w:val="none" w:sz="0" w:space="0" w:color="auto"/>
        <w:bottom w:val="none" w:sz="0" w:space="0" w:color="auto"/>
        <w:right w:val="none" w:sz="0" w:space="0" w:color="auto"/>
      </w:divBdr>
    </w:div>
    <w:div w:id="376243779">
      <w:bodyDiv w:val="1"/>
      <w:marLeft w:val="0"/>
      <w:marRight w:val="0"/>
      <w:marTop w:val="0"/>
      <w:marBottom w:val="0"/>
      <w:divBdr>
        <w:top w:val="none" w:sz="0" w:space="0" w:color="auto"/>
        <w:left w:val="none" w:sz="0" w:space="0" w:color="auto"/>
        <w:bottom w:val="none" w:sz="0" w:space="0" w:color="auto"/>
        <w:right w:val="none" w:sz="0" w:space="0" w:color="auto"/>
      </w:divBdr>
    </w:div>
    <w:div w:id="379597935">
      <w:bodyDiv w:val="1"/>
      <w:marLeft w:val="0"/>
      <w:marRight w:val="0"/>
      <w:marTop w:val="0"/>
      <w:marBottom w:val="0"/>
      <w:divBdr>
        <w:top w:val="none" w:sz="0" w:space="0" w:color="auto"/>
        <w:left w:val="none" w:sz="0" w:space="0" w:color="auto"/>
        <w:bottom w:val="none" w:sz="0" w:space="0" w:color="auto"/>
        <w:right w:val="none" w:sz="0" w:space="0" w:color="auto"/>
      </w:divBdr>
    </w:div>
    <w:div w:id="384184886">
      <w:bodyDiv w:val="1"/>
      <w:marLeft w:val="0"/>
      <w:marRight w:val="0"/>
      <w:marTop w:val="0"/>
      <w:marBottom w:val="0"/>
      <w:divBdr>
        <w:top w:val="none" w:sz="0" w:space="0" w:color="auto"/>
        <w:left w:val="none" w:sz="0" w:space="0" w:color="auto"/>
        <w:bottom w:val="none" w:sz="0" w:space="0" w:color="auto"/>
        <w:right w:val="none" w:sz="0" w:space="0" w:color="auto"/>
      </w:divBdr>
    </w:div>
    <w:div w:id="385570331">
      <w:bodyDiv w:val="1"/>
      <w:marLeft w:val="0"/>
      <w:marRight w:val="0"/>
      <w:marTop w:val="0"/>
      <w:marBottom w:val="0"/>
      <w:divBdr>
        <w:top w:val="none" w:sz="0" w:space="0" w:color="auto"/>
        <w:left w:val="none" w:sz="0" w:space="0" w:color="auto"/>
        <w:bottom w:val="none" w:sz="0" w:space="0" w:color="auto"/>
        <w:right w:val="none" w:sz="0" w:space="0" w:color="auto"/>
      </w:divBdr>
    </w:div>
    <w:div w:id="401677814">
      <w:bodyDiv w:val="1"/>
      <w:marLeft w:val="0"/>
      <w:marRight w:val="0"/>
      <w:marTop w:val="0"/>
      <w:marBottom w:val="0"/>
      <w:divBdr>
        <w:top w:val="none" w:sz="0" w:space="0" w:color="auto"/>
        <w:left w:val="none" w:sz="0" w:space="0" w:color="auto"/>
        <w:bottom w:val="none" w:sz="0" w:space="0" w:color="auto"/>
        <w:right w:val="none" w:sz="0" w:space="0" w:color="auto"/>
      </w:divBdr>
    </w:div>
    <w:div w:id="404180456">
      <w:bodyDiv w:val="1"/>
      <w:marLeft w:val="0"/>
      <w:marRight w:val="0"/>
      <w:marTop w:val="0"/>
      <w:marBottom w:val="0"/>
      <w:divBdr>
        <w:top w:val="none" w:sz="0" w:space="0" w:color="auto"/>
        <w:left w:val="none" w:sz="0" w:space="0" w:color="auto"/>
        <w:bottom w:val="none" w:sz="0" w:space="0" w:color="auto"/>
        <w:right w:val="none" w:sz="0" w:space="0" w:color="auto"/>
      </w:divBdr>
    </w:div>
    <w:div w:id="410351328">
      <w:bodyDiv w:val="1"/>
      <w:marLeft w:val="0"/>
      <w:marRight w:val="0"/>
      <w:marTop w:val="0"/>
      <w:marBottom w:val="0"/>
      <w:divBdr>
        <w:top w:val="none" w:sz="0" w:space="0" w:color="auto"/>
        <w:left w:val="none" w:sz="0" w:space="0" w:color="auto"/>
        <w:bottom w:val="none" w:sz="0" w:space="0" w:color="auto"/>
        <w:right w:val="none" w:sz="0" w:space="0" w:color="auto"/>
      </w:divBdr>
    </w:div>
    <w:div w:id="412825526">
      <w:bodyDiv w:val="1"/>
      <w:marLeft w:val="0"/>
      <w:marRight w:val="0"/>
      <w:marTop w:val="0"/>
      <w:marBottom w:val="0"/>
      <w:divBdr>
        <w:top w:val="none" w:sz="0" w:space="0" w:color="auto"/>
        <w:left w:val="none" w:sz="0" w:space="0" w:color="auto"/>
        <w:bottom w:val="none" w:sz="0" w:space="0" w:color="auto"/>
        <w:right w:val="none" w:sz="0" w:space="0" w:color="auto"/>
      </w:divBdr>
    </w:div>
    <w:div w:id="413674318">
      <w:bodyDiv w:val="1"/>
      <w:marLeft w:val="0"/>
      <w:marRight w:val="0"/>
      <w:marTop w:val="0"/>
      <w:marBottom w:val="0"/>
      <w:divBdr>
        <w:top w:val="none" w:sz="0" w:space="0" w:color="auto"/>
        <w:left w:val="none" w:sz="0" w:space="0" w:color="auto"/>
        <w:bottom w:val="none" w:sz="0" w:space="0" w:color="auto"/>
        <w:right w:val="none" w:sz="0" w:space="0" w:color="auto"/>
      </w:divBdr>
    </w:div>
    <w:div w:id="422799988">
      <w:bodyDiv w:val="1"/>
      <w:marLeft w:val="0"/>
      <w:marRight w:val="0"/>
      <w:marTop w:val="0"/>
      <w:marBottom w:val="0"/>
      <w:divBdr>
        <w:top w:val="none" w:sz="0" w:space="0" w:color="auto"/>
        <w:left w:val="none" w:sz="0" w:space="0" w:color="auto"/>
        <w:bottom w:val="none" w:sz="0" w:space="0" w:color="auto"/>
        <w:right w:val="none" w:sz="0" w:space="0" w:color="auto"/>
      </w:divBdr>
    </w:div>
    <w:div w:id="432944286">
      <w:bodyDiv w:val="1"/>
      <w:marLeft w:val="0"/>
      <w:marRight w:val="0"/>
      <w:marTop w:val="0"/>
      <w:marBottom w:val="0"/>
      <w:divBdr>
        <w:top w:val="none" w:sz="0" w:space="0" w:color="auto"/>
        <w:left w:val="none" w:sz="0" w:space="0" w:color="auto"/>
        <w:bottom w:val="none" w:sz="0" w:space="0" w:color="auto"/>
        <w:right w:val="none" w:sz="0" w:space="0" w:color="auto"/>
      </w:divBdr>
    </w:div>
    <w:div w:id="434444668">
      <w:bodyDiv w:val="1"/>
      <w:marLeft w:val="0"/>
      <w:marRight w:val="0"/>
      <w:marTop w:val="0"/>
      <w:marBottom w:val="0"/>
      <w:divBdr>
        <w:top w:val="none" w:sz="0" w:space="0" w:color="auto"/>
        <w:left w:val="none" w:sz="0" w:space="0" w:color="auto"/>
        <w:bottom w:val="none" w:sz="0" w:space="0" w:color="auto"/>
        <w:right w:val="none" w:sz="0" w:space="0" w:color="auto"/>
      </w:divBdr>
    </w:div>
    <w:div w:id="43524706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1653414">
      <w:bodyDiv w:val="1"/>
      <w:marLeft w:val="0"/>
      <w:marRight w:val="0"/>
      <w:marTop w:val="0"/>
      <w:marBottom w:val="0"/>
      <w:divBdr>
        <w:top w:val="none" w:sz="0" w:space="0" w:color="auto"/>
        <w:left w:val="none" w:sz="0" w:space="0" w:color="auto"/>
        <w:bottom w:val="none" w:sz="0" w:space="0" w:color="auto"/>
        <w:right w:val="none" w:sz="0" w:space="0" w:color="auto"/>
      </w:divBdr>
    </w:div>
    <w:div w:id="444153258">
      <w:bodyDiv w:val="1"/>
      <w:marLeft w:val="0"/>
      <w:marRight w:val="0"/>
      <w:marTop w:val="0"/>
      <w:marBottom w:val="0"/>
      <w:divBdr>
        <w:top w:val="none" w:sz="0" w:space="0" w:color="auto"/>
        <w:left w:val="none" w:sz="0" w:space="0" w:color="auto"/>
        <w:bottom w:val="none" w:sz="0" w:space="0" w:color="auto"/>
        <w:right w:val="none" w:sz="0" w:space="0" w:color="auto"/>
      </w:divBdr>
    </w:div>
    <w:div w:id="448817780">
      <w:bodyDiv w:val="1"/>
      <w:marLeft w:val="0"/>
      <w:marRight w:val="0"/>
      <w:marTop w:val="0"/>
      <w:marBottom w:val="0"/>
      <w:divBdr>
        <w:top w:val="none" w:sz="0" w:space="0" w:color="auto"/>
        <w:left w:val="none" w:sz="0" w:space="0" w:color="auto"/>
        <w:bottom w:val="none" w:sz="0" w:space="0" w:color="auto"/>
        <w:right w:val="none" w:sz="0" w:space="0" w:color="auto"/>
      </w:divBdr>
    </w:div>
    <w:div w:id="450131407">
      <w:bodyDiv w:val="1"/>
      <w:marLeft w:val="0"/>
      <w:marRight w:val="0"/>
      <w:marTop w:val="0"/>
      <w:marBottom w:val="0"/>
      <w:divBdr>
        <w:top w:val="none" w:sz="0" w:space="0" w:color="auto"/>
        <w:left w:val="none" w:sz="0" w:space="0" w:color="auto"/>
        <w:bottom w:val="none" w:sz="0" w:space="0" w:color="auto"/>
        <w:right w:val="none" w:sz="0" w:space="0" w:color="auto"/>
      </w:divBdr>
    </w:div>
    <w:div w:id="451048467">
      <w:bodyDiv w:val="1"/>
      <w:marLeft w:val="0"/>
      <w:marRight w:val="0"/>
      <w:marTop w:val="0"/>
      <w:marBottom w:val="0"/>
      <w:divBdr>
        <w:top w:val="none" w:sz="0" w:space="0" w:color="auto"/>
        <w:left w:val="none" w:sz="0" w:space="0" w:color="auto"/>
        <w:bottom w:val="none" w:sz="0" w:space="0" w:color="auto"/>
        <w:right w:val="none" w:sz="0" w:space="0" w:color="auto"/>
      </w:divBdr>
    </w:div>
    <w:div w:id="451560654">
      <w:bodyDiv w:val="1"/>
      <w:marLeft w:val="0"/>
      <w:marRight w:val="0"/>
      <w:marTop w:val="0"/>
      <w:marBottom w:val="0"/>
      <w:divBdr>
        <w:top w:val="none" w:sz="0" w:space="0" w:color="auto"/>
        <w:left w:val="none" w:sz="0" w:space="0" w:color="auto"/>
        <w:bottom w:val="none" w:sz="0" w:space="0" w:color="auto"/>
        <w:right w:val="none" w:sz="0" w:space="0" w:color="auto"/>
      </w:divBdr>
    </w:div>
    <w:div w:id="454758697">
      <w:bodyDiv w:val="1"/>
      <w:marLeft w:val="0"/>
      <w:marRight w:val="0"/>
      <w:marTop w:val="0"/>
      <w:marBottom w:val="0"/>
      <w:divBdr>
        <w:top w:val="none" w:sz="0" w:space="0" w:color="auto"/>
        <w:left w:val="none" w:sz="0" w:space="0" w:color="auto"/>
        <w:bottom w:val="none" w:sz="0" w:space="0" w:color="auto"/>
        <w:right w:val="none" w:sz="0" w:space="0" w:color="auto"/>
      </w:divBdr>
    </w:div>
    <w:div w:id="455562903">
      <w:bodyDiv w:val="1"/>
      <w:marLeft w:val="0"/>
      <w:marRight w:val="0"/>
      <w:marTop w:val="0"/>
      <w:marBottom w:val="0"/>
      <w:divBdr>
        <w:top w:val="none" w:sz="0" w:space="0" w:color="auto"/>
        <w:left w:val="none" w:sz="0" w:space="0" w:color="auto"/>
        <w:bottom w:val="none" w:sz="0" w:space="0" w:color="auto"/>
        <w:right w:val="none" w:sz="0" w:space="0" w:color="auto"/>
      </w:divBdr>
    </w:div>
    <w:div w:id="45568697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184568">
      <w:bodyDiv w:val="1"/>
      <w:marLeft w:val="0"/>
      <w:marRight w:val="0"/>
      <w:marTop w:val="0"/>
      <w:marBottom w:val="0"/>
      <w:divBdr>
        <w:top w:val="none" w:sz="0" w:space="0" w:color="auto"/>
        <w:left w:val="none" w:sz="0" w:space="0" w:color="auto"/>
        <w:bottom w:val="none" w:sz="0" w:space="0" w:color="auto"/>
        <w:right w:val="none" w:sz="0" w:space="0" w:color="auto"/>
      </w:divBdr>
    </w:div>
    <w:div w:id="458452289">
      <w:bodyDiv w:val="1"/>
      <w:marLeft w:val="0"/>
      <w:marRight w:val="0"/>
      <w:marTop w:val="0"/>
      <w:marBottom w:val="0"/>
      <w:divBdr>
        <w:top w:val="none" w:sz="0" w:space="0" w:color="auto"/>
        <w:left w:val="none" w:sz="0" w:space="0" w:color="auto"/>
        <w:bottom w:val="none" w:sz="0" w:space="0" w:color="auto"/>
        <w:right w:val="none" w:sz="0" w:space="0" w:color="auto"/>
      </w:divBdr>
    </w:div>
    <w:div w:id="460002959">
      <w:bodyDiv w:val="1"/>
      <w:marLeft w:val="0"/>
      <w:marRight w:val="0"/>
      <w:marTop w:val="0"/>
      <w:marBottom w:val="0"/>
      <w:divBdr>
        <w:top w:val="none" w:sz="0" w:space="0" w:color="auto"/>
        <w:left w:val="none" w:sz="0" w:space="0" w:color="auto"/>
        <w:bottom w:val="none" w:sz="0" w:space="0" w:color="auto"/>
        <w:right w:val="none" w:sz="0" w:space="0" w:color="auto"/>
      </w:divBdr>
    </w:div>
    <w:div w:id="462235609">
      <w:bodyDiv w:val="1"/>
      <w:marLeft w:val="0"/>
      <w:marRight w:val="0"/>
      <w:marTop w:val="0"/>
      <w:marBottom w:val="0"/>
      <w:divBdr>
        <w:top w:val="none" w:sz="0" w:space="0" w:color="auto"/>
        <w:left w:val="none" w:sz="0" w:space="0" w:color="auto"/>
        <w:bottom w:val="none" w:sz="0" w:space="0" w:color="auto"/>
        <w:right w:val="none" w:sz="0" w:space="0" w:color="auto"/>
      </w:divBdr>
    </w:div>
    <w:div w:id="463160831">
      <w:bodyDiv w:val="1"/>
      <w:marLeft w:val="0"/>
      <w:marRight w:val="0"/>
      <w:marTop w:val="0"/>
      <w:marBottom w:val="0"/>
      <w:divBdr>
        <w:top w:val="none" w:sz="0" w:space="0" w:color="auto"/>
        <w:left w:val="none" w:sz="0" w:space="0" w:color="auto"/>
        <w:bottom w:val="none" w:sz="0" w:space="0" w:color="auto"/>
        <w:right w:val="none" w:sz="0" w:space="0" w:color="auto"/>
      </w:divBdr>
    </w:div>
    <w:div w:id="464590630">
      <w:bodyDiv w:val="1"/>
      <w:marLeft w:val="0"/>
      <w:marRight w:val="0"/>
      <w:marTop w:val="0"/>
      <w:marBottom w:val="0"/>
      <w:divBdr>
        <w:top w:val="none" w:sz="0" w:space="0" w:color="auto"/>
        <w:left w:val="none" w:sz="0" w:space="0" w:color="auto"/>
        <w:bottom w:val="none" w:sz="0" w:space="0" w:color="auto"/>
        <w:right w:val="none" w:sz="0" w:space="0" w:color="auto"/>
      </w:divBdr>
    </w:div>
    <w:div w:id="467087331">
      <w:bodyDiv w:val="1"/>
      <w:marLeft w:val="0"/>
      <w:marRight w:val="0"/>
      <w:marTop w:val="0"/>
      <w:marBottom w:val="0"/>
      <w:divBdr>
        <w:top w:val="none" w:sz="0" w:space="0" w:color="auto"/>
        <w:left w:val="none" w:sz="0" w:space="0" w:color="auto"/>
        <w:bottom w:val="none" w:sz="0" w:space="0" w:color="auto"/>
        <w:right w:val="none" w:sz="0" w:space="0" w:color="auto"/>
      </w:divBdr>
    </w:div>
    <w:div w:id="469175075">
      <w:bodyDiv w:val="1"/>
      <w:marLeft w:val="0"/>
      <w:marRight w:val="0"/>
      <w:marTop w:val="0"/>
      <w:marBottom w:val="0"/>
      <w:divBdr>
        <w:top w:val="none" w:sz="0" w:space="0" w:color="auto"/>
        <w:left w:val="none" w:sz="0" w:space="0" w:color="auto"/>
        <w:bottom w:val="none" w:sz="0" w:space="0" w:color="auto"/>
        <w:right w:val="none" w:sz="0" w:space="0" w:color="auto"/>
      </w:divBdr>
    </w:div>
    <w:div w:id="470296716">
      <w:bodyDiv w:val="1"/>
      <w:marLeft w:val="0"/>
      <w:marRight w:val="0"/>
      <w:marTop w:val="0"/>
      <w:marBottom w:val="0"/>
      <w:divBdr>
        <w:top w:val="none" w:sz="0" w:space="0" w:color="auto"/>
        <w:left w:val="none" w:sz="0" w:space="0" w:color="auto"/>
        <w:bottom w:val="none" w:sz="0" w:space="0" w:color="auto"/>
        <w:right w:val="none" w:sz="0" w:space="0" w:color="auto"/>
      </w:divBdr>
    </w:div>
    <w:div w:id="472254435">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2744212">
      <w:bodyDiv w:val="1"/>
      <w:marLeft w:val="0"/>
      <w:marRight w:val="0"/>
      <w:marTop w:val="0"/>
      <w:marBottom w:val="0"/>
      <w:divBdr>
        <w:top w:val="none" w:sz="0" w:space="0" w:color="auto"/>
        <w:left w:val="none" w:sz="0" w:space="0" w:color="auto"/>
        <w:bottom w:val="none" w:sz="0" w:space="0" w:color="auto"/>
        <w:right w:val="none" w:sz="0" w:space="0" w:color="auto"/>
      </w:divBdr>
    </w:div>
    <w:div w:id="503474188">
      <w:bodyDiv w:val="1"/>
      <w:marLeft w:val="0"/>
      <w:marRight w:val="0"/>
      <w:marTop w:val="0"/>
      <w:marBottom w:val="0"/>
      <w:divBdr>
        <w:top w:val="none" w:sz="0" w:space="0" w:color="auto"/>
        <w:left w:val="none" w:sz="0" w:space="0" w:color="auto"/>
        <w:bottom w:val="none" w:sz="0" w:space="0" w:color="auto"/>
        <w:right w:val="none" w:sz="0" w:space="0" w:color="auto"/>
      </w:divBdr>
    </w:div>
    <w:div w:id="503861805">
      <w:bodyDiv w:val="1"/>
      <w:marLeft w:val="0"/>
      <w:marRight w:val="0"/>
      <w:marTop w:val="0"/>
      <w:marBottom w:val="0"/>
      <w:divBdr>
        <w:top w:val="none" w:sz="0" w:space="0" w:color="auto"/>
        <w:left w:val="none" w:sz="0" w:space="0" w:color="auto"/>
        <w:bottom w:val="none" w:sz="0" w:space="0" w:color="auto"/>
        <w:right w:val="none" w:sz="0" w:space="0" w:color="auto"/>
      </w:divBdr>
    </w:div>
    <w:div w:id="510949883">
      <w:bodyDiv w:val="1"/>
      <w:marLeft w:val="0"/>
      <w:marRight w:val="0"/>
      <w:marTop w:val="0"/>
      <w:marBottom w:val="0"/>
      <w:divBdr>
        <w:top w:val="none" w:sz="0" w:space="0" w:color="auto"/>
        <w:left w:val="none" w:sz="0" w:space="0" w:color="auto"/>
        <w:bottom w:val="none" w:sz="0" w:space="0" w:color="auto"/>
        <w:right w:val="none" w:sz="0" w:space="0" w:color="auto"/>
      </w:divBdr>
    </w:div>
    <w:div w:id="520314359">
      <w:bodyDiv w:val="1"/>
      <w:marLeft w:val="0"/>
      <w:marRight w:val="0"/>
      <w:marTop w:val="0"/>
      <w:marBottom w:val="0"/>
      <w:divBdr>
        <w:top w:val="none" w:sz="0" w:space="0" w:color="auto"/>
        <w:left w:val="none" w:sz="0" w:space="0" w:color="auto"/>
        <w:bottom w:val="none" w:sz="0" w:space="0" w:color="auto"/>
        <w:right w:val="none" w:sz="0" w:space="0" w:color="auto"/>
      </w:divBdr>
    </w:div>
    <w:div w:id="522591588">
      <w:bodyDiv w:val="1"/>
      <w:marLeft w:val="0"/>
      <w:marRight w:val="0"/>
      <w:marTop w:val="0"/>
      <w:marBottom w:val="0"/>
      <w:divBdr>
        <w:top w:val="none" w:sz="0" w:space="0" w:color="auto"/>
        <w:left w:val="none" w:sz="0" w:space="0" w:color="auto"/>
        <w:bottom w:val="none" w:sz="0" w:space="0" w:color="auto"/>
        <w:right w:val="none" w:sz="0" w:space="0" w:color="auto"/>
      </w:divBdr>
    </w:div>
    <w:div w:id="523861584">
      <w:bodyDiv w:val="1"/>
      <w:marLeft w:val="0"/>
      <w:marRight w:val="0"/>
      <w:marTop w:val="0"/>
      <w:marBottom w:val="0"/>
      <w:divBdr>
        <w:top w:val="none" w:sz="0" w:space="0" w:color="auto"/>
        <w:left w:val="none" w:sz="0" w:space="0" w:color="auto"/>
        <w:bottom w:val="none" w:sz="0" w:space="0" w:color="auto"/>
        <w:right w:val="none" w:sz="0" w:space="0" w:color="auto"/>
      </w:divBdr>
    </w:div>
    <w:div w:id="529535328">
      <w:bodyDiv w:val="1"/>
      <w:marLeft w:val="0"/>
      <w:marRight w:val="0"/>
      <w:marTop w:val="0"/>
      <w:marBottom w:val="0"/>
      <w:divBdr>
        <w:top w:val="none" w:sz="0" w:space="0" w:color="auto"/>
        <w:left w:val="none" w:sz="0" w:space="0" w:color="auto"/>
        <w:bottom w:val="none" w:sz="0" w:space="0" w:color="auto"/>
        <w:right w:val="none" w:sz="0" w:space="0" w:color="auto"/>
      </w:divBdr>
    </w:div>
    <w:div w:id="530458222">
      <w:bodyDiv w:val="1"/>
      <w:marLeft w:val="0"/>
      <w:marRight w:val="0"/>
      <w:marTop w:val="0"/>
      <w:marBottom w:val="0"/>
      <w:divBdr>
        <w:top w:val="none" w:sz="0" w:space="0" w:color="auto"/>
        <w:left w:val="none" w:sz="0" w:space="0" w:color="auto"/>
        <w:bottom w:val="none" w:sz="0" w:space="0" w:color="auto"/>
        <w:right w:val="none" w:sz="0" w:space="0" w:color="auto"/>
      </w:divBdr>
    </w:div>
    <w:div w:id="53276633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823474">
      <w:bodyDiv w:val="1"/>
      <w:marLeft w:val="0"/>
      <w:marRight w:val="0"/>
      <w:marTop w:val="0"/>
      <w:marBottom w:val="0"/>
      <w:divBdr>
        <w:top w:val="none" w:sz="0" w:space="0" w:color="auto"/>
        <w:left w:val="none" w:sz="0" w:space="0" w:color="auto"/>
        <w:bottom w:val="none" w:sz="0" w:space="0" w:color="auto"/>
        <w:right w:val="none" w:sz="0" w:space="0" w:color="auto"/>
      </w:divBdr>
    </w:div>
    <w:div w:id="541940629">
      <w:bodyDiv w:val="1"/>
      <w:marLeft w:val="0"/>
      <w:marRight w:val="0"/>
      <w:marTop w:val="0"/>
      <w:marBottom w:val="0"/>
      <w:divBdr>
        <w:top w:val="none" w:sz="0" w:space="0" w:color="auto"/>
        <w:left w:val="none" w:sz="0" w:space="0" w:color="auto"/>
        <w:bottom w:val="none" w:sz="0" w:space="0" w:color="auto"/>
        <w:right w:val="none" w:sz="0" w:space="0" w:color="auto"/>
      </w:divBdr>
    </w:div>
    <w:div w:id="549809745">
      <w:bodyDiv w:val="1"/>
      <w:marLeft w:val="0"/>
      <w:marRight w:val="0"/>
      <w:marTop w:val="0"/>
      <w:marBottom w:val="0"/>
      <w:divBdr>
        <w:top w:val="none" w:sz="0" w:space="0" w:color="auto"/>
        <w:left w:val="none" w:sz="0" w:space="0" w:color="auto"/>
        <w:bottom w:val="none" w:sz="0" w:space="0" w:color="auto"/>
        <w:right w:val="none" w:sz="0" w:space="0" w:color="auto"/>
      </w:divBdr>
    </w:div>
    <w:div w:id="552693405">
      <w:bodyDiv w:val="1"/>
      <w:marLeft w:val="0"/>
      <w:marRight w:val="0"/>
      <w:marTop w:val="0"/>
      <w:marBottom w:val="0"/>
      <w:divBdr>
        <w:top w:val="none" w:sz="0" w:space="0" w:color="auto"/>
        <w:left w:val="none" w:sz="0" w:space="0" w:color="auto"/>
        <w:bottom w:val="none" w:sz="0" w:space="0" w:color="auto"/>
        <w:right w:val="none" w:sz="0" w:space="0" w:color="auto"/>
      </w:divBdr>
    </w:div>
    <w:div w:id="553084882">
      <w:bodyDiv w:val="1"/>
      <w:marLeft w:val="0"/>
      <w:marRight w:val="0"/>
      <w:marTop w:val="0"/>
      <w:marBottom w:val="0"/>
      <w:divBdr>
        <w:top w:val="none" w:sz="0" w:space="0" w:color="auto"/>
        <w:left w:val="none" w:sz="0" w:space="0" w:color="auto"/>
        <w:bottom w:val="none" w:sz="0" w:space="0" w:color="auto"/>
        <w:right w:val="none" w:sz="0" w:space="0" w:color="auto"/>
      </w:divBdr>
    </w:div>
    <w:div w:id="563493310">
      <w:bodyDiv w:val="1"/>
      <w:marLeft w:val="0"/>
      <w:marRight w:val="0"/>
      <w:marTop w:val="0"/>
      <w:marBottom w:val="0"/>
      <w:divBdr>
        <w:top w:val="none" w:sz="0" w:space="0" w:color="auto"/>
        <w:left w:val="none" w:sz="0" w:space="0" w:color="auto"/>
        <w:bottom w:val="none" w:sz="0" w:space="0" w:color="auto"/>
        <w:right w:val="none" w:sz="0" w:space="0" w:color="auto"/>
      </w:divBdr>
    </w:div>
    <w:div w:id="564224461">
      <w:bodyDiv w:val="1"/>
      <w:marLeft w:val="0"/>
      <w:marRight w:val="0"/>
      <w:marTop w:val="0"/>
      <w:marBottom w:val="0"/>
      <w:divBdr>
        <w:top w:val="none" w:sz="0" w:space="0" w:color="auto"/>
        <w:left w:val="none" w:sz="0" w:space="0" w:color="auto"/>
        <w:bottom w:val="none" w:sz="0" w:space="0" w:color="auto"/>
        <w:right w:val="none" w:sz="0" w:space="0" w:color="auto"/>
      </w:divBdr>
    </w:div>
    <w:div w:id="567957561">
      <w:bodyDiv w:val="1"/>
      <w:marLeft w:val="0"/>
      <w:marRight w:val="0"/>
      <w:marTop w:val="0"/>
      <w:marBottom w:val="0"/>
      <w:divBdr>
        <w:top w:val="none" w:sz="0" w:space="0" w:color="auto"/>
        <w:left w:val="none" w:sz="0" w:space="0" w:color="auto"/>
        <w:bottom w:val="none" w:sz="0" w:space="0" w:color="auto"/>
        <w:right w:val="none" w:sz="0" w:space="0" w:color="auto"/>
      </w:divBdr>
    </w:div>
    <w:div w:id="571041736">
      <w:bodyDiv w:val="1"/>
      <w:marLeft w:val="0"/>
      <w:marRight w:val="0"/>
      <w:marTop w:val="0"/>
      <w:marBottom w:val="0"/>
      <w:divBdr>
        <w:top w:val="none" w:sz="0" w:space="0" w:color="auto"/>
        <w:left w:val="none" w:sz="0" w:space="0" w:color="auto"/>
        <w:bottom w:val="none" w:sz="0" w:space="0" w:color="auto"/>
        <w:right w:val="none" w:sz="0" w:space="0" w:color="auto"/>
      </w:divBdr>
    </w:div>
    <w:div w:id="573243603">
      <w:bodyDiv w:val="1"/>
      <w:marLeft w:val="0"/>
      <w:marRight w:val="0"/>
      <w:marTop w:val="0"/>
      <w:marBottom w:val="0"/>
      <w:divBdr>
        <w:top w:val="none" w:sz="0" w:space="0" w:color="auto"/>
        <w:left w:val="none" w:sz="0" w:space="0" w:color="auto"/>
        <w:bottom w:val="none" w:sz="0" w:space="0" w:color="auto"/>
        <w:right w:val="none" w:sz="0" w:space="0" w:color="auto"/>
      </w:divBdr>
    </w:div>
    <w:div w:id="577711470">
      <w:bodyDiv w:val="1"/>
      <w:marLeft w:val="0"/>
      <w:marRight w:val="0"/>
      <w:marTop w:val="0"/>
      <w:marBottom w:val="0"/>
      <w:divBdr>
        <w:top w:val="none" w:sz="0" w:space="0" w:color="auto"/>
        <w:left w:val="none" w:sz="0" w:space="0" w:color="auto"/>
        <w:bottom w:val="none" w:sz="0" w:space="0" w:color="auto"/>
        <w:right w:val="none" w:sz="0" w:space="0" w:color="auto"/>
      </w:divBdr>
    </w:div>
    <w:div w:id="579482356">
      <w:bodyDiv w:val="1"/>
      <w:marLeft w:val="0"/>
      <w:marRight w:val="0"/>
      <w:marTop w:val="0"/>
      <w:marBottom w:val="0"/>
      <w:divBdr>
        <w:top w:val="none" w:sz="0" w:space="0" w:color="auto"/>
        <w:left w:val="none" w:sz="0" w:space="0" w:color="auto"/>
        <w:bottom w:val="none" w:sz="0" w:space="0" w:color="auto"/>
        <w:right w:val="none" w:sz="0" w:space="0" w:color="auto"/>
      </w:divBdr>
    </w:div>
    <w:div w:id="580722204">
      <w:bodyDiv w:val="1"/>
      <w:marLeft w:val="0"/>
      <w:marRight w:val="0"/>
      <w:marTop w:val="0"/>
      <w:marBottom w:val="0"/>
      <w:divBdr>
        <w:top w:val="none" w:sz="0" w:space="0" w:color="auto"/>
        <w:left w:val="none" w:sz="0" w:space="0" w:color="auto"/>
        <w:bottom w:val="none" w:sz="0" w:space="0" w:color="auto"/>
        <w:right w:val="none" w:sz="0" w:space="0" w:color="auto"/>
      </w:divBdr>
    </w:div>
    <w:div w:id="582765211">
      <w:bodyDiv w:val="1"/>
      <w:marLeft w:val="0"/>
      <w:marRight w:val="0"/>
      <w:marTop w:val="0"/>
      <w:marBottom w:val="0"/>
      <w:divBdr>
        <w:top w:val="none" w:sz="0" w:space="0" w:color="auto"/>
        <w:left w:val="none" w:sz="0" w:space="0" w:color="auto"/>
        <w:bottom w:val="none" w:sz="0" w:space="0" w:color="auto"/>
        <w:right w:val="none" w:sz="0" w:space="0" w:color="auto"/>
      </w:divBdr>
    </w:div>
    <w:div w:id="592591419">
      <w:bodyDiv w:val="1"/>
      <w:marLeft w:val="0"/>
      <w:marRight w:val="0"/>
      <w:marTop w:val="0"/>
      <w:marBottom w:val="0"/>
      <w:divBdr>
        <w:top w:val="none" w:sz="0" w:space="0" w:color="auto"/>
        <w:left w:val="none" w:sz="0" w:space="0" w:color="auto"/>
        <w:bottom w:val="none" w:sz="0" w:space="0" w:color="auto"/>
        <w:right w:val="none" w:sz="0" w:space="0" w:color="auto"/>
      </w:divBdr>
    </w:div>
    <w:div w:id="595136980">
      <w:bodyDiv w:val="1"/>
      <w:marLeft w:val="0"/>
      <w:marRight w:val="0"/>
      <w:marTop w:val="0"/>
      <w:marBottom w:val="0"/>
      <w:divBdr>
        <w:top w:val="none" w:sz="0" w:space="0" w:color="auto"/>
        <w:left w:val="none" w:sz="0" w:space="0" w:color="auto"/>
        <w:bottom w:val="none" w:sz="0" w:space="0" w:color="auto"/>
        <w:right w:val="none" w:sz="0" w:space="0" w:color="auto"/>
      </w:divBdr>
    </w:div>
    <w:div w:id="595557284">
      <w:bodyDiv w:val="1"/>
      <w:marLeft w:val="0"/>
      <w:marRight w:val="0"/>
      <w:marTop w:val="0"/>
      <w:marBottom w:val="0"/>
      <w:divBdr>
        <w:top w:val="none" w:sz="0" w:space="0" w:color="auto"/>
        <w:left w:val="none" w:sz="0" w:space="0" w:color="auto"/>
        <w:bottom w:val="none" w:sz="0" w:space="0" w:color="auto"/>
        <w:right w:val="none" w:sz="0" w:space="0" w:color="auto"/>
      </w:divBdr>
    </w:div>
    <w:div w:id="597759077">
      <w:bodyDiv w:val="1"/>
      <w:marLeft w:val="0"/>
      <w:marRight w:val="0"/>
      <w:marTop w:val="0"/>
      <w:marBottom w:val="0"/>
      <w:divBdr>
        <w:top w:val="none" w:sz="0" w:space="0" w:color="auto"/>
        <w:left w:val="none" w:sz="0" w:space="0" w:color="auto"/>
        <w:bottom w:val="none" w:sz="0" w:space="0" w:color="auto"/>
        <w:right w:val="none" w:sz="0" w:space="0" w:color="auto"/>
      </w:divBdr>
    </w:div>
    <w:div w:id="604727225">
      <w:bodyDiv w:val="1"/>
      <w:marLeft w:val="0"/>
      <w:marRight w:val="0"/>
      <w:marTop w:val="0"/>
      <w:marBottom w:val="0"/>
      <w:divBdr>
        <w:top w:val="none" w:sz="0" w:space="0" w:color="auto"/>
        <w:left w:val="none" w:sz="0" w:space="0" w:color="auto"/>
        <w:bottom w:val="none" w:sz="0" w:space="0" w:color="auto"/>
        <w:right w:val="none" w:sz="0" w:space="0" w:color="auto"/>
      </w:divBdr>
    </w:div>
    <w:div w:id="609431268">
      <w:bodyDiv w:val="1"/>
      <w:marLeft w:val="0"/>
      <w:marRight w:val="0"/>
      <w:marTop w:val="0"/>
      <w:marBottom w:val="0"/>
      <w:divBdr>
        <w:top w:val="none" w:sz="0" w:space="0" w:color="auto"/>
        <w:left w:val="none" w:sz="0" w:space="0" w:color="auto"/>
        <w:bottom w:val="none" w:sz="0" w:space="0" w:color="auto"/>
        <w:right w:val="none" w:sz="0" w:space="0" w:color="auto"/>
      </w:divBdr>
    </w:div>
    <w:div w:id="610892747">
      <w:bodyDiv w:val="1"/>
      <w:marLeft w:val="0"/>
      <w:marRight w:val="0"/>
      <w:marTop w:val="0"/>
      <w:marBottom w:val="0"/>
      <w:divBdr>
        <w:top w:val="none" w:sz="0" w:space="0" w:color="auto"/>
        <w:left w:val="none" w:sz="0" w:space="0" w:color="auto"/>
        <w:bottom w:val="none" w:sz="0" w:space="0" w:color="auto"/>
        <w:right w:val="none" w:sz="0" w:space="0" w:color="auto"/>
      </w:divBdr>
    </w:div>
    <w:div w:id="617567532">
      <w:bodyDiv w:val="1"/>
      <w:marLeft w:val="0"/>
      <w:marRight w:val="0"/>
      <w:marTop w:val="0"/>
      <w:marBottom w:val="0"/>
      <w:divBdr>
        <w:top w:val="none" w:sz="0" w:space="0" w:color="auto"/>
        <w:left w:val="none" w:sz="0" w:space="0" w:color="auto"/>
        <w:bottom w:val="none" w:sz="0" w:space="0" w:color="auto"/>
        <w:right w:val="none" w:sz="0" w:space="0" w:color="auto"/>
      </w:divBdr>
    </w:div>
    <w:div w:id="624043377">
      <w:bodyDiv w:val="1"/>
      <w:marLeft w:val="0"/>
      <w:marRight w:val="0"/>
      <w:marTop w:val="0"/>
      <w:marBottom w:val="0"/>
      <w:divBdr>
        <w:top w:val="none" w:sz="0" w:space="0" w:color="auto"/>
        <w:left w:val="none" w:sz="0" w:space="0" w:color="auto"/>
        <w:bottom w:val="none" w:sz="0" w:space="0" w:color="auto"/>
        <w:right w:val="none" w:sz="0" w:space="0" w:color="auto"/>
      </w:divBdr>
    </w:div>
    <w:div w:id="624121925">
      <w:bodyDiv w:val="1"/>
      <w:marLeft w:val="0"/>
      <w:marRight w:val="0"/>
      <w:marTop w:val="0"/>
      <w:marBottom w:val="0"/>
      <w:divBdr>
        <w:top w:val="none" w:sz="0" w:space="0" w:color="auto"/>
        <w:left w:val="none" w:sz="0" w:space="0" w:color="auto"/>
        <w:bottom w:val="none" w:sz="0" w:space="0" w:color="auto"/>
        <w:right w:val="none" w:sz="0" w:space="0" w:color="auto"/>
      </w:divBdr>
    </w:div>
    <w:div w:id="628123845">
      <w:bodyDiv w:val="1"/>
      <w:marLeft w:val="0"/>
      <w:marRight w:val="0"/>
      <w:marTop w:val="0"/>
      <w:marBottom w:val="0"/>
      <w:divBdr>
        <w:top w:val="none" w:sz="0" w:space="0" w:color="auto"/>
        <w:left w:val="none" w:sz="0" w:space="0" w:color="auto"/>
        <w:bottom w:val="none" w:sz="0" w:space="0" w:color="auto"/>
        <w:right w:val="none" w:sz="0" w:space="0" w:color="auto"/>
      </w:divBdr>
    </w:div>
    <w:div w:id="630787452">
      <w:bodyDiv w:val="1"/>
      <w:marLeft w:val="0"/>
      <w:marRight w:val="0"/>
      <w:marTop w:val="0"/>
      <w:marBottom w:val="0"/>
      <w:divBdr>
        <w:top w:val="none" w:sz="0" w:space="0" w:color="auto"/>
        <w:left w:val="none" w:sz="0" w:space="0" w:color="auto"/>
        <w:bottom w:val="none" w:sz="0" w:space="0" w:color="auto"/>
        <w:right w:val="none" w:sz="0" w:space="0" w:color="auto"/>
      </w:divBdr>
    </w:div>
    <w:div w:id="635766862">
      <w:bodyDiv w:val="1"/>
      <w:marLeft w:val="0"/>
      <w:marRight w:val="0"/>
      <w:marTop w:val="0"/>
      <w:marBottom w:val="0"/>
      <w:divBdr>
        <w:top w:val="none" w:sz="0" w:space="0" w:color="auto"/>
        <w:left w:val="none" w:sz="0" w:space="0" w:color="auto"/>
        <w:bottom w:val="none" w:sz="0" w:space="0" w:color="auto"/>
        <w:right w:val="none" w:sz="0" w:space="0" w:color="auto"/>
      </w:divBdr>
    </w:div>
    <w:div w:id="638724183">
      <w:bodyDiv w:val="1"/>
      <w:marLeft w:val="0"/>
      <w:marRight w:val="0"/>
      <w:marTop w:val="0"/>
      <w:marBottom w:val="0"/>
      <w:divBdr>
        <w:top w:val="none" w:sz="0" w:space="0" w:color="auto"/>
        <w:left w:val="none" w:sz="0" w:space="0" w:color="auto"/>
        <w:bottom w:val="none" w:sz="0" w:space="0" w:color="auto"/>
        <w:right w:val="none" w:sz="0" w:space="0" w:color="auto"/>
      </w:divBdr>
    </w:div>
    <w:div w:id="643121266">
      <w:bodyDiv w:val="1"/>
      <w:marLeft w:val="0"/>
      <w:marRight w:val="0"/>
      <w:marTop w:val="0"/>
      <w:marBottom w:val="0"/>
      <w:divBdr>
        <w:top w:val="none" w:sz="0" w:space="0" w:color="auto"/>
        <w:left w:val="none" w:sz="0" w:space="0" w:color="auto"/>
        <w:bottom w:val="none" w:sz="0" w:space="0" w:color="auto"/>
        <w:right w:val="none" w:sz="0" w:space="0" w:color="auto"/>
      </w:divBdr>
    </w:div>
    <w:div w:id="644119556">
      <w:bodyDiv w:val="1"/>
      <w:marLeft w:val="0"/>
      <w:marRight w:val="0"/>
      <w:marTop w:val="0"/>
      <w:marBottom w:val="0"/>
      <w:divBdr>
        <w:top w:val="none" w:sz="0" w:space="0" w:color="auto"/>
        <w:left w:val="none" w:sz="0" w:space="0" w:color="auto"/>
        <w:bottom w:val="none" w:sz="0" w:space="0" w:color="auto"/>
        <w:right w:val="none" w:sz="0" w:space="0" w:color="auto"/>
      </w:divBdr>
    </w:div>
    <w:div w:id="649016009">
      <w:bodyDiv w:val="1"/>
      <w:marLeft w:val="0"/>
      <w:marRight w:val="0"/>
      <w:marTop w:val="0"/>
      <w:marBottom w:val="0"/>
      <w:divBdr>
        <w:top w:val="none" w:sz="0" w:space="0" w:color="auto"/>
        <w:left w:val="none" w:sz="0" w:space="0" w:color="auto"/>
        <w:bottom w:val="none" w:sz="0" w:space="0" w:color="auto"/>
        <w:right w:val="none" w:sz="0" w:space="0" w:color="auto"/>
      </w:divBdr>
    </w:div>
    <w:div w:id="652679319">
      <w:bodyDiv w:val="1"/>
      <w:marLeft w:val="0"/>
      <w:marRight w:val="0"/>
      <w:marTop w:val="0"/>
      <w:marBottom w:val="0"/>
      <w:divBdr>
        <w:top w:val="none" w:sz="0" w:space="0" w:color="auto"/>
        <w:left w:val="none" w:sz="0" w:space="0" w:color="auto"/>
        <w:bottom w:val="none" w:sz="0" w:space="0" w:color="auto"/>
        <w:right w:val="none" w:sz="0" w:space="0" w:color="auto"/>
      </w:divBdr>
    </w:div>
    <w:div w:id="656422227">
      <w:bodyDiv w:val="1"/>
      <w:marLeft w:val="0"/>
      <w:marRight w:val="0"/>
      <w:marTop w:val="0"/>
      <w:marBottom w:val="0"/>
      <w:divBdr>
        <w:top w:val="none" w:sz="0" w:space="0" w:color="auto"/>
        <w:left w:val="none" w:sz="0" w:space="0" w:color="auto"/>
        <w:bottom w:val="none" w:sz="0" w:space="0" w:color="auto"/>
        <w:right w:val="none" w:sz="0" w:space="0" w:color="auto"/>
      </w:divBdr>
    </w:div>
    <w:div w:id="657610469">
      <w:bodyDiv w:val="1"/>
      <w:marLeft w:val="0"/>
      <w:marRight w:val="0"/>
      <w:marTop w:val="0"/>
      <w:marBottom w:val="0"/>
      <w:divBdr>
        <w:top w:val="none" w:sz="0" w:space="0" w:color="auto"/>
        <w:left w:val="none" w:sz="0" w:space="0" w:color="auto"/>
        <w:bottom w:val="none" w:sz="0" w:space="0" w:color="auto"/>
        <w:right w:val="none" w:sz="0" w:space="0" w:color="auto"/>
      </w:divBdr>
    </w:div>
    <w:div w:id="665402770">
      <w:bodyDiv w:val="1"/>
      <w:marLeft w:val="0"/>
      <w:marRight w:val="0"/>
      <w:marTop w:val="0"/>
      <w:marBottom w:val="0"/>
      <w:divBdr>
        <w:top w:val="none" w:sz="0" w:space="0" w:color="auto"/>
        <w:left w:val="none" w:sz="0" w:space="0" w:color="auto"/>
        <w:bottom w:val="none" w:sz="0" w:space="0" w:color="auto"/>
        <w:right w:val="none" w:sz="0" w:space="0" w:color="auto"/>
      </w:divBdr>
    </w:div>
    <w:div w:id="666058336">
      <w:bodyDiv w:val="1"/>
      <w:marLeft w:val="0"/>
      <w:marRight w:val="0"/>
      <w:marTop w:val="0"/>
      <w:marBottom w:val="0"/>
      <w:divBdr>
        <w:top w:val="none" w:sz="0" w:space="0" w:color="auto"/>
        <w:left w:val="none" w:sz="0" w:space="0" w:color="auto"/>
        <w:bottom w:val="none" w:sz="0" w:space="0" w:color="auto"/>
        <w:right w:val="none" w:sz="0" w:space="0" w:color="auto"/>
      </w:divBdr>
    </w:div>
    <w:div w:id="666593248">
      <w:bodyDiv w:val="1"/>
      <w:marLeft w:val="0"/>
      <w:marRight w:val="0"/>
      <w:marTop w:val="0"/>
      <w:marBottom w:val="0"/>
      <w:divBdr>
        <w:top w:val="none" w:sz="0" w:space="0" w:color="auto"/>
        <w:left w:val="none" w:sz="0" w:space="0" w:color="auto"/>
        <w:bottom w:val="none" w:sz="0" w:space="0" w:color="auto"/>
        <w:right w:val="none" w:sz="0" w:space="0" w:color="auto"/>
      </w:divBdr>
    </w:div>
    <w:div w:id="671370026">
      <w:bodyDiv w:val="1"/>
      <w:marLeft w:val="0"/>
      <w:marRight w:val="0"/>
      <w:marTop w:val="0"/>
      <w:marBottom w:val="0"/>
      <w:divBdr>
        <w:top w:val="none" w:sz="0" w:space="0" w:color="auto"/>
        <w:left w:val="none" w:sz="0" w:space="0" w:color="auto"/>
        <w:bottom w:val="none" w:sz="0" w:space="0" w:color="auto"/>
        <w:right w:val="none" w:sz="0" w:space="0" w:color="auto"/>
      </w:divBdr>
    </w:div>
    <w:div w:id="671493551">
      <w:bodyDiv w:val="1"/>
      <w:marLeft w:val="0"/>
      <w:marRight w:val="0"/>
      <w:marTop w:val="0"/>
      <w:marBottom w:val="0"/>
      <w:divBdr>
        <w:top w:val="none" w:sz="0" w:space="0" w:color="auto"/>
        <w:left w:val="none" w:sz="0" w:space="0" w:color="auto"/>
        <w:bottom w:val="none" w:sz="0" w:space="0" w:color="auto"/>
        <w:right w:val="none" w:sz="0" w:space="0" w:color="auto"/>
      </w:divBdr>
    </w:div>
    <w:div w:id="674769802">
      <w:bodyDiv w:val="1"/>
      <w:marLeft w:val="0"/>
      <w:marRight w:val="0"/>
      <w:marTop w:val="0"/>
      <w:marBottom w:val="0"/>
      <w:divBdr>
        <w:top w:val="none" w:sz="0" w:space="0" w:color="auto"/>
        <w:left w:val="none" w:sz="0" w:space="0" w:color="auto"/>
        <w:bottom w:val="none" w:sz="0" w:space="0" w:color="auto"/>
        <w:right w:val="none" w:sz="0" w:space="0" w:color="auto"/>
      </w:divBdr>
    </w:div>
    <w:div w:id="679086026">
      <w:bodyDiv w:val="1"/>
      <w:marLeft w:val="0"/>
      <w:marRight w:val="0"/>
      <w:marTop w:val="0"/>
      <w:marBottom w:val="0"/>
      <w:divBdr>
        <w:top w:val="none" w:sz="0" w:space="0" w:color="auto"/>
        <w:left w:val="none" w:sz="0" w:space="0" w:color="auto"/>
        <w:bottom w:val="none" w:sz="0" w:space="0" w:color="auto"/>
        <w:right w:val="none" w:sz="0" w:space="0" w:color="auto"/>
      </w:divBdr>
    </w:div>
    <w:div w:id="679240881">
      <w:bodyDiv w:val="1"/>
      <w:marLeft w:val="0"/>
      <w:marRight w:val="0"/>
      <w:marTop w:val="0"/>
      <w:marBottom w:val="0"/>
      <w:divBdr>
        <w:top w:val="none" w:sz="0" w:space="0" w:color="auto"/>
        <w:left w:val="none" w:sz="0" w:space="0" w:color="auto"/>
        <w:bottom w:val="none" w:sz="0" w:space="0" w:color="auto"/>
        <w:right w:val="none" w:sz="0" w:space="0" w:color="auto"/>
      </w:divBdr>
    </w:div>
    <w:div w:id="680815417">
      <w:bodyDiv w:val="1"/>
      <w:marLeft w:val="0"/>
      <w:marRight w:val="0"/>
      <w:marTop w:val="0"/>
      <w:marBottom w:val="0"/>
      <w:divBdr>
        <w:top w:val="none" w:sz="0" w:space="0" w:color="auto"/>
        <w:left w:val="none" w:sz="0" w:space="0" w:color="auto"/>
        <w:bottom w:val="none" w:sz="0" w:space="0" w:color="auto"/>
        <w:right w:val="none" w:sz="0" w:space="0" w:color="auto"/>
      </w:divBdr>
    </w:div>
    <w:div w:id="686978650">
      <w:bodyDiv w:val="1"/>
      <w:marLeft w:val="0"/>
      <w:marRight w:val="0"/>
      <w:marTop w:val="0"/>
      <w:marBottom w:val="0"/>
      <w:divBdr>
        <w:top w:val="none" w:sz="0" w:space="0" w:color="auto"/>
        <w:left w:val="none" w:sz="0" w:space="0" w:color="auto"/>
        <w:bottom w:val="none" w:sz="0" w:space="0" w:color="auto"/>
        <w:right w:val="none" w:sz="0" w:space="0" w:color="auto"/>
      </w:divBdr>
    </w:div>
    <w:div w:id="691229788">
      <w:bodyDiv w:val="1"/>
      <w:marLeft w:val="0"/>
      <w:marRight w:val="0"/>
      <w:marTop w:val="0"/>
      <w:marBottom w:val="0"/>
      <w:divBdr>
        <w:top w:val="none" w:sz="0" w:space="0" w:color="auto"/>
        <w:left w:val="none" w:sz="0" w:space="0" w:color="auto"/>
        <w:bottom w:val="none" w:sz="0" w:space="0" w:color="auto"/>
        <w:right w:val="none" w:sz="0" w:space="0" w:color="auto"/>
      </w:divBdr>
    </w:div>
    <w:div w:id="693310831">
      <w:bodyDiv w:val="1"/>
      <w:marLeft w:val="0"/>
      <w:marRight w:val="0"/>
      <w:marTop w:val="0"/>
      <w:marBottom w:val="0"/>
      <w:divBdr>
        <w:top w:val="none" w:sz="0" w:space="0" w:color="auto"/>
        <w:left w:val="none" w:sz="0" w:space="0" w:color="auto"/>
        <w:bottom w:val="none" w:sz="0" w:space="0" w:color="auto"/>
        <w:right w:val="none" w:sz="0" w:space="0" w:color="auto"/>
      </w:divBdr>
    </w:div>
    <w:div w:id="699207043">
      <w:bodyDiv w:val="1"/>
      <w:marLeft w:val="0"/>
      <w:marRight w:val="0"/>
      <w:marTop w:val="0"/>
      <w:marBottom w:val="0"/>
      <w:divBdr>
        <w:top w:val="none" w:sz="0" w:space="0" w:color="auto"/>
        <w:left w:val="none" w:sz="0" w:space="0" w:color="auto"/>
        <w:bottom w:val="none" w:sz="0" w:space="0" w:color="auto"/>
        <w:right w:val="none" w:sz="0" w:space="0" w:color="auto"/>
      </w:divBdr>
    </w:div>
    <w:div w:id="704256490">
      <w:bodyDiv w:val="1"/>
      <w:marLeft w:val="0"/>
      <w:marRight w:val="0"/>
      <w:marTop w:val="0"/>
      <w:marBottom w:val="0"/>
      <w:divBdr>
        <w:top w:val="none" w:sz="0" w:space="0" w:color="auto"/>
        <w:left w:val="none" w:sz="0" w:space="0" w:color="auto"/>
        <w:bottom w:val="none" w:sz="0" w:space="0" w:color="auto"/>
        <w:right w:val="none" w:sz="0" w:space="0" w:color="auto"/>
      </w:divBdr>
    </w:div>
    <w:div w:id="706638244">
      <w:bodyDiv w:val="1"/>
      <w:marLeft w:val="0"/>
      <w:marRight w:val="0"/>
      <w:marTop w:val="0"/>
      <w:marBottom w:val="0"/>
      <w:divBdr>
        <w:top w:val="none" w:sz="0" w:space="0" w:color="auto"/>
        <w:left w:val="none" w:sz="0" w:space="0" w:color="auto"/>
        <w:bottom w:val="none" w:sz="0" w:space="0" w:color="auto"/>
        <w:right w:val="none" w:sz="0" w:space="0" w:color="auto"/>
      </w:divBdr>
    </w:div>
    <w:div w:id="711423871">
      <w:bodyDiv w:val="1"/>
      <w:marLeft w:val="0"/>
      <w:marRight w:val="0"/>
      <w:marTop w:val="0"/>
      <w:marBottom w:val="0"/>
      <w:divBdr>
        <w:top w:val="none" w:sz="0" w:space="0" w:color="auto"/>
        <w:left w:val="none" w:sz="0" w:space="0" w:color="auto"/>
        <w:bottom w:val="none" w:sz="0" w:space="0" w:color="auto"/>
        <w:right w:val="none" w:sz="0" w:space="0" w:color="auto"/>
      </w:divBdr>
    </w:div>
    <w:div w:id="715423521">
      <w:bodyDiv w:val="1"/>
      <w:marLeft w:val="0"/>
      <w:marRight w:val="0"/>
      <w:marTop w:val="0"/>
      <w:marBottom w:val="0"/>
      <w:divBdr>
        <w:top w:val="none" w:sz="0" w:space="0" w:color="auto"/>
        <w:left w:val="none" w:sz="0" w:space="0" w:color="auto"/>
        <w:bottom w:val="none" w:sz="0" w:space="0" w:color="auto"/>
        <w:right w:val="none" w:sz="0" w:space="0" w:color="auto"/>
      </w:divBdr>
    </w:div>
    <w:div w:id="727457217">
      <w:bodyDiv w:val="1"/>
      <w:marLeft w:val="0"/>
      <w:marRight w:val="0"/>
      <w:marTop w:val="0"/>
      <w:marBottom w:val="0"/>
      <w:divBdr>
        <w:top w:val="none" w:sz="0" w:space="0" w:color="auto"/>
        <w:left w:val="none" w:sz="0" w:space="0" w:color="auto"/>
        <w:bottom w:val="none" w:sz="0" w:space="0" w:color="auto"/>
        <w:right w:val="none" w:sz="0" w:space="0" w:color="auto"/>
      </w:divBdr>
    </w:div>
    <w:div w:id="730926230">
      <w:bodyDiv w:val="1"/>
      <w:marLeft w:val="0"/>
      <w:marRight w:val="0"/>
      <w:marTop w:val="0"/>
      <w:marBottom w:val="0"/>
      <w:divBdr>
        <w:top w:val="none" w:sz="0" w:space="0" w:color="auto"/>
        <w:left w:val="none" w:sz="0" w:space="0" w:color="auto"/>
        <w:bottom w:val="none" w:sz="0" w:space="0" w:color="auto"/>
        <w:right w:val="none" w:sz="0" w:space="0" w:color="auto"/>
      </w:divBdr>
    </w:div>
    <w:div w:id="735321724">
      <w:bodyDiv w:val="1"/>
      <w:marLeft w:val="0"/>
      <w:marRight w:val="0"/>
      <w:marTop w:val="0"/>
      <w:marBottom w:val="0"/>
      <w:divBdr>
        <w:top w:val="none" w:sz="0" w:space="0" w:color="auto"/>
        <w:left w:val="none" w:sz="0" w:space="0" w:color="auto"/>
        <w:bottom w:val="none" w:sz="0" w:space="0" w:color="auto"/>
        <w:right w:val="none" w:sz="0" w:space="0" w:color="auto"/>
      </w:divBdr>
    </w:div>
    <w:div w:id="735518090">
      <w:bodyDiv w:val="1"/>
      <w:marLeft w:val="0"/>
      <w:marRight w:val="0"/>
      <w:marTop w:val="0"/>
      <w:marBottom w:val="0"/>
      <w:divBdr>
        <w:top w:val="none" w:sz="0" w:space="0" w:color="auto"/>
        <w:left w:val="none" w:sz="0" w:space="0" w:color="auto"/>
        <w:bottom w:val="none" w:sz="0" w:space="0" w:color="auto"/>
        <w:right w:val="none" w:sz="0" w:space="0" w:color="auto"/>
      </w:divBdr>
    </w:div>
    <w:div w:id="741371664">
      <w:bodyDiv w:val="1"/>
      <w:marLeft w:val="0"/>
      <w:marRight w:val="0"/>
      <w:marTop w:val="0"/>
      <w:marBottom w:val="0"/>
      <w:divBdr>
        <w:top w:val="none" w:sz="0" w:space="0" w:color="auto"/>
        <w:left w:val="none" w:sz="0" w:space="0" w:color="auto"/>
        <w:bottom w:val="none" w:sz="0" w:space="0" w:color="auto"/>
        <w:right w:val="none" w:sz="0" w:space="0" w:color="auto"/>
      </w:divBdr>
    </w:div>
    <w:div w:id="742333060">
      <w:bodyDiv w:val="1"/>
      <w:marLeft w:val="0"/>
      <w:marRight w:val="0"/>
      <w:marTop w:val="0"/>
      <w:marBottom w:val="0"/>
      <w:divBdr>
        <w:top w:val="none" w:sz="0" w:space="0" w:color="auto"/>
        <w:left w:val="none" w:sz="0" w:space="0" w:color="auto"/>
        <w:bottom w:val="none" w:sz="0" w:space="0" w:color="auto"/>
        <w:right w:val="none" w:sz="0" w:space="0" w:color="auto"/>
      </w:divBdr>
    </w:div>
    <w:div w:id="742988435">
      <w:bodyDiv w:val="1"/>
      <w:marLeft w:val="0"/>
      <w:marRight w:val="0"/>
      <w:marTop w:val="0"/>
      <w:marBottom w:val="0"/>
      <w:divBdr>
        <w:top w:val="none" w:sz="0" w:space="0" w:color="auto"/>
        <w:left w:val="none" w:sz="0" w:space="0" w:color="auto"/>
        <w:bottom w:val="none" w:sz="0" w:space="0" w:color="auto"/>
        <w:right w:val="none" w:sz="0" w:space="0" w:color="auto"/>
      </w:divBdr>
    </w:div>
    <w:div w:id="745418200">
      <w:bodyDiv w:val="1"/>
      <w:marLeft w:val="0"/>
      <w:marRight w:val="0"/>
      <w:marTop w:val="0"/>
      <w:marBottom w:val="0"/>
      <w:divBdr>
        <w:top w:val="none" w:sz="0" w:space="0" w:color="auto"/>
        <w:left w:val="none" w:sz="0" w:space="0" w:color="auto"/>
        <w:bottom w:val="none" w:sz="0" w:space="0" w:color="auto"/>
        <w:right w:val="none" w:sz="0" w:space="0" w:color="auto"/>
      </w:divBdr>
    </w:div>
    <w:div w:id="745494616">
      <w:bodyDiv w:val="1"/>
      <w:marLeft w:val="0"/>
      <w:marRight w:val="0"/>
      <w:marTop w:val="0"/>
      <w:marBottom w:val="0"/>
      <w:divBdr>
        <w:top w:val="none" w:sz="0" w:space="0" w:color="auto"/>
        <w:left w:val="none" w:sz="0" w:space="0" w:color="auto"/>
        <w:bottom w:val="none" w:sz="0" w:space="0" w:color="auto"/>
        <w:right w:val="none" w:sz="0" w:space="0" w:color="auto"/>
      </w:divBdr>
    </w:div>
    <w:div w:id="745691554">
      <w:bodyDiv w:val="1"/>
      <w:marLeft w:val="0"/>
      <w:marRight w:val="0"/>
      <w:marTop w:val="0"/>
      <w:marBottom w:val="0"/>
      <w:divBdr>
        <w:top w:val="none" w:sz="0" w:space="0" w:color="auto"/>
        <w:left w:val="none" w:sz="0" w:space="0" w:color="auto"/>
        <w:bottom w:val="none" w:sz="0" w:space="0" w:color="auto"/>
        <w:right w:val="none" w:sz="0" w:space="0" w:color="auto"/>
      </w:divBdr>
    </w:div>
    <w:div w:id="747192921">
      <w:bodyDiv w:val="1"/>
      <w:marLeft w:val="0"/>
      <w:marRight w:val="0"/>
      <w:marTop w:val="0"/>
      <w:marBottom w:val="0"/>
      <w:divBdr>
        <w:top w:val="none" w:sz="0" w:space="0" w:color="auto"/>
        <w:left w:val="none" w:sz="0" w:space="0" w:color="auto"/>
        <w:bottom w:val="none" w:sz="0" w:space="0" w:color="auto"/>
        <w:right w:val="none" w:sz="0" w:space="0" w:color="auto"/>
      </w:divBdr>
    </w:div>
    <w:div w:id="749742191">
      <w:bodyDiv w:val="1"/>
      <w:marLeft w:val="0"/>
      <w:marRight w:val="0"/>
      <w:marTop w:val="0"/>
      <w:marBottom w:val="0"/>
      <w:divBdr>
        <w:top w:val="none" w:sz="0" w:space="0" w:color="auto"/>
        <w:left w:val="none" w:sz="0" w:space="0" w:color="auto"/>
        <w:bottom w:val="none" w:sz="0" w:space="0" w:color="auto"/>
        <w:right w:val="none" w:sz="0" w:space="0" w:color="auto"/>
      </w:divBdr>
    </w:div>
    <w:div w:id="750934068">
      <w:bodyDiv w:val="1"/>
      <w:marLeft w:val="0"/>
      <w:marRight w:val="0"/>
      <w:marTop w:val="0"/>
      <w:marBottom w:val="0"/>
      <w:divBdr>
        <w:top w:val="none" w:sz="0" w:space="0" w:color="auto"/>
        <w:left w:val="none" w:sz="0" w:space="0" w:color="auto"/>
        <w:bottom w:val="none" w:sz="0" w:space="0" w:color="auto"/>
        <w:right w:val="none" w:sz="0" w:space="0" w:color="auto"/>
      </w:divBdr>
    </w:div>
    <w:div w:id="751898343">
      <w:bodyDiv w:val="1"/>
      <w:marLeft w:val="0"/>
      <w:marRight w:val="0"/>
      <w:marTop w:val="0"/>
      <w:marBottom w:val="0"/>
      <w:divBdr>
        <w:top w:val="none" w:sz="0" w:space="0" w:color="auto"/>
        <w:left w:val="none" w:sz="0" w:space="0" w:color="auto"/>
        <w:bottom w:val="none" w:sz="0" w:space="0" w:color="auto"/>
        <w:right w:val="none" w:sz="0" w:space="0" w:color="auto"/>
      </w:divBdr>
    </w:div>
    <w:div w:id="752047993">
      <w:bodyDiv w:val="1"/>
      <w:marLeft w:val="0"/>
      <w:marRight w:val="0"/>
      <w:marTop w:val="0"/>
      <w:marBottom w:val="0"/>
      <w:divBdr>
        <w:top w:val="none" w:sz="0" w:space="0" w:color="auto"/>
        <w:left w:val="none" w:sz="0" w:space="0" w:color="auto"/>
        <w:bottom w:val="none" w:sz="0" w:space="0" w:color="auto"/>
        <w:right w:val="none" w:sz="0" w:space="0" w:color="auto"/>
      </w:divBdr>
    </w:div>
    <w:div w:id="757412249">
      <w:bodyDiv w:val="1"/>
      <w:marLeft w:val="0"/>
      <w:marRight w:val="0"/>
      <w:marTop w:val="0"/>
      <w:marBottom w:val="0"/>
      <w:divBdr>
        <w:top w:val="none" w:sz="0" w:space="0" w:color="auto"/>
        <w:left w:val="none" w:sz="0" w:space="0" w:color="auto"/>
        <w:bottom w:val="none" w:sz="0" w:space="0" w:color="auto"/>
        <w:right w:val="none" w:sz="0" w:space="0" w:color="auto"/>
      </w:divBdr>
    </w:div>
    <w:div w:id="758066253">
      <w:bodyDiv w:val="1"/>
      <w:marLeft w:val="0"/>
      <w:marRight w:val="0"/>
      <w:marTop w:val="0"/>
      <w:marBottom w:val="0"/>
      <w:divBdr>
        <w:top w:val="none" w:sz="0" w:space="0" w:color="auto"/>
        <w:left w:val="none" w:sz="0" w:space="0" w:color="auto"/>
        <w:bottom w:val="none" w:sz="0" w:space="0" w:color="auto"/>
        <w:right w:val="none" w:sz="0" w:space="0" w:color="auto"/>
      </w:divBdr>
    </w:div>
    <w:div w:id="759907877">
      <w:bodyDiv w:val="1"/>
      <w:marLeft w:val="0"/>
      <w:marRight w:val="0"/>
      <w:marTop w:val="0"/>
      <w:marBottom w:val="0"/>
      <w:divBdr>
        <w:top w:val="none" w:sz="0" w:space="0" w:color="auto"/>
        <w:left w:val="none" w:sz="0" w:space="0" w:color="auto"/>
        <w:bottom w:val="none" w:sz="0" w:space="0" w:color="auto"/>
        <w:right w:val="none" w:sz="0" w:space="0" w:color="auto"/>
      </w:divBdr>
    </w:div>
    <w:div w:id="761729776">
      <w:bodyDiv w:val="1"/>
      <w:marLeft w:val="0"/>
      <w:marRight w:val="0"/>
      <w:marTop w:val="0"/>
      <w:marBottom w:val="0"/>
      <w:divBdr>
        <w:top w:val="none" w:sz="0" w:space="0" w:color="auto"/>
        <w:left w:val="none" w:sz="0" w:space="0" w:color="auto"/>
        <w:bottom w:val="none" w:sz="0" w:space="0" w:color="auto"/>
        <w:right w:val="none" w:sz="0" w:space="0" w:color="auto"/>
      </w:divBdr>
    </w:div>
    <w:div w:id="769617641">
      <w:bodyDiv w:val="1"/>
      <w:marLeft w:val="0"/>
      <w:marRight w:val="0"/>
      <w:marTop w:val="0"/>
      <w:marBottom w:val="0"/>
      <w:divBdr>
        <w:top w:val="none" w:sz="0" w:space="0" w:color="auto"/>
        <w:left w:val="none" w:sz="0" w:space="0" w:color="auto"/>
        <w:bottom w:val="none" w:sz="0" w:space="0" w:color="auto"/>
        <w:right w:val="none" w:sz="0" w:space="0" w:color="auto"/>
      </w:divBdr>
    </w:div>
    <w:div w:id="771971054">
      <w:bodyDiv w:val="1"/>
      <w:marLeft w:val="0"/>
      <w:marRight w:val="0"/>
      <w:marTop w:val="0"/>
      <w:marBottom w:val="0"/>
      <w:divBdr>
        <w:top w:val="none" w:sz="0" w:space="0" w:color="auto"/>
        <w:left w:val="none" w:sz="0" w:space="0" w:color="auto"/>
        <w:bottom w:val="none" w:sz="0" w:space="0" w:color="auto"/>
        <w:right w:val="none" w:sz="0" w:space="0" w:color="auto"/>
      </w:divBdr>
    </w:div>
    <w:div w:id="782531047">
      <w:bodyDiv w:val="1"/>
      <w:marLeft w:val="0"/>
      <w:marRight w:val="0"/>
      <w:marTop w:val="0"/>
      <w:marBottom w:val="0"/>
      <w:divBdr>
        <w:top w:val="none" w:sz="0" w:space="0" w:color="auto"/>
        <w:left w:val="none" w:sz="0" w:space="0" w:color="auto"/>
        <w:bottom w:val="none" w:sz="0" w:space="0" w:color="auto"/>
        <w:right w:val="none" w:sz="0" w:space="0" w:color="auto"/>
      </w:divBdr>
    </w:div>
    <w:div w:id="784035186">
      <w:bodyDiv w:val="1"/>
      <w:marLeft w:val="0"/>
      <w:marRight w:val="0"/>
      <w:marTop w:val="0"/>
      <w:marBottom w:val="0"/>
      <w:divBdr>
        <w:top w:val="none" w:sz="0" w:space="0" w:color="auto"/>
        <w:left w:val="none" w:sz="0" w:space="0" w:color="auto"/>
        <w:bottom w:val="none" w:sz="0" w:space="0" w:color="auto"/>
        <w:right w:val="none" w:sz="0" w:space="0" w:color="auto"/>
      </w:divBdr>
    </w:div>
    <w:div w:id="786848120">
      <w:bodyDiv w:val="1"/>
      <w:marLeft w:val="0"/>
      <w:marRight w:val="0"/>
      <w:marTop w:val="0"/>
      <w:marBottom w:val="0"/>
      <w:divBdr>
        <w:top w:val="none" w:sz="0" w:space="0" w:color="auto"/>
        <w:left w:val="none" w:sz="0" w:space="0" w:color="auto"/>
        <w:bottom w:val="none" w:sz="0" w:space="0" w:color="auto"/>
        <w:right w:val="none" w:sz="0" w:space="0" w:color="auto"/>
      </w:divBdr>
    </w:div>
    <w:div w:id="791096483">
      <w:bodyDiv w:val="1"/>
      <w:marLeft w:val="0"/>
      <w:marRight w:val="0"/>
      <w:marTop w:val="0"/>
      <w:marBottom w:val="0"/>
      <w:divBdr>
        <w:top w:val="none" w:sz="0" w:space="0" w:color="auto"/>
        <w:left w:val="none" w:sz="0" w:space="0" w:color="auto"/>
        <w:bottom w:val="none" w:sz="0" w:space="0" w:color="auto"/>
        <w:right w:val="none" w:sz="0" w:space="0" w:color="auto"/>
      </w:divBdr>
    </w:div>
    <w:div w:id="793451489">
      <w:bodyDiv w:val="1"/>
      <w:marLeft w:val="0"/>
      <w:marRight w:val="0"/>
      <w:marTop w:val="0"/>
      <w:marBottom w:val="0"/>
      <w:divBdr>
        <w:top w:val="none" w:sz="0" w:space="0" w:color="auto"/>
        <w:left w:val="none" w:sz="0" w:space="0" w:color="auto"/>
        <w:bottom w:val="none" w:sz="0" w:space="0" w:color="auto"/>
        <w:right w:val="none" w:sz="0" w:space="0" w:color="auto"/>
      </w:divBdr>
    </w:div>
    <w:div w:id="796023821">
      <w:bodyDiv w:val="1"/>
      <w:marLeft w:val="0"/>
      <w:marRight w:val="0"/>
      <w:marTop w:val="0"/>
      <w:marBottom w:val="0"/>
      <w:divBdr>
        <w:top w:val="none" w:sz="0" w:space="0" w:color="auto"/>
        <w:left w:val="none" w:sz="0" w:space="0" w:color="auto"/>
        <w:bottom w:val="none" w:sz="0" w:space="0" w:color="auto"/>
        <w:right w:val="none" w:sz="0" w:space="0" w:color="auto"/>
      </w:divBdr>
    </w:div>
    <w:div w:id="799420319">
      <w:bodyDiv w:val="1"/>
      <w:marLeft w:val="0"/>
      <w:marRight w:val="0"/>
      <w:marTop w:val="0"/>
      <w:marBottom w:val="0"/>
      <w:divBdr>
        <w:top w:val="none" w:sz="0" w:space="0" w:color="auto"/>
        <w:left w:val="none" w:sz="0" w:space="0" w:color="auto"/>
        <w:bottom w:val="none" w:sz="0" w:space="0" w:color="auto"/>
        <w:right w:val="none" w:sz="0" w:space="0" w:color="auto"/>
      </w:divBdr>
    </w:div>
    <w:div w:id="800928131">
      <w:bodyDiv w:val="1"/>
      <w:marLeft w:val="0"/>
      <w:marRight w:val="0"/>
      <w:marTop w:val="0"/>
      <w:marBottom w:val="0"/>
      <w:divBdr>
        <w:top w:val="none" w:sz="0" w:space="0" w:color="auto"/>
        <w:left w:val="none" w:sz="0" w:space="0" w:color="auto"/>
        <w:bottom w:val="none" w:sz="0" w:space="0" w:color="auto"/>
        <w:right w:val="none" w:sz="0" w:space="0" w:color="auto"/>
      </w:divBdr>
    </w:div>
    <w:div w:id="804615920">
      <w:bodyDiv w:val="1"/>
      <w:marLeft w:val="0"/>
      <w:marRight w:val="0"/>
      <w:marTop w:val="0"/>
      <w:marBottom w:val="0"/>
      <w:divBdr>
        <w:top w:val="none" w:sz="0" w:space="0" w:color="auto"/>
        <w:left w:val="none" w:sz="0" w:space="0" w:color="auto"/>
        <w:bottom w:val="none" w:sz="0" w:space="0" w:color="auto"/>
        <w:right w:val="none" w:sz="0" w:space="0" w:color="auto"/>
      </w:divBdr>
    </w:div>
    <w:div w:id="807405745">
      <w:bodyDiv w:val="1"/>
      <w:marLeft w:val="0"/>
      <w:marRight w:val="0"/>
      <w:marTop w:val="0"/>
      <w:marBottom w:val="0"/>
      <w:divBdr>
        <w:top w:val="none" w:sz="0" w:space="0" w:color="auto"/>
        <w:left w:val="none" w:sz="0" w:space="0" w:color="auto"/>
        <w:bottom w:val="none" w:sz="0" w:space="0" w:color="auto"/>
        <w:right w:val="none" w:sz="0" w:space="0" w:color="auto"/>
      </w:divBdr>
    </w:div>
    <w:div w:id="812064093">
      <w:bodyDiv w:val="1"/>
      <w:marLeft w:val="0"/>
      <w:marRight w:val="0"/>
      <w:marTop w:val="0"/>
      <w:marBottom w:val="0"/>
      <w:divBdr>
        <w:top w:val="none" w:sz="0" w:space="0" w:color="auto"/>
        <w:left w:val="none" w:sz="0" w:space="0" w:color="auto"/>
        <w:bottom w:val="none" w:sz="0" w:space="0" w:color="auto"/>
        <w:right w:val="none" w:sz="0" w:space="0" w:color="auto"/>
      </w:divBdr>
    </w:div>
    <w:div w:id="812718171">
      <w:bodyDiv w:val="1"/>
      <w:marLeft w:val="0"/>
      <w:marRight w:val="0"/>
      <w:marTop w:val="0"/>
      <w:marBottom w:val="0"/>
      <w:divBdr>
        <w:top w:val="none" w:sz="0" w:space="0" w:color="auto"/>
        <w:left w:val="none" w:sz="0" w:space="0" w:color="auto"/>
        <w:bottom w:val="none" w:sz="0" w:space="0" w:color="auto"/>
        <w:right w:val="none" w:sz="0" w:space="0" w:color="auto"/>
      </w:divBdr>
    </w:div>
    <w:div w:id="814834131">
      <w:bodyDiv w:val="1"/>
      <w:marLeft w:val="0"/>
      <w:marRight w:val="0"/>
      <w:marTop w:val="0"/>
      <w:marBottom w:val="0"/>
      <w:divBdr>
        <w:top w:val="none" w:sz="0" w:space="0" w:color="auto"/>
        <w:left w:val="none" w:sz="0" w:space="0" w:color="auto"/>
        <w:bottom w:val="none" w:sz="0" w:space="0" w:color="auto"/>
        <w:right w:val="none" w:sz="0" w:space="0" w:color="auto"/>
      </w:divBdr>
    </w:div>
    <w:div w:id="816804722">
      <w:bodyDiv w:val="1"/>
      <w:marLeft w:val="0"/>
      <w:marRight w:val="0"/>
      <w:marTop w:val="0"/>
      <w:marBottom w:val="0"/>
      <w:divBdr>
        <w:top w:val="none" w:sz="0" w:space="0" w:color="auto"/>
        <w:left w:val="none" w:sz="0" w:space="0" w:color="auto"/>
        <w:bottom w:val="none" w:sz="0" w:space="0" w:color="auto"/>
        <w:right w:val="none" w:sz="0" w:space="0" w:color="auto"/>
      </w:divBdr>
    </w:div>
    <w:div w:id="818233736">
      <w:bodyDiv w:val="1"/>
      <w:marLeft w:val="0"/>
      <w:marRight w:val="0"/>
      <w:marTop w:val="0"/>
      <w:marBottom w:val="0"/>
      <w:divBdr>
        <w:top w:val="none" w:sz="0" w:space="0" w:color="auto"/>
        <w:left w:val="none" w:sz="0" w:space="0" w:color="auto"/>
        <w:bottom w:val="none" w:sz="0" w:space="0" w:color="auto"/>
        <w:right w:val="none" w:sz="0" w:space="0" w:color="auto"/>
      </w:divBdr>
    </w:div>
    <w:div w:id="824395593">
      <w:bodyDiv w:val="1"/>
      <w:marLeft w:val="0"/>
      <w:marRight w:val="0"/>
      <w:marTop w:val="0"/>
      <w:marBottom w:val="0"/>
      <w:divBdr>
        <w:top w:val="none" w:sz="0" w:space="0" w:color="auto"/>
        <w:left w:val="none" w:sz="0" w:space="0" w:color="auto"/>
        <w:bottom w:val="none" w:sz="0" w:space="0" w:color="auto"/>
        <w:right w:val="none" w:sz="0" w:space="0" w:color="auto"/>
      </w:divBdr>
    </w:div>
    <w:div w:id="824588042">
      <w:bodyDiv w:val="1"/>
      <w:marLeft w:val="0"/>
      <w:marRight w:val="0"/>
      <w:marTop w:val="0"/>
      <w:marBottom w:val="0"/>
      <w:divBdr>
        <w:top w:val="none" w:sz="0" w:space="0" w:color="auto"/>
        <w:left w:val="none" w:sz="0" w:space="0" w:color="auto"/>
        <w:bottom w:val="none" w:sz="0" w:space="0" w:color="auto"/>
        <w:right w:val="none" w:sz="0" w:space="0" w:color="auto"/>
      </w:divBdr>
    </w:div>
    <w:div w:id="827554711">
      <w:bodyDiv w:val="1"/>
      <w:marLeft w:val="0"/>
      <w:marRight w:val="0"/>
      <w:marTop w:val="0"/>
      <w:marBottom w:val="0"/>
      <w:divBdr>
        <w:top w:val="none" w:sz="0" w:space="0" w:color="auto"/>
        <w:left w:val="none" w:sz="0" w:space="0" w:color="auto"/>
        <w:bottom w:val="none" w:sz="0" w:space="0" w:color="auto"/>
        <w:right w:val="none" w:sz="0" w:space="0" w:color="auto"/>
      </w:divBdr>
    </w:div>
    <w:div w:id="828406618">
      <w:bodyDiv w:val="1"/>
      <w:marLeft w:val="0"/>
      <w:marRight w:val="0"/>
      <w:marTop w:val="0"/>
      <w:marBottom w:val="0"/>
      <w:divBdr>
        <w:top w:val="none" w:sz="0" w:space="0" w:color="auto"/>
        <w:left w:val="none" w:sz="0" w:space="0" w:color="auto"/>
        <w:bottom w:val="none" w:sz="0" w:space="0" w:color="auto"/>
        <w:right w:val="none" w:sz="0" w:space="0" w:color="auto"/>
      </w:divBdr>
    </w:div>
    <w:div w:id="831482815">
      <w:bodyDiv w:val="1"/>
      <w:marLeft w:val="0"/>
      <w:marRight w:val="0"/>
      <w:marTop w:val="0"/>
      <w:marBottom w:val="0"/>
      <w:divBdr>
        <w:top w:val="none" w:sz="0" w:space="0" w:color="auto"/>
        <w:left w:val="none" w:sz="0" w:space="0" w:color="auto"/>
        <w:bottom w:val="none" w:sz="0" w:space="0" w:color="auto"/>
        <w:right w:val="none" w:sz="0" w:space="0" w:color="auto"/>
      </w:divBdr>
    </w:div>
    <w:div w:id="832527915">
      <w:bodyDiv w:val="1"/>
      <w:marLeft w:val="0"/>
      <w:marRight w:val="0"/>
      <w:marTop w:val="0"/>
      <w:marBottom w:val="0"/>
      <w:divBdr>
        <w:top w:val="none" w:sz="0" w:space="0" w:color="auto"/>
        <w:left w:val="none" w:sz="0" w:space="0" w:color="auto"/>
        <w:bottom w:val="none" w:sz="0" w:space="0" w:color="auto"/>
        <w:right w:val="none" w:sz="0" w:space="0" w:color="auto"/>
      </w:divBdr>
    </w:div>
    <w:div w:id="836576461">
      <w:bodyDiv w:val="1"/>
      <w:marLeft w:val="0"/>
      <w:marRight w:val="0"/>
      <w:marTop w:val="0"/>
      <w:marBottom w:val="0"/>
      <w:divBdr>
        <w:top w:val="none" w:sz="0" w:space="0" w:color="auto"/>
        <w:left w:val="none" w:sz="0" w:space="0" w:color="auto"/>
        <w:bottom w:val="none" w:sz="0" w:space="0" w:color="auto"/>
        <w:right w:val="none" w:sz="0" w:space="0" w:color="auto"/>
      </w:divBdr>
    </w:div>
    <w:div w:id="842160073">
      <w:bodyDiv w:val="1"/>
      <w:marLeft w:val="0"/>
      <w:marRight w:val="0"/>
      <w:marTop w:val="0"/>
      <w:marBottom w:val="0"/>
      <w:divBdr>
        <w:top w:val="none" w:sz="0" w:space="0" w:color="auto"/>
        <w:left w:val="none" w:sz="0" w:space="0" w:color="auto"/>
        <w:bottom w:val="none" w:sz="0" w:space="0" w:color="auto"/>
        <w:right w:val="none" w:sz="0" w:space="0" w:color="auto"/>
      </w:divBdr>
    </w:div>
    <w:div w:id="843056880">
      <w:bodyDiv w:val="1"/>
      <w:marLeft w:val="0"/>
      <w:marRight w:val="0"/>
      <w:marTop w:val="0"/>
      <w:marBottom w:val="0"/>
      <w:divBdr>
        <w:top w:val="none" w:sz="0" w:space="0" w:color="auto"/>
        <w:left w:val="none" w:sz="0" w:space="0" w:color="auto"/>
        <w:bottom w:val="none" w:sz="0" w:space="0" w:color="auto"/>
        <w:right w:val="none" w:sz="0" w:space="0" w:color="auto"/>
      </w:divBdr>
    </w:div>
    <w:div w:id="848367453">
      <w:bodyDiv w:val="1"/>
      <w:marLeft w:val="0"/>
      <w:marRight w:val="0"/>
      <w:marTop w:val="0"/>
      <w:marBottom w:val="0"/>
      <w:divBdr>
        <w:top w:val="none" w:sz="0" w:space="0" w:color="auto"/>
        <w:left w:val="none" w:sz="0" w:space="0" w:color="auto"/>
        <w:bottom w:val="none" w:sz="0" w:space="0" w:color="auto"/>
        <w:right w:val="none" w:sz="0" w:space="0" w:color="auto"/>
      </w:divBdr>
    </w:div>
    <w:div w:id="858279081">
      <w:bodyDiv w:val="1"/>
      <w:marLeft w:val="0"/>
      <w:marRight w:val="0"/>
      <w:marTop w:val="0"/>
      <w:marBottom w:val="0"/>
      <w:divBdr>
        <w:top w:val="none" w:sz="0" w:space="0" w:color="auto"/>
        <w:left w:val="none" w:sz="0" w:space="0" w:color="auto"/>
        <w:bottom w:val="none" w:sz="0" w:space="0" w:color="auto"/>
        <w:right w:val="none" w:sz="0" w:space="0" w:color="auto"/>
      </w:divBdr>
    </w:div>
    <w:div w:id="867991282">
      <w:bodyDiv w:val="1"/>
      <w:marLeft w:val="0"/>
      <w:marRight w:val="0"/>
      <w:marTop w:val="0"/>
      <w:marBottom w:val="0"/>
      <w:divBdr>
        <w:top w:val="none" w:sz="0" w:space="0" w:color="auto"/>
        <w:left w:val="none" w:sz="0" w:space="0" w:color="auto"/>
        <w:bottom w:val="none" w:sz="0" w:space="0" w:color="auto"/>
        <w:right w:val="none" w:sz="0" w:space="0" w:color="auto"/>
      </w:divBdr>
    </w:div>
    <w:div w:id="868831787">
      <w:bodyDiv w:val="1"/>
      <w:marLeft w:val="0"/>
      <w:marRight w:val="0"/>
      <w:marTop w:val="0"/>
      <w:marBottom w:val="0"/>
      <w:divBdr>
        <w:top w:val="none" w:sz="0" w:space="0" w:color="auto"/>
        <w:left w:val="none" w:sz="0" w:space="0" w:color="auto"/>
        <w:bottom w:val="none" w:sz="0" w:space="0" w:color="auto"/>
        <w:right w:val="none" w:sz="0" w:space="0" w:color="auto"/>
      </w:divBdr>
    </w:div>
    <w:div w:id="881788212">
      <w:bodyDiv w:val="1"/>
      <w:marLeft w:val="0"/>
      <w:marRight w:val="0"/>
      <w:marTop w:val="0"/>
      <w:marBottom w:val="0"/>
      <w:divBdr>
        <w:top w:val="none" w:sz="0" w:space="0" w:color="auto"/>
        <w:left w:val="none" w:sz="0" w:space="0" w:color="auto"/>
        <w:bottom w:val="none" w:sz="0" w:space="0" w:color="auto"/>
        <w:right w:val="none" w:sz="0" w:space="0" w:color="auto"/>
      </w:divBdr>
    </w:div>
    <w:div w:id="884172154">
      <w:bodyDiv w:val="1"/>
      <w:marLeft w:val="0"/>
      <w:marRight w:val="0"/>
      <w:marTop w:val="0"/>
      <w:marBottom w:val="0"/>
      <w:divBdr>
        <w:top w:val="none" w:sz="0" w:space="0" w:color="auto"/>
        <w:left w:val="none" w:sz="0" w:space="0" w:color="auto"/>
        <w:bottom w:val="none" w:sz="0" w:space="0" w:color="auto"/>
        <w:right w:val="none" w:sz="0" w:space="0" w:color="auto"/>
      </w:divBdr>
      <w:divsChild>
        <w:div w:id="1421485194">
          <w:marLeft w:val="0"/>
          <w:marRight w:val="0"/>
          <w:marTop w:val="120"/>
          <w:marBottom w:val="60"/>
          <w:divBdr>
            <w:top w:val="none" w:sz="0" w:space="0" w:color="auto"/>
            <w:left w:val="none" w:sz="0" w:space="0" w:color="auto"/>
            <w:bottom w:val="none" w:sz="0" w:space="0" w:color="auto"/>
            <w:right w:val="none" w:sz="0" w:space="0" w:color="auto"/>
          </w:divBdr>
        </w:div>
      </w:divsChild>
    </w:div>
    <w:div w:id="886571158">
      <w:bodyDiv w:val="1"/>
      <w:marLeft w:val="0"/>
      <w:marRight w:val="0"/>
      <w:marTop w:val="0"/>
      <w:marBottom w:val="0"/>
      <w:divBdr>
        <w:top w:val="none" w:sz="0" w:space="0" w:color="auto"/>
        <w:left w:val="none" w:sz="0" w:space="0" w:color="auto"/>
        <w:bottom w:val="none" w:sz="0" w:space="0" w:color="auto"/>
        <w:right w:val="none" w:sz="0" w:space="0" w:color="auto"/>
      </w:divBdr>
    </w:div>
    <w:div w:id="890264177">
      <w:bodyDiv w:val="1"/>
      <w:marLeft w:val="0"/>
      <w:marRight w:val="0"/>
      <w:marTop w:val="0"/>
      <w:marBottom w:val="0"/>
      <w:divBdr>
        <w:top w:val="none" w:sz="0" w:space="0" w:color="auto"/>
        <w:left w:val="none" w:sz="0" w:space="0" w:color="auto"/>
        <w:bottom w:val="none" w:sz="0" w:space="0" w:color="auto"/>
        <w:right w:val="none" w:sz="0" w:space="0" w:color="auto"/>
      </w:divBdr>
    </w:div>
    <w:div w:id="894052333">
      <w:bodyDiv w:val="1"/>
      <w:marLeft w:val="0"/>
      <w:marRight w:val="0"/>
      <w:marTop w:val="0"/>
      <w:marBottom w:val="0"/>
      <w:divBdr>
        <w:top w:val="none" w:sz="0" w:space="0" w:color="auto"/>
        <w:left w:val="none" w:sz="0" w:space="0" w:color="auto"/>
        <w:bottom w:val="none" w:sz="0" w:space="0" w:color="auto"/>
        <w:right w:val="none" w:sz="0" w:space="0" w:color="auto"/>
      </w:divBdr>
    </w:div>
    <w:div w:id="897470751">
      <w:bodyDiv w:val="1"/>
      <w:marLeft w:val="0"/>
      <w:marRight w:val="0"/>
      <w:marTop w:val="0"/>
      <w:marBottom w:val="0"/>
      <w:divBdr>
        <w:top w:val="none" w:sz="0" w:space="0" w:color="auto"/>
        <w:left w:val="none" w:sz="0" w:space="0" w:color="auto"/>
        <w:bottom w:val="none" w:sz="0" w:space="0" w:color="auto"/>
        <w:right w:val="none" w:sz="0" w:space="0" w:color="auto"/>
      </w:divBdr>
    </w:div>
    <w:div w:id="897663970">
      <w:bodyDiv w:val="1"/>
      <w:marLeft w:val="0"/>
      <w:marRight w:val="0"/>
      <w:marTop w:val="0"/>
      <w:marBottom w:val="0"/>
      <w:divBdr>
        <w:top w:val="none" w:sz="0" w:space="0" w:color="auto"/>
        <w:left w:val="none" w:sz="0" w:space="0" w:color="auto"/>
        <w:bottom w:val="none" w:sz="0" w:space="0" w:color="auto"/>
        <w:right w:val="none" w:sz="0" w:space="0" w:color="auto"/>
      </w:divBdr>
    </w:div>
    <w:div w:id="898514226">
      <w:bodyDiv w:val="1"/>
      <w:marLeft w:val="0"/>
      <w:marRight w:val="0"/>
      <w:marTop w:val="0"/>
      <w:marBottom w:val="0"/>
      <w:divBdr>
        <w:top w:val="none" w:sz="0" w:space="0" w:color="auto"/>
        <w:left w:val="none" w:sz="0" w:space="0" w:color="auto"/>
        <w:bottom w:val="none" w:sz="0" w:space="0" w:color="auto"/>
        <w:right w:val="none" w:sz="0" w:space="0" w:color="auto"/>
      </w:divBdr>
    </w:div>
    <w:div w:id="899053719">
      <w:bodyDiv w:val="1"/>
      <w:marLeft w:val="0"/>
      <w:marRight w:val="0"/>
      <w:marTop w:val="0"/>
      <w:marBottom w:val="0"/>
      <w:divBdr>
        <w:top w:val="none" w:sz="0" w:space="0" w:color="auto"/>
        <w:left w:val="none" w:sz="0" w:space="0" w:color="auto"/>
        <w:bottom w:val="none" w:sz="0" w:space="0" w:color="auto"/>
        <w:right w:val="none" w:sz="0" w:space="0" w:color="auto"/>
      </w:divBdr>
    </w:div>
    <w:div w:id="903955497">
      <w:bodyDiv w:val="1"/>
      <w:marLeft w:val="0"/>
      <w:marRight w:val="0"/>
      <w:marTop w:val="0"/>
      <w:marBottom w:val="0"/>
      <w:divBdr>
        <w:top w:val="none" w:sz="0" w:space="0" w:color="auto"/>
        <w:left w:val="none" w:sz="0" w:space="0" w:color="auto"/>
        <w:bottom w:val="none" w:sz="0" w:space="0" w:color="auto"/>
        <w:right w:val="none" w:sz="0" w:space="0" w:color="auto"/>
      </w:divBdr>
    </w:div>
    <w:div w:id="909340611">
      <w:bodyDiv w:val="1"/>
      <w:marLeft w:val="0"/>
      <w:marRight w:val="0"/>
      <w:marTop w:val="0"/>
      <w:marBottom w:val="0"/>
      <w:divBdr>
        <w:top w:val="none" w:sz="0" w:space="0" w:color="auto"/>
        <w:left w:val="none" w:sz="0" w:space="0" w:color="auto"/>
        <w:bottom w:val="none" w:sz="0" w:space="0" w:color="auto"/>
        <w:right w:val="none" w:sz="0" w:space="0" w:color="auto"/>
      </w:divBdr>
    </w:div>
    <w:div w:id="911309898">
      <w:bodyDiv w:val="1"/>
      <w:marLeft w:val="0"/>
      <w:marRight w:val="0"/>
      <w:marTop w:val="0"/>
      <w:marBottom w:val="0"/>
      <w:divBdr>
        <w:top w:val="none" w:sz="0" w:space="0" w:color="auto"/>
        <w:left w:val="none" w:sz="0" w:space="0" w:color="auto"/>
        <w:bottom w:val="none" w:sz="0" w:space="0" w:color="auto"/>
        <w:right w:val="none" w:sz="0" w:space="0" w:color="auto"/>
      </w:divBdr>
    </w:div>
    <w:div w:id="914365647">
      <w:bodyDiv w:val="1"/>
      <w:marLeft w:val="0"/>
      <w:marRight w:val="0"/>
      <w:marTop w:val="0"/>
      <w:marBottom w:val="0"/>
      <w:divBdr>
        <w:top w:val="none" w:sz="0" w:space="0" w:color="auto"/>
        <w:left w:val="none" w:sz="0" w:space="0" w:color="auto"/>
        <w:bottom w:val="none" w:sz="0" w:space="0" w:color="auto"/>
        <w:right w:val="none" w:sz="0" w:space="0" w:color="auto"/>
      </w:divBdr>
    </w:div>
    <w:div w:id="916354980">
      <w:bodyDiv w:val="1"/>
      <w:marLeft w:val="0"/>
      <w:marRight w:val="0"/>
      <w:marTop w:val="0"/>
      <w:marBottom w:val="0"/>
      <w:divBdr>
        <w:top w:val="none" w:sz="0" w:space="0" w:color="auto"/>
        <w:left w:val="none" w:sz="0" w:space="0" w:color="auto"/>
        <w:bottom w:val="none" w:sz="0" w:space="0" w:color="auto"/>
        <w:right w:val="none" w:sz="0" w:space="0" w:color="auto"/>
      </w:divBdr>
    </w:div>
    <w:div w:id="925111630">
      <w:bodyDiv w:val="1"/>
      <w:marLeft w:val="0"/>
      <w:marRight w:val="0"/>
      <w:marTop w:val="0"/>
      <w:marBottom w:val="0"/>
      <w:divBdr>
        <w:top w:val="none" w:sz="0" w:space="0" w:color="auto"/>
        <w:left w:val="none" w:sz="0" w:space="0" w:color="auto"/>
        <w:bottom w:val="none" w:sz="0" w:space="0" w:color="auto"/>
        <w:right w:val="none" w:sz="0" w:space="0" w:color="auto"/>
      </w:divBdr>
    </w:div>
    <w:div w:id="928076393">
      <w:bodyDiv w:val="1"/>
      <w:marLeft w:val="0"/>
      <w:marRight w:val="0"/>
      <w:marTop w:val="0"/>
      <w:marBottom w:val="0"/>
      <w:divBdr>
        <w:top w:val="none" w:sz="0" w:space="0" w:color="auto"/>
        <w:left w:val="none" w:sz="0" w:space="0" w:color="auto"/>
        <w:bottom w:val="none" w:sz="0" w:space="0" w:color="auto"/>
        <w:right w:val="none" w:sz="0" w:space="0" w:color="auto"/>
      </w:divBdr>
    </w:div>
    <w:div w:id="928808812">
      <w:bodyDiv w:val="1"/>
      <w:marLeft w:val="0"/>
      <w:marRight w:val="0"/>
      <w:marTop w:val="0"/>
      <w:marBottom w:val="0"/>
      <w:divBdr>
        <w:top w:val="none" w:sz="0" w:space="0" w:color="auto"/>
        <w:left w:val="none" w:sz="0" w:space="0" w:color="auto"/>
        <w:bottom w:val="none" w:sz="0" w:space="0" w:color="auto"/>
        <w:right w:val="none" w:sz="0" w:space="0" w:color="auto"/>
      </w:divBdr>
    </w:div>
    <w:div w:id="931009456">
      <w:bodyDiv w:val="1"/>
      <w:marLeft w:val="0"/>
      <w:marRight w:val="0"/>
      <w:marTop w:val="0"/>
      <w:marBottom w:val="0"/>
      <w:divBdr>
        <w:top w:val="none" w:sz="0" w:space="0" w:color="auto"/>
        <w:left w:val="none" w:sz="0" w:space="0" w:color="auto"/>
        <w:bottom w:val="none" w:sz="0" w:space="0" w:color="auto"/>
        <w:right w:val="none" w:sz="0" w:space="0" w:color="auto"/>
      </w:divBdr>
    </w:div>
    <w:div w:id="932281257">
      <w:bodyDiv w:val="1"/>
      <w:marLeft w:val="0"/>
      <w:marRight w:val="0"/>
      <w:marTop w:val="0"/>
      <w:marBottom w:val="0"/>
      <w:divBdr>
        <w:top w:val="none" w:sz="0" w:space="0" w:color="auto"/>
        <w:left w:val="none" w:sz="0" w:space="0" w:color="auto"/>
        <w:bottom w:val="none" w:sz="0" w:space="0" w:color="auto"/>
        <w:right w:val="none" w:sz="0" w:space="0" w:color="auto"/>
      </w:divBdr>
    </w:div>
    <w:div w:id="933367724">
      <w:bodyDiv w:val="1"/>
      <w:marLeft w:val="0"/>
      <w:marRight w:val="0"/>
      <w:marTop w:val="0"/>
      <w:marBottom w:val="0"/>
      <w:divBdr>
        <w:top w:val="none" w:sz="0" w:space="0" w:color="auto"/>
        <w:left w:val="none" w:sz="0" w:space="0" w:color="auto"/>
        <w:bottom w:val="none" w:sz="0" w:space="0" w:color="auto"/>
        <w:right w:val="none" w:sz="0" w:space="0" w:color="auto"/>
      </w:divBdr>
    </w:div>
    <w:div w:id="935863049">
      <w:bodyDiv w:val="1"/>
      <w:marLeft w:val="0"/>
      <w:marRight w:val="0"/>
      <w:marTop w:val="0"/>
      <w:marBottom w:val="0"/>
      <w:divBdr>
        <w:top w:val="none" w:sz="0" w:space="0" w:color="auto"/>
        <w:left w:val="none" w:sz="0" w:space="0" w:color="auto"/>
        <w:bottom w:val="none" w:sz="0" w:space="0" w:color="auto"/>
        <w:right w:val="none" w:sz="0" w:space="0" w:color="auto"/>
      </w:divBdr>
    </w:div>
    <w:div w:id="938946607">
      <w:bodyDiv w:val="1"/>
      <w:marLeft w:val="0"/>
      <w:marRight w:val="0"/>
      <w:marTop w:val="0"/>
      <w:marBottom w:val="0"/>
      <w:divBdr>
        <w:top w:val="none" w:sz="0" w:space="0" w:color="auto"/>
        <w:left w:val="none" w:sz="0" w:space="0" w:color="auto"/>
        <w:bottom w:val="none" w:sz="0" w:space="0" w:color="auto"/>
        <w:right w:val="none" w:sz="0" w:space="0" w:color="auto"/>
      </w:divBdr>
    </w:div>
    <w:div w:id="941033549">
      <w:bodyDiv w:val="1"/>
      <w:marLeft w:val="0"/>
      <w:marRight w:val="0"/>
      <w:marTop w:val="0"/>
      <w:marBottom w:val="0"/>
      <w:divBdr>
        <w:top w:val="none" w:sz="0" w:space="0" w:color="auto"/>
        <w:left w:val="none" w:sz="0" w:space="0" w:color="auto"/>
        <w:bottom w:val="none" w:sz="0" w:space="0" w:color="auto"/>
        <w:right w:val="none" w:sz="0" w:space="0" w:color="auto"/>
      </w:divBdr>
    </w:div>
    <w:div w:id="953514957">
      <w:bodyDiv w:val="1"/>
      <w:marLeft w:val="0"/>
      <w:marRight w:val="0"/>
      <w:marTop w:val="0"/>
      <w:marBottom w:val="0"/>
      <w:divBdr>
        <w:top w:val="none" w:sz="0" w:space="0" w:color="auto"/>
        <w:left w:val="none" w:sz="0" w:space="0" w:color="auto"/>
        <w:bottom w:val="none" w:sz="0" w:space="0" w:color="auto"/>
        <w:right w:val="none" w:sz="0" w:space="0" w:color="auto"/>
      </w:divBdr>
    </w:div>
    <w:div w:id="959143777">
      <w:bodyDiv w:val="1"/>
      <w:marLeft w:val="0"/>
      <w:marRight w:val="0"/>
      <w:marTop w:val="0"/>
      <w:marBottom w:val="0"/>
      <w:divBdr>
        <w:top w:val="none" w:sz="0" w:space="0" w:color="auto"/>
        <w:left w:val="none" w:sz="0" w:space="0" w:color="auto"/>
        <w:bottom w:val="none" w:sz="0" w:space="0" w:color="auto"/>
        <w:right w:val="none" w:sz="0" w:space="0" w:color="auto"/>
      </w:divBdr>
    </w:div>
    <w:div w:id="961616616">
      <w:bodyDiv w:val="1"/>
      <w:marLeft w:val="0"/>
      <w:marRight w:val="0"/>
      <w:marTop w:val="0"/>
      <w:marBottom w:val="0"/>
      <w:divBdr>
        <w:top w:val="none" w:sz="0" w:space="0" w:color="auto"/>
        <w:left w:val="none" w:sz="0" w:space="0" w:color="auto"/>
        <w:bottom w:val="none" w:sz="0" w:space="0" w:color="auto"/>
        <w:right w:val="none" w:sz="0" w:space="0" w:color="auto"/>
      </w:divBdr>
    </w:div>
    <w:div w:id="968322068">
      <w:bodyDiv w:val="1"/>
      <w:marLeft w:val="0"/>
      <w:marRight w:val="0"/>
      <w:marTop w:val="0"/>
      <w:marBottom w:val="0"/>
      <w:divBdr>
        <w:top w:val="none" w:sz="0" w:space="0" w:color="auto"/>
        <w:left w:val="none" w:sz="0" w:space="0" w:color="auto"/>
        <w:bottom w:val="none" w:sz="0" w:space="0" w:color="auto"/>
        <w:right w:val="none" w:sz="0" w:space="0" w:color="auto"/>
      </w:divBdr>
    </w:div>
    <w:div w:id="968514649">
      <w:bodyDiv w:val="1"/>
      <w:marLeft w:val="0"/>
      <w:marRight w:val="0"/>
      <w:marTop w:val="0"/>
      <w:marBottom w:val="0"/>
      <w:divBdr>
        <w:top w:val="none" w:sz="0" w:space="0" w:color="auto"/>
        <w:left w:val="none" w:sz="0" w:space="0" w:color="auto"/>
        <w:bottom w:val="none" w:sz="0" w:space="0" w:color="auto"/>
        <w:right w:val="none" w:sz="0" w:space="0" w:color="auto"/>
      </w:divBdr>
    </w:div>
    <w:div w:id="96947454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96199">
      <w:bodyDiv w:val="1"/>
      <w:marLeft w:val="0"/>
      <w:marRight w:val="0"/>
      <w:marTop w:val="0"/>
      <w:marBottom w:val="0"/>
      <w:divBdr>
        <w:top w:val="none" w:sz="0" w:space="0" w:color="auto"/>
        <w:left w:val="none" w:sz="0" w:space="0" w:color="auto"/>
        <w:bottom w:val="none" w:sz="0" w:space="0" w:color="auto"/>
        <w:right w:val="none" w:sz="0" w:space="0" w:color="auto"/>
      </w:divBdr>
    </w:div>
    <w:div w:id="973293886">
      <w:bodyDiv w:val="1"/>
      <w:marLeft w:val="0"/>
      <w:marRight w:val="0"/>
      <w:marTop w:val="0"/>
      <w:marBottom w:val="0"/>
      <w:divBdr>
        <w:top w:val="none" w:sz="0" w:space="0" w:color="auto"/>
        <w:left w:val="none" w:sz="0" w:space="0" w:color="auto"/>
        <w:bottom w:val="none" w:sz="0" w:space="0" w:color="auto"/>
        <w:right w:val="none" w:sz="0" w:space="0" w:color="auto"/>
      </w:divBdr>
    </w:div>
    <w:div w:id="976104051">
      <w:bodyDiv w:val="1"/>
      <w:marLeft w:val="0"/>
      <w:marRight w:val="0"/>
      <w:marTop w:val="0"/>
      <w:marBottom w:val="0"/>
      <w:divBdr>
        <w:top w:val="none" w:sz="0" w:space="0" w:color="auto"/>
        <w:left w:val="none" w:sz="0" w:space="0" w:color="auto"/>
        <w:bottom w:val="none" w:sz="0" w:space="0" w:color="auto"/>
        <w:right w:val="none" w:sz="0" w:space="0" w:color="auto"/>
      </w:divBdr>
    </w:div>
    <w:div w:id="976691503">
      <w:bodyDiv w:val="1"/>
      <w:marLeft w:val="0"/>
      <w:marRight w:val="0"/>
      <w:marTop w:val="0"/>
      <w:marBottom w:val="0"/>
      <w:divBdr>
        <w:top w:val="none" w:sz="0" w:space="0" w:color="auto"/>
        <w:left w:val="none" w:sz="0" w:space="0" w:color="auto"/>
        <w:bottom w:val="none" w:sz="0" w:space="0" w:color="auto"/>
        <w:right w:val="none" w:sz="0" w:space="0" w:color="auto"/>
      </w:divBdr>
    </w:div>
    <w:div w:id="979768529">
      <w:bodyDiv w:val="1"/>
      <w:marLeft w:val="0"/>
      <w:marRight w:val="0"/>
      <w:marTop w:val="0"/>
      <w:marBottom w:val="0"/>
      <w:divBdr>
        <w:top w:val="none" w:sz="0" w:space="0" w:color="auto"/>
        <w:left w:val="none" w:sz="0" w:space="0" w:color="auto"/>
        <w:bottom w:val="none" w:sz="0" w:space="0" w:color="auto"/>
        <w:right w:val="none" w:sz="0" w:space="0" w:color="auto"/>
      </w:divBdr>
    </w:div>
    <w:div w:id="983390347">
      <w:bodyDiv w:val="1"/>
      <w:marLeft w:val="0"/>
      <w:marRight w:val="0"/>
      <w:marTop w:val="0"/>
      <w:marBottom w:val="0"/>
      <w:divBdr>
        <w:top w:val="none" w:sz="0" w:space="0" w:color="auto"/>
        <w:left w:val="none" w:sz="0" w:space="0" w:color="auto"/>
        <w:bottom w:val="none" w:sz="0" w:space="0" w:color="auto"/>
        <w:right w:val="none" w:sz="0" w:space="0" w:color="auto"/>
      </w:divBdr>
    </w:div>
    <w:div w:id="990214207">
      <w:bodyDiv w:val="1"/>
      <w:marLeft w:val="0"/>
      <w:marRight w:val="0"/>
      <w:marTop w:val="0"/>
      <w:marBottom w:val="0"/>
      <w:divBdr>
        <w:top w:val="none" w:sz="0" w:space="0" w:color="auto"/>
        <w:left w:val="none" w:sz="0" w:space="0" w:color="auto"/>
        <w:bottom w:val="none" w:sz="0" w:space="0" w:color="auto"/>
        <w:right w:val="none" w:sz="0" w:space="0" w:color="auto"/>
      </w:divBdr>
    </w:div>
    <w:div w:id="994844607">
      <w:bodyDiv w:val="1"/>
      <w:marLeft w:val="0"/>
      <w:marRight w:val="0"/>
      <w:marTop w:val="0"/>
      <w:marBottom w:val="0"/>
      <w:divBdr>
        <w:top w:val="none" w:sz="0" w:space="0" w:color="auto"/>
        <w:left w:val="none" w:sz="0" w:space="0" w:color="auto"/>
        <w:bottom w:val="none" w:sz="0" w:space="0" w:color="auto"/>
        <w:right w:val="none" w:sz="0" w:space="0" w:color="auto"/>
      </w:divBdr>
    </w:div>
    <w:div w:id="996227922">
      <w:bodyDiv w:val="1"/>
      <w:marLeft w:val="0"/>
      <w:marRight w:val="0"/>
      <w:marTop w:val="0"/>
      <w:marBottom w:val="0"/>
      <w:divBdr>
        <w:top w:val="none" w:sz="0" w:space="0" w:color="auto"/>
        <w:left w:val="none" w:sz="0" w:space="0" w:color="auto"/>
        <w:bottom w:val="none" w:sz="0" w:space="0" w:color="auto"/>
        <w:right w:val="none" w:sz="0" w:space="0" w:color="auto"/>
      </w:divBdr>
    </w:div>
    <w:div w:id="1000545466">
      <w:bodyDiv w:val="1"/>
      <w:marLeft w:val="0"/>
      <w:marRight w:val="0"/>
      <w:marTop w:val="0"/>
      <w:marBottom w:val="0"/>
      <w:divBdr>
        <w:top w:val="none" w:sz="0" w:space="0" w:color="auto"/>
        <w:left w:val="none" w:sz="0" w:space="0" w:color="auto"/>
        <w:bottom w:val="none" w:sz="0" w:space="0" w:color="auto"/>
        <w:right w:val="none" w:sz="0" w:space="0" w:color="auto"/>
      </w:divBdr>
    </w:div>
    <w:div w:id="1003048769">
      <w:bodyDiv w:val="1"/>
      <w:marLeft w:val="0"/>
      <w:marRight w:val="0"/>
      <w:marTop w:val="0"/>
      <w:marBottom w:val="0"/>
      <w:divBdr>
        <w:top w:val="none" w:sz="0" w:space="0" w:color="auto"/>
        <w:left w:val="none" w:sz="0" w:space="0" w:color="auto"/>
        <w:bottom w:val="none" w:sz="0" w:space="0" w:color="auto"/>
        <w:right w:val="none" w:sz="0" w:space="0" w:color="auto"/>
      </w:divBdr>
    </w:div>
    <w:div w:id="1005203877">
      <w:bodyDiv w:val="1"/>
      <w:marLeft w:val="0"/>
      <w:marRight w:val="0"/>
      <w:marTop w:val="0"/>
      <w:marBottom w:val="0"/>
      <w:divBdr>
        <w:top w:val="none" w:sz="0" w:space="0" w:color="auto"/>
        <w:left w:val="none" w:sz="0" w:space="0" w:color="auto"/>
        <w:bottom w:val="none" w:sz="0" w:space="0" w:color="auto"/>
        <w:right w:val="none" w:sz="0" w:space="0" w:color="auto"/>
      </w:divBdr>
    </w:div>
    <w:div w:id="1007563380">
      <w:bodyDiv w:val="1"/>
      <w:marLeft w:val="0"/>
      <w:marRight w:val="0"/>
      <w:marTop w:val="0"/>
      <w:marBottom w:val="0"/>
      <w:divBdr>
        <w:top w:val="none" w:sz="0" w:space="0" w:color="auto"/>
        <w:left w:val="none" w:sz="0" w:space="0" w:color="auto"/>
        <w:bottom w:val="none" w:sz="0" w:space="0" w:color="auto"/>
        <w:right w:val="none" w:sz="0" w:space="0" w:color="auto"/>
      </w:divBdr>
    </w:div>
    <w:div w:id="1012995145">
      <w:bodyDiv w:val="1"/>
      <w:marLeft w:val="0"/>
      <w:marRight w:val="0"/>
      <w:marTop w:val="0"/>
      <w:marBottom w:val="0"/>
      <w:divBdr>
        <w:top w:val="none" w:sz="0" w:space="0" w:color="auto"/>
        <w:left w:val="none" w:sz="0" w:space="0" w:color="auto"/>
        <w:bottom w:val="none" w:sz="0" w:space="0" w:color="auto"/>
        <w:right w:val="none" w:sz="0" w:space="0" w:color="auto"/>
      </w:divBdr>
    </w:div>
    <w:div w:id="1015688363">
      <w:bodyDiv w:val="1"/>
      <w:marLeft w:val="0"/>
      <w:marRight w:val="0"/>
      <w:marTop w:val="0"/>
      <w:marBottom w:val="0"/>
      <w:divBdr>
        <w:top w:val="none" w:sz="0" w:space="0" w:color="auto"/>
        <w:left w:val="none" w:sz="0" w:space="0" w:color="auto"/>
        <w:bottom w:val="none" w:sz="0" w:space="0" w:color="auto"/>
        <w:right w:val="none" w:sz="0" w:space="0" w:color="auto"/>
      </w:divBdr>
    </w:div>
    <w:div w:id="1015839599">
      <w:bodyDiv w:val="1"/>
      <w:marLeft w:val="0"/>
      <w:marRight w:val="0"/>
      <w:marTop w:val="0"/>
      <w:marBottom w:val="0"/>
      <w:divBdr>
        <w:top w:val="none" w:sz="0" w:space="0" w:color="auto"/>
        <w:left w:val="none" w:sz="0" w:space="0" w:color="auto"/>
        <w:bottom w:val="none" w:sz="0" w:space="0" w:color="auto"/>
        <w:right w:val="none" w:sz="0" w:space="0" w:color="auto"/>
      </w:divBdr>
    </w:div>
    <w:div w:id="1018122709">
      <w:bodyDiv w:val="1"/>
      <w:marLeft w:val="0"/>
      <w:marRight w:val="0"/>
      <w:marTop w:val="0"/>
      <w:marBottom w:val="0"/>
      <w:divBdr>
        <w:top w:val="none" w:sz="0" w:space="0" w:color="auto"/>
        <w:left w:val="none" w:sz="0" w:space="0" w:color="auto"/>
        <w:bottom w:val="none" w:sz="0" w:space="0" w:color="auto"/>
        <w:right w:val="none" w:sz="0" w:space="0" w:color="auto"/>
      </w:divBdr>
    </w:div>
    <w:div w:id="1020660642">
      <w:bodyDiv w:val="1"/>
      <w:marLeft w:val="0"/>
      <w:marRight w:val="0"/>
      <w:marTop w:val="0"/>
      <w:marBottom w:val="0"/>
      <w:divBdr>
        <w:top w:val="none" w:sz="0" w:space="0" w:color="auto"/>
        <w:left w:val="none" w:sz="0" w:space="0" w:color="auto"/>
        <w:bottom w:val="none" w:sz="0" w:space="0" w:color="auto"/>
        <w:right w:val="none" w:sz="0" w:space="0" w:color="auto"/>
      </w:divBdr>
    </w:div>
    <w:div w:id="1021661276">
      <w:bodyDiv w:val="1"/>
      <w:marLeft w:val="0"/>
      <w:marRight w:val="0"/>
      <w:marTop w:val="0"/>
      <w:marBottom w:val="0"/>
      <w:divBdr>
        <w:top w:val="none" w:sz="0" w:space="0" w:color="auto"/>
        <w:left w:val="none" w:sz="0" w:space="0" w:color="auto"/>
        <w:bottom w:val="none" w:sz="0" w:space="0" w:color="auto"/>
        <w:right w:val="none" w:sz="0" w:space="0" w:color="auto"/>
      </w:divBdr>
    </w:div>
    <w:div w:id="1028457177">
      <w:bodyDiv w:val="1"/>
      <w:marLeft w:val="0"/>
      <w:marRight w:val="0"/>
      <w:marTop w:val="0"/>
      <w:marBottom w:val="0"/>
      <w:divBdr>
        <w:top w:val="none" w:sz="0" w:space="0" w:color="auto"/>
        <w:left w:val="none" w:sz="0" w:space="0" w:color="auto"/>
        <w:bottom w:val="none" w:sz="0" w:space="0" w:color="auto"/>
        <w:right w:val="none" w:sz="0" w:space="0" w:color="auto"/>
      </w:divBdr>
    </w:div>
    <w:div w:id="1028723362">
      <w:bodyDiv w:val="1"/>
      <w:marLeft w:val="0"/>
      <w:marRight w:val="0"/>
      <w:marTop w:val="0"/>
      <w:marBottom w:val="0"/>
      <w:divBdr>
        <w:top w:val="none" w:sz="0" w:space="0" w:color="auto"/>
        <w:left w:val="none" w:sz="0" w:space="0" w:color="auto"/>
        <w:bottom w:val="none" w:sz="0" w:space="0" w:color="auto"/>
        <w:right w:val="none" w:sz="0" w:space="0" w:color="auto"/>
      </w:divBdr>
    </w:div>
    <w:div w:id="1034190263">
      <w:bodyDiv w:val="1"/>
      <w:marLeft w:val="0"/>
      <w:marRight w:val="0"/>
      <w:marTop w:val="0"/>
      <w:marBottom w:val="0"/>
      <w:divBdr>
        <w:top w:val="none" w:sz="0" w:space="0" w:color="auto"/>
        <w:left w:val="none" w:sz="0" w:space="0" w:color="auto"/>
        <w:bottom w:val="none" w:sz="0" w:space="0" w:color="auto"/>
        <w:right w:val="none" w:sz="0" w:space="0" w:color="auto"/>
      </w:divBdr>
    </w:div>
    <w:div w:id="1034842691">
      <w:bodyDiv w:val="1"/>
      <w:marLeft w:val="0"/>
      <w:marRight w:val="0"/>
      <w:marTop w:val="0"/>
      <w:marBottom w:val="0"/>
      <w:divBdr>
        <w:top w:val="none" w:sz="0" w:space="0" w:color="auto"/>
        <w:left w:val="none" w:sz="0" w:space="0" w:color="auto"/>
        <w:bottom w:val="none" w:sz="0" w:space="0" w:color="auto"/>
        <w:right w:val="none" w:sz="0" w:space="0" w:color="auto"/>
      </w:divBdr>
    </w:div>
    <w:div w:id="1036661863">
      <w:bodyDiv w:val="1"/>
      <w:marLeft w:val="0"/>
      <w:marRight w:val="0"/>
      <w:marTop w:val="0"/>
      <w:marBottom w:val="0"/>
      <w:divBdr>
        <w:top w:val="none" w:sz="0" w:space="0" w:color="auto"/>
        <w:left w:val="none" w:sz="0" w:space="0" w:color="auto"/>
        <w:bottom w:val="none" w:sz="0" w:space="0" w:color="auto"/>
        <w:right w:val="none" w:sz="0" w:space="0" w:color="auto"/>
      </w:divBdr>
    </w:div>
    <w:div w:id="1048453576">
      <w:bodyDiv w:val="1"/>
      <w:marLeft w:val="0"/>
      <w:marRight w:val="0"/>
      <w:marTop w:val="0"/>
      <w:marBottom w:val="0"/>
      <w:divBdr>
        <w:top w:val="none" w:sz="0" w:space="0" w:color="auto"/>
        <w:left w:val="none" w:sz="0" w:space="0" w:color="auto"/>
        <w:bottom w:val="none" w:sz="0" w:space="0" w:color="auto"/>
        <w:right w:val="none" w:sz="0" w:space="0" w:color="auto"/>
      </w:divBdr>
    </w:div>
    <w:div w:id="1050809064">
      <w:bodyDiv w:val="1"/>
      <w:marLeft w:val="0"/>
      <w:marRight w:val="0"/>
      <w:marTop w:val="0"/>
      <w:marBottom w:val="0"/>
      <w:divBdr>
        <w:top w:val="none" w:sz="0" w:space="0" w:color="auto"/>
        <w:left w:val="none" w:sz="0" w:space="0" w:color="auto"/>
        <w:bottom w:val="none" w:sz="0" w:space="0" w:color="auto"/>
        <w:right w:val="none" w:sz="0" w:space="0" w:color="auto"/>
      </w:divBdr>
    </w:div>
    <w:div w:id="1053045030">
      <w:bodyDiv w:val="1"/>
      <w:marLeft w:val="0"/>
      <w:marRight w:val="0"/>
      <w:marTop w:val="0"/>
      <w:marBottom w:val="0"/>
      <w:divBdr>
        <w:top w:val="none" w:sz="0" w:space="0" w:color="auto"/>
        <w:left w:val="none" w:sz="0" w:space="0" w:color="auto"/>
        <w:bottom w:val="none" w:sz="0" w:space="0" w:color="auto"/>
        <w:right w:val="none" w:sz="0" w:space="0" w:color="auto"/>
      </w:divBdr>
    </w:div>
    <w:div w:id="1055396843">
      <w:bodyDiv w:val="1"/>
      <w:marLeft w:val="0"/>
      <w:marRight w:val="0"/>
      <w:marTop w:val="0"/>
      <w:marBottom w:val="0"/>
      <w:divBdr>
        <w:top w:val="none" w:sz="0" w:space="0" w:color="auto"/>
        <w:left w:val="none" w:sz="0" w:space="0" w:color="auto"/>
        <w:bottom w:val="none" w:sz="0" w:space="0" w:color="auto"/>
        <w:right w:val="none" w:sz="0" w:space="0" w:color="auto"/>
      </w:divBdr>
    </w:div>
    <w:div w:id="1055658768">
      <w:bodyDiv w:val="1"/>
      <w:marLeft w:val="0"/>
      <w:marRight w:val="0"/>
      <w:marTop w:val="0"/>
      <w:marBottom w:val="0"/>
      <w:divBdr>
        <w:top w:val="none" w:sz="0" w:space="0" w:color="auto"/>
        <w:left w:val="none" w:sz="0" w:space="0" w:color="auto"/>
        <w:bottom w:val="none" w:sz="0" w:space="0" w:color="auto"/>
        <w:right w:val="none" w:sz="0" w:space="0" w:color="auto"/>
      </w:divBdr>
    </w:div>
    <w:div w:id="1068116626">
      <w:bodyDiv w:val="1"/>
      <w:marLeft w:val="0"/>
      <w:marRight w:val="0"/>
      <w:marTop w:val="0"/>
      <w:marBottom w:val="0"/>
      <w:divBdr>
        <w:top w:val="none" w:sz="0" w:space="0" w:color="auto"/>
        <w:left w:val="none" w:sz="0" w:space="0" w:color="auto"/>
        <w:bottom w:val="none" w:sz="0" w:space="0" w:color="auto"/>
        <w:right w:val="none" w:sz="0" w:space="0" w:color="auto"/>
      </w:divBdr>
    </w:div>
    <w:div w:id="1070031784">
      <w:bodyDiv w:val="1"/>
      <w:marLeft w:val="0"/>
      <w:marRight w:val="0"/>
      <w:marTop w:val="0"/>
      <w:marBottom w:val="0"/>
      <w:divBdr>
        <w:top w:val="none" w:sz="0" w:space="0" w:color="auto"/>
        <w:left w:val="none" w:sz="0" w:space="0" w:color="auto"/>
        <w:bottom w:val="none" w:sz="0" w:space="0" w:color="auto"/>
        <w:right w:val="none" w:sz="0" w:space="0" w:color="auto"/>
      </w:divBdr>
    </w:div>
    <w:div w:id="1070234765">
      <w:bodyDiv w:val="1"/>
      <w:marLeft w:val="0"/>
      <w:marRight w:val="0"/>
      <w:marTop w:val="0"/>
      <w:marBottom w:val="0"/>
      <w:divBdr>
        <w:top w:val="none" w:sz="0" w:space="0" w:color="auto"/>
        <w:left w:val="none" w:sz="0" w:space="0" w:color="auto"/>
        <w:bottom w:val="none" w:sz="0" w:space="0" w:color="auto"/>
        <w:right w:val="none" w:sz="0" w:space="0" w:color="auto"/>
      </w:divBdr>
    </w:div>
    <w:div w:id="1073550956">
      <w:bodyDiv w:val="1"/>
      <w:marLeft w:val="0"/>
      <w:marRight w:val="0"/>
      <w:marTop w:val="0"/>
      <w:marBottom w:val="0"/>
      <w:divBdr>
        <w:top w:val="none" w:sz="0" w:space="0" w:color="auto"/>
        <w:left w:val="none" w:sz="0" w:space="0" w:color="auto"/>
        <w:bottom w:val="none" w:sz="0" w:space="0" w:color="auto"/>
        <w:right w:val="none" w:sz="0" w:space="0" w:color="auto"/>
      </w:divBdr>
    </w:div>
    <w:div w:id="1073577659">
      <w:bodyDiv w:val="1"/>
      <w:marLeft w:val="0"/>
      <w:marRight w:val="0"/>
      <w:marTop w:val="0"/>
      <w:marBottom w:val="0"/>
      <w:divBdr>
        <w:top w:val="none" w:sz="0" w:space="0" w:color="auto"/>
        <w:left w:val="none" w:sz="0" w:space="0" w:color="auto"/>
        <w:bottom w:val="none" w:sz="0" w:space="0" w:color="auto"/>
        <w:right w:val="none" w:sz="0" w:space="0" w:color="auto"/>
      </w:divBdr>
    </w:div>
    <w:div w:id="1074401098">
      <w:bodyDiv w:val="1"/>
      <w:marLeft w:val="0"/>
      <w:marRight w:val="0"/>
      <w:marTop w:val="0"/>
      <w:marBottom w:val="0"/>
      <w:divBdr>
        <w:top w:val="none" w:sz="0" w:space="0" w:color="auto"/>
        <w:left w:val="none" w:sz="0" w:space="0" w:color="auto"/>
        <w:bottom w:val="none" w:sz="0" w:space="0" w:color="auto"/>
        <w:right w:val="none" w:sz="0" w:space="0" w:color="auto"/>
      </w:divBdr>
    </w:div>
    <w:div w:id="1076124478">
      <w:bodyDiv w:val="1"/>
      <w:marLeft w:val="0"/>
      <w:marRight w:val="0"/>
      <w:marTop w:val="0"/>
      <w:marBottom w:val="0"/>
      <w:divBdr>
        <w:top w:val="none" w:sz="0" w:space="0" w:color="auto"/>
        <w:left w:val="none" w:sz="0" w:space="0" w:color="auto"/>
        <w:bottom w:val="none" w:sz="0" w:space="0" w:color="auto"/>
        <w:right w:val="none" w:sz="0" w:space="0" w:color="auto"/>
      </w:divBdr>
    </w:div>
    <w:div w:id="1076823476">
      <w:bodyDiv w:val="1"/>
      <w:marLeft w:val="0"/>
      <w:marRight w:val="0"/>
      <w:marTop w:val="0"/>
      <w:marBottom w:val="0"/>
      <w:divBdr>
        <w:top w:val="none" w:sz="0" w:space="0" w:color="auto"/>
        <w:left w:val="none" w:sz="0" w:space="0" w:color="auto"/>
        <w:bottom w:val="none" w:sz="0" w:space="0" w:color="auto"/>
        <w:right w:val="none" w:sz="0" w:space="0" w:color="auto"/>
      </w:divBdr>
    </w:div>
    <w:div w:id="1078283486">
      <w:bodyDiv w:val="1"/>
      <w:marLeft w:val="0"/>
      <w:marRight w:val="0"/>
      <w:marTop w:val="0"/>
      <w:marBottom w:val="0"/>
      <w:divBdr>
        <w:top w:val="none" w:sz="0" w:space="0" w:color="auto"/>
        <w:left w:val="none" w:sz="0" w:space="0" w:color="auto"/>
        <w:bottom w:val="none" w:sz="0" w:space="0" w:color="auto"/>
        <w:right w:val="none" w:sz="0" w:space="0" w:color="auto"/>
      </w:divBdr>
    </w:div>
    <w:div w:id="1084885304">
      <w:bodyDiv w:val="1"/>
      <w:marLeft w:val="0"/>
      <w:marRight w:val="0"/>
      <w:marTop w:val="0"/>
      <w:marBottom w:val="0"/>
      <w:divBdr>
        <w:top w:val="none" w:sz="0" w:space="0" w:color="auto"/>
        <w:left w:val="none" w:sz="0" w:space="0" w:color="auto"/>
        <w:bottom w:val="none" w:sz="0" w:space="0" w:color="auto"/>
        <w:right w:val="none" w:sz="0" w:space="0" w:color="auto"/>
      </w:divBdr>
    </w:div>
    <w:div w:id="1085960656">
      <w:bodyDiv w:val="1"/>
      <w:marLeft w:val="0"/>
      <w:marRight w:val="0"/>
      <w:marTop w:val="0"/>
      <w:marBottom w:val="0"/>
      <w:divBdr>
        <w:top w:val="none" w:sz="0" w:space="0" w:color="auto"/>
        <w:left w:val="none" w:sz="0" w:space="0" w:color="auto"/>
        <w:bottom w:val="none" w:sz="0" w:space="0" w:color="auto"/>
        <w:right w:val="none" w:sz="0" w:space="0" w:color="auto"/>
      </w:divBdr>
    </w:div>
    <w:div w:id="1093403671">
      <w:bodyDiv w:val="1"/>
      <w:marLeft w:val="0"/>
      <w:marRight w:val="0"/>
      <w:marTop w:val="0"/>
      <w:marBottom w:val="0"/>
      <w:divBdr>
        <w:top w:val="none" w:sz="0" w:space="0" w:color="auto"/>
        <w:left w:val="none" w:sz="0" w:space="0" w:color="auto"/>
        <w:bottom w:val="none" w:sz="0" w:space="0" w:color="auto"/>
        <w:right w:val="none" w:sz="0" w:space="0" w:color="auto"/>
      </w:divBdr>
    </w:div>
    <w:div w:id="1094475283">
      <w:bodyDiv w:val="1"/>
      <w:marLeft w:val="0"/>
      <w:marRight w:val="0"/>
      <w:marTop w:val="0"/>
      <w:marBottom w:val="0"/>
      <w:divBdr>
        <w:top w:val="none" w:sz="0" w:space="0" w:color="auto"/>
        <w:left w:val="none" w:sz="0" w:space="0" w:color="auto"/>
        <w:bottom w:val="none" w:sz="0" w:space="0" w:color="auto"/>
        <w:right w:val="none" w:sz="0" w:space="0" w:color="auto"/>
      </w:divBdr>
    </w:div>
    <w:div w:id="1094594303">
      <w:bodyDiv w:val="1"/>
      <w:marLeft w:val="0"/>
      <w:marRight w:val="0"/>
      <w:marTop w:val="0"/>
      <w:marBottom w:val="0"/>
      <w:divBdr>
        <w:top w:val="none" w:sz="0" w:space="0" w:color="auto"/>
        <w:left w:val="none" w:sz="0" w:space="0" w:color="auto"/>
        <w:bottom w:val="none" w:sz="0" w:space="0" w:color="auto"/>
        <w:right w:val="none" w:sz="0" w:space="0" w:color="auto"/>
      </w:divBdr>
    </w:div>
    <w:div w:id="1096635065">
      <w:bodyDiv w:val="1"/>
      <w:marLeft w:val="0"/>
      <w:marRight w:val="0"/>
      <w:marTop w:val="0"/>
      <w:marBottom w:val="0"/>
      <w:divBdr>
        <w:top w:val="none" w:sz="0" w:space="0" w:color="auto"/>
        <w:left w:val="none" w:sz="0" w:space="0" w:color="auto"/>
        <w:bottom w:val="none" w:sz="0" w:space="0" w:color="auto"/>
        <w:right w:val="none" w:sz="0" w:space="0" w:color="auto"/>
      </w:divBdr>
    </w:div>
    <w:div w:id="1097824375">
      <w:bodyDiv w:val="1"/>
      <w:marLeft w:val="0"/>
      <w:marRight w:val="0"/>
      <w:marTop w:val="0"/>
      <w:marBottom w:val="0"/>
      <w:divBdr>
        <w:top w:val="none" w:sz="0" w:space="0" w:color="auto"/>
        <w:left w:val="none" w:sz="0" w:space="0" w:color="auto"/>
        <w:bottom w:val="none" w:sz="0" w:space="0" w:color="auto"/>
        <w:right w:val="none" w:sz="0" w:space="0" w:color="auto"/>
      </w:divBdr>
    </w:div>
    <w:div w:id="1103649066">
      <w:bodyDiv w:val="1"/>
      <w:marLeft w:val="0"/>
      <w:marRight w:val="0"/>
      <w:marTop w:val="0"/>
      <w:marBottom w:val="0"/>
      <w:divBdr>
        <w:top w:val="none" w:sz="0" w:space="0" w:color="auto"/>
        <w:left w:val="none" w:sz="0" w:space="0" w:color="auto"/>
        <w:bottom w:val="none" w:sz="0" w:space="0" w:color="auto"/>
        <w:right w:val="none" w:sz="0" w:space="0" w:color="auto"/>
      </w:divBdr>
    </w:div>
    <w:div w:id="1107383411">
      <w:bodyDiv w:val="1"/>
      <w:marLeft w:val="0"/>
      <w:marRight w:val="0"/>
      <w:marTop w:val="0"/>
      <w:marBottom w:val="0"/>
      <w:divBdr>
        <w:top w:val="none" w:sz="0" w:space="0" w:color="auto"/>
        <w:left w:val="none" w:sz="0" w:space="0" w:color="auto"/>
        <w:bottom w:val="none" w:sz="0" w:space="0" w:color="auto"/>
        <w:right w:val="none" w:sz="0" w:space="0" w:color="auto"/>
      </w:divBdr>
    </w:div>
    <w:div w:id="1107774443">
      <w:bodyDiv w:val="1"/>
      <w:marLeft w:val="0"/>
      <w:marRight w:val="0"/>
      <w:marTop w:val="0"/>
      <w:marBottom w:val="0"/>
      <w:divBdr>
        <w:top w:val="none" w:sz="0" w:space="0" w:color="auto"/>
        <w:left w:val="none" w:sz="0" w:space="0" w:color="auto"/>
        <w:bottom w:val="none" w:sz="0" w:space="0" w:color="auto"/>
        <w:right w:val="none" w:sz="0" w:space="0" w:color="auto"/>
      </w:divBdr>
    </w:div>
    <w:div w:id="1109203760">
      <w:bodyDiv w:val="1"/>
      <w:marLeft w:val="0"/>
      <w:marRight w:val="0"/>
      <w:marTop w:val="0"/>
      <w:marBottom w:val="0"/>
      <w:divBdr>
        <w:top w:val="none" w:sz="0" w:space="0" w:color="auto"/>
        <w:left w:val="none" w:sz="0" w:space="0" w:color="auto"/>
        <w:bottom w:val="none" w:sz="0" w:space="0" w:color="auto"/>
        <w:right w:val="none" w:sz="0" w:space="0" w:color="auto"/>
      </w:divBdr>
    </w:div>
    <w:div w:id="111359134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527223">
      <w:bodyDiv w:val="1"/>
      <w:marLeft w:val="0"/>
      <w:marRight w:val="0"/>
      <w:marTop w:val="0"/>
      <w:marBottom w:val="0"/>
      <w:divBdr>
        <w:top w:val="none" w:sz="0" w:space="0" w:color="auto"/>
        <w:left w:val="none" w:sz="0" w:space="0" w:color="auto"/>
        <w:bottom w:val="none" w:sz="0" w:space="0" w:color="auto"/>
        <w:right w:val="none" w:sz="0" w:space="0" w:color="auto"/>
      </w:divBdr>
    </w:div>
    <w:div w:id="1145439398">
      <w:bodyDiv w:val="1"/>
      <w:marLeft w:val="0"/>
      <w:marRight w:val="0"/>
      <w:marTop w:val="0"/>
      <w:marBottom w:val="0"/>
      <w:divBdr>
        <w:top w:val="none" w:sz="0" w:space="0" w:color="auto"/>
        <w:left w:val="none" w:sz="0" w:space="0" w:color="auto"/>
        <w:bottom w:val="none" w:sz="0" w:space="0" w:color="auto"/>
        <w:right w:val="none" w:sz="0" w:space="0" w:color="auto"/>
      </w:divBdr>
    </w:div>
    <w:div w:id="1145469668">
      <w:bodyDiv w:val="1"/>
      <w:marLeft w:val="0"/>
      <w:marRight w:val="0"/>
      <w:marTop w:val="0"/>
      <w:marBottom w:val="0"/>
      <w:divBdr>
        <w:top w:val="none" w:sz="0" w:space="0" w:color="auto"/>
        <w:left w:val="none" w:sz="0" w:space="0" w:color="auto"/>
        <w:bottom w:val="none" w:sz="0" w:space="0" w:color="auto"/>
        <w:right w:val="none" w:sz="0" w:space="0" w:color="auto"/>
      </w:divBdr>
    </w:div>
    <w:div w:id="1150294794">
      <w:bodyDiv w:val="1"/>
      <w:marLeft w:val="0"/>
      <w:marRight w:val="0"/>
      <w:marTop w:val="0"/>
      <w:marBottom w:val="0"/>
      <w:divBdr>
        <w:top w:val="none" w:sz="0" w:space="0" w:color="auto"/>
        <w:left w:val="none" w:sz="0" w:space="0" w:color="auto"/>
        <w:bottom w:val="none" w:sz="0" w:space="0" w:color="auto"/>
        <w:right w:val="none" w:sz="0" w:space="0" w:color="auto"/>
      </w:divBdr>
    </w:div>
    <w:div w:id="1154226687">
      <w:bodyDiv w:val="1"/>
      <w:marLeft w:val="0"/>
      <w:marRight w:val="0"/>
      <w:marTop w:val="0"/>
      <w:marBottom w:val="0"/>
      <w:divBdr>
        <w:top w:val="none" w:sz="0" w:space="0" w:color="auto"/>
        <w:left w:val="none" w:sz="0" w:space="0" w:color="auto"/>
        <w:bottom w:val="none" w:sz="0" w:space="0" w:color="auto"/>
        <w:right w:val="none" w:sz="0" w:space="0" w:color="auto"/>
      </w:divBdr>
    </w:div>
    <w:div w:id="1156841692">
      <w:bodyDiv w:val="1"/>
      <w:marLeft w:val="0"/>
      <w:marRight w:val="0"/>
      <w:marTop w:val="0"/>
      <w:marBottom w:val="0"/>
      <w:divBdr>
        <w:top w:val="none" w:sz="0" w:space="0" w:color="auto"/>
        <w:left w:val="none" w:sz="0" w:space="0" w:color="auto"/>
        <w:bottom w:val="none" w:sz="0" w:space="0" w:color="auto"/>
        <w:right w:val="none" w:sz="0" w:space="0" w:color="auto"/>
      </w:divBdr>
    </w:div>
    <w:div w:id="1160543243">
      <w:bodyDiv w:val="1"/>
      <w:marLeft w:val="0"/>
      <w:marRight w:val="0"/>
      <w:marTop w:val="0"/>
      <w:marBottom w:val="0"/>
      <w:divBdr>
        <w:top w:val="none" w:sz="0" w:space="0" w:color="auto"/>
        <w:left w:val="none" w:sz="0" w:space="0" w:color="auto"/>
        <w:bottom w:val="none" w:sz="0" w:space="0" w:color="auto"/>
        <w:right w:val="none" w:sz="0" w:space="0" w:color="auto"/>
      </w:divBdr>
    </w:div>
    <w:div w:id="1163198829">
      <w:bodyDiv w:val="1"/>
      <w:marLeft w:val="0"/>
      <w:marRight w:val="0"/>
      <w:marTop w:val="0"/>
      <w:marBottom w:val="0"/>
      <w:divBdr>
        <w:top w:val="none" w:sz="0" w:space="0" w:color="auto"/>
        <w:left w:val="none" w:sz="0" w:space="0" w:color="auto"/>
        <w:bottom w:val="none" w:sz="0" w:space="0" w:color="auto"/>
        <w:right w:val="none" w:sz="0" w:space="0" w:color="auto"/>
      </w:divBdr>
    </w:div>
    <w:div w:id="1163281471">
      <w:bodyDiv w:val="1"/>
      <w:marLeft w:val="0"/>
      <w:marRight w:val="0"/>
      <w:marTop w:val="0"/>
      <w:marBottom w:val="0"/>
      <w:divBdr>
        <w:top w:val="none" w:sz="0" w:space="0" w:color="auto"/>
        <w:left w:val="none" w:sz="0" w:space="0" w:color="auto"/>
        <w:bottom w:val="none" w:sz="0" w:space="0" w:color="auto"/>
        <w:right w:val="none" w:sz="0" w:space="0" w:color="auto"/>
      </w:divBdr>
    </w:div>
    <w:div w:id="1164904295">
      <w:bodyDiv w:val="1"/>
      <w:marLeft w:val="0"/>
      <w:marRight w:val="0"/>
      <w:marTop w:val="0"/>
      <w:marBottom w:val="0"/>
      <w:divBdr>
        <w:top w:val="none" w:sz="0" w:space="0" w:color="auto"/>
        <w:left w:val="none" w:sz="0" w:space="0" w:color="auto"/>
        <w:bottom w:val="none" w:sz="0" w:space="0" w:color="auto"/>
        <w:right w:val="none" w:sz="0" w:space="0" w:color="auto"/>
      </w:divBdr>
    </w:div>
    <w:div w:id="1165782730">
      <w:bodyDiv w:val="1"/>
      <w:marLeft w:val="0"/>
      <w:marRight w:val="0"/>
      <w:marTop w:val="0"/>
      <w:marBottom w:val="0"/>
      <w:divBdr>
        <w:top w:val="none" w:sz="0" w:space="0" w:color="auto"/>
        <w:left w:val="none" w:sz="0" w:space="0" w:color="auto"/>
        <w:bottom w:val="none" w:sz="0" w:space="0" w:color="auto"/>
        <w:right w:val="none" w:sz="0" w:space="0" w:color="auto"/>
      </w:divBdr>
    </w:div>
    <w:div w:id="1167944390">
      <w:bodyDiv w:val="1"/>
      <w:marLeft w:val="0"/>
      <w:marRight w:val="0"/>
      <w:marTop w:val="0"/>
      <w:marBottom w:val="0"/>
      <w:divBdr>
        <w:top w:val="none" w:sz="0" w:space="0" w:color="auto"/>
        <w:left w:val="none" w:sz="0" w:space="0" w:color="auto"/>
        <w:bottom w:val="none" w:sz="0" w:space="0" w:color="auto"/>
        <w:right w:val="none" w:sz="0" w:space="0" w:color="auto"/>
      </w:divBdr>
    </w:div>
    <w:div w:id="1168784247">
      <w:bodyDiv w:val="1"/>
      <w:marLeft w:val="0"/>
      <w:marRight w:val="0"/>
      <w:marTop w:val="0"/>
      <w:marBottom w:val="0"/>
      <w:divBdr>
        <w:top w:val="none" w:sz="0" w:space="0" w:color="auto"/>
        <w:left w:val="none" w:sz="0" w:space="0" w:color="auto"/>
        <w:bottom w:val="none" w:sz="0" w:space="0" w:color="auto"/>
        <w:right w:val="none" w:sz="0" w:space="0" w:color="auto"/>
      </w:divBdr>
    </w:div>
    <w:div w:id="1177767366">
      <w:bodyDiv w:val="1"/>
      <w:marLeft w:val="0"/>
      <w:marRight w:val="0"/>
      <w:marTop w:val="0"/>
      <w:marBottom w:val="0"/>
      <w:divBdr>
        <w:top w:val="none" w:sz="0" w:space="0" w:color="auto"/>
        <w:left w:val="none" w:sz="0" w:space="0" w:color="auto"/>
        <w:bottom w:val="none" w:sz="0" w:space="0" w:color="auto"/>
        <w:right w:val="none" w:sz="0" w:space="0" w:color="auto"/>
      </w:divBdr>
    </w:div>
    <w:div w:id="1183737290">
      <w:bodyDiv w:val="1"/>
      <w:marLeft w:val="0"/>
      <w:marRight w:val="0"/>
      <w:marTop w:val="0"/>
      <w:marBottom w:val="0"/>
      <w:divBdr>
        <w:top w:val="none" w:sz="0" w:space="0" w:color="auto"/>
        <w:left w:val="none" w:sz="0" w:space="0" w:color="auto"/>
        <w:bottom w:val="none" w:sz="0" w:space="0" w:color="auto"/>
        <w:right w:val="none" w:sz="0" w:space="0" w:color="auto"/>
      </w:divBdr>
    </w:div>
    <w:div w:id="1191604117">
      <w:bodyDiv w:val="1"/>
      <w:marLeft w:val="0"/>
      <w:marRight w:val="0"/>
      <w:marTop w:val="0"/>
      <w:marBottom w:val="0"/>
      <w:divBdr>
        <w:top w:val="none" w:sz="0" w:space="0" w:color="auto"/>
        <w:left w:val="none" w:sz="0" w:space="0" w:color="auto"/>
        <w:bottom w:val="none" w:sz="0" w:space="0" w:color="auto"/>
        <w:right w:val="none" w:sz="0" w:space="0" w:color="auto"/>
      </w:divBdr>
    </w:div>
    <w:div w:id="1201236860">
      <w:bodyDiv w:val="1"/>
      <w:marLeft w:val="0"/>
      <w:marRight w:val="0"/>
      <w:marTop w:val="0"/>
      <w:marBottom w:val="0"/>
      <w:divBdr>
        <w:top w:val="none" w:sz="0" w:space="0" w:color="auto"/>
        <w:left w:val="none" w:sz="0" w:space="0" w:color="auto"/>
        <w:bottom w:val="none" w:sz="0" w:space="0" w:color="auto"/>
        <w:right w:val="none" w:sz="0" w:space="0" w:color="auto"/>
      </w:divBdr>
    </w:div>
    <w:div w:id="1202326671">
      <w:bodyDiv w:val="1"/>
      <w:marLeft w:val="0"/>
      <w:marRight w:val="0"/>
      <w:marTop w:val="0"/>
      <w:marBottom w:val="0"/>
      <w:divBdr>
        <w:top w:val="none" w:sz="0" w:space="0" w:color="auto"/>
        <w:left w:val="none" w:sz="0" w:space="0" w:color="auto"/>
        <w:bottom w:val="none" w:sz="0" w:space="0" w:color="auto"/>
        <w:right w:val="none" w:sz="0" w:space="0" w:color="auto"/>
      </w:divBdr>
    </w:div>
    <w:div w:id="1202745717">
      <w:bodyDiv w:val="1"/>
      <w:marLeft w:val="0"/>
      <w:marRight w:val="0"/>
      <w:marTop w:val="0"/>
      <w:marBottom w:val="0"/>
      <w:divBdr>
        <w:top w:val="none" w:sz="0" w:space="0" w:color="auto"/>
        <w:left w:val="none" w:sz="0" w:space="0" w:color="auto"/>
        <w:bottom w:val="none" w:sz="0" w:space="0" w:color="auto"/>
        <w:right w:val="none" w:sz="0" w:space="0" w:color="auto"/>
      </w:divBdr>
    </w:div>
    <w:div w:id="1203324138">
      <w:bodyDiv w:val="1"/>
      <w:marLeft w:val="0"/>
      <w:marRight w:val="0"/>
      <w:marTop w:val="0"/>
      <w:marBottom w:val="0"/>
      <w:divBdr>
        <w:top w:val="none" w:sz="0" w:space="0" w:color="auto"/>
        <w:left w:val="none" w:sz="0" w:space="0" w:color="auto"/>
        <w:bottom w:val="none" w:sz="0" w:space="0" w:color="auto"/>
        <w:right w:val="none" w:sz="0" w:space="0" w:color="auto"/>
      </w:divBdr>
    </w:div>
    <w:div w:id="1204712574">
      <w:bodyDiv w:val="1"/>
      <w:marLeft w:val="0"/>
      <w:marRight w:val="0"/>
      <w:marTop w:val="0"/>
      <w:marBottom w:val="0"/>
      <w:divBdr>
        <w:top w:val="none" w:sz="0" w:space="0" w:color="auto"/>
        <w:left w:val="none" w:sz="0" w:space="0" w:color="auto"/>
        <w:bottom w:val="none" w:sz="0" w:space="0" w:color="auto"/>
        <w:right w:val="none" w:sz="0" w:space="0" w:color="auto"/>
      </w:divBdr>
    </w:div>
    <w:div w:id="1205210727">
      <w:bodyDiv w:val="1"/>
      <w:marLeft w:val="0"/>
      <w:marRight w:val="0"/>
      <w:marTop w:val="0"/>
      <w:marBottom w:val="0"/>
      <w:divBdr>
        <w:top w:val="none" w:sz="0" w:space="0" w:color="auto"/>
        <w:left w:val="none" w:sz="0" w:space="0" w:color="auto"/>
        <w:bottom w:val="none" w:sz="0" w:space="0" w:color="auto"/>
        <w:right w:val="none" w:sz="0" w:space="0" w:color="auto"/>
      </w:divBdr>
    </w:div>
    <w:div w:id="1205748811">
      <w:bodyDiv w:val="1"/>
      <w:marLeft w:val="0"/>
      <w:marRight w:val="0"/>
      <w:marTop w:val="0"/>
      <w:marBottom w:val="0"/>
      <w:divBdr>
        <w:top w:val="none" w:sz="0" w:space="0" w:color="auto"/>
        <w:left w:val="none" w:sz="0" w:space="0" w:color="auto"/>
        <w:bottom w:val="none" w:sz="0" w:space="0" w:color="auto"/>
        <w:right w:val="none" w:sz="0" w:space="0" w:color="auto"/>
      </w:divBdr>
    </w:div>
    <w:div w:id="1209487148">
      <w:bodyDiv w:val="1"/>
      <w:marLeft w:val="0"/>
      <w:marRight w:val="0"/>
      <w:marTop w:val="0"/>
      <w:marBottom w:val="0"/>
      <w:divBdr>
        <w:top w:val="none" w:sz="0" w:space="0" w:color="auto"/>
        <w:left w:val="none" w:sz="0" w:space="0" w:color="auto"/>
        <w:bottom w:val="none" w:sz="0" w:space="0" w:color="auto"/>
        <w:right w:val="none" w:sz="0" w:space="0" w:color="auto"/>
      </w:divBdr>
    </w:div>
    <w:div w:id="1211844787">
      <w:bodyDiv w:val="1"/>
      <w:marLeft w:val="0"/>
      <w:marRight w:val="0"/>
      <w:marTop w:val="0"/>
      <w:marBottom w:val="0"/>
      <w:divBdr>
        <w:top w:val="none" w:sz="0" w:space="0" w:color="auto"/>
        <w:left w:val="none" w:sz="0" w:space="0" w:color="auto"/>
        <w:bottom w:val="none" w:sz="0" w:space="0" w:color="auto"/>
        <w:right w:val="none" w:sz="0" w:space="0" w:color="auto"/>
      </w:divBdr>
    </w:div>
    <w:div w:id="1214273858">
      <w:bodyDiv w:val="1"/>
      <w:marLeft w:val="0"/>
      <w:marRight w:val="0"/>
      <w:marTop w:val="0"/>
      <w:marBottom w:val="0"/>
      <w:divBdr>
        <w:top w:val="none" w:sz="0" w:space="0" w:color="auto"/>
        <w:left w:val="none" w:sz="0" w:space="0" w:color="auto"/>
        <w:bottom w:val="none" w:sz="0" w:space="0" w:color="auto"/>
        <w:right w:val="none" w:sz="0" w:space="0" w:color="auto"/>
      </w:divBdr>
    </w:div>
    <w:div w:id="1215435745">
      <w:bodyDiv w:val="1"/>
      <w:marLeft w:val="0"/>
      <w:marRight w:val="0"/>
      <w:marTop w:val="0"/>
      <w:marBottom w:val="0"/>
      <w:divBdr>
        <w:top w:val="none" w:sz="0" w:space="0" w:color="auto"/>
        <w:left w:val="none" w:sz="0" w:space="0" w:color="auto"/>
        <w:bottom w:val="none" w:sz="0" w:space="0" w:color="auto"/>
        <w:right w:val="none" w:sz="0" w:space="0" w:color="auto"/>
      </w:divBdr>
    </w:div>
    <w:div w:id="1218082377">
      <w:bodyDiv w:val="1"/>
      <w:marLeft w:val="0"/>
      <w:marRight w:val="0"/>
      <w:marTop w:val="0"/>
      <w:marBottom w:val="0"/>
      <w:divBdr>
        <w:top w:val="none" w:sz="0" w:space="0" w:color="auto"/>
        <w:left w:val="none" w:sz="0" w:space="0" w:color="auto"/>
        <w:bottom w:val="none" w:sz="0" w:space="0" w:color="auto"/>
        <w:right w:val="none" w:sz="0" w:space="0" w:color="auto"/>
      </w:divBdr>
    </w:div>
    <w:div w:id="1222523174">
      <w:bodyDiv w:val="1"/>
      <w:marLeft w:val="0"/>
      <w:marRight w:val="0"/>
      <w:marTop w:val="0"/>
      <w:marBottom w:val="0"/>
      <w:divBdr>
        <w:top w:val="none" w:sz="0" w:space="0" w:color="auto"/>
        <w:left w:val="none" w:sz="0" w:space="0" w:color="auto"/>
        <w:bottom w:val="none" w:sz="0" w:space="0" w:color="auto"/>
        <w:right w:val="none" w:sz="0" w:space="0" w:color="auto"/>
      </w:divBdr>
    </w:div>
    <w:div w:id="1223104694">
      <w:bodyDiv w:val="1"/>
      <w:marLeft w:val="0"/>
      <w:marRight w:val="0"/>
      <w:marTop w:val="0"/>
      <w:marBottom w:val="0"/>
      <w:divBdr>
        <w:top w:val="none" w:sz="0" w:space="0" w:color="auto"/>
        <w:left w:val="none" w:sz="0" w:space="0" w:color="auto"/>
        <w:bottom w:val="none" w:sz="0" w:space="0" w:color="auto"/>
        <w:right w:val="none" w:sz="0" w:space="0" w:color="auto"/>
      </w:divBdr>
    </w:div>
    <w:div w:id="1223179315">
      <w:bodyDiv w:val="1"/>
      <w:marLeft w:val="0"/>
      <w:marRight w:val="0"/>
      <w:marTop w:val="0"/>
      <w:marBottom w:val="0"/>
      <w:divBdr>
        <w:top w:val="none" w:sz="0" w:space="0" w:color="auto"/>
        <w:left w:val="none" w:sz="0" w:space="0" w:color="auto"/>
        <w:bottom w:val="none" w:sz="0" w:space="0" w:color="auto"/>
        <w:right w:val="none" w:sz="0" w:space="0" w:color="auto"/>
      </w:divBdr>
    </w:div>
    <w:div w:id="1232040445">
      <w:bodyDiv w:val="1"/>
      <w:marLeft w:val="0"/>
      <w:marRight w:val="0"/>
      <w:marTop w:val="0"/>
      <w:marBottom w:val="0"/>
      <w:divBdr>
        <w:top w:val="none" w:sz="0" w:space="0" w:color="auto"/>
        <w:left w:val="none" w:sz="0" w:space="0" w:color="auto"/>
        <w:bottom w:val="none" w:sz="0" w:space="0" w:color="auto"/>
        <w:right w:val="none" w:sz="0" w:space="0" w:color="auto"/>
      </w:divBdr>
    </w:div>
    <w:div w:id="1232082287">
      <w:bodyDiv w:val="1"/>
      <w:marLeft w:val="0"/>
      <w:marRight w:val="0"/>
      <w:marTop w:val="0"/>
      <w:marBottom w:val="0"/>
      <w:divBdr>
        <w:top w:val="none" w:sz="0" w:space="0" w:color="auto"/>
        <w:left w:val="none" w:sz="0" w:space="0" w:color="auto"/>
        <w:bottom w:val="none" w:sz="0" w:space="0" w:color="auto"/>
        <w:right w:val="none" w:sz="0" w:space="0" w:color="auto"/>
      </w:divBdr>
    </w:div>
    <w:div w:id="1232620454">
      <w:bodyDiv w:val="1"/>
      <w:marLeft w:val="0"/>
      <w:marRight w:val="0"/>
      <w:marTop w:val="0"/>
      <w:marBottom w:val="0"/>
      <w:divBdr>
        <w:top w:val="none" w:sz="0" w:space="0" w:color="auto"/>
        <w:left w:val="none" w:sz="0" w:space="0" w:color="auto"/>
        <w:bottom w:val="none" w:sz="0" w:space="0" w:color="auto"/>
        <w:right w:val="none" w:sz="0" w:space="0" w:color="auto"/>
      </w:divBdr>
    </w:div>
    <w:div w:id="1240018836">
      <w:bodyDiv w:val="1"/>
      <w:marLeft w:val="0"/>
      <w:marRight w:val="0"/>
      <w:marTop w:val="0"/>
      <w:marBottom w:val="0"/>
      <w:divBdr>
        <w:top w:val="none" w:sz="0" w:space="0" w:color="auto"/>
        <w:left w:val="none" w:sz="0" w:space="0" w:color="auto"/>
        <w:bottom w:val="none" w:sz="0" w:space="0" w:color="auto"/>
        <w:right w:val="none" w:sz="0" w:space="0" w:color="auto"/>
      </w:divBdr>
    </w:div>
    <w:div w:id="1240479062">
      <w:bodyDiv w:val="1"/>
      <w:marLeft w:val="0"/>
      <w:marRight w:val="0"/>
      <w:marTop w:val="0"/>
      <w:marBottom w:val="0"/>
      <w:divBdr>
        <w:top w:val="none" w:sz="0" w:space="0" w:color="auto"/>
        <w:left w:val="none" w:sz="0" w:space="0" w:color="auto"/>
        <w:bottom w:val="none" w:sz="0" w:space="0" w:color="auto"/>
        <w:right w:val="none" w:sz="0" w:space="0" w:color="auto"/>
      </w:divBdr>
    </w:div>
    <w:div w:id="1241019697">
      <w:bodyDiv w:val="1"/>
      <w:marLeft w:val="0"/>
      <w:marRight w:val="0"/>
      <w:marTop w:val="0"/>
      <w:marBottom w:val="0"/>
      <w:divBdr>
        <w:top w:val="none" w:sz="0" w:space="0" w:color="auto"/>
        <w:left w:val="none" w:sz="0" w:space="0" w:color="auto"/>
        <w:bottom w:val="none" w:sz="0" w:space="0" w:color="auto"/>
        <w:right w:val="none" w:sz="0" w:space="0" w:color="auto"/>
      </w:divBdr>
    </w:div>
    <w:div w:id="1242330130">
      <w:bodyDiv w:val="1"/>
      <w:marLeft w:val="0"/>
      <w:marRight w:val="0"/>
      <w:marTop w:val="0"/>
      <w:marBottom w:val="0"/>
      <w:divBdr>
        <w:top w:val="none" w:sz="0" w:space="0" w:color="auto"/>
        <w:left w:val="none" w:sz="0" w:space="0" w:color="auto"/>
        <w:bottom w:val="none" w:sz="0" w:space="0" w:color="auto"/>
        <w:right w:val="none" w:sz="0" w:space="0" w:color="auto"/>
      </w:divBdr>
    </w:div>
    <w:div w:id="1244606095">
      <w:bodyDiv w:val="1"/>
      <w:marLeft w:val="0"/>
      <w:marRight w:val="0"/>
      <w:marTop w:val="0"/>
      <w:marBottom w:val="0"/>
      <w:divBdr>
        <w:top w:val="none" w:sz="0" w:space="0" w:color="auto"/>
        <w:left w:val="none" w:sz="0" w:space="0" w:color="auto"/>
        <w:bottom w:val="none" w:sz="0" w:space="0" w:color="auto"/>
        <w:right w:val="none" w:sz="0" w:space="0" w:color="auto"/>
      </w:divBdr>
    </w:div>
    <w:div w:id="1245064944">
      <w:bodyDiv w:val="1"/>
      <w:marLeft w:val="0"/>
      <w:marRight w:val="0"/>
      <w:marTop w:val="0"/>
      <w:marBottom w:val="0"/>
      <w:divBdr>
        <w:top w:val="none" w:sz="0" w:space="0" w:color="auto"/>
        <w:left w:val="none" w:sz="0" w:space="0" w:color="auto"/>
        <w:bottom w:val="none" w:sz="0" w:space="0" w:color="auto"/>
        <w:right w:val="none" w:sz="0" w:space="0" w:color="auto"/>
      </w:divBdr>
    </w:div>
    <w:div w:id="1246188786">
      <w:bodyDiv w:val="1"/>
      <w:marLeft w:val="0"/>
      <w:marRight w:val="0"/>
      <w:marTop w:val="0"/>
      <w:marBottom w:val="0"/>
      <w:divBdr>
        <w:top w:val="none" w:sz="0" w:space="0" w:color="auto"/>
        <w:left w:val="none" w:sz="0" w:space="0" w:color="auto"/>
        <w:bottom w:val="none" w:sz="0" w:space="0" w:color="auto"/>
        <w:right w:val="none" w:sz="0" w:space="0" w:color="auto"/>
      </w:divBdr>
    </w:div>
    <w:div w:id="1246570545">
      <w:bodyDiv w:val="1"/>
      <w:marLeft w:val="0"/>
      <w:marRight w:val="0"/>
      <w:marTop w:val="0"/>
      <w:marBottom w:val="0"/>
      <w:divBdr>
        <w:top w:val="none" w:sz="0" w:space="0" w:color="auto"/>
        <w:left w:val="none" w:sz="0" w:space="0" w:color="auto"/>
        <w:bottom w:val="none" w:sz="0" w:space="0" w:color="auto"/>
        <w:right w:val="none" w:sz="0" w:space="0" w:color="auto"/>
      </w:divBdr>
    </w:div>
    <w:div w:id="1248929234">
      <w:bodyDiv w:val="1"/>
      <w:marLeft w:val="0"/>
      <w:marRight w:val="0"/>
      <w:marTop w:val="0"/>
      <w:marBottom w:val="0"/>
      <w:divBdr>
        <w:top w:val="none" w:sz="0" w:space="0" w:color="auto"/>
        <w:left w:val="none" w:sz="0" w:space="0" w:color="auto"/>
        <w:bottom w:val="none" w:sz="0" w:space="0" w:color="auto"/>
        <w:right w:val="none" w:sz="0" w:space="0" w:color="auto"/>
      </w:divBdr>
    </w:div>
    <w:div w:id="1249461237">
      <w:bodyDiv w:val="1"/>
      <w:marLeft w:val="0"/>
      <w:marRight w:val="0"/>
      <w:marTop w:val="0"/>
      <w:marBottom w:val="0"/>
      <w:divBdr>
        <w:top w:val="none" w:sz="0" w:space="0" w:color="auto"/>
        <w:left w:val="none" w:sz="0" w:space="0" w:color="auto"/>
        <w:bottom w:val="none" w:sz="0" w:space="0" w:color="auto"/>
        <w:right w:val="none" w:sz="0" w:space="0" w:color="auto"/>
      </w:divBdr>
    </w:div>
    <w:div w:id="1250041427">
      <w:bodyDiv w:val="1"/>
      <w:marLeft w:val="0"/>
      <w:marRight w:val="0"/>
      <w:marTop w:val="0"/>
      <w:marBottom w:val="0"/>
      <w:divBdr>
        <w:top w:val="none" w:sz="0" w:space="0" w:color="auto"/>
        <w:left w:val="none" w:sz="0" w:space="0" w:color="auto"/>
        <w:bottom w:val="none" w:sz="0" w:space="0" w:color="auto"/>
        <w:right w:val="none" w:sz="0" w:space="0" w:color="auto"/>
      </w:divBdr>
    </w:div>
    <w:div w:id="1252078679">
      <w:bodyDiv w:val="1"/>
      <w:marLeft w:val="0"/>
      <w:marRight w:val="0"/>
      <w:marTop w:val="0"/>
      <w:marBottom w:val="0"/>
      <w:divBdr>
        <w:top w:val="none" w:sz="0" w:space="0" w:color="auto"/>
        <w:left w:val="none" w:sz="0" w:space="0" w:color="auto"/>
        <w:bottom w:val="none" w:sz="0" w:space="0" w:color="auto"/>
        <w:right w:val="none" w:sz="0" w:space="0" w:color="auto"/>
      </w:divBdr>
    </w:div>
    <w:div w:id="125307852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707595">
      <w:bodyDiv w:val="1"/>
      <w:marLeft w:val="0"/>
      <w:marRight w:val="0"/>
      <w:marTop w:val="0"/>
      <w:marBottom w:val="0"/>
      <w:divBdr>
        <w:top w:val="none" w:sz="0" w:space="0" w:color="auto"/>
        <w:left w:val="none" w:sz="0" w:space="0" w:color="auto"/>
        <w:bottom w:val="none" w:sz="0" w:space="0" w:color="auto"/>
        <w:right w:val="none" w:sz="0" w:space="0" w:color="auto"/>
      </w:divBdr>
    </w:div>
    <w:div w:id="1264999903">
      <w:bodyDiv w:val="1"/>
      <w:marLeft w:val="0"/>
      <w:marRight w:val="0"/>
      <w:marTop w:val="0"/>
      <w:marBottom w:val="0"/>
      <w:divBdr>
        <w:top w:val="none" w:sz="0" w:space="0" w:color="auto"/>
        <w:left w:val="none" w:sz="0" w:space="0" w:color="auto"/>
        <w:bottom w:val="none" w:sz="0" w:space="0" w:color="auto"/>
        <w:right w:val="none" w:sz="0" w:space="0" w:color="auto"/>
      </w:divBdr>
    </w:div>
    <w:div w:id="1269695529">
      <w:bodyDiv w:val="1"/>
      <w:marLeft w:val="0"/>
      <w:marRight w:val="0"/>
      <w:marTop w:val="0"/>
      <w:marBottom w:val="0"/>
      <w:divBdr>
        <w:top w:val="none" w:sz="0" w:space="0" w:color="auto"/>
        <w:left w:val="none" w:sz="0" w:space="0" w:color="auto"/>
        <w:bottom w:val="none" w:sz="0" w:space="0" w:color="auto"/>
        <w:right w:val="none" w:sz="0" w:space="0" w:color="auto"/>
      </w:divBdr>
    </w:div>
    <w:div w:id="1270316047">
      <w:bodyDiv w:val="1"/>
      <w:marLeft w:val="0"/>
      <w:marRight w:val="0"/>
      <w:marTop w:val="0"/>
      <w:marBottom w:val="0"/>
      <w:divBdr>
        <w:top w:val="none" w:sz="0" w:space="0" w:color="auto"/>
        <w:left w:val="none" w:sz="0" w:space="0" w:color="auto"/>
        <w:bottom w:val="none" w:sz="0" w:space="0" w:color="auto"/>
        <w:right w:val="none" w:sz="0" w:space="0" w:color="auto"/>
      </w:divBdr>
    </w:div>
    <w:div w:id="1274634857">
      <w:bodyDiv w:val="1"/>
      <w:marLeft w:val="0"/>
      <w:marRight w:val="0"/>
      <w:marTop w:val="0"/>
      <w:marBottom w:val="0"/>
      <w:divBdr>
        <w:top w:val="none" w:sz="0" w:space="0" w:color="auto"/>
        <w:left w:val="none" w:sz="0" w:space="0" w:color="auto"/>
        <w:bottom w:val="none" w:sz="0" w:space="0" w:color="auto"/>
        <w:right w:val="none" w:sz="0" w:space="0" w:color="auto"/>
      </w:divBdr>
    </w:div>
    <w:div w:id="1291594007">
      <w:bodyDiv w:val="1"/>
      <w:marLeft w:val="0"/>
      <w:marRight w:val="0"/>
      <w:marTop w:val="0"/>
      <w:marBottom w:val="0"/>
      <w:divBdr>
        <w:top w:val="none" w:sz="0" w:space="0" w:color="auto"/>
        <w:left w:val="none" w:sz="0" w:space="0" w:color="auto"/>
        <w:bottom w:val="none" w:sz="0" w:space="0" w:color="auto"/>
        <w:right w:val="none" w:sz="0" w:space="0" w:color="auto"/>
      </w:divBdr>
    </w:div>
    <w:div w:id="1295451018">
      <w:bodyDiv w:val="1"/>
      <w:marLeft w:val="0"/>
      <w:marRight w:val="0"/>
      <w:marTop w:val="0"/>
      <w:marBottom w:val="0"/>
      <w:divBdr>
        <w:top w:val="none" w:sz="0" w:space="0" w:color="auto"/>
        <w:left w:val="none" w:sz="0" w:space="0" w:color="auto"/>
        <w:bottom w:val="none" w:sz="0" w:space="0" w:color="auto"/>
        <w:right w:val="none" w:sz="0" w:space="0" w:color="auto"/>
      </w:divBdr>
    </w:div>
    <w:div w:id="1303736031">
      <w:bodyDiv w:val="1"/>
      <w:marLeft w:val="0"/>
      <w:marRight w:val="0"/>
      <w:marTop w:val="0"/>
      <w:marBottom w:val="0"/>
      <w:divBdr>
        <w:top w:val="none" w:sz="0" w:space="0" w:color="auto"/>
        <w:left w:val="none" w:sz="0" w:space="0" w:color="auto"/>
        <w:bottom w:val="none" w:sz="0" w:space="0" w:color="auto"/>
        <w:right w:val="none" w:sz="0" w:space="0" w:color="auto"/>
      </w:divBdr>
    </w:div>
    <w:div w:id="1304778252">
      <w:bodyDiv w:val="1"/>
      <w:marLeft w:val="0"/>
      <w:marRight w:val="0"/>
      <w:marTop w:val="0"/>
      <w:marBottom w:val="0"/>
      <w:divBdr>
        <w:top w:val="none" w:sz="0" w:space="0" w:color="auto"/>
        <w:left w:val="none" w:sz="0" w:space="0" w:color="auto"/>
        <w:bottom w:val="none" w:sz="0" w:space="0" w:color="auto"/>
        <w:right w:val="none" w:sz="0" w:space="0" w:color="auto"/>
      </w:divBdr>
    </w:div>
    <w:div w:id="1315646153">
      <w:bodyDiv w:val="1"/>
      <w:marLeft w:val="0"/>
      <w:marRight w:val="0"/>
      <w:marTop w:val="0"/>
      <w:marBottom w:val="0"/>
      <w:divBdr>
        <w:top w:val="none" w:sz="0" w:space="0" w:color="auto"/>
        <w:left w:val="none" w:sz="0" w:space="0" w:color="auto"/>
        <w:bottom w:val="none" w:sz="0" w:space="0" w:color="auto"/>
        <w:right w:val="none" w:sz="0" w:space="0" w:color="auto"/>
      </w:divBdr>
    </w:div>
    <w:div w:id="1318026993">
      <w:bodyDiv w:val="1"/>
      <w:marLeft w:val="0"/>
      <w:marRight w:val="0"/>
      <w:marTop w:val="0"/>
      <w:marBottom w:val="0"/>
      <w:divBdr>
        <w:top w:val="none" w:sz="0" w:space="0" w:color="auto"/>
        <w:left w:val="none" w:sz="0" w:space="0" w:color="auto"/>
        <w:bottom w:val="none" w:sz="0" w:space="0" w:color="auto"/>
        <w:right w:val="none" w:sz="0" w:space="0" w:color="auto"/>
      </w:divBdr>
    </w:div>
    <w:div w:id="1319923257">
      <w:bodyDiv w:val="1"/>
      <w:marLeft w:val="0"/>
      <w:marRight w:val="0"/>
      <w:marTop w:val="0"/>
      <w:marBottom w:val="0"/>
      <w:divBdr>
        <w:top w:val="none" w:sz="0" w:space="0" w:color="auto"/>
        <w:left w:val="none" w:sz="0" w:space="0" w:color="auto"/>
        <w:bottom w:val="none" w:sz="0" w:space="0" w:color="auto"/>
        <w:right w:val="none" w:sz="0" w:space="0" w:color="auto"/>
      </w:divBdr>
    </w:div>
    <w:div w:id="1324973081">
      <w:bodyDiv w:val="1"/>
      <w:marLeft w:val="0"/>
      <w:marRight w:val="0"/>
      <w:marTop w:val="0"/>
      <w:marBottom w:val="0"/>
      <w:divBdr>
        <w:top w:val="none" w:sz="0" w:space="0" w:color="auto"/>
        <w:left w:val="none" w:sz="0" w:space="0" w:color="auto"/>
        <w:bottom w:val="none" w:sz="0" w:space="0" w:color="auto"/>
        <w:right w:val="none" w:sz="0" w:space="0" w:color="auto"/>
      </w:divBdr>
    </w:div>
    <w:div w:id="1329209536">
      <w:bodyDiv w:val="1"/>
      <w:marLeft w:val="0"/>
      <w:marRight w:val="0"/>
      <w:marTop w:val="0"/>
      <w:marBottom w:val="0"/>
      <w:divBdr>
        <w:top w:val="none" w:sz="0" w:space="0" w:color="auto"/>
        <w:left w:val="none" w:sz="0" w:space="0" w:color="auto"/>
        <w:bottom w:val="none" w:sz="0" w:space="0" w:color="auto"/>
        <w:right w:val="none" w:sz="0" w:space="0" w:color="auto"/>
      </w:divBdr>
    </w:div>
    <w:div w:id="1339577188">
      <w:bodyDiv w:val="1"/>
      <w:marLeft w:val="0"/>
      <w:marRight w:val="0"/>
      <w:marTop w:val="0"/>
      <w:marBottom w:val="0"/>
      <w:divBdr>
        <w:top w:val="none" w:sz="0" w:space="0" w:color="auto"/>
        <w:left w:val="none" w:sz="0" w:space="0" w:color="auto"/>
        <w:bottom w:val="none" w:sz="0" w:space="0" w:color="auto"/>
        <w:right w:val="none" w:sz="0" w:space="0" w:color="auto"/>
      </w:divBdr>
    </w:div>
    <w:div w:id="1341925795">
      <w:bodyDiv w:val="1"/>
      <w:marLeft w:val="0"/>
      <w:marRight w:val="0"/>
      <w:marTop w:val="0"/>
      <w:marBottom w:val="0"/>
      <w:divBdr>
        <w:top w:val="none" w:sz="0" w:space="0" w:color="auto"/>
        <w:left w:val="none" w:sz="0" w:space="0" w:color="auto"/>
        <w:bottom w:val="none" w:sz="0" w:space="0" w:color="auto"/>
        <w:right w:val="none" w:sz="0" w:space="0" w:color="auto"/>
      </w:divBdr>
    </w:div>
    <w:div w:id="1342585146">
      <w:bodyDiv w:val="1"/>
      <w:marLeft w:val="0"/>
      <w:marRight w:val="0"/>
      <w:marTop w:val="0"/>
      <w:marBottom w:val="0"/>
      <w:divBdr>
        <w:top w:val="none" w:sz="0" w:space="0" w:color="auto"/>
        <w:left w:val="none" w:sz="0" w:space="0" w:color="auto"/>
        <w:bottom w:val="none" w:sz="0" w:space="0" w:color="auto"/>
        <w:right w:val="none" w:sz="0" w:space="0" w:color="auto"/>
      </w:divBdr>
    </w:div>
    <w:div w:id="134285413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2301449">
      <w:bodyDiv w:val="1"/>
      <w:marLeft w:val="0"/>
      <w:marRight w:val="0"/>
      <w:marTop w:val="0"/>
      <w:marBottom w:val="0"/>
      <w:divBdr>
        <w:top w:val="none" w:sz="0" w:space="0" w:color="auto"/>
        <w:left w:val="none" w:sz="0" w:space="0" w:color="auto"/>
        <w:bottom w:val="none" w:sz="0" w:space="0" w:color="auto"/>
        <w:right w:val="none" w:sz="0" w:space="0" w:color="auto"/>
      </w:divBdr>
    </w:div>
    <w:div w:id="1352956324">
      <w:bodyDiv w:val="1"/>
      <w:marLeft w:val="0"/>
      <w:marRight w:val="0"/>
      <w:marTop w:val="0"/>
      <w:marBottom w:val="0"/>
      <w:divBdr>
        <w:top w:val="none" w:sz="0" w:space="0" w:color="auto"/>
        <w:left w:val="none" w:sz="0" w:space="0" w:color="auto"/>
        <w:bottom w:val="none" w:sz="0" w:space="0" w:color="auto"/>
        <w:right w:val="none" w:sz="0" w:space="0" w:color="auto"/>
      </w:divBdr>
    </w:div>
    <w:div w:id="1356268424">
      <w:bodyDiv w:val="1"/>
      <w:marLeft w:val="0"/>
      <w:marRight w:val="0"/>
      <w:marTop w:val="0"/>
      <w:marBottom w:val="0"/>
      <w:divBdr>
        <w:top w:val="none" w:sz="0" w:space="0" w:color="auto"/>
        <w:left w:val="none" w:sz="0" w:space="0" w:color="auto"/>
        <w:bottom w:val="none" w:sz="0" w:space="0" w:color="auto"/>
        <w:right w:val="none" w:sz="0" w:space="0" w:color="auto"/>
      </w:divBdr>
    </w:div>
    <w:div w:id="1357393251">
      <w:bodyDiv w:val="1"/>
      <w:marLeft w:val="0"/>
      <w:marRight w:val="0"/>
      <w:marTop w:val="0"/>
      <w:marBottom w:val="0"/>
      <w:divBdr>
        <w:top w:val="none" w:sz="0" w:space="0" w:color="auto"/>
        <w:left w:val="none" w:sz="0" w:space="0" w:color="auto"/>
        <w:bottom w:val="none" w:sz="0" w:space="0" w:color="auto"/>
        <w:right w:val="none" w:sz="0" w:space="0" w:color="auto"/>
      </w:divBdr>
    </w:div>
    <w:div w:id="1361589882">
      <w:bodyDiv w:val="1"/>
      <w:marLeft w:val="0"/>
      <w:marRight w:val="0"/>
      <w:marTop w:val="0"/>
      <w:marBottom w:val="0"/>
      <w:divBdr>
        <w:top w:val="none" w:sz="0" w:space="0" w:color="auto"/>
        <w:left w:val="none" w:sz="0" w:space="0" w:color="auto"/>
        <w:bottom w:val="none" w:sz="0" w:space="0" w:color="auto"/>
        <w:right w:val="none" w:sz="0" w:space="0" w:color="auto"/>
      </w:divBdr>
    </w:div>
    <w:div w:id="1363703500">
      <w:bodyDiv w:val="1"/>
      <w:marLeft w:val="0"/>
      <w:marRight w:val="0"/>
      <w:marTop w:val="0"/>
      <w:marBottom w:val="0"/>
      <w:divBdr>
        <w:top w:val="none" w:sz="0" w:space="0" w:color="auto"/>
        <w:left w:val="none" w:sz="0" w:space="0" w:color="auto"/>
        <w:bottom w:val="none" w:sz="0" w:space="0" w:color="auto"/>
        <w:right w:val="none" w:sz="0" w:space="0" w:color="auto"/>
      </w:divBdr>
    </w:div>
    <w:div w:id="1368335198">
      <w:bodyDiv w:val="1"/>
      <w:marLeft w:val="0"/>
      <w:marRight w:val="0"/>
      <w:marTop w:val="0"/>
      <w:marBottom w:val="0"/>
      <w:divBdr>
        <w:top w:val="none" w:sz="0" w:space="0" w:color="auto"/>
        <w:left w:val="none" w:sz="0" w:space="0" w:color="auto"/>
        <w:bottom w:val="none" w:sz="0" w:space="0" w:color="auto"/>
        <w:right w:val="none" w:sz="0" w:space="0" w:color="auto"/>
      </w:divBdr>
    </w:div>
    <w:div w:id="1370492887">
      <w:bodyDiv w:val="1"/>
      <w:marLeft w:val="0"/>
      <w:marRight w:val="0"/>
      <w:marTop w:val="0"/>
      <w:marBottom w:val="0"/>
      <w:divBdr>
        <w:top w:val="none" w:sz="0" w:space="0" w:color="auto"/>
        <w:left w:val="none" w:sz="0" w:space="0" w:color="auto"/>
        <w:bottom w:val="none" w:sz="0" w:space="0" w:color="auto"/>
        <w:right w:val="none" w:sz="0" w:space="0" w:color="auto"/>
      </w:divBdr>
    </w:div>
    <w:div w:id="1375889613">
      <w:bodyDiv w:val="1"/>
      <w:marLeft w:val="0"/>
      <w:marRight w:val="0"/>
      <w:marTop w:val="0"/>
      <w:marBottom w:val="0"/>
      <w:divBdr>
        <w:top w:val="none" w:sz="0" w:space="0" w:color="auto"/>
        <w:left w:val="none" w:sz="0" w:space="0" w:color="auto"/>
        <w:bottom w:val="none" w:sz="0" w:space="0" w:color="auto"/>
        <w:right w:val="none" w:sz="0" w:space="0" w:color="auto"/>
      </w:divBdr>
    </w:div>
    <w:div w:id="1384980834">
      <w:bodyDiv w:val="1"/>
      <w:marLeft w:val="0"/>
      <w:marRight w:val="0"/>
      <w:marTop w:val="0"/>
      <w:marBottom w:val="0"/>
      <w:divBdr>
        <w:top w:val="none" w:sz="0" w:space="0" w:color="auto"/>
        <w:left w:val="none" w:sz="0" w:space="0" w:color="auto"/>
        <w:bottom w:val="none" w:sz="0" w:space="0" w:color="auto"/>
        <w:right w:val="none" w:sz="0" w:space="0" w:color="auto"/>
      </w:divBdr>
    </w:div>
    <w:div w:id="1389769388">
      <w:bodyDiv w:val="1"/>
      <w:marLeft w:val="0"/>
      <w:marRight w:val="0"/>
      <w:marTop w:val="0"/>
      <w:marBottom w:val="0"/>
      <w:divBdr>
        <w:top w:val="none" w:sz="0" w:space="0" w:color="auto"/>
        <w:left w:val="none" w:sz="0" w:space="0" w:color="auto"/>
        <w:bottom w:val="none" w:sz="0" w:space="0" w:color="auto"/>
        <w:right w:val="none" w:sz="0" w:space="0" w:color="auto"/>
      </w:divBdr>
    </w:div>
    <w:div w:id="1390347952">
      <w:bodyDiv w:val="1"/>
      <w:marLeft w:val="0"/>
      <w:marRight w:val="0"/>
      <w:marTop w:val="0"/>
      <w:marBottom w:val="0"/>
      <w:divBdr>
        <w:top w:val="none" w:sz="0" w:space="0" w:color="auto"/>
        <w:left w:val="none" w:sz="0" w:space="0" w:color="auto"/>
        <w:bottom w:val="none" w:sz="0" w:space="0" w:color="auto"/>
        <w:right w:val="none" w:sz="0" w:space="0" w:color="auto"/>
      </w:divBdr>
    </w:div>
    <w:div w:id="1390691047">
      <w:bodyDiv w:val="1"/>
      <w:marLeft w:val="0"/>
      <w:marRight w:val="0"/>
      <w:marTop w:val="0"/>
      <w:marBottom w:val="0"/>
      <w:divBdr>
        <w:top w:val="none" w:sz="0" w:space="0" w:color="auto"/>
        <w:left w:val="none" w:sz="0" w:space="0" w:color="auto"/>
        <w:bottom w:val="none" w:sz="0" w:space="0" w:color="auto"/>
        <w:right w:val="none" w:sz="0" w:space="0" w:color="auto"/>
      </w:divBdr>
    </w:div>
    <w:div w:id="139172674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516999">
      <w:bodyDiv w:val="1"/>
      <w:marLeft w:val="0"/>
      <w:marRight w:val="0"/>
      <w:marTop w:val="0"/>
      <w:marBottom w:val="0"/>
      <w:divBdr>
        <w:top w:val="none" w:sz="0" w:space="0" w:color="auto"/>
        <w:left w:val="none" w:sz="0" w:space="0" w:color="auto"/>
        <w:bottom w:val="none" w:sz="0" w:space="0" w:color="auto"/>
        <w:right w:val="none" w:sz="0" w:space="0" w:color="auto"/>
      </w:divBdr>
    </w:div>
    <w:div w:id="1419718848">
      <w:bodyDiv w:val="1"/>
      <w:marLeft w:val="0"/>
      <w:marRight w:val="0"/>
      <w:marTop w:val="0"/>
      <w:marBottom w:val="0"/>
      <w:divBdr>
        <w:top w:val="none" w:sz="0" w:space="0" w:color="auto"/>
        <w:left w:val="none" w:sz="0" w:space="0" w:color="auto"/>
        <w:bottom w:val="none" w:sz="0" w:space="0" w:color="auto"/>
        <w:right w:val="none" w:sz="0" w:space="0" w:color="auto"/>
      </w:divBdr>
    </w:div>
    <w:div w:id="1420054382">
      <w:bodyDiv w:val="1"/>
      <w:marLeft w:val="0"/>
      <w:marRight w:val="0"/>
      <w:marTop w:val="0"/>
      <w:marBottom w:val="0"/>
      <w:divBdr>
        <w:top w:val="none" w:sz="0" w:space="0" w:color="auto"/>
        <w:left w:val="none" w:sz="0" w:space="0" w:color="auto"/>
        <w:bottom w:val="none" w:sz="0" w:space="0" w:color="auto"/>
        <w:right w:val="none" w:sz="0" w:space="0" w:color="auto"/>
      </w:divBdr>
    </w:div>
    <w:div w:id="1425688258">
      <w:bodyDiv w:val="1"/>
      <w:marLeft w:val="0"/>
      <w:marRight w:val="0"/>
      <w:marTop w:val="0"/>
      <w:marBottom w:val="0"/>
      <w:divBdr>
        <w:top w:val="none" w:sz="0" w:space="0" w:color="auto"/>
        <w:left w:val="none" w:sz="0" w:space="0" w:color="auto"/>
        <w:bottom w:val="none" w:sz="0" w:space="0" w:color="auto"/>
        <w:right w:val="none" w:sz="0" w:space="0" w:color="auto"/>
      </w:divBdr>
    </w:div>
    <w:div w:id="1434280493">
      <w:bodyDiv w:val="1"/>
      <w:marLeft w:val="0"/>
      <w:marRight w:val="0"/>
      <w:marTop w:val="0"/>
      <w:marBottom w:val="0"/>
      <w:divBdr>
        <w:top w:val="none" w:sz="0" w:space="0" w:color="auto"/>
        <w:left w:val="none" w:sz="0" w:space="0" w:color="auto"/>
        <w:bottom w:val="none" w:sz="0" w:space="0" w:color="auto"/>
        <w:right w:val="none" w:sz="0" w:space="0" w:color="auto"/>
      </w:divBdr>
    </w:div>
    <w:div w:id="1438987469">
      <w:bodyDiv w:val="1"/>
      <w:marLeft w:val="0"/>
      <w:marRight w:val="0"/>
      <w:marTop w:val="0"/>
      <w:marBottom w:val="0"/>
      <w:divBdr>
        <w:top w:val="none" w:sz="0" w:space="0" w:color="auto"/>
        <w:left w:val="none" w:sz="0" w:space="0" w:color="auto"/>
        <w:bottom w:val="none" w:sz="0" w:space="0" w:color="auto"/>
        <w:right w:val="none" w:sz="0" w:space="0" w:color="auto"/>
      </w:divBdr>
    </w:div>
    <w:div w:id="143936844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038377">
      <w:bodyDiv w:val="1"/>
      <w:marLeft w:val="0"/>
      <w:marRight w:val="0"/>
      <w:marTop w:val="0"/>
      <w:marBottom w:val="0"/>
      <w:divBdr>
        <w:top w:val="none" w:sz="0" w:space="0" w:color="auto"/>
        <w:left w:val="none" w:sz="0" w:space="0" w:color="auto"/>
        <w:bottom w:val="none" w:sz="0" w:space="0" w:color="auto"/>
        <w:right w:val="none" w:sz="0" w:space="0" w:color="auto"/>
      </w:divBdr>
    </w:div>
    <w:div w:id="1444573124">
      <w:bodyDiv w:val="1"/>
      <w:marLeft w:val="0"/>
      <w:marRight w:val="0"/>
      <w:marTop w:val="0"/>
      <w:marBottom w:val="0"/>
      <w:divBdr>
        <w:top w:val="none" w:sz="0" w:space="0" w:color="auto"/>
        <w:left w:val="none" w:sz="0" w:space="0" w:color="auto"/>
        <w:bottom w:val="none" w:sz="0" w:space="0" w:color="auto"/>
        <w:right w:val="none" w:sz="0" w:space="0" w:color="auto"/>
      </w:divBdr>
    </w:div>
    <w:div w:id="1445803368">
      <w:bodyDiv w:val="1"/>
      <w:marLeft w:val="0"/>
      <w:marRight w:val="0"/>
      <w:marTop w:val="0"/>
      <w:marBottom w:val="0"/>
      <w:divBdr>
        <w:top w:val="none" w:sz="0" w:space="0" w:color="auto"/>
        <w:left w:val="none" w:sz="0" w:space="0" w:color="auto"/>
        <w:bottom w:val="none" w:sz="0" w:space="0" w:color="auto"/>
        <w:right w:val="none" w:sz="0" w:space="0" w:color="auto"/>
      </w:divBdr>
    </w:div>
    <w:div w:id="1447508364">
      <w:bodyDiv w:val="1"/>
      <w:marLeft w:val="0"/>
      <w:marRight w:val="0"/>
      <w:marTop w:val="0"/>
      <w:marBottom w:val="0"/>
      <w:divBdr>
        <w:top w:val="none" w:sz="0" w:space="0" w:color="auto"/>
        <w:left w:val="none" w:sz="0" w:space="0" w:color="auto"/>
        <w:bottom w:val="none" w:sz="0" w:space="0" w:color="auto"/>
        <w:right w:val="none" w:sz="0" w:space="0" w:color="auto"/>
      </w:divBdr>
    </w:div>
    <w:div w:id="1457799810">
      <w:bodyDiv w:val="1"/>
      <w:marLeft w:val="0"/>
      <w:marRight w:val="0"/>
      <w:marTop w:val="0"/>
      <w:marBottom w:val="0"/>
      <w:divBdr>
        <w:top w:val="none" w:sz="0" w:space="0" w:color="auto"/>
        <w:left w:val="none" w:sz="0" w:space="0" w:color="auto"/>
        <w:bottom w:val="none" w:sz="0" w:space="0" w:color="auto"/>
        <w:right w:val="none" w:sz="0" w:space="0" w:color="auto"/>
      </w:divBdr>
    </w:div>
    <w:div w:id="1461533044">
      <w:bodyDiv w:val="1"/>
      <w:marLeft w:val="0"/>
      <w:marRight w:val="0"/>
      <w:marTop w:val="0"/>
      <w:marBottom w:val="0"/>
      <w:divBdr>
        <w:top w:val="none" w:sz="0" w:space="0" w:color="auto"/>
        <w:left w:val="none" w:sz="0" w:space="0" w:color="auto"/>
        <w:bottom w:val="none" w:sz="0" w:space="0" w:color="auto"/>
        <w:right w:val="none" w:sz="0" w:space="0" w:color="auto"/>
      </w:divBdr>
    </w:div>
    <w:div w:id="1461538021">
      <w:bodyDiv w:val="1"/>
      <w:marLeft w:val="0"/>
      <w:marRight w:val="0"/>
      <w:marTop w:val="0"/>
      <w:marBottom w:val="0"/>
      <w:divBdr>
        <w:top w:val="none" w:sz="0" w:space="0" w:color="auto"/>
        <w:left w:val="none" w:sz="0" w:space="0" w:color="auto"/>
        <w:bottom w:val="none" w:sz="0" w:space="0" w:color="auto"/>
        <w:right w:val="none" w:sz="0" w:space="0" w:color="auto"/>
      </w:divBdr>
    </w:div>
    <w:div w:id="1461991862">
      <w:bodyDiv w:val="1"/>
      <w:marLeft w:val="0"/>
      <w:marRight w:val="0"/>
      <w:marTop w:val="0"/>
      <w:marBottom w:val="0"/>
      <w:divBdr>
        <w:top w:val="none" w:sz="0" w:space="0" w:color="auto"/>
        <w:left w:val="none" w:sz="0" w:space="0" w:color="auto"/>
        <w:bottom w:val="none" w:sz="0" w:space="0" w:color="auto"/>
        <w:right w:val="none" w:sz="0" w:space="0" w:color="auto"/>
      </w:divBdr>
    </w:div>
    <w:div w:id="1464034598">
      <w:bodyDiv w:val="1"/>
      <w:marLeft w:val="0"/>
      <w:marRight w:val="0"/>
      <w:marTop w:val="0"/>
      <w:marBottom w:val="0"/>
      <w:divBdr>
        <w:top w:val="none" w:sz="0" w:space="0" w:color="auto"/>
        <w:left w:val="none" w:sz="0" w:space="0" w:color="auto"/>
        <w:bottom w:val="none" w:sz="0" w:space="0" w:color="auto"/>
        <w:right w:val="none" w:sz="0" w:space="0" w:color="auto"/>
      </w:divBdr>
    </w:div>
    <w:div w:id="1464272011">
      <w:bodyDiv w:val="1"/>
      <w:marLeft w:val="0"/>
      <w:marRight w:val="0"/>
      <w:marTop w:val="0"/>
      <w:marBottom w:val="0"/>
      <w:divBdr>
        <w:top w:val="none" w:sz="0" w:space="0" w:color="auto"/>
        <w:left w:val="none" w:sz="0" w:space="0" w:color="auto"/>
        <w:bottom w:val="none" w:sz="0" w:space="0" w:color="auto"/>
        <w:right w:val="none" w:sz="0" w:space="0" w:color="auto"/>
      </w:divBdr>
    </w:div>
    <w:div w:id="1464427563">
      <w:bodyDiv w:val="1"/>
      <w:marLeft w:val="0"/>
      <w:marRight w:val="0"/>
      <w:marTop w:val="0"/>
      <w:marBottom w:val="0"/>
      <w:divBdr>
        <w:top w:val="none" w:sz="0" w:space="0" w:color="auto"/>
        <w:left w:val="none" w:sz="0" w:space="0" w:color="auto"/>
        <w:bottom w:val="none" w:sz="0" w:space="0" w:color="auto"/>
        <w:right w:val="none" w:sz="0" w:space="0" w:color="auto"/>
      </w:divBdr>
    </w:div>
    <w:div w:id="1468889492">
      <w:bodyDiv w:val="1"/>
      <w:marLeft w:val="0"/>
      <w:marRight w:val="0"/>
      <w:marTop w:val="0"/>
      <w:marBottom w:val="0"/>
      <w:divBdr>
        <w:top w:val="none" w:sz="0" w:space="0" w:color="auto"/>
        <w:left w:val="none" w:sz="0" w:space="0" w:color="auto"/>
        <w:bottom w:val="none" w:sz="0" w:space="0" w:color="auto"/>
        <w:right w:val="none" w:sz="0" w:space="0" w:color="auto"/>
      </w:divBdr>
    </w:div>
    <w:div w:id="1471896884">
      <w:bodyDiv w:val="1"/>
      <w:marLeft w:val="0"/>
      <w:marRight w:val="0"/>
      <w:marTop w:val="0"/>
      <w:marBottom w:val="0"/>
      <w:divBdr>
        <w:top w:val="none" w:sz="0" w:space="0" w:color="auto"/>
        <w:left w:val="none" w:sz="0" w:space="0" w:color="auto"/>
        <w:bottom w:val="none" w:sz="0" w:space="0" w:color="auto"/>
        <w:right w:val="none" w:sz="0" w:space="0" w:color="auto"/>
      </w:divBdr>
    </w:div>
    <w:div w:id="1474442630">
      <w:bodyDiv w:val="1"/>
      <w:marLeft w:val="0"/>
      <w:marRight w:val="0"/>
      <w:marTop w:val="0"/>
      <w:marBottom w:val="0"/>
      <w:divBdr>
        <w:top w:val="none" w:sz="0" w:space="0" w:color="auto"/>
        <w:left w:val="none" w:sz="0" w:space="0" w:color="auto"/>
        <w:bottom w:val="none" w:sz="0" w:space="0" w:color="auto"/>
        <w:right w:val="none" w:sz="0" w:space="0" w:color="auto"/>
      </w:divBdr>
    </w:div>
    <w:div w:id="1476027718">
      <w:bodyDiv w:val="1"/>
      <w:marLeft w:val="0"/>
      <w:marRight w:val="0"/>
      <w:marTop w:val="0"/>
      <w:marBottom w:val="0"/>
      <w:divBdr>
        <w:top w:val="none" w:sz="0" w:space="0" w:color="auto"/>
        <w:left w:val="none" w:sz="0" w:space="0" w:color="auto"/>
        <w:bottom w:val="none" w:sz="0" w:space="0" w:color="auto"/>
        <w:right w:val="none" w:sz="0" w:space="0" w:color="auto"/>
      </w:divBdr>
    </w:div>
    <w:div w:id="1479610428">
      <w:bodyDiv w:val="1"/>
      <w:marLeft w:val="0"/>
      <w:marRight w:val="0"/>
      <w:marTop w:val="0"/>
      <w:marBottom w:val="0"/>
      <w:divBdr>
        <w:top w:val="none" w:sz="0" w:space="0" w:color="auto"/>
        <w:left w:val="none" w:sz="0" w:space="0" w:color="auto"/>
        <w:bottom w:val="none" w:sz="0" w:space="0" w:color="auto"/>
        <w:right w:val="none" w:sz="0" w:space="0" w:color="auto"/>
      </w:divBdr>
    </w:div>
    <w:div w:id="1489251680">
      <w:bodyDiv w:val="1"/>
      <w:marLeft w:val="0"/>
      <w:marRight w:val="0"/>
      <w:marTop w:val="0"/>
      <w:marBottom w:val="0"/>
      <w:divBdr>
        <w:top w:val="none" w:sz="0" w:space="0" w:color="auto"/>
        <w:left w:val="none" w:sz="0" w:space="0" w:color="auto"/>
        <w:bottom w:val="none" w:sz="0" w:space="0" w:color="auto"/>
        <w:right w:val="none" w:sz="0" w:space="0" w:color="auto"/>
      </w:divBdr>
    </w:div>
    <w:div w:id="1496459613">
      <w:bodyDiv w:val="1"/>
      <w:marLeft w:val="0"/>
      <w:marRight w:val="0"/>
      <w:marTop w:val="0"/>
      <w:marBottom w:val="0"/>
      <w:divBdr>
        <w:top w:val="none" w:sz="0" w:space="0" w:color="auto"/>
        <w:left w:val="none" w:sz="0" w:space="0" w:color="auto"/>
        <w:bottom w:val="none" w:sz="0" w:space="0" w:color="auto"/>
        <w:right w:val="none" w:sz="0" w:space="0" w:color="auto"/>
      </w:divBdr>
    </w:div>
    <w:div w:id="1497570600">
      <w:bodyDiv w:val="1"/>
      <w:marLeft w:val="0"/>
      <w:marRight w:val="0"/>
      <w:marTop w:val="0"/>
      <w:marBottom w:val="0"/>
      <w:divBdr>
        <w:top w:val="none" w:sz="0" w:space="0" w:color="auto"/>
        <w:left w:val="none" w:sz="0" w:space="0" w:color="auto"/>
        <w:bottom w:val="none" w:sz="0" w:space="0" w:color="auto"/>
        <w:right w:val="none" w:sz="0" w:space="0" w:color="auto"/>
      </w:divBdr>
    </w:div>
    <w:div w:id="1502424371">
      <w:bodyDiv w:val="1"/>
      <w:marLeft w:val="0"/>
      <w:marRight w:val="0"/>
      <w:marTop w:val="0"/>
      <w:marBottom w:val="0"/>
      <w:divBdr>
        <w:top w:val="none" w:sz="0" w:space="0" w:color="auto"/>
        <w:left w:val="none" w:sz="0" w:space="0" w:color="auto"/>
        <w:bottom w:val="none" w:sz="0" w:space="0" w:color="auto"/>
        <w:right w:val="none" w:sz="0" w:space="0" w:color="auto"/>
      </w:divBdr>
    </w:div>
    <w:div w:id="1503810579">
      <w:bodyDiv w:val="1"/>
      <w:marLeft w:val="0"/>
      <w:marRight w:val="0"/>
      <w:marTop w:val="0"/>
      <w:marBottom w:val="0"/>
      <w:divBdr>
        <w:top w:val="none" w:sz="0" w:space="0" w:color="auto"/>
        <w:left w:val="none" w:sz="0" w:space="0" w:color="auto"/>
        <w:bottom w:val="none" w:sz="0" w:space="0" w:color="auto"/>
        <w:right w:val="none" w:sz="0" w:space="0" w:color="auto"/>
      </w:divBdr>
    </w:div>
    <w:div w:id="1505440037">
      <w:bodyDiv w:val="1"/>
      <w:marLeft w:val="0"/>
      <w:marRight w:val="0"/>
      <w:marTop w:val="0"/>
      <w:marBottom w:val="0"/>
      <w:divBdr>
        <w:top w:val="none" w:sz="0" w:space="0" w:color="auto"/>
        <w:left w:val="none" w:sz="0" w:space="0" w:color="auto"/>
        <w:bottom w:val="none" w:sz="0" w:space="0" w:color="auto"/>
        <w:right w:val="none" w:sz="0" w:space="0" w:color="auto"/>
      </w:divBdr>
    </w:div>
    <w:div w:id="1508053259">
      <w:bodyDiv w:val="1"/>
      <w:marLeft w:val="0"/>
      <w:marRight w:val="0"/>
      <w:marTop w:val="0"/>
      <w:marBottom w:val="0"/>
      <w:divBdr>
        <w:top w:val="none" w:sz="0" w:space="0" w:color="auto"/>
        <w:left w:val="none" w:sz="0" w:space="0" w:color="auto"/>
        <w:bottom w:val="none" w:sz="0" w:space="0" w:color="auto"/>
        <w:right w:val="none" w:sz="0" w:space="0" w:color="auto"/>
      </w:divBdr>
    </w:div>
    <w:div w:id="1510297064">
      <w:bodyDiv w:val="1"/>
      <w:marLeft w:val="0"/>
      <w:marRight w:val="0"/>
      <w:marTop w:val="0"/>
      <w:marBottom w:val="0"/>
      <w:divBdr>
        <w:top w:val="none" w:sz="0" w:space="0" w:color="auto"/>
        <w:left w:val="none" w:sz="0" w:space="0" w:color="auto"/>
        <w:bottom w:val="none" w:sz="0" w:space="0" w:color="auto"/>
        <w:right w:val="none" w:sz="0" w:space="0" w:color="auto"/>
      </w:divBdr>
    </w:div>
    <w:div w:id="1510607842">
      <w:bodyDiv w:val="1"/>
      <w:marLeft w:val="0"/>
      <w:marRight w:val="0"/>
      <w:marTop w:val="0"/>
      <w:marBottom w:val="0"/>
      <w:divBdr>
        <w:top w:val="none" w:sz="0" w:space="0" w:color="auto"/>
        <w:left w:val="none" w:sz="0" w:space="0" w:color="auto"/>
        <w:bottom w:val="none" w:sz="0" w:space="0" w:color="auto"/>
        <w:right w:val="none" w:sz="0" w:space="0" w:color="auto"/>
      </w:divBdr>
    </w:div>
    <w:div w:id="1511915603">
      <w:bodyDiv w:val="1"/>
      <w:marLeft w:val="0"/>
      <w:marRight w:val="0"/>
      <w:marTop w:val="0"/>
      <w:marBottom w:val="0"/>
      <w:divBdr>
        <w:top w:val="none" w:sz="0" w:space="0" w:color="auto"/>
        <w:left w:val="none" w:sz="0" w:space="0" w:color="auto"/>
        <w:bottom w:val="none" w:sz="0" w:space="0" w:color="auto"/>
        <w:right w:val="none" w:sz="0" w:space="0" w:color="auto"/>
      </w:divBdr>
    </w:div>
    <w:div w:id="1512718971">
      <w:bodyDiv w:val="1"/>
      <w:marLeft w:val="0"/>
      <w:marRight w:val="0"/>
      <w:marTop w:val="0"/>
      <w:marBottom w:val="0"/>
      <w:divBdr>
        <w:top w:val="none" w:sz="0" w:space="0" w:color="auto"/>
        <w:left w:val="none" w:sz="0" w:space="0" w:color="auto"/>
        <w:bottom w:val="none" w:sz="0" w:space="0" w:color="auto"/>
        <w:right w:val="none" w:sz="0" w:space="0" w:color="auto"/>
      </w:divBdr>
    </w:div>
    <w:div w:id="1515993895">
      <w:bodyDiv w:val="1"/>
      <w:marLeft w:val="0"/>
      <w:marRight w:val="0"/>
      <w:marTop w:val="0"/>
      <w:marBottom w:val="0"/>
      <w:divBdr>
        <w:top w:val="none" w:sz="0" w:space="0" w:color="auto"/>
        <w:left w:val="none" w:sz="0" w:space="0" w:color="auto"/>
        <w:bottom w:val="none" w:sz="0" w:space="0" w:color="auto"/>
        <w:right w:val="none" w:sz="0" w:space="0" w:color="auto"/>
      </w:divBdr>
    </w:div>
    <w:div w:id="1519268854">
      <w:bodyDiv w:val="1"/>
      <w:marLeft w:val="0"/>
      <w:marRight w:val="0"/>
      <w:marTop w:val="0"/>
      <w:marBottom w:val="0"/>
      <w:divBdr>
        <w:top w:val="none" w:sz="0" w:space="0" w:color="auto"/>
        <w:left w:val="none" w:sz="0" w:space="0" w:color="auto"/>
        <w:bottom w:val="none" w:sz="0" w:space="0" w:color="auto"/>
        <w:right w:val="none" w:sz="0" w:space="0" w:color="auto"/>
      </w:divBdr>
    </w:div>
    <w:div w:id="1520125452">
      <w:bodyDiv w:val="1"/>
      <w:marLeft w:val="0"/>
      <w:marRight w:val="0"/>
      <w:marTop w:val="0"/>
      <w:marBottom w:val="0"/>
      <w:divBdr>
        <w:top w:val="none" w:sz="0" w:space="0" w:color="auto"/>
        <w:left w:val="none" w:sz="0" w:space="0" w:color="auto"/>
        <w:bottom w:val="none" w:sz="0" w:space="0" w:color="auto"/>
        <w:right w:val="none" w:sz="0" w:space="0" w:color="auto"/>
      </w:divBdr>
    </w:div>
    <w:div w:id="1527256303">
      <w:bodyDiv w:val="1"/>
      <w:marLeft w:val="0"/>
      <w:marRight w:val="0"/>
      <w:marTop w:val="0"/>
      <w:marBottom w:val="0"/>
      <w:divBdr>
        <w:top w:val="none" w:sz="0" w:space="0" w:color="auto"/>
        <w:left w:val="none" w:sz="0" w:space="0" w:color="auto"/>
        <w:bottom w:val="none" w:sz="0" w:space="0" w:color="auto"/>
        <w:right w:val="none" w:sz="0" w:space="0" w:color="auto"/>
      </w:divBdr>
    </w:div>
    <w:div w:id="1529028854">
      <w:bodyDiv w:val="1"/>
      <w:marLeft w:val="0"/>
      <w:marRight w:val="0"/>
      <w:marTop w:val="0"/>
      <w:marBottom w:val="0"/>
      <w:divBdr>
        <w:top w:val="none" w:sz="0" w:space="0" w:color="auto"/>
        <w:left w:val="none" w:sz="0" w:space="0" w:color="auto"/>
        <w:bottom w:val="none" w:sz="0" w:space="0" w:color="auto"/>
        <w:right w:val="none" w:sz="0" w:space="0" w:color="auto"/>
      </w:divBdr>
    </w:div>
    <w:div w:id="1529416267">
      <w:bodyDiv w:val="1"/>
      <w:marLeft w:val="0"/>
      <w:marRight w:val="0"/>
      <w:marTop w:val="0"/>
      <w:marBottom w:val="0"/>
      <w:divBdr>
        <w:top w:val="none" w:sz="0" w:space="0" w:color="auto"/>
        <w:left w:val="none" w:sz="0" w:space="0" w:color="auto"/>
        <w:bottom w:val="none" w:sz="0" w:space="0" w:color="auto"/>
        <w:right w:val="none" w:sz="0" w:space="0" w:color="auto"/>
      </w:divBdr>
    </w:div>
    <w:div w:id="1539275699">
      <w:bodyDiv w:val="1"/>
      <w:marLeft w:val="0"/>
      <w:marRight w:val="0"/>
      <w:marTop w:val="0"/>
      <w:marBottom w:val="0"/>
      <w:divBdr>
        <w:top w:val="none" w:sz="0" w:space="0" w:color="auto"/>
        <w:left w:val="none" w:sz="0" w:space="0" w:color="auto"/>
        <w:bottom w:val="none" w:sz="0" w:space="0" w:color="auto"/>
        <w:right w:val="none" w:sz="0" w:space="0" w:color="auto"/>
      </w:divBdr>
    </w:div>
    <w:div w:id="1539471820">
      <w:bodyDiv w:val="1"/>
      <w:marLeft w:val="0"/>
      <w:marRight w:val="0"/>
      <w:marTop w:val="0"/>
      <w:marBottom w:val="0"/>
      <w:divBdr>
        <w:top w:val="none" w:sz="0" w:space="0" w:color="auto"/>
        <w:left w:val="none" w:sz="0" w:space="0" w:color="auto"/>
        <w:bottom w:val="none" w:sz="0" w:space="0" w:color="auto"/>
        <w:right w:val="none" w:sz="0" w:space="0" w:color="auto"/>
      </w:divBdr>
    </w:div>
    <w:div w:id="1539970931">
      <w:bodyDiv w:val="1"/>
      <w:marLeft w:val="0"/>
      <w:marRight w:val="0"/>
      <w:marTop w:val="0"/>
      <w:marBottom w:val="0"/>
      <w:divBdr>
        <w:top w:val="none" w:sz="0" w:space="0" w:color="auto"/>
        <w:left w:val="none" w:sz="0" w:space="0" w:color="auto"/>
        <w:bottom w:val="none" w:sz="0" w:space="0" w:color="auto"/>
        <w:right w:val="none" w:sz="0" w:space="0" w:color="auto"/>
      </w:divBdr>
    </w:div>
    <w:div w:id="1543445226">
      <w:bodyDiv w:val="1"/>
      <w:marLeft w:val="0"/>
      <w:marRight w:val="0"/>
      <w:marTop w:val="0"/>
      <w:marBottom w:val="0"/>
      <w:divBdr>
        <w:top w:val="none" w:sz="0" w:space="0" w:color="auto"/>
        <w:left w:val="none" w:sz="0" w:space="0" w:color="auto"/>
        <w:bottom w:val="none" w:sz="0" w:space="0" w:color="auto"/>
        <w:right w:val="none" w:sz="0" w:space="0" w:color="auto"/>
      </w:divBdr>
    </w:div>
    <w:div w:id="1544365098">
      <w:bodyDiv w:val="1"/>
      <w:marLeft w:val="0"/>
      <w:marRight w:val="0"/>
      <w:marTop w:val="0"/>
      <w:marBottom w:val="0"/>
      <w:divBdr>
        <w:top w:val="none" w:sz="0" w:space="0" w:color="auto"/>
        <w:left w:val="none" w:sz="0" w:space="0" w:color="auto"/>
        <w:bottom w:val="none" w:sz="0" w:space="0" w:color="auto"/>
        <w:right w:val="none" w:sz="0" w:space="0" w:color="auto"/>
      </w:divBdr>
    </w:div>
    <w:div w:id="1546527729">
      <w:bodyDiv w:val="1"/>
      <w:marLeft w:val="0"/>
      <w:marRight w:val="0"/>
      <w:marTop w:val="0"/>
      <w:marBottom w:val="0"/>
      <w:divBdr>
        <w:top w:val="none" w:sz="0" w:space="0" w:color="auto"/>
        <w:left w:val="none" w:sz="0" w:space="0" w:color="auto"/>
        <w:bottom w:val="none" w:sz="0" w:space="0" w:color="auto"/>
        <w:right w:val="none" w:sz="0" w:space="0" w:color="auto"/>
      </w:divBdr>
    </w:div>
    <w:div w:id="1549797601">
      <w:bodyDiv w:val="1"/>
      <w:marLeft w:val="0"/>
      <w:marRight w:val="0"/>
      <w:marTop w:val="0"/>
      <w:marBottom w:val="0"/>
      <w:divBdr>
        <w:top w:val="none" w:sz="0" w:space="0" w:color="auto"/>
        <w:left w:val="none" w:sz="0" w:space="0" w:color="auto"/>
        <w:bottom w:val="none" w:sz="0" w:space="0" w:color="auto"/>
        <w:right w:val="none" w:sz="0" w:space="0" w:color="auto"/>
      </w:divBdr>
    </w:div>
    <w:div w:id="1551578422">
      <w:bodyDiv w:val="1"/>
      <w:marLeft w:val="0"/>
      <w:marRight w:val="0"/>
      <w:marTop w:val="0"/>
      <w:marBottom w:val="0"/>
      <w:divBdr>
        <w:top w:val="none" w:sz="0" w:space="0" w:color="auto"/>
        <w:left w:val="none" w:sz="0" w:space="0" w:color="auto"/>
        <w:bottom w:val="none" w:sz="0" w:space="0" w:color="auto"/>
        <w:right w:val="none" w:sz="0" w:space="0" w:color="auto"/>
      </w:divBdr>
    </w:div>
    <w:div w:id="1552420879">
      <w:bodyDiv w:val="1"/>
      <w:marLeft w:val="0"/>
      <w:marRight w:val="0"/>
      <w:marTop w:val="0"/>
      <w:marBottom w:val="0"/>
      <w:divBdr>
        <w:top w:val="none" w:sz="0" w:space="0" w:color="auto"/>
        <w:left w:val="none" w:sz="0" w:space="0" w:color="auto"/>
        <w:bottom w:val="none" w:sz="0" w:space="0" w:color="auto"/>
        <w:right w:val="none" w:sz="0" w:space="0" w:color="auto"/>
      </w:divBdr>
    </w:div>
    <w:div w:id="1558779230">
      <w:bodyDiv w:val="1"/>
      <w:marLeft w:val="0"/>
      <w:marRight w:val="0"/>
      <w:marTop w:val="0"/>
      <w:marBottom w:val="0"/>
      <w:divBdr>
        <w:top w:val="none" w:sz="0" w:space="0" w:color="auto"/>
        <w:left w:val="none" w:sz="0" w:space="0" w:color="auto"/>
        <w:bottom w:val="none" w:sz="0" w:space="0" w:color="auto"/>
        <w:right w:val="none" w:sz="0" w:space="0" w:color="auto"/>
      </w:divBdr>
    </w:div>
    <w:div w:id="1562592881">
      <w:bodyDiv w:val="1"/>
      <w:marLeft w:val="0"/>
      <w:marRight w:val="0"/>
      <w:marTop w:val="0"/>
      <w:marBottom w:val="0"/>
      <w:divBdr>
        <w:top w:val="none" w:sz="0" w:space="0" w:color="auto"/>
        <w:left w:val="none" w:sz="0" w:space="0" w:color="auto"/>
        <w:bottom w:val="none" w:sz="0" w:space="0" w:color="auto"/>
        <w:right w:val="none" w:sz="0" w:space="0" w:color="auto"/>
      </w:divBdr>
    </w:div>
    <w:div w:id="1575049914">
      <w:bodyDiv w:val="1"/>
      <w:marLeft w:val="0"/>
      <w:marRight w:val="0"/>
      <w:marTop w:val="0"/>
      <w:marBottom w:val="0"/>
      <w:divBdr>
        <w:top w:val="none" w:sz="0" w:space="0" w:color="auto"/>
        <w:left w:val="none" w:sz="0" w:space="0" w:color="auto"/>
        <w:bottom w:val="none" w:sz="0" w:space="0" w:color="auto"/>
        <w:right w:val="none" w:sz="0" w:space="0" w:color="auto"/>
      </w:divBdr>
    </w:div>
    <w:div w:id="1575092533">
      <w:bodyDiv w:val="1"/>
      <w:marLeft w:val="0"/>
      <w:marRight w:val="0"/>
      <w:marTop w:val="0"/>
      <w:marBottom w:val="0"/>
      <w:divBdr>
        <w:top w:val="none" w:sz="0" w:space="0" w:color="auto"/>
        <w:left w:val="none" w:sz="0" w:space="0" w:color="auto"/>
        <w:bottom w:val="none" w:sz="0" w:space="0" w:color="auto"/>
        <w:right w:val="none" w:sz="0" w:space="0" w:color="auto"/>
      </w:divBdr>
    </w:div>
    <w:div w:id="1575622987">
      <w:bodyDiv w:val="1"/>
      <w:marLeft w:val="0"/>
      <w:marRight w:val="0"/>
      <w:marTop w:val="0"/>
      <w:marBottom w:val="0"/>
      <w:divBdr>
        <w:top w:val="none" w:sz="0" w:space="0" w:color="auto"/>
        <w:left w:val="none" w:sz="0" w:space="0" w:color="auto"/>
        <w:bottom w:val="none" w:sz="0" w:space="0" w:color="auto"/>
        <w:right w:val="none" w:sz="0" w:space="0" w:color="auto"/>
      </w:divBdr>
      <w:divsChild>
        <w:div w:id="1224606081">
          <w:marLeft w:val="0"/>
          <w:marRight w:val="0"/>
          <w:marTop w:val="120"/>
          <w:marBottom w:val="60"/>
          <w:divBdr>
            <w:top w:val="none" w:sz="0" w:space="0" w:color="auto"/>
            <w:left w:val="none" w:sz="0" w:space="0" w:color="auto"/>
            <w:bottom w:val="none" w:sz="0" w:space="0" w:color="auto"/>
            <w:right w:val="none" w:sz="0" w:space="0" w:color="auto"/>
          </w:divBdr>
        </w:div>
        <w:div w:id="1524172633">
          <w:marLeft w:val="0"/>
          <w:marRight w:val="0"/>
          <w:marTop w:val="120"/>
          <w:marBottom w:val="60"/>
          <w:divBdr>
            <w:top w:val="none" w:sz="0" w:space="0" w:color="auto"/>
            <w:left w:val="none" w:sz="0" w:space="0" w:color="auto"/>
            <w:bottom w:val="none" w:sz="0" w:space="0" w:color="auto"/>
            <w:right w:val="none" w:sz="0" w:space="0" w:color="auto"/>
          </w:divBdr>
        </w:div>
        <w:div w:id="2033340105">
          <w:marLeft w:val="0"/>
          <w:marRight w:val="0"/>
          <w:marTop w:val="120"/>
          <w:marBottom w:val="60"/>
          <w:divBdr>
            <w:top w:val="none" w:sz="0" w:space="0" w:color="auto"/>
            <w:left w:val="none" w:sz="0" w:space="0" w:color="auto"/>
            <w:bottom w:val="none" w:sz="0" w:space="0" w:color="auto"/>
            <w:right w:val="none" w:sz="0" w:space="0" w:color="auto"/>
          </w:divBdr>
        </w:div>
        <w:div w:id="185946939">
          <w:marLeft w:val="0"/>
          <w:marRight w:val="0"/>
          <w:marTop w:val="120"/>
          <w:marBottom w:val="60"/>
          <w:divBdr>
            <w:top w:val="none" w:sz="0" w:space="0" w:color="auto"/>
            <w:left w:val="none" w:sz="0" w:space="0" w:color="auto"/>
            <w:bottom w:val="none" w:sz="0" w:space="0" w:color="auto"/>
            <w:right w:val="none" w:sz="0" w:space="0" w:color="auto"/>
          </w:divBdr>
        </w:div>
        <w:div w:id="639457072">
          <w:marLeft w:val="0"/>
          <w:marRight w:val="0"/>
          <w:marTop w:val="120"/>
          <w:marBottom w:val="60"/>
          <w:divBdr>
            <w:top w:val="none" w:sz="0" w:space="0" w:color="auto"/>
            <w:left w:val="none" w:sz="0" w:space="0" w:color="auto"/>
            <w:bottom w:val="none" w:sz="0" w:space="0" w:color="auto"/>
            <w:right w:val="none" w:sz="0" w:space="0" w:color="auto"/>
          </w:divBdr>
        </w:div>
        <w:div w:id="1574121351">
          <w:marLeft w:val="0"/>
          <w:marRight w:val="0"/>
          <w:marTop w:val="120"/>
          <w:marBottom w:val="60"/>
          <w:divBdr>
            <w:top w:val="none" w:sz="0" w:space="0" w:color="auto"/>
            <w:left w:val="none" w:sz="0" w:space="0" w:color="auto"/>
            <w:bottom w:val="none" w:sz="0" w:space="0" w:color="auto"/>
            <w:right w:val="none" w:sz="0" w:space="0" w:color="auto"/>
          </w:divBdr>
        </w:div>
      </w:divsChild>
    </w:div>
    <w:div w:id="1577203403">
      <w:bodyDiv w:val="1"/>
      <w:marLeft w:val="0"/>
      <w:marRight w:val="0"/>
      <w:marTop w:val="0"/>
      <w:marBottom w:val="0"/>
      <w:divBdr>
        <w:top w:val="none" w:sz="0" w:space="0" w:color="auto"/>
        <w:left w:val="none" w:sz="0" w:space="0" w:color="auto"/>
        <w:bottom w:val="none" w:sz="0" w:space="0" w:color="auto"/>
        <w:right w:val="none" w:sz="0" w:space="0" w:color="auto"/>
      </w:divBdr>
    </w:div>
    <w:div w:id="1593006793">
      <w:bodyDiv w:val="1"/>
      <w:marLeft w:val="0"/>
      <w:marRight w:val="0"/>
      <w:marTop w:val="0"/>
      <w:marBottom w:val="0"/>
      <w:divBdr>
        <w:top w:val="none" w:sz="0" w:space="0" w:color="auto"/>
        <w:left w:val="none" w:sz="0" w:space="0" w:color="auto"/>
        <w:bottom w:val="none" w:sz="0" w:space="0" w:color="auto"/>
        <w:right w:val="none" w:sz="0" w:space="0" w:color="auto"/>
      </w:divBdr>
    </w:div>
    <w:div w:id="1593736442">
      <w:bodyDiv w:val="1"/>
      <w:marLeft w:val="0"/>
      <w:marRight w:val="0"/>
      <w:marTop w:val="0"/>
      <w:marBottom w:val="0"/>
      <w:divBdr>
        <w:top w:val="none" w:sz="0" w:space="0" w:color="auto"/>
        <w:left w:val="none" w:sz="0" w:space="0" w:color="auto"/>
        <w:bottom w:val="none" w:sz="0" w:space="0" w:color="auto"/>
        <w:right w:val="none" w:sz="0" w:space="0" w:color="auto"/>
      </w:divBdr>
    </w:div>
    <w:div w:id="1595165559">
      <w:bodyDiv w:val="1"/>
      <w:marLeft w:val="0"/>
      <w:marRight w:val="0"/>
      <w:marTop w:val="0"/>
      <w:marBottom w:val="0"/>
      <w:divBdr>
        <w:top w:val="none" w:sz="0" w:space="0" w:color="auto"/>
        <w:left w:val="none" w:sz="0" w:space="0" w:color="auto"/>
        <w:bottom w:val="none" w:sz="0" w:space="0" w:color="auto"/>
        <w:right w:val="none" w:sz="0" w:space="0" w:color="auto"/>
      </w:divBdr>
    </w:div>
    <w:div w:id="1596936213">
      <w:bodyDiv w:val="1"/>
      <w:marLeft w:val="0"/>
      <w:marRight w:val="0"/>
      <w:marTop w:val="0"/>
      <w:marBottom w:val="0"/>
      <w:divBdr>
        <w:top w:val="none" w:sz="0" w:space="0" w:color="auto"/>
        <w:left w:val="none" w:sz="0" w:space="0" w:color="auto"/>
        <w:bottom w:val="none" w:sz="0" w:space="0" w:color="auto"/>
        <w:right w:val="none" w:sz="0" w:space="0" w:color="auto"/>
      </w:divBdr>
    </w:div>
    <w:div w:id="1607351774">
      <w:bodyDiv w:val="1"/>
      <w:marLeft w:val="0"/>
      <w:marRight w:val="0"/>
      <w:marTop w:val="0"/>
      <w:marBottom w:val="0"/>
      <w:divBdr>
        <w:top w:val="none" w:sz="0" w:space="0" w:color="auto"/>
        <w:left w:val="none" w:sz="0" w:space="0" w:color="auto"/>
        <w:bottom w:val="none" w:sz="0" w:space="0" w:color="auto"/>
        <w:right w:val="none" w:sz="0" w:space="0" w:color="auto"/>
      </w:divBdr>
    </w:div>
    <w:div w:id="1608928457">
      <w:bodyDiv w:val="1"/>
      <w:marLeft w:val="0"/>
      <w:marRight w:val="0"/>
      <w:marTop w:val="0"/>
      <w:marBottom w:val="0"/>
      <w:divBdr>
        <w:top w:val="none" w:sz="0" w:space="0" w:color="auto"/>
        <w:left w:val="none" w:sz="0" w:space="0" w:color="auto"/>
        <w:bottom w:val="none" w:sz="0" w:space="0" w:color="auto"/>
        <w:right w:val="none" w:sz="0" w:space="0" w:color="auto"/>
      </w:divBdr>
    </w:div>
    <w:div w:id="1609242733">
      <w:bodyDiv w:val="1"/>
      <w:marLeft w:val="0"/>
      <w:marRight w:val="0"/>
      <w:marTop w:val="0"/>
      <w:marBottom w:val="0"/>
      <w:divBdr>
        <w:top w:val="none" w:sz="0" w:space="0" w:color="auto"/>
        <w:left w:val="none" w:sz="0" w:space="0" w:color="auto"/>
        <w:bottom w:val="none" w:sz="0" w:space="0" w:color="auto"/>
        <w:right w:val="none" w:sz="0" w:space="0" w:color="auto"/>
      </w:divBdr>
    </w:div>
    <w:div w:id="1612861246">
      <w:bodyDiv w:val="1"/>
      <w:marLeft w:val="0"/>
      <w:marRight w:val="0"/>
      <w:marTop w:val="0"/>
      <w:marBottom w:val="0"/>
      <w:divBdr>
        <w:top w:val="none" w:sz="0" w:space="0" w:color="auto"/>
        <w:left w:val="none" w:sz="0" w:space="0" w:color="auto"/>
        <w:bottom w:val="none" w:sz="0" w:space="0" w:color="auto"/>
        <w:right w:val="none" w:sz="0" w:space="0" w:color="auto"/>
      </w:divBdr>
    </w:div>
    <w:div w:id="1617056653">
      <w:bodyDiv w:val="1"/>
      <w:marLeft w:val="0"/>
      <w:marRight w:val="0"/>
      <w:marTop w:val="0"/>
      <w:marBottom w:val="0"/>
      <w:divBdr>
        <w:top w:val="none" w:sz="0" w:space="0" w:color="auto"/>
        <w:left w:val="none" w:sz="0" w:space="0" w:color="auto"/>
        <w:bottom w:val="none" w:sz="0" w:space="0" w:color="auto"/>
        <w:right w:val="none" w:sz="0" w:space="0" w:color="auto"/>
      </w:divBdr>
    </w:div>
    <w:div w:id="1618026493">
      <w:bodyDiv w:val="1"/>
      <w:marLeft w:val="0"/>
      <w:marRight w:val="0"/>
      <w:marTop w:val="0"/>
      <w:marBottom w:val="0"/>
      <w:divBdr>
        <w:top w:val="none" w:sz="0" w:space="0" w:color="auto"/>
        <w:left w:val="none" w:sz="0" w:space="0" w:color="auto"/>
        <w:bottom w:val="none" w:sz="0" w:space="0" w:color="auto"/>
        <w:right w:val="none" w:sz="0" w:space="0" w:color="auto"/>
      </w:divBdr>
    </w:div>
    <w:div w:id="1618371450">
      <w:bodyDiv w:val="1"/>
      <w:marLeft w:val="0"/>
      <w:marRight w:val="0"/>
      <w:marTop w:val="0"/>
      <w:marBottom w:val="0"/>
      <w:divBdr>
        <w:top w:val="none" w:sz="0" w:space="0" w:color="auto"/>
        <w:left w:val="none" w:sz="0" w:space="0" w:color="auto"/>
        <w:bottom w:val="none" w:sz="0" w:space="0" w:color="auto"/>
        <w:right w:val="none" w:sz="0" w:space="0" w:color="auto"/>
      </w:divBdr>
    </w:div>
    <w:div w:id="1621103983">
      <w:bodyDiv w:val="1"/>
      <w:marLeft w:val="0"/>
      <w:marRight w:val="0"/>
      <w:marTop w:val="0"/>
      <w:marBottom w:val="0"/>
      <w:divBdr>
        <w:top w:val="none" w:sz="0" w:space="0" w:color="auto"/>
        <w:left w:val="none" w:sz="0" w:space="0" w:color="auto"/>
        <w:bottom w:val="none" w:sz="0" w:space="0" w:color="auto"/>
        <w:right w:val="none" w:sz="0" w:space="0" w:color="auto"/>
      </w:divBdr>
    </w:div>
    <w:div w:id="1622572349">
      <w:bodyDiv w:val="1"/>
      <w:marLeft w:val="0"/>
      <w:marRight w:val="0"/>
      <w:marTop w:val="0"/>
      <w:marBottom w:val="0"/>
      <w:divBdr>
        <w:top w:val="none" w:sz="0" w:space="0" w:color="auto"/>
        <w:left w:val="none" w:sz="0" w:space="0" w:color="auto"/>
        <w:bottom w:val="none" w:sz="0" w:space="0" w:color="auto"/>
        <w:right w:val="none" w:sz="0" w:space="0" w:color="auto"/>
      </w:divBdr>
    </w:div>
    <w:div w:id="1624847490">
      <w:bodyDiv w:val="1"/>
      <w:marLeft w:val="0"/>
      <w:marRight w:val="0"/>
      <w:marTop w:val="0"/>
      <w:marBottom w:val="0"/>
      <w:divBdr>
        <w:top w:val="none" w:sz="0" w:space="0" w:color="auto"/>
        <w:left w:val="none" w:sz="0" w:space="0" w:color="auto"/>
        <w:bottom w:val="none" w:sz="0" w:space="0" w:color="auto"/>
        <w:right w:val="none" w:sz="0" w:space="0" w:color="auto"/>
      </w:divBdr>
    </w:div>
    <w:div w:id="1625036705">
      <w:bodyDiv w:val="1"/>
      <w:marLeft w:val="0"/>
      <w:marRight w:val="0"/>
      <w:marTop w:val="0"/>
      <w:marBottom w:val="0"/>
      <w:divBdr>
        <w:top w:val="none" w:sz="0" w:space="0" w:color="auto"/>
        <w:left w:val="none" w:sz="0" w:space="0" w:color="auto"/>
        <w:bottom w:val="none" w:sz="0" w:space="0" w:color="auto"/>
        <w:right w:val="none" w:sz="0" w:space="0" w:color="auto"/>
      </w:divBdr>
    </w:div>
    <w:div w:id="162608082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399114">
      <w:bodyDiv w:val="1"/>
      <w:marLeft w:val="0"/>
      <w:marRight w:val="0"/>
      <w:marTop w:val="0"/>
      <w:marBottom w:val="0"/>
      <w:divBdr>
        <w:top w:val="none" w:sz="0" w:space="0" w:color="auto"/>
        <w:left w:val="none" w:sz="0" w:space="0" w:color="auto"/>
        <w:bottom w:val="none" w:sz="0" w:space="0" w:color="auto"/>
        <w:right w:val="none" w:sz="0" w:space="0" w:color="auto"/>
      </w:divBdr>
    </w:div>
    <w:div w:id="1632831307">
      <w:bodyDiv w:val="1"/>
      <w:marLeft w:val="0"/>
      <w:marRight w:val="0"/>
      <w:marTop w:val="0"/>
      <w:marBottom w:val="0"/>
      <w:divBdr>
        <w:top w:val="none" w:sz="0" w:space="0" w:color="auto"/>
        <w:left w:val="none" w:sz="0" w:space="0" w:color="auto"/>
        <w:bottom w:val="none" w:sz="0" w:space="0" w:color="auto"/>
        <w:right w:val="none" w:sz="0" w:space="0" w:color="auto"/>
      </w:divBdr>
    </w:div>
    <w:div w:id="1637301067">
      <w:bodyDiv w:val="1"/>
      <w:marLeft w:val="0"/>
      <w:marRight w:val="0"/>
      <w:marTop w:val="0"/>
      <w:marBottom w:val="0"/>
      <w:divBdr>
        <w:top w:val="none" w:sz="0" w:space="0" w:color="auto"/>
        <w:left w:val="none" w:sz="0" w:space="0" w:color="auto"/>
        <w:bottom w:val="none" w:sz="0" w:space="0" w:color="auto"/>
        <w:right w:val="none" w:sz="0" w:space="0" w:color="auto"/>
      </w:divBdr>
    </w:div>
    <w:div w:id="1639264854">
      <w:bodyDiv w:val="1"/>
      <w:marLeft w:val="0"/>
      <w:marRight w:val="0"/>
      <w:marTop w:val="0"/>
      <w:marBottom w:val="0"/>
      <w:divBdr>
        <w:top w:val="none" w:sz="0" w:space="0" w:color="auto"/>
        <w:left w:val="none" w:sz="0" w:space="0" w:color="auto"/>
        <w:bottom w:val="none" w:sz="0" w:space="0" w:color="auto"/>
        <w:right w:val="none" w:sz="0" w:space="0" w:color="auto"/>
      </w:divBdr>
    </w:div>
    <w:div w:id="1640917485">
      <w:bodyDiv w:val="1"/>
      <w:marLeft w:val="0"/>
      <w:marRight w:val="0"/>
      <w:marTop w:val="0"/>
      <w:marBottom w:val="0"/>
      <w:divBdr>
        <w:top w:val="none" w:sz="0" w:space="0" w:color="auto"/>
        <w:left w:val="none" w:sz="0" w:space="0" w:color="auto"/>
        <w:bottom w:val="none" w:sz="0" w:space="0" w:color="auto"/>
        <w:right w:val="none" w:sz="0" w:space="0" w:color="auto"/>
      </w:divBdr>
    </w:div>
    <w:div w:id="1642225611">
      <w:bodyDiv w:val="1"/>
      <w:marLeft w:val="0"/>
      <w:marRight w:val="0"/>
      <w:marTop w:val="0"/>
      <w:marBottom w:val="0"/>
      <w:divBdr>
        <w:top w:val="none" w:sz="0" w:space="0" w:color="auto"/>
        <w:left w:val="none" w:sz="0" w:space="0" w:color="auto"/>
        <w:bottom w:val="none" w:sz="0" w:space="0" w:color="auto"/>
        <w:right w:val="none" w:sz="0" w:space="0" w:color="auto"/>
      </w:divBdr>
    </w:div>
    <w:div w:id="1643384346">
      <w:bodyDiv w:val="1"/>
      <w:marLeft w:val="0"/>
      <w:marRight w:val="0"/>
      <w:marTop w:val="0"/>
      <w:marBottom w:val="0"/>
      <w:divBdr>
        <w:top w:val="none" w:sz="0" w:space="0" w:color="auto"/>
        <w:left w:val="none" w:sz="0" w:space="0" w:color="auto"/>
        <w:bottom w:val="none" w:sz="0" w:space="0" w:color="auto"/>
        <w:right w:val="none" w:sz="0" w:space="0" w:color="auto"/>
      </w:divBdr>
    </w:div>
    <w:div w:id="1644113242">
      <w:bodyDiv w:val="1"/>
      <w:marLeft w:val="0"/>
      <w:marRight w:val="0"/>
      <w:marTop w:val="0"/>
      <w:marBottom w:val="0"/>
      <w:divBdr>
        <w:top w:val="none" w:sz="0" w:space="0" w:color="auto"/>
        <w:left w:val="none" w:sz="0" w:space="0" w:color="auto"/>
        <w:bottom w:val="none" w:sz="0" w:space="0" w:color="auto"/>
        <w:right w:val="none" w:sz="0" w:space="0" w:color="auto"/>
      </w:divBdr>
    </w:div>
    <w:div w:id="1645544088">
      <w:bodyDiv w:val="1"/>
      <w:marLeft w:val="0"/>
      <w:marRight w:val="0"/>
      <w:marTop w:val="0"/>
      <w:marBottom w:val="0"/>
      <w:divBdr>
        <w:top w:val="none" w:sz="0" w:space="0" w:color="auto"/>
        <w:left w:val="none" w:sz="0" w:space="0" w:color="auto"/>
        <w:bottom w:val="none" w:sz="0" w:space="0" w:color="auto"/>
        <w:right w:val="none" w:sz="0" w:space="0" w:color="auto"/>
      </w:divBdr>
    </w:div>
    <w:div w:id="1650552629">
      <w:bodyDiv w:val="1"/>
      <w:marLeft w:val="0"/>
      <w:marRight w:val="0"/>
      <w:marTop w:val="0"/>
      <w:marBottom w:val="0"/>
      <w:divBdr>
        <w:top w:val="none" w:sz="0" w:space="0" w:color="auto"/>
        <w:left w:val="none" w:sz="0" w:space="0" w:color="auto"/>
        <w:bottom w:val="none" w:sz="0" w:space="0" w:color="auto"/>
        <w:right w:val="none" w:sz="0" w:space="0" w:color="auto"/>
      </w:divBdr>
    </w:div>
    <w:div w:id="1654604258">
      <w:bodyDiv w:val="1"/>
      <w:marLeft w:val="0"/>
      <w:marRight w:val="0"/>
      <w:marTop w:val="0"/>
      <w:marBottom w:val="0"/>
      <w:divBdr>
        <w:top w:val="none" w:sz="0" w:space="0" w:color="auto"/>
        <w:left w:val="none" w:sz="0" w:space="0" w:color="auto"/>
        <w:bottom w:val="none" w:sz="0" w:space="0" w:color="auto"/>
        <w:right w:val="none" w:sz="0" w:space="0" w:color="auto"/>
      </w:divBdr>
    </w:div>
    <w:div w:id="1655792352">
      <w:bodyDiv w:val="1"/>
      <w:marLeft w:val="0"/>
      <w:marRight w:val="0"/>
      <w:marTop w:val="0"/>
      <w:marBottom w:val="0"/>
      <w:divBdr>
        <w:top w:val="none" w:sz="0" w:space="0" w:color="auto"/>
        <w:left w:val="none" w:sz="0" w:space="0" w:color="auto"/>
        <w:bottom w:val="none" w:sz="0" w:space="0" w:color="auto"/>
        <w:right w:val="none" w:sz="0" w:space="0" w:color="auto"/>
      </w:divBdr>
    </w:div>
    <w:div w:id="1656228044">
      <w:bodyDiv w:val="1"/>
      <w:marLeft w:val="0"/>
      <w:marRight w:val="0"/>
      <w:marTop w:val="0"/>
      <w:marBottom w:val="0"/>
      <w:divBdr>
        <w:top w:val="none" w:sz="0" w:space="0" w:color="auto"/>
        <w:left w:val="none" w:sz="0" w:space="0" w:color="auto"/>
        <w:bottom w:val="none" w:sz="0" w:space="0" w:color="auto"/>
        <w:right w:val="none" w:sz="0" w:space="0" w:color="auto"/>
      </w:divBdr>
    </w:div>
    <w:div w:id="1659117515">
      <w:bodyDiv w:val="1"/>
      <w:marLeft w:val="0"/>
      <w:marRight w:val="0"/>
      <w:marTop w:val="0"/>
      <w:marBottom w:val="0"/>
      <w:divBdr>
        <w:top w:val="none" w:sz="0" w:space="0" w:color="auto"/>
        <w:left w:val="none" w:sz="0" w:space="0" w:color="auto"/>
        <w:bottom w:val="none" w:sz="0" w:space="0" w:color="auto"/>
        <w:right w:val="none" w:sz="0" w:space="0" w:color="auto"/>
      </w:divBdr>
    </w:div>
    <w:div w:id="1672751446">
      <w:bodyDiv w:val="1"/>
      <w:marLeft w:val="0"/>
      <w:marRight w:val="0"/>
      <w:marTop w:val="0"/>
      <w:marBottom w:val="0"/>
      <w:divBdr>
        <w:top w:val="none" w:sz="0" w:space="0" w:color="auto"/>
        <w:left w:val="none" w:sz="0" w:space="0" w:color="auto"/>
        <w:bottom w:val="none" w:sz="0" w:space="0" w:color="auto"/>
        <w:right w:val="none" w:sz="0" w:space="0" w:color="auto"/>
      </w:divBdr>
    </w:div>
    <w:div w:id="1675642336">
      <w:bodyDiv w:val="1"/>
      <w:marLeft w:val="0"/>
      <w:marRight w:val="0"/>
      <w:marTop w:val="0"/>
      <w:marBottom w:val="0"/>
      <w:divBdr>
        <w:top w:val="none" w:sz="0" w:space="0" w:color="auto"/>
        <w:left w:val="none" w:sz="0" w:space="0" w:color="auto"/>
        <w:bottom w:val="none" w:sz="0" w:space="0" w:color="auto"/>
        <w:right w:val="none" w:sz="0" w:space="0" w:color="auto"/>
      </w:divBdr>
    </w:div>
    <w:div w:id="1680348013">
      <w:bodyDiv w:val="1"/>
      <w:marLeft w:val="0"/>
      <w:marRight w:val="0"/>
      <w:marTop w:val="0"/>
      <w:marBottom w:val="0"/>
      <w:divBdr>
        <w:top w:val="none" w:sz="0" w:space="0" w:color="auto"/>
        <w:left w:val="none" w:sz="0" w:space="0" w:color="auto"/>
        <w:bottom w:val="none" w:sz="0" w:space="0" w:color="auto"/>
        <w:right w:val="none" w:sz="0" w:space="0" w:color="auto"/>
      </w:divBdr>
    </w:div>
    <w:div w:id="1684168569">
      <w:bodyDiv w:val="1"/>
      <w:marLeft w:val="0"/>
      <w:marRight w:val="0"/>
      <w:marTop w:val="0"/>
      <w:marBottom w:val="0"/>
      <w:divBdr>
        <w:top w:val="none" w:sz="0" w:space="0" w:color="auto"/>
        <w:left w:val="none" w:sz="0" w:space="0" w:color="auto"/>
        <w:bottom w:val="none" w:sz="0" w:space="0" w:color="auto"/>
        <w:right w:val="none" w:sz="0" w:space="0" w:color="auto"/>
      </w:divBdr>
    </w:div>
    <w:div w:id="1687049473">
      <w:bodyDiv w:val="1"/>
      <w:marLeft w:val="0"/>
      <w:marRight w:val="0"/>
      <w:marTop w:val="0"/>
      <w:marBottom w:val="0"/>
      <w:divBdr>
        <w:top w:val="none" w:sz="0" w:space="0" w:color="auto"/>
        <w:left w:val="none" w:sz="0" w:space="0" w:color="auto"/>
        <w:bottom w:val="none" w:sz="0" w:space="0" w:color="auto"/>
        <w:right w:val="none" w:sz="0" w:space="0" w:color="auto"/>
      </w:divBdr>
    </w:div>
    <w:div w:id="1705208998">
      <w:bodyDiv w:val="1"/>
      <w:marLeft w:val="0"/>
      <w:marRight w:val="0"/>
      <w:marTop w:val="0"/>
      <w:marBottom w:val="0"/>
      <w:divBdr>
        <w:top w:val="none" w:sz="0" w:space="0" w:color="auto"/>
        <w:left w:val="none" w:sz="0" w:space="0" w:color="auto"/>
        <w:bottom w:val="none" w:sz="0" w:space="0" w:color="auto"/>
        <w:right w:val="none" w:sz="0" w:space="0" w:color="auto"/>
      </w:divBdr>
    </w:div>
    <w:div w:id="1705399916">
      <w:bodyDiv w:val="1"/>
      <w:marLeft w:val="0"/>
      <w:marRight w:val="0"/>
      <w:marTop w:val="0"/>
      <w:marBottom w:val="0"/>
      <w:divBdr>
        <w:top w:val="none" w:sz="0" w:space="0" w:color="auto"/>
        <w:left w:val="none" w:sz="0" w:space="0" w:color="auto"/>
        <w:bottom w:val="none" w:sz="0" w:space="0" w:color="auto"/>
        <w:right w:val="none" w:sz="0" w:space="0" w:color="auto"/>
      </w:divBdr>
    </w:div>
    <w:div w:id="1707481398">
      <w:bodyDiv w:val="1"/>
      <w:marLeft w:val="0"/>
      <w:marRight w:val="0"/>
      <w:marTop w:val="0"/>
      <w:marBottom w:val="0"/>
      <w:divBdr>
        <w:top w:val="none" w:sz="0" w:space="0" w:color="auto"/>
        <w:left w:val="none" w:sz="0" w:space="0" w:color="auto"/>
        <w:bottom w:val="none" w:sz="0" w:space="0" w:color="auto"/>
        <w:right w:val="none" w:sz="0" w:space="0" w:color="auto"/>
      </w:divBdr>
    </w:div>
    <w:div w:id="1711413283">
      <w:bodyDiv w:val="1"/>
      <w:marLeft w:val="0"/>
      <w:marRight w:val="0"/>
      <w:marTop w:val="0"/>
      <w:marBottom w:val="0"/>
      <w:divBdr>
        <w:top w:val="none" w:sz="0" w:space="0" w:color="auto"/>
        <w:left w:val="none" w:sz="0" w:space="0" w:color="auto"/>
        <w:bottom w:val="none" w:sz="0" w:space="0" w:color="auto"/>
        <w:right w:val="none" w:sz="0" w:space="0" w:color="auto"/>
      </w:divBdr>
    </w:div>
    <w:div w:id="1711764014">
      <w:bodyDiv w:val="1"/>
      <w:marLeft w:val="0"/>
      <w:marRight w:val="0"/>
      <w:marTop w:val="0"/>
      <w:marBottom w:val="0"/>
      <w:divBdr>
        <w:top w:val="none" w:sz="0" w:space="0" w:color="auto"/>
        <w:left w:val="none" w:sz="0" w:space="0" w:color="auto"/>
        <w:bottom w:val="none" w:sz="0" w:space="0" w:color="auto"/>
        <w:right w:val="none" w:sz="0" w:space="0" w:color="auto"/>
      </w:divBdr>
    </w:div>
    <w:div w:id="1720275678">
      <w:bodyDiv w:val="1"/>
      <w:marLeft w:val="0"/>
      <w:marRight w:val="0"/>
      <w:marTop w:val="0"/>
      <w:marBottom w:val="0"/>
      <w:divBdr>
        <w:top w:val="none" w:sz="0" w:space="0" w:color="auto"/>
        <w:left w:val="none" w:sz="0" w:space="0" w:color="auto"/>
        <w:bottom w:val="none" w:sz="0" w:space="0" w:color="auto"/>
        <w:right w:val="none" w:sz="0" w:space="0" w:color="auto"/>
      </w:divBdr>
    </w:div>
    <w:div w:id="1724794303">
      <w:bodyDiv w:val="1"/>
      <w:marLeft w:val="0"/>
      <w:marRight w:val="0"/>
      <w:marTop w:val="0"/>
      <w:marBottom w:val="0"/>
      <w:divBdr>
        <w:top w:val="none" w:sz="0" w:space="0" w:color="auto"/>
        <w:left w:val="none" w:sz="0" w:space="0" w:color="auto"/>
        <w:bottom w:val="none" w:sz="0" w:space="0" w:color="auto"/>
        <w:right w:val="none" w:sz="0" w:space="0" w:color="auto"/>
      </w:divBdr>
    </w:div>
    <w:div w:id="1725175019">
      <w:bodyDiv w:val="1"/>
      <w:marLeft w:val="0"/>
      <w:marRight w:val="0"/>
      <w:marTop w:val="0"/>
      <w:marBottom w:val="0"/>
      <w:divBdr>
        <w:top w:val="none" w:sz="0" w:space="0" w:color="auto"/>
        <w:left w:val="none" w:sz="0" w:space="0" w:color="auto"/>
        <w:bottom w:val="none" w:sz="0" w:space="0" w:color="auto"/>
        <w:right w:val="none" w:sz="0" w:space="0" w:color="auto"/>
      </w:divBdr>
    </w:div>
    <w:div w:id="1728721602">
      <w:bodyDiv w:val="1"/>
      <w:marLeft w:val="0"/>
      <w:marRight w:val="0"/>
      <w:marTop w:val="0"/>
      <w:marBottom w:val="0"/>
      <w:divBdr>
        <w:top w:val="none" w:sz="0" w:space="0" w:color="auto"/>
        <w:left w:val="none" w:sz="0" w:space="0" w:color="auto"/>
        <w:bottom w:val="none" w:sz="0" w:space="0" w:color="auto"/>
        <w:right w:val="none" w:sz="0" w:space="0" w:color="auto"/>
      </w:divBdr>
    </w:div>
    <w:div w:id="1731268556">
      <w:bodyDiv w:val="1"/>
      <w:marLeft w:val="0"/>
      <w:marRight w:val="0"/>
      <w:marTop w:val="0"/>
      <w:marBottom w:val="0"/>
      <w:divBdr>
        <w:top w:val="none" w:sz="0" w:space="0" w:color="auto"/>
        <w:left w:val="none" w:sz="0" w:space="0" w:color="auto"/>
        <w:bottom w:val="none" w:sz="0" w:space="0" w:color="auto"/>
        <w:right w:val="none" w:sz="0" w:space="0" w:color="auto"/>
      </w:divBdr>
    </w:div>
    <w:div w:id="1742826424">
      <w:bodyDiv w:val="1"/>
      <w:marLeft w:val="0"/>
      <w:marRight w:val="0"/>
      <w:marTop w:val="0"/>
      <w:marBottom w:val="0"/>
      <w:divBdr>
        <w:top w:val="none" w:sz="0" w:space="0" w:color="auto"/>
        <w:left w:val="none" w:sz="0" w:space="0" w:color="auto"/>
        <w:bottom w:val="none" w:sz="0" w:space="0" w:color="auto"/>
        <w:right w:val="none" w:sz="0" w:space="0" w:color="auto"/>
      </w:divBdr>
    </w:div>
    <w:div w:id="1744794828">
      <w:bodyDiv w:val="1"/>
      <w:marLeft w:val="0"/>
      <w:marRight w:val="0"/>
      <w:marTop w:val="0"/>
      <w:marBottom w:val="0"/>
      <w:divBdr>
        <w:top w:val="none" w:sz="0" w:space="0" w:color="auto"/>
        <w:left w:val="none" w:sz="0" w:space="0" w:color="auto"/>
        <w:bottom w:val="none" w:sz="0" w:space="0" w:color="auto"/>
        <w:right w:val="none" w:sz="0" w:space="0" w:color="auto"/>
      </w:divBdr>
    </w:div>
    <w:div w:id="1750694745">
      <w:bodyDiv w:val="1"/>
      <w:marLeft w:val="0"/>
      <w:marRight w:val="0"/>
      <w:marTop w:val="0"/>
      <w:marBottom w:val="0"/>
      <w:divBdr>
        <w:top w:val="none" w:sz="0" w:space="0" w:color="auto"/>
        <w:left w:val="none" w:sz="0" w:space="0" w:color="auto"/>
        <w:bottom w:val="none" w:sz="0" w:space="0" w:color="auto"/>
        <w:right w:val="none" w:sz="0" w:space="0" w:color="auto"/>
      </w:divBdr>
    </w:div>
    <w:div w:id="1751583116">
      <w:bodyDiv w:val="1"/>
      <w:marLeft w:val="0"/>
      <w:marRight w:val="0"/>
      <w:marTop w:val="0"/>
      <w:marBottom w:val="0"/>
      <w:divBdr>
        <w:top w:val="none" w:sz="0" w:space="0" w:color="auto"/>
        <w:left w:val="none" w:sz="0" w:space="0" w:color="auto"/>
        <w:bottom w:val="none" w:sz="0" w:space="0" w:color="auto"/>
        <w:right w:val="none" w:sz="0" w:space="0" w:color="auto"/>
      </w:divBdr>
    </w:div>
    <w:div w:id="1751658724">
      <w:bodyDiv w:val="1"/>
      <w:marLeft w:val="0"/>
      <w:marRight w:val="0"/>
      <w:marTop w:val="0"/>
      <w:marBottom w:val="0"/>
      <w:divBdr>
        <w:top w:val="none" w:sz="0" w:space="0" w:color="auto"/>
        <w:left w:val="none" w:sz="0" w:space="0" w:color="auto"/>
        <w:bottom w:val="none" w:sz="0" w:space="0" w:color="auto"/>
        <w:right w:val="none" w:sz="0" w:space="0" w:color="auto"/>
      </w:divBdr>
    </w:div>
    <w:div w:id="1760445863">
      <w:bodyDiv w:val="1"/>
      <w:marLeft w:val="0"/>
      <w:marRight w:val="0"/>
      <w:marTop w:val="0"/>
      <w:marBottom w:val="0"/>
      <w:divBdr>
        <w:top w:val="none" w:sz="0" w:space="0" w:color="auto"/>
        <w:left w:val="none" w:sz="0" w:space="0" w:color="auto"/>
        <w:bottom w:val="none" w:sz="0" w:space="0" w:color="auto"/>
        <w:right w:val="none" w:sz="0" w:space="0" w:color="auto"/>
      </w:divBdr>
    </w:div>
    <w:div w:id="1761171728">
      <w:bodyDiv w:val="1"/>
      <w:marLeft w:val="0"/>
      <w:marRight w:val="0"/>
      <w:marTop w:val="0"/>
      <w:marBottom w:val="0"/>
      <w:divBdr>
        <w:top w:val="none" w:sz="0" w:space="0" w:color="auto"/>
        <w:left w:val="none" w:sz="0" w:space="0" w:color="auto"/>
        <w:bottom w:val="none" w:sz="0" w:space="0" w:color="auto"/>
        <w:right w:val="none" w:sz="0" w:space="0" w:color="auto"/>
      </w:divBdr>
    </w:div>
    <w:div w:id="1771928877">
      <w:bodyDiv w:val="1"/>
      <w:marLeft w:val="0"/>
      <w:marRight w:val="0"/>
      <w:marTop w:val="0"/>
      <w:marBottom w:val="0"/>
      <w:divBdr>
        <w:top w:val="none" w:sz="0" w:space="0" w:color="auto"/>
        <w:left w:val="none" w:sz="0" w:space="0" w:color="auto"/>
        <w:bottom w:val="none" w:sz="0" w:space="0" w:color="auto"/>
        <w:right w:val="none" w:sz="0" w:space="0" w:color="auto"/>
      </w:divBdr>
    </w:div>
    <w:div w:id="1772778298">
      <w:bodyDiv w:val="1"/>
      <w:marLeft w:val="0"/>
      <w:marRight w:val="0"/>
      <w:marTop w:val="0"/>
      <w:marBottom w:val="0"/>
      <w:divBdr>
        <w:top w:val="none" w:sz="0" w:space="0" w:color="auto"/>
        <w:left w:val="none" w:sz="0" w:space="0" w:color="auto"/>
        <w:bottom w:val="none" w:sz="0" w:space="0" w:color="auto"/>
        <w:right w:val="none" w:sz="0" w:space="0" w:color="auto"/>
      </w:divBdr>
    </w:div>
    <w:div w:id="1773889150">
      <w:bodyDiv w:val="1"/>
      <w:marLeft w:val="0"/>
      <w:marRight w:val="0"/>
      <w:marTop w:val="0"/>
      <w:marBottom w:val="0"/>
      <w:divBdr>
        <w:top w:val="none" w:sz="0" w:space="0" w:color="auto"/>
        <w:left w:val="none" w:sz="0" w:space="0" w:color="auto"/>
        <w:bottom w:val="none" w:sz="0" w:space="0" w:color="auto"/>
        <w:right w:val="none" w:sz="0" w:space="0" w:color="auto"/>
      </w:divBdr>
    </w:div>
    <w:div w:id="1775009266">
      <w:bodyDiv w:val="1"/>
      <w:marLeft w:val="0"/>
      <w:marRight w:val="0"/>
      <w:marTop w:val="0"/>
      <w:marBottom w:val="0"/>
      <w:divBdr>
        <w:top w:val="none" w:sz="0" w:space="0" w:color="auto"/>
        <w:left w:val="none" w:sz="0" w:space="0" w:color="auto"/>
        <w:bottom w:val="none" w:sz="0" w:space="0" w:color="auto"/>
        <w:right w:val="none" w:sz="0" w:space="0" w:color="auto"/>
      </w:divBdr>
    </w:div>
    <w:div w:id="1775858095">
      <w:bodyDiv w:val="1"/>
      <w:marLeft w:val="0"/>
      <w:marRight w:val="0"/>
      <w:marTop w:val="0"/>
      <w:marBottom w:val="0"/>
      <w:divBdr>
        <w:top w:val="none" w:sz="0" w:space="0" w:color="auto"/>
        <w:left w:val="none" w:sz="0" w:space="0" w:color="auto"/>
        <w:bottom w:val="none" w:sz="0" w:space="0" w:color="auto"/>
        <w:right w:val="none" w:sz="0" w:space="0" w:color="auto"/>
      </w:divBdr>
    </w:div>
    <w:div w:id="1777751604">
      <w:bodyDiv w:val="1"/>
      <w:marLeft w:val="0"/>
      <w:marRight w:val="0"/>
      <w:marTop w:val="0"/>
      <w:marBottom w:val="0"/>
      <w:divBdr>
        <w:top w:val="none" w:sz="0" w:space="0" w:color="auto"/>
        <w:left w:val="none" w:sz="0" w:space="0" w:color="auto"/>
        <w:bottom w:val="none" w:sz="0" w:space="0" w:color="auto"/>
        <w:right w:val="none" w:sz="0" w:space="0" w:color="auto"/>
      </w:divBdr>
    </w:div>
    <w:div w:id="1777868810">
      <w:bodyDiv w:val="1"/>
      <w:marLeft w:val="0"/>
      <w:marRight w:val="0"/>
      <w:marTop w:val="0"/>
      <w:marBottom w:val="0"/>
      <w:divBdr>
        <w:top w:val="none" w:sz="0" w:space="0" w:color="auto"/>
        <w:left w:val="none" w:sz="0" w:space="0" w:color="auto"/>
        <w:bottom w:val="none" w:sz="0" w:space="0" w:color="auto"/>
        <w:right w:val="none" w:sz="0" w:space="0" w:color="auto"/>
      </w:divBdr>
    </w:div>
    <w:div w:id="1781099805">
      <w:bodyDiv w:val="1"/>
      <w:marLeft w:val="0"/>
      <w:marRight w:val="0"/>
      <w:marTop w:val="0"/>
      <w:marBottom w:val="0"/>
      <w:divBdr>
        <w:top w:val="none" w:sz="0" w:space="0" w:color="auto"/>
        <w:left w:val="none" w:sz="0" w:space="0" w:color="auto"/>
        <w:bottom w:val="none" w:sz="0" w:space="0" w:color="auto"/>
        <w:right w:val="none" w:sz="0" w:space="0" w:color="auto"/>
      </w:divBdr>
    </w:div>
    <w:div w:id="1785734616">
      <w:bodyDiv w:val="1"/>
      <w:marLeft w:val="0"/>
      <w:marRight w:val="0"/>
      <w:marTop w:val="0"/>
      <w:marBottom w:val="0"/>
      <w:divBdr>
        <w:top w:val="none" w:sz="0" w:space="0" w:color="auto"/>
        <w:left w:val="none" w:sz="0" w:space="0" w:color="auto"/>
        <w:bottom w:val="none" w:sz="0" w:space="0" w:color="auto"/>
        <w:right w:val="none" w:sz="0" w:space="0" w:color="auto"/>
      </w:divBdr>
    </w:div>
    <w:div w:id="1788499215">
      <w:bodyDiv w:val="1"/>
      <w:marLeft w:val="0"/>
      <w:marRight w:val="0"/>
      <w:marTop w:val="0"/>
      <w:marBottom w:val="0"/>
      <w:divBdr>
        <w:top w:val="none" w:sz="0" w:space="0" w:color="auto"/>
        <w:left w:val="none" w:sz="0" w:space="0" w:color="auto"/>
        <w:bottom w:val="none" w:sz="0" w:space="0" w:color="auto"/>
        <w:right w:val="none" w:sz="0" w:space="0" w:color="auto"/>
      </w:divBdr>
    </w:div>
    <w:div w:id="1793474730">
      <w:bodyDiv w:val="1"/>
      <w:marLeft w:val="0"/>
      <w:marRight w:val="0"/>
      <w:marTop w:val="0"/>
      <w:marBottom w:val="0"/>
      <w:divBdr>
        <w:top w:val="none" w:sz="0" w:space="0" w:color="auto"/>
        <w:left w:val="none" w:sz="0" w:space="0" w:color="auto"/>
        <w:bottom w:val="none" w:sz="0" w:space="0" w:color="auto"/>
        <w:right w:val="none" w:sz="0" w:space="0" w:color="auto"/>
      </w:divBdr>
    </w:div>
    <w:div w:id="1794863358">
      <w:bodyDiv w:val="1"/>
      <w:marLeft w:val="0"/>
      <w:marRight w:val="0"/>
      <w:marTop w:val="0"/>
      <w:marBottom w:val="0"/>
      <w:divBdr>
        <w:top w:val="none" w:sz="0" w:space="0" w:color="auto"/>
        <w:left w:val="none" w:sz="0" w:space="0" w:color="auto"/>
        <w:bottom w:val="none" w:sz="0" w:space="0" w:color="auto"/>
        <w:right w:val="none" w:sz="0" w:space="0" w:color="auto"/>
      </w:divBdr>
    </w:div>
    <w:div w:id="180250412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124968">
      <w:bodyDiv w:val="1"/>
      <w:marLeft w:val="0"/>
      <w:marRight w:val="0"/>
      <w:marTop w:val="0"/>
      <w:marBottom w:val="0"/>
      <w:divBdr>
        <w:top w:val="none" w:sz="0" w:space="0" w:color="auto"/>
        <w:left w:val="none" w:sz="0" w:space="0" w:color="auto"/>
        <w:bottom w:val="none" w:sz="0" w:space="0" w:color="auto"/>
        <w:right w:val="none" w:sz="0" w:space="0" w:color="auto"/>
      </w:divBdr>
    </w:div>
    <w:div w:id="1808207462">
      <w:bodyDiv w:val="1"/>
      <w:marLeft w:val="0"/>
      <w:marRight w:val="0"/>
      <w:marTop w:val="0"/>
      <w:marBottom w:val="0"/>
      <w:divBdr>
        <w:top w:val="none" w:sz="0" w:space="0" w:color="auto"/>
        <w:left w:val="none" w:sz="0" w:space="0" w:color="auto"/>
        <w:bottom w:val="none" w:sz="0" w:space="0" w:color="auto"/>
        <w:right w:val="none" w:sz="0" w:space="0" w:color="auto"/>
      </w:divBdr>
    </w:div>
    <w:div w:id="1811512278">
      <w:bodyDiv w:val="1"/>
      <w:marLeft w:val="0"/>
      <w:marRight w:val="0"/>
      <w:marTop w:val="0"/>
      <w:marBottom w:val="0"/>
      <w:divBdr>
        <w:top w:val="none" w:sz="0" w:space="0" w:color="auto"/>
        <w:left w:val="none" w:sz="0" w:space="0" w:color="auto"/>
        <w:bottom w:val="none" w:sz="0" w:space="0" w:color="auto"/>
        <w:right w:val="none" w:sz="0" w:space="0" w:color="auto"/>
      </w:divBdr>
    </w:div>
    <w:div w:id="181706950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167590">
      <w:bodyDiv w:val="1"/>
      <w:marLeft w:val="0"/>
      <w:marRight w:val="0"/>
      <w:marTop w:val="0"/>
      <w:marBottom w:val="0"/>
      <w:divBdr>
        <w:top w:val="none" w:sz="0" w:space="0" w:color="auto"/>
        <w:left w:val="none" w:sz="0" w:space="0" w:color="auto"/>
        <w:bottom w:val="none" w:sz="0" w:space="0" w:color="auto"/>
        <w:right w:val="none" w:sz="0" w:space="0" w:color="auto"/>
      </w:divBdr>
    </w:div>
    <w:div w:id="1836332826">
      <w:bodyDiv w:val="1"/>
      <w:marLeft w:val="0"/>
      <w:marRight w:val="0"/>
      <w:marTop w:val="0"/>
      <w:marBottom w:val="0"/>
      <w:divBdr>
        <w:top w:val="none" w:sz="0" w:space="0" w:color="auto"/>
        <w:left w:val="none" w:sz="0" w:space="0" w:color="auto"/>
        <w:bottom w:val="none" w:sz="0" w:space="0" w:color="auto"/>
        <w:right w:val="none" w:sz="0" w:space="0" w:color="auto"/>
      </w:divBdr>
    </w:div>
    <w:div w:id="1851875368">
      <w:bodyDiv w:val="1"/>
      <w:marLeft w:val="0"/>
      <w:marRight w:val="0"/>
      <w:marTop w:val="0"/>
      <w:marBottom w:val="0"/>
      <w:divBdr>
        <w:top w:val="none" w:sz="0" w:space="0" w:color="auto"/>
        <w:left w:val="none" w:sz="0" w:space="0" w:color="auto"/>
        <w:bottom w:val="none" w:sz="0" w:space="0" w:color="auto"/>
        <w:right w:val="none" w:sz="0" w:space="0" w:color="auto"/>
      </w:divBdr>
    </w:div>
    <w:div w:id="1853520973">
      <w:bodyDiv w:val="1"/>
      <w:marLeft w:val="0"/>
      <w:marRight w:val="0"/>
      <w:marTop w:val="0"/>
      <w:marBottom w:val="0"/>
      <w:divBdr>
        <w:top w:val="none" w:sz="0" w:space="0" w:color="auto"/>
        <w:left w:val="none" w:sz="0" w:space="0" w:color="auto"/>
        <w:bottom w:val="none" w:sz="0" w:space="0" w:color="auto"/>
        <w:right w:val="none" w:sz="0" w:space="0" w:color="auto"/>
      </w:divBdr>
    </w:div>
    <w:div w:id="1855223252">
      <w:bodyDiv w:val="1"/>
      <w:marLeft w:val="0"/>
      <w:marRight w:val="0"/>
      <w:marTop w:val="0"/>
      <w:marBottom w:val="0"/>
      <w:divBdr>
        <w:top w:val="none" w:sz="0" w:space="0" w:color="auto"/>
        <w:left w:val="none" w:sz="0" w:space="0" w:color="auto"/>
        <w:bottom w:val="none" w:sz="0" w:space="0" w:color="auto"/>
        <w:right w:val="none" w:sz="0" w:space="0" w:color="auto"/>
      </w:divBdr>
    </w:div>
    <w:div w:id="1856650677">
      <w:bodyDiv w:val="1"/>
      <w:marLeft w:val="0"/>
      <w:marRight w:val="0"/>
      <w:marTop w:val="0"/>
      <w:marBottom w:val="0"/>
      <w:divBdr>
        <w:top w:val="none" w:sz="0" w:space="0" w:color="auto"/>
        <w:left w:val="none" w:sz="0" w:space="0" w:color="auto"/>
        <w:bottom w:val="none" w:sz="0" w:space="0" w:color="auto"/>
        <w:right w:val="none" w:sz="0" w:space="0" w:color="auto"/>
      </w:divBdr>
    </w:div>
    <w:div w:id="1861317933">
      <w:bodyDiv w:val="1"/>
      <w:marLeft w:val="0"/>
      <w:marRight w:val="0"/>
      <w:marTop w:val="0"/>
      <w:marBottom w:val="0"/>
      <w:divBdr>
        <w:top w:val="none" w:sz="0" w:space="0" w:color="auto"/>
        <w:left w:val="none" w:sz="0" w:space="0" w:color="auto"/>
        <w:bottom w:val="none" w:sz="0" w:space="0" w:color="auto"/>
        <w:right w:val="none" w:sz="0" w:space="0" w:color="auto"/>
      </w:divBdr>
    </w:div>
    <w:div w:id="1866139148">
      <w:bodyDiv w:val="1"/>
      <w:marLeft w:val="0"/>
      <w:marRight w:val="0"/>
      <w:marTop w:val="0"/>
      <w:marBottom w:val="0"/>
      <w:divBdr>
        <w:top w:val="none" w:sz="0" w:space="0" w:color="auto"/>
        <w:left w:val="none" w:sz="0" w:space="0" w:color="auto"/>
        <w:bottom w:val="none" w:sz="0" w:space="0" w:color="auto"/>
        <w:right w:val="none" w:sz="0" w:space="0" w:color="auto"/>
      </w:divBdr>
    </w:div>
    <w:div w:id="1867938978">
      <w:bodyDiv w:val="1"/>
      <w:marLeft w:val="0"/>
      <w:marRight w:val="0"/>
      <w:marTop w:val="0"/>
      <w:marBottom w:val="0"/>
      <w:divBdr>
        <w:top w:val="none" w:sz="0" w:space="0" w:color="auto"/>
        <w:left w:val="none" w:sz="0" w:space="0" w:color="auto"/>
        <w:bottom w:val="none" w:sz="0" w:space="0" w:color="auto"/>
        <w:right w:val="none" w:sz="0" w:space="0" w:color="auto"/>
      </w:divBdr>
    </w:div>
    <w:div w:id="1868130582">
      <w:bodyDiv w:val="1"/>
      <w:marLeft w:val="0"/>
      <w:marRight w:val="0"/>
      <w:marTop w:val="0"/>
      <w:marBottom w:val="0"/>
      <w:divBdr>
        <w:top w:val="none" w:sz="0" w:space="0" w:color="auto"/>
        <w:left w:val="none" w:sz="0" w:space="0" w:color="auto"/>
        <w:bottom w:val="none" w:sz="0" w:space="0" w:color="auto"/>
        <w:right w:val="none" w:sz="0" w:space="0" w:color="auto"/>
      </w:divBdr>
    </w:div>
    <w:div w:id="1875772991">
      <w:bodyDiv w:val="1"/>
      <w:marLeft w:val="0"/>
      <w:marRight w:val="0"/>
      <w:marTop w:val="0"/>
      <w:marBottom w:val="0"/>
      <w:divBdr>
        <w:top w:val="none" w:sz="0" w:space="0" w:color="auto"/>
        <w:left w:val="none" w:sz="0" w:space="0" w:color="auto"/>
        <w:bottom w:val="none" w:sz="0" w:space="0" w:color="auto"/>
        <w:right w:val="none" w:sz="0" w:space="0" w:color="auto"/>
      </w:divBdr>
    </w:div>
    <w:div w:id="1876313940">
      <w:bodyDiv w:val="1"/>
      <w:marLeft w:val="0"/>
      <w:marRight w:val="0"/>
      <w:marTop w:val="0"/>
      <w:marBottom w:val="0"/>
      <w:divBdr>
        <w:top w:val="none" w:sz="0" w:space="0" w:color="auto"/>
        <w:left w:val="none" w:sz="0" w:space="0" w:color="auto"/>
        <w:bottom w:val="none" w:sz="0" w:space="0" w:color="auto"/>
        <w:right w:val="none" w:sz="0" w:space="0" w:color="auto"/>
      </w:divBdr>
    </w:div>
    <w:div w:id="1876574601">
      <w:bodyDiv w:val="1"/>
      <w:marLeft w:val="0"/>
      <w:marRight w:val="0"/>
      <w:marTop w:val="0"/>
      <w:marBottom w:val="0"/>
      <w:divBdr>
        <w:top w:val="none" w:sz="0" w:space="0" w:color="auto"/>
        <w:left w:val="none" w:sz="0" w:space="0" w:color="auto"/>
        <w:bottom w:val="none" w:sz="0" w:space="0" w:color="auto"/>
        <w:right w:val="none" w:sz="0" w:space="0" w:color="auto"/>
      </w:divBdr>
    </w:div>
    <w:div w:id="1878272812">
      <w:bodyDiv w:val="1"/>
      <w:marLeft w:val="0"/>
      <w:marRight w:val="0"/>
      <w:marTop w:val="0"/>
      <w:marBottom w:val="0"/>
      <w:divBdr>
        <w:top w:val="none" w:sz="0" w:space="0" w:color="auto"/>
        <w:left w:val="none" w:sz="0" w:space="0" w:color="auto"/>
        <w:bottom w:val="none" w:sz="0" w:space="0" w:color="auto"/>
        <w:right w:val="none" w:sz="0" w:space="0" w:color="auto"/>
      </w:divBdr>
    </w:div>
    <w:div w:id="1878734104">
      <w:bodyDiv w:val="1"/>
      <w:marLeft w:val="0"/>
      <w:marRight w:val="0"/>
      <w:marTop w:val="0"/>
      <w:marBottom w:val="0"/>
      <w:divBdr>
        <w:top w:val="none" w:sz="0" w:space="0" w:color="auto"/>
        <w:left w:val="none" w:sz="0" w:space="0" w:color="auto"/>
        <w:bottom w:val="none" w:sz="0" w:space="0" w:color="auto"/>
        <w:right w:val="none" w:sz="0" w:space="0" w:color="auto"/>
      </w:divBdr>
    </w:div>
    <w:div w:id="1881479791">
      <w:bodyDiv w:val="1"/>
      <w:marLeft w:val="0"/>
      <w:marRight w:val="0"/>
      <w:marTop w:val="0"/>
      <w:marBottom w:val="0"/>
      <w:divBdr>
        <w:top w:val="none" w:sz="0" w:space="0" w:color="auto"/>
        <w:left w:val="none" w:sz="0" w:space="0" w:color="auto"/>
        <w:bottom w:val="none" w:sz="0" w:space="0" w:color="auto"/>
        <w:right w:val="none" w:sz="0" w:space="0" w:color="auto"/>
      </w:divBdr>
    </w:div>
    <w:div w:id="1881942309">
      <w:bodyDiv w:val="1"/>
      <w:marLeft w:val="0"/>
      <w:marRight w:val="0"/>
      <w:marTop w:val="0"/>
      <w:marBottom w:val="0"/>
      <w:divBdr>
        <w:top w:val="none" w:sz="0" w:space="0" w:color="auto"/>
        <w:left w:val="none" w:sz="0" w:space="0" w:color="auto"/>
        <w:bottom w:val="none" w:sz="0" w:space="0" w:color="auto"/>
        <w:right w:val="none" w:sz="0" w:space="0" w:color="auto"/>
      </w:divBdr>
    </w:div>
    <w:div w:id="1886061816">
      <w:bodyDiv w:val="1"/>
      <w:marLeft w:val="0"/>
      <w:marRight w:val="0"/>
      <w:marTop w:val="0"/>
      <w:marBottom w:val="0"/>
      <w:divBdr>
        <w:top w:val="none" w:sz="0" w:space="0" w:color="auto"/>
        <w:left w:val="none" w:sz="0" w:space="0" w:color="auto"/>
        <w:bottom w:val="none" w:sz="0" w:space="0" w:color="auto"/>
        <w:right w:val="none" w:sz="0" w:space="0" w:color="auto"/>
      </w:divBdr>
    </w:div>
    <w:div w:id="1889803356">
      <w:bodyDiv w:val="1"/>
      <w:marLeft w:val="0"/>
      <w:marRight w:val="0"/>
      <w:marTop w:val="0"/>
      <w:marBottom w:val="0"/>
      <w:divBdr>
        <w:top w:val="none" w:sz="0" w:space="0" w:color="auto"/>
        <w:left w:val="none" w:sz="0" w:space="0" w:color="auto"/>
        <w:bottom w:val="none" w:sz="0" w:space="0" w:color="auto"/>
        <w:right w:val="none" w:sz="0" w:space="0" w:color="auto"/>
      </w:divBdr>
    </w:div>
    <w:div w:id="1890650961">
      <w:bodyDiv w:val="1"/>
      <w:marLeft w:val="0"/>
      <w:marRight w:val="0"/>
      <w:marTop w:val="0"/>
      <w:marBottom w:val="0"/>
      <w:divBdr>
        <w:top w:val="none" w:sz="0" w:space="0" w:color="auto"/>
        <w:left w:val="none" w:sz="0" w:space="0" w:color="auto"/>
        <w:bottom w:val="none" w:sz="0" w:space="0" w:color="auto"/>
        <w:right w:val="none" w:sz="0" w:space="0" w:color="auto"/>
      </w:divBdr>
    </w:div>
    <w:div w:id="1891767739">
      <w:bodyDiv w:val="1"/>
      <w:marLeft w:val="0"/>
      <w:marRight w:val="0"/>
      <w:marTop w:val="0"/>
      <w:marBottom w:val="0"/>
      <w:divBdr>
        <w:top w:val="none" w:sz="0" w:space="0" w:color="auto"/>
        <w:left w:val="none" w:sz="0" w:space="0" w:color="auto"/>
        <w:bottom w:val="none" w:sz="0" w:space="0" w:color="auto"/>
        <w:right w:val="none" w:sz="0" w:space="0" w:color="auto"/>
      </w:divBdr>
    </w:div>
    <w:div w:id="1892886262">
      <w:bodyDiv w:val="1"/>
      <w:marLeft w:val="0"/>
      <w:marRight w:val="0"/>
      <w:marTop w:val="0"/>
      <w:marBottom w:val="0"/>
      <w:divBdr>
        <w:top w:val="none" w:sz="0" w:space="0" w:color="auto"/>
        <w:left w:val="none" w:sz="0" w:space="0" w:color="auto"/>
        <w:bottom w:val="none" w:sz="0" w:space="0" w:color="auto"/>
        <w:right w:val="none" w:sz="0" w:space="0" w:color="auto"/>
      </w:divBdr>
    </w:div>
    <w:div w:id="1894540900">
      <w:bodyDiv w:val="1"/>
      <w:marLeft w:val="0"/>
      <w:marRight w:val="0"/>
      <w:marTop w:val="0"/>
      <w:marBottom w:val="0"/>
      <w:divBdr>
        <w:top w:val="none" w:sz="0" w:space="0" w:color="auto"/>
        <w:left w:val="none" w:sz="0" w:space="0" w:color="auto"/>
        <w:bottom w:val="none" w:sz="0" w:space="0" w:color="auto"/>
        <w:right w:val="none" w:sz="0" w:space="0" w:color="auto"/>
      </w:divBdr>
    </w:div>
    <w:div w:id="1895656243">
      <w:bodyDiv w:val="1"/>
      <w:marLeft w:val="0"/>
      <w:marRight w:val="0"/>
      <w:marTop w:val="0"/>
      <w:marBottom w:val="0"/>
      <w:divBdr>
        <w:top w:val="none" w:sz="0" w:space="0" w:color="auto"/>
        <w:left w:val="none" w:sz="0" w:space="0" w:color="auto"/>
        <w:bottom w:val="none" w:sz="0" w:space="0" w:color="auto"/>
        <w:right w:val="none" w:sz="0" w:space="0" w:color="auto"/>
      </w:divBdr>
    </w:div>
    <w:div w:id="1903171753">
      <w:bodyDiv w:val="1"/>
      <w:marLeft w:val="0"/>
      <w:marRight w:val="0"/>
      <w:marTop w:val="0"/>
      <w:marBottom w:val="0"/>
      <w:divBdr>
        <w:top w:val="none" w:sz="0" w:space="0" w:color="auto"/>
        <w:left w:val="none" w:sz="0" w:space="0" w:color="auto"/>
        <w:bottom w:val="none" w:sz="0" w:space="0" w:color="auto"/>
        <w:right w:val="none" w:sz="0" w:space="0" w:color="auto"/>
      </w:divBdr>
    </w:div>
    <w:div w:id="1905024319">
      <w:bodyDiv w:val="1"/>
      <w:marLeft w:val="0"/>
      <w:marRight w:val="0"/>
      <w:marTop w:val="0"/>
      <w:marBottom w:val="0"/>
      <w:divBdr>
        <w:top w:val="none" w:sz="0" w:space="0" w:color="auto"/>
        <w:left w:val="none" w:sz="0" w:space="0" w:color="auto"/>
        <w:bottom w:val="none" w:sz="0" w:space="0" w:color="auto"/>
        <w:right w:val="none" w:sz="0" w:space="0" w:color="auto"/>
      </w:divBdr>
    </w:div>
    <w:div w:id="1907759826">
      <w:bodyDiv w:val="1"/>
      <w:marLeft w:val="0"/>
      <w:marRight w:val="0"/>
      <w:marTop w:val="0"/>
      <w:marBottom w:val="0"/>
      <w:divBdr>
        <w:top w:val="none" w:sz="0" w:space="0" w:color="auto"/>
        <w:left w:val="none" w:sz="0" w:space="0" w:color="auto"/>
        <w:bottom w:val="none" w:sz="0" w:space="0" w:color="auto"/>
        <w:right w:val="none" w:sz="0" w:space="0" w:color="auto"/>
      </w:divBdr>
    </w:div>
    <w:div w:id="1907957541">
      <w:bodyDiv w:val="1"/>
      <w:marLeft w:val="0"/>
      <w:marRight w:val="0"/>
      <w:marTop w:val="0"/>
      <w:marBottom w:val="0"/>
      <w:divBdr>
        <w:top w:val="none" w:sz="0" w:space="0" w:color="auto"/>
        <w:left w:val="none" w:sz="0" w:space="0" w:color="auto"/>
        <w:bottom w:val="none" w:sz="0" w:space="0" w:color="auto"/>
        <w:right w:val="none" w:sz="0" w:space="0" w:color="auto"/>
      </w:divBdr>
    </w:div>
    <w:div w:id="1912039643">
      <w:bodyDiv w:val="1"/>
      <w:marLeft w:val="0"/>
      <w:marRight w:val="0"/>
      <w:marTop w:val="0"/>
      <w:marBottom w:val="0"/>
      <w:divBdr>
        <w:top w:val="none" w:sz="0" w:space="0" w:color="auto"/>
        <w:left w:val="none" w:sz="0" w:space="0" w:color="auto"/>
        <w:bottom w:val="none" w:sz="0" w:space="0" w:color="auto"/>
        <w:right w:val="none" w:sz="0" w:space="0" w:color="auto"/>
      </w:divBdr>
    </w:div>
    <w:div w:id="1922058478">
      <w:bodyDiv w:val="1"/>
      <w:marLeft w:val="0"/>
      <w:marRight w:val="0"/>
      <w:marTop w:val="0"/>
      <w:marBottom w:val="0"/>
      <w:divBdr>
        <w:top w:val="none" w:sz="0" w:space="0" w:color="auto"/>
        <w:left w:val="none" w:sz="0" w:space="0" w:color="auto"/>
        <w:bottom w:val="none" w:sz="0" w:space="0" w:color="auto"/>
        <w:right w:val="none" w:sz="0" w:space="0" w:color="auto"/>
      </w:divBdr>
    </w:div>
    <w:div w:id="1922181455">
      <w:bodyDiv w:val="1"/>
      <w:marLeft w:val="0"/>
      <w:marRight w:val="0"/>
      <w:marTop w:val="0"/>
      <w:marBottom w:val="0"/>
      <w:divBdr>
        <w:top w:val="none" w:sz="0" w:space="0" w:color="auto"/>
        <w:left w:val="none" w:sz="0" w:space="0" w:color="auto"/>
        <w:bottom w:val="none" w:sz="0" w:space="0" w:color="auto"/>
        <w:right w:val="none" w:sz="0" w:space="0" w:color="auto"/>
      </w:divBdr>
    </w:div>
    <w:div w:id="1922828887">
      <w:bodyDiv w:val="1"/>
      <w:marLeft w:val="0"/>
      <w:marRight w:val="0"/>
      <w:marTop w:val="0"/>
      <w:marBottom w:val="0"/>
      <w:divBdr>
        <w:top w:val="none" w:sz="0" w:space="0" w:color="auto"/>
        <w:left w:val="none" w:sz="0" w:space="0" w:color="auto"/>
        <w:bottom w:val="none" w:sz="0" w:space="0" w:color="auto"/>
        <w:right w:val="none" w:sz="0" w:space="0" w:color="auto"/>
      </w:divBdr>
    </w:div>
    <w:div w:id="1922837617">
      <w:bodyDiv w:val="1"/>
      <w:marLeft w:val="0"/>
      <w:marRight w:val="0"/>
      <w:marTop w:val="0"/>
      <w:marBottom w:val="0"/>
      <w:divBdr>
        <w:top w:val="none" w:sz="0" w:space="0" w:color="auto"/>
        <w:left w:val="none" w:sz="0" w:space="0" w:color="auto"/>
        <w:bottom w:val="none" w:sz="0" w:space="0" w:color="auto"/>
        <w:right w:val="none" w:sz="0" w:space="0" w:color="auto"/>
      </w:divBdr>
    </w:div>
    <w:div w:id="1932152819">
      <w:bodyDiv w:val="1"/>
      <w:marLeft w:val="0"/>
      <w:marRight w:val="0"/>
      <w:marTop w:val="0"/>
      <w:marBottom w:val="0"/>
      <w:divBdr>
        <w:top w:val="none" w:sz="0" w:space="0" w:color="auto"/>
        <w:left w:val="none" w:sz="0" w:space="0" w:color="auto"/>
        <w:bottom w:val="none" w:sz="0" w:space="0" w:color="auto"/>
        <w:right w:val="none" w:sz="0" w:space="0" w:color="auto"/>
      </w:divBdr>
    </w:div>
    <w:div w:id="1937908105">
      <w:bodyDiv w:val="1"/>
      <w:marLeft w:val="0"/>
      <w:marRight w:val="0"/>
      <w:marTop w:val="0"/>
      <w:marBottom w:val="0"/>
      <w:divBdr>
        <w:top w:val="none" w:sz="0" w:space="0" w:color="auto"/>
        <w:left w:val="none" w:sz="0" w:space="0" w:color="auto"/>
        <w:bottom w:val="none" w:sz="0" w:space="0" w:color="auto"/>
        <w:right w:val="none" w:sz="0" w:space="0" w:color="auto"/>
      </w:divBdr>
    </w:div>
    <w:div w:id="1944222688">
      <w:bodyDiv w:val="1"/>
      <w:marLeft w:val="0"/>
      <w:marRight w:val="0"/>
      <w:marTop w:val="0"/>
      <w:marBottom w:val="0"/>
      <w:divBdr>
        <w:top w:val="none" w:sz="0" w:space="0" w:color="auto"/>
        <w:left w:val="none" w:sz="0" w:space="0" w:color="auto"/>
        <w:bottom w:val="none" w:sz="0" w:space="0" w:color="auto"/>
        <w:right w:val="none" w:sz="0" w:space="0" w:color="auto"/>
      </w:divBdr>
    </w:div>
    <w:div w:id="1944651456">
      <w:bodyDiv w:val="1"/>
      <w:marLeft w:val="0"/>
      <w:marRight w:val="0"/>
      <w:marTop w:val="0"/>
      <w:marBottom w:val="0"/>
      <w:divBdr>
        <w:top w:val="none" w:sz="0" w:space="0" w:color="auto"/>
        <w:left w:val="none" w:sz="0" w:space="0" w:color="auto"/>
        <w:bottom w:val="none" w:sz="0" w:space="0" w:color="auto"/>
        <w:right w:val="none" w:sz="0" w:space="0" w:color="auto"/>
      </w:divBdr>
    </w:div>
    <w:div w:id="1945722644">
      <w:bodyDiv w:val="1"/>
      <w:marLeft w:val="0"/>
      <w:marRight w:val="0"/>
      <w:marTop w:val="0"/>
      <w:marBottom w:val="0"/>
      <w:divBdr>
        <w:top w:val="none" w:sz="0" w:space="0" w:color="auto"/>
        <w:left w:val="none" w:sz="0" w:space="0" w:color="auto"/>
        <w:bottom w:val="none" w:sz="0" w:space="0" w:color="auto"/>
        <w:right w:val="none" w:sz="0" w:space="0" w:color="auto"/>
      </w:divBdr>
    </w:div>
    <w:div w:id="1951276701">
      <w:bodyDiv w:val="1"/>
      <w:marLeft w:val="0"/>
      <w:marRight w:val="0"/>
      <w:marTop w:val="0"/>
      <w:marBottom w:val="0"/>
      <w:divBdr>
        <w:top w:val="none" w:sz="0" w:space="0" w:color="auto"/>
        <w:left w:val="none" w:sz="0" w:space="0" w:color="auto"/>
        <w:bottom w:val="none" w:sz="0" w:space="0" w:color="auto"/>
        <w:right w:val="none" w:sz="0" w:space="0" w:color="auto"/>
      </w:divBdr>
    </w:div>
    <w:div w:id="1955480881">
      <w:bodyDiv w:val="1"/>
      <w:marLeft w:val="0"/>
      <w:marRight w:val="0"/>
      <w:marTop w:val="0"/>
      <w:marBottom w:val="0"/>
      <w:divBdr>
        <w:top w:val="none" w:sz="0" w:space="0" w:color="auto"/>
        <w:left w:val="none" w:sz="0" w:space="0" w:color="auto"/>
        <w:bottom w:val="none" w:sz="0" w:space="0" w:color="auto"/>
        <w:right w:val="none" w:sz="0" w:space="0" w:color="auto"/>
      </w:divBdr>
    </w:div>
    <w:div w:id="1955601339">
      <w:bodyDiv w:val="1"/>
      <w:marLeft w:val="0"/>
      <w:marRight w:val="0"/>
      <w:marTop w:val="0"/>
      <w:marBottom w:val="0"/>
      <w:divBdr>
        <w:top w:val="none" w:sz="0" w:space="0" w:color="auto"/>
        <w:left w:val="none" w:sz="0" w:space="0" w:color="auto"/>
        <w:bottom w:val="none" w:sz="0" w:space="0" w:color="auto"/>
        <w:right w:val="none" w:sz="0" w:space="0" w:color="auto"/>
      </w:divBdr>
    </w:div>
    <w:div w:id="1955863096">
      <w:bodyDiv w:val="1"/>
      <w:marLeft w:val="0"/>
      <w:marRight w:val="0"/>
      <w:marTop w:val="0"/>
      <w:marBottom w:val="0"/>
      <w:divBdr>
        <w:top w:val="none" w:sz="0" w:space="0" w:color="auto"/>
        <w:left w:val="none" w:sz="0" w:space="0" w:color="auto"/>
        <w:bottom w:val="none" w:sz="0" w:space="0" w:color="auto"/>
        <w:right w:val="none" w:sz="0" w:space="0" w:color="auto"/>
      </w:divBdr>
    </w:div>
    <w:div w:id="1956205498">
      <w:bodyDiv w:val="1"/>
      <w:marLeft w:val="0"/>
      <w:marRight w:val="0"/>
      <w:marTop w:val="0"/>
      <w:marBottom w:val="0"/>
      <w:divBdr>
        <w:top w:val="none" w:sz="0" w:space="0" w:color="auto"/>
        <w:left w:val="none" w:sz="0" w:space="0" w:color="auto"/>
        <w:bottom w:val="none" w:sz="0" w:space="0" w:color="auto"/>
        <w:right w:val="none" w:sz="0" w:space="0" w:color="auto"/>
      </w:divBdr>
    </w:div>
    <w:div w:id="1956397871">
      <w:bodyDiv w:val="1"/>
      <w:marLeft w:val="0"/>
      <w:marRight w:val="0"/>
      <w:marTop w:val="0"/>
      <w:marBottom w:val="0"/>
      <w:divBdr>
        <w:top w:val="none" w:sz="0" w:space="0" w:color="auto"/>
        <w:left w:val="none" w:sz="0" w:space="0" w:color="auto"/>
        <w:bottom w:val="none" w:sz="0" w:space="0" w:color="auto"/>
        <w:right w:val="none" w:sz="0" w:space="0" w:color="auto"/>
      </w:divBdr>
    </w:div>
    <w:div w:id="1959992365">
      <w:bodyDiv w:val="1"/>
      <w:marLeft w:val="0"/>
      <w:marRight w:val="0"/>
      <w:marTop w:val="0"/>
      <w:marBottom w:val="0"/>
      <w:divBdr>
        <w:top w:val="none" w:sz="0" w:space="0" w:color="auto"/>
        <w:left w:val="none" w:sz="0" w:space="0" w:color="auto"/>
        <w:bottom w:val="none" w:sz="0" w:space="0" w:color="auto"/>
        <w:right w:val="none" w:sz="0" w:space="0" w:color="auto"/>
      </w:divBdr>
    </w:div>
    <w:div w:id="1965042270">
      <w:bodyDiv w:val="1"/>
      <w:marLeft w:val="0"/>
      <w:marRight w:val="0"/>
      <w:marTop w:val="0"/>
      <w:marBottom w:val="0"/>
      <w:divBdr>
        <w:top w:val="none" w:sz="0" w:space="0" w:color="auto"/>
        <w:left w:val="none" w:sz="0" w:space="0" w:color="auto"/>
        <w:bottom w:val="none" w:sz="0" w:space="0" w:color="auto"/>
        <w:right w:val="none" w:sz="0" w:space="0" w:color="auto"/>
      </w:divBdr>
    </w:div>
    <w:div w:id="1965697135">
      <w:bodyDiv w:val="1"/>
      <w:marLeft w:val="0"/>
      <w:marRight w:val="0"/>
      <w:marTop w:val="0"/>
      <w:marBottom w:val="0"/>
      <w:divBdr>
        <w:top w:val="none" w:sz="0" w:space="0" w:color="auto"/>
        <w:left w:val="none" w:sz="0" w:space="0" w:color="auto"/>
        <w:bottom w:val="none" w:sz="0" w:space="0" w:color="auto"/>
        <w:right w:val="none" w:sz="0" w:space="0" w:color="auto"/>
      </w:divBdr>
    </w:div>
    <w:div w:id="1966812265">
      <w:bodyDiv w:val="1"/>
      <w:marLeft w:val="0"/>
      <w:marRight w:val="0"/>
      <w:marTop w:val="0"/>
      <w:marBottom w:val="0"/>
      <w:divBdr>
        <w:top w:val="none" w:sz="0" w:space="0" w:color="auto"/>
        <w:left w:val="none" w:sz="0" w:space="0" w:color="auto"/>
        <w:bottom w:val="none" w:sz="0" w:space="0" w:color="auto"/>
        <w:right w:val="none" w:sz="0" w:space="0" w:color="auto"/>
      </w:divBdr>
    </w:div>
    <w:div w:id="1968388130">
      <w:bodyDiv w:val="1"/>
      <w:marLeft w:val="0"/>
      <w:marRight w:val="0"/>
      <w:marTop w:val="0"/>
      <w:marBottom w:val="0"/>
      <w:divBdr>
        <w:top w:val="none" w:sz="0" w:space="0" w:color="auto"/>
        <w:left w:val="none" w:sz="0" w:space="0" w:color="auto"/>
        <w:bottom w:val="none" w:sz="0" w:space="0" w:color="auto"/>
        <w:right w:val="none" w:sz="0" w:space="0" w:color="auto"/>
      </w:divBdr>
    </w:div>
    <w:div w:id="1969242335">
      <w:bodyDiv w:val="1"/>
      <w:marLeft w:val="0"/>
      <w:marRight w:val="0"/>
      <w:marTop w:val="0"/>
      <w:marBottom w:val="0"/>
      <w:divBdr>
        <w:top w:val="none" w:sz="0" w:space="0" w:color="auto"/>
        <w:left w:val="none" w:sz="0" w:space="0" w:color="auto"/>
        <w:bottom w:val="none" w:sz="0" w:space="0" w:color="auto"/>
        <w:right w:val="none" w:sz="0" w:space="0" w:color="auto"/>
      </w:divBdr>
    </w:div>
    <w:div w:id="1970551835">
      <w:bodyDiv w:val="1"/>
      <w:marLeft w:val="0"/>
      <w:marRight w:val="0"/>
      <w:marTop w:val="0"/>
      <w:marBottom w:val="0"/>
      <w:divBdr>
        <w:top w:val="none" w:sz="0" w:space="0" w:color="auto"/>
        <w:left w:val="none" w:sz="0" w:space="0" w:color="auto"/>
        <w:bottom w:val="none" w:sz="0" w:space="0" w:color="auto"/>
        <w:right w:val="none" w:sz="0" w:space="0" w:color="auto"/>
      </w:divBdr>
    </w:div>
    <w:div w:id="1970670056">
      <w:bodyDiv w:val="1"/>
      <w:marLeft w:val="0"/>
      <w:marRight w:val="0"/>
      <w:marTop w:val="0"/>
      <w:marBottom w:val="0"/>
      <w:divBdr>
        <w:top w:val="none" w:sz="0" w:space="0" w:color="auto"/>
        <w:left w:val="none" w:sz="0" w:space="0" w:color="auto"/>
        <w:bottom w:val="none" w:sz="0" w:space="0" w:color="auto"/>
        <w:right w:val="none" w:sz="0" w:space="0" w:color="auto"/>
      </w:divBdr>
    </w:div>
    <w:div w:id="1970698638">
      <w:bodyDiv w:val="1"/>
      <w:marLeft w:val="0"/>
      <w:marRight w:val="0"/>
      <w:marTop w:val="0"/>
      <w:marBottom w:val="0"/>
      <w:divBdr>
        <w:top w:val="none" w:sz="0" w:space="0" w:color="auto"/>
        <w:left w:val="none" w:sz="0" w:space="0" w:color="auto"/>
        <w:bottom w:val="none" w:sz="0" w:space="0" w:color="auto"/>
        <w:right w:val="none" w:sz="0" w:space="0" w:color="auto"/>
      </w:divBdr>
    </w:div>
    <w:div w:id="1974093860">
      <w:bodyDiv w:val="1"/>
      <w:marLeft w:val="0"/>
      <w:marRight w:val="0"/>
      <w:marTop w:val="0"/>
      <w:marBottom w:val="0"/>
      <w:divBdr>
        <w:top w:val="none" w:sz="0" w:space="0" w:color="auto"/>
        <w:left w:val="none" w:sz="0" w:space="0" w:color="auto"/>
        <w:bottom w:val="none" w:sz="0" w:space="0" w:color="auto"/>
        <w:right w:val="none" w:sz="0" w:space="0" w:color="auto"/>
      </w:divBdr>
    </w:div>
    <w:div w:id="1974292057">
      <w:bodyDiv w:val="1"/>
      <w:marLeft w:val="0"/>
      <w:marRight w:val="0"/>
      <w:marTop w:val="0"/>
      <w:marBottom w:val="0"/>
      <w:divBdr>
        <w:top w:val="none" w:sz="0" w:space="0" w:color="auto"/>
        <w:left w:val="none" w:sz="0" w:space="0" w:color="auto"/>
        <w:bottom w:val="none" w:sz="0" w:space="0" w:color="auto"/>
        <w:right w:val="none" w:sz="0" w:space="0" w:color="auto"/>
      </w:divBdr>
    </w:div>
    <w:div w:id="1979526203">
      <w:bodyDiv w:val="1"/>
      <w:marLeft w:val="0"/>
      <w:marRight w:val="0"/>
      <w:marTop w:val="0"/>
      <w:marBottom w:val="0"/>
      <w:divBdr>
        <w:top w:val="none" w:sz="0" w:space="0" w:color="auto"/>
        <w:left w:val="none" w:sz="0" w:space="0" w:color="auto"/>
        <w:bottom w:val="none" w:sz="0" w:space="0" w:color="auto"/>
        <w:right w:val="none" w:sz="0" w:space="0" w:color="auto"/>
      </w:divBdr>
    </w:div>
    <w:div w:id="1979916523">
      <w:bodyDiv w:val="1"/>
      <w:marLeft w:val="0"/>
      <w:marRight w:val="0"/>
      <w:marTop w:val="0"/>
      <w:marBottom w:val="0"/>
      <w:divBdr>
        <w:top w:val="none" w:sz="0" w:space="0" w:color="auto"/>
        <w:left w:val="none" w:sz="0" w:space="0" w:color="auto"/>
        <w:bottom w:val="none" w:sz="0" w:space="0" w:color="auto"/>
        <w:right w:val="none" w:sz="0" w:space="0" w:color="auto"/>
      </w:divBdr>
    </w:div>
    <w:div w:id="1983122044">
      <w:bodyDiv w:val="1"/>
      <w:marLeft w:val="0"/>
      <w:marRight w:val="0"/>
      <w:marTop w:val="0"/>
      <w:marBottom w:val="0"/>
      <w:divBdr>
        <w:top w:val="none" w:sz="0" w:space="0" w:color="auto"/>
        <w:left w:val="none" w:sz="0" w:space="0" w:color="auto"/>
        <w:bottom w:val="none" w:sz="0" w:space="0" w:color="auto"/>
        <w:right w:val="none" w:sz="0" w:space="0" w:color="auto"/>
      </w:divBdr>
    </w:div>
    <w:div w:id="1992175989">
      <w:bodyDiv w:val="1"/>
      <w:marLeft w:val="0"/>
      <w:marRight w:val="0"/>
      <w:marTop w:val="0"/>
      <w:marBottom w:val="0"/>
      <w:divBdr>
        <w:top w:val="none" w:sz="0" w:space="0" w:color="auto"/>
        <w:left w:val="none" w:sz="0" w:space="0" w:color="auto"/>
        <w:bottom w:val="none" w:sz="0" w:space="0" w:color="auto"/>
        <w:right w:val="none" w:sz="0" w:space="0" w:color="auto"/>
      </w:divBdr>
    </w:div>
    <w:div w:id="1994094281">
      <w:bodyDiv w:val="1"/>
      <w:marLeft w:val="0"/>
      <w:marRight w:val="0"/>
      <w:marTop w:val="0"/>
      <w:marBottom w:val="0"/>
      <w:divBdr>
        <w:top w:val="none" w:sz="0" w:space="0" w:color="auto"/>
        <w:left w:val="none" w:sz="0" w:space="0" w:color="auto"/>
        <w:bottom w:val="none" w:sz="0" w:space="0" w:color="auto"/>
        <w:right w:val="none" w:sz="0" w:space="0" w:color="auto"/>
      </w:divBdr>
    </w:div>
    <w:div w:id="1997108680">
      <w:bodyDiv w:val="1"/>
      <w:marLeft w:val="0"/>
      <w:marRight w:val="0"/>
      <w:marTop w:val="0"/>
      <w:marBottom w:val="0"/>
      <w:divBdr>
        <w:top w:val="none" w:sz="0" w:space="0" w:color="auto"/>
        <w:left w:val="none" w:sz="0" w:space="0" w:color="auto"/>
        <w:bottom w:val="none" w:sz="0" w:space="0" w:color="auto"/>
        <w:right w:val="none" w:sz="0" w:space="0" w:color="auto"/>
      </w:divBdr>
    </w:div>
    <w:div w:id="2000890335">
      <w:bodyDiv w:val="1"/>
      <w:marLeft w:val="0"/>
      <w:marRight w:val="0"/>
      <w:marTop w:val="0"/>
      <w:marBottom w:val="0"/>
      <w:divBdr>
        <w:top w:val="none" w:sz="0" w:space="0" w:color="auto"/>
        <w:left w:val="none" w:sz="0" w:space="0" w:color="auto"/>
        <w:bottom w:val="none" w:sz="0" w:space="0" w:color="auto"/>
        <w:right w:val="none" w:sz="0" w:space="0" w:color="auto"/>
      </w:divBdr>
    </w:div>
    <w:div w:id="2004310065">
      <w:bodyDiv w:val="1"/>
      <w:marLeft w:val="0"/>
      <w:marRight w:val="0"/>
      <w:marTop w:val="0"/>
      <w:marBottom w:val="0"/>
      <w:divBdr>
        <w:top w:val="none" w:sz="0" w:space="0" w:color="auto"/>
        <w:left w:val="none" w:sz="0" w:space="0" w:color="auto"/>
        <w:bottom w:val="none" w:sz="0" w:space="0" w:color="auto"/>
        <w:right w:val="none" w:sz="0" w:space="0" w:color="auto"/>
      </w:divBdr>
    </w:div>
    <w:div w:id="2004385061">
      <w:bodyDiv w:val="1"/>
      <w:marLeft w:val="0"/>
      <w:marRight w:val="0"/>
      <w:marTop w:val="0"/>
      <w:marBottom w:val="0"/>
      <w:divBdr>
        <w:top w:val="none" w:sz="0" w:space="0" w:color="auto"/>
        <w:left w:val="none" w:sz="0" w:space="0" w:color="auto"/>
        <w:bottom w:val="none" w:sz="0" w:space="0" w:color="auto"/>
        <w:right w:val="none" w:sz="0" w:space="0" w:color="auto"/>
      </w:divBdr>
      <w:divsChild>
        <w:div w:id="777795532">
          <w:marLeft w:val="0"/>
          <w:marRight w:val="0"/>
          <w:marTop w:val="120"/>
          <w:marBottom w:val="60"/>
          <w:divBdr>
            <w:top w:val="none" w:sz="0" w:space="0" w:color="auto"/>
            <w:left w:val="none" w:sz="0" w:space="0" w:color="auto"/>
            <w:bottom w:val="none" w:sz="0" w:space="0" w:color="auto"/>
            <w:right w:val="none" w:sz="0" w:space="0" w:color="auto"/>
          </w:divBdr>
        </w:div>
        <w:div w:id="235827586">
          <w:marLeft w:val="0"/>
          <w:marRight w:val="0"/>
          <w:marTop w:val="120"/>
          <w:marBottom w:val="60"/>
          <w:divBdr>
            <w:top w:val="none" w:sz="0" w:space="0" w:color="auto"/>
            <w:left w:val="none" w:sz="0" w:space="0" w:color="auto"/>
            <w:bottom w:val="none" w:sz="0" w:space="0" w:color="auto"/>
            <w:right w:val="none" w:sz="0" w:space="0" w:color="auto"/>
          </w:divBdr>
        </w:div>
      </w:divsChild>
    </w:div>
    <w:div w:id="2019186541">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433573">
      <w:bodyDiv w:val="1"/>
      <w:marLeft w:val="0"/>
      <w:marRight w:val="0"/>
      <w:marTop w:val="0"/>
      <w:marBottom w:val="0"/>
      <w:divBdr>
        <w:top w:val="none" w:sz="0" w:space="0" w:color="auto"/>
        <w:left w:val="none" w:sz="0" w:space="0" w:color="auto"/>
        <w:bottom w:val="none" w:sz="0" w:space="0" w:color="auto"/>
        <w:right w:val="none" w:sz="0" w:space="0" w:color="auto"/>
      </w:divBdr>
    </w:div>
    <w:div w:id="2025548870">
      <w:bodyDiv w:val="1"/>
      <w:marLeft w:val="0"/>
      <w:marRight w:val="0"/>
      <w:marTop w:val="0"/>
      <w:marBottom w:val="0"/>
      <w:divBdr>
        <w:top w:val="none" w:sz="0" w:space="0" w:color="auto"/>
        <w:left w:val="none" w:sz="0" w:space="0" w:color="auto"/>
        <w:bottom w:val="none" w:sz="0" w:space="0" w:color="auto"/>
        <w:right w:val="none" w:sz="0" w:space="0" w:color="auto"/>
      </w:divBdr>
    </w:div>
    <w:div w:id="2028865353">
      <w:bodyDiv w:val="1"/>
      <w:marLeft w:val="0"/>
      <w:marRight w:val="0"/>
      <w:marTop w:val="0"/>
      <w:marBottom w:val="0"/>
      <w:divBdr>
        <w:top w:val="none" w:sz="0" w:space="0" w:color="auto"/>
        <w:left w:val="none" w:sz="0" w:space="0" w:color="auto"/>
        <w:bottom w:val="none" w:sz="0" w:space="0" w:color="auto"/>
        <w:right w:val="none" w:sz="0" w:space="0" w:color="auto"/>
      </w:divBdr>
    </w:div>
    <w:div w:id="2032605524">
      <w:bodyDiv w:val="1"/>
      <w:marLeft w:val="0"/>
      <w:marRight w:val="0"/>
      <w:marTop w:val="0"/>
      <w:marBottom w:val="0"/>
      <w:divBdr>
        <w:top w:val="none" w:sz="0" w:space="0" w:color="auto"/>
        <w:left w:val="none" w:sz="0" w:space="0" w:color="auto"/>
        <w:bottom w:val="none" w:sz="0" w:space="0" w:color="auto"/>
        <w:right w:val="none" w:sz="0" w:space="0" w:color="auto"/>
      </w:divBdr>
    </w:div>
    <w:div w:id="2037078304">
      <w:bodyDiv w:val="1"/>
      <w:marLeft w:val="0"/>
      <w:marRight w:val="0"/>
      <w:marTop w:val="0"/>
      <w:marBottom w:val="0"/>
      <w:divBdr>
        <w:top w:val="none" w:sz="0" w:space="0" w:color="auto"/>
        <w:left w:val="none" w:sz="0" w:space="0" w:color="auto"/>
        <w:bottom w:val="none" w:sz="0" w:space="0" w:color="auto"/>
        <w:right w:val="none" w:sz="0" w:space="0" w:color="auto"/>
      </w:divBdr>
    </w:div>
    <w:div w:id="2050837571">
      <w:bodyDiv w:val="1"/>
      <w:marLeft w:val="0"/>
      <w:marRight w:val="0"/>
      <w:marTop w:val="0"/>
      <w:marBottom w:val="0"/>
      <w:divBdr>
        <w:top w:val="none" w:sz="0" w:space="0" w:color="auto"/>
        <w:left w:val="none" w:sz="0" w:space="0" w:color="auto"/>
        <w:bottom w:val="none" w:sz="0" w:space="0" w:color="auto"/>
        <w:right w:val="none" w:sz="0" w:space="0" w:color="auto"/>
      </w:divBdr>
    </w:div>
    <w:div w:id="2052998538">
      <w:bodyDiv w:val="1"/>
      <w:marLeft w:val="0"/>
      <w:marRight w:val="0"/>
      <w:marTop w:val="0"/>
      <w:marBottom w:val="0"/>
      <w:divBdr>
        <w:top w:val="none" w:sz="0" w:space="0" w:color="auto"/>
        <w:left w:val="none" w:sz="0" w:space="0" w:color="auto"/>
        <w:bottom w:val="none" w:sz="0" w:space="0" w:color="auto"/>
        <w:right w:val="none" w:sz="0" w:space="0" w:color="auto"/>
      </w:divBdr>
    </w:div>
    <w:div w:id="2059284011">
      <w:bodyDiv w:val="1"/>
      <w:marLeft w:val="0"/>
      <w:marRight w:val="0"/>
      <w:marTop w:val="0"/>
      <w:marBottom w:val="0"/>
      <w:divBdr>
        <w:top w:val="none" w:sz="0" w:space="0" w:color="auto"/>
        <w:left w:val="none" w:sz="0" w:space="0" w:color="auto"/>
        <w:bottom w:val="none" w:sz="0" w:space="0" w:color="auto"/>
        <w:right w:val="none" w:sz="0" w:space="0" w:color="auto"/>
      </w:divBdr>
    </w:div>
    <w:div w:id="2061632638">
      <w:bodyDiv w:val="1"/>
      <w:marLeft w:val="0"/>
      <w:marRight w:val="0"/>
      <w:marTop w:val="0"/>
      <w:marBottom w:val="0"/>
      <w:divBdr>
        <w:top w:val="none" w:sz="0" w:space="0" w:color="auto"/>
        <w:left w:val="none" w:sz="0" w:space="0" w:color="auto"/>
        <w:bottom w:val="none" w:sz="0" w:space="0" w:color="auto"/>
        <w:right w:val="none" w:sz="0" w:space="0" w:color="auto"/>
      </w:divBdr>
    </w:div>
    <w:div w:id="2063598947">
      <w:bodyDiv w:val="1"/>
      <w:marLeft w:val="0"/>
      <w:marRight w:val="0"/>
      <w:marTop w:val="0"/>
      <w:marBottom w:val="0"/>
      <w:divBdr>
        <w:top w:val="none" w:sz="0" w:space="0" w:color="auto"/>
        <w:left w:val="none" w:sz="0" w:space="0" w:color="auto"/>
        <w:bottom w:val="none" w:sz="0" w:space="0" w:color="auto"/>
        <w:right w:val="none" w:sz="0" w:space="0" w:color="auto"/>
      </w:divBdr>
    </w:div>
    <w:div w:id="2067753895">
      <w:bodyDiv w:val="1"/>
      <w:marLeft w:val="0"/>
      <w:marRight w:val="0"/>
      <w:marTop w:val="0"/>
      <w:marBottom w:val="0"/>
      <w:divBdr>
        <w:top w:val="none" w:sz="0" w:space="0" w:color="auto"/>
        <w:left w:val="none" w:sz="0" w:space="0" w:color="auto"/>
        <w:bottom w:val="none" w:sz="0" w:space="0" w:color="auto"/>
        <w:right w:val="none" w:sz="0" w:space="0" w:color="auto"/>
      </w:divBdr>
    </w:div>
    <w:div w:id="2079009389">
      <w:bodyDiv w:val="1"/>
      <w:marLeft w:val="0"/>
      <w:marRight w:val="0"/>
      <w:marTop w:val="0"/>
      <w:marBottom w:val="0"/>
      <w:divBdr>
        <w:top w:val="none" w:sz="0" w:space="0" w:color="auto"/>
        <w:left w:val="none" w:sz="0" w:space="0" w:color="auto"/>
        <w:bottom w:val="none" w:sz="0" w:space="0" w:color="auto"/>
        <w:right w:val="none" w:sz="0" w:space="0" w:color="auto"/>
      </w:divBdr>
    </w:div>
    <w:div w:id="2079017387">
      <w:bodyDiv w:val="1"/>
      <w:marLeft w:val="0"/>
      <w:marRight w:val="0"/>
      <w:marTop w:val="0"/>
      <w:marBottom w:val="0"/>
      <w:divBdr>
        <w:top w:val="none" w:sz="0" w:space="0" w:color="auto"/>
        <w:left w:val="none" w:sz="0" w:space="0" w:color="auto"/>
        <w:bottom w:val="none" w:sz="0" w:space="0" w:color="auto"/>
        <w:right w:val="none" w:sz="0" w:space="0" w:color="auto"/>
      </w:divBdr>
    </w:div>
    <w:div w:id="208505655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467730">
      <w:bodyDiv w:val="1"/>
      <w:marLeft w:val="0"/>
      <w:marRight w:val="0"/>
      <w:marTop w:val="0"/>
      <w:marBottom w:val="0"/>
      <w:divBdr>
        <w:top w:val="none" w:sz="0" w:space="0" w:color="auto"/>
        <w:left w:val="none" w:sz="0" w:space="0" w:color="auto"/>
        <w:bottom w:val="none" w:sz="0" w:space="0" w:color="auto"/>
        <w:right w:val="none" w:sz="0" w:space="0" w:color="auto"/>
      </w:divBdr>
    </w:div>
    <w:div w:id="2091468316">
      <w:bodyDiv w:val="1"/>
      <w:marLeft w:val="0"/>
      <w:marRight w:val="0"/>
      <w:marTop w:val="0"/>
      <w:marBottom w:val="0"/>
      <w:divBdr>
        <w:top w:val="none" w:sz="0" w:space="0" w:color="auto"/>
        <w:left w:val="none" w:sz="0" w:space="0" w:color="auto"/>
        <w:bottom w:val="none" w:sz="0" w:space="0" w:color="auto"/>
        <w:right w:val="none" w:sz="0" w:space="0" w:color="auto"/>
      </w:divBdr>
    </w:div>
    <w:div w:id="2094471407">
      <w:bodyDiv w:val="1"/>
      <w:marLeft w:val="0"/>
      <w:marRight w:val="0"/>
      <w:marTop w:val="0"/>
      <w:marBottom w:val="0"/>
      <w:divBdr>
        <w:top w:val="none" w:sz="0" w:space="0" w:color="auto"/>
        <w:left w:val="none" w:sz="0" w:space="0" w:color="auto"/>
        <w:bottom w:val="none" w:sz="0" w:space="0" w:color="auto"/>
        <w:right w:val="none" w:sz="0" w:space="0" w:color="auto"/>
      </w:divBdr>
    </w:div>
    <w:div w:id="2099212274">
      <w:bodyDiv w:val="1"/>
      <w:marLeft w:val="0"/>
      <w:marRight w:val="0"/>
      <w:marTop w:val="0"/>
      <w:marBottom w:val="0"/>
      <w:divBdr>
        <w:top w:val="none" w:sz="0" w:space="0" w:color="auto"/>
        <w:left w:val="none" w:sz="0" w:space="0" w:color="auto"/>
        <w:bottom w:val="none" w:sz="0" w:space="0" w:color="auto"/>
        <w:right w:val="none" w:sz="0" w:space="0" w:color="auto"/>
      </w:divBdr>
    </w:div>
    <w:div w:id="2102945137">
      <w:bodyDiv w:val="1"/>
      <w:marLeft w:val="0"/>
      <w:marRight w:val="0"/>
      <w:marTop w:val="0"/>
      <w:marBottom w:val="0"/>
      <w:divBdr>
        <w:top w:val="none" w:sz="0" w:space="0" w:color="auto"/>
        <w:left w:val="none" w:sz="0" w:space="0" w:color="auto"/>
        <w:bottom w:val="none" w:sz="0" w:space="0" w:color="auto"/>
        <w:right w:val="none" w:sz="0" w:space="0" w:color="auto"/>
      </w:divBdr>
    </w:div>
    <w:div w:id="2107917828">
      <w:bodyDiv w:val="1"/>
      <w:marLeft w:val="0"/>
      <w:marRight w:val="0"/>
      <w:marTop w:val="0"/>
      <w:marBottom w:val="0"/>
      <w:divBdr>
        <w:top w:val="none" w:sz="0" w:space="0" w:color="auto"/>
        <w:left w:val="none" w:sz="0" w:space="0" w:color="auto"/>
        <w:bottom w:val="none" w:sz="0" w:space="0" w:color="auto"/>
        <w:right w:val="none" w:sz="0" w:space="0" w:color="auto"/>
      </w:divBdr>
    </w:div>
    <w:div w:id="2111050150">
      <w:bodyDiv w:val="1"/>
      <w:marLeft w:val="0"/>
      <w:marRight w:val="0"/>
      <w:marTop w:val="0"/>
      <w:marBottom w:val="0"/>
      <w:divBdr>
        <w:top w:val="none" w:sz="0" w:space="0" w:color="auto"/>
        <w:left w:val="none" w:sz="0" w:space="0" w:color="auto"/>
        <w:bottom w:val="none" w:sz="0" w:space="0" w:color="auto"/>
        <w:right w:val="none" w:sz="0" w:space="0" w:color="auto"/>
      </w:divBdr>
    </w:div>
    <w:div w:id="211284782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474994">
      <w:bodyDiv w:val="1"/>
      <w:marLeft w:val="0"/>
      <w:marRight w:val="0"/>
      <w:marTop w:val="0"/>
      <w:marBottom w:val="0"/>
      <w:divBdr>
        <w:top w:val="none" w:sz="0" w:space="0" w:color="auto"/>
        <w:left w:val="none" w:sz="0" w:space="0" w:color="auto"/>
        <w:bottom w:val="none" w:sz="0" w:space="0" w:color="auto"/>
        <w:right w:val="none" w:sz="0" w:space="0" w:color="auto"/>
      </w:divBdr>
    </w:div>
    <w:div w:id="2124768433">
      <w:bodyDiv w:val="1"/>
      <w:marLeft w:val="0"/>
      <w:marRight w:val="0"/>
      <w:marTop w:val="0"/>
      <w:marBottom w:val="0"/>
      <w:divBdr>
        <w:top w:val="none" w:sz="0" w:space="0" w:color="auto"/>
        <w:left w:val="none" w:sz="0" w:space="0" w:color="auto"/>
        <w:bottom w:val="none" w:sz="0" w:space="0" w:color="auto"/>
        <w:right w:val="none" w:sz="0" w:space="0" w:color="auto"/>
      </w:divBdr>
    </w:div>
    <w:div w:id="2128548158">
      <w:bodyDiv w:val="1"/>
      <w:marLeft w:val="0"/>
      <w:marRight w:val="0"/>
      <w:marTop w:val="0"/>
      <w:marBottom w:val="0"/>
      <w:divBdr>
        <w:top w:val="none" w:sz="0" w:space="0" w:color="auto"/>
        <w:left w:val="none" w:sz="0" w:space="0" w:color="auto"/>
        <w:bottom w:val="none" w:sz="0" w:space="0" w:color="auto"/>
        <w:right w:val="none" w:sz="0" w:space="0" w:color="auto"/>
      </w:divBdr>
    </w:div>
    <w:div w:id="2134787849">
      <w:bodyDiv w:val="1"/>
      <w:marLeft w:val="0"/>
      <w:marRight w:val="0"/>
      <w:marTop w:val="0"/>
      <w:marBottom w:val="0"/>
      <w:divBdr>
        <w:top w:val="none" w:sz="0" w:space="0" w:color="auto"/>
        <w:left w:val="none" w:sz="0" w:space="0" w:color="auto"/>
        <w:bottom w:val="none" w:sz="0" w:space="0" w:color="auto"/>
        <w:right w:val="none" w:sz="0" w:space="0" w:color="auto"/>
      </w:divBdr>
    </w:div>
    <w:div w:id="2138402318">
      <w:bodyDiv w:val="1"/>
      <w:marLeft w:val="0"/>
      <w:marRight w:val="0"/>
      <w:marTop w:val="0"/>
      <w:marBottom w:val="0"/>
      <w:divBdr>
        <w:top w:val="none" w:sz="0" w:space="0" w:color="auto"/>
        <w:left w:val="none" w:sz="0" w:space="0" w:color="auto"/>
        <w:bottom w:val="none" w:sz="0" w:space="0" w:color="auto"/>
        <w:right w:val="none" w:sz="0" w:space="0" w:color="auto"/>
      </w:divBdr>
    </w:div>
    <w:div w:id="2138599805">
      <w:bodyDiv w:val="1"/>
      <w:marLeft w:val="0"/>
      <w:marRight w:val="0"/>
      <w:marTop w:val="0"/>
      <w:marBottom w:val="0"/>
      <w:divBdr>
        <w:top w:val="none" w:sz="0" w:space="0" w:color="auto"/>
        <w:left w:val="none" w:sz="0" w:space="0" w:color="auto"/>
        <w:bottom w:val="none" w:sz="0" w:space="0" w:color="auto"/>
        <w:right w:val="none" w:sz="0" w:space="0" w:color="auto"/>
      </w:divBdr>
    </w:div>
    <w:div w:id="2141535027">
      <w:bodyDiv w:val="1"/>
      <w:marLeft w:val="0"/>
      <w:marRight w:val="0"/>
      <w:marTop w:val="0"/>
      <w:marBottom w:val="0"/>
      <w:divBdr>
        <w:top w:val="none" w:sz="0" w:space="0" w:color="auto"/>
        <w:left w:val="none" w:sz="0" w:space="0" w:color="auto"/>
        <w:bottom w:val="none" w:sz="0" w:space="0" w:color="auto"/>
        <w:right w:val="none" w:sz="0" w:space="0" w:color="auto"/>
      </w:divBdr>
    </w:div>
    <w:div w:id="2144536025">
      <w:bodyDiv w:val="1"/>
      <w:marLeft w:val="0"/>
      <w:marRight w:val="0"/>
      <w:marTop w:val="0"/>
      <w:marBottom w:val="0"/>
      <w:divBdr>
        <w:top w:val="none" w:sz="0" w:space="0" w:color="auto"/>
        <w:left w:val="none" w:sz="0" w:space="0" w:color="auto"/>
        <w:bottom w:val="none" w:sz="0" w:space="0" w:color="auto"/>
        <w:right w:val="none" w:sz="0" w:space="0" w:color="auto"/>
      </w:divBdr>
    </w:div>
    <w:div w:id="2144738092">
      <w:bodyDiv w:val="1"/>
      <w:marLeft w:val="0"/>
      <w:marRight w:val="0"/>
      <w:marTop w:val="0"/>
      <w:marBottom w:val="0"/>
      <w:divBdr>
        <w:top w:val="none" w:sz="0" w:space="0" w:color="auto"/>
        <w:left w:val="none" w:sz="0" w:space="0" w:color="auto"/>
        <w:bottom w:val="none" w:sz="0" w:space="0" w:color="auto"/>
        <w:right w:val="none" w:sz="0" w:space="0" w:color="auto"/>
      </w:divBdr>
    </w:div>
    <w:div w:id="214731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image" Target="media/image2.emf"/><Relationship Id="rId3" Type="http://schemas.openxmlformats.org/officeDocument/2006/relationships/customXml" Target="../customXml/item2.xml"/><Relationship Id="rId21" Type="http://schemas.openxmlformats.org/officeDocument/2006/relationships/hyperlink" Target="https://prodonrgov.sharepoint.com/:w:/r/sites/HOW2Hub/Shared%20Documents/ONR-RD-REF-002%20-%20List%20of%20regulatory%20acronyms,%20abbreviations%20and%20initialisms.docx?d=wd519d2c828714961abac46d1a797e93c&amp;csf=1&amp;web=1&amp;e=5IDF4m" TargetMode="Externa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package" Target="embeddings/Microsoft_Visio_Drawing.vsdx"/><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prodonrgov.sharepoint.com/sites/HOW2Hub/_layouts/15/DocIdRedir.aspx?ID=ONRHH-822789359-2079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92D025F4C96D451D80D5DF02586DC8BC"/>
        <w:category>
          <w:name w:val="General"/>
          <w:gallery w:val="placeholder"/>
        </w:category>
        <w:types>
          <w:type w:val="bbPlcHdr"/>
        </w:types>
        <w:behaviors>
          <w:behavior w:val="content"/>
        </w:behaviors>
        <w:guid w:val="{02C44059-FEDD-4016-B4E0-129D220E1DA1}"/>
      </w:docPartPr>
      <w:docPartBody>
        <w:p w:rsidR="004673F4" w:rsidRDefault="004673F4" w:rsidP="004673F4">
          <w:pPr>
            <w:pStyle w:val="92D025F4C96D451D80D5DF02586DC8BC"/>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568"/>
    <w:rsid w:val="00017B38"/>
    <w:rsid w:val="00023A31"/>
    <w:rsid w:val="00044A9F"/>
    <w:rsid w:val="00045CCA"/>
    <w:rsid w:val="000614BE"/>
    <w:rsid w:val="000678E8"/>
    <w:rsid w:val="000849C6"/>
    <w:rsid w:val="000A0C3B"/>
    <w:rsid w:val="000A6E9A"/>
    <w:rsid w:val="000C101B"/>
    <w:rsid w:val="000C4B1D"/>
    <w:rsid w:val="000C5EC0"/>
    <w:rsid w:val="000C7F02"/>
    <w:rsid w:val="00112B8B"/>
    <w:rsid w:val="001516F2"/>
    <w:rsid w:val="00164351"/>
    <w:rsid w:val="001B2040"/>
    <w:rsid w:val="001C24D6"/>
    <w:rsid w:val="001D7EC2"/>
    <w:rsid w:val="002255BB"/>
    <w:rsid w:val="002413EF"/>
    <w:rsid w:val="002550FD"/>
    <w:rsid w:val="002D0B1E"/>
    <w:rsid w:val="002E6D99"/>
    <w:rsid w:val="003000DA"/>
    <w:rsid w:val="00307ACD"/>
    <w:rsid w:val="00350199"/>
    <w:rsid w:val="00361E29"/>
    <w:rsid w:val="00363582"/>
    <w:rsid w:val="003770B6"/>
    <w:rsid w:val="00386999"/>
    <w:rsid w:val="003C6E90"/>
    <w:rsid w:val="00402155"/>
    <w:rsid w:val="00434819"/>
    <w:rsid w:val="00452184"/>
    <w:rsid w:val="004673F4"/>
    <w:rsid w:val="00467AB1"/>
    <w:rsid w:val="00476762"/>
    <w:rsid w:val="004904DB"/>
    <w:rsid w:val="004A5049"/>
    <w:rsid w:val="004A688A"/>
    <w:rsid w:val="005444F9"/>
    <w:rsid w:val="00552A1F"/>
    <w:rsid w:val="0058398F"/>
    <w:rsid w:val="005A7B11"/>
    <w:rsid w:val="005B3C0D"/>
    <w:rsid w:val="005D20AD"/>
    <w:rsid w:val="005F7CCD"/>
    <w:rsid w:val="00653A98"/>
    <w:rsid w:val="00675833"/>
    <w:rsid w:val="006A0A5D"/>
    <w:rsid w:val="006A0DF6"/>
    <w:rsid w:val="006A4723"/>
    <w:rsid w:val="006B3305"/>
    <w:rsid w:val="006D74FE"/>
    <w:rsid w:val="007154C5"/>
    <w:rsid w:val="00716C54"/>
    <w:rsid w:val="00720C7D"/>
    <w:rsid w:val="0077519B"/>
    <w:rsid w:val="00780C80"/>
    <w:rsid w:val="00797DA4"/>
    <w:rsid w:val="007C297E"/>
    <w:rsid w:val="007C7027"/>
    <w:rsid w:val="007D3804"/>
    <w:rsid w:val="00802986"/>
    <w:rsid w:val="00812FF0"/>
    <w:rsid w:val="00822E9B"/>
    <w:rsid w:val="00835E07"/>
    <w:rsid w:val="00855BDE"/>
    <w:rsid w:val="00861725"/>
    <w:rsid w:val="0088375E"/>
    <w:rsid w:val="008955F7"/>
    <w:rsid w:val="008B6D7C"/>
    <w:rsid w:val="008D6DD2"/>
    <w:rsid w:val="00964ED4"/>
    <w:rsid w:val="009A3364"/>
    <w:rsid w:val="009B207B"/>
    <w:rsid w:val="009C259E"/>
    <w:rsid w:val="00A009D4"/>
    <w:rsid w:val="00A17131"/>
    <w:rsid w:val="00A23E2E"/>
    <w:rsid w:val="00A657D0"/>
    <w:rsid w:val="00A71956"/>
    <w:rsid w:val="00AA2229"/>
    <w:rsid w:val="00AB453E"/>
    <w:rsid w:val="00AD2ECD"/>
    <w:rsid w:val="00AD7D69"/>
    <w:rsid w:val="00B01756"/>
    <w:rsid w:val="00B76FAC"/>
    <w:rsid w:val="00B91FCF"/>
    <w:rsid w:val="00C01AEE"/>
    <w:rsid w:val="00C90A2F"/>
    <w:rsid w:val="00CA10A9"/>
    <w:rsid w:val="00CB6B62"/>
    <w:rsid w:val="00CD10A9"/>
    <w:rsid w:val="00CF3818"/>
    <w:rsid w:val="00CF7388"/>
    <w:rsid w:val="00D041DC"/>
    <w:rsid w:val="00D50189"/>
    <w:rsid w:val="00D52AC2"/>
    <w:rsid w:val="00D86584"/>
    <w:rsid w:val="00DA1FC2"/>
    <w:rsid w:val="00DB4022"/>
    <w:rsid w:val="00DC3535"/>
    <w:rsid w:val="00DD7BA4"/>
    <w:rsid w:val="00DF2018"/>
    <w:rsid w:val="00E24D23"/>
    <w:rsid w:val="00E318CE"/>
    <w:rsid w:val="00E45797"/>
    <w:rsid w:val="00E62E61"/>
    <w:rsid w:val="00E646E1"/>
    <w:rsid w:val="00E8700A"/>
    <w:rsid w:val="00E9389E"/>
    <w:rsid w:val="00EE55D6"/>
    <w:rsid w:val="00EF0B02"/>
    <w:rsid w:val="00F32423"/>
    <w:rsid w:val="00F51C81"/>
    <w:rsid w:val="00F74402"/>
    <w:rsid w:val="00FB31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92D025F4C96D451D80D5DF02586DC8BC">
    <w:name w:val="92D025F4C96D451D80D5DF02586DC8BC"/>
    <w:rsid w:val="004673F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Hea01</b:Tag>
    <b:SourceType>DocumentFromInternetSite</b:SourceType>
    <b:Guid>{D3D35ED6-862B-4225-928F-3B00CEF0FE2F}</b:Guid>
    <b:LCID>en-GB</b:LCID>
    <b:Author>
      <b:Author>
        <b:Corporate>Health and Safety Executive (HSE)</b:Corporate>
      </b:Author>
    </b:Author>
    <b:Title>Reduce Risk and Protecting People (R2P2)</b:Title>
    <b:Year>2001</b:Year>
    <b:URL>https://www.hse.gov.uk/managing/theory/r2p2.pdf</b:URL>
    <b:RefOrder>13</b:RefOrder>
  </b:Source>
  <b:Source>
    <b:Tag>IAE06</b:Tag>
    <b:SourceType>DocumentFromInternetSite</b:SourceType>
    <b:Guid>{FB6ADC7C-DB88-4F11-84E5-6C7E8C2E6201}</b:Guid>
    <b:LCID>en-GB</b:LCID>
    <b:Author>
      <b:Author>
        <b:Corporate>IAEA</b:Corporate>
      </b:Author>
    </b:Author>
    <b:Title>Fundamental Safety Principles: Safety Fundamentals No. SF-1</b:Title>
    <b:Year>2006</b:Year>
    <b:URL>http://www-pub.iaea.org/MTCD/publications/PDF/Pub1273_web.pdf</b:URL>
    <b:RefOrder>8</b:RefOrder>
  </b:Source>
  <b:Source>
    <b:Tag>IAE1</b:Tag>
    <b:SourceType>DocumentFromInternetSite</b:SourceType>
    <b:Guid>{E6224280-F56D-46C3-B89F-FEE6BDC191F8}</b:Guid>
    <b:Author>
      <b:Author>
        <b:Corporate>IAEA</b:Corporate>
      </b:Author>
    </b:Author>
    <b:Title>IAEA Safety Standards</b:Title>
    <b:URL>https://www.iaea.org/resources/safety-standards/search</b:URL>
    <b:RefOrder>5</b:RefOrder>
  </b:Source>
  <b:Source>
    <b:Tag>WEN</b:Tag>
    <b:SourceType>DocumentFromInternetSite</b:SourceType>
    <b:Guid>{7A831F7C-AE46-49D4-A500-1D1EE7EB1E38}</b:Guid>
    <b:Author>
      <b:Author>
        <b:Corporate>WENRA</b:Corporate>
      </b:Author>
    </b:Author>
    <b:Title>WENRA publications</b:Title>
    <b:URL>https://www.wenra.eu/publications</b:URL>
    <b:RefOrder>6</b:RefOrder>
  </b:Source>
  <b:Source>
    <b:Tag>HSE92</b:Tag>
    <b:SourceType>Report</b:SourceType>
    <b:Guid>{D8D91D43-C47C-4F57-83CA-643350726A02}</b:Guid>
    <b:Author>
      <b:Author>
        <b:Corporate>HSE</b:Corporate>
      </b:Author>
    </b:Author>
    <b:Title>The Tolerability of Risk From Nuclear Power Stations</b:Title>
    <b:Year>1992</b:Year>
    <b:City>https://www.onr.org.uk/documents/tolerability.pdf</b:City>
    <b:RefOrder>12</b:RefOrder>
  </b:Source>
  <b:Source>
    <b:Tag>HSE01</b:Tag>
    <b:SourceType>DocumentFromInternetSite</b:SourceType>
    <b:Guid>{8A7C704F-74CE-4D85-96C6-17C2E1A44151}</b:Guid>
    <b:Author>
      <b:Author>
        <b:Corporate>HSE</b:Corporate>
      </b:Author>
    </b:Author>
    <b:Title>Reduce Risk and Protecting People (R2P2)</b:Title>
    <b:Year>2001</b:Year>
    <b:URL>https://www.hse.gov.uk/managing/theory/r2p2.pdf</b:URL>
    <b:RefOrder>14</b:RefOrder>
  </b:Source>
  <b:Source>
    <b:Tag>HSE</b:Tag>
    <b:SourceType>DocumentFromInternetSite</b:SourceType>
    <b:Guid>{647C3434-14EB-4B7A-9D95-B9FAA78A5B72}</b:Guid>
    <b:Author>
      <b:Author>
        <b:Corporate>HSE</b:Corporate>
      </b:Author>
    </b:Author>
    <b:Title>ALARP suite of guidance</b:Title>
    <b:URL>https://www.hse.gov.uk/managing/theory/index.htm</b:URL>
    <b:RefOrder>16</b:RefOrder>
  </b:Source>
  <b:Source>
    <b:Tag>ONR3</b:Tag>
    <b:SourceType>DocumentFromInternetSite</b:SourceType>
    <b:Guid>{B123893B-4AFA-4C89-B7C7-EF3C4613FB51}</b:Guid>
    <b:Author>
      <b:Author>
        <b:Corporate>ONR</b:Corporate>
      </b:Author>
    </b:Author>
    <b:Title>NS-INSP-GD-074 - Construction (Design and Management) Regulations</b:Title>
    <b:URL>Available via the ONR website.</b:URL>
    <b:RefOrder>9</b:RefOrder>
  </b:Source>
  <b:Source>
    <b:Tag>ONR4</b:Tag>
    <b:SourceType>DocumentFromInternetSite</b:SourceType>
    <b:Guid>{2ED42EFA-58E6-4197-BC4A-DA5F5033B84A}</b:Guid>
    <b:Author>
      <b:Author>
        <b:Corporate>ONR</b:Corporate>
      </b:Author>
    </b:Author>
    <b:Title>NS-TAST-GD-050 - Periodic Safety Reviews (PSRs)</b:Title>
    <b:URL>Available via the ONR website.</b:URL>
    <b:RefOrder>10</b:RefOrder>
  </b:Source>
  <b:Source>
    <b:Tag>ONR5</b:Tag>
    <b:SourceType>DocumentFromInternetSite</b:SourceType>
    <b:Guid>{85D832DD-BE8C-4231-8AF6-92FC8B2BB3CD}</b:Guid>
    <b:Author>
      <b:Author>
        <b:Corporate>ONR</b:Corporate>
      </b:Author>
    </b:Author>
    <b:Title>ONR-GEN-GD-018 - So Far As Is Reasonably Practicable (SFAIRP)</b:Title>
    <b:URL>Available via the ONR website.</b:URL>
    <b:RefOrder>11</b:RefOrder>
  </b:Source>
  <b:Source>
    <b:Tag>ONR24</b:Tag>
    <b:SourceType>DocumentFromInternetSite</b:SourceType>
    <b:Guid>{CDADFF84-5E35-4C3E-8D41-224621F43213}</b:Guid>
    <b:Author>
      <b:Author>
        <b:Corporate>ONR</b:Corporate>
      </b:Author>
    </b:Author>
    <b:Title>ONR-RD-FW-001 - Risk-informed regulatory decision making (RIRDM)</b:Title>
    <b:Year>2024</b:Year>
    <b:URL>Available via the ONR website.</b:URL>
    <b:RefOrder>3</b:RefOrder>
  </b:Source>
  <b:Source>
    <b:Tag>ONR6</b:Tag>
    <b:SourceType>DocumentFromInternetSite</b:SourceType>
    <b:Guid>{65A614EB-8075-4B4B-93C7-262050EC1CDA}</b:Guid>
    <b:Author>
      <b:Author>
        <b:Corporate>ONR</b:Corporate>
      </b:Author>
    </b:Author>
    <b:Title>ONR-RD-POL-002 – Risk Informed &amp; Targeted Engagements (RITE)</b:Title>
    <b:URL>Available via the ONR website.</b:URL>
    <b:RefOrder>15</b:RefOrder>
  </b:Source>
  <b:Source>
    <b:Tag>ONR2</b:Tag>
    <b:SourceType>DocumentFromInternetSite</b:SourceType>
    <b:Guid>{9CE50D62-0F12-47F2-9E6C-EB78CFBDD6B4}</b:Guid>
    <b:Author>
      <b:Author>
        <b:Corporate>ONR</b:Corporate>
      </b:Author>
    </b:Author>
    <b:Title>ONR-RD-REF-001 - An introduction to ONR’s technical assessment and inspection guides</b:Title>
    <b:URL>Available via the ONR website.</b:URL>
    <b:RefOrder>2</b:RefOrder>
  </b:Source>
  <b:Source>
    <b:Tag>ONR548</b:Tag>
    <b:SourceType>DocumentFromInternetSite</b:SourceType>
    <b:Guid>{B7F2D479-1A09-4076-85E6-28C2D99A4857}</b:Guid>
    <b:Author>
      <b:Author>
        <b:Corporate>ONR</b:Corporate>
      </b:Author>
    </b:Author>
    <b:Title>ONR-RD-REF-002 - List of regulatory acronyms, abbreviations and initialisms</b:Title>
    <b:URL>Available via the ONR website.</b:URL>
    <b:RefOrder>17</b:RefOrder>
  </b:Source>
  <b:Source>
    <b:Tag>ONR1</b:Tag>
    <b:SourceType>DocumentFromInternetSite</b:SourceType>
    <b:Guid>{ECD6C1B2-29CC-4111-A33F-2124AF0257CD}</b:Guid>
    <b:Author>
      <b:Author>
        <b:Corporate>ONR</b:Corporate>
      </b:Author>
    </b:Author>
    <b:Title>Safety Assessment Principles (SAPs) for Nuclear Facilities - 2014 Edition (Revision 1)</b:Title>
    <b:Month>January</b:Month>
    <b:Day>2020</b:Day>
    <b:URL>Available via the ONR website.</b:URL>
    <b:RefOrder>1</b:RefOrder>
  </b:Source>
  <b:Source>
    <b:Tag>ONR231</b:Tag>
    <b:SourceType>DocumentFromInternetSite</b:SourceType>
    <b:Guid>{652C2C7F-FC32-4456-832E-A6EC59932373}</b:Guid>
    <b:Author>
      <b:Author>
        <b:Corporate>ONR</b:Corporate>
      </b:Author>
    </b:Author>
    <b:Title>Strategy for the Regulation of Replication on Sizewell C</b:Title>
    <b:Year>2023</b:Year>
    <b:URL>Available internally to ONR staff via CM9 (Record ref.: 2023/11377)</b:URL>
    <b:RefOrder>7</b:RefOrder>
  </b:Source>
  <b:Source>
    <b:Tag>ONR2021</b:Tag>
    <b:SourceType>DocumentFromInternetSite</b:SourceType>
    <b:Guid>{E618D12A-43B6-4C37-BF51-6E39E658A761}</b:Guid>
    <b:Author>
      <b:Author>
        <b:Corporate>ONR</b:Corporate>
      </b:Author>
    </b:Author>
    <b:Title>Licensing Nuclear Installations</b:Title>
    <b:Year>2021</b:Year>
    <b:URL>Available via the ONR website.</b:URL>
    <b:RefOrder>4</b:RefOrder>
  </b:Source>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fd2834adb9900770fd8ac47e48982e59">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3aaa22ad247f61109098272a7d3b050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Regulator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Development of Regulations and Guides"/>
              <xsd:enumeration value="HoR - Emergency Preparedness and Response"/>
              <xsd:enumeration value="HoR - Research and Development"/>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R - Regulatory Development"/>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Legal Cell Lead"/>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2E9388-D12A-4F76-BE00-DC8D8E6AF2BD}">
  <ds:schemaRefs>
    <ds:schemaRef ds:uri="http://schemas.microsoft.com/sharepoint/events"/>
  </ds:schemaRefs>
</ds:datastoreItem>
</file>

<file path=customXml/itemProps3.xml><?xml version="1.0" encoding="utf-8"?>
<ds:datastoreItem xmlns:ds="http://schemas.openxmlformats.org/officeDocument/2006/customXml" ds:itemID="{65D46537-412F-4FEF-B1CD-1C11476A4BBA}">
  <ds:schemaRefs>
    <ds:schemaRef ds:uri="Microsoft.SharePoint.Taxonomy.ContentTypeSync"/>
  </ds:schemaRefs>
</ds:datastoreItem>
</file>

<file path=customXml/itemProps4.xml><?xml version="1.0" encoding="utf-8"?>
<ds:datastoreItem xmlns:ds="http://schemas.openxmlformats.org/officeDocument/2006/customXml" ds:itemID="{44FEC0C1-B9E0-4812-A54A-EE3A2C445A2F}">
  <ds:schemaRefs>
    <ds:schemaRef ds:uri="http://schemas.microsoft.com/office/2006/documentManagement/types"/>
    <ds:schemaRef ds:uri="http://purl.org/dc/dcmitype/"/>
    <ds:schemaRef ds:uri="05350e14-297a-489c-ad04-faf6563b232c"/>
    <ds:schemaRef ds:uri="http://purl.org/dc/terms/"/>
    <ds:schemaRef ds:uri="http://purl.org/dc/elements/1.1/"/>
    <ds:schemaRef ds:uri="http://schemas.microsoft.com/office/2006/metadata/properties"/>
    <ds:schemaRef ds:uri="http://www.w3.org/XML/1998/namespace"/>
    <ds:schemaRef ds:uri="fbd4c4c3-96d4-4265-b68e-6a383a5dca66"/>
    <ds:schemaRef ds:uri="http://schemas.microsoft.com/office/infopath/2007/PartnerControls"/>
    <ds:schemaRef ds:uri="http://schemas.openxmlformats.org/package/2006/metadata/core-properties"/>
    <ds:schemaRef ds:uri="8c4e2855-9588-4bc9-9890-af639bd565eb"/>
  </ds:schemaRefs>
</ds:datastoreItem>
</file>

<file path=customXml/itemProps5.xml><?xml version="1.0" encoding="utf-8"?>
<ds:datastoreItem xmlns:ds="http://schemas.openxmlformats.org/officeDocument/2006/customXml" ds:itemID="{75527ECF-1D94-4834-98E8-A5826710F94D}">
  <ds:schemaRefs>
    <ds:schemaRef ds:uri="http://schemas.openxmlformats.org/officeDocument/2006/bibliography"/>
  </ds:schemaRefs>
</ds:datastoreItem>
</file>

<file path=customXml/itemProps6.xml><?xml version="1.0" encoding="utf-8"?>
<ds:datastoreItem xmlns:ds="http://schemas.openxmlformats.org/officeDocument/2006/customXml" ds:itemID="{4F559EFA-18AA-4171-B0F2-D7CFF08A96A3}">
  <ds:schemaRefs>
    <ds:schemaRef ds:uri="http://schemas.microsoft.com/sharepoint/v3/contenttype/forms"/>
  </ds:schemaRefs>
</ds:datastoreItem>
</file>

<file path=customXml/itemProps7.xml><?xml version="1.0" encoding="utf-8"?>
<ds:datastoreItem xmlns:ds="http://schemas.openxmlformats.org/officeDocument/2006/customXml" ds:itemID="{84651ED1-AA5E-4CE2-B0DB-B0A7D4E37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28</Pages>
  <Words>6700</Words>
  <Characters>38194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Regulating duties to reduce risks to ALARP</vt:lpstr>
    </vt:vector>
  </TitlesOfParts>
  <Manager>Office for Nuclear Regulation</Manager>
  <Company>Office for Nuclear Regulation</Company>
  <LinksUpToDate>false</LinksUpToDate>
  <CharactersWithSpaces>44805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Regulating duties to reduce risks to ALARP</dc:title>
  <dc:subject>[Subtitle or description]</dc:subject>
  <dc:creator>Linda Beckett</dc:creator>
  <cp:keywords>[Key words separated by commas]</cp:keywords>
  <dc:description/>
  <cp:lastModifiedBy>Linda Beckett</cp:lastModifiedBy>
  <cp:revision>2</cp:revision>
  <cp:lastPrinted>2025-09-17T07:29:00Z</cp:lastPrinted>
  <dcterms:created xsi:type="dcterms:W3CDTF">2025-12-01T15:04:00Z</dcterms:created>
  <dcterms:modified xsi:type="dcterms:W3CDTF">2025-12-01T15:04:00Z</dcterms:modified>
  <cp:contentStatus>12.3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