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6D1B7A" w14:paraId="6C65111E" w14:textId="77777777" w:rsidTr="00881B6F">
        <w:trPr>
          <w:trHeight w:val="1162"/>
        </w:trPr>
        <w:tc>
          <w:tcPr>
            <w:tcW w:w="9156" w:type="dxa"/>
            <w:tcBorders>
              <w:bottom w:val="single" w:sz="24" w:space="0" w:color="22413A"/>
            </w:tcBorders>
          </w:tcPr>
          <w:p w14:paraId="35C1F1C6" w14:textId="2BD8E08C" w:rsidR="00C20562" w:rsidRPr="006D1B7A" w:rsidRDefault="00262D5D" w:rsidP="00323E71">
            <w:bookmarkStart w:id="0" w:name="_Toc466022543"/>
            <w:r>
              <w:t xml:space="preserve"> </w:t>
            </w:r>
          </w:p>
        </w:tc>
      </w:tr>
      <w:tr w:rsidR="00D0226A" w:rsidRPr="006D1B7A"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382C5D2" w:rsidR="00595C8C" w:rsidRPr="006D1B7A" w:rsidRDefault="00595C8C" w:rsidP="00B51C81">
            <w:pPr>
              <w:pStyle w:val="InnerCoverTitle"/>
              <w:spacing w:before="120" w:after="120"/>
              <w:rPr>
                <w:sz w:val="36"/>
                <w:szCs w:val="36"/>
              </w:rPr>
            </w:pPr>
            <w:r w:rsidRPr="006D1B7A">
              <w:rPr>
                <w:sz w:val="36"/>
                <w:szCs w:val="36"/>
              </w:rPr>
              <w:t xml:space="preserve">ONR </w:t>
            </w:r>
            <w:r w:rsidR="0016303C">
              <w:rPr>
                <w:sz w:val="36"/>
                <w:szCs w:val="36"/>
              </w:rPr>
              <w:t>Guidance</w:t>
            </w:r>
          </w:p>
          <w:sdt>
            <w:sdtPr>
              <w:rPr>
                <w:sz w:val="56"/>
                <w:szCs w:val="56"/>
              </w:rPr>
              <w:id w:val="1228188510"/>
              <w:placeholder>
                <w:docPart w:val="DefaultPlaceholder_-1854013440"/>
              </w:placeholder>
            </w:sdtPr>
            <w:sdtEndPr/>
            <w:sdtContent>
              <w:p w14:paraId="7C4EA414" w14:textId="37341E0F" w:rsidR="00D0226A" w:rsidRPr="006D1B7A" w:rsidRDefault="003F6C3E" w:rsidP="001E03E1">
                <w:pPr>
                  <w:pStyle w:val="CoverTitle"/>
                  <w:rPr>
                    <w:sz w:val="56"/>
                    <w:szCs w:val="56"/>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F2759" w:rsidRPr="006D1B7A">
                      <w:rPr>
                        <w:sz w:val="56"/>
                        <w:szCs w:val="56"/>
                      </w:rPr>
                      <w:t>Enforcement Management Model (EMM)</w:t>
                    </w:r>
                  </w:sdtContent>
                </w:sdt>
              </w:p>
            </w:sdtContent>
          </w:sdt>
        </w:tc>
      </w:tr>
    </w:tbl>
    <w:p w14:paraId="56A09D10" w14:textId="77777777" w:rsidR="00D0226A" w:rsidRPr="006D1B7A" w:rsidRDefault="00D0226A">
      <w:pPr>
        <w:spacing w:after="0"/>
      </w:pPr>
    </w:p>
    <w:p w14:paraId="6AB6425B" w14:textId="77777777" w:rsidR="00D0226A" w:rsidRPr="006D1B7A" w:rsidRDefault="00881B6F">
      <w:pPr>
        <w:spacing w:after="0"/>
      </w:pPr>
      <w:r w:rsidRPr="006D1B7A">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6D1B7A" w:rsidRDefault="00267815">
      <w:pPr>
        <w:spacing w:after="0"/>
      </w:pPr>
      <w:r w:rsidRPr="006D1B7A">
        <w:br w:type="page"/>
      </w:r>
    </w:p>
    <w:p w14:paraId="1FDB4B56" w14:textId="6C10B266" w:rsidR="00595C8C" w:rsidRPr="006D1B7A" w:rsidRDefault="00595C8C" w:rsidP="00323E71">
      <w:pPr>
        <w:sectPr w:rsidR="00595C8C" w:rsidRPr="006D1B7A" w:rsidSect="001A677D">
          <w:headerReference w:type="default" r:id="rId16"/>
          <w:footerReference w:type="default" r:id="rId17"/>
          <w:headerReference w:type="first" r:id="rId18"/>
          <w:footerReference w:type="first" r:id="rId19"/>
          <w:type w:val="continuous"/>
          <w:pgSz w:w="11906" w:h="16838" w:code="9"/>
          <w:pgMar w:top="1440" w:right="1440" w:bottom="1440" w:left="1440" w:header="397" w:footer="397" w:gutter="0"/>
          <w:cols w:space="312"/>
          <w:titlePg/>
          <w:docGrid w:linePitch="360"/>
        </w:sectPr>
      </w:pPr>
    </w:p>
    <w:p w14:paraId="3AE5EE98" w14:textId="77777777" w:rsidR="00267815" w:rsidRPr="006D1B7A" w:rsidRDefault="00267815" w:rsidP="00EE0C77">
      <w:pPr>
        <w:pStyle w:val="ContentsHeading"/>
      </w:pPr>
      <w:r w:rsidRPr="006D1B7A">
        <w:lastRenderedPageBreak/>
        <w:t>Contents</w:t>
      </w:r>
    </w:p>
    <w:p w14:paraId="65365691" w14:textId="76253066" w:rsidR="0016630A" w:rsidRDefault="00886D17">
      <w:pPr>
        <w:pStyle w:val="TOC1"/>
        <w:tabs>
          <w:tab w:val="left" w:pos="720"/>
        </w:tabs>
        <w:rPr>
          <w:rFonts w:asciiTheme="minorHAnsi" w:eastAsiaTheme="minorEastAsia" w:hAnsiTheme="minorHAnsi" w:cstheme="minorBidi"/>
          <w:kern w:val="2"/>
          <w:szCs w:val="24"/>
          <w:lang w:eastAsia="en-GB" w:bidi="ar-SA"/>
          <w14:ligatures w14:val="standardContextual"/>
        </w:rPr>
      </w:pPr>
      <w:r w:rsidRPr="006D1B7A">
        <w:rPr>
          <w:noProof w:val="0"/>
        </w:rPr>
        <w:fldChar w:fldCharType="begin"/>
      </w:r>
      <w:r w:rsidRPr="006D1B7A">
        <w:rPr>
          <w:noProof w:val="0"/>
        </w:rPr>
        <w:instrText xml:space="preserve"> TOC \o "2-2" \h \z \t "Heading 1,1" </w:instrText>
      </w:r>
      <w:r w:rsidRPr="006D1B7A">
        <w:rPr>
          <w:noProof w:val="0"/>
        </w:rPr>
        <w:fldChar w:fldCharType="separate"/>
      </w:r>
      <w:hyperlink w:anchor="_Toc213836303" w:history="1">
        <w:r w:rsidR="0016630A" w:rsidRPr="00F03810">
          <w:rPr>
            <w:rStyle w:val="Hyperlink"/>
          </w:rPr>
          <w:t>1.</w:t>
        </w:r>
        <w:r w:rsidR="0016630A">
          <w:rPr>
            <w:rFonts w:asciiTheme="minorHAnsi" w:eastAsiaTheme="minorEastAsia" w:hAnsiTheme="minorHAnsi" w:cstheme="minorBidi"/>
            <w:kern w:val="2"/>
            <w:szCs w:val="24"/>
            <w:lang w:eastAsia="en-GB" w:bidi="ar-SA"/>
            <w14:ligatures w14:val="standardContextual"/>
          </w:rPr>
          <w:tab/>
        </w:r>
        <w:r w:rsidR="0016630A" w:rsidRPr="00F03810">
          <w:rPr>
            <w:rStyle w:val="Hyperlink"/>
          </w:rPr>
          <w:t>Introduction</w:t>
        </w:r>
        <w:r w:rsidR="0016630A">
          <w:rPr>
            <w:webHidden/>
          </w:rPr>
          <w:tab/>
        </w:r>
        <w:r w:rsidR="0016630A">
          <w:rPr>
            <w:webHidden/>
          </w:rPr>
          <w:fldChar w:fldCharType="begin"/>
        </w:r>
        <w:r w:rsidR="0016630A">
          <w:rPr>
            <w:webHidden/>
          </w:rPr>
          <w:instrText xml:space="preserve"> PAGEREF _Toc213836303 \h </w:instrText>
        </w:r>
        <w:r w:rsidR="0016630A">
          <w:rPr>
            <w:webHidden/>
          </w:rPr>
        </w:r>
        <w:r w:rsidR="0016630A">
          <w:rPr>
            <w:webHidden/>
          </w:rPr>
          <w:fldChar w:fldCharType="separate"/>
        </w:r>
        <w:r w:rsidR="003F6C3E">
          <w:rPr>
            <w:webHidden/>
          </w:rPr>
          <w:t>3</w:t>
        </w:r>
        <w:r w:rsidR="0016630A">
          <w:rPr>
            <w:webHidden/>
          </w:rPr>
          <w:fldChar w:fldCharType="end"/>
        </w:r>
      </w:hyperlink>
    </w:p>
    <w:p w14:paraId="70A3EC5D" w14:textId="2C6B7287" w:rsidR="0016630A" w:rsidRDefault="0016630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836304" w:history="1">
        <w:r w:rsidRPr="00F03810">
          <w:rPr>
            <w:rStyle w:val="Hyperlink"/>
          </w:rPr>
          <w:t>2.</w:t>
        </w:r>
        <w:r>
          <w:rPr>
            <w:rFonts w:asciiTheme="minorHAnsi" w:eastAsiaTheme="minorEastAsia" w:hAnsiTheme="minorHAnsi" w:cstheme="minorBidi"/>
            <w:kern w:val="2"/>
            <w:szCs w:val="24"/>
            <w:lang w:eastAsia="en-GB" w:bidi="ar-SA"/>
            <w14:ligatures w14:val="standardContextual"/>
          </w:rPr>
          <w:tab/>
        </w:r>
        <w:r w:rsidRPr="00F03810">
          <w:rPr>
            <w:rStyle w:val="Hyperlink"/>
          </w:rPr>
          <w:t>Purpose and application of enforcement</w:t>
        </w:r>
        <w:r>
          <w:rPr>
            <w:webHidden/>
          </w:rPr>
          <w:tab/>
        </w:r>
        <w:r>
          <w:rPr>
            <w:webHidden/>
          </w:rPr>
          <w:fldChar w:fldCharType="begin"/>
        </w:r>
        <w:r>
          <w:rPr>
            <w:webHidden/>
          </w:rPr>
          <w:instrText xml:space="preserve"> PAGEREF _Toc213836304 \h </w:instrText>
        </w:r>
        <w:r>
          <w:rPr>
            <w:webHidden/>
          </w:rPr>
        </w:r>
        <w:r>
          <w:rPr>
            <w:webHidden/>
          </w:rPr>
          <w:fldChar w:fldCharType="separate"/>
        </w:r>
        <w:r w:rsidR="003F6C3E">
          <w:rPr>
            <w:webHidden/>
          </w:rPr>
          <w:t>5</w:t>
        </w:r>
        <w:r>
          <w:rPr>
            <w:webHidden/>
          </w:rPr>
          <w:fldChar w:fldCharType="end"/>
        </w:r>
      </w:hyperlink>
    </w:p>
    <w:p w14:paraId="5BAF9702" w14:textId="43CAB696"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05" w:history="1">
        <w:r w:rsidRPr="00F03810">
          <w:rPr>
            <w:rStyle w:val="Hyperlink"/>
          </w:rPr>
          <w:t>2.1.</w:t>
        </w:r>
        <w:r>
          <w:rPr>
            <w:rFonts w:asciiTheme="minorHAnsi" w:eastAsiaTheme="minorEastAsia" w:hAnsiTheme="minorHAnsi" w:cstheme="minorBidi"/>
            <w:kern w:val="2"/>
            <w:szCs w:val="24"/>
            <w:lang w:eastAsia="en-GB" w:bidi="ar-SA"/>
            <w14:ligatures w14:val="standardContextual"/>
          </w:rPr>
          <w:tab/>
        </w:r>
        <w:r w:rsidRPr="00F03810">
          <w:rPr>
            <w:rStyle w:val="Hyperlink"/>
          </w:rPr>
          <w:t>Purpose of the Enforcement Management Model (EMM)</w:t>
        </w:r>
        <w:r>
          <w:rPr>
            <w:webHidden/>
          </w:rPr>
          <w:tab/>
        </w:r>
        <w:r>
          <w:rPr>
            <w:webHidden/>
          </w:rPr>
          <w:fldChar w:fldCharType="begin"/>
        </w:r>
        <w:r>
          <w:rPr>
            <w:webHidden/>
          </w:rPr>
          <w:instrText xml:space="preserve"> PAGEREF _Toc213836305 \h </w:instrText>
        </w:r>
        <w:r>
          <w:rPr>
            <w:webHidden/>
          </w:rPr>
        </w:r>
        <w:r>
          <w:rPr>
            <w:webHidden/>
          </w:rPr>
          <w:fldChar w:fldCharType="separate"/>
        </w:r>
        <w:r w:rsidR="003F6C3E">
          <w:rPr>
            <w:webHidden/>
          </w:rPr>
          <w:t>5</w:t>
        </w:r>
        <w:r>
          <w:rPr>
            <w:webHidden/>
          </w:rPr>
          <w:fldChar w:fldCharType="end"/>
        </w:r>
      </w:hyperlink>
    </w:p>
    <w:p w14:paraId="7A40FEDD" w14:textId="335DA0DD"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06" w:history="1">
        <w:r w:rsidRPr="00F03810">
          <w:rPr>
            <w:rStyle w:val="Hyperlink"/>
          </w:rPr>
          <w:t>2.2.</w:t>
        </w:r>
        <w:r>
          <w:rPr>
            <w:rFonts w:asciiTheme="minorHAnsi" w:eastAsiaTheme="minorEastAsia" w:hAnsiTheme="minorHAnsi" w:cstheme="minorBidi"/>
            <w:kern w:val="2"/>
            <w:szCs w:val="24"/>
            <w:lang w:eastAsia="en-GB" w:bidi="ar-SA"/>
            <w14:ligatures w14:val="standardContextual"/>
          </w:rPr>
          <w:tab/>
        </w:r>
        <w:r w:rsidRPr="00F03810">
          <w:rPr>
            <w:rStyle w:val="Hyperlink"/>
          </w:rPr>
          <w:t>Circumstances where we expect to consider prosecution</w:t>
        </w:r>
        <w:r>
          <w:rPr>
            <w:webHidden/>
          </w:rPr>
          <w:tab/>
        </w:r>
        <w:r>
          <w:rPr>
            <w:webHidden/>
          </w:rPr>
          <w:fldChar w:fldCharType="begin"/>
        </w:r>
        <w:r>
          <w:rPr>
            <w:webHidden/>
          </w:rPr>
          <w:instrText xml:space="preserve"> PAGEREF _Toc213836306 \h </w:instrText>
        </w:r>
        <w:r>
          <w:rPr>
            <w:webHidden/>
          </w:rPr>
        </w:r>
        <w:r>
          <w:rPr>
            <w:webHidden/>
          </w:rPr>
          <w:fldChar w:fldCharType="separate"/>
        </w:r>
        <w:r w:rsidR="003F6C3E">
          <w:rPr>
            <w:webHidden/>
          </w:rPr>
          <w:t>6</w:t>
        </w:r>
        <w:r>
          <w:rPr>
            <w:webHidden/>
          </w:rPr>
          <w:fldChar w:fldCharType="end"/>
        </w:r>
      </w:hyperlink>
    </w:p>
    <w:p w14:paraId="2A7E6E01" w14:textId="665C240A"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07" w:history="1">
        <w:r w:rsidRPr="00F03810">
          <w:rPr>
            <w:rStyle w:val="Hyperlink"/>
          </w:rPr>
          <w:t>2.3.</w:t>
        </w:r>
        <w:r>
          <w:rPr>
            <w:rFonts w:asciiTheme="minorHAnsi" w:eastAsiaTheme="minorEastAsia" w:hAnsiTheme="minorHAnsi" w:cstheme="minorBidi"/>
            <w:kern w:val="2"/>
            <w:szCs w:val="24"/>
            <w:lang w:eastAsia="en-GB" w:bidi="ar-SA"/>
            <w14:ligatures w14:val="standardContextual"/>
          </w:rPr>
          <w:tab/>
        </w:r>
        <w:r w:rsidRPr="00F03810">
          <w:rPr>
            <w:rStyle w:val="Hyperlink"/>
          </w:rPr>
          <w:t>To who does Enforcement apply</w:t>
        </w:r>
        <w:r>
          <w:rPr>
            <w:webHidden/>
          </w:rPr>
          <w:tab/>
        </w:r>
        <w:r>
          <w:rPr>
            <w:webHidden/>
          </w:rPr>
          <w:fldChar w:fldCharType="begin"/>
        </w:r>
        <w:r>
          <w:rPr>
            <w:webHidden/>
          </w:rPr>
          <w:instrText xml:space="preserve"> PAGEREF _Toc213836307 \h </w:instrText>
        </w:r>
        <w:r>
          <w:rPr>
            <w:webHidden/>
          </w:rPr>
        </w:r>
        <w:r>
          <w:rPr>
            <w:webHidden/>
          </w:rPr>
          <w:fldChar w:fldCharType="separate"/>
        </w:r>
        <w:r w:rsidR="003F6C3E">
          <w:rPr>
            <w:webHidden/>
          </w:rPr>
          <w:t>6</w:t>
        </w:r>
        <w:r>
          <w:rPr>
            <w:webHidden/>
          </w:rPr>
          <w:fldChar w:fldCharType="end"/>
        </w:r>
      </w:hyperlink>
    </w:p>
    <w:p w14:paraId="4F4EF0CF" w14:textId="468E182E"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08" w:history="1">
        <w:r w:rsidRPr="00F03810">
          <w:rPr>
            <w:rStyle w:val="Hyperlink"/>
          </w:rPr>
          <w:t>2.4.</w:t>
        </w:r>
        <w:r>
          <w:rPr>
            <w:rFonts w:asciiTheme="minorHAnsi" w:eastAsiaTheme="minorEastAsia" w:hAnsiTheme="minorHAnsi" w:cstheme="minorBidi"/>
            <w:kern w:val="2"/>
            <w:szCs w:val="24"/>
            <w:lang w:eastAsia="en-GB" w:bidi="ar-SA"/>
            <w14:ligatures w14:val="standardContextual"/>
          </w:rPr>
          <w:tab/>
        </w:r>
        <w:r w:rsidRPr="00F03810">
          <w:rPr>
            <w:rStyle w:val="Hyperlink"/>
          </w:rPr>
          <w:t>Types of Enforcement and Limitations of the EMM</w:t>
        </w:r>
        <w:r>
          <w:rPr>
            <w:webHidden/>
          </w:rPr>
          <w:tab/>
        </w:r>
        <w:r>
          <w:rPr>
            <w:webHidden/>
          </w:rPr>
          <w:fldChar w:fldCharType="begin"/>
        </w:r>
        <w:r>
          <w:rPr>
            <w:webHidden/>
          </w:rPr>
          <w:instrText xml:space="preserve"> PAGEREF _Toc213836308 \h </w:instrText>
        </w:r>
        <w:r>
          <w:rPr>
            <w:webHidden/>
          </w:rPr>
        </w:r>
        <w:r>
          <w:rPr>
            <w:webHidden/>
          </w:rPr>
          <w:fldChar w:fldCharType="separate"/>
        </w:r>
        <w:r w:rsidR="003F6C3E">
          <w:rPr>
            <w:webHidden/>
          </w:rPr>
          <w:t>7</w:t>
        </w:r>
        <w:r>
          <w:rPr>
            <w:webHidden/>
          </w:rPr>
          <w:fldChar w:fldCharType="end"/>
        </w:r>
      </w:hyperlink>
    </w:p>
    <w:p w14:paraId="227903E0" w14:textId="5B49D661" w:rsidR="0016630A" w:rsidRDefault="0016630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836309" w:history="1">
        <w:r w:rsidRPr="00F03810">
          <w:rPr>
            <w:rStyle w:val="Hyperlink"/>
          </w:rPr>
          <w:t>3.</w:t>
        </w:r>
        <w:r>
          <w:rPr>
            <w:rFonts w:asciiTheme="minorHAnsi" w:eastAsiaTheme="minorEastAsia" w:hAnsiTheme="minorHAnsi" w:cstheme="minorBidi"/>
            <w:kern w:val="2"/>
            <w:szCs w:val="24"/>
            <w:lang w:eastAsia="en-GB" w:bidi="ar-SA"/>
            <w14:ligatures w14:val="standardContextual"/>
          </w:rPr>
          <w:tab/>
        </w:r>
        <w:r w:rsidRPr="00F03810">
          <w:rPr>
            <w:rStyle w:val="Hyperlink"/>
          </w:rPr>
          <w:t>Process of applying the EMM</w:t>
        </w:r>
        <w:r>
          <w:rPr>
            <w:webHidden/>
          </w:rPr>
          <w:tab/>
        </w:r>
        <w:r>
          <w:rPr>
            <w:webHidden/>
          </w:rPr>
          <w:fldChar w:fldCharType="begin"/>
        </w:r>
        <w:r>
          <w:rPr>
            <w:webHidden/>
          </w:rPr>
          <w:instrText xml:space="preserve"> PAGEREF _Toc213836309 \h </w:instrText>
        </w:r>
        <w:r>
          <w:rPr>
            <w:webHidden/>
          </w:rPr>
        </w:r>
        <w:r>
          <w:rPr>
            <w:webHidden/>
          </w:rPr>
          <w:fldChar w:fldCharType="separate"/>
        </w:r>
        <w:r w:rsidR="003F6C3E">
          <w:rPr>
            <w:webHidden/>
          </w:rPr>
          <w:t>10</w:t>
        </w:r>
        <w:r>
          <w:rPr>
            <w:webHidden/>
          </w:rPr>
          <w:fldChar w:fldCharType="end"/>
        </w:r>
      </w:hyperlink>
    </w:p>
    <w:p w14:paraId="17967794" w14:textId="10162B35"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10" w:history="1">
        <w:r w:rsidRPr="00F03810">
          <w:rPr>
            <w:rStyle w:val="Hyperlink"/>
          </w:rPr>
          <w:t>3.1.</w:t>
        </w:r>
        <w:r>
          <w:rPr>
            <w:rFonts w:asciiTheme="minorHAnsi" w:eastAsiaTheme="minorEastAsia" w:hAnsiTheme="minorHAnsi" w:cstheme="minorBidi"/>
            <w:kern w:val="2"/>
            <w:szCs w:val="24"/>
            <w:lang w:eastAsia="en-GB" w:bidi="ar-SA"/>
            <w14:ligatures w14:val="standardContextual"/>
          </w:rPr>
          <w:tab/>
        </w:r>
        <w:r w:rsidRPr="00F03810">
          <w:rPr>
            <w:rStyle w:val="Hyperlink"/>
          </w:rPr>
          <w:t>Matters of Evident Concern</w:t>
        </w:r>
        <w:r>
          <w:rPr>
            <w:webHidden/>
          </w:rPr>
          <w:tab/>
        </w:r>
        <w:r>
          <w:rPr>
            <w:webHidden/>
          </w:rPr>
          <w:fldChar w:fldCharType="begin"/>
        </w:r>
        <w:r>
          <w:rPr>
            <w:webHidden/>
          </w:rPr>
          <w:instrText xml:space="preserve"> PAGEREF _Toc213836310 \h </w:instrText>
        </w:r>
        <w:r>
          <w:rPr>
            <w:webHidden/>
          </w:rPr>
        </w:r>
        <w:r>
          <w:rPr>
            <w:webHidden/>
          </w:rPr>
          <w:fldChar w:fldCharType="separate"/>
        </w:r>
        <w:r w:rsidR="003F6C3E">
          <w:rPr>
            <w:webHidden/>
          </w:rPr>
          <w:t>10</w:t>
        </w:r>
        <w:r>
          <w:rPr>
            <w:webHidden/>
          </w:rPr>
          <w:fldChar w:fldCharType="end"/>
        </w:r>
      </w:hyperlink>
    </w:p>
    <w:p w14:paraId="02761C05" w14:textId="312B49E7"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11" w:history="1">
        <w:r w:rsidRPr="00F03810">
          <w:rPr>
            <w:rStyle w:val="Hyperlink"/>
          </w:rPr>
          <w:t>3.2.</w:t>
        </w:r>
        <w:r>
          <w:rPr>
            <w:rFonts w:asciiTheme="minorHAnsi" w:eastAsiaTheme="minorEastAsia" w:hAnsiTheme="minorHAnsi" w:cstheme="minorBidi"/>
            <w:kern w:val="2"/>
            <w:szCs w:val="24"/>
            <w:lang w:eastAsia="en-GB" w:bidi="ar-SA"/>
            <w14:ligatures w14:val="standardContextual"/>
          </w:rPr>
          <w:tab/>
        </w:r>
        <w:r w:rsidRPr="00F03810">
          <w:rPr>
            <w:rStyle w:val="Hyperlink"/>
          </w:rPr>
          <w:t>Gap analysis – Risk level</w:t>
        </w:r>
        <w:r>
          <w:rPr>
            <w:webHidden/>
          </w:rPr>
          <w:tab/>
        </w:r>
        <w:r>
          <w:rPr>
            <w:webHidden/>
          </w:rPr>
          <w:fldChar w:fldCharType="begin"/>
        </w:r>
        <w:r>
          <w:rPr>
            <w:webHidden/>
          </w:rPr>
          <w:instrText xml:space="preserve"> PAGEREF _Toc213836311 \h </w:instrText>
        </w:r>
        <w:r>
          <w:rPr>
            <w:webHidden/>
          </w:rPr>
        </w:r>
        <w:r>
          <w:rPr>
            <w:webHidden/>
          </w:rPr>
          <w:fldChar w:fldCharType="separate"/>
        </w:r>
        <w:r w:rsidR="003F6C3E">
          <w:rPr>
            <w:webHidden/>
          </w:rPr>
          <w:t>13</w:t>
        </w:r>
        <w:r>
          <w:rPr>
            <w:webHidden/>
          </w:rPr>
          <w:fldChar w:fldCharType="end"/>
        </w:r>
      </w:hyperlink>
    </w:p>
    <w:p w14:paraId="081DA896" w14:textId="4E4A995C"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12" w:history="1">
        <w:r w:rsidRPr="00F03810">
          <w:rPr>
            <w:rStyle w:val="Hyperlink"/>
          </w:rPr>
          <w:t>3.3.</w:t>
        </w:r>
        <w:r>
          <w:rPr>
            <w:rFonts w:asciiTheme="minorHAnsi" w:eastAsiaTheme="minorEastAsia" w:hAnsiTheme="minorHAnsi" w:cstheme="minorBidi"/>
            <w:kern w:val="2"/>
            <w:szCs w:val="24"/>
            <w:lang w:eastAsia="en-GB" w:bidi="ar-SA"/>
            <w14:ligatures w14:val="standardContextual"/>
          </w:rPr>
          <w:tab/>
        </w:r>
        <w:r w:rsidRPr="00F03810">
          <w:rPr>
            <w:rStyle w:val="Hyperlink"/>
          </w:rPr>
          <w:t>Gap analysis - Determining the benchmark standard</w:t>
        </w:r>
        <w:r>
          <w:rPr>
            <w:webHidden/>
          </w:rPr>
          <w:tab/>
        </w:r>
        <w:r>
          <w:rPr>
            <w:webHidden/>
          </w:rPr>
          <w:fldChar w:fldCharType="begin"/>
        </w:r>
        <w:r>
          <w:rPr>
            <w:webHidden/>
          </w:rPr>
          <w:instrText xml:space="preserve"> PAGEREF _Toc213836312 \h </w:instrText>
        </w:r>
        <w:r>
          <w:rPr>
            <w:webHidden/>
          </w:rPr>
        </w:r>
        <w:r>
          <w:rPr>
            <w:webHidden/>
          </w:rPr>
          <w:fldChar w:fldCharType="separate"/>
        </w:r>
        <w:r w:rsidR="003F6C3E">
          <w:rPr>
            <w:webHidden/>
          </w:rPr>
          <w:t>15</w:t>
        </w:r>
        <w:r>
          <w:rPr>
            <w:webHidden/>
          </w:rPr>
          <w:fldChar w:fldCharType="end"/>
        </w:r>
      </w:hyperlink>
    </w:p>
    <w:p w14:paraId="74D941E2" w14:textId="46CD7119"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13" w:history="1">
        <w:r w:rsidRPr="00F03810">
          <w:rPr>
            <w:rStyle w:val="Hyperlink"/>
          </w:rPr>
          <w:t>3.4.</w:t>
        </w:r>
        <w:r>
          <w:rPr>
            <w:rFonts w:asciiTheme="minorHAnsi" w:eastAsiaTheme="minorEastAsia" w:hAnsiTheme="minorHAnsi" w:cstheme="minorBidi"/>
            <w:kern w:val="2"/>
            <w:szCs w:val="24"/>
            <w:lang w:eastAsia="en-GB" w:bidi="ar-SA"/>
            <w14:ligatures w14:val="standardContextual"/>
          </w:rPr>
          <w:tab/>
        </w:r>
        <w:r w:rsidRPr="00F03810">
          <w:rPr>
            <w:rStyle w:val="Hyperlink"/>
          </w:rPr>
          <w:t>Non-risk based compliance and arrangement issues</w:t>
        </w:r>
        <w:r>
          <w:rPr>
            <w:webHidden/>
          </w:rPr>
          <w:tab/>
        </w:r>
        <w:r>
          <w:rPr>
            <w:webHidden/>
          </w:rPr>
          <w:fldChar w:fldCharType="begin"/>
        </w:r>
        <w:r>
          <w:rPr>
            <w:webHidden/>
          </w:rPr>
          <w:instrText xml:space="preserve"> PAGEREF _Toc213836313 \h </w:instrText>
        </w:r>
        <w:r>
          <w:rPr>
            <w:webHidden/>
          </w:rPr>
        </w:r>
        <w:r>
          <w:rPr>
            <w:webHidden/>
          </w:rPr>
          <w:fldChar w:fldCharType="separate"/>
        </w:r>
        <w:r w:rsidR="003F6C3E">
          <w:rPr>
            <w:webHidden/>
          </w:rPr>
          <w:t>17</w:t>
        </w:r>
        <w:r>
          <w:rPr>
            <w:webHidden/>
          </w:rPr>
          <w:fldChar w:fldCharType="end"/>
        </w:r>
      </w:hyperlink>
    </w:p>
    <w:p w14:paraId="4DC15F32" w14:textId="05D811F4"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14" w:history="1">
        <w:r w:rsidRPr="00F03810">
          <w:rPr>
            <w:rStyle w:val="Hyperlink"/>
          </w:rPr>
          <w:t>3.5.</w:t>
        </w:r>
        <w:r>
          <w:rPr>
            <w:rFonts w:asciiTheme="minorHAnsi" w:eastAsiaTheme="minorEastAsia" w:hAnsiTheme="minorHAnsi" w:cstheme="minorBidi"/>
            <w:kern w:val="2"/>
            <w:szCs w:val="24"/>
            <w:lang w:eastAsia="en-GB" w:bidi="ar-SA"/>
            <w14:ligatures w14:val="standardContextual"/>
          </w:rPr>
          <w:tab/>
        </w:r>
        <w:r w:rsidRPr="00F03810">
          <w:rPr>
            <w:rStyle w:val="Hyperlink"/>
          </w:rPr>
          <w:t>Determine the baseline enforcement level (BEL)</w:t>
        </w:r>
        <w:r>
          <w:rPr>
            <w:webHidden/>
          </w:rPr>
          <w:tab/>
        </w:r>
        <w:r>
          <w:rPr>
            <w:webHidden/>
          </w:rPr>
          <w:fldChar w:fldCharType="begin"/>
        </w:r>
        <w:r>
          <w:rPr>
            <w:webHidden/>
          </w:rPr>
          <w:instrText xml:space="preserve"> PAGEREF _Toc213836314 \h </w:instrText>
        </w:r>
        <w:r>
          <w:rPr>
            <w:webHidden/>
          </w:rPr>
        </w:r>
        <w:r>
          <w:rPr>
            <w:webHidden/>
          </w:rPr>
          <w:fldChar w:fldCharType="separate"/>
        </w:r>
        <w:r w:rsidR="003F6C3E">
          <w:rPr>
            <w:webHidden/>
          </w:rPr>
          <w:t>19</w:t>
        </w:r>
        <w:r>
          <w:rPr>
            <w:webHidden/>
          </w:rPr>
          <w:fldChar w:fldCharType="end"/>
        </w:r>
      </w:hyperlink>
    </w:p>
    <w:p w14:paraId="0E6DE5A5" w14:textId="4315BA41"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15" w:history="1">
        <w:r w:rsidRPr="00F03810">
          <w:rPr>
            <w:rStyle w:val="Hyperlink"/>
          </w:rPr>
          <w:t>3.6.</w:t>
        </w:r>
        <w:r>
          <w:rPr>
            <w:rFonts w:asciiTheme="minorHAnsi" w:eastAsiaTheme="minorEastAsia" w:hAnsiTheme="minorHAnsi" w:cstheme="minorBidi"/>
            <w:kern w:val="2"/>
            <w:szCs w:val="24"/>
            <w:lang w:eastAsia="en-GB" w:bidi="ar-SA"/>
            <w14:ligatures w14:val="standardContextual"/>
          </w:rPr>
          <w:tab/>
        </w:r>
        <w:r w:rsidRPr="00F03810">
          <w:rPr>
            <w:rStyle w:val="Hyperlink"/>
            <w:lang w:eastAsia="en-GB"/>
          </w:rPr>
          <w:t>Application of dutyholder and strategic factors</w:t>
        </w:r>
        <w:r>
          <w:rPr>
            <w:webHidden/>
          </w:rPr>
          <w:tab/>
        </w:r>
        <w:r>
          <w:rPr>
            <w:webHidden/>
          </w:rPr>
          <w:fldChar w:fldCharType="begin"/>
        </w:r>
        <w:r>
          <w:rPr>
            <w:webHidden/>
          </w:rPr>
          <w:instrText xml:space="preserve"> PAGEREF _Toc213836315 \h </w:instrText>
        </w:r>
        <w:r>
          <w:rPr>
            <w:webHidden/>
          </w:rPr>
        </w:r>
        <w:r>
          <w:rPr>
            <w:webHidden/>
          </w:rPr>
          <w:fldChar w:fldCharType="separate"/>
        </w:r>
        <w:r w:rsidR="003F6C3E">
          <w:rPr>
            <w:webHidden/>
          </w:rPr>
          <w:t>20</w:t>
        </w:r>
        <w:r>
          <w:rPr>
            <w:webHidden/>
          </w:rPr>
          <w:fldChar w:fldCharType="end"/>
        </w:r>
      </w:hyperlink>
    </w:p>
    <w:p w14:paraId="290FB4AC" w14:textId="3E7905A2"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16" w:history="1">
        <w:r w:rsidRPr="00F03810">
          <w:rPr>
            <w:rStyle w:val="Hyperlink"/>
          </w:rPr>
          <w:t>3.7.</w:t>
        </w:r>
        <w:r>
          <w:rPr>
            <w:rFonts w:asciiTheme="minorHAnsi" w:eastAsiaTheme="minorEastAsia" w:hAnsiTheme="minorHAnsi" w:cstheme="minorBidi"/>
            <w:kern w:val="2"/>
            <w:szCs w:val="24"/>
            <w:lang w:eastAsia="en-GB" w:bidi="ar-SA"/>
            <w14:ligatures w14:val="standardContextual"/>
          </w:rPr>
          <w:tab/>
        </w:r>
        <w:r w:rsidRPr="00F03810">
          <w:rPr>
            <w:rStyle w:val="Hyperlink"/>
          </w:rPr>
          <w:t>Making an enforcement decision</w:t>
        </w:r>
        <w:r>
          <w:rPr>
            <w:webHidden/>
          </w:rPr>
          <w:tab/>
        </w:r>
        <w:r>
          <w:rPr>
            <w:webHidden/>
          </w:rPr>
          <w:fldChar w:fldCharType="begin"/>
        </w:r>
        <w:r>
          <w:rPr>
            <w:webHidden/>
          </w:rPr>
          <w:instrText xml:space="preserve"> PAGEREF _Toc213836316 \h </w:instrText>
        </w:r>
        <w:r>
          <w:rPr>
            <w:webHidden/>
          </w:rPr>
        </w:r>
        <w:r>
          <w:rPr>
            <w:webHidden/>
          </w:rPr>
          <w:fldChar w:fldCharType="separate"/>
        </w:r>
        <w:r w:rsidR="003F6C3E">
          <w:rPr>
            <w:webHidden/>
          </w:rPr>
          <w:t>21</w:t>
        </w:r>
        <w:r>
          <w:rPr>
            <w:webHidden/>
          </w:rPr>
          <w:fldChar w:fldCharType="end"/>
        </w:r>
      </w:hyperlink>
    </w:p>
    <w:p w14:paraId="5A92FA22" w14:textId="3D3689C6"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17" w:history="1">
        <w:r w:rsidRPr="00F03810">
          <w:rPr>
            <w:rStyle w:val="Hyperlink"/>
          </w:rPr>
          <w:t>3.8.</w:t>
        </w:r>
        <w:r>
          <w:rPr>
            <w:rFonts w:asciiTheme="minorHAnsi" w:eastAsiaTheme="minorEastAsia" w:hAnsiTheme="minorHAnsi" w:cstheme="minorBidi"/>
            <w:kern w:val="2"/>
            <w:szCs w:val="24"/>
            <w:lang w:eastAsia="en-GB" w:bidi="ar-SA"/>
            <w14:ligatures w14:val="standardContextual"/>
          </w:rPr>
          <w:tab/>
        </w:r>
        <w:r w:rsidRPr="00F03810">
          <w:rPr>
            <w:rStyle w:val="Hyperlink"/>
          </w:rPr>
          <w:t>Recording the application of the enforcement decision</w:t>
        </w:r>
        <w:r>
          <w:rPr>
            <w:webHidden/>
          </w:rPr>
          <w:tab/>
        </w:r>
        <w:r>
          <w:rPr>
            <w:webHidden/>
          </w:rPr>
          <w:fldChar w:fldCharType="begin"/>
        </w:r>
        <w:r>
          <w:rPr>
            <w:webHidden/>
          </w:rPr>
          <w:instrText xml:space="preserve"> PAGEREF _Toc213836317 \h </w:instrText>
        </w:r>
        <w:r>
          <w:rPr>
            <w:webHidden/>
          </w:rPr>
        </w:r>
        <w:r>
          <w:rPr>
            <w:webHidden/>
          </w:rPr>
          <w:fldChar w:fldCharType="separate"/>
        </w:r>
        <w:r w:rsidR="003F6C3E">
          <w:rPr>
            <w:webHidden/>
          </w:rPr>
          <w:t>22</w:t>
        </w:r>
        <w:r>
          <w:rPr>
            <w:webHidden/>
          </w:rPr>
          <w:fldChar w:fldCharType="end"/>
        </w:r>
      </w:hyperlink>
    </w:p>
    <w:p w14:paraId="5392C769" w14:textId="26BCDABD" w:rsidR="0016630A" w:rsidRDefault="0016630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836318" w:history="1">
        <w:r w:rsidRPr="00F03810">
          <w:rPr>
            <w:rStyle w:val="Hyperlink"/>
          </w:rPr>
          <w:t>3.9.</w:t>
        </w:r>
        <w:r>
          <w:rPr>
            <w:rFonts w:asciiTheme="minorHAnsi" w:eastAsiaTheme="minorEastAsia" w:hAnsiTheme="minorHAnsi" w:cstheme="minorBidi"/>
            <w:kern w:val="2"/>
            <w:szCs w:val="24"/>
            <w:lang w:eastAsia="en-GB" w:bidi="ar-SA"/>
            <w14:ligatures w14:val="standardContextual"/>
          </w:rPr>
          <w:tab/>
        </w:r>
        <w:r w:rsidRPr="00F03810">
          <w:rPr>
            <w:rStyle w:val="Hyperlink"/>
          </w:rPr>
          <w:t>Review of decision</w:t>
        </w:r>
        <w:r>
          <w:rPr>
            <w:webHidden/>
          </w:rPr>
          <w:tab/>
        </w:r>
        <w:r>
          <w:rPr>
            <w:webHidden/>
          </w:rPr>
          <w:fldChar w:fldCharType="begin"/>
        </w:r>
        <w:r>
          <w:rPr>
            <w:webHidden/>
          </w:rPr>
          <w:instrText xml:space="preserve"> PAGEREF _Toc213836318 \h </w:instrText>
        </w:r>
        <w:r>
          <w:rPr>
            <w:webHidden/>
          </w:rPr>
        </w:r>
        <w:r>
          <w:rPr>
            <w:webHidden/>
          </w:rPr>
          <w:fldChar w:fldCharType="separate"/>
        </w:r>
        <w:r w:rsidR="003F6C3E">
          <w:rPr>
            <w:webHidden/>
          </w:rPr>
          <w:t>22</w:t>
        </w:r>
        <w:r>
          <w:rPr>
            <w:webHidden/>
          </w:rPr>
          <w:fldChar w:fldCharType="end"/>
        </w:r>
      </w:hyperlink>
    </w:p>
    <w:p w14:paraId="40F8F7E9" w14:textId="09099411" w:rsidR="0016630A" w:rsidRDefault="0016630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13836319" w:history="1">
        <w:r w:rsidRPr="00F03810">
          <w:rPr>
            <w:rStyle w:val="Hyperlink"/>
          </w:rPr>
          <w:t>3.10.</w:t>
        </w:r>
        <w:r>
          <w:rPr>
            <w:rFonts w:asciiTheme="minorHAnsi" w:eastAsiaTheme="minorEastAsia" w:hAnsiTheme="minorHAnsi" w:cstheme="minorBidi"/>
            <w:kern w:val="2"/>
            <w:szCs w:val="24"/>
            <w:lang w:eastAsia="en-GB" w:bidi="ar-SA"/>
            <w14:ligatures w14:val="standardContextual"/>
          </w:rPr>
          <w:tab/>
        </w:r>
        <w:r w:rsidRPr="00F03810">
          <w:rPr>
            <w:rStyle w:val="Hyperlink"/>
          </w:rPr>
          <w:t>Implement enforcement action and communicate decision to dutyholder</w:t>
        </w:r>
        <w:r>
          <w:rPr>
            <w:webHidden/>
          </w:rPr>
          <w:tab/>
        </w:r>
        <w:r>
          <w:rPr>
            <w:webHidden/>
          </w:rPr>
          <w:fldChar w:fldCharType="begin"/>
        </w:r>
        <w:r>
          <w:rPr>
            <w:webHidden/>
          </w:rPr>
          <w:instrText xml:space="preserve"> PAGEREF _Toc213836319 \h </w:instrText>
        </w:r>
        <w:r>
          <w:rPr>
            <w:webHidden/>
          </w:rPr>
        </w:r>
        <w:r>
          <w:rPr>
            <w:webHidden/>
          </w:rPr>
          <w:fldChar w:fldCharType="separate"/>
        </w:r>
        <w:r w:rsidR="003F6C3E">
          <w:rPr>
            <w:webHidden/>
          </w:rPr>
          <w:t>23</w:t>
        </w:r>
        <w:r>
          <w:rPr>
            <w:webHidden/>
          </w:rPr>
          <w:fldChar w:fldCharType="end"/>
        </w:r>
      </w:hyperlink>
    </w:p>
    <w:p w14:paraId="2A4B8DA6" w14:textId="3414B40E" w:rsidR="0016630A" w:rsidRDefault="0016630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13836320" w:history="1">
        <w:r w:rsidRPr="00F03810">
          <w:rPr>
            <w:rStyle w:val="Hyperlink"/>
          </w:rPr>
          <w:t>3.11.</w:t>
        </w:r>
        <w:r>
          <w:rPr>
            <w:rFonts w:asciiTheme="minorHAnsi" w:eastAsiaTheme="minorEastAsia" w:hAnsiTheme="minorHAnsi" w:cstheme="minorBidi"/>
            <w:kern w:val="2"/>
            <w:szCs w:val="24"/>
            <w:lang w:eastAsia="en-GB" w:bidi="ar-SA"/>
            <w14:ligatures w14:val="standardContextual"/>
          </w:rPr>
          <w:tab/>
        </w:r>
        <w:r w:rsidRPr="00F03810">
          <w:rPr>
            <w:rStyle w:val="Hyperlink"/>
          </w:rPr>
          <w:t>Follow-up actions and identifying lessons learned/ operating experience</w:t>
        </w:r>
        <w:r>
          <w:rPr>
            <w:webHidden/>
          </w:rPr>
          <w:tab/>
        </w:r>
        <w:r>
          <w:rPr>
            <w:webHidden/>
          </w:rPr>
          <w:fldChar w:fldCharType="begin"/>
        </w:r>
        <w:r>
          <w:rPr>
            <w:webHidden/>
          </w:rPr>
          <w:instrText xml:space="preserve"> PAGEREF _Toc213836320 \h </w:instrText>
        </w:r>
        <w:r>
          <w:rPr>
            <w:webHidden/>
          </w:rPr>
        </w:r>
        <w:r>
          <w:rPr>
            <w:webHidden/>
          </w:rPr>
          <w:fldChar w:fldCharType="separate"/>
        </w:r>
        <w:r w:rsidR="003F6C3E">
          <w:rPr>
            <w:webHidden/>
          </w:rPr>
          <w:t>24</w:t>
        </w:r>
        <w:r>
          <w:rPr>
            <w:webHidden/>
          </w:rPr>
          <w:fldChar w:fldCharType="end"/>
        </w:r>
      </w:hyperlink>
    </w:p>
    <w:p w14:paraId="2F85D147" w14:textId="17844BBA" w:rsidR="0016630A" w:rsidRDefault="0016630A">
      <w:pPr>
        <w:pStyle w:val="TOC1"/>
        <w:rPr>
          <w:rFonts w:asciiTheme="minorHAnsi" w:eastAsiaTheme="minorEastAsia" w:hAnsiTheme="minorHAnsi" w:cstheme="minorBidi"/>
          <w:kern w:val="2"/>
          <w:szCs w:val="24"/>
          <w:lang w:eastAsia="en-GB" w:bidi="ar-SA"/>
          <w14:ligatures w14:val="standardContextual"/>
        </w:rPr>
      </w:pPr>
      <w:hyperlink w:anchor="_Toc213836321" w:history="1">
        <w:r w:rsidRPr="00F03810">
          <w:rPr>
            <w:rStyle w:val="Hyperlink"/>
          </w:rPr>
          <w:t>Appendix A – Types of enforcement actions</w:t>
        </w:r>
        <w:r>
          <w:rPr>
            <w:webHidden/>
          </w:rPr>
          <w:tab/>
        </w:r>
        <w:r>
          <w:rPr>
            <w:webHidden/>
          </w:rPr>
          <w:fldChar w:fldCharType="begin"/>
        </w:r>
        <w:r>
          <w:rPr>
            <w:webHidden/>
          </w:rPr>
          <w:instrText xml:space="preserve"> PAGEREF _Toc213836321 \h </w:instrText>
        </w:r>
        <w:r>
          <w:rPr>
            <w:webHidden/>
          </w:rPr>
        </w:r>
        <w:r>
          <w:rPr>
            <w:webHidden/>
          </w:rPr>
          <w:fldChar w:fldCharType="separate"/>
        </w:r>
        <w:r w:rsidR="003F6C3E">
          <w:rPr>
            <w:webHidden/>
          </w:rPr>
          <w:t>25</w:t>
        </w:r>
        <w:r>
          <w:rPr>
            <w:webHidden/>
          </w:rPr>
          <w:fldChar w:fldCharType="end"/>
        </w:r>
      </w:hyperlink>
    </w:p>
    <w:p w14:paraId="3BBA5E92" w14:textId="7C040BB1" w:rsidR="0016630A" w:rsidRDefault="0016630A">
      <w:pPr>
        <w:pStyle w:val="TOC1"/>
        <w:rPr>
          <w:rFonts w:asciiTheme="minorHAnsi" w:eastAsiaTheme="minorEastAsia" w:hAnsiTheme="minorHAnsi" w:cstheme="minorBidi"/>
          <w:kern w:val="2"/>
          <w:szCs w:val="24"/>
          <w:lang w:eastAsia="en-GB" w:bidi="ar-SA"/>
          <w14:ligatures w14:val="standardContextual"/>
        </w:rPr>
      </w:pPr>
      <w:hyperlink w:anchor="_Toc213836322" w:history="1">
        <w:r w:rsidRPr="00F03810">
          <w:rPr>
            <w:rStyle w:val="Hyperlink"/>
          </w:rPr>
          <w:t>Appendix B – Examples of consequence levels</w:t>
        </w:r>
        <w:r>
          <w:rPr>
            <w:webHidden/>
          </w:rPr>
          <w:tab/>
        </w:r>
        <w:r>
          <w:rPr>
            <w:webHidden/>
          </w:rPr>
          <w:fldChar w:fldCharType="begin"/>
        </w:r>
        <w:r>
          <w:rPr>
            <w:webHidden/>
          </w:rPr>
          <w:instrText xml:space="preserve"> PAGEREF _Toc213836322 \h </w:instrText>
        </w:r>
        <w:r>
          <w:rPr>
            <w:webHidden/>
          </w:rPr>
        </w:r>
        <w:r>
          <w:rPr>
            <w:webHidden/>
          </w:rPr>
          <w:fldChar w:fldCharType="separate"/>
        </w:r>
        <w:r w:rsidR="003F6C3E">
          <w:rPr>
            <w:webHidden/>
          </w:rPr>
          <w:t>37</w:t>
        </w:r>
        <w:r>
          <w:rPr>
            <w:webHidden/>
          </w:rPr>
          <w:fldChar w:fldCharType="end"/>
        </w:r>
      </w:hyperlink>
    </w:p>
    <w:p w14:paraId="77CACF57" w14:textId="4D56C020" w:rsidR="0016630A" w:rsidRDefault="0016630A">
      <w:pPr>
        <w:pStyle w:val="TOC1"/>
        <w:rPr>
          <w:rFonts w:asciiTheme="minorHAnsi" w:eastAsiaTheme="minorEastAsia" w:hAnsiTheme="minorHAnsi" w:cstheme="minorBidi"/>
          <w:kern w:val="2"/>
          <w:szCs w:val="24"/>
          <w:lang w:eastAsia="en-GB" w:bidi="ar-SA"/>
          <w14:ligatures w14:val="standardContextual"/>
        </w:rPr>
      </w:pPr>
      <w:hyperlink w:anchor="_Toc213836323" w:history="1">
        <w:r w:rsidRPr="00F03810">
          <w:rPr>
            <w:rStyle w:val="Hyperlink"/>
          </w:rPr>
          <w:t>Appendix C – Dutyholder and strategic factors</w:t>
        </w:r>
        <w:r>
          <w:rPr>
            <w:webHidden/>
          </w:rPr>
          <w:tab/>
        </w:r>
        <w:r>
          <w:rPr>
            <w:webHidden/>
          </w:rPr>
          <w:fldChar w:fldCharType="begin"/>
        </w:r>
        <w:r>
          <w:rPr>
            <w:webHidden/>
          </w:rPr>
          <w:instrText xml:space="preserve"> PAGEREF _Toc213836323 \h </w:instrText>
        </w:r>
        <w:r>
          <w:rPr>
            <w:webHidden/>
          </w:rPr>
        </w:r>
        <w:r>
          <w:rPr>
            <w:webHidden/>
          </w:rPr>
          <w:fldChar w:fldCharType="separate"/>
        </w:r>
        <w:r w:rsidR="003F6C3E">
          <w:rPr>
            <w:webHidden/>
          </w:rPr>
          <w:t>40</w:t>
        </w:r>
        <w:r>
          <w:rPr>
            <w:webHidden/>
          </w:rPr>
          <w:fldChar w:fldCharType="end"/>
        </w:r>
      </w:hyperlink>
    </w:p>
    <w:p w14:paraId="3A8147AC" w14:textId="565F0194" w:rsidR="0016630A" w:rsidRDefault="0016630A">
      <w:pPr>
        <w:pStyle w:val="TOC1"/>
        <w:rPr>
          <w:rFonts w:asciiTheme="minorHAnsi" w:eastAsiaTheme="minorEastAsia" w:hAnsiTheme="minorHAnsi" w:cstheme="minorBidi"/>
          <w:kern w:val="2"/>
          <w:szCs w:val="24"/>
          <w:lang w:eastAsia="en-GB" w:bidi="ar-SA"/>
          <w14:ligatures w14:val="standardContextual"/>
        </w:rPr>
      </w:pPr>
      <w:hyperlink w:anchor="_Toc213836324" w:history="1">
        <w:r w:rsidRPr="00F03810">
          <w:rPr>
            <w:rStyle w:val="Hyperlink"/>
          </w:rPr>
          <w:t>Appendix D - Examples of compliance and administrative issues</w:t>
        </w:r>
        <w:r>
          <w:rPr>
            <w:webHidden/>
          </w:rPr>
          <w:tab/>
        </w:r>
        <w:r>
          <w:rPr>
            <w:webHidden/>
          </w:rPr>
          <w:fldChar w:fldCharType="begin"/>
        </w:r>
        <w:r>
          <w:rPr>
            <w:webHidden/>
          </w:rPr>
          <w:instrText xml:space="preserve"> PAGEREF _Toc213836324 \h </w:instrText>
        </w:r>
        <w:r>
          <w:rPr>
            <w:webHidden/>
          </w:rPr>
        </w:r>
        <w:r>
          <w:rPr>
            <w:webHidden/>
          </w:rPr>
          <w:fldChar w:fldCharType="separate"/>
        </w:r>
        <w:r w:rsidR="003F6C3E">
          <w:rPr>
            <w:webHidden/>
          </w:rPr>
          <w:t>44</w:t>
        </w:r>
        <w:r>
          <w:rPr>
            <w:webHidden/>
          </w:rPr>
          <w:fldChar w:fldCharType="end"/>
        </w:r>
      </w:hyperlink>
    </w:p>
    <w:p w14:paraId="0CA7701F" w14:textId="5E235E17" w:rsidR="0016630A" w:rsidRDefault="0016630A">
      <w:pPr>
        <w:pStyle w:val="TOC1"/>
        <w:rPr>
          <w:rFonts w:asciiTheme="minorHAnsi" w:eastAsiaTheme="minorEastAsia" w:hAnsiTheme="minorHAnsi" w:cstheme="minorBidi"/>
          <w:kern w:val="2"/>
          <w:szCs w:val="24"/>
          <w:lang w:eastAsia="en-GB" w:bidi="ar-SA"/>
          <w14:ligatures w14:val="standardContextual"/>
        </w:rPr>
      </w:pPr>
      <w:hyperlink w:anchor="_Toc213836325" w:history="1">
        <w:r w:rsidRPr="00F03810">
          <w:rPr>
            <w:rStyle w:val="Hyperlink"/>
          </w:rPr>
          <w:t>References</w:t>
        </w:r>
        <w:r>
          <w:rPr>
            <w:webHidden/>
          </w:rPr>
          <w:tab/>
        </w:r>
        <w:r>
          <w:rPr>
            <w:webHidden/>
          </w:rPr>
          <w:fldChar w:fldCharType="begin"/>
        </w:r>
        <w:r>
          <w:rPr>
            <w:webHidden/>
          </w:rPr>
          <w:instrText xml:space="preserve"> PAGEREF _Toc213836325 \h </w:instrText>
        </w:r>
        <w:r>
          <w:rPr>
            <w:webHidden/>
          </w:rPr>
        </w:r>
        <w:r>
          <w:rPr>
            <w:webHidden/>
          </w:rPr>
          <w:fldChar w:fldCharType="separate"/>
        </w:r>
        <w:r w:rsidR="003F6C3E">
          <w:rPr>
            <w:webHidden/>
          </w:rPr>
          <w:t>49</w:t>
        </w:r>
        <w:r>
          <w:rPr>
            <w:webHidden/>
          </w:rPr>
          <w:fldChar w:fldCharType="end"/>
        </w:r>
      </w:hyperlink>
    </w:p>
    <w:p w14:paraId="0E85188D" w14:textId="7D211BBC" w:rsidR="0016630A" w:rsidRDefault="0016630A">
      <w:pPr>
        <w:pStyle w:val="TOC1"/>
        <w:rPr>
          <w:rFonts w:asciiTheme="minorHAnsi" w:eastAsiaTheme="minorEastAsia" w:hAnsiTheme="minorHAnsi" w:cstheme="minorBidi"/>
          <w:kern w:val="2"/>
          <w:szCs w:val="24"/>
          <w:lang w:eastAsia="en-GB" w:bidi="ar-SA"/>
          <w14:ligatures w14:val="standardContextual"/>
        </w:rPr>
      </w:pPr>
      <w:hyperlink w:anchor="_Toc213836326" w:history="1">
        <w:r w:rsidRPr="00F03810">
          <w:rPr>
            <w:rStyle w:val="Hyperlink"/>
          </w:rPr>
          <w:t>Glossary</w:t>
        </w:r>
        <w:r>
          <w:rPr>
            <w:webHidden/>
          </w:rPr>
          <w:tab/>
        </w:r>
        <w:r>
          <w:rPr>
            <w:webHidden/>
          </w:rPr>
          <w:fldChar w:fldCharType="begin"/>
        </w:r>
        <w:r>
          <w:rPr>
            <w:webHidden/>
          </w:rPr>
          <w:instrText xml:space="preserve"> PAGEREF _Toc213836326 \h </w:instrText>
        </w:r>
        <w:r>
          <w:rPr>
            <w:webHidden/>
          </w:rPr>
        </w:r>
        <w:r>
          <w:rPr>
            <w:webHidden/>
          </w:rPr>
          <w:fldChar w:fldCharType="separate"/>
        </w:r>
        <w:r w:rsidR="003F6C3E">
          <w:rPr>
            <w:webHidden/>
          </w:rPr>
          <w:t>51</w:t>
        </w:r>
        <w:r>
          <w:rPr>
            <w:webHidden/>
          </w:rPr>
          <w:fldChar w:fldCharType="end"/>
        </w:r>
      </w:hyperlink>
    </w:p>
    <w:p w14:paraId="230B910C" w14:textId="0258F70D" w:rsidR="0016630A" w:rsidRDefault="0016630A">
      <w:pPr>
        <w:pStyle w:val="TOC1"/>
        <w:rPr>
          <w:rFonts w:asciiTheme="minorHAnsi" w:eastAsiaTheme="minorEastAsia" w:hAnsiTheme="minorHAnsi" w:cstheme="minorBidi"/>
          <w:kern w:val="2"/>
          <w:szCs w:val="24"/>
          <w:lang w:eastAsia="en-GB" w:bidi="ar-SA"/>
          <w14:ligatures w14:val="standardContextual"/>
        </w:rPr>
      </w:pPr>
      <w:hyperlink w:anchor="_Toc213836327" w:history="1">
        <w:r w:rsidRPr="00F03810">
          <w:rPr>
            <w:rStyle w:val="Hyperlink"/>
          </w:rPr>
          <w:t>Document control information</w:t>
        </w:r>
        <w:r>
          <w:rPr>
            <w:webHidden/>
          </w:rPr>
          <w:tab/>
        </w:r>
        <w:r>
          <w:rPr>
            <w:webHidden/>
          </w:rPr>
          <w:fldChar w:fldCharType="begin"/>
        </w:r>
        <w:r>
          <w:rPr>
            <w:webHidden/>
          </w:rPr>
          <w:instrText xml:space="preserve"> PAGEREF _Toc213836327 \h </w:instrText>
        </w:r>
        <w:r>
          <w:rPr>
            <w:webHidden/>
          </w:rPr>
        </w:r>
        <w:r>
          <w:rPr>
            <w:webHidden/>
          </w:rPr>
          <w:fldChar w:fldCharType="separate"/>
        </w:r>
        <w:r w:rsidR="003F6C3E">
          <w:rPr>
            <w:webHidden/>
          </w:rPr>
          <w:t>53</w:t>
        </w:r>
        <w:r>
          <w:rPr>
            <w:webHidden/>
          </w:rPr>
          <w:fldChar w:fldCharType="end"/>
        </w:r>
      </w:hyperlink>
    </w:p>
    <w:p w14:paraId="0CC4B54A" w14:textId="0DC83934" w:rsidR="00267815" w:rsidRPr="006D1B7A" w:rsidRDefault="00886D17" w:rsidP="00267815">
      <w:r w:rsidRPr="006D1B7A">
        <w:fldChar w:fldCharType="end"/>
      </w:r>
    </w:p>
    <w:p w14:paraId="716B9A7E" w14:textId="77777777" w:rsidR="003E098E" w:rsidRPr="006D1B7A" w:rsidRDefault="003E098E" w:rsidP="00267815"/>
    <w:p w14:paraId="4812BFF8" w14:textId="77777777" w:rsidR="003E098E" w:rsidRPr="006D1B7A" w:rsidRDefault="003E098E" w:rsidP="00267815">
      <w:pPr>
        <w:sectPr w:rsidR="003E098E" w:rsidRPr="006D1B7A" w:rsidSect="001A677D">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bookmarkEnd w:id="0"/>
    <w:p w14:paraId="0B65EB14" w14:textId="77777777" w:rsidR="007A2B36" w:rsidRPr="006D1B7A" w:rsidRDefault="007A2B36" w:rsidP="0071501A">
      <w:pPr>
        <w:pStyle w:val="Heading1"/>
        <w:numPr>
          <w:ilvl w:val="0"/>
          <w:numId w:val="4"/>
        </w:numPr>
        <w:ind w:left="851" w:hanging="851"/>
        <w:sectPr w:rsidR="007A2B36" w:rsidRPr="006D1B7A" w:rsidSect="001A677D">
          <w:headerReference w:type="even" r:id="rId24"/>
          <w:headerReference w:type="default" r:id="rId25"/>
          <w:footerReference w:type="even" r:id="rId26"/>
          <w:type w:val="continuous"/>
          <w:pgSz w:w="11906" w:h="16838" w:code="9"/>
          <w:pgMar w:top="1440" w:right="1440" w:bottom="1440" w:left="1440" w:header="397" w:footer="397" w:gutter="0"/>
          <w:cols w:space="312"/>
          <w:docGrid w:linePitch="360"/>
        </w:sectPr>
      </w:pPr>
    </w:p>
    <w:p w14:paraId="43A875A4" w14:textId="7F61F835" w:rsidR="008D49A5" w:rsidRPr="006D1B7A" w:rsidRDefault="008D49A5" w:rsidP="0071501A">
      <w:pPr>
        <w:pStyle w:val="Heading1"/>
        <w:numPr>
          <w:ilvl w:val="0"/>
          <w:numId w:val="4"/>
        </w:numPr>
        <w:ind w:left="851" w:hanging="851"/>
      </w:pPr>
      <w:bookmarkStart w:id="1" w:name="_Toc213836303"/>
      <w:r w:rsidRPr="006D1B7A">
        <w:lastRenderedPageBreak/>
        <w:t>Introduction</w:t>
      </w:r>
      <w:bookmarkEnd w:id="1"/>
    </w:p>
    <w:p w14:paraId="77C81C2B" w14:textId="21D6B1E6" w:rsidR="009B6DF2" w:rsidRPr="006D1B7A" w:rsidRDefault="00C7789A" w:rsidP="000177E0">
      <w:pPr>
        <w:pStyle w:val="Paragraph"/>
      </w:pPr>
      <w:r w:rsidRPr="006D1B7A">
        <w:t>ONR take</w:t>
      </w:r>
      <w:r w:rsidR="00A853D7">
        <w:t>s</w:t>
      </w:r>
      <w:r w:rsidRPr="006D1B7A">
        <w:t xml:space="preserve"> enforcement action when dutyholders are found to be failing to meet the</w:t>
      </w:r>
      <w:r w:rsidR="004372B9">
        <w:t xml:space="preserve"> </w:t>
      </w:r>
      <w:r w:rsidR="004372B9" w:rsidRPr="004372B9">
        <w:t>security, health, safety, safeguards and welfare standards</w:t>
      </w:r>
      <w:r w:rsidRPr="006D1B7A">
        <w:t xml:space="preserve"> required by law. To do this ONR has been provided with a range of enforcement powers, from providing advice to instigating court proceedings.</w:t>
      </w:r>
    </w:p>
    <w:p w14:paraId="42E97AC6" w14:textId="72335313" w:rsidR="00826673" w:rsidRPr="006D1B7A" w:rsidRDefault="001F4BA5" w:rsidP="000177E0">
      <w:pPr>
        <w:pStyle w:val="Paragraph"/>
      </w:pPr>
      <w:r w:rsidRPr="006D1B7A">
        <w:t>All ONR staff who make enforcement decisions are required to follow ONR’s Enforcement Policy Statement</w:t>
      </w:r>
      <w:r w:rsidR="00441C24" w:rsidRPr="006D1B7A">
        <w:t xml:space="preserve"> (EPS) </w:t>
      </w:r>
      <w:sdt>
        <w:sdtPr>
          <w:id w:val="422543277"/>
          <w:citation/>
        </w:sdtPr>
        <w:sdtEndPr/>
        <w:sdtContent>
          <w:r w:rsidR="00FB366D">
            <w:fldChar w:fldCharType="begin"/>
          </w:r>
          <w:r w:rsidR="00FB366D">
            <w:instrText xml:space="preserve">CITATION ONR14 \l 2057 </w:instrText>
          </w:r>
          <w:r w:rsidR="00FB366D">
            <w:fldChar w:fldCharType="separate"/>
          </w:r>
          <w:r w:rsidR="00FB366D" w:rsidRPr="00FB366D">
            <w:rPr>
              <w:noProof/>
            </w:rPr>
            <w:t>[1]</w:t>
          </w:r>
          <w:r w:rsidR="00FB366D">
            <w:fldChar w:fldCharType="end"/>
          </w:r>
        </w:sdtContent>
      </w:sdt>
      <w:r w:rsidR="00441C24" w:rsidRPr="006D1B7A">
        <w:t xml:space="preserve">. </w:t>
      </w:r>
      <w:r w:rsidRPr="006D1B7A">
        <w:t xml:space="preserve">The appropriate use of enforcement powers, including prosecution, is important, both to secure compliance with the law and to ensure that those who have duties under it may be held to account for failures to meet </w:t>
      </w:r>
      <w:bookmarkStart w:id="2" w:name="_Hlk211498304"/>
      <w:r w:rsidRPr="006D1B7A">
        <w:t>security, health, safety, safeguards and welfare standards</w:t>
      </w:r>
      <w:bookmarkEnd w:id="2"/>
      <w:r w:rsidRPr="006D1B7A">
        <w:t>.</w:t>
      </w:r>
    </w:p>
    <w:p w14:paraId="3C930C94" w14:textId="73E57278" w:rsidR="00755E7C" w:rsidRPr="006D1B7A" w:rsidRDefault="00755E7C" w:rsidP="000177E0">
      <w:pPr>
        <w:pStyle w:val="Paragraph"/>
      </w:pPr>
      <w:r w:rsidRPr="006D1B7A">
        <w:t xml:space="preserve">The </w:t>
      </w:r>
      <w:r w:rsidRPr="006D1B7A">
        <w:rPr>
          <w:b/>
          <w:bCs/>
        </w:rPr>
        <w:t>purpose of this guidance</w:t>
      </w:r>
      <w:r w:rsidRPr="006D1B7A">
        <w:t xml:space="preserve"> is the practical application of ONR</w:t>
      </w:r>
      <w:r w:rsidR="0095133A" w:rsidRPr="006D1B7A">
        <w:t xml:space="preserve">’s </w:t>
      </w:r>
      <w:r w:rsidR="00441C24" w:rsidRPr="006D1B7A">
        <w:t>EPS</w:t>
      </w:r>
      <w:r w:rsidR="00D276BB">
        <w:t>,</w:t>
      </w:r>
      <w:r w:rsidR="0095133A" w:rsidRPr="006D1B7A">
        <w:t xml:space="preserve"> </w:t>
      </w:r>
      <w:r w:rsidR="00D276BB">
        <w:t>p</w:t>
      </w:r>
      <w:r w:rsidR="005C664E" w:rsidRPr="006D1B7A">
        <w:t>roviding a</w:t>
      </w:r>
      <w:r w:rsidR="00B9685D">
        <w:t>n ONR</w:t>
      </w:r>
      <w:r w:rsidR="005C664E" w:rsidRPr="006D1B7A">
        <w:t xml:space="preserve"> framework </w:t>
      </w:r>
      <w:r w:rsidR="00B30006" w:rsidRPr="00B30006">
        <w:t xml:space="preserve">to support effective regulatory decision making </w:t>
      </w:r>
      <w:r w:rsidR="00AE5E9E">
        <w:t>where</w:t>
      </w:r>
      <w:r w:rsidR="005C664E" w:rsidRPr="006D1B7A">
        <w:t xml:space="preserve"> enforcement action is </w:t>
      </w:r>
      <w:r w:rsidR="00F64C4A" w:rsidRPr="006D1B7A">
        <w:t>proportiona</w:t>
      </w:r>
      <w:r w:rsidR="00F64C4A">
        <w:t>l</w:t>
      </w:r>
      <w:r w:rsidR="005C664E" w:rsidRPr="006D1B7A">
        <w:t xml:space="preserve"> to the legal breach</w:t>
      </w:r>
      <w:r w:rsidR="003F28EE">
        <w:t>.</w:t>
      </w:r>
    </w:p>
    <w:p w14:paraId="50009942" w14:textId="3FCE7693" w:rsidR="002D3275" w:rsidRPr="006D1B7A" w:rsidRDefault="002D3275" w:rsidP="000177E0">
      <w:pPr>
        <w:pStyle w:val="Paragraph"/>
      </w:pPr>
      <w:r w:rsidRPr="006D1B7A">
        <w:t xml:space="preserve">The </w:t>
      </w:r>
      <w:r w:rsidRPr="006D1B7A">
        <w:rPr>
          <w:b/>
          <w:bCs/>
        </w:rPr>
        <w:t>regulatory outcome we are seeking</w:t>
      </w:r>
      <w:r w:rsidRPr="006D1B7A">
        <w:t xml:space="preserve"> is consistent </w:t>
      </w:r>
      <w:r w:rsidR="00C57326" w:rsidRPr="006D1B7A">
        <w:t xml:space="preserve">decision making which meets the purposes of </w:t>
      </w:r>
      <w:r w:rsidR="001C01DE">
        <w:t>e</w:t>
      </w:r>
      <w:r w:rsidR="00C57326" w:rsidRPr="006D1B7A">
        <w:t>nforcement</w:t>
      </w:r>
      <w:r w:rsidR="00FB366D">
        <w:t>,</w:t>
      </w:r>
      <w:r w:rsidR="009203EC" w:rsidRPr="006D1B7A">
        <w:t xml:space="preserve"> as defined in the EPS</w:t>
      </w:r>
      <w:r w:rsidR="00C57326" w:rsidRPr="006D1B7A">
        <w:t>:</w:t>
      </w:r>
    </w:p>
    <w:p w14:paraId="4BB743F9" w14:textId="77777777" w:rsidR="002B53A9" w:rsidRPr="006D1B7A" w:rsidRDefault="002B53A9" w:rsidP="000177E0">
      <w:pPr>
        <w:pStyle w:val="Paragraph"/>
        <w:numPr>
          <w:ilvl w:val="1"/>
          <w:numId w:val="26"/>
        </w:numPr>
      </w:pPr>
      <w:r w:rsidRPr="006D1B7A">
        <w:t xml:space="preserve">ensure that dutyholders take action to deal immediately with serious risks; </w:t>
      </w:r>
    </w:p>
    <w:p w14:paraId="50B78890" w14:textId="77777777" w:rsidR="002B53A9" w:rsidRPr="006D1B7A" w:rsidRDefault="002B53A9" w:rsidP="000177E0">
      <w:pPr>
        <w:pStyle w:val="Paragraph"/>
        <w:numPr>
          <w:ilvl w:val="1"/>
          <w:numId w:val="26"/>
        </w:numPr>
      </w:pPr>
      <w:r w:rsidRPr="006D1B7A">
        <w:t xml:space="preserve">promote, achieve and sustain compliance with the law;  </w:t>
      </w:r>
    </w:p>
    <w:p w14:paraId="2BFEE5BD" w14:textId="77777777" w:rsidR="002B53A9" w:rsidRPr="006D1B7A" w:rsidRDefault="002B53A9" w:rsidP="000177E0">
      <w:pPr>
        <w:pStyle w:val="Paragraph"/>
        <w:numPr>
          <w:ilvl w:val="1"/>
          <w:numId w:val="26"/>
        </w:numPr>
      </w:pPr>
      <w:r w:rsidRPr="006D1B7A">
        <w:t xml:space="preserve">ensure that dutyholders who breach regulatory requirements, and directors or managers who fail in their responsibilities, are held to account, which may include bringing alleged offenders before the courts in England and Wales, or recommending prosecution in Scotland, in the circumstances set out later in this policy. </w:t>
      </w:r>
    </w:p>
    <w:p w14:paraId="2AA91D63" w14:textId="07F5A5E5" w:rsidR="00C57326" w:rsidRPr="006D1B7A" w:rsidRDefault="00DA1DA0" w:rsidP="000177E0">
      <w:pPr>
        <w:pStyle w:val="Paragraph"/>
      </w:pPr>
      <w:r w:rsidRPr="006D1B7A">
        <w:t>The guidance is for all inspectors who are judging compliance</w:t>
      </w:r>
      <w:r w:rsidR="00076CEE" w:rsidRPr="006D1B7A">
        <w:t xml:space="preserve"> of dutyholders</w:t>
      </w:r>
      <w:r w:rsidR="004B651D" w:rsidRPr="006D1B7A">
        <w:t>,</w:t>
      </w:r>
      <w:r w:rsidR="00076CEE" w:rsidRPr="006D1B7A">
        <w:t xml:space="preserve"> irrespective of </w:t>
      </w:r>
      <w:r w:rsidR="004B651D" w:rsidRPr="006D1B7A">
        <w:t xml:space="preserve">ONR </w:t>
      </w:r>
      <w:r w:rsidR="009404FB" w:rsidRPr="006D1B7A">
        <w:t>purpose</w:t>
      </w:r>
      <w:r w:rsidR="009404FB" w:rsidRPr="006D1B7A">
        <w:rPr>
          <w:vertAlign w:val="superscript"/>
        </w:rPr>
        <w:footnoteReference w:id="2"/>
      </w:r>
      <w:r w:rsidR="002F2920" w:rsidRPr="006D1B7A">
        <w:t xml:space="preserve">, covering the nuclear industry and relevant areas of the non-nuclear industry for which </w:t>
      </w:r>
      <w:r w:rsidR="00914BD6" w:rsidRPr="006D1B7A">
        <w:t>ONR</w:t>
      </w:r>
      <w:r w:rsidR="002F2920" w:rsidRPr="006D1B7A">
        <w:t xml:space="preserve"> are the enforcing authority.</w:t>
      </w:r>
      <w:r w:rsidR="00C842BE" w:rsidRPr="006D1B7A">
        <w:t xml:space="preserve"> </w:t>
      </w:r>
      <w:r w:rsidR="00914BD6" w:rsidRPr="006D1B7A">
        <w:t>This guidance is</w:t>
      </w:r>
      <w:r w:rsidR="00C842BE" w:rsidRPr="006D1B7A">
        <w:t xml:space="preserve"> </w:t>
      </w:r>
      <w:r w:rsidR="00AD3C96" w:rsidRPr="006D1B7A">
        <w:t xml:space="preserve">also </w:t>
      </w:r>
      <w:r w:rsidR="00C842BE" w:rsidRPr="006D1B7A">
        <w:t xml:space="preserve">for </w:t>
      </w:r>
      <w:r w:rsidR="001B70BA" w:rsidRPr="006D1B7A">
        <w:t>inspectors who are carrying out peer review or approval of enforcement decisions.</w:t>
      </w:r>
    </w:p>
    <w:p w14:paraId="4C03D266" w14:textId="77777777" w:rsidR="001A677D" w:rsidRDefault="001A677D" w:rsidP="000177E0">
      <w:pPr>
        <w:pStyle w:val="Paragraph"/>
        <w:sectPr w:rsidR="001A677D" w:rsidSect="001A677D">
          <w:pgSz w:w="11906" w:h="16838" w:code="9"/>
          <w:pgMar w:top="1440" w:right="1440" w:bottom="1440" w:left="1440" w:header="397" w:footer="397" w:gutter="0"/>
          <w:cols w:space="312"/>
          <w:docGrid w:linePitch="360"/>
        </w:sectPr>
      </w:pPr>
    </w:p>
    <w:p w14:paraId="0332C0EF" w14:textId="78FE4497" w:rsidR="00241436" w:rsidRPr="006D1B7A" w:rsidRDefault="00241436" w:rsidP="000177E0">
      <w:pPr>
        <w:pStyle w:val="Paragraph"/>
      </w:pPr>
      <w:r w:rsidRPr="006D1B7A">
        <w:lastRenderedPageBreak/>
        <w:t xml:space="preserve">Enforcement is </w:t>
      </w:r>
      <w:r w:rsidR="00DB5046" w:rsidRPr="006D1B7A">
        <w:t>the</w:t>
      </w:r>
      <w:r w:rsidRPr="006D1B7A">
        <w:t xml:space="preserve"> </w:t>
      </w:r>
      <w:r w:rsidR="009516D3" w:rsidRPr="006D1B7A">
        <w:t>foundation to how we regulate</w:t>
      </w:r>
      <w:r w:rsidR="0068636A" w:rsidRPr="006D1B7A">
        <w:t>.</w:t>
      </w:r>
      <w:r w:rsidR="005D300E" w:rsidRPr="006D1B7A">
        <w:t xml:space="preserve"> </w:t>
      </w:r>
      <w:r w:rsidR="00955254" w:rsidRPr="006D1B7A">
        <w:t xml:space="preserve">The term ‘enforcement’ has a wide meaning and applies to all dealings between enforcing authorities and those on whom the law places duties. </w:t>
      </w:r>
      <w:r w:rsidR="0068636A" w:rsidRPr="006D1B7A">
        <w:t>W</w:t>
      </w:r>
      <w:r w:rsidR="003243E2" w:rsidRPr="006D1B7A">
        <w:t xml:space="preserve">e are considering it throughout our interactions, </w:t>
      </w:r>
      <w:r w:rsidR="00AD3C96" w:rsidRPr="006D1B7A">
        <w:t>such as</w:t>
      </w:r>
      <w:r w:rsidR="00112DBC" w:rsidRPr="006D1B7A">
        <w:t xml:space="preserve"> investigations </w:t>
      </w:r>
      <w:r w:rsidR="000F38DB" w:rsidRPr="006D1B7A">
        <w:t xml:space="preserve">as well as when judging compliance </w:t>
      </w:r>
      <w:r w:rsidR="00D55397" w:rsidRPr="006D1B7A">
        <w:t>as part of our inspection</w:t>
      </w:r>
      <w:r w:rsidR="00990BC9" w:rsidRPr="006D1B7A">
        <w:t xml:space="preserve"> regime (</w:t>
      </w:r>
      <w:r w:rsidR="004828D0" w:rsidRPr="006D1B7A">
        <w:t xml:space="preserve">where </w:t>
      </w:r>
      <w:r w:rsidR="00D55397" w:rsidRPr="006D1B7A">
        <w:t>we are proposing a</w:t>
      </w:r>
      <w:r w:rsidR="00DD6361" w:rsidRPr="006D1B7A">
        <w:t>n</w:t>
      </w:r>
      <w:r w:rsidR="00D55397" w:rsidRPr="006D1B7A">
        <w:t xml:space="preserve"> amber or red </w:t>
      </w:r>
      <w:r w:rsidR="00B15204" w:rsidRPr="006D1B7A">
        <w:t xml:space="preserve">rating </w:t>
      </w:r>
      <w:sdt>
        <w:sdtPr>
          <w:id w:val="-1117062228"/>
          <w:citation/>
        </w:sdtPr>
        <w:sdtEndPr/>
        <w:sdtContent>
          <w:r w:rsidR="00D600F3" w:rsidRPr="006D1B7A">
            <w:fldChar w:fldCharType="begin"/>
          </w:r>
          <w:r w:rsidR="00D600F3" w:rsidRPr="006D1B7A">
            <w:instrText xml:space="preserve"> CITATION ONR187 \l 2057 </w:instrText>
          </w:r>
          <w:r w:rsidR="00D600F3" w:rsidRPr="006D1B7A">
            <w:fldChar w:fldCharType="separate"/>
          </w:r>
          <w:r w:rsidR="00EB346B" w:rsidRPr="00EB346B">
            <w:rPr>
              <w:noProof/>
            </w:rPr>
            <w:t>[2]</w:t>
          </w:r>
          <w:r w:rsidR="00D600F3" w:rsidRPr="006D1B7A">
            <w:fldChar w:fldCharType="end"/>
          </w:r>
        </w:sdtContent>
      </w:sdt>
      <w:r w:rsidR="00B15204" w:rsidRPr="006D1B7A">
        <w:t>)</w:t>
      </w:r>
      <w:r w:rsidR="00D55397" w:rsidRPr="006D1B7A">
        <w:t>.</w:t>
      </w:r>
    </w:p>
    <w:p w14:paraId="088B477E" w14:textId="77777777" w:rsidR="00C459E9" w:rsidRPr="006D1B7A" w:rsidRDefault="00C459E9" w:rsidP="00AC20F1">
      <w:pPr>
        <w:pStyle w:val="Heading2"/>
        <w:sectPr w:rsidR="00C459E9" w:rsidRPr="006D1B7A" w:rsidSect="001A677D">
          <w:pgSz w:w="11906" w:h="16838" w:code="9"/>
          <w:pgMar w:top="1440" w:right="1440" w:bottom="1440" w:left="1440" w:header="397" w:footer="397" w:gutter="0"/>
          <w:cols w:space="312"/>
          <w:docGrid w:linePitch="360"/>
        </w:sectPr>
      </w:pPr>
    </w:p>
    <w:p w14:paraId="6E153B15" w14:textId="77777777" w:rsidR="001A677D" w:rsidRDefault="001A677D" w:rsidP="00C459E9">
      <w:pPr>
        <w:pStyle w:val="Heading1"/>
        <w:sectPr w:rsidR="001A677D" w:rsidSect="001A677D">
          <w:type w:val="continuous"/>
          <w:pgSz w:w="11906" w:h="16838" w:code="9"/>
          <w:pgMar w:top="1440" w:right="1440" w:bottom="1440" w:left="1440" w:header="397" w:footer="397" w:gutter="0"/>
          <w:cols w:space="312"/>
          <w:docGrid w:linePitch="360"/>
        </w:sectPr>
      </w:pPr>
    </w:p>
    <w:p w14:paraId="6CF3A439" w14:textId="7A0A3E5D" w:rsidR="00FF198B" w:rsidRPr="006D1B7A" w:rsidRDefault="00FF198B" w:rsidP="00C459E9">
      <w:pPr>
        <w:pStyle w:val="Heading1"/>
      </w:pPr>
      <w:bookmarkStart w:id="3" w:name="_Toc213836304"/>
      <w:r w:rsidRPr="006D1B7A">
        <w:lastRenderedPageBreak/>
        <w:t xml:space="preserve">Purpose </w:t>
      </w:r>
      <w:r w:rsidR="00C459E9" w:rsidRPr="006D1B7A">
        <w:t xml:space="preserve">and application of </w:t>
      </w:r>
      <w:r w:rsidR="00957CFE" w:rsidRPr="006D1B7A">
        <w:t>enforcement</w:t>
      </w:r>
      <w:bookmarkEnd w:id="3"/>
    </w:p>
    <w:p w14:paraId="1526F52D" w14:textId="2101259C" w:rsidR="00957CFE" w:rsidRPr="006D1B7A" w:rsidRDefault="00957CFE" w:rsidP="00957CFE">
      <w:pPr>
        <w:pStyle w:val="Heading2"/>
      </w:pPr>
      <w:bookmarkStart w:id="4" w:name="_Toc213836305"/>
      <w:r w:rsidRPr="006D1B7A">
        <w:t xml:space="preserve">Purpose of </w:t>
      </w:r>
      <w:r w:rsidR="001D4E28" w:rsidRPr="006D1B7A">
        <w:t>t</w:t>
      </w:r>
      <w:r w:rsidRPr="006D1B7A">
        <w:t>he E</w:t>
      </w:r>
      <w:r w:rsidR="00B62A9A" w:rsidRPr="006D1B7A">
        <w:t xml:space="preserve">nforcement </w:t>
      </w:r>
      <w:r w:rsidRPr="006D1B7A">
        <w:t>M</w:t>
      </w:r>
      <w:r w:rsidR="00B62A9A" w:rsidRPr="006D1B7A">
        <w:t>ana</w:t>
      </w:r>
      <w:r w:rsidR="001D4E28" w:rsidRPr="006D1B7A">
        <w:t xml:space="preserve">gement </w:t>
      </w:r>
      <w:r w:rsidRPr="006D1B7A">
        <w:t>M</w:t>
      </w:r>
      <w:r w:rsidR="001D4E28" w:rsidRPr="006D1B7A">
        <w:t>odel (EMM)</w:t>
      </w:r>
      <w:bookmarkEnd w:id="4"/>
    </w:p>
    <w:p w14:paraId="6897C10D" w14:textId="0F54781E" w:rsidR="007F0120" w:rsidRPr="006D1B7A" w:rsidRDefault="00E3364C" w:rsidP="000177E0">
      <w:pPr>
        <w:pStyle w:val="Paragraph"/>
        <w:rPr>
          <w:b/>
          <w:bCs/>
          <w:caps/>
        </w:rPr>
      </w:pPr>
      <w:r w:rsidRPr="006D1B7A">
        <w:rPr>
          <w:lang w:eastAsia="en-GB"/>
        </w:rPr>
        <w:t xml:space="preserve">The EMM is not a procedure in its own right. It is not intended to fetter inspectors’ discretion when making enforcement decisions </w:t>
      </w:r>
      <w:r w:rsidRPr="00FA7935">
        <w:rPr>
          <w:b/>
          <w:bCs/>
          <w:lang w:eastAsia="en-GB"/>
        </w:rPr>
        <w:t>and it does not direct enforcement in any particular case</w:t>
      </w:r>
      <w:r w:rsidRPr="006D1B7A">
        <w:rPr>
          <w:lang w:eastAsia="en-GB"/>
        </w:rPr>
        <w:t xml:space="preserve">. It is intended to: </w:t>
      </w:r>
    </w:p>
    <w:p w14:paraId="20D5F9E6" w14:textId="2D7390F2" w:rsidR="007F0120" w:rsidRPr="001A677D" w:rsidRDefault="007F0120" w:rsidP="001A677D">
      <w:pPr>
        <w:pStyle w:val="Bulletlist1"/>
      </w:pPr>
      <w:r w:rsidRPr="001A677D">
        <w:t xml:space="preserve">ensure consistency </w:t>
      </w:r>
      <w:r w:rsidR="005D5E05" w:rsidRPr="001A677D">
        <w:t xml:space="preserve">of </w:t>
      </w:r>
      <w:r w:rsidR="0002251F" w:rsidRPr="001A677D">
        <w:t>ONR</w:t>
      </w:r>
      <w:r w:rsidR="00ED0B65" w:rsidRPr="001A677D">
        <w:t xml:space="preserve">’s </w:t>
      </w:r>
      <w:r w:rsidR="002A7205" w:rsidRPr="001A677D">
        <w:t xml:space="preserve">approach </w:t>
      </w:r>
      <w:r w:rsidRPr="001A677D">
        <w:t>in enforcement decision making;</w:t>
      </w:r>
    </w:p>
    <w:p w14:paraId="4BE0AECA" w14:textId="635A974B" w:rsidR="007F0120" w:rsidRPr="001A677D" w:rsidRDefault="007F0120" w:rsidP="001A677D">
      <w:pPr>
        <w:pStyle w:val="Bulletlist1"/>
      </w:pPr>
      <w:r w:rsidRPr="001A677D">
        <w:t xml:space="preserve">ensure </w:t>
      </w:r>
      <w:r w:rsidR="00A6533F" w:rsidRPr="001A677D">
        <w:t>proportiona</w:t>
      </w:r>
      <w:r w:rsidR="00947F26" w:rsidRPr="001A677D">
        <w:t>lity</w:t>
      </w:r>
      <w:r w:rsidR="00385ADF" w:rsidRPr="001A677D">
        <w:rPr>
          <w:rStyle w:val="FootnoteReference"/>
        </w:rPr>
        <w:footnoteReference w:id="3"/>
      </w:r>
      <w:r w:rsidR="00A6533F" w:rsidRPr="001A677D">
        <w:rPr>
          <w:vertAlign w:val="superscript"/>
        </w:rPr>
        <w:t xml:space="preserve"> </w:t>
      </w:r>
      <w:r w:rsidR="00A6533F" w:rsidRPr="001A677D">
        <w:t xml:space="preserve">and </w:t>
      </w:r>
      <w:r w:rsidRPr="001A677D">
        <w:t>targeting</w:t>
      </w:r>
      <w:r w:rsidR="003514F3" w:rsidRPr="001A677D">
        <w:rPr>
          <w:rStyle w:val="FootnoteReference"/>
        </w:rPr>
        <w:footnoteReference w:id="4"/>
      </w:r>
      <w:r w:rsidRPr="001A677D">
        <w:t xml:space="preserve"> by considering the risk based criteria against which decisions are made;</w:t>
      </w:r>
    </w:p>
    <w:p w14:paraId="059E6B1B" w14:textId="77777777" w:rsidR="007F0120" w:rsidRPr="001A677D" w:rsidRDefault="007F0120" w:rsidP="001A677D">
      <w:pPr>
        <w:pStyle w:val="Bulletlist1"/>
      </w:pPr>
      <w:r w:rsidRPr="001A677D">
        <w:t xml:space="preserve">provide a framework for making enforcement decisions transparent, and for ensuring that those who make decisions are accountable for them; </w:t>
      </w:r>
    </w:p>
    <w:p w14:paraId="297F979E" w14:textId="322AB9E5" w:rsidR="007F0120" w:rsidRPr="001A677D" w:rsidRDefault="007F0120" w:rsidP="001A677D">
      <w:pPr>
        <w:pStyle w:val="Bulletlist1"/>
      </w:pPr>
      <w:r w:rsidRPr="001A677D">
        <w:t xml:space="preserve">help inspectors assess their decisions in complex cases, allow peer review of enforcement action; and </w:t>
      </w:r>
    </w:p>
    <w:p w14:paraId="1EE853B4" w14:textId="77777777" w:rsidR="007F0120" w:rsidRPr="001A677D" w:rsidRDefault="007F0120" w:rsidP="001A677D">
      <w:pPr>
        <w:pStyle w:val="Bulletlist1"/>
      </w:pPr>
      <w:r w:rsidRPr="001A677D">
        <w:t>guide less experienced inspectors in making enforcement decisions.</w:t>
      </w:r>
    </w:p>
    <w:p w14:paraId="47B4E344" w14:textId="340A4313" w:rsidR="000313A9" w:rsidRPr="006D1B7A" w:rsidRDefault="007F0120" w:rsidP="000177E0">
      <w:pPr>
        <w:pStyle w:val="Paragraph"/>
      </w:pPr>
      <w:r w:rsidRPr="006D1B7A">
        <w:t xml:space="preserve">The EMM provides a framework for making consistent enforcement decisions; </w:t>
      </w:r>
      <w:r w:rsidRPr="006D1B7A">
        <w:rPr>
          <w:b/>
        </w:rPr>
        <w:t>it is not a mechanistic decision</w:t>
      </w:r>
      <w:r w:rsidR="00FB366D">
        <w:rPr>
          <w:b/>
        </w:rPr>
        <w:t xml:space="preserve"> </w:t>
      </w:r>
      <w:r w:rsidRPr="006D1B7A">
        <w:rPr>
          <w:b/>
        </w:rPr>
        <w:t>making tool</w:t>
      </w:r>
      <w:r w:rsidRPr="006D1B7A">
        <w:t xml:space="preserve">. Rather it guides inspectors in considering the key aspects of a dutyholder’s shortfall in performance; to arrive at the most appropriate enforcement decision for the circumstances. </w:t>
      </w:r>
    </w:p>
    <w:p w14:paraId="780B5066" w14:textId="77777777" w:rsidR="001A677D" w:rsidRDefault="001A677D" w:rsidP="00E24D77">
      <w:pPr>
        <w:pStyle w:val="Heading2"/>
        <w:sectPr w:rsidR="001A677D" w:rsidSect="001A677D">
          <w:pgSz w:w="11906" w:h="16838" w:code="9"/>
          <w:pgMar w:top="1440" w:right="1440" w:bottom="1440" w:left="1440" w:header="397" w:footer="397" w:gutter="0"/>
          <w:cols w:space="312"/>
          <w:docGrid w:linePitch="360"/>
        </w:sectPr>
      </w:pPr>
    </w:p>
    <w:p w14:paraId="072A6773" w14:textId="24E316D0" w:rsidR="00FE482C" w:rsidRPr="006D1B7A" w:rsidRDefault="00675D7F" w:rsidP="00E24D77">
      <w:pPr>
        <w:pStyle w:val="Heading2"/>
      </w:pPr>
      <w:bookmarkStart w:id="5" w:name="_Toc213836306"/>
      <w:r w:rsidRPr="006D1B7A">
        <w:lastRenderedPageBreak/>
        <w:t>Circumstances w</w:t>
      </w:r>
      <w:r w:rsidR="00DA17B9" w:rsidRPr="006D1B7A">
        <w:t xml:space="preserve">here we expect to </w:t>
      </w:r>
      <w:r w:rsidR="00C21E9F" w:rsidRPr="006D1B7A">
        <w:t>consider</w:t>
      </w:r>
      <w:r w:rsidR="00DA17B9" w:rsidRPr="006D1B7A">
        <w:t xml:space="preserve"> prosecution</w:t>
      </w:r>
      <w:bookmarkEnd w:id="5"/>
    </w:p>
    <w:p w14:paraId="2EC11091" w14:textId="401F92F2" w:rsidR="00144605" w:rsidRPr="006D1B7A" w:rsidRDefault="000E0DFB" w:rsidP="000177E0">
      <w:pPr>
        <w:pStyle w:val="Paragraph"/>
      </w:pPr>
      <w:r w:rsidRPr="003D1F28">
        <w:rPr>
          <w:b/>
          <w:bCs/>
        </w:rPr>
        <w:t>The EMM cannot dictate that prosecution will be taken</w:t>
      </w:r>
      <w:r w:rsidRPr="006D1B7A">
        <w:t xml:space="preserve">. It can only ever recommend the </w:t>
      </w:r>
      <w:r w:rsidRPr="004D3F3D">
        <w:rPr>
          <w:i/>
          <w:iCs/>
        </w:rPr>
        <w:t>consideration</w:t>
      </w:r>
      <w:r w:rsidRPr="006D1B7A">
        <w:t xml:space="preserve"> for prosecution. This is because the EMM does not seek to formally apply any evidential tests to determine if there is sufficient admissible evidence to support prosecution, or to apply a public interest test to determine whether prosecution is proportionate, as required by the Code for Crown Prosecutors. Notwithstanding that for Scotland, the decision to prosecute is taken by the </w:t>
      </w:r>
      <w:r w:rsidR="00C2063C" w:rsidRPr="00C2063C">
        <w:t xml:space="preserve">Crown Office and Procurator Fiscal Service </w:t>
      </w:r>
      <w:r w:rsidR="00C2063C">
        <w:t>(</w:t>
      </w:r>
      <w:r w:rsidRPr="006D1B7A">
        <w:t>COPFS</w:t>
      </w:r>
      <w:r w:rsidR="00C2063C">
        <w:t>)</w:t>
      </w:r>
      <w:r w:rsidRPr="006D1B7A">
        <w:t xml:space="preserve"> and not O</w:t>
      </w:r>
      <w:r w:rsidR="00144605" w:rsidRPr="006D1B7A">
        <w:t>N</w:t>
      </w:r>
      <w:r w:rsidRPr="006D1B7A">
        <w:t>R</w:t>
      </w:r>
      <w:r w:rsidR="001B16F8" w:rsidRPr="006D1B7A">
        <w:t xml:space="preserve">. </w:t>
      </w:r>
    </w:p>
    <w:p w14:paraId="1E503EA0" w14:textId="03B15BD8" w:rsidR="005F0C91" w:rsidRPr="006D1B7A" w:rsidRDefault="001B16F8" w:rsidP="000177E0">
      <w:pPr>
        <w:pStyle w:val="Paragraph"/>
      </w:pPr>
      <w:r w:rsidRPr="006D1B7A">
        <w:t>The inspector should identify</w:t>
      </w:r>
      <w:r w:rsidR="00276408" w:rsidRPr="006D1B7A">
        <w:t xml:space="preserve"> from </w:t>
      </w:r>
      <w:r w:rsidR="006E192B" w:rsidRPr="006D1B7A">
        <w:t xml:space="preserve">the </w:t>
      </w:r>
      <w:r w:rsidR="00DA7672" w:rsidRPr="006D1B7A">
        <w:t>EPS</w:t>
      </w:r>
      <w:r w:rsidR="00FB366D">
        <w:t xml:space="preserve"> </w:t>
      </w:r>
      <w:sdt>
        <w:sdtPr>
          <w:id w:val="541414017"/>
          <w:citation/>
        </w:sdtPr>
        <w:sdtEndPr/>
        <w:sdtContent>
          <w:r w:rsidR="00FB366D">
            <w:fldChar w:fldCharType="begin"/>
          </w:r>
          <w:r w:rsidR="00FB366D">
            <w:instrText xml:space="preserve"> CITATION ONR14 \l 2057 </w:instrText>
          </w:r>
          <w:r w:rsidR="00FB366D">
            <w:fldChar w:fldCharType="separate"/>
          </w:r>
          <w:r w:rsidR="00FB366D" w:rsidRPr="00FB366D">
            <w:rPr>
              <w:noProof/>
            </w:rPr>
            <w:t>[1]</w:t>
          </w:r>
          <w:r w:rsidR="00FB366D">
            <w:fldChar w:fldCharType="end"/>
          </w:r>
        </w:sdtContent>
      </w:sdt>
      <w:r w:rsidR="00217D38">
        <w:t>,</w:t>
      </w:r>
      <w:r w:rsidR="00B6124C" w:rsidRPr="006D1B7A">
        <w:t xml:space="preserve"> </w:t>
      </w:r>
      <w:r w:rsidR="0065422E" w:rsidRPr="006D1B7A">
        <w:t>if</w:t>
      </w:r>
      <w:r w:rsidR="00B6124C" w:rsidRPr="006D1B7A">
        <w:t xml:space="preserve"> </w:t>
      </w:r>
      <w:r w:rsidR="00272A2B" w:rsidRPr="006D1B7A">
        <w:t>one or more of the circumstances apply</w:t>
      </w:r>
      <w:r w:rsidR="009B05BD" w:rsidRPr="009B05BD">
        <w:t xml:space="preserve"> </w:t>
      </w:r>
      <w:r w:rsidR="00217D38">
        <w:t xml:space="preserve">where </w:t>
      </w:r>
      <w:r w:rsidR="009B05BD" w:rsidRPr="006D1B7A">
        <w:t>ONR would normally prosecute, or recommend prosecution</w:t>
      </w:r>
      <w:r w:rsidR="0052720E">
        <w:t>.</w:t>
      </w:r>
      <w:r w:rsidRPr="006D1B7A">
        <w:t xml:space="preserve"> </w:t>
      </w:r>
    </w:p>
    <w:p w14:paraId="59AE0BBE" w14:textId="40D790D4" w:rsidR="00911DBE" w:rsidRDefault="00320F39" w:rsidP="000177E0">
      <w:pPr>
        <w:pStyle w:val="Paragraph"/>
      </w:pPr>
      <w:r w:rsidRPr="006D1B7A">
        <w:t xml:space="preserve">For </w:t>
      </w:r>
      <w:r w:rsidR="00912A3F" w:rsidRPr="006D1B7A">
        <w:t>most</w:t>
      </w:r>
      <w:r w:rsidRPr="006D1B7A">
        <w:t xml:space="preserve"> of the </w:t>
      </w:r>
      <w:r w:rsidR="008520B2" w:rsidRPr="006D1B7A">
        <w:t xml:space="preserve">circumstances </w:t>
      </w:r>
      <w:r w:rsidR="00BF6B7A">
        <w:t xml:space="preserve">listed in the EPS, </w:t>
      </w:r>
      <w:r w:rsidRPr="006D1B7A">
        <w:t xml:space="preserve">it will be evident </w:t>
      </w:r>
      <w:r w:rsidR="002F5401" w:rsidRPr="006D1B7A">
        <w:t xml:space="preserve">to the inspector </w:t>
      </w:r>
      <w:r w:rsidR="00E51EEC">
        <w:t xml:space="preserve">(utilising specialist inspector advice as required) </w:t>
      </w:r>
      <w:r w:rsidR="00921BDD">
        <w:t xml:space="preserve">to confirm </w:t>
      </w:r>
      <w:r w:rsidR="00676B3C">
        <w:t>if</w:t>
      </w:r>
      <w:r w:rsidRPr="006D1B7A">
        <w:t xml:space="preserve"> the investigation criteria</w:t>
      </w:r>
      <w:sdt>
        <w:sdtPr>
          <w:id w:val="873658362"/>
          <w:citation/>
        </w:sdtPr>
        <w:sdtEndPr/>
        <w:sdtContent>
          <w:r w:rsidR="003C36DA">
            <w:fldChar w:fldCharType="begin"/>
          </w:r>
          <w:r w:rsidR="000177E0">
            <w:instrText xml:space="preserve">CITATION ONR31 \l 2057 </w:instrText>
          </w:r>
          <w:r w:rsidR="003C36DA">
            <w:fldChar w:fldCharType="separate"/>
          </w:r>
          <w:r w:rsidR="000177E0">
            <w:rPr>
              <w:noProof/>
            </w:rPr>
            <w:t xml:space="preserve"> </w:t>
          </w:r>
          <w:r w:rsidR="000177E0" w:rsidRPr="000177E0">
            <w:rPr>
              <w:noProof/>
            </w:rPr>
            <w:t>[3]</w:t>
          </w:r>
          <w:r w:rsidR="003C36DA">
            <w:fldChar w:fldCharType="end"/>
          </w:r>
        </w:sdtContent>
      </w:sdt>
      <w:r w:rsidR="003C36DA">
        <w:t xml:space="preserve"> </w:t>
      </w:r>
      <w:r w:rsidR="000B1BBE" w:rsidRPr="006D1B7A">
        <w:t xml:space="preserve">has been met and we </w:t>
      </w:r>
      <w:r w:rsidR="00183B5C">
        <w:t xml:space="preserve">would then </w:t>
      </w:r>
      <w:r w:rsidR="000B1BBE" w:rsidRPr="006D1B7A">
        <w:t>follow th</w:t>
      </w:r>
      <w:r w:rsidR="00E92256" w:rsidRPr="006D1B7A">
        <w:t>e investigation</w:t>
      </w:r>
      <w:r w:rsidR="000B1BBE" w:rsidRPr="006D1B7A">
        <w:t xml:space="preserve"> process </w:t>
      </w:r>
      <w:r w:rsidR="002F5401" w:rsidRPr="006D1B7A">
        <w:t xml:space="preserve">(and </w:t>
      </w:r>
      <w:r w:rsidR="005B1D69">
        <w:t xml:space="preserve">produce </w:t>
      </w:r>
      <w:r w:rsidR="002F5401" w:rsidRPr="006D1B7A">
        <w:t>an Investigation Decision Record)</w:t>
      </w:r>
      <w:r w:rsidR="0001218F">
        <w:t>.</w:t>
      </w:r>
      <w:r w:rsidR="002F5401" w:rsidRPr="006D1B7A">
        <w:t xml:space="preserve"> </w:t>
      </w:r>
    </w:p>
    <w:p w14:paraId="597FF860" w14:textId="58B4C66E" w:rsidR="00ED0B1F" w:rsidRDefault="00DE79E3" w:rsidP="000177E0">
      <w:pPr>
        <w:pStyle w:val="Paragraph"/>
      </w:pPr>
      <w:r>
        <w:t>Inspectors</w:t>
      </w:r>
      <w:r w:rsidR="000B1BBE" w:rsidRPr="006D1B7A">
        <w:t xml:space="preserve"> consider </w:t>
      </w:r>
      <w:r w:rsidR="00377C8C" w:rsidRPr="006D1B7A">
        <w:t>the sufficiency of the evidence</w:t>
      </w:r>
      <w:r w:rsidR="009105CE" w:rsidRPr="006D1B7A">
        <w:t xml:space="preserve"> for </w:t>
      </w:r>
      <w:r w:rsidR="00850B32" w:rsidRPr="006D1B7A">
        <w:t xml:space="preserve">recommending </w:t>
      </w:r>
      <w:r w:rsidR="009105CE" w:rsidRPr="006D1B7A">
        <w:t xml:space="preserve">prosecution </w:t>
      </w:r>
      <w:r w:rsidR="0042467E">
        <w:t xml:space="preserve">to the ONR Approval Officer </w:t>
      </w:r>
      <w:r w:rsidR="009105CE" w:rsidRPr="006D1B7A">
        <w:t>within the Investigation and Prosecution Record</w:t>
      </w:r>
      <w:r w:rsidR="00A65197" w:rsidRPr="006D1B7A">
        <w:t xml:space="preserve"> </w:t>
      </w:r>
      <w:sdt>
        <w:sdtPr>
          <w:id w:val="495692056"/>
          <w:citation/>
        </w:sdtPr>
        <w:sdtEndPr/>
        <w:sdtContent>
          <w:r w:rsidR="003431C9">
            <w:fldChar w:fldCharType="begin"/>
          </w:r>
          <w:r w:rsidR="000177E0">
            <w:instrText xml:space="preserve">CITATION Inv \l 2057 </w:instrText>
          </w:r>
          <w:r w:rsidR="003431C9">
            <w:fldChar w:fldCharType="separate"/>
          </w:r>
          <w:r w:rsidR="000177E0" w:rsidRPr="000177E0">
            <w:rPr>
              <w:noProof/>
            </w:rPr>
            <w:t>[4]</w:t>
          </w:r>
          <w:r w:rsidR="003431C9">
            <w:fldChar w:fldCharType="end"/>
          </w:r>
        </w:sdtContent>
      </w:sdt>
      <w:r w:rsidR="000E51AA">
        <w:t>.</w:t>
      </w:r>
      <w:r w:rsidR="00F848A1" w:rsidRPr="006D1B7A">
        <w:t xml:space="preserve"> </w:t>
      </w:r>
      <w:r w:rsidR="000E51AA">
        <w:t>T</w:t>
      </w:r>
      <w:r w:rsidR="00231EE3">
        <w:t>he investigation guidance</w:t>
      </w:r>
      <w:r w:rsidR="00F848A1" w:rsidRPr="006D1B7A">
        <w:t xml:space="preserve"> includes application of the EMM</w:t>
      </w:r>
      <w:r w:rsidR="00700B25">
        <w:t xml:space="preserve"> </w:t>
      </w:r>
      <w:r w:rsidR="00CF37B2">
        <w:t xml:space="preserve">throughout the investigation usually </w:t>
      </w:r>
      <w:r w:rsidR="00717683">
        <w:t xml:space="preserve">in relation to </w:t>
      </w:r>
      <w:r w:rsidR="00CF37B2">
        <w:t xml:space="preserve">ensuring </w:t>
      </w:r>
      <w:r w:rsidR="00A02588">
        <w:t xml:space="preserve">the </w:t>
      </w:r>
      <w:r w:rsidR="00292A6A">
        <w:t xml:space="preserve">enforcement purposes </w:t>
      </w:r>
      <w:r w:rsidR="00F7399D">
        <w:t xml:space="preserve">of the </w:t>
      </w:r>
      <w:r w:rsidR="00A02588">
        <w:t>dutyholder dealing immediately with serio</w:t>
      </w:r>
      <w:r w:rsidR="00CF37B2">
        <w:t>u</w:t>
      </w:r>
      <w:r w:rsidR="00A02588">
        <w:t xml:space="preserve">s risks and / or </w:t>
      </w:r>
      <w:r w:rsidR="00E973AD">
        <w:t>sustaining compliance with the law</w:t>
      </w:r>
      <w:r w:rsidR="00F848A1" w:rsidRPr="006D1B7A">
        <w:t>.</w:t>
      </w:r>
    </w:p>
    <w:p w14:paraId="1C4C4868" w14:textId="320501BB" w:rsidR="009F16F3" w:rsidRPr="006D1B7A" w:rsidRDefault="00D25ABD" w:rsidP="00D25ABD">
      <w:pPr>
        <w:pStyle w:val="Heading2"/>
      </w:pPr>
      <w:bookmarkStart w:id="6" w:name="_Toc213836307"/>
      <w:r w:rsidRPr="006D1B7A">
        <w:t xml:space="preserve">To who does </w:t>
      </w:r>
      <w:r w:rsidR="00FB366D">
        <w:t>e</w:t>
      </w:r>
      <w:r w:rsidR="00100854" w:rsidRPr="006D1B7A">
        <w:t>nforcement</w:t>
      </w:r>
      <w:r w:rsidRPr="006D1B7A">
        <w:t xml:space="preserve"> apply</w:t>
      </w:r>
      <w:bookmarkEnd w:id="6"/>
    </w:p>
    <w:p w14:paraId="32669A11" w14:textId="4BD2CEE6" w:rsidR="00C66CBA" w:rsidRPr="006D1B7A" w:rsidRDefault="00733512" w:rsidP="000177E0">
      <w:pPr>
        <w:pStyle w:val="Paragraph"/>
      </w:pPr>
      <w:r w:rsidRPr="006D1B7A">
        <w:t>The law applies to who and where it says it does</w:t>
      </w:r>
      <w:r w:rsidR="004D1001" w:rsidRPr="006D1B7A">
        <w:t xml:space="preserve"> and places duties</w:t>
      </w:r>
      <w:r w:rsidR="00100854" w:rsidRPr="006D1B7A">
        <w:t xml:space="preserve"> </w:t>
      </w:r>
      <w:r w:rsidR="004D1001" w:rsidRPr="006D1B7A">
        <w:t>on</w:t>
      </w:r>
      <w:r w:rsidR="00C66CBA" w:rsidRPr="006D1B7A">
        <w:t xml:space="preserve"> Corporate</w:t>
      </w:r>
      <w:r w:rsidR="004D1001" w:rsidRPr="006D1B7A">
        <w:t xml:space="preserve"> bodies</w:t>
      </w:r>
      <w:r w:rsidR="00C66CBA" w:rsidRPr="006D1B7A">
        <w:t xml:space="preserve">, Crown bodies and </w:t>
      </w:r>
      <w:r w:rsidR="00C65D4F" w:rsidRPr="006D1B7A">
        <w:t>individuals.</w:t>
      </w:r>
    </w:p>
    <w:p w14:paraId="271DD0E0" w14:textId="15420F11" w:rsidR="00935189" w:rsidRPr="006D1B7A" w:rsidRDefault="00935189" w:rsidP="000177E0">
      <w:pPr>
        <w:pStyle w:val="Paragraph"/>
      </w:pPr>
      <w:r w:rsidRPr="006D1B7A">
        <w:t xml:space="preserve">Crown </w:t>
      </w:r>
      <w:r w:rsidR="00FB366D">
        <w:t>b</w:t>
      </w:r>
      <w:r w:rsidRPr="006D1B7A">
        <w:t>odies cannot be subject to statutory enforcement. However, non-statutory arrangements for enforcing health and safety requirements in Crown bodies allow enforcing authorities, including O</w:t>
      </w:r>
      <w:r w:rsidR="001C4946" w:rsidRPr="006D1B7A">
        <w:t>N</w:t>
      </w:r>
      <w:r w:rsidRPr="006D1B7A">
        <w:t>R, to issue non-statutory notices and the censure of Crown bodies in circumstances where, but for Crown immunity, prosecution would have been justified. As such, the O</w:t>
      </w:r>
      <w:r w:rsidR="001C4946" w:rsidRPr="006D1B7A">
        <w:t>N</w:t>
      </w:r>
      <w:r w:rsidRPr="006D1B7A">
        <w:t xml:space="preserve">R EMM should be applied to Crown </w:t>
      </w:r>
      <w:r w:rsidR="00FB366D">
        <w:t>b</w:t>
      </w:r>
      <w:r w:rsidRPr="006D1B7A">
        <w:t>odies as it would be applied to any other dutyholder.</w:t>
      </w:r>
    </w:p>
    <w:p w14:paraId="2CC59479" w14:textId="38C61030" w:rsidR="00376613" w:rsidRPr="006D1B7A" w:rsidRDefault="00C65D4F" w:rsidP="000177E0">
      <w:pPr>
        <w:pStyle w:val="Paragraph"/>
      </w:pPr>
      <w:r w:rsidRPr="006D1B7A">
        <w:t>I</w:t>
      </w:r>
      <w:r w:rsidR="00FE17D5" w:rsidRPr="006D1B7A">
        <w:t>ndividuals</w:t>
      </w:r>
      <w:r w:rsidRPr="006D1B7A">
        <w:t xml:space="preserve">: </w:t>
      </w:r>
      <w:r w:rsidR="00FE17D5" w:rsidRPr="006D1B7A">
        <w:t xml:space="preserve">Acts and Regulations often place duties upon individuals </w:t>
      </w:r>
      <w:r w:rsidR="0067585A">
        <w:t>(</w:t>
      </w:r>
      <w:r w:rsidR="00FB366D">
        <w:t>for example,</w:t>
      </w:r>
      <w:r w:rsidR="0067585A">
        <w:t xml:space="preserve"> </w:t>
      </w:r>
      <w:r w:rsidR="000177E0">
        <w:t xml:space="preserve">The </w:t>
      </w:r>
      <w:r w:rsidR="000177E0" w:rsidRPr="000177E0">
        <w:t xml:space="preserve">Nuclear Industries Security Regulations 2003 </w:t>
      </w:r>
      <w:r w:rsidR="000177E0">
        <w:t>(</w:t>
      </w:r>
      <w:r w:rsidR="0067585A">
        <w:t>NISR 2003</w:t>
      </w:r>
      <w:r w:rsidR="000177E0">
        <w:t>)</w:t>
      </w:r>
      <w:r w:rsidR="0067585A">
        <w:t xml:space="preserve">) </w:t>
      </w:r>
      <w:r w:rsidR="00FE17D5" w:rsidRPr="006D1B7A">
        <w:t xml:space="preserve">and of particular note, are </w:t>
      </w:r>
      <w:r w:rsidR="0047633C">
        <w:t xml:space="preserve">the following from </w:t>
      </w:r>
      <w:r w:rsidR="000177E0">
        <w:t xml:space="preserve">the </w:t>
      </w:r>
      <w:r w:rsidR="00FE17D5" w:rsidRPr="006D1B7A">
        <w:t>Health and Safety at Work etc. Act 1974 (HSWA)</w:t>
      </w:r>
      <w:r w:rsidR="00DE79E3">
        <w:t xml:space="preserve"> </w:t>
      </w:r>
      <w:sdt>
        <w:sdtPr>
          <w:id w:val="1616481073"/>
          <w:citation/>
        </w:sdtPr>
        <w:sdtEndPr/>
        <w:sdtContent>
          <w:r w:rsidR="00D83760">
            <w:fldChar w:fldCharType="begin"/>
          </w:r>
          <w:r w:rsidR="000177E0">
            <w:instrText xml:space="preserve">CITATION Hea \l 2057 </w:instrText>
          </w:r>
          <w:r w:rsidR="00D83760">
            <w:fldChar w:fldCharType="separate"/>
          </w:r>
          <w:r w:rsidR="000177E0" w:rsidRPr="000177E0">
            <w:rPr>
              <w:noProof/>
            </w:rPr>
            <w:t>[5]</w:t>
          </w:r>
          <w:r w:rsidR="00D83760">
            <w:fldChar w:fldCharType="end"/>
          </w:r>
        </w:sdtContent>
      </w:sdt>
      <w:r w:rsidR="0047633C">
        <w:t xml:space="preserve">; </w:t>
      </w:r>
      <w:r w:rsidR="002B05F5">
        <w:t xml:space="preserve">and </w:t>
      </w:r>
      <w:r w:rsidR="000177E0">
        <w:t>t</w:t>
      </w:r>
      <w:r w:rsidR="00DC121A">
        <w:t>he Energy Act</w:t>
      </w:r>
      <w:r w:rsidR="00F40976">
        <w:t xml:space="preserve"> (TEA) </w:t>
      </w:r>
      <w:r w:rsidR="00DC121A">
        <w:t xml:space="preserve">2013 </w:t>
      </w:r>
      <w:sdt>
        <w:sdtPr>
          <w:id w:val="1772739046"/>
          <w:citation/>
        </w:sdtPr>
        <w:sdtEndPr/>
        <w:sdtContent>
          <w:r w:rsidR="00F20DD9">
            <w:fldChar w:fldCharType="begin"/>
          </w:r>
          <w:r w:rsidR="000177E0">
            <w:instrText xml:space="preserve">CITATION Gov \l 2057 </w:instrText>
          </w:r>
          <w:r w:rsidR="00F20DD9">
            <w:fldChar w:fldCharType="separate"/>
          </w:r>
          <w:r w:rsidR="000177E0" w:rsidRPr="000177E0">
            <w:rPr>
              <w:noProof/>
            </w:rPr>
            <w:t>[6]</w:t>
          </w:r>
          <w:r w:rsidR="00F20DD9">
            <w:fldChar w:fldCharType="end"/>
          </w:r>
        </w:sdtContent>
      </w:sdt>
      <w:r w:rsidR="00096299">
        <w:t>;</w:t>
      </w:r>
      <w:r w:rsidR="00FE17D5" w:rsidRPr="006D1B7A">
        <w:t xml:space="preserve"> </w:t>
      </w:r>
    </w:p>
    <w:p w14:paraId="7CE92B3F" w14:textId="00E45296" w:rsidR="00376613" w:rsidRPr="006D1B7A" w:rsidRDefault="007A6560" w:rsidP="000177E0">
      <w:pPr>
        <w:pStyle w:val="Paragraph"/>
        <w:numPr>
          <w:ilvl w:val="0"/>
          <w:numId w:val="20"/>
        </w:numPr>
      </w:pPr>
      <w:r>
        <w:lastRenderedPageBreak/>
        <w:t>HSWA</w:t>
      </w:r>
      <w:r w:rsidR="000177E0">
        <w:t>,</w:t>
      </w:r>
      <w:r>
        <w:t xml:space="preserve"> </w:t>
      </w:r>
      <w:r w:rsidR="00FE17D5" w:rsidRPr="006D1B7A">
        <w:t>Section 7</w:t>
      </w:r>
      <w:r>
        <w:t>; TEA</w:t>
      </w:r>
      <w:r w:rsidR="001A2A8C">
        <w:t xml:space="preserve"> </w:t>
      </w:r>
      <w:r w:rsidR="007559D9">
        <w:t>P</w:t>
      </w:r>
      <w:r w:rsidR="000177E0">
        <w:t xml:space="preserve">art </w:t>
      </w:r>
      <w:r w:rsidR="007559D9">
        <w:t>3</w:t>
      </w:r>
      <w:r w:rsidR="000177E0">
        <w:t>,</w:t>
      </w:r>
      <w:r w:rsidR="007559D9">
        <w:t xml:space="preserve"> </w:t>
      </w:r>
      <w:r w:rsidR="00E056B9">
        <w:t>Chapter 5</w:t>
      </w:r>
      <w:r w:rsidR="000177E0">
        <w:t>,</w:t>
      </w:r>
      <w:r w:rsidR="00E056B9">
        <w:t xml:space="preserve"> Section 102</w:t>
      </w:r>
      <w:r w:rsidR="00FE17D5" w:rsidRPr="006D1B7A">
        <w:t xml:space="preserve"> – General duties on employees at work. </w:t>
      </w:r>
    </w:p>
    <w:p w14:paraId="156D017B" w14:textId="0A414AAD" w:rsidR="00376613" w:rsidRPr="006D1B7A" w:rsidRDefault="00F91D93" w:rsidP="000177E0">
      <w:pPr>
        <w:pStyle w:val="Paragraph"/>
        <w:numPr>
          <w:ilvl w:val="0"/>
          <w:numId w:val="20"/>
        </w:numPr>
      </w:pPr>
      <w:r>
        <w:t xml:space="preserve">HSWA </w:t>
      </w:r>
      <w:r w:rsidR="000177E0">
        <w:t>,</w:t>
      </w:r>
      <w:r w:rsidR="00FE17D5" w:rsidRPr="006D1B7A">
        <w:t>Section 8</w:t>
      </w:r>
      <w:r>
        <w:t xml:space="preserve">; TEA </w:t>
      </w:r>
      <w:r w:rsidR="000177E0">
        <w:t xml:space="preserve">Part 3, </w:t>
      </w:r>
      <w:r>
        <w:t>Chapter 5</w:t>
      </w:r>
      <w:r w:rsidR="000177E0">
        <w:t>,</w:t>
      </w:r>
      <w:r>
        <w:t xml:space="preserve"> Section 103</w:t>
      </w:r>
      <w:r w:rsidR="00FE17D5" w:rsidRPr="006D1B7A">
        <w:t xml:space="preserve"> – Duty for individuals not to interfere with or misuse things provided in pursuant of any relevant statutory provisions. </w:t>
      </w:r>
    </w:p>
    <w:p w14:paraId="09379EDF" w14:textId="47A66746" w:rsidR="000A2218" w:rsidRPr="006D1B7A" w:rsidRDefault="00672E93" w:rsidP="000177E0">
      <w:pPr>
        <w:pStyle w:val="Paragraph"/>
        <w:numPr>
          <w:ilvl w:val="0"/>
          <w:numId w:val="20"/>
        </w:numPr>
      </w:pPr>
      <w:r>
        <w:t>HSWA</w:t>
      </w:r>
      <w:r w:rsidR="000177E0">
        <w:t>,</w:t>
      </w:r>
      <w:r>
        <w:t xml:space="preserve"> </w:t>
      </w:r>
      <w:r w:rsidR="000A2218" w:rsidRPr="006D1B7A">
        <w:t>Section 36</w:t>
      </w:r>
      <w:r>
        <w:t xml:space="preserve">; TEA </w:t>
      </w:r>
      <w:r w:rsidR="000177E0">
        <w:t>Part 3,</w:t>
      </w:r>
      <w:r w:rsidR="00CA57F4">
        <w:t xml:space="preserve"> Chapter 5</w:t>
      </w:r>
      <w:r w:rsidR="000177E0">
        <w:t>,</w:t>
      </w:r>
      <w:r w:rsidR="00CA57F4">
        <w:t xml:space="preserve"> Section 106 (2d)</w:t>
      </w:r>
      <w:r w:rsidR="000A2218" w:rsidRPr="006D1B7A">
        <w:t xml:space="preserve"> – </w:t>
      </w:r>
      <w:r w:rsidR="000177E0">
        <w:br/>
      </w:r>
      <w:r w:rsidR="000A2218" w:rsidRPr="006D1B7A">
        <w:t xml:space="preserve">An individual whose actions resulted in another person committing an offence is also guilty of said offence. </w:t>
      </w:r>
    </w:p>
    <w:p w14:paraId="0FACEFFE" w14:textId="6D7F4C7E" w:rsidR="0013790C" w:rsidRDefault="006501F5" w:rsidP="000177E0">
      <w:pPr>
        <w:pStyle w:val="Paragraph"/>
        <w:numPr>
          <w:ilvl w:val="0"/>
          <w:numId w:val="20"/>
        </w:numPr>
      </w:pPr>
      <w:r>
        <w:t>HSWA</w:t>
      </w:r>
      <w:r w:rsidR="000177E0">
        <w:t>,</w:t>
      </w:r>
      <w:r>
        <w:t xml:space="preserve"> </w:t>
      </w:r>
      <w:r w:rsidR="00FE17D5" w:rsidRPr="006D1B7A">
        <w:t>Section 37</w:t>
      </w:r>
      <w:r>
        <w:t xml:space="preserve">; TEA </w:t>
      </w:r>
      <w:r w:rsidR="000177E0">
        <w:t>Part 3,</w:t>
      </w:r>
      <w:r w:rsidR="006047AA">
        <w:t xml:space="preserve"> Chapter 5</w:t>
      </w:r>
      <w:r w:rsidR="000177E0">
        <w:t>,</w:t>
      </w:r>
      <w:r w:rsidR="006047AA">
        <w:t xml:space="preserve"> Section 106 (2e)</w:t>
      </w:r>
      <w:r w:rsidR="00FE17D5" w:rsidRPr="006D1B7A">
        <w:t xml:space="preserve"> – </w:t>
      </w:r>
      <w:r w:rsidR="000177E0">
        <w:br/>
      </w:r>
      <w:r w:rsidR="00FE17D5" w:rsidRPr="006D1B7A">
        <w:t>An individual who is a directing mind of a body corporate is guilty of an offence themselves if they have consented to, connived in or their neglect is attributable to that body corporate committing an offence.</w:t>
      </w:r>
    </w:p>
    <w:p w14:paraId="79D325E6" w14:textId="7D885973" w:rsidR="00B17799" w:rsidRPr="006D1B7A" w:rsidRDefault="00A26AE5" w:rsidP="009D19A4">
      <w:pPr>
        <w:pStyle w:val="Heading2"/>
      </w:pPr>
      <w:bookmarkStart w:id="7" w:name="_Toc213836308"/>
      <w:r w:rsidRPr="006D1B7A">
        <w:t>Types</w:t>
      </w:r>
      <w:r w:rsidR="0077073E" w:rsidRPr="006D1B7A">
        <w:t xml:space="preserve"> of </w:t>
      </w:r>
      <w:r w:rsidR="00FB366D">
        <w:t>e</w:t>
      </w:r>
      <w:r w:rsidRPr="006D1B7A">
        <w:t>nforcement</w:t>
      </w:r>
      <w:r w:rsidR="00D36F00" w:rsidRPr="006D1B7A">
        <w:t xml:space="preserve"> and </w:t>
      </w:r>
      <w:r w:rsidR="00FB366D">
        <w:t>l</w:t>
      </w:r>
      <w:r w:rsidR="004818E0" w:rsidRPr="006D1B7A">
        <w:t>imitations of the EMM</w:t>
      </w:r>
      <w:bookmarkEnd w:id="7"/>
    </w:p>
    <w:p w14:paraId="1EB67941" w14:textId="6736BBEF" w:rsidR="00950F21" w:rsidRPr="006D1B7A" w:rsidRDefault="00950F21" w:rsidP="000177E0">
      <w:pPr>
        <w:pStyle w:val="Paragraph"/>
      </w:pPr>
      <w:r w:rsidRPr="006D1B7A">
        <w:t>Within the EMM the</w:t>
      </w:r>
      <w:r w:rsidR="0049274E" w:rsidRPr="006D1B7A">
        <w:t>re are a</w:t>
      </w:r>
      <w:r w:rsidRPr="006D1B7A">
        <w:t xml:space="preserve"> range </w:t>
      </w:r>
      <w:r w:rsidR="0049274E" w:rsidRPr="006D1B7A">
        <w:t>of enforcement actions</w:t>
      </w:r>
      <w:r w:rsidR="00E0509F" w:rsidRPr="006D1B7A">
        <w:t xml:space="preserve"> </w:t>
      </w:r>
      <w:r w:rsidRPr="006D1B7A">
        <w:t xml:space="preserve">from regulatory advice, to issuing specifications, directions and notices (refer to </w:t>
      </w:r>
      <w:r w:rsidRPr="006D1B7A">
        <w:fldChar w:fldCharType="begin"/>
      </w:r>
      <w:r w:rsidRPr="006D1B7A">
        <w:instrText xml:space="preserve"> REF _Ref173421760 \h </w:instrText>
      </w:r>
      <w:r w:rsidR="003E1538" w:rsidRPr="006D1B7A">
        <w:instrText xml:space="preserve"> \* MERGEFORMAT </w:instrText>
      </w:r>
      <w:r w:rsidRPr="006D1B7A">
        <w:fldChar w:fldCharType="separate"/>
      </w:r>
      <w:r w:rsidRPr="006D1B7A">
        <w:t>Figure 1</w:t>
      </w:r>
      <w:r w:rsidRPr="006D1B7A">
        <w:fldChar w:fldCharType="end"/>
      </w:r>
      <w:r w:rsidRPr="006D1B7A">
        <w:t>). Inspectors can also institute proceedings (England and Wales) or recommend prosecution (Scotland) where the circumstances warrant it. Making decisions about appropriate enforcement is fundamental to the role of an inspector.</w:t>
      </w:r>
    </w:p>
    <w:p w14:paraId="0D056548" w14:textId="55398EA2" w:rsidR="003D24F9" w:rsidRPr="006D1B7A" w:rsidRDefault="00D512B7" w:rsidP="000177E0">
      <w:pPr>
        <w:pStyle w:val="Paragraph"/>
        <w:numPr>
          <w:ilvl w:val="0"/>
          <w:numId w:val="0"/>
        </w:numPr>
        <w:ind w:left="851"/>
      </w:pPr>
      <w:r>
        <w:rPr>
          <w:noProof/>
        </w:rPr>
        <w:drawing>
          <wp:inline distT="0" distB="0" distL="0" distR="0" wp14:anchorId="0B66D6E0" wp14:editId="61856326">
            <wp:extent cx="5772150" cy="2976880"/>
            <wp:effectExtent l="0" t="0" r="0" b="0"/>
            <wp:docPr id="11284654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2150" cy="2976880"/>
                    </a:xfrm>
                    <a:prstGeom prst="rect">
                      <a:avLst/>
                    </a:prstGeom>
                    <a:noFill/>
                  </pic:spPr>
                </pic:pic>
              </a:graphicData>
            </a:graphic>
          </wp:inline>
        </w:drawing>
      </w:r>
    </w:p>
    <w:p w14:paraId="230B2F3C" w14:textId="77777777" w:rsidR="003D24F9" w:rsidRPr="006D1B7A" w:rsidRDefault="003D24F9" w:rsidP="003D24F9">
      <w:pPr>
        <w:pStyle w:val="Caption"/>
      </w:pPr>
      <w:bookmarkStart w:id="8" w:name="_Ref173421760"/>
      <w:r w:rsidRPr="006D1B7A">
        <w:t xml:space="preserve">Figure </w:t>
      </w:r>
      <w:r w:rsidRPr="006D1B7A">
        <w:fldChar w:fldCharType="begin"/>
      </w:r>
      <w:r w:rsidRPr="006D1B7A">
        <w:instrText xml:space="preserve"> SEQ Figure \* ARABIC </w:instrText>
      </w:r>
      <w:r w:rsidRPr="006D1B7A">
        <w:fldChar w:fldCharType="separate"/>
      </w:r>
      <w:r w:rsidRPr="006D1B7A">
        <w:t>1</w:t>
      </w:r>
      <w:r w:rsidRPr="006D1B7A">
        <w:fldChar w:fldCharType="end"/>
      </w:r>
      <w:bookmarkEnd w:id="8"/>
      <w:r w:rsidRPr="006D1B7A">
        <w:t xml:space="preserve"> - Types of enforcement</w:t>
      </w:r>
    </w:p>
    <w:p w14:paraId="06C126A3" w14:textId="77777777" w:rsidR="00FB366D" w:rsidRDefault="00FB366D" w:rsidP="000177E0">
      <w:pPr>
        <w:pStyle w:val="Paragraph"/>
        <w:rPr>
          <w:lang w:eastAsia="en-GB"/>
        </w:rPr>
        <w:sectPr w:rsidR="00FB366D" w:rsidSect="001A677D">
          <w:pgSz w:w="11906" w:h="16838" w:code="9"/>
          <w:pgMar w:top="1440" w:right="1440" w:bottom="1440" w:left="1440" w:header="397" w:footer="397" w:gutter="0"/>
          <w:cols w:space="312"/>
          <w:docGrid w:linePitch="360"/>
        </w:sectPr>
      </w:pPr>
    </w:p>
    <w:p w14:paraId="2AD69692" w14:textId="66F69A6A" w:rsidR="00DD7BCD" w:rsidRPr="006D1B7A" w:rsidRDefault="00DD7BCD" w:rsidP="000177E0">
      <w:pPr>
        <w:pStyle w:val="Paragraph"/>
        <w:rPr>
          <w:rStyle w:val="Hyperlink"/>
          <w:lang w:eastAsia="en-GB"/>
        </w:rPr>
      </w:pPr>
      <w:r w:rsidRPr="006D1B7A">
        <w:rPr>
          <w:lang w:eastAsia="en-GB"/>
        </w:rPr>
        <w:lastRenderedPageBreak/>
        <w:t xml:space="preserve">Inspectors should have a </w:t>
      </w:r>
      <w:r w:rsidR="00DD6618">
        <w:rPr>
          <w:lang w:eastAsia="en-GB"/>
        </w:rPr>
        <w:t>sound</w:t>
      </w:r>
      <w:r w:rsidRPr="006D1B7A">
        <w:rPr>
          <w:lang w:eastAsia="en-GB"/>
        </w:rPr>
        <w:t xml:space="preserve"> understanding of the hazards and control measures associated with the dutyholder’s activities. The process of making enforcement decisions is </w:t>
      </w:r>
      <w:r w:rsidR="004F5C70" w:rsidRPr="006D1B7A">
        <w:rPr>
          <w:lang w:eastAsia="en-GB"/>
        </w:rPr>
        <w:t>multi-faceted</w:t>
      </w:r>
      <w:r w:rsidRPr="006D1B7A">
        <w:rPr>
          <w:lang w:eastAsia="en-GB"/>
        </w:rPr>
        <w:t xml:space="preserve"> and involve</w:t>
      </w:r>
      <w:r w:rsidR="009E58E5">
        <w:rPr>
          <w:lang w:eastAsia="en-GB"/>
        </w:rPr>
        <w:t>s</w:t>
      </w:r>
      <w:r w:rsidRPr="006D1B7A">
        <w:rPr>
          <w:lang w:eastAsia="en-GB"/>
        </w:rPr>
        <w:t xml:space="preserve"> the exercise of professional judgement, so that action appropriate </w:t>
      </w:r>
      <w:r w:rsidR="00BB384E">
        <w:rPr>
          <w:lang w:eastAsia="en-GB"/>
        </w:rPr>
        <w:t xml:space="preserve">and proportionate </w:t>
      </w:r>
      <w:r w:rsidRPr="006D1B7A">
        <w:rPr>
          <w:lang w:eastAsia="en-GB"/>
        </w:rPr>
        <w:t xml:space="preserve">to each situation is taken. Further guidance on this can be found </w:t>
      </w:r>
      <w:r w:rsidR="00847291">
        <w:rPr>
          <w:lang w:eastAsia="en-GB"/>
        </w:rPr>
        <w:t>from</w:t>
      </w:r>
      <w:r w:rsidRPr="006D1B7A">
        <w:rPr>
          <w:lang w:eastAsia="en-GB"/>
        </w:rPr>
        <w:t xml:space="preserve"> the Government Legal Department </w:t>
      </w:r>
      <w:sdt>
        <w:sdtPr>
          <w:rPr>
            <w:lang w:eastAsia="en-GB"/>
          </w:rPr>
          <w:id w:val="-1249499318"/>
          <w:citation/>
        </w:sdtPr>
        <w:sdtEndPr/>
        <w:sdtContent>
          <w:r w:rsidRPr="006D1B7A">
            <w:rPr>
              <w:lang w:eastAsia="en-GB"/>
            </w:rPr>
            <w:fldChar w:fldCharType="begin"/>
          </w:r>
          <w:r w:rsidR="000177E0">
            <w:rPr>
              <w:lang w:eastAsia="en-GB"/>
            </w:rPr>
            <w:instrText xml:space="preserve">CITATION HMG186 \l 2057 </w:instrText>
          </w:r>
          <w:r w:rsidRPr="006D1B7A">
            <w:rPr>
              <w:lang w:eastAsia="en-GB"/>
            </w:rPr>
            <w:fldChar w:fldCharType="separate"/>
          </w:r>
          <w:r w:rsidR="000177E0" w:rsidRPr="000177E0">
            <w:rPr>
              <w:noProof/>
              <w:lang w:eastAsia="en-GB"/>
            </w:rPr>
            <w:t>[7]</w:t>
          </w:r>
          <w:r w:rsidRPr="006D1B7A">
            <w:rPr>
              <w:lang w:eastAsia="en-GB"/>
            </w:rPr>
            <w:fldChar w:fldCharType="end"/>
          </w:r>
        </w:sdtContent>
      </w:sdt>
      <w:r w:rsidRPr="006D1B7A">
        <w:rPr>
          <w:lang w:eastAsia="en-GB"/>
        </w:rPr>
        <w:t>.</w:t>
      </w:r>
      <w:r w:rsidRPr="006D1B7A">
        <w:rPr>
          <w:rStyle w:val="Hyperlink"/>
          <w:lang w:eastAsia="en-GB"/>
        </w:rPr>
        <w:t xml:space="preserve"> </w:t>
      </w:r>
    </w:p>
    <w:p w14:paraId="3808C699" w14:textId="29A2705E" w:rsidR="00AE3759" w:rsidRPr="006D1B7A" w:rsidRDefault="001342F3" w:rsidP="000177E0">
      <w:pPr>
        <w:pStyle w:val="Paragraph"/>
        <w:rPr>
          <w:lang w:eastAsia="en-GB"/>
        </w:rPr>
      </w:pPr>
      <w:r w:rsidRPr="006D1B7A">
        <w:rPr>
          <w:lang w:eastAsia="en-GB"/>
        </w:rPr>
        <w:t>Inspectors</w:t>
      </w:r>
      <w:r w:rsidR="00AE3759" w:rsidRPr="006D1B7A">
        <w:rPr>
          <w:lang w:eastAsia="en-GB"/>
        </w:rPr>
        <w:t xml:space="preserve"> have the opportunity to regularly monitor the response to identified shortfalls and where necessary escalate in cases where dutyholders fail to respond appropriately. This regular monitoring means that the usual approach adopted by ONR inspectors is to identify a baseline level of enforcement to deliver compliance, which is proportionate to the risk to safety, security or safeguards, or the seriousness of any breach of the law. </w:t>
      </w:r>
    </w:p>
    <w:p w14:paraId="5FA5BE06" w14:textId="50847FA1" w:rsidR="00DD7BCD" w:rsidRPr="006D1B7A" w:rsidRDefault="00DD7BCD" w:rsidP="000177E0">
      <w:pPr>
        <w:pStyle w:val="Paragraph"/>
        <w:rPr>
          <w:lang w:eastAsia="en-GB"/>
        </w:rPr>
      </w:pPr>
      <w:r w:rsidRPr="006D1B7A">
        <w:rPr>
          <w:lang w:eastAsia="en-GB"/>
        </w:rPr>
        <w:t>Enforcement decisions must be impartial</w:t>
      </w:r>
      <w:r w:rsidR="00302E95">
        <w:rPr>
          <w:lang w:eastAsia="en-GB"/>
        </w:rPr>
        <w:t xml:space="preserve"> and justified</w:t>
      </w:r>
      <w:r w:rsidRPr="006D1B7A">
        <w:rPr>
          <w:lang w:eastAsia="en-GB"/>
        </w:rPr>
        <w:t xml:space="preserve">. The EPS sets out the approach </w:t>
      </w:r>
      <w:r w:rsidR="00263D9F" w:rsidRPr="006D1B7A">
        <w:rPr>
          <w:lang w:eastAsia="en-GB"/>
        </w:rPr>
        <w:t xml:space="preserve">and enforcement principles </w:t>
      </w:r>
      <w:r w:rsidRPr="006D1B7A">
        <w:rPr>
          <w:lang w:eastAsia="en-GB"/>
        </w:rPr>
        <w:t>which inspectors should follow</w:t>
      </w:r>
      <w:r w:rsidR="0021253E" w:rsidRPr="006D1B7A">
        <w:rPr>
          <w:lang w:eastAsia="en-GB"/>
        </w:rPr>
        <w:t xml:space="preserve">. </w:t>
      </w:r>
      <w:r w:rsidR="0016630A">
        <w:rPr>
          <w:lang w:eastAsia="en-GB"/>
        </w:rPr>
        <w:br/>
      </w:r>
      <w:r w:rsidR="0021253E" w:rsidRPr="006D1B7A">
        <w:rPr>
          <w:lang w:eastAsia="en-GB"/>
        </w:rPr>
        <w:t>The EPS</w:t>
      </w:r>
      <w:r w:rsidRPr="006D1B7A">
        <w:rPr>
          <w:lang w:eastAsia="en-GB"/>
        </w:rPr>
        <w:t xml:space="preserve"> </w:t>
      </w:r>
      <w:r w:rsidR="00263D9F" w:rsidRPr="006D1B7A">
        <w:rPr>
          <w:lang w:eastAsia="en-GB"/>
        </w:rPr>
        <w:t xml:space="preserve">accords to the Regulators Code </w:t>
      </w:r>
      <w:sdt>
        <w:sdtPr>
          <w:rPr>
            <w:lang w:eastAsia="en-GB"/>
          </w:rPr>
          <w:id w:val="-2082591128"/>
          <w:citation/>
        </w:sdtPr>
        <w:sdtEndPr/>
        <w:sdtContent>
          <w:r w:rsidR="0021253E" w:rsidRPr="006D1B7A">
            <w:rPr>
              <w:lang w:eastAsia="en-GB"/>
            </w:rPr>
            <w:fldChar w:fldCharType="begin"/>
          </w:r>
          <w:r w:rsidR="000177E0">
            <w:rPr>
              <w:lang w:eastAsia="en-GB"/>
            </w:rPr>
            <w:instrText xml:space="preserve">CITATION HMG143 \l 2057 </w:instrText>
          </w:r>
          <w:r w:rsidR="0021253E" w:rsidRPr="006D1B7A">
            <w:rPr>
              <w:lang w:eastAsia="en-GB"/>
            </w:rPr>
            <w:fldChar w:fldCharType="separate"/>
          </w:r>
          <w:r w:rsidR="000177E0" w:rsidRPr="000177E0">
            <w:rPr>
              <w:noProof/>
              <w:lang w:eastAsia="en-GB"/>
            </w:rPr>
            <w:t>[8]</w:t>
          </w:r>
          <w:r w:rsidR="0021253E" w:rsidRPr="006D1B7A">
            <w:rPr>
              <w:lang w:eastAsia="en-GB"/>
            </w:rPr>
            <w:fldChar w:fldCharType="end"/>
          </w:r>
        </w:sdtContent>
      </w:sdt>
      <w:r w:rsidR="0021253E" w:rsidRPr="006D1B7A">
        <w:rPr>
          <w:lang w:eastAsia="en-GB"/>
        </w:rPr>
        <w:t xml:space="preserve"> </w:t>
      </w:r>
      <w:r w:rsidR="00263D9F" w:rsidRPr="006D1B7A">
        <w:rPr>
          <w:lang w:eastAsia="en-GB"/>
        </w:rPr>
        <w:t xml:space="preserve">and </w:t>
      </w:r>
      <w:r w:rsidR="00081AD2" w:rsidRPr="006D1B7A">
        <w:rPr>
          <w:lang w:eastAsia="en-GB"/>
        </w:rPr>
        <w:t xml:space="preserve">the </w:t>
      </w:r>
      <w:r w:rsidRPr="006D1B7A">
        <w:rPr>
          <w:bCs/>
          <w:lang w:eastAsia="en-GB"/>
        </w:rPr>
        <w:t>Legislative and Regulatory Reform Act 2006</w:t>
      </w:r>
      <w:r w:rsidRPr="006D1B7A">
        <w:rPr>
          <w:lang w:eastAsia="en-GB"/>
        </w:rPr>
        <w:t>.</w:t>
      </w:r>
      <w:r w:rsidR="00FC20C2" w:rsidRPr="006D1B7A">
        <w:rPr>
          <w:lang w:eastAsia="en-GB"/>
        </w:rPr>
        <w:t xml:space="preserve"> As a public regulator, ONR is accountable for managing the enforcement processes we apply.</w:t>
      </w:r>
    </w:p>
    <w:p w14:paraId="2E112C8F" w14:textId="11CD6164" w:rsidR="00CF3CAF" w:rsidRPr="006D1B7A" w:rsidRDefault="00A35ABC" w:rsidP="000177E0">
      <w:pPr>
        <w:pStyle w:val="Paragraph"/>
      </w:pPr>
      <w:r>
        <w:t>I</w:t>
      </w:r>
      <w:r w:rsidR="00DD7BCD" w:rsidRPr="006D1B7A">
        <w:t xml:space="preserve">nspectors apply the principles of the EMM in all of their regulatory activities, but they will only formally apply the EMM and record the outcome when considering more </w:t>
      </w:r>
      <w:r w:rsidR="003F4484" w:rsidRPr="006D1B7A">
        <w:t>significant</w:t>
      </w:r>
      <w:r w:rsidR="00DD7BCD" w:rsidRPr="006D1B7A">
        <w:t xml:space="preserve"> safety, security or safeguards events or lack of compliance, or the cumulative effects from a number of less serious events, or lack of compliance, that could lead to utilising ‘formal enforcement’</w:t>
      </w:r>
      <w:r w:rsidR="00DD7BCD" w:rsidRPr="006D1B7A">
        <w:rPr>
          <w:rStyle w:val="FootnoteReference"/>
        </w:rPr>
        <w:footnoteReference w:id="5"/>
      </w:r>
      <w:r w:rsidR="00DD7BCD" w:rsidRPr="006D1B7A">
        <w:t xml:space="preserve">. </w:t>
      </w:r>
    </w:p>
    <w:p w14:paraId="5280C380" w14:textId="30E8DC08" w:rsidR="00DD7BCD" w:rsidRPr="006D1B7A" w:rsidRDefault="00EB218C" w:rsidP="000177E0">
      <w:pPr>
        <w:pStyle w:val="Paragraph"/>
      </w:pPr>
      <w:r w:rsidRPr="006D1B7A">
        <w:t xml:space="preserve">As such, the </w:t>
      </w:r>
      <w:r w:rsidRPr="009176F8">
        <w:rPr>
          <w:b/>
          <w:bCs/>
        </w:rPr>
        <w:t>O</w:t>
      </w:r>
      <w:r w:rsidR="00CF3CAF" w:rsidRPr="009176F8">
        <w:rPr>
          <w:b/>
          <w:bCs/>
        </w:rPr>
        <w:t>N</w:t>
      </w:r>
      <w:r w:rsidRPr="009176F8">
        <w:rPr>
          <w:b/>
          <w:bCs/>
        </w:rPr>
        <w:t>R EMM is intended to guide, not direct</w:t>
      </w:r>
      <w:r w:rsidRPr="006D1B7A">
        <w:t xml:space="preserve">, </w:t>
      </w:r>
      <w:r w:rsidRPr="00216BA5">
        <w:rPr>
          <w:b/>
          <w:bCs/>
        </w:rPr>
        <w:t>enforcement action</w:t>
      </w:r>
      <w:r w:rsidRPr="006D1B7A">
        <w:t xml:space="preserve"> and so, it should not restrict an </w:t>
      </w:r>
      <w:r w:rsidR="00CF7614">
        <w:t>i</w:t>
      </w:r>
      <w:r w:rsidRPr="006D1B7A">
        <w:t>nspector’s discretion to exercise their own judgement</w:t>
      </w:r>
      <w:r w:rsidR="00CF3CAF" w:rsidRPr="006D1B7A">
        <w:t>.</w:t>
      </w:r>
    </w:p>
    <w:p w14:paraId="7E5E1D1A" w14:textId="5A0AC33E" w:rsidR="00B14BB7" w:rsidRPr="006D1B7A" w:rsidRDefault="00B14BB7" w:rsidP="000177E0">
      <w:pPr>
        <w:pStyle w:val="Paragraph"/>
        <w:rPr>
          <w:b/>
          <w:caps/>
          <w:lang w:eastAsia="en-GB"/>
        </w:rPr>
      </w:pPr>
      <w:r w:rsidRPr="006D1B7A">
        <w:rPr>
          <w:b/>
          <w:bCs/>
          <w:lang w:eastAsia="en-GB"/>
        </w:rPr>
        <w:t>Use of the EMM is not a one-off process</w:t>
      </w:r>
      <w:r w:rsidRPr="006D1B7A">
        <w:rPr>
          <w:lang w:eastAsia="en-GB"/>
        </w:rPr>
        <w:t xml:space="preserve">. For example, as part of an investigation it may be identified that there are clear breaches and a timely enforcement decision may be required to achieve compliance with the law, prior to completing the investigation </w:t>
      </w:r>
      <w:sdt>
        <w:sdtPr>
          <w:rPr>
            <w:lang w:eastAsia="en-GB"/>
          </w:rPr>
          <w:id w:val="298499759"/>
          <w:citation/>
        </w:sdtPr>
        <w:sdtEndPr/>
        <w:sdtContent>
          <w:r w:rsidRPr="006D1B7A">
            <w:rPr>
              <w:lang w:eastAsia="en-GB"/>
            </w:rPr>
            <w:fldChar w:fldCharType="begin"/>
          </w:r>
          <w:r w:rsidR="000177E0">
            <w:rPr>
              <w:lang w:eastAsia="en-GB"/>
            </w:rPr>
            <w:instrText xml:space="preserve">CITATION ONR31 \l 2057 </w:instrText>
          </w:r>
          <w:r w:rsidRPr="006D1B7A">
            <w:rPr>
              <w:lang w:eastAsia="en-GB"/>
            </w:rPr>
            <w:fldChar w:fldCharType="separate"/>
          </w:r>
          <w:r w:rsidR="000177E0" w:rsidRPr="000177E0">
            <w:rPr>
              <w:noProof/>
              <w:lang w:eastAsia="en-GB"/>
            </w:rPr>
            <w:t>[3]</w:t>
          </w:r>
          <w:r w:rsidRPr="006D1B7A">
            <w:rPr>
              <w:lang w:eastAsia="en-GB"/>
            </w:rPr>
            <w:fldChar w:fldCharType="end"/>
          </w:r>
        </w:sdtContent>
      </w:sdt>
      <w:r w:rsidRPr="006D1B7A">
        <w:rPr>
          <w:lang w:eastAsia="en-GB"/>
        </w:rPr>
        <w:t xml:space="preserve">. However, as the investigation culminates, inspectors may need to consider the EMM again to ensure the proposed enforcement action meets the purposes of enforcement. </w:t>
      </w:r>
    </w:p>
    <w:p w14:paraId="1D4ABCEB" w14:textId="004256C8" w:rsidR="00A409F0" w:rsidRPr="006D1B7A" w:rsidRDefault="006414B0" w:rsidP="000177E0">
      <w:pPr>
        <w:pStyle w:val="Paragraph"/>
      </w:pPr>
      <w:r w:rsidRPr="006D1B7A">
        <w:t xml:space="preserve">Recording of the enforcement decision </w:t>
      </w:r>
      <w:r w:rsidR="009D19A4" w:rsidRPr="006D1B7A">
        <w:t>must take place when the baseline enforcement level (‘BEL’) is to use formal enforcement</w:t>
      </w:r>
      <w:r w:rsidR="00A409F0" w:rsidRPr="006D1B7A">
        <w:t>,</w:t>
      </w:r>
      <w:r w:rsidR="009D19A4" w:rsidRPr="006D1B7A">
        <w:t xml:space="preserve"> or if the BEL has been escalated due to dutyholder </w:t>
      </w:r>
      <w:r w:rsidR="002225B5" w:rsidRPr="006D1B7A">
        <w:t>factors or</w:t>
      </w:r>
      <w:r w:rsidR="009D19A4" w:rsidRPr="006D1B7A">
        <w:t xml:space="preserve"> modified by strategic factors. </w:t>
      </w:r>
      <w:r w:rsidR="004B0ECA">
        <w:t>Proportionate r</w:t>
      </w:r>
      <w:r w:rsidR="00ED2A83">
        <w:t xml:space="preserve">ecording </w:t>
      </w:r>
      <w:r w:rsidR="004B0ECA">
        <w:t xml:space="preserve">of </w:t>
      </w:r>
      <w:r w:rsidR="00ED2A83">
        <w:t xml:space="preserve">the application of the EMM is considered </w:t>
      </w:r>
      <w:r w:rsidR="005C7FA2">
        <w:t>to be a useful practice for inspectors</w:t>
      </w:r>
      <w:r w:rsidR="00232701">
        <w:t xml:space="preserve">, for example when </w:t>
      </w:r>
      <w:r w:rsidR="005C7FA2">
        <w:t>consider</w:t>
      </w:r>
      <w:r w:rsidR="00232701">
        <w:t>ing</w:t>
      </w:r>
      <w:r w:rsidR="005C7FA2">
        <w:t xml:space="preserve"> </w:t>
      </w:r>
      <w:r w:rsidR="0094494A">
        <w:t xml:space="preserve">appropriate enforcement action for inspections which are </w:t>
      </w:r>
      <w:r w:rsidR="00061CF3">
        <w:t xml:space="preserve">overall </w:t>
      </w:r>
      <w:r w:rsidR="0094494A">
        <w:t xml:space="preserve">rated </w:t>
      </w:r>
      <w:r w:rsidR="004B0ECA">
        <w:t>amber</w:t>
      </w:r>
      <w:r w:rsidR="00FC2F67">
        <w:t>.</w:t>
      </w:r>
    </w:p>
    <w:p w14:paraId="570E0604" w14:textId="77777777" w:rsidR="00FB366D" w:rsidRDefault="00FB51AE" w:rsidP="000177E0">
      <w:pPr>
        <w:pStyle w:val="Paragraph"/>
      </w:pPr>
      <w:r w:rsidRPr="006D1B7A">
        <w:lastRenderedPageBreak/>
        <w:t xml:space="preserve">In relation to NSHS matters inspectors should consider HSE operational guidance and enforcement </w:t>
      </w:r>
      <w:sdt>
        <w:sdtPr>
          <w:id w:val="885758577"/>
          <w:citation/>
        </w:sdtPr>
        <w:sdtEndPr/>
        <w:sdtContent>
          <w:r w:rsidR="00261072">
            <w:fldChar w:fldCharType="begin"/>
          </w:r>
          <w:r w:rsidR="00261072">
            <w:instrText xml:space="preserve"> CITATION HSE11 \l 2057 </w:instrText>
          </w:r>
          <w:r w:rsidR="00261072">
            <w:fldChar w:fldCharType="separate"/>
          </w:r>
          <w:r w:rsidR="00EB346B" w:rsidRPr="00EB346B">
            <w:rPr>
              <w:noProof/>
            </w:rPr>
            <w:t>[9]</w:t>
          </w:r>
          <w:r w:rsidR="00261072">
            <w:fldChar w:fldCharType="end"/>
          </w:r>
        </w:sdtContent>
      </w:sdt>
      <w:r w:rsidR="00261072">
        <w:t xml:space="preserve"> </w:t>
      </w:r>
      <w:r w:rsidRPr="006D1B7A">
        <w:t>to determine whether they are relevant to ONR’s enforcement decision</w:t>
      </w:r>
      <w:r w:rsidR="00F75DD0" w:rsidRPr="006D1B7A">
        <w:t xml:space="preserve"> </w:t>
      </w:r>
      <w:sdt>
        <w:sdtPr>
          <w:id w:val="-1303224950"/>
          <w:citation/>
        </w:sdtPr>
        <w:sdtEndPr/>
        <w:sdtContent>
          <w:r w:rsidR="00F75DD0" w:rsidRPr="006D1B7A">
            <w:fldChar w:fldCharType="begin"/>
          </w:r>
          <w:r w:rsidR="00F75DD0" w:rsidRPr="006D1B7A">
            <w:instrText xml:space="preserve"> CITATION HSE55 \l 2057 </w:instrText>
          </w:r>
          <w:r w:rsidR="00F75DD0" w:rsidRPr="006D1B7A">
            <w:fldChar w:fldCharType="separate"/>
          </w:r>
          <w:r w:rsidR="00EB346B" w:rsidRPr="00EB346B">
            <w:rPr>
              <w:noProof/>
            </w:rPr>
            <w:t>[10]</w:t>
          </w:r>
          <w:r w:rsidR="00F75DD0" w:rsidRPr="006D1B7A">
            <w:fldChar w:fldCharType="end"/>
          </w:r>
        </w:sdtContent>
      </w:sdt>
      <w:r w:rsidR="00FB366D">
        <w:t>.</w:t>
      </w:r>
    </w:p>
    <w:p w14:paraId="4168AD78" w14:textId="334E1F28" w:rsidR="00B17799" w:rsidRPr="006D1B7A" w:rsidRDefault="00B17799" w:rsidP="000177E0">
      <w:pPr>
        <w:pStyle w:val="Paragraph"/>
      </w:pPr>
      <w:r w:rsidRPr="006D1B7A">
        <w:t>There are limitations to ONR</w:t>
      </w:r>
      <w:r w:rsidR="002C1359" w:rsidRPr="006D1B7A">
        <w:t>’s</w:t>
      </w:r>
      <w:r w:rsidRPr="006D1B7A">
        <w:t xml:space="preserve"> EMM, when assessing risk and compliance with legislation</w:t>
      </w:r>
      <w:r w:rsidR="00763716">
        <w:t>,</w:t>
      </w:r>
      <w:r w:rsidRPr="006D1B7A">
        <w:t xml:space="preserve"> since the decision making can range from being relatively straightforward to extremely complex. </w:t>
      </w:r>
      <w:r w:rsidR="002C1359" w:rsidRPr="006D1B7A">
        <w:t>It</w:t>
      </w:r>
      <w:r w:rsidRPr="006D1B7A">
        <w:t xml:space="preserve"> is a simple model that provides a framework for aiding decision making and improving consistency; it cannot capture all the nuances and complexities of enforcement decision-making in all circumstances</w:t>
      </w:r>
      <w:r w:rsidR="003C6184">
        <w:t xml:space="preserve"> </w:t>
      </w:r>
      <w:r w:rsidR="003C6184" w:rsidRPr="003C6184">
        <w:t xml:space="preserve">hence </w:t>
      </w:r>
      <w:r w:rsidR="003C6184" w:rsidRPr="00FB366D">
        <w:rPr>
          <w:b/>
          <w:bCs/>
        </w:rPr>
        <w:t>the over-riding requirement for inspectors to use their professional judgement</w:t>
      </w:r>
      <w:r w:rsidRPr="006D1B7A">
        <w:t xml:space="preserve">. </w:t>
      </w:r>
    </w:p>
    <w:p w14:paraId="4BD7DB11" w14:textId="2F5A0318" w:rsidR="00FA670B" w:rsidRDefault="002831BE" w:rsidP="000177E0">
      <w:pPr>
        <w:pStyle w:val="Paragraph"/>
      </w:pPr>
      <w:r w:rsidRPr="006D1B7A">
        <w:t xml:space="preserve">This is </w:t>
      </w:r>
      <w:r w:rsidR="00E84877" w:rsidRPr="006D1B7A">
        <w:t>the reason</w:t>
      </w:r>
      <w:r w:rsidR="001B13CB" w:rsidRPr="006D1B7A">
        <w:t xml:space="preserve"> why</w:t>
      </w:r>
      <w:r w:rsidRPr="006D1B7A">
        <w:t xml:space="preserve"> </w:t>
      </w:r>
      <w:r w:rsidR="00B818B3" w:rsidRPr="006D1B7A">
        <w:t xml:space="preserve">recording the regulatory context and </w:t>
      </w:r>
      <w:r w:rsidR="002225B5" w:rsidRPr="006D1B7A">
        <w:t>decision-making</w:t>
      </w:r>
      <w:r w:rsidR="00B818B3" w:rsidRPr="006D1B7A">
        <w:t xml:space="preserve"> steps in the </w:t>
      </w:r>
      <w:r w:rsidR="00D203D6" w:rsidRPr="006D1B7A">
        <w:t xml:space="preserve">Enforcement Decision Record (EDR) </w:t>
      </w:r>
      <w:sdt>
        <w:sdtPr>
          <w:id w:val="-1037956136"/>
          <w:citation/>
        </w:sdtPr>
        <w:sdtEndPr/>
        <w:sdtContent>
          <w:r w:rsidR="00D203D6" w:rsidRPr="006D1B7A">
            <w:fldChar w:fldCharType="begin"/>
          </w:r>
          <w:r w:rsidR="000177E0">
            <w:instrText>CITATION ONR379 \l 2057  \m ONR557</w:instrText>
          </w:r>
          <w:r w:rsidR="00D203D6" w:rsidRPr="006D1B7A">
            <w:fldChar w:fldCharType="separate"/>
          </w:r>
          <w:r w:rsidR="000177E0" w:rsidRPr="000177E0">
            <w:rPr>
              <w:noProof/>
            </w:rPr>
            <w:t>[11, 12]</w:t>
          </w:r>
          <w:r w:rsidR="00D203D6" w:rsidRPr="006D1B7A">
            <w:fldChar w:fldCharType="end"/>
          </w:r>
        </w:sdtContent>
      </w:sdt>
      <w:r w:rsidR="00D203D6" w:rsidRPr="006D1B7A">
        <w:t xml:space="preserve"> </w:t>
      </w:r>
      <w:r w:rsidR="00B818B3" w:rsidRPr="006D1B7A">
        <w:t xml:space="preserve">is often </w:t>
      </w:r>
      <w:r w:rsidR="00B84E3B" w:rsidRPr="006D1B7A">
        <w:t>beneficial for inspectors as it</w:t>
      </w:r>
      <w:r w:rsidR="00D203D6" w:rsidRPr="006D1B7A">
        <w:t xml:space="preserve"> clarifies the basis of the inspectors’ conclusions</w:t>
      </w:r>
      <w:r w:rsidR="00B84E3B" w:rsidRPr="006D1B7A">
        <w:t xml:space="preserve"> and</w:t>
      </w:r>
      <w:r w:rsidR="00A612AF" w:rsidRPr="006D1B7A">
        <w:t xml:space="preserve"> the approval of the enforcement decision</w:t>
      </w:r>
      <w:r w:rsidR="00D203D6" w:rsidRPr="006D1B7A">
        <w:t xml:space="preserve">. </w:t>
      </w:r>
    </w:p>
    <w:p w14:paraId="1EBA1DD7" w14:textId="2C8A2C72" w:rsidR="00D203D6" w:rsidRPr="006D1B7A" w:rsidRDefault="00A612AF" w:rsidP="000177E0">
      <w:pPr>
        <w:pStyle w:val="Paragraph"/>
      </w:pPr>
      <w:r w:rsidRPr="006D1B7A">
        <w:t>The EDR should be completed propo</w:t>
      </w:r>
      <w:r w:rsidR="005F3A8A" w:rsidRPr="006D1B7A">
        <w:t xml:space="preserve">rtionally to the complexity of the decision and not be a burden, it also provides the </w:t>
      </w:r>
      <w:r w:rsidR="00612259" w:rsidRPr="006D1B7A">
        <w:t xml:space="preserve">knowledge management and </w:t>
      </w:r>
      <w:r w:rsidR="005F3A8A" w:rsidRPr="006D1B7A">
        <w:t>auditable trail</w:t>
      </w:r>
      <w:r w:rsidR="00E84877" w:rsidRPr="006D1B7A">
        <w:t xml:space="preserve"> of the decision</w:t>
      </w:r>
      <w:r w:rsidR="00853029" w:rsidRPr="006D1B7A">
        <w:t xml:space="preserve"> to support future </w:t>
      </w:r>
      <w:r w:rsidR="00192E81" w:rsidRPr="006D1B7A">
        <w:t xml:space="preserve">enforcement </w:t>
      </w:r>
      <w:r w:rsidR="00853029" w:rsidRPr="006D1B7A">
        <w:t>escalation</w:t>
      </w:r>
      <w:r w:rsidR="00192E81" w:rsidRPr="006D1B7A">
        <w:t>,</w:t>
      </w:r>
      <w:r w:rsidR="00E84877" w:rsidRPr="006D1B7A">
        <w:t xml:space="preserve"> if </w:t>
      </w:r>
      <w:r w:rsidR="00192E81" w:rsidRPr="006D1B7A">
        <w:t xml:space="preserve">the decision is </w:t>
      </w:r>
      <w:r w:rsidR="00E84877" w:rsidRPr="006D1B7A">
        <w:t>challenged or for consistency review.</w:t>
      </w:r>
    </w:p>
    <w:p w14:paraId="36C17AE8" w14:textId="55929A16" w:rsidR="00507A90" w:rsidRPr="006D1B7A" w:rsidRDefault="00B17799" w:rsidP="000177E0">
      <w:pPr>
        <w:pStyle w:val="Paragraph"/>
      </w:pPr>
      <w:r w:rsidRPr="006D1B7A">
        <w:t xml:space="preserve">The permissioning regimes regulated by ONR are not included in the EMM as ONR has comprehensive guidance to inspectors regarding the nuclear industry and transport permissioning regime </w:t>
      </w:r>
      <w:sdt>
        <w:sdtPr>
          <w:id w:val="-1455781373"/>
          <w:citation/>
        </w:sdtPr>
        <w:sdtEndPr/>
        <w:sdtContent>
          <w:r w:rsidR="00395C6A" w:rsidRPr="006D1B7A">
            <w:fldChar w:fldCharType="begin"/>
          </w:r>
          <w:r w:rsidR="00395C6A" w:rsidRPr="006D1B7A">
            <w:instrText xml:space="preserve"> CITATION ONR344 \l 2057 </w:instrText>
          </w:r>
          <w:r w:rsidR="00395C6A" w:rsidRPr="006D1B7A">
            <w:fldChar w:fldCharType="separate"/>
          </w:r>
          <w:r w:rsidR="00EB346B" w:rsidRPr="00EB346B">
            <w:rPr>
              <w:noProof/>
            </w:rPr>
            <w:t>[12]</w:t>
          </w:r>
          <w:r w:rsidR="00395C6A" w:rsidRPr="006D1B7A">
            <w:fldChar w:fldCharType="end"/>
          </w:r>
        </w:sdtContent>
      </w:sdt>
      <w:r w:rsidR="00395C6A" w:rsidRPr="006D1B7A">
        <w:t>.</w:t>
      </w:r>
      <w:r w:rsidRPr="006D1B7A">
        <w:t xml:space="preserve"> </w:t>
      </w:r>
    </w:p>
    <w:p w14:paraId="6C0DC50C" w14:textId="3389FF92" w:rsidR="008F7217" w:rsidRPr="006D1B7A" w:rsidRDefault="00B17799" w:rsidP="000177E0">
      <w:pPr>
        <w:pStyle w:val="Paragraph"/>
      </w:pPr>
      <w:r w:rsidRPr="006D1B7A">
        <w:t xml:space="preserve">Where dutyholders are seeking ONR permission, they are not implementing or operating the proposed new or modified </w:t>
      </w:r>
      <w:r w:rsidR="000177E0">
        <w:t xml:space="preserve">activity </w:t>
      </w:r>
      <w:r w:rsidRPr="006D1B7A">
        <w:t>/</w:t>
      </w:r>
      <w:r w:rsidR="000177E0">
        <w:t xml:space="preserve"> </w:t>
      </w:r>
      <w:r w:rsidRPr="006D1B7A">
        <w:t>plan. Consequently, there cannot be any</w:t>
      </w:r>
      <w:r w:rsidR="002F4522">
        <w:t xml:space="preserve"> realisation of</w:t>
      </w:r>
      <w:r w:rsidRPr="006D1B7A">
        <w:t xml:space="preserve"> risk associated with the proposal in itself at that point. </w:t>
      </w:r>
      <w:bookmarkStart w:id="9" w:name="_Toc46136917"/>
    </w:p>
    <w:p w14:paraId="2FE00DFF" w14:textId="66875F42" w:rsidR="0007336F" w:rsidRPr="006D1B7A" w:rsidRDefault="00871BD6" w:rsidP="000177E0">
      <w:pPr>
        <w:pStyle w:val="Paragraph"/>
      </w:pPr>
      <w:r w:rsidRPr="006D1B7A">
        <w:rPr>
          <w:bCs/>
        </w:rPr>
        <w:t>C</w:t>
      </w:r>
      <w:r w:rsidRPr="006D1B7A">
        <w:t>onsideration should also be given to the Control of Major Accident Hazards (COMAH) Regulations’ Competent Authority (CA) and Memorandum of Understanding when considering permission and/or enforcement action relating to COMAH</w:t>
      </w:r>
      <w:r w:rsidR="00F64941">
        <w:t xml:space="preserve"> </w:t>
      </w:r>
      <w:sdt>
        <w:sdtPr>
          <w:id w:val="-343479734"/>
          <w:citation/>
        </w:sdtPr>
        <w:sdtEndPr/>
        <w:sdtContent>
          <w:r w:rsidR="00F64941">
            <w:fldChar w:fldCharType="begin"/>
          </w:r>
          <w:r w:rsidR="000177E0">
            <w:instrText xml:space="preserve">CITATION ONR12 \l 2057 </w:instrText>
          </w:r>
          <w:r w:rsidR="00F64941">
            <w:fldChar w:fldCharType="separate"/>
          </w:r>
          <w:r w:rsidR="000177E0" w:rsidRPr="000177E0">
            <w:rPr>
              <w:noProof/>
            </w:rPr>
            <w:t>[14]</w:t>
          </w:r>
          <w:r w:rsidR="00F64941">
            <w:fldChar w:fldCharType="end"/>
          </w:r>
        </w:sdtContent>
      </w:sdt>
      <w:r w:rsidRPr="006D1B7A">
        <w:t>.</w:t>
      </w:r>
    </w:p>
    <w:p w14:paraId="70465508" w14:textId="5A57F0BA" w:rsidR="008F7217" w:rsidRPr="006D1B7A" w:rsidRDefault="008F7217" w:rsidP="000177E0">
      <w:pPr>
        <w:pStyle w:val="Paragraph"/>
        <w:numPr>
          <w:ilvl w:val="0"/>
          <w:numId w:val="0"/>
        </w:numPr>
        <w:ind w:left="360"/>
      </w:pPr>
    </w:p>
    <w:p w14:paraId="3BC7CE4A" w14:textId="77777777" w:rsidR="0007336F" w:rsidRPr="006D1B7A" w:rsidRDefault="0007336F" w:rsidP="0007336F">
      <w:pPr>
        <w:pStyle w:val="Heading2"/>
        <w:sectPr w:rsidR="0007336F" w:rsidRPr="006D1B7A" w:rsidSect="001A677D">
          <w:pgSz w:w="11906" w:h="16838" w:code="9"/>
          <w:pgMar w:top="1440" w:right="1440" w:bottom="1440" w:left="1440" w:header="397" w:footer="397" w:gutter="0"/>
          <w:cols w:space="312"/>
          <w:docGrid w:linePitch="360"/>
        </w:sectPr>
      </w:pPr>
    </w:p>
    <w:p w14:paraId="0249AD38" w14:textId="6287EE8E" w:rsidR="00B17799" w:rsidRPr="006D1B7A" w:rsidRDefault="00B17799" w:rsidP="00B17799">
      <w:pPr>
        <w:pStyle w:val="Heading1"/>
      </w:pPr>
      <w:bookmarkStart w:id="10" w:name="_Toc213836309"/>
      <w:bookmarkEnd w:id="9"/>
      <w:r w:rsidRPr="006D1B7A">
        <w:lastRenderedPageBreak/>
        <w:t xml:space="preserve">Process of </w:t>
      </w:r>
      <w:r w:rsidR="000A4BBB" w:rsidRPr="006D1B7A">
        <w:t>applying the EMM</w:t>
      </w:r>
      <w:bookmarkEnd w:id="10"/>
    </w:p>
    <w:p w14:paraId="77E03B24" w14:textId="2540BE9B" w:rsidR="00B17799" w:rsidRPr="000177E0" w:rsidRDefault="00B17799" w:rsidP="000177E0">
      <w:pPr>
        <w:pStyle w:val="Paragraph"/>
      </w:pPr>
      <w:r w:rsidRPr="000177E0">
        <w:t xml:space="preserve">The </w:t>
      </w:r>
      <w:r w:rsidR="00A42E19" w:rsidRPr="000177E0">
        <w:t xml:space="preserve">process for enforcement </w:t>
      </w:r>
      <w:r w:rsidR="00924072" w:rsidRPr="000177E0">
        <w:t xml:space="preserve">decision making </w:t>
      </w:r>
      <w:r w:rsidR="00A42E19" w:rsidRPr="000177E0">
        <w:t xml:space="preserve">is </w:t>
      </w:r>
      <w:r w:rsidRPr="000177E0">
        <w:t xml:space="preserve">presented in diagrammatic form at </w:t>
      </w:r>
      <w:r w:rsidR="00FA1F77" w:rsidRPr="000177E0">
        <w:fldChar w:fldCharType="begin"/>
      </w:r>
      <w:r w:rsidR="00FA1F77" w:rsidRPr="000177E0">
        <w:instrText xml:space="preserve"> REF _Ref173491242 \h </w:instrText>
      </w:r>
      <w:r w:rsidR="00871BD6" w:rsidRPr="000177E0">
        <w:instrText xml:space="preserve"> \* MERGEFORMAT </w:instrText>
      </w:r>
      <w:r w:rsidR="00FA1F77" w:rsidRPr="000177E0">
        <w:fldChar w:fldCharType="separate"/>
      </w:r>
      <w:r w:rsidR="00FA1F77" w:rsidRPr="000177E0">
        <w:t>Figure 2</w:t>
      </w:r>
      <w:r w:rsidR="00FA1F77" w:rsidRPr="000177E0">
        <w:fldChar w:fldCharType="end"/>
      </w:r>
      <w:r w:rsidRPr="000177E0">
        <w:t>.</w:t>
      </w:r>
      <w:bookmarkStart w:id="11" w:name="_Toc449700739"/>
      <w:bookmarkEnd w:id="11"/>
    </w:p>
    <w:p w14:paraId="56D98439" w14:textId="75E54BCE" w:rsidR="00D5583F" w:rsidRPr="006D1B7A" w:rsidRDefault="00CF69F6" w:rsidP="00D5583F">
      <w:pPr>
        <w:pStyle w:val="Heading2"/>
      </w:pPr>
      <w:bookmarkStart w:id="12" w:name="_Toc213836310"/>
      <w:bookmarkStart w:id="13" w:name="_Toc46136918"/>
      <w:r w:rsidRPr="006D1B7A">
        <w:t>Matters of Evident Concern</w:t>
      </w:r>
      <w:bookmarkEnd w:id="12"/>
    </w:p>
    <w:p w14:paraId="0241A738" w14:textId="6E33EA3E" w:rsidR="00590997" w:rsidRPr="006D1B7A" w:rsidRDefault="00867681" w:rsidP="000177E0">
      <w:pPr>
        <w:pStyle w:val="Paragraph"/>
        <w:rPr>
          <w:bCs/>
        </w:rPr>
      </w:pPr>
      <w:r w:rsidRPr="000177E0">
        <w:t>I</w:t>
      </w:r>
      <w:r w:rsidR="00EE6553" w:rsidRPr="000177E0">
        <w:t>nspectors</w:t>
      </w:r>
      <w:r w:rsidR="00EE6553" w:rsidRPr="006D1B7A">
        <w:t xml:space="preserve"> have a range of options for addressing immediate safety risks</w:t>
      </w:r>
      <w:r w:rsidR="00617C8A" w:rsidRPr="006D1B7A">
        <w:t>.</w:t>
      </w:r>
      <w:r w:rsidR="00590997" w:rsidRPr="006D1B7A">
        <w:t xml:space="preserve"> </w:t>
      </w:r>
      <w:r w:rsidR="0016630A">
        <w:br/>
      </w:r>
      <w:r w:rsidR="00590997" w:rsidRPr="006D1B7A">
        <w:t>For dealing with immediate safety risks</w:t>
      </w:r>
      <w:r w:rsidR="00EE6553" w:rsidRPr="006D1B7A">
        <w:t xml:space="preserve"> see </w:t>
      </w:r>
      <w:hyperlink r:id="rId28" w:history="1">
        <w:r w:rsidR="00EE6553" w:rsidRPr="006D1B7A">
          <w:rPr>
            <w:rStyle w:val="Hyperlink"/>
          </w:rPr>
          <w:t>Dealing with Matters of Evident Concern and Major Potential Concern</w:t>
        </w:r>
      </w:hyperlink>
      <w:r w:rsidR="00EE6553" w:rsidRPr="006D1B7A">
        <w:t xml:space="preserve"> TIG. </w:t>
      </w:r>
    </w:p>
    <w:p w14:paraId="67A08278" w14:textId="13B13733" w:rsidR="00EE6553" w:rsidRPr="006D1B7A" w:rsidRDefault="00EE6553" w:rsidP="000177E0">
      <w:pPr>
        <w:pStyle w:val="Paragraph"/>
        <w:rPr>
          <w:bCs/>
        </w:rPr>
      </w:pPr>
      <w:r w:rsidRPr="006D1B7A">
        <w:t xml:space="preserve">Addressing immediate risk (including risk of serious personal injury) is the first purpose of enforcement. When addressing immediate </w:t>
      </w:r>
      <w:r w:rsidR="002225B5" w:rsidRPr="006D1B7A">
        <w:t>risk,</w:t>
      </w:r>
      <w:r w:rsidRPr="006D1B7A">
        <w:t xml:space="preserve"> the inspector will likely be on </w:t>
      </w:r>
      <w:r w:rsidR="006360B1" w:rsidRPr="006D1B7A">
        <w:t>site and</w:t>
      </w:r>
      <w:r w:rsidRPr="006D1B7A">
        <w:t xml:space="preserve"> will be making contemporaneous notes within their notebook.</w:t>
      </w:r>
      <w:r w:rsidRPr="006D1B7A">
        <w:rPr>
          <w:b/>
        </w:rPr>
        <w:t xml:space="preserve"> </w:t>
      </w:r>
    </w:p>
    <w:p w14:paraId="5302C12D" w14:textId="14E10F5F" w:rsidR="003A7F7A" w:rsidRDefault="00EE6553" w:rsidP="000177E0">
      <w:pPr>
        <w:pStyle w:val="Paragraph"/>
      </w:pPr>
      <w:r w:rsidRPr="006D1B7A">
        <w:t xml:space="preserve">In circumstances where </w:t>
      </w:r>
      <w:r w:rsidR="006E0056">
        <w:t xml:space="preserve">it is the opinion of the </w:t>
      </w:r>
      <w:r w:rsidR="00D26A7D">
        <w:t>i</w:t>
      </w:r>
      <w:r w:rsidRPr="006D1B7A">
        <w:t>nspector that a work activity</w:t>
      </w:r>
      <w:r w:rsidR="004A3DCB">
        <w:t>:</w:t>
      </w:r>
    </w:p>
    <w:p w14:paraId="16C36F30" w14:textId="0DCC176A" w:rsidR="003A7F7A" w:rsidRPr="000177E0" w:rsidRDefault="00EE6553" w:rsidP="000177E0">
      <w:pPr>
        <w:pStyle w:val="NumList2"/>
      </w:pPr>
      <w:r w:rsidRPr="000177E0">
        <w:t xml:space="preserve">carried on (or likely to be carried on) </w:t>
      </w:r>
      <w:r w:rsidR="00B45B53" w:rsidRPr="000177E0">
        <w:t>i</w:t>
      </w:r>
      <w:r w:rsidRPr="000177E0">
        <w:t xml:space="preserve">n an </w:t>
      </w:r>
      <w:r w:rsidR="00B45B53" w:rsidRPr="000177E0">
        <w:t>are</w:t>
      </w:r>
      <w:r w:rsidR="004A3DCB" w:rsidRPr="000177E0">
        <w:t xml:space="preserve">a enforced by </w:t>
      </w:r>
      <w:r w:rsidRPr="000177E0">
        <w:t>ONR,</w:t>
      </w:r>
    </w:p>
    <w:p w14:paraId="047388D3" w14:textId="77777777" w:rsidR="00B071F1" w:rsidRPr="000177E0" w:rsidRDefault="00EE6553" w:rsidP="000177E0">
      <w:pPr>
        <w:pStyle w:val="NumList2"/>
      </w:pPr>
      <w:r w:rsidRPr="000177E0">
        <w:t xml:space="preserve">under the control of, a </w:t>
      </w:r>
      <w:r w:rsidR="009908FB" w:rsidRPr="000177E0">
        <w:t>dutyholder</w:t>
      </w:r>
      <w:r w:rsidRPr="000177E0">
        <w:t>, contractor or other person</w:t>
      </w:r>
      <w:r w:rsidR="00B071F1" w:rsidRPr="000177E0">
        <w:t>,</w:t>
      </w:r>
      <w:r w:rsidRPr="000177E0">
        <w:t xml:space="preserve"> </w:t>
      </w:r>
    </w:p>
    <w:p w14:paraId="0598D17C" w14:textId="77777777" w:rsidR="00061D16" w:rsidRPr="000177E0" w:rsidRDefault="00517279" w:rsidP="000177E0">
      <w:pPr>
        <w:pStyle w:val="NumList2"/>
      </w:pPr>
      <w:r w:rsidRPr="000177E0">
        <w:t xml:space="preserve">which </w:t>
      </w:r>
      <w:r w:rsidR="00EE6553" w:rsidRPr="000177E0">
        <w:t xml:space="preserve">involves (or will involve) a risk of serious personal injury, </w:t>
      </w:r>
    </w:p>
    <w:p w14:paraId="13BA33ED" w14:textId="175D9420" w:rsidR="00EE6553" w:rsidRPr="006D1B7A" w:rsidRDefault="00EE6553" w:rsidP="000177E0">
      <w:pPr>
        <w:pStyle w:val="Paragraph"/>
      </w:pPr>
      <w:r w:rsidRPr="006D1B7A">
        <w:t xml:space="preserve">the inspector should take appropriate action </w:t>
      </w:r>
      <w:r w:rsidR="00806B97" w:rsidRPr="00806B97">
        <w:t xml:space="preserve">such that in their opinion risks have been </w:t>
      </w:r>
      <w:r w:rsidRPr="006D1B7A">
        <w:t>eliminate</w:t>
      </w:r>
      <w:r w:rsidR="00EF10E6">
        <w:t>d</w:t>
      </w:r>
      <w:r w:rsidRPr="006D1B7A">
        <w:t xml:space="preserve"> or reduce</w:t>
      </w:r>
      <w:r w:rsidR="00EF10E6">
        <w:t>d</w:t>
      </w:r>
      <w:r w:rsidRPr="006D1B7A">
        <w:t xml:space="preserve"> to an acceptable level in line with their powers (</w:t>
      </w:r>
      <w:r w:rsidR="000177E0">
        <w:t xml:space="preserve">for example </w:t>
      </w:r>
      <w:r w:rsidRPr="006D1B7A">
        <w:t>HSWA s22 / s25, TEA13</w:t>
      </w:r>
      <w:r w:rsidR="000177E0">
        <w:t>,</w:t>
      </w:r>
      <w:r w:rsidRPr="006D1B7A">
        <w:t xml:space="preserve"> </w:t>
      </w:r>
      <w:r w:rsidR="001A08DC">
        <w:t>S</w:t>
      </w:r>
      <w:r w:rsidRPr="006D1B7A">
        <w:t>chedule 8</w:t>
      </w:r>
      <w:r w:rsidR="000177E0">
        <w:t>,</w:t>
      </w:r>
      <w:r w:rsidRPr="006D1B7A">
        <w:t xml:space="preserve"> </w:t>
      </w:r>
      <w:r w:rsidR="000177E0">
        <w:t>P</w:t>
      </w:r>
      <w:r w:rsidRPr="006D1B7A">
        <w:t xml:space="preserve">art 2 (4) / </w:t>
      </w:r>
      <w:r w:rsidR="000177E0">
        <w:t>P</w:t>
      </w:r>
      <w:r w:rsidRPr="006D1B7A">
        <w:t>art 3 (10), The Regulatory Reform (Fire Safety) Order 2005</w:t>
      </w:r>
      <w:r w:rsidR="000177E0">
        <w:t>, P</w:t>
      </w:r>
      <w:r w:rsidRPr="006D1B7A">
        <w:t>art 3</w:t>
      </w:r>
      <w:r w:rsidR="000177E0">
        <w:t>, A</w:t>
      </w:r>
      <w:r w:rsidRPr="006D1B7A">
        <w:t>rticle 31 and The Fire (Scotland) Act 2005</w:t>
      </w:r>
      <w:r w:rsidR="000177E0">
        <w:t>,</w:t>
      </w:r>
      <w:r w:rsidRPr="006D1B7A">
        <w:t xml:space="preserve"> </w:t>
      </w:r>
      <w:r w:rsidR="000177E0">
        <w:t>P</w:t>
      </w:r>
      <w:r w:rsidRPr="006D1B7A">
        <w:t>art 3</w:t>
      </w:r>
      <w:r w:rsidR="000177E0">
        <w:t>, C</w:t>
      </w:r>
      <w:r w:rsidRPr="006D1B7A">
        <w:t>hapter 2</w:t>
      </w:r>
      <w:r w:rsidR="000177E0">
        <w:t>, S</w:t>
      </w:r>
      <w:r w:rsidRPr="006D1B7A">
        <w:t xml:space="preserve">ection 63). </w:t>
      </w:r>
    </w:p>
    <w:p w14:paraId="6966C803" w14:textId="039217AD" w:rsidR="00EE6553" w:rsidRPr="006D1B7A" w:rsidRDefault="00EE6553" w:rsidP="000177E0">
      <w:pPr>
        <w:pStyle w:val="Paragraph"/>
        <w:rPr>
          <w:bCs/>
        </w:rPr>
      </w:pPr>
      <w:r w:rsidRPr="006D1B7A">
        <w:t xml:space="preserve">If the </w:t>
      </w:r>
      <w:r w:rsidR="00D26A7D">
        <w:t>i</w:t>
      </w:r>
      <w:r w:rsidRPr="006D1B7A">
        <w:t xml:space="preserve">nspector is unsure of the appropriate action, they should seek advice from a specialist inspector. If no advice is available, the inspector should make their </w:t>
      </w:r>
      <w:r w:rsidR="000177E0">
        <w:t>Head of Regulation (HoR)</w:t>
      </w:r>
      <w:r w:rsidRPr="006D1B7A">
        <w:t xml:space="preserve"> aware if possible and stop the activity </w:t>
      </w:r>
      <w:r w:rsidR="00BD5819" w:rsidRPr="00BD5819">
        <w:t xml:space="preserve">giving rise to risk of serious personal injury </w:t>
      </w:r>
      <w:r w:rsidRPr="006D1B7A">
        <w:t xml:space="preserve">by verbal advice to the dutyholder. In most instances this will be </w:t>
      </w:r>
      <w:r w:rsidR="006360B1" w:rsidRPr="006D1B7A">
        <w:t>enough,</w:t>
      </w:r>
      <w:r w:rsidRPr="006D1B7A">
        <w:t xml:space="preserve"> and </w:t>
      </w:r>
      <w:r w:rsidR="00A708AF" w:rsidRPr="006D1B7A">
        <w:t>be recorded</w:t>
      </w:r>
      <w:r w:rsidRPr="006D1B7A">
        <w:t xml:space="preserve"> to confirm how dutyholder(s) have addressed the immediate risk. Where the matter has not been addressed by the dutyholder and the risk of serious personal injury remains, the inspector should stop the activity by the service of a Prohibition Notice</w:t>
      </w:r>
      <w:r w:rsidR="007E2163">
        <w:rPr>
          <w:rStyle w:val="FootnoteReference"/>
        </w:rPr>
        <w:footnoteReference w:id="6"/>
      </w:r>
      <w:r w:rsidR="007E2163">
        <w:t xml:space="preserve"> </w:t>
      </w:r>
      <w:r w:rsidR="00C654BD">
        <w:t>(PN)</w:t>
      </w:r>
      <w:r w:rsidRPr="006D1B7A">
        <w:t xml:space="preserve">. </w:t>
      </w:r>
    </w:p>
    <w:p w14:paraId="2CF5BDB5" w14:textId="77777777" w:rsidR="000177E0" w:rsidRDefault="000177E0" w:rsidP="000177E0">
      <w:pPr>
        <w:pStyle w:val="Paragraph"/>
        <w:sectPr w:rsidR="000177E0" w:rsidSect="001A677D">
          <w:pgSz w:w="11906" w:h="16838" w:code="9"/>
          <w:pgMar w:top="1440" w:right="1440" w:bottom="1440" w:left="1440" w:header="397" w:footer="397" w:gutter="0"/>
          <w:cols w:space="312"/>
          <w:docGrid w:linePitch="360"/>
        </w:sectPr>
      </w:pPr>
    </w:p>
    <w:p w14:paraId="5C06188C" w14:textId="77777777" w:rsidR="00AB4D66" w:rsidRPr="00AB4D66" w:rsidRDefault="009476FD" w:rsidP="000177E0">
      <w:pPr>
        <w:pStyle w:val="Paragraph"/>
        <w:rPr>
          <w:bCs/>
        </w:rPr>
      </w:pPr>
      <w:r>
        <w:lastRenderedPageBreak/>
        <w:t>Further powers</w:t>
      </w:r>
      <w:r w:rsidR="00DA3EB7">
        <w:rPr>
          <w:rStyle w:val="FootnoteReference"/>
        </w:rPr>
        <w:footnoteReference w:id="7"/>
      </w:r>
      <w:r w:rsidR="00AB4D66">
        <w:t>:</w:t>
      </w:r>
    </w:p>
    <w:p w14:paraId="5142C5AD" w14:textId="77777777" w:rsidR="00AB4D66" w:rsidRPr="000177E0" w:rsidRDefault="00EE6553" w:rsidP="000177E0">
      <w:pPr>
        <w:pStyle w:val="NumList2"/>
        <w:numPr>
          <w:ilvl w:val="1"/>
          <w:numId w:val="28"/>
        </w:numPr>
        <w:ind w:left="1276"/>
        <w:rPr>
          <w:bCs/>
        </w:rPr>
      </w:pPr>
      <w:r w:rsidRPr="006D1B7A">
        <w:t xml:space="preserve">LC 31(1) gives power to ONR to direct the licensee to shut down any plant, operation or process on the site within such period as the ONR may specify.  </w:t>
      </w:r>
    </w:p>
    <w:p w14:paraId="27140EC8" w14:textId="001F531A" w:rsidR="00EE6553" w:rsidRPr="006D1B7A" w:rsidRDefault="00EE6553" w:rsidP="000177E0">
      <w:pPr>
        <w:pStyle w:val="NumList2"/>
        <w:rPr>
          <w:bCs/>
        </w:rPr>
      </w:pPr>
      <w:r w:rsidRPr="006D1B7A">
        <w:t>In relation to COMAH</w:t>
      </w:r>
      <w:r w:rsidR="00692A32">
        <w:t xml:space="preserve"> </w:t>
      </w:r>
      <w:sdt>
        <w:sdtPr>
          <w:id w:val="-1755590591"/>
          <w:citation/>
        </w:sdtPr>
        <w:sdtEndPr/>
        <w:sdtContent>
          <w:r w:rsidR="00116B9A">
            <w:fldChar w:fldCharType="begin"/>
          </w:r>
          <w:r w:rsidR="00116B9A">
            <w:instrText xml:space="preserve"> CITATION The \l 2057 </w:instrText>
          </w:r>
          <w:r w:rsidR="00116B9A">
            <w:fldChar w:fldCharType="separate"/>
          </w:r>
          <w:r w:rsidR="00EB346B" w:rsidRPr="00EB346B">
            <w:rPr>
              <w:noProof/>
            </w:rPr>
            <w:t>[14]</w:t>
          </w:r>
          <w:r w:rsidR="00116B9A">
            <w:fldChar w:fldCharType="end"/>
          </w:r>
        </w:sdtContent>
      </w:sdt>
      <w:r w:rsidRPr="006D1B7A">
        <w:t>, the COMAH Competent Authority (i.e.</w:t>
      </w:r>
      <w:r w:rsidR="0016630A">
        <w:t>,</w:t>
      </w:r>
      <w:r w:rsidRPr="006D1B7A">
        <w:t xml:space="preserve"> ONR in conjunction with the relevant </w:t>
      </w:r>
      <w:r w:rsidR="00B47EEC">
        <w:t>e</w:t>
      </w:r>
      <w:r w:rsidRPr="006D1B7A">
        <w:t>nvironment</w:t>
      </w:r>
      <w:r w:rsidR="00B47EEC">
        <w:t>al</w:t>
      </w:r>
      <w:r w:rsidRPr="006D1B7A">
        <w:t xml:space="preserve"> </w:t>
      </w:r>
      <w:r w:rsidR="00B47EEC">
        <w:t>regulator</w:t>
      </w:r>
      <w:r w:rsidRPr="006D1B7A">
        <w:t xml:space="preserve">) has the power to issue COMAH prohibition notices to direct the licensee to shut down any COMAH related operation if it is seriously deficient in preventing major accidents.  </w:t>
      </w:r>
    </w:p>
    <w:p w14:paraId="4787D384" w14:textId="77777777" w:rsidR="00EE6553" w:rsidRPr="006D1B7A" w:rsidRDefault="00EE6553" w:rsidP="000177E0">
      <w:pPr>
        <w:pStyle w:val="Paragraph"/>
        <w:rPr>
          <w:bCs/>
        </w:rPr>
      </w:pPr>
      <w:r w:rsidRPr="006D1B7A">
        <w:t xml:space="preserve">By using influence or statutory powers, the inspector is likely to have taken action sufficient to ensure the risk is effectively controlled. However, the inspector will also need to determine: </w:t>
      </w:r>
    </w:p>
    <w:p w14:paraId="40CA4605" w14:textId="1683F00D" w:rsidR="00EE6553" w:rsidRPr="006D1B7A" w:rsidRDefault="00EE6553" w:rsidP="000177E0">
      <w:pPr>
        <w:pStyle w:val="NumList2"/>
        <w:numPr>
          <w:ilvl w:val="1"/>
          <w:numId w:val="27"/>
        </w:numPr>
        <w:ind w:left="1276"/>
      </w:pPr>
      <w:r w:rsidRPr="006D1B7A">
        <w:t xml:space="preserve">whether to take further enforcement action to secure sustained compliance with the law in relation to that, and other risks they have identified; and </w:t>
      </w:r>
    </w:p>
    <w:p w14:paraId="2AED0A34" w14:textId="77777777" w:rsidR="00EE6553" w:rsidRPr="006D1B7A" w:rsidRDefault="00EE6553" w:rsidP="000177E0">
      <w:pPr>
        <w:pStyle w:val="NumList2"/>
        <w:numPr>
          <w:ilvl w:val="1"/>
          <w:numId w:val="27"/>
        </w:numPr>
        <w:ind w:left="1276"/>
      </w:pPr>
      <w:r w:rsidRPr="006D1B7A">
        <w:t xml:space="preserve">whether consideration of criminal proceedings is appropriate. </w:t>
      </w:r>
    </w:p>
    <w:p w14:paraId="62AD454E" w14:textId="16A30332" w:rsidR="00EE6553" w:rsidRPr="006D1B7A" w:rsidRDefault="00EE6553" w:rsidP="000177E0">
      <w:pPr>
        <w:pStyle w:val="NumList2"/>
        <w:numPr>
          <w:ilvl w:val="1"/>
          <w:numId w:val="27"/>
        </w:numPr>
        <w:ind w:left="1276"/>
      </w:pPr>
      <w:r w:rsidRPr="006D1B7A">
        <w:t>whether shortcomings in health and safety management have led to this risk manifesting and whether these shortcomings could lead to workers</w:t>
      </w:r>
      <w:r w:rsidR="00DC6B71">
        <w:t xml:space="preserve"> and</w:t>
      </w:r>
      <w:r w:rsidR="000177E0">
        <w:t xml:space="preserve"> </w:t>
      </w:r>
      <w:r w:rsidR="00DC6B71">
        <w:t>/ or members of the public</w:t>
      </w:r>
      <w:r w:rsidRPr="006D1B7A">
        <w:t xml:space="preserve"> being exposed to risks in other areas of work (extent of condition).</w:t>
      </w:r>
    </w:p>
    <w:p w14:paraId="21A0CFE6" w14:textId="77777777" w:rsidR="007055D4" w:rsidRPr="006D1B7A" w:rsidRDefault="007055D4" w:rsidP="000177E0">
      <w:pPr>
        <w:pStyle w:val="Paragraph"/>
        <w:numPr>
          <w:ilvl w:val="0"/>
          <w:numId w:val="0"/>
        </w:numPr>
        <w:ind w:left="720"/>
      </w:pPr>
    </w:p>
    <w:p w14:paraId="2D4D4A73" w14:textId="77777777" w:rsidR="006E46CF" w:rsidRPr="006D1B7A" w:rsidRDefault="006E46CF" w:rsidP="000177E0">
      <w:pPr>
        <w:pStyle w:val="Paragraph"/>
        <w:sectPr w:rsidR="006E46CF" w:rsidRPr="006D1B7A" w:rsidSect="001A677D">
          <w:pgSz w:w="11906" w:h="16838" w:code="9"/>
          <w:pgMar w:top="1440" w:right="1440" w:bottom="1440" w:left="1440" w:header="397" w:footer="397" w:gutter="0"/>
          <w:cols w:space="312"/>
          <w:docGrid w:linePitch="360"/>
        </w:sectPr>
      </w:pPr>
    </w:p>
    <w:p w14:paraId="1EA2C815" w14:textId="69222B48" w:rsidR="00D618EE" w:rsidRPr="006D1B7A" w:rsidRDefault="00377857" w:rsidP="000177E0">
      <w:pPr>
        <w:pStyle w:val="Paragraph"/>
        <w:numPr>
          <w:ilvl w:val="0"/>
          <w:numId w:val="0"/>
        </w:numPr>
        <w:ind w:left="360"/>
        <w:rPr>
          <w:rFonts w:ascii="Times New Roman" w:hAnsi="Times New Roman"/>
          <w:szCs w:val="24"/>
          <w:lang w:eastAsia="en-GB" w:bidi="ar-SA"/>
        </w:rPr>
      </w:pPr>
      <w:r>
        <w:rPr>
          <w:noProof/>
        </w:rPr>
        <w:lastRenderedPageBreak/>
        <w:drawing>
          <wp:inline distT="0" distB="0" distL="0" distR="0" wp14:anchorId="37B0BFB4" wp14:editId="3327D8E1">
            <wp:extent cx="7364764" cy="12592050"/>
            <wp:effectExtent l="0" t="0" r="7620" b="0"/>
            <wp:docPr id="1089736415" name="Picture 1" descr="Figure 2 - Process of applying the E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36415" name="Picture 1" descr="Figure 2 - Process of applying the EMM"/>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7394485" cy="12642866"/>
                    </a:xfrm>
                    <a:prstGeom prst="rect">
                      <a:avLst/>
                    </a:prstGeom>
                    <a:noFill/>
                    <a:ln>
                      <a:noFill/>
                    </a:ln>
                  </pic:spPr>
                </pic:pic>
              </a:graphicData>
            </a:graphic>
          </wp:inline>
        </w:drawing>
      </w:r>
    </w:p>
    <w:p w14:paraId="11DB2858" w14:textId="6B44A562" w:rsidR="006C26AF" w:rsidRPr="006D1B7A" w:rsidRDefault="006C26AF" w:rsidP="00BC134C">
      <w:pPr>
        <w:pStyle w:val="Caption"/>
        <w:ind w:left="0"/>
        <w:rPr>
          <w:rFonts w:ascii="Times New Roman" w:eastAsia="Times New Roman" w:hAnsi="Times New Roman" w:cs="Times New Roman"/>
          <w:szCs w:val="24"/>
          <w:lang w:eastAsia="en-GB" w:bidi="ar-SA"/>
        </w:rPr>
      </w:pPr>
      <w:bookmarkStart w:id="14" w:name="_Ref173491242"/>
      <w:r w:rsidRPr="006D1B7A">
        <w:t xml:space="preserve">Figure </w:t>
      </w:r>
      <w:r w:rsidRPr="006D1B7A">
        <w:fldChar w:fldCharType="begin"/>
      </w:r>
      <w:r w:rsidRPr="006D1B7A">
        <w:instrText xml:space="preserve"> SEQ Figure \* ARABIC </w:instrText>
      </w:r>
      <w:r w:rsidRPr="006D1B7A">
        <w:fldChar w:fldCharType="separate"/>
      </w:r>
      <w:r w:rsidR="00181C4E" w:rsidRPr="006D1B7A">
        <w:t>2</w:t>
      </w:r>
      <w:r w:rsidRPr="006D1B7A">
        <w:fldChar w:fldCharType="end"/>
      </w:r>
      <w:bookmarkEnd w:id="14"/>
      <w:r w:rsidR="003F6105" w:rsidRPr="006D1B7A">
        <w:t xml:space="preserve"> - </w:t>
      </w:r>
      <w:r w:rsidR="00D203D6" w:rsidRPr="006D1B7A">
        <w:t xml:space="preserve">Process of </w:t>
      </w:r>
      <w:r w:rsidR="000A4BBB" w:rsidRPr="006D1B7A">
        <w:t>applying the EMM</w:t>
      </w:r>
      <w:r w:rsidR="00384E7B" w:rsidRPr="006D1B7A">
        <w:t>.</w:t>
      </w:r>
    </w:p>
    <w:p w14:paraId="0F98887C" w14:textId="77777777" w:rsidR="006C26AF" w:rsidRPr="006D1B7A" w:rsidRDefault="006C26AF" w:rsidP="006C26AF"/>
    <w:p w14:paraId="6C40378B" w14:textId="77777777" w:rsidR="009D41EF" w:rsidRPr="006D1B7A" w:rsidRDefault="009D41EF" w:rsidP="00B17799">
      <w:pPr>
        <w:pStyle w:val="Heading2"/>
        <w:sectPr w:rsidR="009D41EF" w:rsidRPr="006D1B7A" w:rsidSect="001A677D">
          <w:type w:val="continuous"/>
          <w:pgSz w:w="16838" w:h="23811" w:code="8"/>
          <w:pgMar w:top="1440" w:right="1440" w:bottom="1440" w:left="1440" w:header="397" w:footer="397" w:gutter="0"/>
          <w:cols w:space="312"/>
          <w:docGrid w:linePitch="360"/>
        </w:sectPr>
      </w:pPr>
    </w:p>
    <w:p w14:paraId="166E70B9" w14:textId="635DF31F" w:rsidR="00F250E0" w:rsidRPr="006D1B7A" w:rsidRDefault="00E36452" w:rsidP="00F250E0">
      <w:pPr>
        <w:pStyle w:val="Heading2"/>
      </w:pPr>
      <w:bookmarkStart w:id="15" w:name="_Toc213836311"/>
      <w:bookmarkEnd w:id="13"/>
      <w:r w:rsidRPr="006D1B7A">
        <w:lastRenderedPageBreak/>
        <w:t xml:space="preserve">Gap </w:t>
      </w:r>
      <w:r w:rsidR="001A677D">
        <w:t>a</w:t>
      </w:r>
      <w:r w:rsidRPr="006D1B7A">
        <w:t>nalysis</w:t>
      </w:r>
      <w:r w:rsidR="00F250E0" w:rsidRPr="006D1B7A">
        <w:t xml:space="preserve"> – Risk </w:t>
      </w:r>
      <w:r w:rsidR="001A677D">
        <w:t>l</w:t>
      </w:r>
      <w:r w:rsidR="00F250E0" w:rsidRPr="006D1B7A">
        <w:t>evel</w:t>
      </w:r>
      <w:bookmarkEnd w:id="15"/>
    </w:p>
    <w:p w14:paraId="2E7DC385" w14:textId="0F08D4FA" w:rsidR="00794D80" w:rsidRDefault="00794D80" w:rsidP="000177E0">
      <w:pPr>
        <w:pStyle w:val="Paragraph"/>
      </w:pPr>
      <w:r>
        <w:t xml:space="preserve">Risk </w:t>
      </w:r>
      <w:r w:rsidR="005E1A3A">
        <w:t>includes actual or potential harm.</w:t>
      </w:r>
    </w:p>
    <w:p w14:paraId="6FAA30F4" w14:textId="06BE4340" w:rsidR="009B1843" w:rsidRPr="006D1B7A" w:rsidRDefault="00FA4B6C" w:rsidP="000177E0">
      <w:pPr>
        <w:pStyle w:val="Paragraph"/>
      </w:pPr>
      <w:r w:rsidRPr="006D1B7A">
        <w:t>In determining risk, the inspector should initially assess the level(s) of actual risk arising from the dutyholder’s activities</w:t>
      </w:r>
      <w:r w:rsidR="00C72664">
        <w:t>, b</w:t>
      </w:r>
      <w:r w:rsidRPr="006D1B7A">
        <w:t>ased on the</w:t>
      </w:r>
      <w:r w:rsidR="00685C9D" w:rsidRPr="006D1B7A">
        <w:t xml:space="preserve"> inspector</w:t>
      </w:r>
      <w:r w:rsidR="00C72664">
        <w:t>’s</w:t>
      </w:r>
      <w:r w:rsidRPr="006D1B7A">
        <w:t xml:space="preserve"> judgement of the hazards and control measures informed by their training, experience, guidance and other relevant sources of information</w:t>
      </w:r>
      <w:r w:rsidR="00B862A1">
        <w:t xml:space="preserve"> </w:t>
      </w:r>
      <w:r w:rsidR="000177E0">
        <w:br/>
      </w:r>
      <w:r w:rsidR="00B862A1">
        <w:t>(including advice from specialist inspectors)</w:t>
      </w:r>
      <w:r w:rsidRPr="006D1B7A">
        <w:t xml:space="preserve">. </w:t>
      </w:r>
    </w:p>
    <w:p w14:paraId="7748C44C" w14:textId="7F6AE182" w:rsidR="00FA4B6C" w:rsidRPr="006D1B7A" w:rsidRDefault="00FA4B6C" w:rsidP="000177E0">
      <w:pPr>
        <w:pStyle w:val="Paragraph"/>
      </w:pPr>
      <w:r w:rsidRPr="006D1B7A">
        <w:t>Some risks may be relevant to more than one regulatory purpose</w:t>
      </w:r>
      <w:r w:rsidR="00632731">
        <w:t>, for example</w:t>
      </w:r>
      <w:r w:rsidR="0098647F" w:rsidRPr="006D1B7A">
        <w:t xml:space="preserve"> a loss of nuclear material from a civil nuclear site would be relevant </w:t>
      </w:r>
      <w:r w:rsidR="00D76D6F">
        <w:t>across purposes</w:t>
      </w:r>
      <w:r w:rsidR="0098647F" w:rsidRPr="006D1B7A">
        <w:t xml:space="preserve">. </w:t>
      </w:r>
      <w:r w:rsidRPr="006D1B7A">
        <w:t xml:space="preserve">On these occasions it is important that the purposes </w:t>
      </w:r>
      <w:r w:rsidR="000177E0">
        <w:br/>
      </w:r>
      <w:r w:rsidRPr="006D1B7A">
        <w:t>coordinate to ensure awareness of the risk and that appropriate enforcement action is taken</w:t>
      </w:r>
      <w:r w:rsidR="0055118F" w:rsidRPr="006D1B7A">
        <w:t xml:space="preserve">. </w:t>
      </w:r>
    </w:p>
    <w:p w14:paraId="65F60AB3" w14:textId="60C6A5AB" w:rsidR="003144F7" w:rsidRDefault="003E476E" w:rsidP="000177E0">
      <w:pPr>
        <w:pStyle w:val="Paragraph"/>
      </w:pPr>
      <w:r>
        <w:t>W</w:t>
      </w:r>
      <w:r w:rsidR="009711EC">
        <w:t xml:space="preserve">hen considering </w:t>
      </w:r>
      <w:r>
        <w:t xml:space="preserve">security </w:t>
      </w:r>
      <w:r w:rsidR="009711EC">
        <w:t xml:space="preserve">risk </w:t>
      </w:r>
      <w:r w:rsidR="00940CF1">
        <w:t xml:space="preserve">this </w:t>
      </w:r>
      <w:r w:rsidR="009711EC">
        <w:t xml:space="preserve">will be </w:t>
      </w:r>
      <w:r w:rsidR="004017C0">
        <w:t>bas</w:t>
      </w:r>
      <w:r w:rsidR="00940CF1">
        <w:t>ed</w:t>
      </w:r>
      <w:r w:rsidR="004017C0">
        <w:t xml:space="preserve"> on a deterministic approach which is underpinned</w:t>
      </w:r>
      <w:r w:rsidR="00EB5D60">
        <w:t xml:space="preserve"> by His Majes</w:t>
      </w:r>
      <w:r w:rsidR="00A27F63">
        <w:t>ty’s</w:t>
      </w:r>
      <w:r w:rsidR="00EB5D60">
        <w:t xml:space="preserve"> Government </w:t>
      </w:r>
      <w:r w:rsidR="004D7E61">
        <w:t xml:space="preserve">(HMG) requirement that </w:t>
      </w:r>
      <w:r w:rsidR="004D7E61" w:rsidRPr="00FB366D">
        <w:t xml:space="preserve">the industry works </w:t>
      </w:r>
      <w:r w:rsidR="00313AB7" w:rsidRPr="00FB366D">
        <w:t xml:space="preserve">on the probability of a physical or </w:t>
      </w:r>
      <w:r w:rsidR="001A727D" w:rsidRPr="00FB366D">
        <w:t>cyber-attack</w:t>
      </w:r>
      <w:r w:rsidR="00313AB7" w:rsidRPr="00FB366D">
        <w:t xml:space="preserve"> being </w:t>
      </w:r>
      <w:r w:rsidR="00390720" w:rsidRPr="00FB366D">
        <w:t>certain</w:t>
      </w:r>
      <w:r w:rsidR="005D74FA" w:rsidRPr="00FB366D">
        <w:t>.</w:t>
      </w:r>
      <w:r w:rsidR="008E678A" w:rsidRPr="00FB366D">
        <w:t xml:space="preserve"> </w:t>
      </w:r>
      <w:r w:rsidR="00690F7F" w:rsidRPr="00FB366D">
        <w:t xml:space="preserve">The threats on which risk is </w:t>
      </w:r>
      <w:r w:rsidR="006E3CF7" w:rsidRPr="00FB366D">
        <w:t>determined</w:t>
      </w:r>
      <w:r w:rsidR="00690F7F" w:rsidRPr="00FB366D">
        <w:t xml:space="preserve"> are postulated</w:t>
      </w:r>
      <w:r w:rsidR="002B4A64" w:rsidRPr="00FB366D">
        <w:t xml:space="preserve">, </w:t>
      </w:r>
      <w:r w:rsidR="00F83A5D" w:rsidRPr="00FB366D">
        <w:t xml:space="preserve">and are </w:t>
      </w:r>
      <w:r w:rsidR="002B4A64" w:rsidRPr="00FB366D">
        <w:t>outlined</w:t>
      </w:r>
      <w:r w:rsidR="002B4A64">
        <w:t xml:space="preserve"> in the </w:t>
      </w:r>
      <w:r w:rsidR="004D7250">
        <w:t>Design Basis Threat (DBT)</w:t>
      </w:r>
      <w:r w:rsidR="006B07C7">
        <w:t xml:space="preserve"> to reflect HMG risk appetite rather than the actual threat reporting</w:t>
      </w:r>
      <w:r w:rsidR="003300EF">
        <w:t xml:space="preserve">. In determining </w:t>
      </w:r>
      <w:r w:rsidR="0041208D">
        <w:t xml:space="preserve">security </w:t>
      </w:r>
      <w:r w:rsidR="003300EF">
        <w:t xml:space="preserve">consequence the effects may not materialise in a manner which may cause </w:t>
      </w:r>
      <w:r w:rsidR="007D1ADA">
        <w:t xml:space="preserve">or increase </w:t>
      </w:r>
      <w:r w:rsidR="006E3CF7">
        <w:t>the risk to the public, but may generate a serious consequence</w:t>
      </w:r>
      <w:r w:rsidR="003E7532">
        <w:t xml:space="preserve"> due to the creation of security vulnerabilities which would be inconsistent with </w:t>
      </w:r>
      <w:r>
        <w:t>HMG risk appetite.</w:t>
      </w:r>
    </w:p>
    <w:p w14:paraId="1EEC9BB9" w14:textId="0D5464E5" w:rsidR="00BB7F98" w:rsidRPr="00DD75CD" w:rsidRDefault="006E46CF" w:rsidP="000177E0">
      <w:pPr>
        <w:pStyle w:val="Paragraph"/>
      </w:pPr>
      <w:r w:rsidRPr="006D1B7A">
        <w:t xml:space="preserve">Evaluation of the risk may involve considering several inter-related causal factors, for example, </w:t>
      </w:r>
      <w:r w:rsidR="001E5B81" w:rsidRPr="006D1B7A">
        <w:t>for</w:t>
      </w:r>
      <w:r w:rsidRPr="006D1B7A">
        <w:t xml:space="preserve"> an evaporative cooling water system causal factors may include system management, responsible person competence, maintenance, sampling, and/or assessment of the risks. </w:t>
      </w:r>
      <w:r w:rsidR="007B26AF" w:rsidRPr="00A41E1D">
        <w:rPr>
          <w:b/>
          <w:bCs/>
        </w:rPr>
        <w:t>I</w:t>
      </w:r>
      <w:r w:rsidR="0004338A" w:rsidRPr="00A41E1D">
        <w:rPr>
          <w:b/>
          <w:bCs/>
        </w:rPr>
        <w:t xml:space="preserve">t is important to bear in mind all </w:t>
      </w:r>
      <w:r w:rsidR="00711125" w:rsidRPr="00A41E1D">
        <w:rPr>
          <w:b/>
          <w:bCs/>
        </w:rPr>
        <w:t>factors</w:t>
      </w:r>
      <w:r w:rsidR="0004338A" w:rsidRPr="00A41E1D">
        <w:rPr>
          <w:b/>
          <w:bCs/>
        </w:rPr>
        <w:t xml:space="preserve"> to ensure the right ones are assessed at the risk gap stage and the correct standards are used</w:t>
      </w:r>
      <w:r w:rsidR="00A96932" w:rsidRPr="00A41E1D">
        <w:rPr>
          <w:b/>
          <w:bCs/>
        </w:rPr>
        <w:t>.</w:t>
      </w:r>
    </w:p>
    <w:p w14:paraId="118FEA06" w14:textId="6DE61C74" w:rsidR="006E46CF" w:rsidRPr="006D1B7A" w:rsidRDefault="006E46CF" w:rsidP="006E46CF">
      <w:pPr>
        <w:pStyle w:val="Heading3"/>
        <w:rPr>
          <w:bCs/>
        </w:rPr>
      </w:pPr>
      <w:r w:rsidRPr="006D1B7A">
        <w:t xml:space="preserve">Evaluating the </w:t>
      </w:r>
      <w:r w:rsidR="008A5BF9" w:rsidRPr="006D1B7A">
        <w:t>r</w:t>
      </w:r>
      <w:r w:rsidRPr="006D1B7A">
        <w:t xml:space="preserve">isk </w:t>
      </w:r>
      <w:r w:rsidR="008A5BF9" w:rsidRPr="006D1B7A">
        <w:t>l</w:t>
      </w:r>
      <w:r w:rsidRPr="006D1B7A">
        <w:t>evel</w:t>
      </w:r>
    </w:p>
    <w:p w14:paraId="5911AB3D" w14:textId="76E596C1" w:rsidR="006E46CF" w:rsidRPr="006D1B7A" w:rsidRDefault="006E46CF" w:rsidP="000177E0">
      <w:pPr>
        <w:pStyle w:val="Paragraph"/>
        <w:rPr>
          <w:b/>
        </w:rPr>
      </w:pPr>
      <w:r w:rsidRPr="006D1B7A">
        <w:t xml:space="preserve">The concept of risk level is used as an overall indicator of how far away from </w:t>
      </w:r>
      <w:r w:rsidR="00114964" w:rsidRPr="006D1B7A">
        <w:t>the</w:t>
      </w:r>
      <w:r w:rsidR="00D0353A" w:rsidRPr="006D1B7A">
        <w:t xml:space="preserve"> relevant</w:t>
      </w:r>
      <w:r w:rsidR="00ED68D1" w:rsidRPr="006D1B7A">
        <w:t xml:space="preserve"> </w:t>
      </w:r>
      <w:r w:rsidRPr="006D1B7A">
        <w:t xml:space="preserve">standard the particular circumstances encountered by the inspector actually are. The risk level takes account of </w:t>
      </w:r>
      <w:r w:rsidR="00FE2F7A" w:rsidRPr="006D1B7A">
        <w:t>potential for harm</w:t>
      </w:r>
      <w:r w:rsidR="003903B5">
        <w:t xml:space="preserve"> and actual harm</w:t>
      </w:r>
      <w:r w:rsidR="000413BC" w:rsidRPr="006D1B7A">
        <w:t>,</w:t>
      </w:r>
      <w:r w:rsidRPr="006D1B7A">
        <w:t xml:space="preserve"> consequences</w:t>
      </w:r>
      <w:r w:rsidR="00E0768E" w:rsidRPr="006D1B7A">
        <w:t>,</w:t>
      </w:r>
      <w:r w:rsidRPr="006D1B7A">
        <w:t xml:space="preserve"> and the </w:t>
      </w:r>
      <w:r w:rsidR="000413BC" w:rsidRPr="006D1B7A">
        <w:t>adequacy</w:t>
      </w:r>
      <w:r w:rsidRPr="006D1B7A">
        <w:t xml:space="preserve"> of the control measures in place to provide protection</w:t>
      </w:r>
      <w:r w:rsidR="006C234C" w:rsidRPr="006D1B7A">
        <w:t xml:space="preserve"> against the potential for harm</w:t>
      </w:r>
      <w:r w:rsidRPr="006D1B7A">
        <w:t xml:space="preserve">. </w:t>
      </w:r>
    </w:p>
    <w:p w14:paraId="7600E267" w14:textId="61D10558" w:rsidR="00F7569D" w:rsidRPr="006D1B7A" w:rsidRDefault="006E46CF" w:rsidP="000177E0">
      <w:pPr>
        <w:pStyle w:val="Paragraph"/>
      </w:pPr>
      <w:r w:rsidRPr="006D1B7A">
        <w:t>The risk level matrix should be used by inspectors, in conjunction with their experience and judgement, to determine an appropriate risk level</w:t>
      </w:r>
      <w:r w:rsidR="00181C4E" w:rsidRPr="006D1B7A">
        <w:t xml:space="preserve"> (refer to </w:t>
      </w:r>
      <w:r w:rsidR="0016630A">
        <w:fldChar w:fldCharType="begin"/>
      </w:r>
      <w:r w:rsidR="0016630A">
        <w:instrText xml:space="preserve"> REF _Ref213835890 \h </w:instrText>
      </w:r>
      <w:r w:rsidR="0016630A">
        <w:fldChar w:fldCharType="separate"/>
      </w:r>
      <w:r w:rsidR="0016630A">
        <w:t xml:space="preserve">Table </w:t>
      </w:r>
      <w:r w:rsidR="0016630A">
        <w:rPr>
          <w:noProof/>
        </w:rPr>
        <w:t>1</w:t>
      </w:r>
      <w:r w:rsidR="0016630A">
        <w:fldChar w:fldCharType="end"/>
      </w:r>
      <w:r w:rsidR="00181C4E" w:rsidRPr="006D1B7A">
        <w:t>)</w:t>
      </w:r>
      <w:r w:rsidR="00DD6720">
        <w:t xml:space="preserve"> for health</w:t>
      </w:r>
      <w:r w:rsidR="003D1C3F">
        <w:t>, safety and security risks</w:t>
      </w:r>
      <w:r w:rsidRPr="006D1B7A">
        <w:t xml:space="preserve">. </w:t>
      </w:r>
    </w:p>
    <w:p w14:paraId="5CB1CD71" w14:textId="77777777" w:rsidR="001A677D" w:rsidRDefault="001A677D" w:rsidP="000177E0">
      <w:pPr>
        <w:pStyle w:val="Paragraph"/>
        <w:sectPr w:rsidR="001A677D" w:rsidSect="001A677D">
          <w:type w:val="continuous"/>
          <w:pgSz w:w="11906" w:h="16838" w:code="9"/>
          <w:pgMar w:top="1440" w:right="1440" w:bottom="1440" w:left="1440" w:header="431" w:footer="567" w:gutter="0"/>
          <w:cols w:space="708"/>
          <w:titlePg/>
          <w:docGrid w:linePitch="360"/>
        </w:sectPr>
      </w:pPr>
    </w:p>
    <w:p w14:paraId="626AE1CC" w14:textId="6F5C15DC" w:rsidR="00777EF9" w:rsidRPr="006D1B7A" w:rsidRDefault="005F25BB" w:rsidP="000177E0">
      <w:pPr>
        <w:pStyle w:val="Paragraph"/>
      </w:pPr>
      <w:r w:rsidRPr="006D1B7A">
        <w:lastRenderedPageBreak/>
        <w:t>The risk level matrix</w:t>
      </w:r>
      <w:r w:rsidR="006E46CF" w:rsidRPr="006D1B7A">
        <w:t xml:space="preserve"> uses two parameters; the </w:t>
      </w:r>
      <w:r w:rsidR="006E46CF" w:rsidRPr="006D1B7A">
        <w:rPr>
          <w:b/>
          <w:bCs/>
        </w:rPr>
        <w:t>consequence level</w:t>
      </w:r>
      <w:r w:rsidR="006E46CF" w:rsidRPr="006D1B7A">
        <w:t xml:space="preserve"> is a relative measure of the actual or potential harm</w:t>
      </w:r>
      <w:r w:rsidR="002F3EDB" w:rsidRPr="006D1B7A">
        <w:t>,</w:t>
      </w:r>
      <w:r w:rsidR="006E46CF" w:rsidRPr="006D1B7A">
        <w:t xml:space="preserve"> to workers or the public (</w:t>
      </w:r>
      <w:r w:rsidR="00D21C3E">
        <w:t xml:space="preserve">for security </w:t>
      </w:r>
      <w:r w:rsidR="00DD1DDC">
        <w:t>the gap with HMG risk appetite</w:t>
      </w:r>
      <w:r w:rsidR="006E46CF" w:rsidRPr="006D1B7A">
        <w:t>)</w:t>
      </w:r>
      <w:r w:rsidR="000368A7" w:rsidRPr="006D1B7A">
        <w:t>; the</w:t>
      </w:r>
      <w:r w:rsidR="006E46CF" w:rsidRPr="006D1B7A">
        <w:t xml:space="preserve"> </w:t>
      </w:r>
      <w:r w:rsidR="006E46CF" w:rsidRPr="006D1B7A">
        <w:rPr>
          <w:b/>
          <w:bCs/>
        </w:rPr>
        <w:t>control measures</w:t>
      </w:r>
      <w:r w:rsidR="006E46CF" w:rsidRPr="006D1B7A">
        <w:t xml:space="preserve"> level is a relative measure of the extent to which </w:t>
      </w:r>
      <w:r w:rsidR="00E97CC3" w:rsidRPr="006D1B7A">
        <w:t xml:space="preserve">controlling the risk to the </w:t>
      </w:r>
      <w:r w:rsidR="006E46CF" w:rsidRPr="006D1B7A">
        <w:t>relevant benchmark standard has been satisfied.</w:t>
      </w:r>
      <w:r w:rsidR="00267618" w:rsidRPr="006D1B7A">
        <w:t xml:space="preserve"> Refer to </w:t>
      </w:r>
      <w:hyperlink w:anchor="_Appendix_C_–" w:history="1">
        <w:r w:rsidR="0085349D" w:rsidRPr="006D1B7A">
          <w:rPr>
            <w:rStyle w:val="Hyperlink"/>
          </w:rPr>
          <w:t xml:space="preserve">Appendix </w:t>
        </w:r>
        <w:r w:rsidR="00FE6A0F">
          <w:rPr>
            <w:rStyle w:val="Hyperlink"/>
          </w:rPr>
          <w:t>B</w:t>
        </w:r>
      </w:hyperlink>
      <w:r w:rsidR="00267618" w:rsidRPr="006D1B7A">
        <w:t xml:space="preserve"> for guidance on the selection of consequence levels.</w:t>
      </w:r>
    </w:p>
    <w:p w14:paraId="40B548F1" w14:textId="1FE739D7" w:rsidR="0016630A" w:rsidRDefault="0016630A" w:rsidP="0016630A">
      <w:pPr>
        <w:pStyle w:val="Caption"/>
        <w:jc w:val="left"/>
      </w:pPr>
      <w:bookmarkStart w:id="16" w:name="_Ref213835890"/>
      <w:r>
        <w:t xml:space="preserve">Table </w:t>
      </w:r>
      <w:r>
        <w:fldChar w:fldCharType="begin"/>
      </w:r>
      <w:r>
        <w:instrText xml:space="preserve"> SEQ Table \* ARABIC </w:instrText>
      </w:r>
      <w:r>
        <w:fldChar w:fldCharType="separate"/>
      </w:r>
      <w:r>
        <w:rPr>
          <w:noProof/>
        </w:rPr>
        <w:t>1</w:t>
      </w:r>
      <w:r>
        <w:fldChar w:fldCharType="end"/>
      </w:r>
      <w:bookmarkEnd w:id="16"/>
      <w:r>
        <w:t xml:space="preserve"> - </w:t>
      </w:r>
      <w:r w:rsidRPr="00197E94">
        <w:t>Risk level matrix</w:t>
      </w:r>
    </w:p>
    <w:tbl>
      <w:tblPr>
        <w:tblStyle w:val="TableGrid5"/>
        <w:tblW w:w="4528"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1"/>
        <w:gridCol w:w="1220"/>
        <w:gridCol w:w="1679"/>
        <w:gridCol w:w="1679"/>
        <w:gridCol w:w="1680"/>
      </w:tblGrid>
      <w:tr w:rsidR="00635B29" w:rsidRPr="000177E0" w14:paraId="158BD68E" w14:textId="77777777" w:rsidTr="000177E0">
        <w:tc>
          <w:tcPr>
            <w:tcW w:w="865" w:type="pct"/>
            <w:vMerge w:val="restart"/>
          </w:tcPr>
          <w:p w14:paraId="458F0252" w14:textId="77777777" w:rsidR="00635B29" w:rsidRPr="000177E0" w:rsidRDefault="00635B29" w:rsidP="000177E0">
            <w:pPr>
              <w:pStyle w:val="Paragraph"/>
              <w:numPr>
                <w:ilvl w:val="0"/>
                <w:numId w:val="0"/>
              </w:numPr>
              <w:rPr>
                <w:sz w:val="20"/>
                <w:szCs w:val="20"/>
                <w:lang w:bidi="ar-SA"/>
              </w:rPr>
            </w:pPr>
            <w:bookmarkStart w:id="17" w:name="_Hlk204096317"/>
          </w:p>
          <w:p w14:paraId="1A58E679" w14:textId="77777777" w:rsidR="00635B29" w:rsidRPr="000177E0" w:rsidRDefault="00635B29" w:rsidP="000177E0">
            <w:pPr>
              <w:pStyle w:val="Paragraph"/>
              <w:numPr>
                <w:ilvl w:val="0"/>
                <w:numId w:val="0"/>
              </w:numPr>
              <w:ind w:left="360"/>
              <w:rPr>
                <w:sz w:val="20"/>
                <w:szCs w:val="20"/>
                <w:lang w:bidi="ar-SA"/>
              </w:rPr>
            </w:pPr>
            <w:r w:rsidRPr="000177E0">
              <w:rPr>
                <w:sz w:val="20"/>
                <w:szCs w:val="20"/>
                <w:lang w:bidi="ar-SA"/>
              </w:rPr>
              <w:t>Consequences of the Risk</w:t>
            </w:r>
          </w:p>
          <w:p w14:paraId="5F8E6BE6" w14:textId="77777777" w:rsidR="00635B29" w:rsidRPr="000177E0" w:rsidRDefault="00635B29" w:rsidP="000177E0">
            <w:pPr>
              <w:pStyle w:val="Paragraph"/>
              <w:numPr>
                <w:ilvl w:val="0"/>
                <w:numId w:val="0"/>
              </w:numPr>
              <w:ind w:left="360"/>
              <w:rPr>
                <w:sz w:val="20"/>
                <w:szCs w:val="20"/>
                <w:lang w:bidi="ar-SA"/>
              </w:rPr>
            </w:pPr>
            <w:r w:rsidRPr="000177E0">
              <w:rPr>
                <w:sz w:val="20"/>
                <w:szCs w:val="20"/>
                <w:lang w:bidi="ar-SA"/>
              </w:rPr>
              <w:t>(Actual and Potential)</w:t>
            </w:r>
          </w:p>
        </w:tc>
        <w:tc>
          <w:tcPr>
            <w:tcW w:w="823" w:type="pct"/>
            <w:tcBorders>
              <w:right w:val="single" w:sz="4" w:space="0" w:color="auto"/>
            </w:tcBorders>
          </w:tcPr>
          <w:p w14:paraId="75CE3C61" w14:textId="77777777" w:rsidR="00635B29" w:rsidRPr="000177E0" w:rsidRDefault="00635B29" w:rsidP="00D15088">
            <w:pPr>
              <w:spacing w:after="0" w:line="240" w:lineRule="auto"/>
              <w:rPr>
                <w:sz w:val="20"/>
                <w:szCs w:val="20"/>
                <w:lang w:bidi="ar-SA"/>
              </w:rPr>
            </w:pPr>
          </w:p>
          <w:p w14:paraId="03EF4FAD" w14:textId="77777777" w:rsidR="00635B29" w:rsidRPr="000177E0" w:rsidRDefault="00635B29" w:rsidP="00D15088">
            <w:pPr>
              <w:spacing w:after="0" w:line="240" w:lineRule="auto"/>
              <w:rPr>
                <w:sz w:val="20"/>
                <w:szCs w:val="20"/>
                <w:lang w:bidi="ar-SA"/>
              </w:rPr>
            </w:pPr>
            <w:r w:rsidRPr="000177E0">
              <w:rPr>
                <w:sz w:val="20"/>
                <w:szCs w:val="20"/>
                <w:lang w:bidi="ar-SA"/>
              </w:rPr>
              <w:t>Serious</w:t>
            </w:r>
          </w:p>
        </w:tc>
        <w:tc>
          <w:tcPr>
            <w:tcW w:w="1104" w:type="pct"/>
            <w:tcBorders>
              <w:top w:val="single" w:sz="4" w:space="0" w:color="auto"/>
              <w:left w:val="single" w:sz="4" w:space="0" w:color="auto"/>
              <w:bottom w:val="single" w:sz="4" w:space="0" w:color="auto"/>
              <w:right w:val="single" w:sz="4" w:space="0" w:color="auto"/>
            </w:tcBorders>
            <w:shd w:val="clear" w:color="auto" w:fill="92D050"/>
          </w:tcPr>
          <w:p w14:paraId="0ED04BD5" w14:textId="77777777" w:rsidR="00635B29" w:rsidRPr="000177E0" w:rsidRDefault="00635B29" w:rsidP="00D15088">
            <w:pPr>
              <w:spacing w:after="0" w:line="240" w:lineRule="auto"/>
              <w:jc w:val="center"/>
              <w:rPr>
                <w:sz w:val="20"/>
                <w:szCs w:val="20"/>
                <w:lang w:bidi="ar-SA"/>
              </w:rPr>
            </w:pPr>
          </w:p>
          <w:p w14:paraId="67F9F5C1" w14:textId="481F39C3" w:rsidR="00635B29" w:rsidRPr="000177E0" w:rsidRDefault="0086261D" w:rsidP="00D15088">
            <w:pPr>
              <w:spacing w:after="0" w:line="240" w:lineRule="auto"/>
              <w:jc w:val="center"/>
              <w:rPr>
                <w:sz w:val="20"/>
                <w:szCs w:val="20"/>
                <w:lang w:bidi="ar-SA"/>
              </w:rPr>
            </w:pPr>
            <w:r w:rsidRPr="000177E0">
              <w:rPr>
                <w:sz w:val="20"/>
                <w:szCs w:val="20"/>
                <w:lang w:bidi="ar-SA"/>
              </w:rPr>
              <w:t>Nominal</w:t>
            </w:r>
          </w:p>
          <w:p w14:paraId="7B55E2F9" w14:textId="77777777" w:rsidR="00635B29" w:rsidRPr="000177E0" w:rsidRDefault="00635B29" w:rsidP="00D15088">
            <w:pPr>
              <w:spacing w:after="0" w:line="240" w:lineRule="auto"/>
              <w:jc w:val="center"/>
              <w:rPr>
                <w:sz w:val="20"/>
                <w:szCs w:val="20"/>
                <w:lang w:bidi="ar-SA"/>
              </w:rPr>
            </w:pPr>
          </w:p>
        </w:tc>
        <w:tc>
          <w:tcPr>
            <w:tcW w:w="1104" w:type="pct"/>
            <w:tcBorders>
              <w:top w:val="single" w:sz="4" w:space="0" w:color="auto"/>
              <w:left w:val="single" w:sz="4" w:space="0" w:color="auto"/>
              <w:bottom w:val="single" w:sz="4" w:space="0" w:color="auto"/>
              <w:right w:val="single" w:sz="4" w:space="0" w:color="auto"/>
            </w:tcBorders>
            <w:shd w:val="clear" w:color="auto" w:fill="FFC000"/>
          </w:tcPr>
          <w:p w14:paraId="28F15FF2" w14:textId="77777777" w:rsidR="00635B29" w:rsidRPr="000177E0" w:rsidRDefault="00635B29" w:rsidP="00D15088">
            <w:pPr>
              <w:spacing w:after="0" w:line="240" w:lineRule="auto"/>
              <w:jc w:val="center"/>
              <w:rPr>
                <w:sz w:val="20"/>
                <w:szCs w:val="20"/>
                <w:lang w:bidi="ar-SA"/>
              </w:rPr>
            </w:pPr>
          </w:p>
          <w:p w14:paraId="4EFA998F" w14:textId="5FAF4ABE" w:rsidR="00635B29" w:rsidRPr="000177E0" w:rsidRDefault="00F26A35" w:rsidP="00D15088">
            <w:pPr>
              <w:spacing w:after="0" w:line="240" w:lineRule="auto"/>
              <w:jc w:val="center"/>
              <w:rPr>
                <w:sz w:val="20"/>
                <w:szCs w:val="20"/>
                <w:lang w:bidi="ar-SA"/>
              </w:rPr>
            </w:pPr>
            <w:r w:rsidRPr="000177E0">
              <w:rPr>
                <w:sz w:val="20"/>
                <w:szCs w:val="20"/>
                <w:lang w:bidi="ar-SA"/>
              </w:rPr>
              <w:t>Substantial</w:t>
            </w:r>
          </w:p>
          <w:p w14:paraId="7EE1EA32" w14:textId="77777777" w:rsidR="00635B29" w:rsidRPr="000177E0" w:rsidRDefault="00635B29" w:rsidP="00D15088">
            <w:pPr>
              <w:spacing w:after="0" w:line="240" w:lineRule="auto"/>
              <w:jc w:val="center"/>
              <w:rPr>
                <w:sz w:val="20"/>
                <w:szCs w:val="20"/>
                <w:lang w:bidi="ar-SA"/>
              </w:rPr>
            </w:pPr>
          </w:p>
        </w:tc>
        <w:tc>
          <w:tcPr>
            <w:tcW w:w="1104" w:type="pct"/>
            <w:tcBorders>
              <w:top w:val="single" w:sz="4" w:space="0" w:color="auto"/>
              <w:left w:val="single" w:sz="4" w:space="0" w:color="auto"/>
              <w:bottom w:val="single" w:sz="4" w:space="0" w:color="auto"/>
              <w:right w:val="single" w:sz="4" w:space="0" w:color="auto"/>
            </w:tcBorders>
            <w:shd w:val="clear" w:color="auto" w:fill="FF0000"/>
          </w:tcPr>
          <w:p w14:paraId="3BE28BE8" w14:textId="77777777" w:rsidR="00635B29" w:rsidRPr="000177E0" w:rsidRDefault="00635B29" w:rsidP="00D15088">
            <w:pPr>
              <w:spacing w:after="0" w:line="240" w:lineRule="auto"/>
              <w:jc w:val="center"/>
              <w:rPr>
                <w:sz w:val="20"/>
                <w:szCs w:val="20"/>
                <w:lang w:bidi="ar-SA"/>
              </w:rPr>
            </w:pPr>
          </w:p>
          <w:p w14:paraId="7D1E13FA" w14:textId="77777777" w:rsidR="00635B29" w:rsidRPr="000177E0" w:rsidRDefault="00635B29" w:rsidP="00D15088">
            <w:pPr>
              <w:spacing w:after="0" w:line="240" w:lineRule="auto"/>
              <w:jc w:val="center"/>
              <w:rPr>
                <w:sz w:val="20"/>
                <w:szCs w:val="20"/>
                <w:lang w:bidi="ar-SA"/>
              </w:rPr>
            </w:pPr>
            <w:r w:rsidRPr="000177E0">
              <w:rPr>
                <w:sz w:val="20"/>
                <w:szCs w:val="20"/>
                <w:lang w:bidi="ar-SA"/>
              </w:rPr>
              <w:t>Extreme</w:t>
            </w:r>
          </w:p>
          <w:p w14:paraId="05F14FB7" w14:textId="77777777" w:rsidR="00635B29" w:rsidRPr="000177E0" w:rsidRDefault="00635B29" w:rsidP="00D15088">
            <w:pPr>
              <w:spacing w:after="0" w:line="240" w:lineRule="auto"/>
              <w:jc w:val="center"/>
              <w:rPr>
                <w:sz w:val="20"/>
                <w:szCs w:val="20"/>
                <w:lang w:bidi="ar-SA"/>
              </w:rPr>
            </w:pPr>
          </w:p>
        </w:tc>
      </w:tr>
      <w:tr w:rsidR="00635B29" w:rsidRPr="000177E0" w14:paraId="4387FE61" w14:textId="77777777" w:rsidTr="000177E0">
        <w:tc>
          <w:tcPr>
            <w:tcW w:w="865" w:type="pct"/>
            <w:vMerge/>
          </w:tcPr>
          <w:p w14:paraId="30B2CC78" w14:textId="77777777" w:rsidR="00635B29" w:rsidRPr="000177E0" w:rsidRDefault="00635B29" w:rsidP="00D15088">
            <w:pPr>
              <w:spacing w:after="0" w:line="240" w:lineRule="auto"/>
              <w:rPr>
                <w:sz w:val="20"/>
                <w:szCs w:val="20"/>
                <w:lang w:bidi="ar-SA"/>
              </w:rPr>
            </w:pPr>
          </w:p>
        </w:tc>
        <w:tc>
          <w:tcPr>
            <w:tcW w:w="823" w:type="pct"/>
            <w:tcBorders>
              <w:right w:val="single" w:sz="4" w:space="0" w:color="auto"/>
            </w:tcBorders>
          </w:tcPr>
          <w:p w14:paraId="565AEAFD" w14:textId="77777777" w:rsidR="00635B29" w:rsidRPr="000177E0" w:rsidRDefault="00635B29" w:rsidP="00D15088">
            <w:pPr>
              <w:spacing w:after="0" w:line="240" w:lineRule="auto"/>
              <w:rPr>
                <w:sz w:val="20"/>
                <w:szCs w:val="20"/>
                <w:lang w:bidi="ar-SA"/>
              </w:rPr>
            </w:pPr>
          </w:p>
          <w:p w14:paraId="78F5CC1D" w14:textId="77777777" w:rsidR="00635B29" w:rsidRPr="000177E0" w:rsidRDefault="00635B29" w:rsidP="00D15088">
            <w:pPr>
              <w:spacing w:after="0" w:line="240" w:lineRule="auto"/>
              <w:rPr>
                <w:sz w:val="20"/>
                <w:szCs w:val="20"/>
                <w:lang w:bidi="ar-SA"/>
              </w:rPr>
            </w:pPr>
            <w:r w:rsidRPr="000177E0">
              <w:rPr>
                <w:sz w:val="20"/>
                <w:szCs w:val="20"/>
                <w:lang w:bidi="ar-SA"/>
              </w:rPr>
              <w:t>Significant</w:t>
            </w:r>
          </w:p>
          <w:p w14:paraId="08A47D6F" w14:textId="77777777" w:rsidR="00635B29" w:rsidRPr="000177E0" w:rsidRDefault="00635B29" w:rsidP="00D15088">
            <w:pPr>
              <w:spacing w:after="0" w:line="240" w:lineRule="auto"/>
              <w:rPr>
                <w:sz w:val="20"/>
                <w:szCs w:val="20"/>
                <w:lang w:bidi="ar-SA"/>
              </w:rPr>
            </w:pPr>
          </w:p>
        </w:tc>
        <w:tc>
          <w:tcPr>
            <w:tcW w:w="1104" w:type="pct"/>
            <w:tcBorders>
              <w:top w:val="single" w:sz="4" w:space="0" w:color="auto"/>
              <w:left w:val="single" w:sz="4" w:space="0" w:color="auto"/>
              <w:bottom w:val="single" w:sz="4" w:space="0" w:color="auto"/>
              <w:right w:val="single" w:sz="4" w:space="0" w:color="auto"/>
            </w:tcBorders>
            <w:shd w:val="clear" w:color="auto" w:fill="92D050"/>
          </w:tcPr>
          <w:p w14:paraId="296CB968" w14:textId="77777777" w:rsidR="00635B29" w:rsidRPr="000177E0" w:rsidRDefault="00635B29" w:rsidP="00D15088">
            <w:pPr>
              <w:spacing w:after="0" w:line="240" w:lineRule="auto"/>
              <w:jc w:val="center"/>
              <w:rPr>
                <w:sz w:val="20"/>
                <w:szCs w:val="20"/>
                <w:lang w:bidi="ar-SA"/>
              </w:rPr>
            </w:pPr>
          </w:p>
          <w:p w14:paraId="4B119975" w14:textId="38F4BCAE" w:rsidR="00635B29" w:rsidRPr="000177E0" w:rsidRDefault="00C8338A" w:rsidP="00D15088">
            <w:pPr>
              <w:spacing w:after="0" w:line="240" w:lineRule="auto"/>
              <w:jc w:val="center"/>
              <w:rPr>
                <w:sz w:val="20"/>
                <w:szCs w:val="20"/>
                <w:lang w:bidi="ar-SA"/>
              </w:rPr>
            </w:pPr>
            <w:r w:rsidRPr="000177E0">
              <w:rPr>
                <w:sz w:val="20"/>
                <w:szCs w:val="20"/>
                <w:lang w:bidi="ar-SA"/>
              </w:rPr>
              <w:t>Nominal</w:t>
            </w:r>
          </w:p>
          <w:p w14:paraId="7D38ECB3" w14:textId="77777777" w:rsidR="00635B29" w:rsidRPr="000177E0" w:rsidRDefault="00635B29" w:rsidP="00D15088">
            <w:pPr>
              <w:spacing w:after="0" w:line="240" w:lineRule="auto"/>
              <w:jc w:val="center"/>
              <w:rPr>
                <w:sz w:val="20"/>
                <w:szCs w:val="20"/>
                <w:lang w:bidi="ar-SA"/>
              </w:rPr>
            </w:pPr>
          </w:p>
        </w:tc>
        <w:tc>
          <w:tcPr>
            <w:tcW w:w="1104" w:type="pct"/>
            <w:tcBorders>
              <w:top w:val="single" w:sz="4" w:space="0" w:color="auto"/>
              <w:left w:val="single" w:sz="4" w:space="0" w:color="auto"/>
              <w:bottom w:val="single" w:sz="4" w:space="0" w:color="auto"/>
              <w:right w:val="single" w:sz="4" w:space="0" w:color="auto"/>
            </w:tcBorders>
            <w:shd w:val="clear" w:color="auto" w:fill="FFFF00"/>
          </w:tcPr>
          <w:p w14:paraId="0BDD8F02" w14:textId="77777777" w:rsidR="00635B29" w:rsidRPr="000177E0" w:rsidRDefault="00635B29" w:rsidP="00D15088">
            <w:pPr>
              <w:spacing w:after="0" w:line="240" w:lineRule="auto"/>
              <w:jc w:val="center"/>
              <w:rPr>
                <w:sz w:val="20"/>
                <w:szCs w:val="20"/>
                <w:lang w:bidi="ar-SA"/>
              </w:rPr>
            </w:pPr>
          </w:p>
          <w:p w14:paraId="4DC3FC7E" w14:textId="1F4EB778" w:rsidR="00635B29" w:rsidRPr="000177E0" w:rsidRDefault="0048431D" w:rsidP="00D15088">
            <w:pPr>
              <w:spacing w:after="0" w:line="240" w:lineRule="auto"/>
              <w:jc w:val="center"/>
              <w:rPr>
                <w:sz w:val="20"/>
                <w:szCs w:val="20"/>
                <w:lang w:bidi="ar-SA"/>
              </w:rPr>
            </w:pPr>
            <w:r w:rsidRPr="000177E0">
              <w:rPr>
                <w:sz w:val="20"/>
                <w:szCs w:val="20"/>
                <w:lang w:bidi="ar-SA"/>
              </w:rPr>
              <w:t>Moderate</w:t>
            </w:r>
          </w:p>
          <w:p w14:paraId="72BA5386" w14:textId="77777777" w:rsidR="00635B29" w:rsidRPr="000177E0" w:rsidRDefault="00635B29" w:rsidP="00D15088">
            <w:pPr>
              <w:spacing w:after="0" w:line="240" w:lineRule="auto"/>
              <w:jc w:val="center"/>
              <w:rPr>
                <w:color w:val="FFC000"/>
                <w:sz w:val="20"/>
                <w:szCs w:val="20"/>
                <w:lang w:bidi="ar-SA"/>
              </w:rPr>
            </w:pPr>
          </w:p>
        </w:tc>
        <w:tc>
          <w:tcPr>
            <w:tcW w:w="1104" w:type="pct"/>
            <w:tcBorders>
              <w:top w:val="single" w:sz="4" w:space="0" w:color="auto"/>
              <w:left w:val="single" w:sz="4" w:space="0" w:color="auto"/>
              <w:bottom w:val="single" w:sz="4" w:space="0" w:color="auto"/>
              <w:right w:val="single" w:sz="4" w:space="0" w:color="auto"/>
            </w:tcBorders>
            <w:shd w:val="clear" w:color="auto" w:fill="FFC000"/>
          </w:tcPr>
          <w:p w14:paraId="71232F24" w14:textId="77777777" w:rsidR="00635B29" w:rsidRPr="000177E0" w:rsidRDefault="00635B29" w:rsidP="00D15088">
            <w:pPr>
              <w:spacing w:after="0" w:line="240" w:lineRule="auto"/>
              <w:jc w:val="center"/>
              <w:rPr>
                <w:sz w:val="20"/>
                <w:szCs w:val="20"/>
                <w:lang w:bidi="ar-SA"/>
              </w:rPr>
            </w:pPr>
          </w:p>
          <w:p w14:paraId="6DD474D5" w14:textId="77777777" w:rsidR="00635B29" w:rsidRPr="000177E0" w:rsidRDefault="00635B29" w:rsidP="00D15088">
            <w:pPr>
              <w:spacing w:after="0" w:line="240" w:lineRule="auto"/>
              <w:jc w:val="center"/>
              <w:rPr>
                <w:sz w:val="20"/>
                <w:szCs w:val="20"/>
                <w:lang w:bidi="ar-SA"/>
              </w:rPr>
            </w:pPr>
            <w:r w:rsidRPr="000177E0">
              <w:rPr>
                <w:sz w:val="20"/>
                <w:szCs w:val="20"/>
                <w:lang w:bidi="ar-SA"/>
              </w:rPr>
              <w:t>Substantial</w:t>
            </w:r>
          </w:p>
          <w:p w14:paraId="0A92F9DB" w14:textId="77777777" w:rsidR="00635B29" w:rsidRPr="000177E0" w:rsidRDefault="00635B29" w:rsidP="00D15088">
            <w:pPr>
              <w:spacing w:after="0" w:line="240" w:lineRule="auto"/>
              <w:jc w:val="center"/>
              <w:rPr>
                <w:sz w:val="20"/>
                <w:szCs w:val="20"/>
                <w:lang w:bidi="ar-SA"/>
              </w:rPr>
            </w:pPr>
          </w:p>
        </w:tc>
      </w:tr>
      <w:tr w:rsidR="00635B29" w:rsidRPr="000177E0" w14:paraId="4B36BDCE" w14:textId="77777777" w:rsidTr="000177E0">
        <w:tc>
          <w:tcPr>
            <w:tcW w:w="865" w:type="pct"/>
            <w:vMerge/>
          </w:tcPr>
          <w:p w14:paraId="5336B571" w14:textId="77777777" w:rsidR="00635B29" w:rsidRPr="000177E0" w:rsidRDefault="00635B29" w:rsidP="00D15088">
            <w:pPr>
              <w:spacing w:after="0" w:line="240" w:lineRule="auto"/>
              <w:rPr>
                <w:sz w:val="20"/>
                <w:szCs w:val="20"/>
                <w:lang w:bidi="ar-SA"/>
              </w:rPr>
            </w:pPr>
          </w:p>
        </w:tc>
        <w:tc>
          <w:tcPr>
            <w:tcW w:w="823" w:type="pct"/>
            <w:tcBorders>
              <w:right w:val="single" w:sz="4" w:space="0" w:color="auto"/>
            </w:tcBorders>
          </w:tcPr>
          <w:p w14:paraId="74DB8099" w14:textId="77777777" w:rsidR="00635B29" w:rsidRPr="000177E0" w:rsidRDefault="00635B29" w:rsidP="00D15088">
            <w:pPr>
              <w:spacing w:after="0" w:line="240" w:lineRule="auto"/>
              <w:rPr>
                <w:sz w:val="20"/>
                <w:szCs w:val="20"/>
                <w:lang w:bidi="ar-SA"/>
              </w:rPr>
            </w:pPr>
          </w:p>
          <w:p w14:paraId="23E1518A" w14:textId="77777777" w:rsidR="00635B29" w:rsidRPr="000177E0" w:rsidRDefault="00635B29" w:rsidP="00D15088">
            <w:pPr>
              <w:spacing w:after="0" w:line="240" w:lineRule="auto"/>
              <w:rPr>
                <w:sz w:val="20"/>
                <w:szCs w:val="20"/>
                <w:lang w:bidi="ar-SA"/>
              </w:rPr>
            </w:pPr>
            <w:r w:rsidRPr="000177E0">
              <w:rPr>
                <w:sz w:val="20"/>
                <w:szCs w:val="20"/>
                <w:lang w:bidi="ar-SA"/>
              </w:rPr>
              <w:t>Minor</w:t>
            </w:r>
          </w:p>
          <w:p w14:paraId="1601DA9A" w14:textId="77777777" w:rsidR="00635B29" w:rsidRPr="000177E0" w:rsidRDefault="00635B29" w:rsidP="00D15088">
            <w:pPr>
              <w:spacing w:after="0" w:line="240" w:lineRule="auto"/>
              <w:rPr>
                <w:sz w:val="20"/>
                <w:szCs w:val="20"/>
                <w:lang w:bidi="ar-SA"/>
              </w:rPr>
            </w:pPr>
          </w:p>
        </w:tc>
        <w:tc>
          <w:tcPr>
            <w:tcW w:w="1104" w:type="pct"/>
            <w:tcBorders>
              <w:top w:val="single" w:sz="4" w:space="0" w:color="auto"/>
              <w:left w:val="single" w:sz="4" w:space="0" w:color="auto"/>
              <w:bottom w:val="single" w:sz="4" w:space="0" w:color="auto"/>
              <w:right w:val="single" w:sz="4" w:space="0" w:color="auto"/>
            </w:tcBorders>
            <w:shd w:val="clear" w:color="auto" w:fill="92D050"/>
          </w:tcPr>
          <w:p w14:paraId="602BF3A6" w14:textId="77777777" w:rsidR="00635B29" w:rsidRPr="000177E0" w:rsidRDefault="00635B29" w:rsidP="00D15088">
            <w:pPr>
              <w:spacing w:after="0" w:line="240" w:lineRule="auto"/>
              <w:jc w:val="center"/>
              <w:rPr>
                <w:sz w:val="20"/>
                <w:szCs w:val="20"/>
                <w:lang w:bidi="ar-SA"/>
              </w:rPr>
            </w:pPr>
          </w:p>
          <w:p w14:paraId="112F1FDE" w14:textId="77777777" w:rsidR="00635B29" w:rsidRPr="000177E0" w:rsidRDefault="00635B29" w:rsidP="00D15088">
            <w:pPr>
              <w:spacing w:after="0" w:line="240" w:lineRule="auto"/>
              <w:jc w:val="center"/>
              <w:rPr>
                <w:sz w:val="20"/>
                <w:szCs w:val="20"/>
                <w:lang w:bidi="ar-SA"/>
              </w:rPr>
            </w:pPr>
            <w:r w:rsidRPr="000177E0">
              <w:rPr>
                <w:sz w:val="20"/>
                <w:szCs w:val="20"/>
                <w:lang w:bidi="ar-SA"/>
              </w:rPr>
              <w:t>Nominal</w:t>
            </w:r>
          </w:p>
          <w:p w14:paraId="57E64517" w14:textId="77777777" w:rsidR="00635B29" w:rsidRPr="000177E0" w:rsidRDefault="00635B29" w:rsidP="00D15088">
            <w:pPr>
              <w:spacing w:after="0" w:line="240" w:lineRule="auto"/>
              <w:jc w:val="center"/>
              <w:rPr>
                <w:sz w:val="20"/>
                <w:szCs w:val="20"/>
                <w:lang w:bidi="ar-SA"/>
              </w:rPr>
            </w:pPr>
          </w:p>
        </w:tc>
        <w:tc>
          <w:tcPr>
            <w:tcW w:w="1104" w:type="pct"/>
            <w:tcBorders>
              <w:top w:val="single" w:sz="4" w:space="0" w:color="auto"/>
              <w:left w:val="single" w:sz="4" w:space="0" w:color="auto"/>
              <w:bottom w:val="single" w:sz="4" w:space="0" w:color="auto"/>
              <w:right w:val="single" w:sz="4" w:space="0" w:color="auto"/>
            </w:tcBorders>
            <w:shd w:val="clear" w:color="auto" w:fill="92D050"/>
          </w:tcPr>
          <w:p w14:paraId="37F55B19" w14:textId="77777777" w:rsidR="00635B29" w:rsidRPr="000177E0" w:rsidRDefault="00635B29" w:rsidP="00D15088">
            <w:pPr>
              <w:spacing w:after="0" w:line="240" w:lineRule="auto"/>
              <w:jc w:val="center"/>
              <w:rPr>
                <w:sz w:val="20"/>
                <w:szCs w:val="20"/>
                <w:lang w:bidi="ar-SA"/>
              </w:rPr>
            </w:pPr>
          </w:p>
          <w:p w14:paraId="5AB49C75" w14:textId="74AF310E" w:rsidR="00635B29" w:rsidRPr="000177E0" w:rsidRDefault="00AA6001" w:rsidP="00D15088">
            <w:pPr>
              <w:spacing w:after="0" w:line="240" w:lineRule="auto"/>
              <w:jc w:val="center"/>
              <w:rPr>
                <w:sz w:val="20"/>
                <w:szCs w:val="20"/>
                <w:lang w:bidi="ar-SA"/>
              </w:rPr>
            </w:pPr>
            <w:r w:rsidRPr="000177E0">
              <w:rPr>
                <w:sz w:val="20"/>
                <w:szCs w:val="20"/>
                <w:lang w:bidi="ar-SA"/>
              </w:rPr>
              <w:t>Nominal</w:t>
            </w:r>
          </w:p>
          <w:p w14:paraId="5DE30E31" w14:textId="77777777" w:rsidR="00635B29" w:rsidRPr="000177E0" w:rsidRDefault="00635B29" w:rsidP="00D15088">
            <w:pPr>
              <w:spacing w:after="0" w:line="240" w:lineRule="auto"/>
              <w:jc w:val="center"/>
              <w:rPr>
                <w:sz w:val="20"/>
                <w:szCs w:val="20"/>
                <w:lang w:bidi="ar-SA"/>
              </w:rPr>
            </w:pPr>
          </w:p>
        </w:tc>
        <w:tc>
          <w:tcPr>
            <w:tcW w:w="1104" w:type="pct"/>
            <w:tcBorders>
              <w:top w:val="single" w:sz="4" w:space="0" w:color="auto"/>
              <w:left w:val="single" w:sz="4" w:space="0" w:color="auto"/>
              <w:bottom w:val="single" w:sz="4" w:space="0" w:color="auto"/>
              <w:right w:val="single" w:sz="4" w:space="0" w:color="auto"/>
            </w:tcBorders>
            <w:shd w:val="clear" w:color="auto" w:fill="FFFF00"/>
          </w:tcPr>
          <w:p w14:paraId="6AA457E6" w14:textId="77777777" w:rsidR="00635B29" w:rsidRPr="000177E0" w:rsidRDefault="00635B29" w:rsidP="00D15088">
            <w:pPr>
              <w:spacing w:after="0" w:line="240" w:lineRule="auto"/>
              <w:jc w:val="center"/>
              <w:rPr>
                <w:sz w:val="20"/>
                <w:szCs w:val="20"/>
                <w:lang w:bidi="ar-SA"/>
              </w:rPr>
            </w:pPr>
          </w:p>
          <w:p w14:paraId="3DCCF430" w14:textId="77777777" w:rsidR="00635B29" w:rsidRPr="000177E0" w:rsidRDefault="00635B29" w:rsidP="00D15088">
            <w:pPr>
              <w:spacing w:after="0" w:line="240" w:lineRule="auto"/>
              <w:jc w:val="center"/>
              <w:rPr>
                <w:sz w:val="20"/>
                <w:szCs w:val="20"/>
                <w:lang w:bidi="ar-SA"/>
              </w:rPr>
            </w:pPr>
            <w:r w:rsidRPr="000177E0">
              <w:rPr>
                <w:sz w:val="20"/>
                <w:szCs w:val="20"/>
                <w:lang w:bidi="ar-SA"/>
              </w:rPr>
              <w:t>Moderate</w:t>
            </w:r>
          </w:p>
          <w:p w14:paraId="7AC0A2E9" w14:textId="77777777" w:rsidR="00635B29" w:rsidRPr="000177E0" w:rsidRDefault="00635B29" w:rsidP="00D15088">
            <w:pPr>
              <w:spacing w:after="0" w:line="240" w:lineRule="auto"/>
              <w:jc w:val="center"/>
              <w:rPr>
                <w:sz w:val="20"/>
                <w:szCs w:val="20"/>
                <w:lang w:bidi="ar-SA"/>
              </w:rPr>
            </w:pPr>
          </w:p>
        </w:tc>
      </w:tr>
      <w:tr w:rsidR="00635B29" w:rsidRPr="000177E0" w14:paraId="092DA65B" w14:textId="77777777" w:rsidTr="000177E0">
        <w:trPr>
          <w:cantSplit/>
          <w:trHeight w:val="627"/>
        </w:trPr>
        <w:tc>
          <w:tcPr>
            <w:tcW w:w="865" w:type="pct"/>
          </w:tcPr>
          <w:p w14:paraId="0E1C56BD" w14:textId="77777777" w:rsidR="00635B29" w:rsidRPr="000177E0" w:rsidRDefault="00635B29" w:rsidP="00D15088">
            <w:pPr>
              <w:spacing w:after="0" w:line="240" w:lineRule="auto"/>
              <w:rPr>
                <w:sz w:val="20"/>
                <w:szCs w:val="20"/>
                <w:lang w:bidi="ar-SA"/>
              </w:rPr>
            </w:pPr>
          </w:p>
        </w:tc>
        <w:tc>
          <w:tcPr>
            <w:tcW w:w="823" w:type="pct"/>
          </w:tcPr>
          <w:p w14:paraId="70384E66" w14:textId="77777777" w:rsidR="00635B29" w:rsidRPr="000177E0" w:rsidRDefault="00635B29" w:rsidP="00D15088">
            <w:pPr>
              <w:spacing w:after="0" w:line="240" w:lineRule="auto"/>
              <w:rPr>
                <w:sz w:val="20"/>
                <w:szCs w:val="20"/>
                <w:lang w:bidi="ar-SA"/>
              </w:rPr>
            </w:pPr>
          </w:p>
          <w:p w14:paraId="3B2492AB" w14:textId="77777777" w:rsidR="00635B29" w:rsidRPr="000177E0" w:rsidRDefault="00635B29" w:rsidP="00D15088">
            <w:pPr>
              <w:spacing w:after="0" w:line="240" w:lineRule="auto"/>
              <w:rPr>
                <w:sz w:val="20"/>
                <w:szCs w:val="20"/>
                <w:lang w:bidi="ar-SA"/>
              </w:rPr>
            </w:pPr>
          </w:p>
        </w:tc>
        <w:tc>
          <w:tcPr>
            <w:tcW w:w="1104" w:type="pct"/>
            <w:tcBorders>
              <w:top w:val="single" w:sz="4" w:space="0" w:color="auto"/>
            </w:tcBorders>
          </w:tcPr>
          <w:p w14:paraId="051B8E74" w14:textId="77777777" w:rsidR="00635B29" w:rsidRPr="000177E0" w:rsidRDefault="00635B29" w:rsidP="00D15088">
            <w:pPr>
              <w:spacing w:after="0" w:line="240" w:lineRule="auto"/>
              <w:jc w:val="center"/>
              <w:rPr>
                <w:sz w:val="20"/>
                <w:szCs w:val="20"/>
                <w:lang w:bidi="ar-SA"/>
              </w:rPr>
            </w:pPr>
          </w:p>
          <w:p w14:paraId="39E7AFB7" w14:textId="774D099B" w:rsidR="00635B29" w:rsidRPr="000177E0" w:rsidRDefault="00BF2FDE" w:rsidP="00684863">
            <w:pPr>
              <w:spacing w:after="0" w:line="240" w:lineRule="auto"/>
              <w:jc w:val="center"/>
              <w:rPr>
                <w:sz w:val="20"/>
                <w:szCs w:val="20"/>
                <w:lang w:bidi="ar-SA"/>
              </w:rPr>
            </w:pPr>
            <w:r w:rsidRPr="000177E0">
              <w:rPr>
                <w:sz w:val="20"/>
                <w:szCs w:val="20"/>
                <w:lang w:bidi="ar-SA"/>
              </w:rPr>
              <w:t>Acceptable</w:t>
            </w:r>
          </w:p>
        </w:tc>
        <w:tc>
          <w:tcPr>
            <w:tcW w:w="1104" w:type="pct"/>
            <w:tcBorders>
              <w:top w:val="single" w:sz="4" w:space="0" w:color="auto"/>
            </w:tcBorders>
          </w:tcPr>
          <w:p w14:paraId="084CDBCC" w14:textId="77777777" w:rsidR="00635B29" w:rsidRPr="000177E0" w:rsidRDefault="00635B29" w:rsidP="00D15088">
            <w:pPr>
              <w:spacing w:after="0" w:line="240" w:lineRule="auto"/>
              <w:jc w:val="center"/>
              <w:rPr>
                <w:sz w:val="20"/>
                <w:szCs w:val="20"/>
                <w:lang w:bidi="ar-SA"/>
              </w:rPr>
            </w:pPr>
          </w:p>
          <w:p w14:paraId="0BDE5EA7" w14:textId="7A09A797" w:rsidR="00635B29" w:rsidRPr="000177E0" w:rsidRDefault="00F26A35" w:rsidP="00684863">
            <w:pPr>
              <w:spacing w:after="0" w:line="240" w:lineRule="auto"/>
              <w:jc w:val="center"/>
              <w:rPr>
                <w:sz w:val="20"/>
                <w:szCs w:val="20"/>
                <w:lang w:bidi="ar-SA"/>
              </w:rPr>
            </w:pPr>
            <w:r w:rsidRPr="000177E0">
              <w:rPr>
                <w:sz w:val="20"/>
                <w:szCs w:val="20"/>
                <w:lang w:bidi="ar-SA"/>
              </w:rPr>
              <w:t>Weaken</w:t>
            </w:r>
            <w:r w:rsidR="007C45CD" w:rsidRPr="000177E0">
              <w:rPr>
                <w:sz w:val="20"/>
                <w:szCs w:val="20"/>
                <w:lang w:bidi="ar-SA"/>
              </w:rPr>
              <w:t>ed</w:t>
            </w:r>
          </w:p>
        </w:tc>
        <w:tc>
          <w:tcPr>
            <w:tcW w:w="1104" w:type="pct"/>
            <w:tcBorders>
              <w:top w:val="single" w:sz="4" w:space="0" w:color="auto"/>
            </w:tcBorders>
          </w:tcPr>
          <w:p w14:paraId="6CE1E0E4" w14:textId="77777777" w:rsidR="00635B29" w:rsidRPr="000177E0" w:rsidRDefault="00635B29" w:rsidP="00D15088">
            <w:pPr>
              <w:spacing w:after="0" w:line="240" w:lineRule="auto"/>
              <w:jc w:val="center"/>
              <w:rPr>
                <w:sz w:val="20"/>
                <w:szCs w:val="20"/>
                <w:lang w:bidi="ar-SA"/>
              </w:rPr>
            </w:pPr>
          </w:p>
          <w:p w14:paraId="5903FDD4" w14:textId="1F182521" w:rsidR="00635B29" w:rsidRPr="000177E0" w:rsidRDefault="007C45CD" w:rsidP="00684863">
            <w:pPr>
              <w:spacing w:after="0" w:line="240" w:lineRule="auto"/>
              <w:jc w:val="center"/>
              <w:rPr>
                <w:sz w:val="20"/>
                <w:szCs w:val="20"/>
                <w:lang w:bidi="ar-SA"/>
              </w:rPr>
            </w:pPr>
            <w:r w:rsidRPr="000177E0">
              <w:rPr>
                <w:sz w:val="20"/>
                <w:szCs w:val="20"/>
                <w:lang w:bidi="ar-SA"/>
              </w:rPr>
              <w:t xml:space="preserve">Absent / </w:t>
            </w:r>
            <w:r w:rsidR="00635B29" w:rsidRPr="000177E0">
              <w:rPr>
                <w:sz w:val="20"/>
                <w:szCs w:val="20"/>
                <w:lang w:bidi="ar-SA"/>
              </w:rPr>
              <w:t>Inadequate</w:t>
            </w:r>
          </w:p>
        </w:tc>
      </w:tr>
      <w:bookmarkEnd w:id="17"/>
      <w:tr w:rsidR="00635B29" w:rsidRPr="000177E0" w14:paraId="1A2254E0" w14:textId="77777777" w:rsidTr="000177E0">
        <w:trPr>
          <w:trHeight w:val="624"/>
        </w:trPr>
        <w:tc>
          <w:tcPr>
            <w:tcW w:w="865" w:type="pct"/>
          </w:tcPr>
          <w:p w14:paraId="37539998" w14:textId="77777777" w:rsidR="00635B29" w:rsidRPr="000177E0" w:rsidRDefault="00635B29" w:rsidP="00D15088">
            <w:pPr>
              <w:spacing w:after="0" w:line="240" w:lineRule="auto"/>
              <w:rPr>
                <w:sz w:val="20"/>
                <w:szCs w:val="20"/>
                <w:lang w:bidi="ar-SA"/>
              </w:rPr>
            </w:pPr>
          </w:p>
          <w:p w14:paraId="1D384053" w14:textId="77777777" w:rsidR="00635B29" w:rsidRPr="000177E0" w:rsidRDefault="00635B29" w:rsidP="00D15088">
            <w:pPr>
              <w:spacing w:after="0" w:line="240" w:lineRule="auto"/>
              <w:rPr>
                <w:sz w:val="20"/>
                <w:szCs w:val="20"/>
                <w:lang w:bidi="ar-SA"/>
              </w:rPr>
            </w:pPr>
          </w:p>
        </w:tc>
        <w:tc>
          <w:tcPr>
            <w:tcW w:w="823" w:type="pct"/>
          </w:tcPr>
          <w:p w14:paraId="12087D68" w14:textId="77777777" w:rsidR="00635B29" w:rsidRPr="000177E0" w:rsidRDefault="00635B29" w:rsidP="00D15088">
            <w:pPr>
              <w:spacing w:after="0" w:line="240" w:lineRule="auto"/>
              <w:rPr>
                <w:sz w:val="20"/>
                <w:szCs w:val="20"/>
                <w:lang w:bidi="ar-SA"/>
              </w:rPr>
            </w:pPr>
          </w:p>
          <w:p w14:paraId="6ABFBCAB" w14:textId="77777777" w:rsidR="00635B29" w:rsidRPr="000177E0" w:rsidRDefault="00635B29" w:rsidP="00D15088">
            <w:pPr>
              <w:spacing w:after="0" w:line="240" w:lineRule="auto"/>
              <w:rPr>
                <w:sz w:val="20"/>
                <w:szCs w:val="20"/>
                <w:lang w:bidi="ar-SA"/>
              </w:rPr>
            </w:pPr>
          </w:p>
        </w:tc>
        <w:tc>
          <w:tcPr>
            <w:tcW w:w="3312" w:type="pct"/>
            <w:gridSpan w:val="3"/>
          </w:tcPr>
          <w:p w14:paraId="58B5EDAC" w14:textId="77777777" w:rsidR="00635B29" w:rsidRPr="000177E0" w:rsidRDefault="00635B29" w:rsidP="00D15088">
            <w:pPr>
              <w:spacing w:after="0" w:line="240" w:lineRule="auto"/>
              <w:rPr>
                <w:sz w:val="20"/>
                <w:szCs w:val="20"/>
                <w:lang w:bidi="ar-SA"/>
              </w:rPr>
            </w:pPr>
          </w:p>
          <w:p w14:paraId="7E04D312" w14:textId="4A269481" w:rsidR="00635B29" w:rsidRPr="000177E0" w:rsidRDefault="00635B29" w:rsidP="00684863">
            <w:pPr>
              <w:spacing w:after="0" w:line="240" w:lineRule="auto"/>
              <w:rPr>
                <w:sz w:val="20"/>
                <w:szCs w:val="20"/>
                <w:lang w:bidi="ar-SA"/>
              </w:rPr>
            </w:pPr>
            <w:r w:rsidRPr="000177E0">
              <w:rPr>
                <w:sz w:val="20"/>
                <w:szCs w:val="20"/>
                <w:lang w:bidi="ar-SA"/>
              </w:rPr>
              <w:t>Assessment of Control Measures to mitigate risk</w:t>
            </w:r>
          </w:p>
        </w:tc>
      </w:tr>
    </w:tbl>
    <w:p w14:paraId="51DD7085" w14:textId="6587342B" w:rsidR="00147EA6" w:rsidRPr="006D1B7A" w:rsidRDefault="004F3C50" w:rsidP="000177E0">
      <w:pPr>
        <w:pStyle w:val="Paragraph"/>
      </w:pPr>
      <w:r w:rsidRPr="006D1B7A">
        <w:t xml:space="preserve">Consequence </w:t>
      </w:r>
      <w:r w:rsidR="000177E0">
        <w:t>l</w:t>
      </w:r>
      <w:r w:rsidRPr="006D1B7A">
        <w:t>evel</w:t>
      </w:r>
      <w:r w:rsidR="00C245B4" w:rsidRPr="006D1B7A">
        <w:t>s</w:t>
      </w:r>
      <w:r w:rsidR="00141BA3" w:rsidRPr="006D1B7A">
        <w:t>:</w:t>
      </w:r>
      <w:r w:rsidR="00073082" w:rsidRPr="006D1B7A">
        <w:t xml:space="preserve"> </w:t>
      </w:r>
    </w:p>
    <w:p w14:paraId="3B10809C" w14:textId="07213387" w:rsidR="002E3C1E" w:rsidRPr="006D1B7A" w:rsidRDefault="004F3C50" w:rsidP="000177E0">
      <w:pPr>
        <w:pStyle w:val="Bulletlist1"/>
      </w:pPr>
      <w:r w:rsidRPr="006D1B7A">
        <w:rPr>
          <w:b/>
          <w:bCs/>
        </w:rPr>
        <w:t>Serious</w:t>
      </w:r>
      <w:r w:rsidR="00147EA6" w:rsidRPr="006D1B7A">
        <w:t xml:space="preserve"> - Serious consequences should be selected in circumstances that </w:t>
      </w:r>
      <w:r w:rsidR="00147EA6" w:rsidRPr="006D1B7A">
        <w:rPr>
          <w:i/>
          <w:iCs/>
        </w:rPr>
        <w:t>have</w:t>
      </w:r>
      <w:r w:rsidR="00147EA6" w:rsidRPr="006D1B7A">
        <w:t xml:space="preserve"> or </w:t>
      </w:r>
      <w:r w:rsidR="00147EA6" w:rsidRPr="006D1B7A">
        <w:rPr>
          <w:i/>
          <w:iCs/>
        </w:rPr>
        <w:t>may</w:t>
      </w:r>
      <w:r w:rsidR="00147EA6" w:rsidRPr="006D1B7A">
        <w:t xml:space="preserve"> result in; death, multiple casualties, major injury or significant permanent debilitation; significant radiation exposure to members of the public;</w:t>
      </w:r>
      <w:r w:rsidR="004D6DBA">
        <w:t xml:space="preserve"> creation of a </w:t>
      </w:r>
      <w:r w:rsidR="00CF5713">
        <w:t>significant security vulnerability and</w:t>
      </w:r>
      <w:r w:rsidR="00AF427E">
        <w:t xml:space="preserve"> /</w:t>
      </w:r>
      <w:r w:rsidR="00147EA6" w:rsidRPr="006D1B7A">
        <w:t xml:space="preserve"> or significant civil disruption.</w:t>
      </w:r>
    </w:p>
    <w:p w14:paraId="40375FA6" w14:textId="20829E77" w:rsidR="000B6DF5" w:rsidRPr="006D1B7A" w:rsidRDefault="000B6DF5" w:rsidP="000177E0">
      <w:pPr>
        <w:pStyle w:val="Bulletlist1"/>
      </w:pPr>
      <w:r w:rsidRPr="006D1B7A">
        <w:rPr>
          <w:b/>
          <w:bCs/>
        </w:rPr>
        <w:t>Significant</w:t>
      </w:r>
      <w:r w:rsidRPr="006D1B7A">
        <w:t xml:space="preserve"> - </w:t>
      </w:r>
      <w:r w:rsidR="003D68E3" w:rsidRPr="006D1B7A">
        <w:t xml:space="preserve">Significant consequences should be selected in circumstances that do not satisfy the criteria for serious consequences but </w:t>
      </w:r>
      <w:r w:rsidR="003D68E3" w:rsidRPr="006D1B7A">
        <w:rPr>
          <w:i/>
          <w:iCs/>
        </w:rPr>
        <w:t>have or may</w:t>
      </w:r>
      <w:r w:rsidR="003D68E3" w:rsidRPr="006D1B7A">
        <w:t>; result in a</w:t>
      </w:r>
      <w:r w:rsidR="0022629C">
        <w:t xml:space="preserve"> </w:t>
      </w:r>
      <w:r w:rsidR="00137875" w:rsidRPr="00137875">
        <w:t>non-permanent or reversible health effects, or temporary disability</w:t>
      </w:r>
      <w:r w:rsidR="003D68E3" w:rsidRPr="006D1B7A">
        <w:t xml:space="preserve">; </w:t>
      </w:r>
      <w:r w:rsidR="005D2685">
        <w:t>creation of security vulnerabilities (in isolation or in conjunction with others)</w:t>
      </w:r>
      <w:r w:rsidR="003D68E3" w:rsidRPr="006D1B7A">
        <w:t>; or exposure of members of the public to risks arising from activities of the dutyholder</w:t>
      </w:r>
      <w:r w:rsidR="00073082" w:rsidRPr="006D1B7A">
        <w:t>.</w:t>
      </w:r>
    </w:p>
    <w:p w14:paraId="7CF62E3B" w14:textId="77777777" w:rsidR="00946EEC" w:rsidRPr="006D1B7A" w:rsidRDefault="00073082" w:rsidP="000177E0">
      <w:pPr>
        <w:pStyle w:val="Bulletlist1"/>
      </w:pPr>
      <w:r w:rsidRPr="006D1B7A">
        <w:rPr>
          <w:b/>
          <w:bCs/>
        </w:rPr>
        <w:t>Minor</w:t>
      </w:r>
      <w:r w:rsidRPr="006D1B7A">
        <w:t xml:space="preserve"> - </w:t>
      </w:r>
      <w:r w:rsidR="00946EEC" w:rsidRPr="006D1B7A">
        <w:t>Minor consequences should be selected in circumstances that do not satisfy the criteria for serious or significant consequences and will not result in any permanent harm to workers; harm to the public; or civil disruption.</w:t>
      </w:r>
    </w:p>
    <w:p w14:paraId="3A25DF51" w14:textId="77777777" w:rsidR="0016630A" w:rsidRDefault="0016630A" w:rsidP="000177E0">
      <w:pPr>
        <w:pStyle w:val="Paragraph"/>
        <w:sectPr w:rsidR="0016630A" w:rsidSect="001A677D">
          <w:pgSz w:w="11906" w:h="16838" w:code="9"/>
          <w:pgMar w:top="1440" w:right="1440" w:bottom="1440" w:left="1440" w:header="431" w:footer="567" w:gutter="0"/>
          <w:cols w:space="708"/>
          <w:titlePg/>
          <w:docGrid w:linePitch="360"/>
        </w:sectPr>
      </w:pPr>
    </w:p>
    <w:p w14:paraId="3C1A8F12" w14:textId="24B01003" w:rsidR="00073082" w:rsidRPr="006D1B7A" w:rsidRDefault="00592084" w:rsidP="000177E0">
      <w:pPr>
        <w:pStyle w:val="Paragraph"/>
      </w:pPr>
      <w:r w:rsidRPr="006D1B7A">
        <w:lastRenderedPageBreak/>
        <w:t xml:space="preserve">Control </w:t>
      </w:r>
      <w:r w:rsidR="00E53294">
        <w:t>m</w:t>
      </w:r>
      <w:r w:rsidRPr="006D1B7A">
        <w:t>easures</w:t>
      </w:r>
      <w:r w:rsidR="00432D08" w:rsidRPr="006D1B7A">
        <w:t>:</w:t>
      </w:r>
    </w:p>
    <w:p w14:paraId="02CA8669" w14:textId="5C37D3E8" w:rsidR="00703E84" w:rsidRPr="006D1B7A" w:rsidRDefault="007C45CD" w:rsidP="00E53294">
      <w:pPr>
        <w:pStyle w:val="Bulletlist1"/>
      </w:pPr>
      <w:r>
        <w:rPr>
          <w:b/>
          <w:bCs/>
        </w:rPr>
        <w:t xml:space="preserve">Absent / </w:t>
      </w:r>
      <w:r w:rsidR="00703E84" w:rsidRPr="006D1B7A">
        <w:rPr>
          <w:b/>
          <w:bCs/>
        </w:rPr>
        <w:t>Inadequate</w:t>
      </w:r>
      <w:r w:rsidR="00703E84" w:rsidRPr="006D1B7A">
        <w:t xml:space="preserve">: Do not meet legislative requirements, key </w:t>
      </w:r>
      <w:r w:rsidR="008E1DB2">
        <w:t xml:space="preserve">risk </w:t>
      </w:r>
      <w:r w:rsidR="00703E84" w:rsidRPr="006D1B7A">
        <w:t xml:space="preserve">controls have not been implemented or recognised as required, </w:t>
      </w:r>
      <w:r w:rsidR="007736DE" w:rsidRPr="006D1B7A">
        <w:t xml:space="preserve">it is </w:t>
      </w:r>
      <w:r w:rsidR="00703E84" w:rsidRPr="001F0CA6">
        <w:rPr>
          <w:i/>
          <w:iCs/>
        </w:rPr>
        <w:t>probable</w:t>
      </w:r>
      <w:r w:rsidR="0029039B">
        <w:rPr>
          <w:i/>
          <w:iCs/>
        </w:rPr>
        <w:t xml:space="preserve"> </w:t>
      </w:r>
      <w:r w:rsidR="0029039B" w:rsidRPr="000C1943">
        <w:t>the risk will materialise</w:t>
      </w:r>
      <w:r w:rsidR="000C1943" w:rsidRPr="000C1943">
        <w:t xml:space="preserve"> or</w:t>
      </w:r>
      <w:r w:rsidR="00F3683C" w:rsidRPr="00F3683C">
        <w:t xml:space="preserve"> </w:t>
      </w:r>
      <w:r w:rsidR="000C1943">
        <w:t xml:space="preserve">for </w:t>
      </w:r>
      <w:r w:rsidR="00F3683C" w:rsidRPr="00F3683C">
        <w:t xml:space="preserve">security </w:t>
      </w:r>
      <w:r w:rsidR="00CA6822">
        <w:t xml:space="preserve">it is </w:t>
      </w:r>
      <w:r w:rsidR="00CA6822" w:rsidRPr="00947944">
        <w:rPr>
          <w:i/>
          <w:iCs/>
        </w:rPr>
        <w:t>probable</w:t>
      </w:r>
      <w:r w:rsidR="00CA6822">
        <w:t xml:space="preserve"> </w:t>
      </w:r>
      <w:r w:rsidR="000C1943">
        <w:t>th</w:t>
      </w:r>
      <w:r w:rsidR="00CA6822">
        <w:t>at the</w:t>
      </w:r>
      <w:r w:rsidR="000C1943">
        <w:t xml:space="preserve"> </w:t>
      </w:r>
      <w:r w:rsidR="00F3683C" w:rsidRPr="00F3683C">
        <w:t>vulnerability could be exploited</w:t>
      </w:r>
      <w:r w:rsidR="007A658F">
        <w:t xml:space="preserve">, </w:t>
      </w:r>
      <w:r w:rsidR="00CA6822">
        <w:t xml:space="preserve">or </w:t>
      </w:r>
      <w:r w:rsidR="007A658F">
        <w:t>falls significantly short of required security outcomes</w:t>
      </w:r>
      <w:r w:rsidR="00703E84" w:rsidRPr="006D1B7A">
        <w:t>.</w:t>
      </w:r>
    </w:p>
    <w:p w14:paraId="2E932963" w14:textId="2A74D3C5" w:rsidR="00703E84" w:rsidRPr="006D1B7A" w:rsidRDefault="00C2027E" w:rsidP="00E53294">
      <w:pPr>
        <w:pStyle w:val="Bulletlist1"/>
      </w:pPr>
      <w:r>
        <w:rPr>
          <w:b/>
          <w:bCs/>
        </w:rPr>
        <w:t>Weakened</w:t>
      </w:r>
      <w:r w:rsidR="00703E84" w:rsidRPr="006D1B7A">
        <w:t xml:space="preserve">: Some </w:t>
      </w:r>
      <w:r w:rsidR="006E5082">
        <w:t xml:space="preserve">risk </w:t>
      </w:r>
      <w:r w:rsidR="00703E84" w:rsidRPr="006D1B7A">
        <w:t>control</w:t>
      </w:r>
      <w:r w:rsidR="006E5082">
        <w:t>s</w:t>
      </w:r>
      <w:r w:rsidR="00703E84" w:rsidRPr="006D1B7A">
        <w:t xml:space="preserve"> identified which will reduce the consequences, erosion of standards in relation to implementation, </w:t>
      </w:r>
      <w:r w:rsidR="00DD407D" w:rsidRPr="006D1B7A">
        <w:t xml:space="preserve">it is </w:t>
      </w:r>
      <w:r w:rsidR="00703E84" w:rsidRPr="001F0CA6">
        <w:rPr>
          <w:i/>
          <w:iCs/>
        </w:rPr>
        <w:t>possible</w:t>
      </w:r>
      <w:r w:rsidR="00703E84" w:rsidRPr="006D1B7A">
        <w:t xml:space="preserve"> the risk will materialise</w:t>
      </w:r>
      <w:r w:rsidR="008029EF">
        <w:t xml:space="preserve"> or for security, </w:t>
      </w:r>
      <w:r w:rsidR="00947944">
        <w:t>it is possible the security vulnerability coul</w:t>
      </w:r>
      <w:r w:rsidR="005B1BF9">
        <w:t xml:space="preserve">d be exploited or </w:t>
      </w:r>
      <w:r w:rsidR="008029EF">
        <w:t>falls short of required security outcomes</w:t>
      </w:r>
      <w:r w:rsidR="00703E84" w:rsidRPr="006D1B7A">
        <w:t>.</w:t>
      </w:r>
    </w:p>
    <w:p w14:paraId="270241E2" w14:textId="3A7F99EF" w:rsidR="00432D08" w:rsidRPr="006D1B7A" w:rsidRDefault="001636D6" w:rsidP="00E53294">
      <w:pPr>
        <w:pStyle w:val="Bulletlist1"/>
      </w:pPr>
      <w:r>
        <w:rPr>
          <w:b/>
          <w:bCs/>
        </w:rPr>
        <w:t>Acceptable</w:t>
      </w:r>
      <w:r w:rsidR="00703E84" w:rsidRPr="006D1B7A">
        <w:t xml:space="preserve">: Key </w:t>
      </w:r>
      <w:r w:rsidR="000D71B0">
        <w:t xml:space="preserve">risk </w:t>
      </w:r>
      <w:r w:rsidR="00703E84" w:rsidRPr="006D1B7A">
        <w:t xml:space="preserve">controls identified, proceduralised and supervised, it is </w:t>
      </w:r>
      <w:r w:rsidR="00703E84" w:rsidRPr="001F0CA6">
        <w:rPr>
          <w:i/>
          <w:iCs/>
        </w:rPr>
        <w:t>remote</w:t>
      </w:r>
      <w:r w:rsidR="00703E84" w:rsidRPr="006D1B7A">
        <w:t xml:space="preserve"> that the consequences will materialise</w:t>
      </w:r>
      <w:r w:rsidR="004A423A">
        <w:t xml:space="preserve"> (does not apply for security)</w:t>
      </w:r>
      <w:r w:rsidR="00703E84" w:rsidRPr="006D1B7A">
        <w:t>.</w:t>
      </w:r>
    </w:p>
    <w:p w14:paraId="65E88E34" w14:textId="2371CC68" w:rsidR="00775D6B" w:rsidRPr="006D1B7A" w:rsidRDefault="00775D6B" w:rsidP="00775D6B">
      <w:pPr>
        <w:pStyle w:val="Heading2"/>
      </w:pPr>
      <w:bookmarkStart w:id="18" w:name="_Toc213836312"/>
      <w:r w:rsidRPr="006D1B7A">
        <w:t xml:space="preserve">Gap </w:t>
      </w:r>
      <w:r w:rsidR="0016630A">
        <w:t>a</w:t>
      </w:r>
      <w:r w:rsidRPr="006D1B7A">
        <w:t>nalysis - Determining the benchmark standard</w:t>
      </w:r>
      <w:bookmarkEnd w:id="18"/>
    </w:p>
    <w:p w14:paraId="25A45ED9" w14:textId="396BED04" w:rsidR="00775D6B" w:rsidRPr="006D1B7A" w:rsidRDefault="00775D6B" w:rsidP="000177E0">
      <w:pPr>
        <w:pStyle w:val="Paragraph"/>
        <w:rPr>
          <w:b/>
          <w:caps/>
        </w:rPr>
      </w:pPr>
      <w:r>
        <w:rPr>
          <w:lang w:eastAsia="en-GB" w:bidi="ar-SA"/>
        </w:rPr>
        <w:t>Benchmark s</w:t>
      </w:r>
      <w:r w:rsidRPr="006D1B7A">
        <w:rPr>
          <w:lang w:eastAsia="en-GB" w:bidi="ar-SA"/>
        </w:rPr>
        <w:t xml:space="preserve">tandards, </w:t>
      </w:r>
      <w:r>
        <w:rPr>
          <w:lang w:eastAsia="en-GB" w:bidi="ar-SA"/>
        </w:rPr>
        <w:t>are</w:t>
      </w:r>
      <w:r w:rsidRPr="006D1B7A">
        <w:rPr>
          <w:lang w:eastAsia="en-GB" w:bidi="ar-SA"/>
        </w:rPr>
        <w:t xml:space="preserve"> wh</w:t>
      </w:r>
      <w:r>
        <w:rPr>
          <w:lang w:eastAsia="en-GB" w:bidi="ar-SA"/>
        </w:rPr>
        <w:t>at</w:t>
      </w:r>
      <w:r w:rsidRPr="006D1B7A">
        <w:rPr>
          <w:lang w:eastAsia="en-GB" w:bidi="ar-SA"/>
        </w:rPr>
        <w:t xml:space="preserve"> a dutyholder </w:t>
      </w:r>
      <w:r>
        <w:rPr>
          <w:lang w:eastAsia="en-GB" w:bidi="ar-SA"/>
        </w:rPr>
        <w:t xml:space="preserve">must consider </w:t>
      </w:r>
      <w:r w:rsidRPr="006D1B7A">
        <w:rPr>
          <w:lang w:eastAsia="en-GB" w:bidi="ar-SA"/>
        </w:rPr>
        <w:t xml:space="preserve">to determine what needs to be done to comply with the law. They have differing ‘authorities’, </w:t>
      </w:r>
      <w:r w:rsidR="00E53294">
        <w:rPr>
          <w:lang w:eastAsia="en-GB" w:bidi="ar-SA"/>
        </w:rPr>
        <w:t>for example,</w:t>
      </w:r>
      <w:r w:rsidRPr="006D1B7A">
        <w:rPr>
          <w:lang w:eastAsia="en-GB" w:bidi="ar-SA"/>
        </w:rPr>
        <w:t xml:space="preserve"> they could be specified in law, or may be a reasoned description of what the law seeks to achieve set down in guidance. </w:t>
      </w:r>
      <w:r w:rsidR="00E53294">
        <w:rPr>
          <w:lang w:eastAsia="en-GB" w:bidi="ar-SA"/>
        </w:rPr>
        <w:br/>
      </w:r>
      <w:r w:rsidRPr="006D1B7A">
        <w:rPr>
          <w:lang w:eastAsia="en-GB" w:bidi="ar-SA"/>
        </w:rPr>
        <w:t xml:space="preserve">This influences the decision about the proportionate level of enforcement. </w:t>
      </w:r>
      <w:r w:rsidR="00E53294">
        <w:rPr>
          <w:lang w:eastAsia="en-GB" w:bidi="ar-SA"/>
        </w:rPr>
        <w:br/>
      </w:r>
      <w:r w:rsidRPr="006D1B7A">
        <w:rPr>
          <w:lang w:eastAsia="en-GB" w:bidi="ar-SA"/>
        </w:rPr>
        <w:t>A higher level of enforcement is expected where a dutyholder has failed to meet well known and established standards compared to situations where there is little information or guidance available.</w:t>
      </w:r>
    </w:p>
    <w:p w14:paraId="2DD76B46" w14:textId="77777777" w:rsidR="00775D6B" w:rsidRPr="006D1B7A" w:rsidRDefault="00775D6B" w:rsidP="000177E0">
      <w:pPr>
        <w:pStyle w:val="Paragraph"/>
        <w:rPr>
          <w:b/>
          <w:caps/>
        </w:rPr>
      </w:pPr>
      <w:r w:rsidRPr="006D1B7A">
        <w:t xml:space="preserve">Within the EMM, ONR classifies all standards as being either </w:t>
      </w:r>
      <w:r w:rsidRPr="006D1B7A">
        <w:rPr>
          <w:b/>
          <w:bCs/>
        </w:rPr>
        <w:t>Defined, Established</w:t>
      </w:r>
      <w:r w:rsidRPr="006D1B7A">
        <w:t xml:space="preserve">, or </w:t>
      </w:r>
      <w:r w:rsidRPr="006D1B7A">
        <w:rPr>
          <w:b/>
          <w:bCs/>
        </w:rPr>
        <w:t>Interpretive</w:t>
      </w:r>
      <w:r w:rsidRPr="006D1B7A">
        <w:t xml:space="preserve">. There may be a range of standards that are relevant to the matter(s) being considered; the standard used should be that which best describes the circumstances. </w:t>
      </w:r>
    </w:p>
    <w:p w14:paraId="3C3B1800" w14:textId="043F4DB4" w:rsidR="00775D6B" w:rsidRPr="007F70AC" w:rsidRDefault="00775D6B" w:rsidP="000177E0">
      <w:pPr>
        <w:pStyle w:val="Paragraph"/>
        <w:rPr>
          <w:b/>
          <w:caps/>
        </w:rPr>
      </w:pPr>
      <w:r w:rsidRPr="006D1B7A">
        <w:t xml:space="preserve">The law which we enforce is a mix of both prescriptive and goal setting, inspectors should, when considering which level of </w:t>
      </w:r>
      <w:r>
        <w:t>s</w:t>
      </w:r>
      <w:r w:rsidRPr="006D1B7A">
        <w:t xml:space="preserve">tandard to be applied within the EMM, be guided by the definitions below. In selecting the Standard to be applied within the EMM, the underlying principle is that of the extent to which the dutyholder is able to decide for themselves how they achieve compliance against any legal duty placed upon them. </w:t>
      </w:r>
    </w:p>
    <w:p w14:paraId="42147AFC" w14:textId="049AACBC" w:rsidR="00775D6B" w:rsidRPr="006D1B7A" w:rsidRDefault="00775D6B" w:rsidP="000177E0">
      <w:pPr>
        <w:pStyle w:val="Paragraph"/>
        <w:rPr>
          <w:b/>
        </w:rPr>
      </w:pPr>
      <w:r w:rsidRPr="006D1B7A">
        <w:rPr>
          <w:b/>
          <w:bCs/>
        </w:rPr>
        <w:t xml:space="preserve">Defined </w:t>
      </w:r>
      <w:r w:rsidR="00E53294">
        <w:rPr>
          <w:b/>
          <w:bCs/>
        </w:rPr>
        <w:t>s</w:t>
      </w:r>
      <w:r w:rsidRPr="006D1B7A">
        <w:rPr>
          <w:b/>
          <w:bCs/>
        </w:rPr>
        <w:t>tandards</w:t>
      </w:r>
      <w:r w:rsidRPr="006D1B7A">
        <w:t xml:space="preserve"> are those which explicitly define what is expected of a dutyholder in terms of how they act in complying with the relevant legislation not requiring interpretation.  The standard will prescribe what is expected, and there will be no alternative approach available to the dutyholder</w:t>
      </w:r>
      <w:r w:rsidR="00431F9E">
        <w:t>.</w:t>
      </w:r>
      <w:r w:rsidRPr="006D1B7A">
        <w:t xml:space="preserve">  </w:t>
      </w:r>
    </w:p>
    <w:p w14:paraId="26BEFE39" w14:textId="581B5FA2" w:rsidR="00775D6B" w:rsidRPr="006D1B7A" w:rsidRDefault="00775D6B" w:rsidP="000177E0">
      <w:pPr>
        <w:pStyle w:val="Paragraph"/>
        <w:rPr>
          <w:b/>
        </w:rPr>
      </w:pPr>
      <w:r w:rsidRPr="006D1B7A">
        <w:lastRenderedPageBreak/>
        <w:t xml:space="preserve">Defined </w:t>
      </w:r>
      <w:r w:rsidR="00E53294">
        <w:t>s</w:t>
      </w:r>
      <w:r w:rsidRPr="006D1B7A">
        <w:t>tandards can come from a wide range of formal legislation and related guidance documentation, including (but not limited to); Acts, Regulations, Orders, and Approved Codes of Practice (ACoP</w:t>
      </w:r>
      <w:r w:rsidR="00E53294">
        <w:t>s</w:t>
      </w:r>
      <w:r w:rsidRPr="006D1B7A">
        <w:t xml:space="preserve">). It is worth noting that formal legislation may have, within the same document, a mix of Defined and Established </w:t>
      </w:r>
      <w:r w:rsidR="00E53294">
        <w:t>s</w:t>
      </w:r>
      <w:r w:rsidRPr="006D1B7A">
        <w:t xml:space="preserve">tandards. Identifying which to apply is the </w:t>
      </w:r>
      <w:r w:rsidRPr="00EF0A1D">
        <w:rPr>
          <w:i/>
          <w:iCs/>
        </w:rPr>
        <w:t>responsibility of the inspector</w:t>
      </w:r>
      <w:r w:rsidRPr="006D1B7A">
        <w:t>, as the context of each situation will be different.</w:t>
      </w:r>
    </w:p>
    <w:p w14:paraId="082BA109" w14:textId="40D32EA4" w:rsidR="00775D6B" w:rsidRPr="006D1B7A" w:rsidRDefault="00775D6B" w:rsidP="000177E0">
      <w:pPr>
        <w:pStyle w:val="Paragraph"/>
        <w:rPr>
          <w:b/>
        </w:rPr>
      </w:pPr>
      <w:r w:rsidRPr="006D1B7A">
        <w:rPr>
          <w:b/>
        </w:rPr>
        <w:t xml:space="preserve">Established </w:t>
      </w:r>
      <w:r w:rsidR="00E53294">
        <w:rPr>
          <w:b/>
        </w:rPr>
        <w:t>s</w:t>
      </w:r>
      <w:r w:rsidRPr="006D1B7A">
        <w:rPr>
          <w:b/>
        </w:rPr>
        <w:t xml:space="preserve">tandards </w:t>
      </w:r>
      <w:r w:rsidRPr="006D1B7A">
        <w:t xml:space="preserve">are those which provide a clear and unequivocal definition of the outcomes or goal-setting performance expected of the dutyholder, but which do </w:t>
      </w:r>
      <w:r w:rsidRPr="008D2FCF">
        <w:rPr>
          <w:i/>
          <w:iCs/>
        </w:rPr>
        <w:t>not</w:t>
      </w:r>
      <w:r w:rsidRPr="006D1B7A">
        <w:t xml:space="preserve"> prescribe a single defined way in which that is achieved.  They will often contain reference to specific actions and/or approaches to compliance that a dutyholder can take and may reference Relevant Good Practice (RGP) as part of the </w:t>
      </w:r>
      <w:r>
        <w:t>s</w:t>
      </w:r>
      <w:r w:rsidRPr="006D1B7A">
        <w:t>tandard.</w:t>
      </w:r>
    </w:p>
    <w:p w14:paraId="2BB41B1A" w14:textId="52C4DDFB" w:rsidR="00722A37" w:rsidRDefault="00775D6B" w:rsidP="000177E0">
      <w:pPr>
        <w:pStyle w:val="Paragraph"/>
      </w:pPr>
      <w:r w:rsidRPr="006D1B7A">
        <w:t xml:space="preserve">Established </w:t>
      </w:r>
      <w:r w:rsidR="00E53294">
        <w:t>s</w:t>
      </w:r>
      <w:r w:rsidRPr="006D1B7A">
        <w:t>tandards</w:t>
      </w:r>
      <w:r w:rsidRPr="006D1B7A">
        <w:rPr>
          <w:b/>
        </w:rPr>
        <w:t xml:space="preserve"> </w:t>
      </w:r>
      <w:r w:rsidRPr="006D1B7A">
        <w:t xml:space="preserve">can come from a wide range of formal legislation and related guidance documentation, </w:t>
      </w:r>
      <w:r w:rsidR="009B0455">
        <w:t>similar to defined standards.</w:t>
      </w:r>
      <w:r w:rsidRPr="006D1B7A">
        <w:t xml:space="preserve"> They may also come from other standards linked to legislation, published or commonly known standards of performance interpreted by regulators or other specialists, industry or other organisations. For example, British Standards, LCs, Security and Safety Assessment Principles, Safeguards Nuclear Material Accountancy, Control and Safeguards (ONMACS)</w:t>
      </w:r>
      <w:r w:rsidR="00E53294">
        <w:t>,</w:t>
      </w:r>
      <w:r w:rsidRPr="006D1B7A">
        <w:t xml:space="preserve"> Cabinet Office Security Policy Framework, TIGs, TAGs and IAEA Standards.</w:t>
      </w:r>
      <w:r w:rsidR="00722A37" w:rsidRPr="00722A37">
        <w:t xml:space="preserve"> </w:t>
      </w:r>
    </w:p>
    <w:p w14:paraId="4331BF14" w14:textId="26D4EC66" w:rsidR="00677044" w:rsidRPr="00825DDC" w:rsidRDefault="00722A37" w:rsidP="000177E0">
      <w:pPr>
        <w:pStyle w:val="Paragraph"/>
      </w:pPr>
      <w:r w:rsidRPr="006D1B7A">
        <w:t>For nuclear safety decisions, demonstration of ALARP will normally be made within the dutyholder’s safety case required under LC 23. The need to demonstrate ALARP also arises in other legislation for example, Ionising Radiations Regulations 2017 (IRR) Regulation 9 requires that exposure should be restricted SFAIRP, or the Management of Health and Safety at Work Regulations 1999, which require a suitable and sufficient risk assessment.</w:t>
      </w:r>
    </w:p>
    <w:p w14:paraId="428C48AF" w14:textId="16275433" w:rsidR="00775D6B" w:rsidRPr="006D1B7A" w:rsidRDefault="00775D6B" w:rsidP="000177E0">
      <w:pPr>
        <w:pStyle w:val="Paragraph"/>
      </w:pPr>
      <w:r w:rsidRPr="006D1B7A">
        <w:rPr>
          <w:b/>
        </w:rPr>
        <w:t xml:space="preserve">Interpretive </w:t>
      </w:r>
      <w:r w:rsidR="00E53294">
        <w:rPr>
          <w:b/>
        </w:rPr>
        <w:t>s</w:t>
      </w:r>
      <w:r w:rsidRPr="006D1B7A">
        <w:rPr>
          <w:b/>
        </w:rPr>
        <w:t xml:space="preserve">tandards </w:t>
      </w:r>
      <w:r w:rsidRPr="006D1B7A">
        <w:t>are those which provide examples of the actions and</w:t>
      </w:r>
      <w:r w:rsidR="00E53294">
        <w:t xml:space="preserve"> </w:t>
      </w:r>
      <w:r w:rsidRPr="006D1B7A">
        <w:t>/</w:t>
      </w:r>
      <w:r w:rsidR="00E53294">
        <w:t xml:space="preserve"> </w:t>
      </w:r>
      <w:r w:rsidRPr="006D1B7A">
        <w:t>or approaches that a dutyholder might consider when meeting a specific duty.  They will not often be formally published but may derive from widely accepted and recognised approaches across the dutyholder community which are undertaken in the delivery of their duties.</w:t>
      </w:r>
    </w:p>
    <w:p w14:paraId="0B747780" w14:textId="77777777" w:rsidR="00775D6B" w:rsidRPr="006D1B7A" w:rsidRDefault="00775D6B" w:rsidP="000177E0">
      <w:pPr>
        <w:pStyle w:val="Paragraph"/>
      </w:pPr>
      <w:r w:rsidRPr="006D1B7A">
        <w:t>Due consideration should be given to all statutory instruments, ACOPs and HSE guidance when considering the most appropriate benchmark standards from a nuclear site health and safety perspective.</w:t>
      </w:r>
    </w:p>
    <w:p w14:paraId="0D42127A" w14:textId="77777777" w:rsidR="0016630A" w:rsidRDefault="0016630A" w:rsidP="000177E0">
      <w:pPr>
        <w:pStyle w:val="Paragraph"/>
        <w:sectPr w:rsidR="0016630A" w:rsidSect="001A677D">
          <w:pgSz w:w="11906" w:h="16838" w:code="9"/>
          <w:pgMar w:top="1440" w:right="1440" w:bottom="1440" w:left="1440" w:header="431" w:footer="567" w:gutter="0"/>
          <w:cols w:space="708"/>
          <w:titlePg/>
          <w:docGrid w:linePitch="360"/>
        </w:sectPr>
      </w:pPr>
    </w:p>
    <w:p w14:paraId="745F95A7" w14:textId="58FF134D" w:rsidR="00775D6B" w:rsidRPr="006D1B7A" w:rsidRDefault="00775D6B" w:rsidP="000177E0">
      <w:pPr>
        <w:pStyle w:val="Paragraph"/>
      </w:pPr>
      <w:r w:rsidRPr="006D1B7A">
        <w:lastRenderedPageBreak/>
        <w:t xml:space="preserve">When considering the BEL, it is possible that multiple standards may be applicable to the circumstance being considered and the circumstances relate to one or several ONR purposes.  The standard that </w:t>
      </w:r>
      <w:r w:rsidRPr="00562A87">
        <w:rPr>
          <w:b/>
        </w:rPr>
        <w:t>sets the most</w:t>
      </w:r>
      <w:r w:rsidRPr="006D1B7A">
        <w:t xml:space="preserve"> </w:t>
      </w:r>
      <w:r w:rsidRPr="003A06F4">
        <w:rPr>
          <w:b/>
        </w:rPr>
        <w:t>relevant benchmark</w:t>
      </w:r>
      <w:r w:rsidRPr="006D1B7A">
        <w:t xml:space="preserve"> should be the one that is applied. An example would be LC 13; it is explicit in LC 13(4) that the nuclear safety committee should consist of at least seven persons, here the benchmark which is to be achieved is directly set by the LC and so LC 13 can be regarded as the relevant standard, which </w:t>
      </w:r>
      <w:r>
        <w:t>in</w:t>
      </w:r>
      <w:r w:rsidRPr="006D1B7A">
        <w:t xml:space="preserve"> this aspect would be considered </w:t>
      </w:r>
      <w:r>
        <w:t>as</w:t>
      </w:r>
      <w:r w:rsidRPr="006D1B7A">
        <w:t xml:space="preserve"> Defined.</w:t>
      </w:r>
      <w:r w:rsidR="009B7F3C">
        <w:t xml:space="preserve"> </w:t>
      </w:r>
      <w:r w:rsidR="00516331">
        <w:t>Another</w:t>
      </w:r>
      <w:r w:rsidR="009B7F3C">
        <w:t xml:space="preserve"> example </w:t>
      </w:r>
      <w:r w:rsidR="00CB47A8">
        <w:t>would be r</w:t>
      </w:r>
      <w:r w:rsidR="001206E4">
        <w:t xml:space="preserve">adiation risk assessment </w:t>
      </w:r>
      <w:r w:rsidR="00651B40">
        <w:t xml:space="preserve">for nuclear and non-nuclear dutyholders </w:t>
      </w:r>
      <w:r w:rsidR="001206E4">
        <w:t xml:space="preserve">where the </w:t>
      </w:r>
      <w:r w:rsidR="00615D0B">
        <w:t xml:space="preserve">IRR17 </w:t>
      </w:r>
      <w:r w:rsidR="001206E4">
        <w:t xml:space="preserve">ACoP paragraph 70 and 71 are </w:t>
      </w:r>
      <w:r w:rsidR="009E452E">
        <w:t xml:space="preserve">explicit related to how </w:t>
      </w:r>
      <w:r w:rsidR="00615D0B">
        <w:t>dutyholders</w:t>
      </w:r>
      <w:r w:rsidR="009E452E">
        <w:t xml:space="preserve"> comply and </w:t>
      </w:r>
      <w:r w:rsidR="00711E8C">
        <w:t xml:space="preserve">can be </w:t>
      </w:r>
      <w:r w:rsidR="00596C21">
        <w:t>regarded as the relevant standard, which in this aspect would be considered as Defined.</w:t>
      </w:r>
    </w:p>
    <w:p w14:paraId="11FD2626" w14:textId="640AFA1C" w:rsidR="00775D6B" w:rsidRPr="006D1B7A" w:rsidRDefault="00775D6B" w:rsidP="000177E0">
      <w:pPr>
        <w:pStyle w:val="Paragraph"/>
      </w:pPr>
      <w:r w:rsidRPr="006D1B7A">
        <w:t xml:space="preserve">LCs in a number of places require a benchmark of making and implementing adequate arrangements which is goal setting/ non-prescriptive. Here, it is necessary to turn to sources of relevant good practice to directly inform the required benchmark. In this instance the relevant good practice will be found in Established </w:t>
      </w:r>
      <w:r>
        <w:t>S</w:t>
      </w:r>
      <w:r w:rsidRPr="006D1B7A">
        <w:t>tandards. It is important to note that legislation and ACOPs may include defined standards (</w:t>
      </w:r>
      <w:r w:rsidR="00E53294">
        <w:t>for example,</w:t>
      </w:r>
      <w:r w:rsidRPr="006D1B7A">
        <w:t xml:space="preserve"> prescription of a minimum level of provision) as well as established (</w:t>
      </w:r>
      <w:r w:rsidR="00E53294">
        <w:t>for example,</w:t>
      </w:r>
      <w:r w:rsidR="00E53294" w:rsidRPr="006D1B7A">
        <w:t xml:space="preserve"> </w:t>
      </w:r>
      <w:r w:rsidRPr="006D1B7A">
        <w:t>where the expectation is goal setting).</w:t>
      </w:r>
    </w:p>
    <w:p w14:paraId="37AD4AA9" w14:textId="5BBD7492" w:rsidR="00775D6B" w:rsidRPr="00CE3A71" w:rsidRDefault="00775D6B" w:rsidP="000177E0">
      <w:pPr>
        <w:pStyle w:val="Paragraph"/>
        <w:rPr>
          <w:rStyle w:val="cf01"/>
          <w:rFonts w:ascii="Arial" w:hAnsi="Arial" w:cs="Arial"/>
          <w:bCs/>
          <w:sz w:val="24"/>
          <w:szCs w:val="22"/>
        </w:rPr>
      </w:pPr>
      <w:r>
        <w:rPr>
          <w:rStyle w:val="cf01"/>
          <w:rFonts w:asciiTheme="minorHAnsi" w:hAnsiTheme="minorHAnsi" w:cstheme="minorHAnsi"/>
          <w:sz w:val="24"/>
          <w:szCs w:val="24"/>
        </w:rPr>
        <w:t>For safety g</w:t>
      </w:r>
      <w:r w:rsidRPr="006D1B7A">
        <w:rPr>
          <w:rStyle w:val="cf01"/>
          <w:rFonts w:asciiTheme="minorHAnsi" w:hAnsiTheme="minorHAnsi" w:cstheme="minorHAnsi"/>
          <w:sz w:val="24"/>
          <w:szCs w:val="24"/>
        </w:rPr>
        <w:t xml:space="preserve">uidance on what constitutes relevant good practice can be found in </w:t>
      </w:r>
      <w:r w:rsidR="00E53294">
        <w:rPr>
          <w:rStyle w:val="cf01"/>
          <w:rFonts w:asciiTheme="minorHAnsi" w:hAnsiTheme="minorHAnsi" w:cstheme="minorHAnsi"/>
          <w:sz w:val="24"/>
          <w:szCs w:val="24"/>
        </w:rPr>
        <w:t xml:space="preserve">ONR guidance, </w:t>
      </w:r>
      <w:r w:rsidRPr="00CE3A71">
        <w:rPr>
          <w:rStyle w:val="cf01"/>
          <w:rFonts w:asciiTheme="minorHAnsi" w:hAnsiTheme="minorHAnsi" w:cstheme="minorHAnsi"/>
          <w:sz w:val="24"/>
          <w:szCs w:val="24"/>
        </w:rPr>
        <w:t>‘</w:t>
      </w:r>
      <w:r w:rsidR="00162D23">
        <w:rPr>
          <w:rStyle w:val="cf01"/>
          <w:rFonts w:asciiTheme="minorHAnsi" w:hAnsiTheme="minorHAnsi" w:cstheme="minorHAnsi"/>
          <w:sz w:val="24"/>
          <w:szCs w:val="24"/>
        </w:rPr>
        <w:t>Regulating duties to reduce risks to ALARP’</w:t>
      </w:r>
      <w:r w:rsidR="00E53294" w:rsidRPr="00E53294">
        <w:rPr>
          <w:rStyle w:val="cf01"/>
          <w:rFonts w:asciiTheme="minorHAnsi" w:hAnsiTheme="minorHAnsi" w:cstheme="minorHAnsi"/>
          <w:sz w:val="24"/>
          <w:szCs w:val="24"/>
        </w:rPr>
        <w:t xml:space="preserve"> </w:t>
      </w:r>
      <w:sdt>
        <w:sdtPr>
          <w:rPr>
            <w:rStyle w:val="cf01"/>
            <w:rFonts w:asciiTheme="minorHAnsi" w:hAnsiTheme="minorHAnsi" w:cstheme="minorHAnsi"/>
            <w:sz w:val="24"/>
            <w:szCs w:val="24"/>
          </w:rPr>
          <w:id w:val="1413274603"/>
          <w:citation/>
        </w:sdtPr>
        <w:sdtEndPr>
          <w:rPr>
            <w:rStyle w:val="cf01"/>
          </w:rPr>
        </w:sdtEndPr>
        <w:sdtContent>
          <w:r w:rsidR="00E53294" w:rsidRPr="00BC205A">
            <w:rPr>
              <w:rStyle w:val="cf01"/>
              <w:rFonts w:asciiTheme="minorHAnsi" w:hAnsiTheme="minorHAnsi" w:cstheme="minorHAnsi"/>
              <w:sz w:val="24"/>
              <w:szCs w:val="24"/>
            </w:rPr>
            <w:fldChar w:fldCharType="begin"/>
          </w:r>
          <w:r w:rsidR="00E53294">
            <w:rPr>
              <w:rStyle w:val="cf01"/>
              <w:rFonts w:asciiTheme="minorHAnsi" w:hAnsiTheme="minorHAnsi" w:cstheme="minorHAnsi"/>
              <w:sz w:val="24"/>
              <w:szCs w:val="24"/>
            </w:rPr>
            <w:instrText xml:space="preserve">CITATION ONR100 \l 2057 </w:instrText>
          </w:r>
          <w:r w:rsidR="00E53294" w:rsidRPr="00BC205A">
            <w:rPr>
              <w:rStyle w:val="cf01"/>
              <w:rFonts w:asciiTheme="minorHAnsi" w:hAnsiTheme="minorHAnsi" w:cstheme="minorHAnsi"/>
              <w:sz w:val="24"/>
              <w:szCs w:val="24"/>
            </w:rPr>
            <w:fldChar w:fldCharType="separate"/>
          </w:r>
          <w:r w:rsidR="00E53294" w:rsidRPr="00E53294">
            <w:rPr>
              <w:rFonts w:asciiTheme="minorHAnsi" w:hAnsiTheme="minorHAnsi" w:cstheme="minorHAnsi"/>
              <w:noProof/>
              <w:szCs w:val="24"/>
            </w:rPr>
            <w:t>[16]</w:t>
          </w:r>
          <w:r w:rsidR="00E53294" w:rsidRPr="00BC205A">
            <w:rPr>
              <w:rStyle w:val="cf01"/>
              <w:rFonts w:asciiTheme="minorHAnsi" w:hAnsiTheme="minorHAnsi" w:cstheme="minorHAnsi"/>
              <w:sz w:val="24"/>
              <w:szCs w:val="24"/>
            </w:rPr>
            <w:fldChar w:fldCharType="end"/>
          </w:r>
        </w:sdtContent>
      </w:sdt>
      <w:r w:rsidRPr="00CE3A71">
        <w:rPr>
          <w:rStyle w:val="cf01"/>
          <w:rFonts w:asciiTheme="minorHAnsi" w:hAnsiTheme="minorHAnsi" w:cstheme="minorHAnsi"/>
          <w:sz w:val="24"/>
          <w:szCs w:val="24"/>
        </w:rPr>
        <w:t>.</w:t>
      </w:r>
    </w:p>
    <w:p w14:paraId="4D3A6858" w14:textId="269BA525" w:rsidR="00ED61C2" w:rsidRDefault="00F8078C" w:rsidP="002E4493">
      <w:pPr>
        <w:pStyle w:val="Heading2"/>
      </w:pPr>
      <w:bookmarkStart w:id="19" w:name="_Toc213836313"/>
      <w:r>
        <w:t>Non-</w:t>
      </w:r>
      <w:r w:rsidR="0016630A">
        <w:t>r</w:t>
      </w:r>
      <w:r>
        <w:t xml:space="preserve">isk </w:t>
      </w:r>
      <w:r w:rsidR="00006542">
        <w:t xml:space="preserve">based </w:t>
      </w:r>
      <w:r w:rsidR="0016630A">
        <w:t>c</w:t>
      </w:r>
      <w:r w:rsidR="00400E2B">
        <w:t xml:space="preserve">ompliance and </w:t>
      </w:r>
      <w:r w:rsidR="0016630A">
        <w:t>a</w:t>
      </w:r>
      <w:r w:rsidR="00400E2B">
        <w:t xml:space="preserve">rrangement </w:t>
      </w:r>
      <w:r w:rsidR="0016630A">
        <w:t>i</w:t>
      </w:r>
      <w:r w:rsidR="00400E2B">
        <w:t>ssues</w:t>
      </w:r>
      <w:bookmarkEnd w:id="19"/>
    </w:p>
    <w:p w14:paraId="2B8F402F" w14:textId="0E2DDB49" w:rsidR="00400E2B" w:rsidRPr="00096BF9" w:rsidRDefault="00400E2B" w:rsidP="000177E0">
      <w:pPr>
        <w:pStyle w:val="Paragraph"/>
      </w:pPr>
      <w:r w:rsidRPr="00096BF9">
        <w:t xml:space="preserve">The term ‘compliance and administrative arrangements’ is used to describe legal requirements, which are not in themselves risk based. </w:t>
      </w:r>
      <w:r w:rsidR="00E53294">
        <w:br/>
      </w:r>
      <w:r w:rsidRPr="00096BF9">
        <w:t>These arrangements are generally defined by law or supporting ACoPs. While they may not be risk control measures, their absence can undermine the workings of an efficient health, safety, security or safeguards system.</w:t>
      </w:r>
      <w:r w:rsidR="001D5D01" w:rsidRPr="00096BF9">
        <w:t xml:space="preserve"> </w:t>
      </w:r>
    </w:p>
    <w:p w14:paraId="1C696A11" w14:textId="6744BD7D" w:rsidR="00006542" w:rsidRPr="00006542" w:rsidRDefault="00400E2B" w:rsidP="000177E0">
      <w:pPr>
        <w:pStyle w:val="Paragraph"/>
      </w:pPr>
      <w:r w:rsidRPr="00006542">
        <w:t xml:space="preserve">The concept of risk level is not appropriate for </w:t>
      </w:r>
      <w:r w:rsidR="00A91B20">
        <w:t xml:space="preserve">assessing </w:t>
      </w:r>
      <w:r w:rsidRPr="00006542">
        <w:t xml:space="preserve">compliance and administrative aspects of legal requirements which in themselves </w:t>
      </w:r>
      <w:r w:rsidRPr="00006542">
        <w:rPr>
          <w:b/>
          <w:bCs/>
        </w:rPr>
        <w:t>do not relate directly to risk control</w:t>
      </w:r>
      <w:r w:rsidRPr="00006542">
        <w:t xml:space="preserve"> (for example, the requirement to notify ONR of an incident </w:t>
      </w:r>
      <w:sdt>
        <w:sdtPr>
          <w:id w:val="-2086293761"/>
          <w:citation/>
        </w:sdtPr>
        <w:sdtEndPr/>
        <w:sdtContent>
          <w:r w:rsidRPr="00006542">
            <w:fldChar w:fldCharType="begin"/>
          </w:r>
          <w:r w:rsidRPr="00006542">
            <w:instrText xml:space="preserve"> CITATION Placeholder1 \l 2057 </w:instrText>
          </w:r>
          <w:r w:rsidRPr="00006542">
            <w:fldChar w:fldCharType="separate"/>
          </w:r>
          <w:r w:rsidR="00EB346B" w:rsidRPr="00EB346B">
            <w:rPr>
              <w:noProof/>
            </w:rPr>
            <w:t>[16]</w:t>
          </w:r>
          <w:r w:rsidRPr="00006542">
            <w:fldChar w:fldCharType="end"/>
          </w:r>
        </w:sdtContent>
      </w:sdt>
      <w:r w:rsidRPr="00006542">
        <w:t xml:space="preserve">). The EMM refers to such cases as non-risk based compliance and administrative arrangements issues and treats them separately from risk-based issues. </w:t>
      </w:r>
      <w:r w:rsidR="007E3AA4">
        <w:t xml:space="preserve">There </w:t>
      </w:r>
      <w:r w:rsidR="00676B96">
        <w:t>are</w:t>
      </w:r>
      <w:r w:rsidR="007E3AA4">
        <w:t xml:space="preserve"> examples of these for purposes in </w:t>
      </w:r>
      <w:r w:rsidR="005C28B1" w:rsidRPr="006953D0">
        <w:rPr>
          <w:u w:val="single"/>
        </w:rPr>
        <w:fldChar w:fldCharType="begin"/>
      </w:r>
      <w:r w:rsidR="005C28B1" w:rsidRPr="006953D0">
        <w:rPr>
          <w:u w:val="single"/>
        </w:rPr>
        <w:instrText xml:space="preserve"> REF _Ref212210396 \h </w:instrText>
      </w:r>
      <w:r w:rsidR="005C28B1" w:rsidRPr="006953D0">
        <w:rPr>
          <w:u w:val="single"/>
        </w:rPr>
      </w:r>
      <w:r w:rsidR="005C28B1" w:rsidRPr="006953D0">
        <w:rPr>
          <w:u w:val="single"/>
        </w:rPr>
        <w:fldChar w:fldCharType="separate"/>
      </w:r>
      <w:r w:rsidR="005C28B1" w:rsidRPr="006953D0">
        <w:rPr>
          <w:u w:val="single"/>
          <w:lang w:bidi="ar-SA"/>
        </w:rPr>
        <w:t>Appendix D Examples of compliance and administrative issues</w:t>
      </w:r>
      <w:r w:rsidR="005C28B1" w:rsidRPr="006953D0">
        <w:rPr>
          <w:u w:val="single"/>
        </w:rPr>
        <w:fldChar w:fldCharType="end"/>
      </w:r>
      <w:r w:rsidR="008F7E49">
        <w:t>, to support inspectors.</w:t>
      </w:r>
    </w:p>
    <w:p w14:paraId="3C1B4845" w14:textId="77777777" w:rsidR="0016630A" w:rsidRDefault="0016630A" w:rsidP="000177E0">
      <w:pPr>
        <w:pStyle w:val="Paragraph"/>
        <w:sectPr w:rsidR="0016630A" w:rsidSect="001A677D">
          <w:pgSz w:w="11906" w:h="16838" w:code="9"/>
          <w:pgMar w:top="1440" w:right="1440" w:bottom="1440" w:left="1440" w:header="431" w:footer="567" w:gutter="0"/>
          <w:cols w:space="708"/>
          <w:titlePg/>
          <w:docGrid w:linePitch="360"/>
        </w:sectPr>
      </w:pPr>
    </w:p>
    <w:p w14:paraId="0770931F" w14:textId="14565444" w:rsidR="009618A5" w:rsidRPr="0016630A" w:rsidRDefault="00400E2B" w:rsidP="000177E0">
      <w:pPr>
        <w:pStyle w:val="Paragraph"/>
      </w:pPr>
      <w:r w:rsidRPr="00A05C04">
        <w:lastRenderedPageBreak/>
        <w:t xml:space="preserve">Proportionate enforcement action is determined by considering the extent of the non-compliance and the standards expected. </w:t>
      </w:r>
      <w:r w:rsidR="0016630A">
        <w:fldChar w:fldCharType="begin"/>
      </w:r>
      <w:r w:rsidR="0016630A">
        <w:instrText xml:space="preserve"> REF _Ref213835963 \h </w:instrText>
      </w:r>
      <w:r w:rsidR="0016630A">
        <w:fldChar w:fldCharType="separate"/>
      </w:r>
      <w:r w:rsidR="0016630A">
        <w:t xml:space="preserve">Table </w:t>
      </w:r>
      <w:r w:rsidR="0016630A">
        <w:rPr>
          <w:noProof/>
        </w:rPr>
        <w:t>2</w:t>
      </w:r>
      <w:r w:rsidR="0016630A">
        <w:fldChar w:fldCharType="end"/>
      </w:r>
      <w:r w:rsidR="0016630A">
        <w:t xml:space="preserve"> </w:t>
      </w:r>
      <w:r w:rsidRPr="00A05C04">
        <w:t>identifies the BEL for securing compliance for non-risk issues.</w:t>
      </w:r>
      <w:r w:rsidR="0081423D" w:rsidRPr="00A05C04">
        <w:t xml:space="preserve"> </w:t>
      </w:r>
      <w:r w:rsidRPr="00A05C04">
        <w:t xml:space="preserve">It is not usually appropriate to consider prosecution in relation to non-risk based </w:t>
      </w:r>
      <w:r w:rsidR="00EB376E" w:rsidRPr="00A05C04">
        <w:t xml:space="preserve">compliance and </w:t>
      </w:r>
      <w:r w:rsidRPr="00A05C04">
        <w:t xml:space="preserve">administrative </w:t>
      </w:r>
      <w:r w:rsidR="00EB376E" w:rsidRPr="00A05C04">
        <w:t>issues</w:t>
      </w:r>
      <w:r w:rsidRPr="00A05C04">
        <w:t xml:space="preserve"> that do not in themselves give rise to risks. </w:t>
      </w:r>
      <w:r w:rsidR="00E53294">
        <w:br/>
      </w:r>
      <w:r w:rsidRPr="00A05C04">
        <w:t>An exception however might be where there are relevant dutyholder and</w:t>
      </w:r>
      <w:r w:rsidR="00E53294">
        <w:t xml:space="preserve"> </w:t>
      </w:r>
      <w:r w:rsidRPr="00A05C04">
        <w:t>/</w:t>
      </w:r>
      <w:r w:rsidR="00E53294">
        <w:t xml:space="preserve"> </w:t>
      </w:r>
      <w:r w:rsidRPr="00A05C04">
        <w:t>or strategic factors, or the matter is specified in the EPS (for example, a failure to comply with a notice or direction).</w:t>
      </w:r>
      <w:r w:rsidR="00BB7D83" w:rsidRPr="00A05C04">
        <w:rPr>
          <w:b/>
          <w:bCs/>
          <w:sz w:val="22"/>
        </w:rPr>
        <w:t xml:space="preserve"> </w:t>
      </w:r>
    </w:p>
    <w:p w14:paraId="2C23FB4D" w14:textId="79D1C0D9" w:rsidR="0016630A" w:rsidRDefault="0016630A" w:rsidP="0016630A">
      <w:pPr>
        <w:pStyle w:val="Caption"/>
        <w:jc w:val="left"/>
      </w:pPr>
      <w:bookmarkStart w:id="20" w:name="_Ref213835963"/>
      <w:r>
        <w:t xml:space="preserve">Table </w:t>
      </w:r>
      <w:r>
        <w:fldChar w:fldCharType="begin"/>
      </w:r>
      <w:r>
        <w:instrText xml:space="preserve"> SEQ Table \* ARABIC </w:instrText>
      </w:r>
      <w:r>
        <w:fldChar w:fldCharType="separate"/>
      </w:r>
      <w:r>
        <w:rPr>
          <w:noProof/>
        </w:rPr>
        <w:t>2</w:t>
      </w:r>
      <w:r>
        <w:fldChar w:fldCharType="end"/>
      </w:r>
      <w:bookmarkEnd w:id="20"/>
      <w:r>
        <w:t xml:space="preserve"> - </w:t>
      </w:r>
      <w:r w:rsidRPr="00FD10E1">
        <w:t>Compliance and Arrangements matrix for Baseline Enforcement Level</w:t>
      </w:r>
    </w:p>
    <w:tbl>
      <w:tblPr>
        <w:tblStyle w:val="ONRTable1"/>
        <w:tblW w:w="4529" w:type="pct"/>
        <w:tblInd w:w="851" w:type="dxa"/>
        <w:tblLook w:val="04A0" w:firstRow="1" w:lastRow="0" w:firstColumn="1" w:lastColumn="0" w:noHBand="0" w:noVBand="1"/>
      </w:tblPr>
      <w:tblGrid>
        <w:gridCol w:w="4395"/>
        <w:gridCol w:w="1627"/>
        <w:gridCol w:w="2154"/>
      </w:tblGrid>
      <w:tr w:rsidR="00775D6B" w:rsidRPr="006D1B7A" w14:paraId="3DBAB76B" w14:textId="77777777" w:rsidTr="0016630A">
        <w:trPr>
          <w:cnfStyle w:val="100000000000" w:firstRow="1" w:lastRow="0" w:firstColumn="0" w:lastColumn="0" w:oddVBand="0" w:evenVBand="0" w:oddHBand="0" w:evenHBand="0" w:firstRowFirstColumn="0" w:firstRowLastColumn="0" w:lastRowFirstColumn="0" w:lastRowLastColumn="0"/>
          <w:tblHeader/>
        </w:trPr>
        <w:tc>
          <w:tcPr>
            <w:tcW w:w="2774" w:type="pct"/>
          </w:tcPr>
          <w:p w14:paraId="2D86E468" w14:textId="54D19614" w:rsidR="00775D6B" w:rsidRPr="006D1B7A" w:rsidRDefault="00775D6B" w:rsidP="0016630A">
            <w:pPr>
              <w:keepNext/>
              <w:spacing w:before="60" w:after="60"/>
              <w:rPr>
                <w:b w:val="0"/>
                <w:bCs/>
                <w:color w:val="000000"/>
                <w:szCs w:val="20"/>
              </w:rPr>
            </w:pPr>
            <w:r w:rsidRPr="006D1B7A">
              <w:rPr>
                <w:b w:val="0"/>
                <w:bCs/>
              </w:rPr>
              <w:t>Level of compliance for non-risk based issues</w:t>
            </w:r>
            <w:r w:rsidR="0016630A">
              <w:rPr>
                <w:b w:val="0"/>
                <w:bCs/>
              </w:rPr>
              <w:t xml:space="preserve">. </w:t>
            </w:r>
            <w:r w:rsidRPr="006D1B7A">
              <w:rPr>
                <w:b w:val="0"/>
                <w:bCs/>
                <w:color w:val="000000"/>
                <w:szCs w:val="20"/>
              </w:rPr>
              <w:t>How well are the standards for compliance or administrative arrangements complied with?</w:t>
            </w:r>
          </w:p>
        </w:tc>
        <w:tc>
          <w:tcPr>
            <w:tcW w:w="823" w:type="pct"/>
          </w:tcPr>
          <w:p w14:paraId="2AF54532" w14:textId="77777777" w:rsidR="00775D6B" w:rsidRPr="006D1B7A" w:rsidRDefault="00775D6B" w:rsidP="00CA7F36">
            <w:pPr>
              <w:keepNext/>
              <w:spacing w:before="60" w:after="60"/>
              <w:rPr>
                <w:b w:val="0"/>
                <w:bCs/>
                <w:color w:val="000000"/>
                <w:szCs w:val="20"/>
              </w:rPr>
            </w:pPr>
            <w:r w:rsidRPr="006D1B7A">
              <w:rPr>
                <w:b w:val="0"/>
                <w:bCs/>
              </w:rPr>
              <w:t>Benchmark standard</w:t>
            </w:r>
          </w:p>
        </w:tc>
        <w:tc>
          <w:tcPr>
            <w:tcW w:w="1403" w:type="pct"/>
          </w:tcPr>
          <w:p w14:paraId="1E6C59B8" w14:textId="77777777" w:rsidR="00775D6B" w:rsidRPr="006D1B7A" w:rsidRDefault="00775D6B" w:rsidP="00CA7F36">
            <w:pPr>
              <w:keepNext/>
              <w:spacing w:before="60" w:after="60"/>
              <w:rPr>
                <w:b w:val="0"/>
                <w:bCs/>
                <w:color w:val="000000"/>
                <w:szCs w:val="20"/>
              </w:rPr>
            </w:pPr>
            <w:r w:rsidRPr="006D1B7A">
              <w:rPr>
                <w:b w:val="0"/>
                <w:bCs/>
              </w:rPr>
              <w:t>BEL</w:t>
            </w:r>
          </w:p>
        </w:tc>
      </w:tr>
      <w:tr w:rsidR="00775D6B" w:rsidRPr="006D1B7A" w14:paraId="263E4D2D" w14:textId="77777777" w:rsidTr="0016630A">
        <w:trPr>
          <w:trHeight w:val="701"/>
        </w:trPr>
        <w:tc>
          <w:tcPr>
            <w:tcW w:w="2774" w:type="pct"/>
            <w:vMerge w:val="restart"/>
            <w:shd w:val="clear" w:color="auto" w:fill="FF0000"/>
          </w:tcPr>
          <w:p w14:paraId="3F1B59F7" w14:textId="77777777" w:rsidR="00775D6B" w:rsidRPr="006D1B7A" w:rsidRDefault="00775D6B" w:rsidP="00CA7F36">
            <w:pPr>
              <w:keepNext/>
              <w:tabs>
                <w:tab w:val="left" w:pos="720"/>
              </w:tabs>
              <w:spacing w:before="60" w:after="60"/>
            </w:pPr>
            <w:r w:rsidRPr="006D1B7A">
              <w:rPr>
                <w:b/>
              </w:rPr>
              <w:t>Absent</w:t>
            </w:r>
            <w:r w:rsidRPr="006D1B7A">
              <w:t xml:space="preserve"> </w:t>
            </w:r>
          </w:p>
          <w:p w14:paraId="17572742" w14:textId="77777777" w:rsidR="00775D6B" w:rsidRPr="006D1B7A" w:rsidRDefault="00775D6B" w:rsidP="00CA7F36">
            <w:pPr>
              <w:keepNext/>
              <w:spacing w:before="60" w:after="60"/>
            </w:pPr>
            <w:r w:rsidRPr="006D1B7A">
              <w:t xml:space="preserve">Total absence, appreciation or implementation of compliance. </w:t>
            </w:r>
          </w:p>
          <w:p w14:paraId="0589D03E" w14:textId="77777777" w:rsidR="00775D6B" w:rsidRPr="006D1B7A" w:rsidRDefault="00775D6B" w:rsidP="00CA7F36">
            <w:pPr>
              <w:keepNext/>
              <w:spacing w:before="60" w:after="60"/>
              <w:rPr>
                <w:color w:val="000000"/>
                <w:szCs w:val="20"/>
              </w:rPr>
            </w:pPr>
          </w:p>
        </w:tc>
        <w:tc>
          <w:tcPr>
            <w:tcW w:w="823" w:type="pct"/>
            <w:shd w:val="clear" w:color="auto" w:fill="FF0000"/>
          </w:tcPr>
          <w:p w14:paraId="13069605" w14:textId="77777777" w:rsidR="00775D6B" w:rsidRPr="006D1B7A" w:rsidRDefault="00775D6B" w:rsidP="00CA7F36">
            <w:pPr>
              <w:keepNext/>
              <w:spacing w:before="60" w:after="60"/>
              <w:rPr>
                <w:color w:val="000000"/>
                <w:szCs w:val="20"/>
              </w:rPr>
            </w:pPr>
            <w:r w:rsidRPr="006D1B7A">
              <w:t>Defined</w:t>
            </w:r>
          </w:p>
        </w:tc>
        <w:tc>
          <w:tcPr>
            <w:tcW w:w="1403" w:type="pct"/>
          </w:tcPr>
          <w:p w14:paraId="7EB5F9D5" w14:textId="420A10EC" w:rsidR="00775D6B" w:rsidRPr="006D1B7A" w:rsidRDefault="00775D6B" w:rsidP="00CA7F36">
            <w:pPr>
              <w:keepNext/>
              <w:spacing w:before="60" w:after="60"/>
              <w:rPr>
                <w:color w:val="000000"/>
                <w:szCs w:val="20"/>
              </w:rPr>
            </w:pPr>
            <w:r w:rsidRPr="006D1B7A">
              <w:t>Notice/</w:t>
            </w:r>
            <w:r w:rsidR="0016630A">
              <w:t xml:space="preserve"> </w:t>
            </w:r>
            <w:r w:rsidRPr="006D1B7A">
              <w:t>Direction/</w:t>
            </w:r>
            <w:r w:rsidR="0016630A">
              <w:t xml:space="preserve"> </w:t>
            </w:r>
            <w:r w:rsidRPr="006D1B7A">
              <w:t xml:space="preserve">LC powers </w:t>
            </w:r>
          </w:p>
        </w:tc>
      </w:tr>
      <w:tr w:rsidR="00775D6B" w:rsidRPr="006D1B7A" w14:paraId="128336C7" w14:textId="77777777" w:rsidTr="0016630A">
        <w:trPr>
          <w:trHeight w:val="701"/>
        </w:trPr>
        <w:tc>
          <w:tcPr>
            <w:tcW w:w="2774" w:type="pct"/>
            <w:vMerge/>
            <w:shd w:val="clear" w:color="auto" w:fill="FF0000"/>
          </w:tcPr>
          <w:p w14:paraId="3F23874C" w14:textId="77777777" w:rsidR="00775D6B" w:rsidRPr="006D1B7A" w:rsidRDefault="00775D6B" w:rsidP="00CA7F36">
            <w:pPr>
              <w:keepNext/>
              <w:spacing w:before="60" w:after="60"/>
              <w:rPr>
                <w:color w:val="000000"/>
                <w:szCs w:val="20"/>
              </w:rPr>
            </w:pPr>
          </w:p>
        </w:tc>
        <w:tc>
          <w:tcPr>
            <w:tcW w:w="823" w:type="pct"/>
            <w:shd w:val="clear" w:color="auto" w:fill="FFC000"/>
          </w:tcPr>
          <w:p w14:paraId="510A412E" w14:textId="77777777" w:rsidR="00775D6B" w:rsidRPr="006D1B7A" w:rsidRDefault="00775D6B" w:rsidP="00CA7F36">
            <w:pPr>
              <w:keepNext/>
              <w:spacing w:before="60" w:after="60"/>
              <w:rPr>
                <w:color w:val="000000"/>
                <w:szCs w:val="20"/>
              </w:rPr>
            </w:pPr>
            <w:r w:rsidRPr="006D1B7A">
              <w:t>Established</w:t>
            </w:r>
          </w:p>
        </w:tc>
        <w:tc>
          <w:tcPr>
            <w:tcW w:w="1403" w:type="pct"/>
          </w:tcPr>
          <w:p w14:paraId="117361FF" w14:textId="1737FBD0" w:rsidR="00775D6B" w:rsidRPr="006D1B7A" w:rsidRDefault="00775D6B" w:rsidP="00CA7F36">
            <w:pPr>
              <w:keepNext/>
              <w:spacing w:before="60" w:after="60"/>
              <w:rPr>
                <w:color w:val="000000"/>
                <w:szCs w:val="20"/>
              </w:rPr>
            </w:pPr>
            <w:r w:rsidRPr="006D1B7A">
              <w:rPr>
                <w:bCs/>
              </w:rPr>
              <w:t>Notice/</w:t>
            </w:r>
            <w:r w:rsidR="0016630A">
              <w:rPr>
                <w:bCs/>
              </w:rPr>
              <w:t xml:space="preserve"> </w:t>
            </w:r>
            <w:r w:rsidRPr="006D1B7A">
              <w:rPr>
                <w:bCs/>
              </w:rPr>
              <w:t>Direction/</w:t>
            </w:r>
            <w:r w:rsidR="0016630A">
              <w:rPr>
                <w:bCs/>
              </w:rPr>
              <w:t xml:space="preserve"> </w:t>
            </w:r>
            <w:r w:rsidRPr="006D1B7A">
              <w:rPr>
                <w:bCs/>
              </w:rPr>
              <w:t>LC powers</w:t>
            </w:r>
          </w:p>
        </w:tc>
      </w:tr>
      <w:tr w:rsidR="00775D6B" w:rsidRPr="006D1B7A" w14:paraId="1593BC92" w14:textId="77777777" w:rsidTr="0016630A">
        <w:trPr>
          <w:trHeight w:val="509"/>
        </w:trPr>
        <w:tc>
          <w:tcPr>
            <w:tcW w:w="2774" w:type="pct"/>
            <w:vMerge/>
            <w:shd w:val="clear" w:color="auto" w:fill="FF0000"/>
          </w:tcPr>
          <w:p w14:paraId="4ED91A2D" w14:textId="77777777" w:rsidR="00775D6B" w:rsidRPr="006D1B7A" w:rsidRDefault="00775D6B" w:rsidP="00CA7F36">
            <w:pPr>
              <w:keepNext/>
              <w:spacing w:before="60" w:after="60"/>
              <w:rPr>
                <w:color w:val="000000"/>
                <w:szCs w:val="20"/>
              </w:rPr>
            </w:pPr>
          </w:p>
        </w:tc>
        <w:tc>
          <w:tcPr>
            <w:tcW w:w="823" w:type="pct"/>
            <w:shd w:val="clear" w:color="auto" w:fill="92D050"/>
          </w:tcPr>
          <w:p w14:paraId="79CE1ECA" w14:textId="77777777" w:rsidR="00775D6B" w:rsidRPr="006D1B7A" w:rsidRDefault="00775D6B" w:rsidP="00CA7F36">
            <w:pPr>
              <w:keepNext/>
              <w:spacing w:before="60" w:after="60"/>
              <w:rPr>
                <w:color w:val="000000"/>
                <w:szCs w:val="20"/>
              </w:rPr>
            </w:pPr>
            <w:r w:rsidRPr="006D1B7A">
              <w:t>Interpretative</w:t>
            </w:r>
          </w:p>
        </w:tc>
        <w:tc>
          <w:tcPr>
            <w:tcW w:w="1403" w:type="pct"/>
          </w:tcPr>
          <w:p w14:paraId="7380218B" w14:textId="77777777" w:rsidR="00775D6B" w:rsidRPr="006D1B7A" w:rsidRDefault="00775D6B" w:rsidP="00CA7F36">
            <w:pPr>
              <w:keepNext/>
              <w:spacing w:before="60" w:after="60"/>
              <w:rPr>
                <w:color w:val="000000"/>
                <w:szCs w:val="20"/>
              </w:rPr>
            </w:pPr>
            <w:r w:rsidRPr="006D1B7A">
              <w:rPr>
                <w:bCs/>
              </w:rPr>
              <w:t>Enforcement letter</w:t>
            </w:r>
          </w:p>
        </w:tc>
      </w:tr>
      <w:tr w:rsidR="00775D6B" w:rsidRPr="006D1B7A" w14:paraId="25D9AF79" w14:textId="77777777" w:rsidTr="0016630A">
        <w:trPr>
          <w:trHeight w:val="468"/>
        </w:trPr>
        <w:tc>
          <w:tcPr>
            <w:tcW w:w="2774" w:type="pct"/>
            <w:vMerge w:val="restart"/>
            <w:shd w:val="clear" w:color="auto" w:fill="FFC000"/>
          </w:tcPr>
          <w:p w14:paraId="5FB5F63E" w14:textId="77777777" w:rsidR="00775D6B" w:rsidRPr="006D1B7A" w:rsidRDefault="00775D6B" w:rsidP="00CA7F36">
            <w:pPr>
              <w:keepNext/>
              <w:tabs>
                <w:tab w:val="left" w:pos="720"/>
              </w:tabs>
              <w:spacing w:before="60" w:after="60"/>
            </w:pPr>
            <w:r w:rsidRPr="006D1B7A">
              <w:rPr>
                <w:b/>
              </w:rPr>
              <w:t>Inadequate</w:t>
            </w:r>
            <w:r w:rsidRPr="006D1B7A">
              <w:t xml:space="preserve"> </w:t>
            </w:r>
          </w:p>
          <w:p w14:paraId="62B4941E" w14:textId="77777777" w:rsidR="00775D6B" w:rsidRPr="006D1B7A" w:rsidRDefault="00775D6B" w:rsidP="00CA7F36">
            <w:pPr>
              <w:keepNext/>
              <w:spacing w:before="60" w:after="60"/>
              <w:rPr>
                <w:color w:val="000000"/>
                <w:szCs w:val="20"/>
              </w:rPr>
            </w:pPr>
            <w:r w:rsidRPr="006D1B7A">
              <w:t xml:space="preserve">Only rudimentary observance with standards or inadequate compliance, where such failures are of a substantial or material nature. </w:t>
            </w:r>
          </w:p>
        </w:tc>
        <w:tc>
          <w:tcPr>
            <w:tcW w:w="823" w:type="pct"/>
            <w:shd w:val="clear" w:color="auto" w:fill="FF0000"/>
          </w:tcPr>
          <w:p w14:paraId="44A33CCF" w14:textId="77777777" w:rsidR="00775D6B" w:rsidRPr="006D1B7A" w:rsidRDefault="00775D6B" w:rsidP="00CA7F36">
            <w:pPr>
              <w:keepNext/>
              <w:spacing w:before="60" w:after="60"/>
              <w:rPr>
                <w:color w:val="000000"/>
                <w:szCs w:val="20"/>
              </w:rPr>
            </w:pPr>
            <w:r w:rsidRPr="006D1B7A">
              <w:t>Defined</w:t>
            </w:r>
          </w:p>
        </w:tc>
        <w:tc>
          <w:tcPr>
            <w:tcW w:w="1403" w:type="pct"/>
          </w:tcPr>
          <w:p w14:paraId="456098FB" w14:textId="77777777" w:rsidR="00775D6B" w:rsidRPr="006D1B7A" w:rsidRDefault="00775D6B" w:rsidP="00CA7F36">
            <w:pPr>
              <w:keepNext/>
              <w:spacing w:before="60" w:after="60"/>
              <w:rPr>
                <w:color w:val="000000"/>
                <w:szCs w:val="20"/>
              </w:rPr>
            </w:pPr>
            <w:r w:rsidRPr="006D1B7A">
              <w:rPr>
                <w:bCs/>
              </w:rPr>
              <w:t>Enforcement letter</w:t>
            </w:r>
          </w:p>
        </w:tc>
      </w:tr>
      <w:tr w:rsidR="00775D6B" w:rsidRPr="006D1B7A" w14:paraId="37FCA8D0" w14:textId="77777777" w:rsidTr="0016630A">
        <w:trPr>
          <w:trHeight w:val="590"/>
        </w:trPr>
        <w:tc>
          <w:tcPr>
            <w:tcW w:w="2774" w:type="pct"/>
            <w:vMerge/>
            <w:shd w:val="clear" w:color="auto" w:fill="FFC000"/>
          </w:tcPr>
          <w:p w14:paraId="2B2D8A14" w14:textId="77777777" w:rsidR="00775D6B" w:rsidRPr="006D1B7A" w:rsidRDefault="00775D6B" w:rsidP="00CA7F36">
            <w:pPr>
              <w:keepNext/>
              <w:spacing w:before="60" w:after="60"/>
              <w:rPr>
                <w:color w:val="000000"/>
                <w:szCs w:val="20"/>
              </w:rPr>
            </w:pPr>
          </w:p>
        </w:tc>
        <w:tc>
          <w:tcPr>
            <w:tcW w:w="823" w:type="pct"/>
            <w:shd w:val="clear" w:color="auto" w:fill="FFC000"/>
          </w:tcPr>
          <w:p w14:paraId="0D16E1EF" w14:textId="77777777" w:rsidR="00775D6B" w:rsidRPr="006D1B7A" w:rsidRDefault="00775D6B" w:rsidP="00CA7F36">
            <w:pPr>
              <w:keepNext/>
              <w:spacing w:before="60" w:after="60"/>
              <w:rPr>
                <w:color w:val="000000"/>
                <w:szCs w:val="20"/>
              </w:rPr>
            </w:pPr>
            <w:r w:rsidRPr="006D1B7A">
              <w:t>Established</w:t>
            </w:r>
          </w:p>
        </w:tc>
        <w:tc>
          <w:tcPr>
            <w:tcW w:w="1403" w:type="pct"/>
          </w:tcPr>
          <w:p w14:paraId="41E637EF" w14:textId="77777777" w:rsidR="00775D6B" w:rsidRPr="006D1B7A" w:rsidRDefault="00775D6B" w:rsidP="00CA7F36">
            <w:pPr>
              <w:keepNext/>
              <w:spacing w:before="60" w:after="60"/>
              <w:rPr>
                <w:color w:val="000000"/>
                <w:szCs w:val="20"/>
              </w:rPr>
            </w:pPr>
            <w:r w:rsidRPr="006D1B7A">
              <w:rPr>
                <w:bCs/>
              </w:rPr>
              <w:t xml:space="preserve">Enforcement letter </w:t>
            </w:r>
          </w:p>
        </w:tc>
      </w:tr>
      <w:tr w:rsidR="00775D6B" w:rsidRPr="006D1B7A" w14:paraId="0CE529DC" w14:textId="77777777" w:rsidTr="0016630A">
        <w:trPr>
          <w:trHeight w:val="586"/>
        </w:trPr>
        <w:tc>
          <w:tcPr>
            <w:tcW w:w="2774" w:type="pct"/>
            <w:vMerge/>
            <w:shd w:val="clear" w:color="auto" w:fill="FFC000"/>
          </w:tcPr>
          <w:p w14:paraId="72E4F6FF" w14:textId="77777777" w:rsidR="00775D6B" w:rsidRPr="006D1B7A" w:rsidRDefault="00775D6B" w:rsidP="00CA7F36">
            <w:pPr>
              <w:keepNext/>
              <w:spacing w:before="60" w:after="60"/>
              <w:rPr>
                <w:color w:val="000000"/>
                <w:szCs w:val="20"/>
              </w:rPr>
            </w:pPr>
          </w:p>
        </w:tc>
        <w:tc>
          <w:tcPr>
            <w:tcW w:w="823" w:type="pct"/>
            <w:shd w:val="clear" w:color="auto" w:fill="92D050"/>
          </w:tcPr>
          <w:p w14:paraId="54E480C2" w14:textId="77777777" w:rsidR="00775D6B" w:rsidRPr="006D1B7A" w:rsidRDefault="00775D6B" w:rsidP="00CA7F36">
            <w:pPr>
              <w:keepNext/>
              <w:spacing w:before="60" w:after="60"/>
              <w:rPr>
                <w:color w:val="000000"/>
                <w:szCs w:val="20"/>
              </w:rPr>
            </w:pPr>
            <w:r w:rsidRPr="006D1B7A">
              <w:t>Interpretative</w:t>
            </w:r>
          </w:p>
        </w:tc>
        <w:tc>
          <w:tcPr>
            <w:tcW w:w="1403" w:type="pct"/>
          </w:tcPr>
          <w:p w14:paraId="5D2C7083" w14:textId="77777777" w:rsidR="00775D6B" w:rsidRPr="006D1B7A" w:rsidRDefault="00775D6B" w:rsidP="00CA7F36">
            <w:pPr>
              <w:keepNext/>
              <w:spacing w:before="60" w:after="60"/>
              <w:rPr>
                <w:color w:val="000000"/>
                <w:szCs w:val="20"/>
              </w:rPr>
            </w:pPr>
            <w:r w:rsidRPr="006D1B7A">
              <w:rPr>
                <w:bCs/>
              </w:rPr>
              <w:t>Regulatory advice</w:t>
            </w:r>
          </w:p>
        </w:tc>
      </w:tr>
      <w:tr w:rsidR="00775D6B" w:rsidRPr="006D1B7A" w14:paraId="1BCA74CF" w14:textId="77777777" w:rsidTr="0016630A">
        <w:trPr>
          <w:trHeight w:val="581"/>
        </w:trPr>
        <w:tc>
          <w:tcPr>
            <w:tcW w:w="2774" w:type="pct"/>
            <w:vMerge w:val="restart"/>
            <w:shd w:val="clear" w:color="auto" w:fill="92D050"/>
          </w:tcPr>
          <w:p w14:paraId="4E838F59" w14:textId="77777777" w:rsidR="00775D6B" w:rsidRPr="006D1B7A" w:rsidRDefault="00775D6B" w:rsidP="00CA7F36">
            <w:pPr>
              <w:keepNext/>
              <w:spacing w:before="60" w:after="60"/>
              <w:rPr>
                <w:b/>
                <w:color w:val="000000"/>
                <w:szCs w:val="20"/>
              </w:rPr>
            </w:pPr>
            <w:r w:rsidRPr="006D1B7A">
              <w:rPr>
                <w:b/>
                <w:color w:val="000000"/>
                <w:szCs w:val="20"/>
              </w:rPr>
              <w:t>Minor</w:t>
            </w:r>
          </w:p>
          <w:p w14:paraId="281F2C8A" w14:textId="77777777" w:rsidR="00775D6B" w:rsidRPr="006D1B7A" w:rsidRDefault="00775D6B" w:rsidP="00CA7F36">
            <w:pPr>
              <w:keepNext/>
              <w:spacing w:before="60" w:after="60"/>
              <w:rPr>
                <w:color w:val="000000"/>
                <w:szCs w:val="20"/>
              </w:rPr>
            </w:pPr>
            <w:r w:rsidRPr="006D1B7A">
              <w:rPr>
                <w:color w:val="000000"/>
                <w:szCs w:val="20"/>
              </w:rPr>
              <w:t xml:space="preserve">Deficiencies or inadequacies are minor, have little material impact and can be remedied easily. </w:t>
            </w:r>
          </w:p>
        </w:tc>
        <w:tc>
          <w:tcPr>
            <w:tcW w:w="823" w:type="pct"/>
            <w:shd w:val="clear" w:color="auto" w:fill="FF0000"/>
          </w:tcPr>
          <w:p w14:paraId="4EFC707D" w14:textId="77777777" w:rsidR="00775D6B" w:rsidRPr="006D1B7A" w:rsidRDefault="00775D6B" w:rsidP="00CA7F36">
            <w:pPr>
              <w:keepNext/>
              <w:spacing w:before="60" w:after="60"/>
              <w:rPr>
                <w:color w:val="000000"/>
                <w:szCs w:val="20"/>
              </w:rPr>
            </w:pPr>
            <w:r w:rsidRPr="006D1B7A">
              <w:t>Defined</w:t>
            </w:r>
          </w:p>
        </w:tc>
        <w:tc>
          <w:tcPr>
            <w:tcW w:w="1403" w:type="pct"/>
          </w:tcPr>
          <w:p w14:paraId="45745AC1" w14:textId="77777777" w:rsidR="00775D6B" w:rsidRPr="006D1B7A" w:rsidRDefault="00775D6B" w:rsidP="00CA7F36">
            <w:pPr>
              <w:keepNext/>
              <w:spacing w:before="60" w:after="60"/>
              <w:rPr>
                <w:color w:val="000000"/>
                <w:szCs w:val="20"/>
              </w:rPr>
            </w:pPr>
            <w:r w:rsidRPr="006D1B7A">
              <w:rPr>
                <w:bCs/>
              </w:rPr>
              <w:t>Regulatory advice</w:t>
            </w:r>
          </w:p>
        </w:tc>
      </w:tr>
      <w:tr w:rsidR="00775D6B" w:rsidRPr="006D1B7A" w14:paraId="09001368" w14:textId="77777777" w:rsidTr="0016630A">
        <w:trPr>
          <w:trHeight w:val="449"/>
        </w:trPr>
        <w:tc>
          <w:tcPr>
            <w:tcW w:w="2774" w:type="pct"/>
            <w:vMerge/>
            <w:shd w:val="clear" w:color="auto" w:fill="92D050"/>
          </w:tcPr>
          <w:p w14:paraId="40EFE2BF" w14:textId="77777777" w:rsidR="00775D6B" w:rsidRPr="006D1B7A" w:rsidRDefault="00775D6B" w:rsidP="00CA7F36">
            <w:pPr>
              <w:keepNext/>
              <w:spacing w:before="60" w:after="60"/>
              <w:rPr>
                <w:color w:val="000000"/>
                <w:szCs w:val="20"/>
              </w:rPr>
            </w:pPr>
          </w:p>
        </w:tc>
        <w:tc>
          <w:tcPr>
            <w:tcW w:w="823" w:type="pct"/>
            <w:shd w:val="clear" w:color="auto" w:fill="FFC000"/>
          </w:tcPr>
          <w:p w14:paraId="4DDA800B" w14:textId="77777777" w:rsidR="00775D6B" w:rsidRPr="006D1B7A" w:rsidRDefault="00775D6B" w:rsidP="00CA7F36">
            <w:pPr>
              <w:keepNext/>
              <w:spacing w:before="60" w:after="60"/>
              <w:rPr>
                <w:color w:val="000000"/>
                <w:szCs w:val="20"/>
              </w:rPr>
            </w:pPr>
            <w:r w:rsidRPr="006D1B7A">
              <w:t>Established</w:t>
            </w:r>
          </w:p>
        </w:tc>
        <w:tc>
          <w:tcPr>
            <w:tcW w:w="1403" w:type="pct"/>
          </w:tcPr>
          <w:p w14:paraId="526F0AD9" w14:textId="77777777" w:rsidR="00775D6B" w:rsidRPr="006D1B7A" w:rsidRDefault="00775D6B" w:rsidP="00CA7F36">
            <w:pPr>
              <w:keepNext/>
              <w:spacing w:before="60" w:after="60"/>
              <w:rPr>
                <w:color w:val="000000"/>
                <w:szCs w:val="20"/>
              </w:rPr>
            </w:pPr>
            <w:r w:rsidRPr="006D1B7A">
              <w:rPr>
                <w:bCs/>
              </w:rPr>
              <w:t>Regulatory advice</w:t>
            </w:r>
          </w:p>
        </w:tc>
      </w:tr>
      <w:tr w:rsidR="00775D6B" w:rsidRPr="006D1B7A" w14:paraId="07A5FA98" w14:textId="77777777" w:rsidTr="0016630A">
        <w:trPr>
          <w:trHeight w:val="443"/>
        </w:trPr>
        <w:tc>
          <w:tcPr>
            <w:tcW w:w="2774" w:type="pct"/>
            <w:vMerge/>
            <w:shd w:val="clear" w:color="auto" w:fill="92D050"/>
          </w:tcPr>
          <w:p w14:paraId="62F537D3" w14:textId="77777777" w:rsidR="00775D6B" w:rsidRPr="006D1B7A" w:rsidRDefault="00775D6B" w:rsidP="00CA7F36">
            <w:pPr>
              <w:keepNext/>
              <w:spacing w:before="60" w:after="60"/>
              <w:rPr>
                <w:color w:val="000000"/>
                <w:szCs w:val="20"/>
              </w:rPr>
            </w:pPr>
          </w:p>
        </w:tc>
        <w:tc>
          <w:tcPr>
            <w:tcW w:w="823" w:type="pct"/>
            <w:shd w:val="clear" w:color="auto" w:fill="92D050"/>
          </w:tcPr>
          <w:p w14:paraId="746B7895" w14:textId="77777777" w:rsidR="00775D6B" w:rsidRPr="006D1B7A" w:rsidRDefault="00775D6B" w:rsidP="00CA7F36">
            <w:pPr>
              <w:keepNext/>
              <w:spacing w:before="60" w:after="60"/>
              <w:rPr>
                <w:color w:val="000000"/>
                <w:szCs w:val="20"/>
              </w:rPr>
            </w:pPr>
            <w:r w:rsidRPr="006D1B7A">
              <w:t>Interpretative</w:t>
            </w:r>
          </w:p>
        </w:tc>
        <w:tc>
          <w:tcPr>
            <w:tcW w:w="1403" w:type="pct"/>
          </w:tcPr>
          <w:p w14:paraId="59FDF1A6" w14:textId="77777777" w:rsidR="00775D6B" w:rsidRPr="006D1B7A" w:rsidRDefault="00775D6B" w:rsidP="00CA7F36">
            <w:pPr>
              <w:keepNext/>
              <w:spacing w:before="60" w:after="60"/>
              <w:rPr>
                <w:color w:val="000000"/>
                <w:szCs w:val="20"/>
              </w:rPr>
            </w:pPr>
            <w:r w:rsidRPr="006D1B7A">
              <w:rPr>
                <w:color w:val="000000"/>
                <w:szCs w:val="20"/>
              </w:rPr>
              <w:t>No action required</w:t>
            </w:r>
          </w:p>
          <w:p w14:paraId="7E2C6184" w14:textId="77777777" w:rsidR="00775D6B" w:rsidRPr="006D1B7A" w:rsidRDefault="00775D6B" w:rsidP="00CA7F36">
            <w:pPr>
              <w:keepNext/>
              <w:spacing w:before="60" w:after="60"/>
              <w:rPr>
                <w:color w:val="000000"/>
                <w:szCs w:val="20"/>
              </w:rPr>
            </w:pPr>
          </w:p>
        </w:tc>
      </w:tr>
    </w:tbl>
    <w:p w14:paraId="73C397E5" w14:textId="77777777" w:rsidR="00B420F0" w:rsidRDefault="00B420F0" w:rsidP="000177E0">
      <w:pPr>
        <w:pStyle w:val="Paragraph"/>
        <w:numPr>
          <w:ilvl w:val="0"/>
          <w:numId w:val="0"/>
        </w:numPr>
        <w:ind w:left="360"/>
      </w:pPr>
    </w:p>
    <w:p w14:paraId="4AD29A1B" w14:textId="40A54474" w:rsidR="00876AB9" w:rsidRPr="006D1B7A" w:rsidRDefault="00876AB9" w:rsidP="000177E0">
      <w:pPr>
        <w:pStyle w:val="Paragraph"/>
        <w:numPr>
          <w:ilvl w:val="0"/>
          <w:numId w:val="0"/>
        </w:numPr>
        <w:ind w:left="360"/>
        <w:sectPr w:rsidR="00876AB9" w:rsidRPr="006D1B7A" w:rsidSect="001A677D">
          <w:pgSz w:w="11906" w:h="16838" w:code="9"/>
          <w:pgMar w:top="1440" w:right="1440" w:bottom="1440" w:left="1440" w:header="431" w:footer="567" w:gutter="0"/>
          <w:cols w:space="708"/>
          <w:titlePg/>
          <w:docGrid w:linePitch="360"/>
        </w:sectPr>
      </w:pPr>
    </w:p>
    <w:p w14:paraId="31E9D30C" w14:textId="78809340" w:rsidR="00B17799" w:rsidRPr="006D1B7A" w:rsidRDefault="00CA2C2B" w:rsidP="000A4BBB">
      <w:pPr>
        <w:pStyle w:val="Heading2"/>
      </w:pPr>
      <w:bookmarkStart w:id="21" w:name="_Toc46136919"/>
      <w:bookmarkStart w:id="22" w:name="_Toc213836314"/>
      <w:r w:rsidRPr="006D1B7A">
        <w:lastRenderedPageBreak/>
        <w:t>Determine the b</w:t>
      </w:r>
      <w:r w:rsidR="00B17799" w:rsidRPr="006D1B7A">
        <w:t>aseline enforcement level (BEL)</w:t>
      </w:r>
      <w:bookmarkEnd w:id="21"/>
      <w:bookmarkEnd w:id="22"/>
    </w:p>
    <w:p w14:paraId="72523A63" w14:textId="3D116C91" w:rsidR="00B17799" w:rsidRPr="006D1B7A" w:rsidRDefault="00B17799" w:rsidP="000177E0">
      <w:pPr>
        <w:pStyle w:val="Paragraph"/>
      </w:pPr>
      <w:r w:rsidRPr="006D1B7A">
        <w:t xml:space="preserve">This is the baseline level of enforcement that is judged appropriate to </w:t>
      </w:r>
      <w:r w:rsidR="006103DE" w:rsidRPr="006D1B7A">
        <w:t>secure</w:t>
      </w:r>
      <w:r w:rsidRPr="006D1B7A">
        <w:t xml:space="preserve"> compliance; it reflects, and is proportionate to, the risk to health, safety, security or safeguards or the seriousness of any breach of the law.</w:t>
      </w:r>
      <w:bookmarkStart w:id="23" w:name="para27"/>
      <w:bookmarkEnd w:id="23"/>
    </w:p>
    <w:p w14:paraId="1C4A8AD6" w14:textId="72ED1616" w:rsidR="000A4BBB" w:rsidRPr="006D1B7A" w:rsidRDefault="00B17799" w:rsidP="000177E0">
      <w:pPr>
        <w:pStyle w:val="Paragraph"/>
      </w:pPr>
      <w:r w:rsidRPr="006D1B7A">
        <w:t>To determine the BEL</w:t>
      </w:r>
      <w:r w:rsidR="00FD1CAD" w:rsidRPr="006D1B7A">
        <w:t>,</w:t>
      </w:r>
      <w:r w:rsidRPr="006D1B7A">
        <w:t xml:space="preserve"> the </w:t>
      </w:r>
      <w:r w:rsidR="000F3D05" w:rsidRPr="006D1B7A">
        <w:t>r</w:t>
      </w:r>
      <w:r w:rsidRPr="006D1B7A">
        <w:t xml:space="preserve">isk </w:t>
      </w:r>
      <w:r w:rsidR="000F3D05" w:rsidRPr="006D1B7A">
        <w:t>l</w:t>
      </w:r>
      <w:r w:rsidRPr="006D1B7A">
        <w:t xml:space="preserve">evel and </w:t>
      </w:r>
      <w:r w:rsidR="000F3D05" w:rsidRPr="006D1B7A">
        <w:t>b</w:t>
      </w:r>
      <w:r w:rsidRPr="006D1B7A">
        <w:t xml:space="preserve">enchmark </w:t>
      </w:r>
      <w:r w:rsidR="000F3D05" w:rsidRPr="006D1B7A">
        <w:t>s</w:t>
      </w:r>
      <w:r w:rsidRPr="006D1B7A">
        <w:t xml:space="preserve">tandard are compared in </w:t>
      </w:r>
      <w:r w:rsidR="0016630A">
        <w:fldChar w:fldCharType="begin"/>
      </w:r>
      <w:r w:rsidR="0016630A">
        <w:instrText xml:space="preserve"> REF _Ref213835999 \h </w:instrText>
      </w:r>
      <w:r w:rsidR="0016630A">
        <w:fldChar w:fldCharType="separate"/>
      </w:r>
      <w:r w:rsidR="0016630A">
        <w:t xml:space="preserve">Table </w:t>
      </w:r>
      <w:r w:rsidR="0016630A">
        <w:rPr>
          <w:noProof/>
        </w:rPr>
        <w:t>3</w:t>
      </w:r>
      <w:r w:rsidR="0016630A">
        <w:fldChar w:fldCharType="end"/>
      </w:r>
      <w:r w:rsidRPr="006D1B7A">
        <w:t>.</w:t>
      </w:r>
    </w:p>
    <w:p w14:paraId="7143B6BD" w14:textId="63047B6F" w:rsidR="0016630A" w:rsidRDefault="0016630A" w:rsidP="0016630A">
      <w:pPr>
        <w:pStyle w:val="Caption"/>
        <w:jc w:val="left"/>
      </w:pPr>
      <w:bookmarkStart w:id="24" w:name="_Ref213835999"/>
      <w:r>
        <w:t xml:space="preserve">Table </w:t>
      </w:r>
      <w:r>
        <w:fldChar w:fldCharType="begin"/>
      </w:r>
      <w:r>
        <w:instrText xml:space="preserve"> SEQ Table \* ARABIC </w:instrText>
      </w:r>
      <w:r>
        <w:fldChar w:fldCharType="separate"/>
      </w:r>
      <w:r>
        <w:rPr>
          <w:noProof/>
        </w:rPr>
        <w:t>3</w:t>
      </w:r>
      <w:r>
        <w:fldChar w:fldCharType="end"/>
      </w:r>
      <w:bookmarkEnd w:id="24"/>
      <w:r>
        <w:t xml:space="preserve"> - </w:t>
      </w:r>
      <w:r w:rsidRPr="002563DD">
        <w:t>Baseline enforcement level (BEL)</w:t>
      </w:r>
    </w:p>
    <w:tbl>
      <w:tblPr>
        <w:tblStyle w:val="ONRTable1"/>
        <w:tblW w:w="4537" w:type="pct"/>
        <w:tblInd w:w="851" w:type="dxa"/>
        <w:tblLook w:val="04A0" w:firstRow="1" w:lastRow="0" w:firstColumn="1" w:lastColumn="0" w:noHBand="0" w:noVBand="1"/>
      </w:tblPr>
      <w:tblGrid>
        <w:gridCol w:w="1315"/>
        <w:gridCol w:w="2513"/>
        <w:gridCol w:w="2691"/>
        <w:gridCol w:w="1671"/>
      </w:tblGrid>
      <w:tr w:rsidR="00414C95" w:rsidRPr="006D1B7A" w14:paraId="798CAB1B" w14:textId="77777777" w:rsidTr="0016630A">
        <w:trPr>
          <w:cnfStyle w:val="100000000000" w:firstRow="1" w:lastRow="0" w:firstColumn="0" w:lastColumn="0" w:oddVBand="0" w:evenVBand="0" w:oddHBand="0" w:evenHBand="0" w:firstRowFirstColumn="0" w:firstRowLastColumn="0" w:lastRowFirstColumn="0" w:lastRowLastColumn="0"/>
          <w:cantSplit/>
          <w:tblHeader/>
        </w:trPr>
        <w:tc>
          <w:tcPr>
            <w:tcW w:w="803" w:type="pct"/>
          </w:tcPr>
          <w:p w14:paraId="535B5FA5" w14:textId="77777777" w:rsidR="00414C95" w:rsidRPr="006D1B7A" w:rsidRDefault="00414C95" w:rsidP="006210C9">
            <w:pPr>
              <w:pStyle w:val="BodyText"/>
              <w:spacing w:before="60" w:after="60" w:line="252" w:lineRule="auto"/>
              <w:rPr>
                <w:b w:val="0"/>
                <w:bCs/>
                <w:lang w:val="en-GB"/>
              </w:rPr>
            </w:pPr>
            <w:r w:rsidRPr="006D1B7A">
              <w:rPr>
                <w:b w:val="0"/>
                <w:bCs/>
                <w:szCs w:val="22"/>
                <w:lang w:val="en-GB"/>
              </w:rPr>
              <w:t>Risk level</w:t>
            </w:r>
          </w:p>
        </w:tc>
        <w:tc>
          <w:tcPr>
            <w:tcW w:w="1534" w:type="pct"/>
          </w:tcPr>
          <w:p w14:paraId="737121B8" w14:textId="77777777" w:rsidR="00414C95" w:rsidRPr="006D1B7A" w:rsidRDefault="00414C95" w:rsidP="006210C9">
            <w:pPr>
              <w:pStyle w:val="BodyText"/>
              <w:spacing w:before="60" w:after="60" w:line="252" w:lineRule="auto"/>
              <w:rPr>
                <w:b w:val="0"/>
                <w:bCs/>
                <w:lang w:val="en-GB"/>
              </w:rPr>
            </w:pPr>
            <w:r w:rsidRPr="006D1B7A">
              <w:rPr>
                <w:b w:val="0"/>
                <w:bCs/>
                <w:szCs w:val="22"/>
                <w:lang w:val="en-GB"/>
              </w:rPr>
              <w:t>Benchmark standard</w:t>
            </w:r>
          </w:p>
        </w:tc>
        <w:tc>
          <w:tcPr>
            <w:tcW w:w="1643" w:type="pct"/>
          </w:tcPr>
          <w:p w14:paraId="56277572" w14:textId="77777777" w:rsidR="00414C95" w:rsidRPr="006D1B7A" w:rsidRDefault="00414C95" w:rsidP="006210C9">
            <w:pPr>
              <w:pStyle w:val="BodyText"/>
              <w:spacing w:before="60" w:after="60" w:line="252" w:lineRule="auto"/>
              <w:rPr>
                <w:b w:val="0"/>
                <w:bCs/>
                <w:lang w:val="en-GB"/>
              </w:rPr>
            </w:pPr>
            <w:r w:rsidRPr="006D1B7A">
              <w:rPr>
                <w:b w:val="0"/>
                <w:bCs/>
                <w:lang w:val="en-GB"/>
              </w:rPr>
              <w:t>BEL to secure compliance with the law</w:t>
            </w:r>
          </w:p>
        </w:tc>
        <w:tc>
          <w:tcPr>
            <w:tcW w:w="1020" w:type="pct"/>
          </w:tcPr>
          <w:p w14:paraId="42D17BF1" w14:textId="77777777" w:rsidR="00414C95" w:rsidRPr="006D1B7A" w:rsidRDefault="00414C95" w:rsidP="006210C9">
            <w:pPr>
              <w:pStyle w:val="BodyText"/>
              <w:spacing w:before="60" w:after="60" w:line="252" w:lineRule="auto"/>
              <w:rPr>
                <w:b w:val="0"/>
                <w:bCs/>
                <w:lang w:val="en-GB"/>
              </w:rPr>
            </w:pPr>
            <w:r w:rsidRPr="006D1B7A">
              <w:rPr>
                <w:b w:val="0"/>
                <w:bCs/>
                <w:lang w:val="en-GB"/>
              </w:rPr>
              <w:t>Consider prosecution?</w:t>
            </w:r>
            <w:r w:rsidRPr="006D1B7A">
              <w:rPr>
                <w:rStyle w:val="FootnoteReference"/>
                <w:b w:val="0"/>
                <w:bCs/>
                <w:lang w:val="en-GB"/>
              </w:rPr>
              <w:footnoteReference w:id="8"/>
            </w:r>
          </w:p>
        </w:tc>
      </w:tr>
      <w:tr w:rsidR="00414C95" w:rsidRPr="006D1B7A" w14:paraId="7F3236E3" w14:textId="77777777" w:rsidTr="0016630A">
        <w:trPr>
          <w:cantSplit/>
        </w:trPr>
        <w:tc>
          <w:tcPr>
            <w:tcW w:w="803" w:type="pct"/>
            <w:vMerge w:val="restart"/>
            <w:shd w:val="clear" w:color="auto" w:fill="FF0000"/>
          </w:tcPr>
          <w:p w14:paraId="248D33DB" w14:textId="77777777" w:rsidR="00414C95" w:rsidRPr="006D1B7A" w:rsidRDefault="00414C95" w:rsidP="006210C9">
            <w:pPr>
              <w:pStyle w:val="BodyText"/>
              <w:spacing w:before="60" w:after="60" w:line="252" w:lineRule="auto"/>
              <w:rPr>
                <w:b/>
                <w:szCs w:val="22"/>
                <w:lang w:val="en-GB"/>
              </w:rPr>
            </w:pPr>
            <w:r w:rsidRPr="006D1B7A">
              <w:rPr>
                <w:lang w:val="en-GB"/>
              </w:rPr>
              <w:t>Extreme</w:t>
            </w:r>
          </w:p>
        </w:tc>
        <w:tc>
          <w:tcPr>
            <w:tcW w:w="1534" w:type="pct"/>
            <w:shd w:val="clear" w:color="auto" w:fill="FF0000"/>
          </w:tcPr>
          <w:p w14:paraId="580B1493" w14:textId="77777777" w:rsidR="00414C95" w:rsidRPr="006D1B7A" w:rsidRDefault="00414C95" w:rsidP="006210C9">
            <w:pPr>
              <w:pStyle w:val="BodyText"/>
              <w:spacing w:before="60" w:after="60" w:line="252" w:lineRule="auto"/>
              <w:rPr>
                <w:b/>
                <w:lang w:val="en-GB"/>
              </w:rPr>
            </w:pPr>
            <w:r w:rsidRPr="006D1B7A">
              <w:rPr>
                <w:bCs/>
                <w:lang w:val="en-GB"/>
              </w:rPr>
              <w:t>Defined</w:t>
            </w:r>
          </w:p>
        </w:tc>
        <w:tc>
          <w:tcPr>
            <w:tcW w:w="1643" w:type="pct"/>
          </w:tcPr>
          <w:p w14:paraId="3C213833" w14:textId="04737225" w:rsidR="00414C95" w:rsidRPr="006D1B7A" w:rsidRDefault="00414C95" w:rsidP="006210C9">
            <w:pPr>
              <w:pStyle w:val="BodyText"/>
              <w:spacing w:before="60" w:after="60" w:line="252" w:lineRule="auto"/>
              <w:rPr>
                <w:b/>
                <w:lang w:val="en-GB"/>
              </w:rPr>
            </w:pPr>
            <w:r w:rsidRPr="006D1B7A">
              <w:rPr>
                <w:lang w:val="en-GB"/>
              </w:rPr>
              <w:t>Notice/</w:t>
            </w:r>
            <w:r w:rsidR="0016630A">
              <w:rPr>
                <w:lang w:val="en-GB"/>
              </w:rPr>
              <w:t xml:space="preserve"> </w:t>
            </w:r>
            <w:r w:rsidRPr="006D1B7A">
              <w:rPr>
                <w:lang w:val="en-GB"/>
              </w:rPr>
              <w:t>Direction/</w:t>
            </w:r>
            <w:r w:rsidR="0016630A">
              <w:rPr>
                <w:lang w:val="en-GB"/>
              </w:rPr>
              <w:t xml:space="preserve"> </w:t>
            </w:r>
            <w:r w:rsidRPr="006D1B7A">
              <w:rPr>
                <w:lang w:val="en-GB"/>
              </w:rPr>
              <w:t>LC powers</w:t>
            </w:r>
          </w:p>
        </w:tc>
        <w:tc>
          <w:tcPr>
            <w:tcW w:w="1020" w:type="pct"/>
          </w:tcPr>
          <w:p w14:paraId="6175CC79" w14:textId="77777777" w:rsidR="00414C95" w:rsidRPr="006D1B7A" w:rsidRDefault="00414C95" w:rsidP="006210C9">
            <w:pPr>
              <w:pStyle w:val="BodyText"/>
              <w:spacing w:before="60" w:after="60" w:line="252" w:lineRule="auto"/>
              <w:rPr>
                <w:lang w:val="en-GB"/>
              </w:rPr>
            </w:pPr>
            <w:r w:rsidRPr="006D1B7A">
              <w:rPr>
                <w:lang w:val="en-GB"/>
              </w:rPr>
              <w:t xml:space="preserve">Yes (refer to </w:t>
            </w:r>
            <w:hyperlink w:anchor="_Appendix_A_-" w:history="1">
              <w:r w:rsidRPr="006D1B7A">
                <w:rPr>
                  <w:rStyle w:val="Hyperlink"/>
                  <w:rFonts w:cs="Arial"/>
                  <w:lang w:val="en-GB"/>
                </w:rPr>
                <w:t>Appendix A</w:t>
              </w:r>
            </w:hyperlink>
            <w:r w:rsidRPr="006D1B7A">
              <w:rPr>
                <w:lang w:val="en-GB"/>
              </w:rPr>
              <w:t>)</w:t>
            </w:r>
          </w:p>
        </w:tc>
      </w:tr>
      <w:tr w:rsidR="00414C95" w:rsidRPr="006D1B7A" w14:paraId="41F09351" w14:textId="77777777" w:rsidTr="0016630A">
        <w:trPr>
          <w:cantSplit/>
        </w:trPr>
        <w:tc>
          <w:tcPr>
            <w:tcW w:w="803" w:type="pct"/>
            <w:vMerge/>
            <w:shd w:val="clear" w:color="auto" w:fill="FF0000"/>
          </w:tcPr>
          <w:p w14:paraId="4470A91C" w14:textId="77777777" w:rsidR="00414C95" w:rsidRPr="006D1B7A" w:rsidRDefault="00414C95" w:rsidP="006210C9">
            <w:pPr>
              <w:pStyle w:val="BodyText"/>
              <w:spacing w:before="60" w:after="60" w:line="252" w:lineRule="auto"/>
              <w:rPr>
                <w:b/>
                <w:szCs w:val="22"/>
                <w:lang w:val="en-GB"/>
              </w:rPr>
            </w:pPr>
          </w:p>
        </w:tc>
        <w:tc>
          <w:tcPr>
            <w:tcW w:w="1534" w:type="pct"/>
            <w:shd w:val="clear" w:color="auto" w:fill="FFC000"/>
          </w:tcPr>
          <w:p w14:paraId="311480BF" w14:textId="77777777" w:rsidR="00414C95" w:rsidRPr="006D1B7A" w:rsidRDefault="00414C95" w:rsidP="006210C9">
            <w:pPr>
              <w:pStyle w:val="BodyText"/>
              <w:spacing w:before="60" w:after="60" w:line="252" w:lineRule="auto"/>
              <w:rPr>
                <w:b/>
                <w:lang w:val="en-GB"/>
              </w:rPr>
            </w:pPr>
            <w:r w:rsidRPr="006D1B7A">
              <w:rPr>
                <w:bCs/>
                <w:lang w:val="en-GB"/>
              </w:rPr>
              <w:t>Established</w:t>
            </w:r>
          </w:p>
        </w:tc>
        <w:tc>
          <w:tcPr>
            <w:tcW w:w="1643" w:type="pct"/>
          </w:tcPr>
          <w:p w14:paraId="7A9BF69A" w14:textId="6D715570" w:rsidR="00414C95" w:rsidRPr="006D1B7A" w:rsidRDefault="00414C95" w:rsidP="006210C9">
            <w:pPr>
              <w:pStyle w:val="BodyText"/>
              <w:spacing w:before="60" w:after="60" w:line="252" w:lineRule="auto"/>
              <w:rPr>
                <w:b/>
                <w:lang w:val="en-GB"/>
              </w:rPr>
            </w:pPr>
            <w:r w:rsidRPr="006D1B7A">
              <w:rPr>
                <w:lang w:val="en-GB"/>
              </w:rPr>
              <w:t>Notice/</w:t>
            </w:r>
            <w:r w:rsidR="0016630A">
              <w:rPr>
                <w:lang w:val="en-GB"/>
              </w:rPr>
              <w:t xml:space="preserve"> </w:t>
            </w:r>
            <w:r w:rsidRPr="006D1B7A">
              <w:rPr>
                <w:lang w:val="en-GB"/>
              </w:rPr>
              <w:t>Direction/</w:t>
            </w:r>
            <w:r w:rsidR="0016630A">
              <w:rPr>
                <w:lang w:val="en-GB"/>
              </w:rPr>
              <w:t xml:space="preserve"> </w:t>
            </w:r>
            <w:r w:rsidRPr="006D1B7A">
              <w:rPr>
                <w:lang w:val="en-GB"/>
              </w:rPr>
              <w:t>LC powers</w:t>
            </w:r>
          </w:p>
        </w:tc>
        <w:tc>
          <w:tcPr>
            <w:tcW w:w="1020" w:type="pct"/>
          </w:tcPr>
          <w:p w14:paraId="4C505C45" w14:textId="77777777" w:rsidR="00414C95" w:rsidRPr="006D1B7A" w:rsidRDefault="00414C95" w:rsidP="006210C9">
            <w:pPr>
              <w:pStyle w:val="BodyText"/>
              <w:spacing w:before="60" w:after="60" w:line="252" w:lineRule="auto"/>
              <w:rPr>
                <w:lang w:val="en-GB"/>
              </w:rPr>
            </w:pPr>
            <w:r w:rsidRPr="006D1B7A">
              <w:rPr>
                <w:lang w:val="en-GB"/>
              </w:rPr>
              <w:t xml:space="preserve">Yes (refer to </w:t>
            </w:r>
            <w:hyperlink w:anchor="_Appendix_A_-" w:history="1">
              <w:r w:rsidRPr="006D1B7A">
                <w:rPr>
                  <w:rStyle w:val="Hyperlink"/>
                  <w:rFonts w:cs="Arial"/>
                  <w:lang w:val="en-GB"/>
                </w:rPr>
                <w:t>Appendix A</w:t>
              </w:r>
            </w:hyperlink>
            <w:r w:rsidRPr="006D1B7A">
              <w:rPr>
                <w:lang w:val="en-GB"/>
              </w:rPr>
              <w:t>)</w:t>
            </w:r>
          </w:p>
        </w:tc>
      </w:tr>
      <w:tr w:rsidR="00414C95" w:rsidRPr="006D1B7A" w14:paraId="76E623C2" w14:textId="77777777" w:rsidTr="0016630A">
        <w:trPr>
          <w:cantSplit/>
        </w:trPr>
        <w:tc>
          <w:tcPr>
            <w:tcW w:w="803" w:type="pct"/>
            <w:vMerge/>
            <w:shd w:val="clear" w:color="auto" w:fill="FF0000"/>
          </w:tcPr>
          <w:p w14:paraId="45505282" w14:textId="77777777" w:rsidR="00414C95" w:rsidRPr="006D1B7A" w:rsidRDefault="00414C95" w:rsidP="006210C9">
            <w:pPr>
              <w:pStyle w:val="BodyText"/>
              <w:spacing w:before="60" w:after="60" w:line="252" w:lineRule="auto"/>
              <w:rPr>
                <w:b/>
                <w:szCs w:val="22"/>
                <w:lang w:val="en-GB"/>
              </w:rPr>
            </w:pPr>
          </w:p>
        </w:tc>
        <w:tc>
          <w:tcPr>
            <w:tcW w:w="1534" w:type="pct"/>
            <w:shd w:val="clear" w:color="auto" w:fill="92D050"/>
          </w:tcPr>
          <w:p w14:paraId="357A1507" w14:textId="77777777" w:rsidR="00414C95" w:rsidRPr="006D1B7A" w:rsidRDefault="00414C95" w:rsidP="006210C9">
            <w:pPr>
              <w:pStyle w:val="BodyText"/>
              <w:spacing w:before="60" w:after="60" w:line="252" w:lineRule="auto"/>
              <w:rPr>
                <w:b/>
                <w:lang w:val="en-GB"/>
              </w:rPr>
            </w:pPr>
            <w:r w:rsidRPr="006D1B7A">
              <w:rPr>
                <w:bCs/>
                <w:lang w:val="en-GB"/>
              </w:rPr>
              <w:t>Interpretative</w:t>
            </w:r>
          </w:p>
        </w:tc>
        <w:tc>
          <w:tcPr>
            <w:tcW w:w="1643" w:type="pct"/>
          </w:tcPr>
          <w:p w14:paraId="2785722E" w14:textId="635C795E" w:rsidR="00414C95" w:rsidRPr="006D1B7A" w:rsidRDefault="00414C95" w:rsidP="006210C9">
            <w:pPr>
              <w:pStyle w:val="BodyText"/>
              <w:spacing w:before="60" w:after="60" w:line="252" w:lineRule="auto"/>
              <w:rPr>
                <w:b/>
                <w:lang w:val="en-GB"/>
              </w:rPr>
            </w:pPr>
            <w:r w:rsidRPr="006D1B7A">
              <w:rPr>
                <w:lang w:val="en-GB"/>
              </w:rPr>
              <w:t>Notice/</w:t>
            </w:r>
            <w:r w:rsidR="0016630A">
              <w:rPr>
                <w:lang w:val="en-GB"/>
              </w:rPr>
              <w:t xml:space="preserve"> </w:t>
            </w:r>
            <w:r w:rsidRPr="006D1B7A">
              <w:rPr>
                <w:lang w:val="en-GB"/>
              </w:rPr>
              <w:t>Direction/</w:t>
            </w:r>
            <w:r w:rsidR="0016630A">
              <w:rPr>
                <w:lang w:val="en-GB"/>
              </w:rPr>
              <w:t xml:space="preserve"> </w:t>
            </w:r>
            <w:r w:rsidRPr="006D1B7A">
              <w:rPr>
                <w:lang w:val="en-GB"/>
              </w:rPr>
              <w:t>LC powers</w:t>
            </w:r>
          </w:p>
        </w:tc>
        <w:tc>
          <w:tcPr>
            <w:tcW w:w="1020" w:type="pct"/>
          </w:tcPr>
          <w:p w14:paraId="457A10DF" w14:textId="77777777" w:rsidR="00414C95" w:rsidRPr="006D1B7A" w:rsidRDefault="00414C95" w:rsidP="006210C9">
            <w:pPr>
              <w:pStyle w:val="BodyText"/>
              <w:spacing w:before="60" w:after="60" w:line="252" w:lineRule="auto"/>
              <w:rPr>
                <w:lang w:val="en-GB"/>
              </w:rPr>
            </w:pPr>
          </w:p>
        </w:tc>
      </w:tr>
      <w:tr w:rsidR="00414C95" w:rsidRPr="006D1B7A" w14:paraId="26EA174D" w14:textId="77777777" w:rsidTr="0016630A">
        <w:trPr>
          <w:cantSplit/>
        </w:trPr>
        <w:tc>
          <w:tcPr>
            <w:tcW w:w="803" w:type="pct"/>
            <w:vMerge w:val="restart"/>
            <w:shd w:val="clear" w:color="auto" w:fill="FFC000"/>
          </w:tcPr>
          <w:p w14:paraId="75F6C721" w14:textId="77777777" w:rsidR="00414C95" w:rsidRPr="006D1B7A" w:rsidRDefault="00414C95" w:rsidP="006210C9">
            <w:pPr>
              <w:pStyle w:val="BodyText"/>
              <w:spacing w:before="60" w:after="60" w:line="252" w:lineRule="auto"/>
              <w:rPr>
                <w:szCs w:val="22"/>
                <w:lang w:val="en-GB"/>
              </w:rPr>
            </w:pPr>
            <w:r w:rsidRPr="006D1B7A">
              <w:rPr>
                <w:szCs w:val="22"/>
                <w:lang w:val="en-GB"/>
              </w:rPr>
              <w:t>Substantial</w:t>
            </w:r>
          </w:p>
        </w:tc>
        <w:tc>
          <w:tcPr>
            <w:tcW w:w="1534" w:type="pct"/>
            <w:shd w:val="clear" w:color="auto" w:fill="FF0000"/>
          </w:tcPr>
          <w:p w14:paraId="17422E5C" w14:textId="77777777" w:rsidR="00414C95" w:rsidRPr="006D1B7A" w:rsidRDefault="00414C95" w:rsidP="006210C9">
            <w:pPr>
              <w:pStyle w:val="BodyText"/>
              <w:spacing w:before="60" w:after="60" w:line="252" w:lineRule="auto"/>
              <w:rPr>
                <w:bCs/>
                <w:lang w:val="en-GB"/>
              </w:rPr>
            </w:pPr>
            <w:r w:rsidRPr="006D1B7A">
              <w:rPr>
                <w:bCs/>
                <w:lang w:val="en-GB"/>
              </w:rPr>
              <w:t>Defined</w:t>
            </w:r>
          </w:p>
        </w:tc>
        <w:tc>
          <w:tcPr>
            <w:tcW w:w="1643" w:type="pct"/>
          </w:tcPr>
          <w:p w14:paraId="60F92C27" w14:textId="08C671A3" w:rsidR="00414C95" w:rsidRPr="006D1B7A" w:rsidRDefault="00414C95" w:rsidP="006210C9">
            <w:pPr>
              <w:pStyle w:val="BodyText"/>
              <w:spacing w:before="60" w:after="60" w:line="252" w:lineRule="auto"/>
              <w:rPr>
                <w:lang w:val="en-GB"/>
              </w:rPr>
            </w:pPr>
            <w:r w:rsidRPr="006D1B7A">
              <w:rPr>
                <w:lang w:val="en-GB"/>
              </w:rPr>
              <w:t>Notice/</w:t>
            </w:r>
            <w:r w:rsidR="0016630A">
              <w:rPr>
                <w:lang w:val="en-GB"/>
              </w:rPr>
              <w:t xml:space="preserve"> </w:t>
            </w:r>
            <w:r w:rsidRPr="006D1B7A">
              <w:rPr>
                <w:lang w:val="en-GB"/>
              </w:rPr>
              <w:t>Direction/</w:t>
            </w:r>
            <w:r w:rsidR="0016630A">
              <w:rPr>
                <w:lang w:val="en-GB"/>
              </w:rPr>
              <w:t xml:space="preserve"> </w:t>
            </w:r>
            <w:r w:rsidRPr="006D1B7A">
              <w:rPr>
                <w:lang w:val="en-GB"/>
              </w:rPr>
              <w:t>LC powers</w:t>
            </w:r>
          </w:p>
        </w:tc>
        <w:tc>
          <w:tcPr>
            <w:tcW w:w="1020" w:type="pct"/>
          </w:tcPr>
          <w:p w14:paraId="521FBEDD" w14:textId="77777777" w:rsidR="00414C95" w:rsidRPr="006D1B7A" w:rsidRDefault="00414C95" w:rsidP="006210C9">
            <w:pPr>
              <w:pStyle w:val="BodyText"/>
              <w:spacing w:before="60" w:after="60" w:line="252" w:lineRule="auto"/>
              <w:rPr>
                <w:lang w:val="en-GB"/>
              </w:rPr>
            </w:pPr>
          </w:p>
        </w:tc>
      </w:tr>
      <w:tr w:rsidR="00414C95" w:rsidRPr="006D1B7A" w14:paraId="08D9F317" w14:textId="77777777" w:rsidTr="0016630A">
        <w:trPr>
          <w:cantSplit/>
        </w:trPr>
        <w:tc>
          <w:tcPr>
            <w:tcW w:w="803" w:type="pct"/>
            <w:vMerge/>
            <w:shd w:val="clear" w:color="auto" w:fill="FFC000"/>
          </w:tcPr>
          <w:p w14:paraId="7D8CB7D7" w14:textId="77777777" w:rsidR="00414C95" w:rsidRPr="006D1B7A" w:rsidRDefault="00414C95" w:rsidP="006210C9">
            <w:pPr>
              <w:pStyle w:val="BodyText"/>
              <w:spacing w:before="60" w:after="60" w:line="252" w:lineRule="auto"/>
              <w:rPr>
                <w:szCs w:val="22"/>
                <w:lang w:val="en-GB"/>
              </w:rPr>
            </w:pPr>
          </w:p>
        </w:tc>
        <w:tc>
          <w:tcPr>
            <w:tcW w:w="1534" w:type="pct"/>
            <w:shd w:val="clear" w:color="auto" w:fill="FFC000"/>
          </w:tcPr>
          <w:p w14:paraId="1A75AF44" w14:textId="77777777" w:rsidR="00414C95" w:rsidRPr="006D1B7A" w:rsidRDefault="00414C95" w:rsidP="006210C9">
            <w:pPr>
              <w:pStyle w:val="BodyText"/>
              <w:spacing w:before="60" w:after="60" w:line="252" w:lineRule="auto"/>
              <w:rPr>
                <w:bCs/>
                <w:lang w:val="en-GB"/>
              </w:rPr>
            </w:pPr>
            <w:r w:rsidRPr="006D1B7A">
              <w:rPr>
                <w:bCs/>
                <w:lang w:val="en-GB"/>
              </w:rPr>
              <w:t>Established</w:t>
            </w:r>
          </w:p>
        </w:tc>
        <w:tc>
          <w:tcPr>
            <w:tcW w:w="1643" w:type="pct"/>
          </w:tcPr>
          <w:p w14:paraId="2FD1766E" w14:textId="77777777" w:rsidR="00414C95" w:rsidRPr="006D1B7A" w:rsidRDefault="00414C95" w:rsidP="006210C9">
            <w:pPr>
              <w:pStyle w:val="BodyText"/>
              <w:spacing w:before="60" w:after="60" w:line="252" w:lineRule="auto"/>
              <w:rPr>
                <w:b/>
                <w:lang w:val="en-GB"/>
              </w:rPr>
            </w:pPr>
            <w:r w:rsidRPr="006D1B7A">
              <w:rPr>
                <w:bCs/>
                <w:lang w:val="en-GB"/>
              </w:rPr>
              <w:t>Enforcement letter</w:t>
            </w:r>
          </w:p>
        </w:tc>
        <w:tc>
          <w:tcPr>
            <w:tcW w:w="1020" w:type="pct"/>
          </w:tcPr>
          <w:p w14:paraId="11B932AE" w14:textId="77777777" w:rsidR="00414C95" w:rsidRPr="006D1B7A" w:rsidRDefault="00414C95" w:rsidP="006210C9">
            <w:pPr>
              <w:pStyle w:val="BodyText"/>
              <w:spacing w:before="60" w:after="60" w:line="252" w:lineRule="auto"/>
              <w:rPr>
                <w:lang w:val="en-GB"/>
              </w:rPr>
            </w:pPr>
          </w:p>
        </w:tc>
      </w:tr>
      <w:tr w:rsidR="00414C95" w:rsidRPr="006D1B7A" w14:paraId="704964F2" w14:textId="77777777" w:rsidTr="0016630A">
        <w:trPr>
          <w:cantSplit/>
        </w:trPr>
        <w:tc>
          <w:tcPr>
            <w:tcW w:w="803" w:type="pct"/>
            <w:vMerge/>
            <w:shd w:val="clear" w:color="auto" w:fill="FFC000"/>
          </w:tcPr>
          <w:p w14:paraId="2C4F5D79" w14:textId="77777777" w:rsidR="00414C95" w:rsidRPr="006D1B7A" w:rsidRDefault="00414C95" w:rsidP="006210C9">
            <w:pPr>
              <w:pStyle w:val="BodyText"/>
              <w:spacing w:before="60" w:after="60" w:line="252" w:lineRule="auto"/>
              <w:rPr>
                <w:szCs w:val="22"/>
                <w:lang w:val="en-GB"/>
              </w:rPr>
            </w:pPr>
          </w:p>
        </w:tc>
        <w:tc>
          <w:tcPr>
            <w:tcW w:w="1534" w:type="pct"/>
            <w:shd w:val="clear" w:color="auto" w:fill="92D050"/>
          </w:tcPr>
          <w:p w14:paraId="7BC1B38F" w14:textId="77777777" w:rsidR="00414C95" w:rsidRPr="006D1B7A" w:rsidRDefault="00414C95" w:rsidP="006210C9">
            <w:pPr>
              <w:pStyle w:val="BodyText"/>
              <w:spacing w:before="60" w:after="60" w:line="252" w:lineRule="auto"/>
              <w:rPr>
                <w:bCs/>
                <w:lang w:val="en-GB"/>
              </w:rPr>
            </w:pPr>
            <w:r w:rsidRPr="006D1B7A">
              <w:rPr>
                <w:bCs/>
                <w:lang w:val="en-GB"/>
              </w:rPr>
              <w:t>Interpretative</w:t>
            </w:r>
          </w:p>
        </w:tc>
        <w:tc>
          <w:tcPr>
            <w:tcW w:w="1643" w:type="pct"/>
          </w:tcPr>
          <w:p w14:paraId="51127587" w14:textId="77777777" w:rsidR="00414C95" w:rsidRPr="006D1B7A" w:rsidRDefault="00414C95" w:rsidP="006210C9">
            <w:pPr>
              <w:pStyle w:val="BodyText"/>
              <w:spacing w:before="60" w:after="60" w:line="252" w:lineRule="auto"/>
              <w:rPr>
                <w:b/>
                <w:lang w:val="en-GB"/>
              </w:rPr>
            </w:pPr>
            <w:r w:rsidRPr="006D1B7A">
              <w:rPr>
                <w:bCs/>
                <w:lang w:val="en-GB"/>
              </w:rPr>
              <w:t>Enforcement letter</w:t>
            </w:r>
          </w:p>
        </w:tc>
        <w:tc>
          <w:tcPr>
            <w:tcW w:w="1020" w:type="pct"/>
          </w:tcPr>
          <w:p w14:paraId="4C338A31" w14:textId="77777777" w:rsidR="00414C95" w:rsidRPr="006D1B7A" w:rsidRDefault="00414C95" w:rsidP="006210C9">
            <w:pPr>
              <w:pStyle w:val="BodyText"/>
              <w:spacing w:before="60" w:after="60" w:line="252" w:lineRule="auto"/>
              <w:rPr>
                <w:lang w:val="en-GB"/>
              </w:rPr>
            </w:pPr>
          </w:p>
        </w:tc>
      </w:tr>
      <w:tr w:rsidR="00414C95" w:rsidRPr="006D1B7A" w14:paraId="7FB5837F" w14:textId="77777777" w:rsidTr="0016630A">
        <w:trPr>
          <w:cantSplit/>
        </w:trPr>
        <w:tc>
          <w:tcPr>
            <w:tcW w:w="803" w:type="pct"/>
            <w:vMerge w:val="restart"/>
            <w:shd w:val="clear" w:color="auto" w:fill="FFEAA7"/>
          </w:tcPr>
          <w:p w14:paraId="4AB28E60" w14:textId="77777777" w:rsidR="00414C95" w:rsidRPr="006D1B7A" w:rsidRDefault="00414C95" w:rsidP="006210C9">
            <w:pPr>
              <w:pStyle w:val="BodyText"/>
              <w:spacing w:before="60" w:after="60" w:line="252" w:lineRule="auto"/>
              <w:rPr>
                <w:szCs w:val="22"/>
                <w:lang w:val="en-GB"/>
              </w:rPr>
            </w:pPr>
            <w:r w:rsidRPr="006D1B7A">
              <w:rPr>
                <w:szCs w:val="22"/>
                <w:lang w:val="en-GB"/>
              </w:rPr>
              <w:t>Moderate</w:t>
            </w:r>
          </w:p>
        </w:tc>
        <w:tc>
          <w:tcPr>
            <w:tcW w:w="1534" w:type="pct"/>
            <w:shd w:val="clear" w:color="auto" w:fill="FF0000"/>
          </w:tcPr>
          <w:p w14:paraId="3F0CD975" w14:textId="77777777" w:rsidR="00414C95" w:rsidRPr="006D1B7A" w:rsidRDefault="00414C95" w:rsidP="006210C9">
            <w:pPr>
              <w:pStyle w:val="BodyText"/>
              <w:spacing w:before="60" w:after="60" w:line="252" w:lineRule="auto"/>
              <w:rPr>
                <w:bCs/>
                <w:lang w:val="en-GB"/>
              </w:rPr>
            </w:pPr>
            <w:r w:rsidRPr="006D1B7A">
              <w:rPr>
                <w:bCs/>
                <w:lang w:val="en-GB"/>
              </w:rPr>
              <w:t>Defined</w:t>
            </w:r>
          </w:p>
        </w:tc>
        <w:tc>
          <w:tcPr>
            <w:tcW w:w="1643" w:type="pct"/>
          </w:tcPr>
          <w:p w14:paraId="6AFF3C83" w14:textId="77777777" w:rsidR="00414C95" w:rsidRPr="006D1B7A" w:rsidRDefault="00414C95" w:rsidP="006210C9">
            <w:pPr>
              <w:pStyle w:val="BodyText"/>
              <w:spacing w:before="60" w:after="60" w:line="252" w:lineRule="auto"/>
              <w:rPr>
                <w:b/>
                <w:lang w:val="en-GB"/>
              </w:rPr>
            </w:pPr>
            <w:r w:rsidRPr="006D1B7A">
              <w:rPr>
                <w:bCs/>
                <w:lang w:val="en-GB"/>
              </w:rPr>
              <w:t>Enforcement letter</w:t>
            </w:r>
          </w:p>
        </w:tc>
        <w:tc>
          <w:tcPr>
            <w:tcW w:w="1020" w:type="pct"/>
          </w:tcPr>
          <w:p w14:paraId="5CC153B7" w14:textId="77777777" w:rsidR="00414C95" w:rsidRPr="006D1B7A" w:rsidRDefault="00414C95" w:rsidP="006210C9">
            <w:pPr>
              <w:pStyle w:val="BodyText"/>
              <w:spacing w:before="60" w:after="60" w:line="252" w:lineRule="auto"/>
              <w:rPr>
                <w:lang w:val="en-GB"/>
              </w:rPr>
            </w:pPr>
          </w:p>
        </w:tc>
      </w:tr>
      <w:tr w:rsidR="00414C95" w:rsidRPr="006D1B7A" w14:paraId="1F72C886" w14:textId="77777777" w:rsidTr="0016630A">
        <w:trPr>
          <w:cantSplit/>
        </w:trPr>
        <w:tc>
          <w:tcPr>
            <w:tcW w:w="803" w:type="pct"/>
            <w:vMerge/>
            <w:shd w:val="clear" w:color="auto" w:fill="FFEAA7"/>
          </w:tcPr>
          <w:p w14:paraId="71828E2E" w14:textId="77777777" w:rsidR="00414C95" w:rsidRPr="006D1B7A" w:rsidRDefault="00414C95" w:rsidP="006210C9">
            <w:pPr>
              <w:pStyle w:val="BodyText"/>
              <w:spacing w:before="60" w:after="60" w:line="252" w:lineRule="auto"/>
              <w:rPr>
                <w:szCs w:val="22"/>
                <w:lang w:val="en-GB"/>
              </w:rPr>
            </w:pPr>
          </w:p>
        </w:tc>
        <w:tc>
          <w:tcPr>
            <w:tcW w:w="1534" w:type="pct"/>
            <w:shd w:val="clear" w:color="auto" w:fill="FFC000"/>
          </w:tcPr>
          <w:p w14:paraId="38955C0B" w14:textId="77777777" w:rsidR="00414C95" w:rsidRPr="006D1B7A" w:rsidRDefault="00414C95" w:rsidP="006210C9">
            <w:pPr>
              <w:pStyle w:val="BodyText"/>
              <w:spacing w:before="60" w:after="60" w:line="252" w:lineRule="auto"/>
              <w:rPr>
                <w:bCs/>
                <w:lang w:val="en-GB"/>
              </w:rPr>
            </w:pPr>
            <w:r w:rsidRPr="006D1B7A">
              <w:rPr>
                <w:bCs/>
                <w:lang w:val="en-GB"/>
              </w:rPr>
              <w:t>Established</w:t>
            </w:r>
          </w:p>
        </w:tc>
        <w:tc>
          <w:tcPr>
            <w:tcW w:w="1643" w:type="pct"/>
          </w:tcPr>
          <w:p w14:paraId="54F8EA09" w14:textId="77777777" w:rsidR="00414C95" w:rsidRPr="006D1B7A" w:rsidRDefault="00414C95" w:rsidP="006210C9">
            <w:pPr>
              <w:pStyle w:val="BodyText"/>
              <w:spacing w:before="60" w:after="60" w:line="252" w:lineRule="auto"/>
              <w:rPr>
                <w:bCs/>
                <w:lang w:val="en-GB"/>
              </w:rPr>
            </w:pPr>
            <w:r w:rsidRPr="006D1B7A">
              <w:rPr>
                <w:bCs/>
                <w:lang w:val="en-GB"/>
              </w:rPr>
              <w:t xml:space="preserve">Regulatory advice </w:t>
            </w:r>
          </w:p>
        </w:tc>
        <w:tc>
          <w:tcPr>
            <w:tcW w:w="1020" w:type="pct"/>
          </w:tcPr>
          <w:p w14:paraId="6C374584" w14:textId="77777777" w:rsidR="00414C95" w:rsidRPr="006D1B7A" w:rsidRDefault="00414C95" w:rsidP="006210C9">
            <w:pPr>
              <w:pStyle w:val="BodyText"/>
              <w:spacing w:before="60" w:after="60" w:line="252" w:lineRule="auto"/>
              <w:rPr>
                <w:lang w:val="en-GB"/>
              </w:rPr>
            </w:pPr>
          </w:p>
        </w:tc>
      </w:tr>
      <w:tr w:rsidR="00414C95" w:rsidRPr="006D1B7A" w14:paraId="514E110C" w14:textId="77777777" w:rsidTr="0016630A">
        <w:trPr>
          <w:cantSplit/>
        </w:trPr>
        <w:tc>
          <w:tcPr>
            <w:tcW w:w="803" w:type="pct"/>
            <w:vMerge/>
            <w:shd w:val="clear" w:color="auto" w:fill="FFEAA7"/>
          </w:tcPr>
          <w:p w14:paraId="118381FE" w14:textId="77777777" w:rsidR="00414C95" w:rsidRPr="006D1B7A" w:rsidRDefault="00414C95" w:rsidP="006210C9">
            <w:pPr>
              <w:pStyle w:val="BodyText"/>
              <w:spacing w:before="60" w:after="60" w:line="252" w:lineRule="auto"/>
              <w:rPr>
                <w:szCs w:val="22"/>
                <w:lang w:val="en-GB"/>
              </w:rPr>
            </w:pPr>
          </w:p>
        </w:tc>
        <w:tc>
          <w:tcPr>
            <w:tcW w:w="1534" w:type="pct"/>
            <w:shd w:val="clear" w:color="auto" w:fill="92D050"/>
          </w:tcPr>
          <w:p w14:paraId="7D1EA16C" w14:textId="77777777" w:rsidR="00414C95" w:rsidRPr="006D1B7A" w:rsidRDefault="00414C95" w:rsidP="006210C9">
            <w:pPr>
              <w:pStyle w:val="BodyText"/>
              <w:spacing w:before="60" w:after="60" w:line="252" w:lineRule="auto"/>
              <w:rPr>
                <w:bCs/>
                <w:lang w:val="en-GB"/>
              </w:rPr>
            </w:pPr>
            <w:r w:rsidRPr="006D1B7A">
              <w:rPr>
                <w:bCs/>
                <w:lang w:val="en-GB"/>
              </w:rPr>
              <w:t>Interpretative</w:t>
            </w:r>
          </w:p>
        </w:tc>
        <w:tc>
          <w:tcPr>
            <w:tcW w:w="1643" w:type="pct"/>
          </w:tcPr>
          <w:p w14:paraId="1B239643" w14:textId="77777777" w:rsidR="00414C95" w:rsidRPr="006D1B7A" w:rsidRDefault="00414C95" w:rsidP="006210C9">
            <w:pPr>
              <w:pStyle w:val="BodyText"/>
              <w:spacing w:before="60" w:after="60" w:line="252" w:lineRule="auto"/>
              <w:rPr>
                <w:bCs/>
                <w:lang w:val="en-GB"/>
              </w:rPr>
            </w:pPr>
            <w:r w:rsidRPr="006D1B7A">
              <w:rPr>
                <w:bCs/>
                <w:lang w:val="en-GB"/>
              </w:rPr>
              <w:t xml:space="preserve">Regulatory advice </w:t>
            </w:r>
          </w:p>
        </w:tc>
        <w:tc>
          <w:tcPr>
            <w:tcW w:w="1020" w:type="pct"/>
          </w:tcPr>
          <w:p w14:paraId="3F483CB7" w14:textId="77777777" w:rsidR="00414C95" w:rsidRPr="006D1B7A" w:rsidRDefault="00414C95" w:rsidP="006210C9">
            <w:pPr>
              <w:pStyle w:val="BodyText"/>
              <w:spacing w:before="60" w:after="60" w:line="252" w:lineRule="auto"/>
              <w:rPr>
                <w:lang w:val="en-GB"/>
              </w:rPr>
            </w:pPr>
          </w:p>
        </w:tc>
      </w:tr>
      <w:tr w:rsidR="00414C95" w:rsidRPr="006D1B7A" w14:paraId="6F08B182" w14:textId="77777777" w:rsidTr="0016630A">
        <w:trPr>
          <w:cantSplit/>
        </w:trPr>
        <w:tc>
          <w:tcPr>
            <w:tcW w:w="803" w:type="pct"/>
            <w:vMerge w:val="restart"/>
            <w:shd w:val="clear" w:color="auto" w:fill="92D050"/>
          </w:tcPr>
          <w:p w14:paraId="3AF0C7A9" w14:textId="77777777" w:rsidR="00414C95" w:rsidRPr="006D1B7A" w:rsidRDefault="00414C95" w:rsidP="006210C9">
            <w:pPr>
              <w:pStyle w:val="BodyText"/>
              <w:spacing w:before="60" w:after="60" w:line="252" w:lineRule="auto"/>
              <w:rPr>
                <w:szCs w:val="22"/>
                <w:lang w:val="en-GB"/>
              </w:rPr>
            </w:pPr>
            <w:r w:rsidRPr="006D1B7A">
              <w:rPr>
                <w:szCs w:val="22"/>
                <w:lang w:val="en-GB"/>
              </w:rPr>
              <w:t>Nominal</w:t>
            </w:r>
          </w:p>
        </w:tc>
        <w:tc>
          <w:tcPr>
            <w:tcW w:w="1534" w:type="pct"/>
            <w:shd w:val="clear" w:color="auto" w:fill="FF0000"/>
          </w:tcPr>
          <w:p w14:paraId="4228711E" w14:textId="77777777" w:rsidR="00414C95" w:rsidRPr="006D1B7A" w:rsidRDefault="00414C95" w:rsidP="006210C9">
            <w:pPr>
              <w:pStyle w:val="BodyText"/>
              <w:spacing w:before="60" w:after="60" w:line="252" w:lineRule="auto"/>
              <w:rPr>
                <w:bCs/>
                <w:lang w:val="en-GB"/>
              </w:rPr>
            </w:pPr>
            <w:r w:rsidRPr="006D1B7A">
              <w:rPr>
                <w:bCs/>
                <w:lang w:val="en-GB"/>
              </w:rPr>
              <w:t>Defined</w:t>
            </w:r>
          </w:p>
        </w:tc>
        <w:tc>
          <w:tcPr>
            <w:tcW w:w="1643" w:type="pct"/>
          </w:tcPr>
          <w:p w14:paraId="248853C2" w14:textId="77777777" w:rsidR="00414C95" w:rsidRPr="006D1B7A" w:rsidRDefault="00414C95" w:rsidP="006210C9">
            <w:pPr>
              <w:pStyle w:val="BodyText"/>
              <w:spacing w:before="60" w:after="60" w:line="252" w:lineRule="auto"/>
              <w:rPr>
                <w:bCs/>
                <w:lang w:val="en-GB"/>
              </w:rPr>
            </w:pPr>
            <w:r w:rsidRPr="006D1B7A">
              <w:rPr>
                <w:bCs/>
                <w:lang w:val="en-GB"/>
              </w:rPr>
              <w:t>Regulatory advice</w:t>
            </w:r>
          </w:p>
        </w:tc>
        <w:tc>
          <w:tcPr>
            <w:tcW w:w="1020" w:type="pct"/>
          </w:tcPr>
          <w:p w14:paraId="1D01F45F" w14:textId="77777777" w:rsidR="00414C95" w:rsidRPr="006D1B7A" w:rsidRDefault="00414C95" w:rsidP="006210C9">
            <w:pPr>
              <w:pStyle w:val="BodyText"/>
              <w:spacing w:before="60" w:after="60" w:line="252" w:lineRule="auto"/>
              <w:rPr>
                <w:lang w:val="en-GB"/>
              </w:rPr>
            </w:pPr>
          </w:p>
        </w:tc>
      </w:tr>
      <w:tr w:rsidR="00414C95" w:rsidRPr="006D1B7A" w14:paraId="35597B1B" w14:textId="77777777" w:rsidTr="0016630A">
        <w:trPr>
          <w:cantSplit/>
        </w:trPr>
        <w:tc>
          <w:tcPr>
            <w:tcW w:w="803" w:type="pct"/>
            <w:vMerge/>
            <w:shd w:val="clear" w:color="auto" w:fill="92D050"/>
          </w:tcPr>
          <w:p w14:paraId="3B8EAFA1" w14:textId="77777777" w:rsidR="00414C95" w:rsidRPr="006D1B7A" w:rsidRDefault="00414C95" w:rsidP="006210C9">
            <w:pPr>
              <w:pStyle w:val="BodyText"/>
              <w:spacing w:before="60" w:after="60" w:line="252" w:lineRule="auto"/>
              <w:rPr>
                <w:szCs w:val="22"/>
                <w:lang w:val="en-GB"/>
              </w:rPr>
            </w:pPr>
          </w:p>
        </w:tc>
        <w:tc>
          <w:tcPr>
            <w:tcW w:w="1534" w:type="pct"/>
            <w:shd w:val="clear" w:color="auto" w:fill="FFC000"/>
          </w:tcPr>
          <w:p w14:paraId="6BF48070" w14:textId="77777777" w:rsidR="00414C95" w:rsidRPr="006D1B7A" w:rsidRDefault="00414C95" w:rsidP="006210C9">
            <w:pPr>
              <w:pStyle w:val="BodyText"/>
              <w:spacing w:before="60" w:after="60" w:line="252" w:lineRule="auto"/>
              <w:rPr>
                <w:bCs/>
                <w:lang w:val="en-GB"/>
              </w:rPr>
            </w:pPr>
            <w:r w:rsidRPr="006D1B7A">
              <w:rPr>
                <w:bCs/>
                <w:lang w:val="en-GB"/>
              </w:rPr>
              <w:t>Established</w:t>
            </w:r>
          </w:p>
        </w:tc>
        <w:tc>
          <w:tcPr>
            <w:tcW w:w="1643" w:type="pct"/>
          </w:tcPr>
          <w:p w14:paraId="1DF0376F" w14:textId="77777777" w:rsidR="00414C95" w:rsidRPr="006D1B7A" w:rsidRDefault="00414C95" w:rsidP="006210C9">
            <w:pPr>
              <w:pStyle w:val="BodyText"/>
              <w:spacing w:before="60" w:after="60" w:line="252" w:lineRule="auto"/>
              <w:rPr>
                <w:bCs/>
                <w:lang w:val="en-GB"/>
              </w:rPr>
            </w:pPr>
            <w:r w:rsidRPr="006D1B7A">
              <w:rPr>
                <w:bCs/>
                <w:lang w:val="en-GB"/>
              </w:rPr>
              <w:t>No action required</w:t>
            </w:r>
          </w:p>
        </w:tc>
        <w:tc>
          <w:tcPr>
            <w:tcW w:w="1020" w:type="pct"/>
          </w:tcPr>
          <w:p w14:paraId="238B62C9" w14:textId="77777777" w:rsidR="00414C95" w:rsidRPr="006D1B7A" w:rsidRDefault="00414C95" w:rsidP="006210C9">
            <w:pPr>
              <w:pStyle w:val="BodyText"/>
              <w:spacing w:before="60" w:after="60" w:line="252" w:lineRule="auto"/>
              <w:rPr>
                <w:lang w:val="en-GB"/>
              </w:rPr>
            </w:pPr>
          </w:p>
        </w:tc>
      </w:tr>
      <w:tr w:rsidR="00414C95" w:rsidRPr="006D1B7A" w14:paraId="1009A157" w14:textId="77777777" w:rsidTr="0016630A">
        <w:trPr>
          <w:cantSplit/>
        </w:trPr>
        <w:tc>
          <w:tcPr>
            <w:tcW w:w="803" w:type="pct"/>
            <w:vMerge/>
            <w:shd w:val="clear" w:color="auto" w:fill="92D050"/>
          </w:tcPr>
          <w:p w14:paraId="44D49C97" w14:textId="77777777" w:rsidR="00414C95" w:rsidRPr="006D1B7A" w:rsidRDefault="00414C95" w:rsidP="006210C9">
            <w:pPr>
              <w:pStyle w:val="BodyText"/>
              <w:spacing w:before="60" w:after="60" w:line="252" w:lineRule="auto"/>
              <w:rPr>
                <w:szCs w:val="22"/>
                <w:lang w:val="en-GB"/>
              </w:rPr>
            </w:pPr>
          </w:p>
        </w:tc>
        <w:tc>
          <w:tcPr>
            <w:tcW w:w="1534" w:type="pct"/>
            <w:shd w:val="clear" w:color="auto" w:fill="92D050"/>
          </w:tcPr>
          <w:p w14:paraId="2B882845" w14:textId="77777777" w:rsidR="00414C95" w:rsidRPr="006D1B7A" w:rsidRDefault="00414C95" w:rsidP="006210C9">
            <w:pPr>
              <w:pStyle w:val="BodyText"/>
              <w:spacing w:before="60" w:after="60" w:line="252" w:lineRule="auto"/>
              <w:rPr>
                <w:bCs/>
                <w:lang w:val="en-GB"/>
              </w:rPr>
            </w:pPr>
            <w:r w:rsidRPr="006D1B7A">
              <w:rPr>
                <w:bCs/>
                <w:lang w:val="en-GB"/>
              </w:rPr>
              <w:t>Interpretative</w:t>
            </w:r>
          </w:p>
        </w:tc>
        <w:tc>
          <w:tcPr>
            <w:tcW w:w="1643" w:type="pct"/>
          </w:tcPr>
          <w:p w14:paraId="217DA99F" w14:textId="77777777" w:rsidR="00414C95" w:rsidRPr="006D1B7A" w:rsidRDefault="00414C95" w:rsidP="006210C9">
            <w:pPr>
              <w:pStyle w:val="BodyText"/>
              <w:spacing w:before="60" w:after="60" w:line="252" w:lineRule="auto"/>
              <w:rPr>
                <w:bCs/>
                <w:lang w:val="en-GB"/>
              </w:rPr>
            </w:pPr>
            <w:r w:rsidRPr="006D1B7A">
              <w:rPr>
                <w:bCs/>
                <w:lang w:val="en-GB"/>
              </w:rPr>
              <w:t>No action required</w:t>
            </w:r>
          </w:p>
        </w:tc>
        <w:tc>
          <w:tcPr>
            <w:tcW w:w="1020" w:type="pct"/>
          </w:tcPr>
          <w:p w14:paraId="6CE10855" w14:textId="77777777" w:rsidR="00414C95" w:rsidRPr="006D1B7A" w:rsidRDefault="00414C95" w:rsidP="006210C9">
            <w:pPr>
              <w:pStyle w:val="BodyText"/>
              <w:spacing w:before="60" w:after="60" w:line="252" w:lineRule="auto"/>
              <w:rPr>
                <w:lang w:val="en-GB"/>
              </w:rPr>
            </w:pPr>
          </w:p>
        </w:tc>
      </w:tr>
    </w:tbl>
    <w:p w14:paraId="5C7F2ED7" w14:textId="77777777" w:rsidR="00414C95" w:rsidRPr="006D1B7A" w:rsidRDefault="00414C95" w:rsidP="000177E0">
      <w:pPr>
        <w:pStyle w:val="Paragraph"/>
        <w:numPr>
          <w:ilvl w:val="0"/>
          <w:numId w:val="0"/>
        </w:numPr>
        <w:ind w:left="851"/>
      </w:pPr>
      <w:bookmarkStart w:id="25" w:name="_Toc46136921"/>
      <w:r w:rsidRPr="006D1B7A">
        <w:rPr>
          <w:b/>
          <w:bCs/>
          <w:lang w:eastAsia="en-GB"/>
        </w:rPr>
        <w:t>Note</w:t>
      </w:r>
      <w:r w:rsidRPr="006D1B7A">
        <w:rPr>
          <w:lang w:eastAsia="en-GB"/>
        </w:rPr>
        <w:t xml:space="preserve">: Refer to </w:t>
      </w:r>
      <w:hyperlink w:anchor="_Appendix_A_-" w:history="1">
        <w:r w:rsidRPr="006D1B7A">
          <w:rPr>
            <w:rStyle w:val="Hyperlink"/>
          </w:rPr>
          <w:t>Appendix A</w:t>
        </w:r>
      </w:hyperlink>
      <w:r w:rsidRPr="006D1B7A">
        <w:t xml:space="preserve"> for further information on the types of enforcement actions.</w:t>
      </w:r>
      <w:bookmarkEnd w:id="25"/>
    </w:p>
    <w:p w14:paraId="72BCF96C" w14:textId="77777777" w:rsidR="00787474" w:rsidRPr="006D1B7A" w:rsidRDefault="00787474" w:rsidP="00787474">
      <w:pPr>
        <w:pStyle w:val="Heading2"/>
      </w:pPr>
      <w:bookmarkStart w:id="26" w:name="_Toc213836315"/>
      <w:r w:rsidRPr="006D1B7A">
        <w:rPr>
          <w:lang w:eastAsia="en-GB"/>
        </w:rPr>
        <w:lastRenderedPageBreak/>
        <w:t>Application of dutyholder and strategic factors</w:t>
      </w:r>
      <w:bookmarkEnd w:id="26"/>
    </w:p>
    <w:p w14:paraId="05A266FD" w14:textId="0238E4E1" w:rsidR="00066642" w:rsidRPr="006D1B7A" w:rsidRDefault="00066642" w:rsidP="000177E0">
      <w:pPr>
        <w:pStyle w:val="Paragraph"/>
      </w:pPr>
      <w:r w:rsidRPr="006D1B7A">
        <w:t xml:space="preserve">The following guidance on dutyholder and strategic factors is aligned to ONR’s guidance on </w:t>
      </w:r>
      <w:r w:rsidR="00E53294">
        <w:t>‘</w:t>
      </w:r>
      <w:r w:rsidRPr="00C156E6">
        <w:t>Risk</w:t>
      </w:r>
      <w:r w:rsidR="00E53294">
        <w:t>-i</w:t>
      </w:r>
      <w:r w:rsidRPr="00C156E6">
        <w:t>nformed Regulatory Decision Making</w:t>
      </w:r>
      <w:r w:rsidR="00E53294">
        <w:t>’</w:t>
      </w:r>
      <w:r w:rsidRPr="00C156E6">
        <w:t xml:space="preserve"> </w:t>
      </w:r>
      <w:r w:rsidR="00E53294">
        <w:t xml:space="preserve">(RIRDM) </w:t>
      </w:r>
      <w:sdt>
        <w:sdtPr>
          <w:id w:val="-180350323"/>
          <w:citation/>
        </w:sdtPr>
        <w:sdtEndPr/>
        <w:sdtContent>
          <w:r w:rsidR="00556833">
            <w:fldChar w:fldCharType="begin"/>
          </w:r>
          <w:r w:rsidR="00E53294">
            <w:instrText xml:space="preserve">CITATION ONR \l 2057 </w:instrText>
          </w:r>
          <w:r w:rsidR="00556833">
            <w:fldChar w:fldCharType="separate"/>
          </w:r>
          <w:r w:rsidR="00E53294" w:rsidRPr="00E53294">
            <w:rPr>
              <w:noProof/>
            </w:rPr>
            <w:t>[18]</w:t>
          </w:r>
          <w:r w:rsidR="00556833">
            <w:fldChar w:fldCharType="end"/>
          </w:r>
        </w:sdtContent>
      </w:sdt>
      <w:r w:rsidR="00641608" w:rsidRPr="00C156E6">
        <w:t>.</w:t>
      </w:r>
      <w:r w:rsidR="007B4EC9" w:rsidRPr="006D1B7A">
        <w:t xml:space="preserve"> </w:t>
      </w:r>
    </w:p>
    <w:p w14:paraId="56B9A197" w14:textId="050E0354" w:rsidR="00787474" w:rsidRPr="006D1B7A" w:rsidRDefault="00787474" w:rsidP="00787474">
      <w:pPr>
        <w:pStyle w:val="Heading3"/>
      </w:pPr>
      <w:r w:rsidRPr="006D1B7A">
        <w:t>Dutyholder factors</w:t>
      </w:r>
    </w:p>
    <w:p w14:paraId="5D5692C3" w14:textId="5BB1407D" w:rsidR="00B808D8" w:rsidRPr="006D1B7A" w:rsidRDefault="005168E3" w:rsidP="000177E0">
      <w:pPr>
        <w:pStyle w:val="Paragraph"/>
      </w:pPr>
      <w:r w:rsidRPr="006D1B7A">
        <w:rPr>
          <w:lang w:eastAsia="en-GB"/>
        </w:rPr>
        <w:t xml:space="preserve">Consideration of dutyholder factors is important when making an enforcement decision as these reflect the inspectors’ knowledge of the dutyholder and their activities. </w:t>
      </w:r>
      <w:r w:rsidRPr="00997B7A">
        <w:rPr>
          <w:b/>
          <w:bCs/>
          <w:lang w:eastAsia="en-GB"/>
        </w:rPr>
        <w:t xml:space="preserve">Dutyholder factors therefore have the potential to </w:t>
      </w:r>
      <w:r w:rsidR="00D5121C" w:rsidRPr="00997B7A">
        <w:rPr>
          <w:b/>
          <w:bCs/>
          <w:lang w:eastAsia="en-GB"/>
        </w:rPr>
        <w:t xml:space="preserve">only </w:t>
      </w:r>
      <w:r w:rsidRPr="00997B7A">
        <w:rPr>
          <w:b/>
          <w:bCs/>
          <w:lang w:eastAsia="en-GB"/>
        </w:rPr>
        <w:t>escalate the enforcement decision from the baseline level</w:t>
      </w:r>
      <w:r w:rsidR="00A32DAC" w:rsidRPr="006D1B7A">
        <w:t xml:space="preserve"> </w:t>
      </w:r>
      <w:r w:rsidR="00787474" w:rsidRPr="006D1B7A">
        <w:t xml:space="preserve">(refer to </w:t>
      </w:r>
      <w:hyperlink w:anchor="_Appendix_E_–" w:history="1">
        <w:r w:rsidR="00D31F16" w:rsidRPr="006D1B7A">
          <w:rPr>
            <w:rStyle w:val="Hyperlink"/>
          </w:rPr>
          <w:t xml:space="preserve">Appendix </w:t>
        </w:r>
        <w:r w:rsidR="00AD6981">
          <w:rPr>
            <w:rStyle w:val="Hyperlink"/>
          </w:rPr>
          <w:t>C</w:t>
        </w:r>
      </w:hyperlink>
      <w:r w:rsidR="00787474" w:rsidRPr="006D1B7A">
        <w:t xml:space="preserve"> for further information on dutyholder factors).</w:t>
      </w:r>
      <w:r w:rsidR="00B808D8" w:rsidRPr="006D1B7A">
        <w:t xml:space="preserve"> </w:t>
      </w:r>
      <w:r w:rsidR="000E110B">
        <w:t xml:space="preserve">There are also dutyholder factors </w:t>
      </w:r>
      <w:r w:rsidR="00E409A1">
        <w:t>where the EPS states we should consider prosecution</w:t>
      </w:r>
      <w:r w:rsidR="000A00BC">
        <w:t xml:space="preserve">, in these instances we would be escalating the BEL to </w:t>
      </w:r>
      <w:r w:rsidR="00287F01">
        <w:t>align</w:t>
      </w:r>
      <w:r w:rsidR="000A00BC">
        <w:t xml:space="preserve"> with the </w:t>
      </w:r>
      <w:r w:rsidR="00692290">
        <w:t xml:space="preserve">expectation of </w:t>
      </w:r>
      <w:r w:rsidR="00287F01">
        <w:t>the EPS.</w:t>
      </w:r>
    </w:p>
    <w:p w14:paraId="5A623511" w14:textId="57426666" w:rsidR="002158E3" w:rsidRPr="006D1B7A" w:rsidRDefault="00B808D8" w:rsidP="000177E0">
      <w:pPr>
        <w:pStyle w:val="Paragraph"/>
      </w:pPr>
      <w:r w:rsidRPr="006D1B7A">
        <w:t>Importantly, just identifying one factor to be relevant doesn’t automatically mean that the BEL should be escalated or equally that only finding one factor means that it should not; it is for the inspector to judge based on their knowledge of the dutyholder what is proportionate in the circumstances</w:t>
      </w:r>
      <w:r w:rsidR="002C26AE" w:rsidRPr="006D1B7A">
        <w:t xml:space="preserve"> – the EMM is only a tool </w:t>
      </w:r>
      <w:r w:rsidR="005F3918" w:rsidRPr="006D1B7A">
        <w:t>to support the inspector in demonstrating alignment to the EPS</w:t>
      </w:r>
      <w:r w:rsidRPr="006D1B7A">
        <w:t xml:space="preserve">. </w:t>
      </w:r>
    </w:p>
    <w:p w14:paraId="2A78F35A" w14:textId="6BEA678A" w:rsidR="00787474" w:rsidRPr="006D1B7A" w:rsidRDefault="002158E3" w:rsidP="000177E0">
      <w:pPr>
        <w:pStyle w:val="Paragraph"/>
      </w:pPr>
      <w:r w:rsidRPr="006D1B7A">
        <w:t xml:space="preserve">The ONR EMM includes a </w:t>
      </w:r>
      <w:r w:rsidR="00280634" w:rsidRPr="006D1B7A">
        <w:t xml:space="preserve">discretionary </w:t>
      </w:r>
      <w:r w:rsidRPr="006D1B7A">
        <w:t xml:space="preserve">peer review which can be used to help inspectors and </w:t>
      </w:r>
      <w:r w:rsidR="0092088F">
        <w:t>HoR</w:t>
      </w:r>
      <w:r w:rsidRPr="006D1B7A">
        <w:t xml:space="preserve"> to consider whether the proposed enforcement action meets the strategic factors, EPS, or if considering prosecution </w:t>
      </w:r>
      <w:hyperlink r:id="rId31" w:history="1">
        <w:r w:rsidRPr="006D1B7A">
          <w:rPr>
            <w:rStyle w:val="Hyperlink"/>
          </w:rPr>
          <w:t>the Code for Crown Prosecutors in England and Wales</w:t>
        </w:r>
      </w:hyperlink>
      <w:r w:rsidRPr="006D1B7A">
        <w:t xml:space="preserve"> or the </w:t>
      </w:r>
      <w:hyperlink r:id="rId32" w:history="1">
        <w:r w:rsidRPr="006D1B7A">
          <w:rPr>
            <w:rStyle w:val="Hyperlink"/>
          </w:rPr>
          <w:t>Prosecutors Code in Scotland</w:t>
        </w:r>
      </w:hyperlink>
      <w:r w:rsidRPr="006D1B7A">
        <w:t xml:space="preserve">. </w:t>
      </w:r>
    </w:p>
    <w:p w14:paraId="616D0A3B" w14:textId="4F04C135" w:rsidR="00057E15" w:rsidRPr="006D1B7A" w:rsidRDefault="00057E15" w:rsidP="00057E15">
      <w:pPr>
        <w:pStyle w:val="Heading3"/>
      </w:pPr>
      <w:r w:rsidRPr="006D1B7A">
        <w:t>Strategic factors</w:t>
      </w:r>
    </w:p>
    <w:p w14:paraId="52AC5530" w14:textId="0106A000" w:rsidR="00E102C4" w:rsidRPr="00093C39" w:rsidRDefault="00E102C4" w:rsidP="000177E0">
      <w:pPr>
        <w:pStyle w:val="Paragraph"/>
      </w:pPr>
      <w:r w:rsidRPr="00093C39">
        <w:t>As well as providing guidance on the evidential tests, the Code for Crown Prosecutors also applies a public interest test to prosecution decisions.</w:t>
      </w:r>
      <w:r w:rsidR="00EA0D43" w:rsidRPr="00093C39">
        <w:t xml:space="preserve"> </w:t>
      </w:r>
      <w:r w:rsidR="00E53294">
        <w:br/>
      </w:r>
      <w:r w:rsidRPr="00093C39">
        <w:t xml:space="preserve">The same principles of evidential sufficiency and public interest apply to all inspector enforcement activities. </w:t>
      </w:r>
    </w:p>
    <w:p w14:paraId="384CFA5D" w14:textId="4F495083" w:rsidR="00E102C4" w:rsidRPr="00F917C6" w:rsidRDefault="00E102C4" w:rsidP="000177E0">
      <w:pPr>
        <w:pStyle w:val="Paragraph"/>
      </w:pPr>
      <w:r w:rsidRPr="00F917C6">
        <w:t xml:space="preserve">There are competing demands on the finite resources available to </w:t>
      </w:r>
      <w:r w:rsidR="00093C39" w:rsidRPr="00F917C6">
        <w:t>ONR</w:t>
      </w:r>
      <w:r w:rsidRPr="00F917C6">
        <w:t xml:space="preserve">, and a balance has to be achieved based upon risk, potential outcomes and public expectations. When considering public interest, inspectors are looking to satisfy themselves that the proposed </w:t>
      </w:r>
      <w:r w:rsidR="00F917C6" w:rsidRPr="00F917C6">
        <w:t xml:space="preserve">enforcement </w:t>
      </w:r>
      <w:r w:rsidRPr="00F917C6">
        <w:t xml:space="preserve">action will produce a net benefit to the wider community in terms of reducing risks, targeting public resources on the most serious risks and the costs of pursuing a particular course of action. </w:t>
      </w:r>
    </w:p>
    <w:p w14:paraId="440A6D8D" w14:textId="77777777" w:rsidR="00E53294" w:rsidRDefault="00E53294" w:rsidP="000177E0">
      <w:pPr>
        <w:pStyle w:val="Paragraph"/>
        <w:sectPr w:rsidR="00E53294" w:rsidSect="001A677D">
          <w:pgSz w:w="11906" w:h="16838" w:code="9"/>
          <w:pgMar w:top="1440" w:right="1440" w:bottom="1440" w:left="1440" w:header="431" w:footer="567" w:gutter="0"/>
          <w:cols w:space="708"/>
          <w:titlePg/>
          <w:docGrid w:linePitch="360"/>
        </w:sectPr>
      </w:pPr>
    </w:p>
    <w:p w14:paraId="634A7657" w14:textId="3A5BE3B4" w:rsidR="00E102C4" w:rsidRPr="00334FC3" w:rsidRDefault="00E102C4" w:rsidP="000177E0">
      <w:pPr>
        <w:pStyle w:val="Paragraph"/>
      </w:pPr>
      <w:r w:rsidRPr="00334FC3">
        <w:lastRenderedPageBreak/>
        <w:t xml:space="preserve">Public interest is a difficult issue to assess. Inspectors should ask themselves what a reasonable person would expect from </w:t>
      </w:r>
      <w:r w:rsidR="00334FC3" w:rsidRPr="00334FC3">
        <w:t>ONR</w:t>
      </w:r>
      <w:r w:rsidRPr="00334FC3">
        <w:t xml:space="preserve"> in the circumstances. A further test is whether the particular decision could be justified in any public forum or inquiry.</w:t>
      </w:r>
    </w:p>
    <w:p w14:paraId="044F00B9" w14:textId="013E4AA8" w:rsidR="009E196A" w:rsidRPr="006D1B7A" w:rsidRDefault="009E196A" w:rsidP="000177E0">
      <w:pPr>
        <w:pStyle w:val="Paragraph"/>
      </w:pPr>
      <w:r w:rsidRPr="006D1B7A">
        <w:t xml:space="preserve">The inspector should test the proposed enforcement action against the strategic factors in </w:t>
      </w:r>
      <w:hyperlink w:anchor="_Appendix_E_–" w:history="1">
        <w:r w:rsidRPr="006D1B7A">
          <w:rPr>
            <w:rStyle w:val="Hyperlink"/>
          </w:rPr>
          <w:t xml:space="preserve">Appendix </w:t>
        </w:r>
        <w:r w:rsidR="004A225C">
          <w:rPr>
            <w:rStyle w:val="Hyperlink"/>
          </w:rPr>
          <w:t>C</w:t>
        </w:r>
      </w:hyperlink>
      <w:r w:rsidRPr="006D1B7A">
        <w:t xml:space="preserve">. </w:t>
      </w:r>
      <w:r w:rsidRPr="000E036F">
        <w:rPr>
          <w:b/>
          <w:bCs/>
        </w:rPr>
        <w:t xml:space="preserve">Application of the strategic factors may leave the recommended enforcement action unaffected, escalate or deescalate it (potentially below the BEL). </w:t>
      </w:r>
    </w:p>
    <w:p w14:paraId="2DEBC3EB" w14:textId="6B32C354" w:rsidR="009A3A39" w:rsidRPr="006D1B7A" w:rsidRDefault="009A3A39" w:rsidP="000177E0">
      <w:pPr>
        <w:pStyle w:val="Paragraph"/>
      </w:pPr>
      <w:r w:rsidRPr="006D1B7A">
        <w:t>In addition to the consideration of any vulnerable groups and the public interest test, strategic factors might include the effect of the proposed enforcement on other national regulators regulating in similar circumstances</w:t>
      </w:r>
      <w:r w:rsidR="005F5B18">
        <w:t xml:space="preserve"> and</w:t>
      </w:r>
      <w:r w:rsidRPr="006D1B7A">
        <w:t xml:space="preserve"> the effect of the decision on other dutyholders. For example, preventing or delaying an activity could lead to an increase in risk elsewhere, which is outside an individual dutyholder’s control.</w:t>
      </w:r>
    </w:p>
    <w:p w14:paraId="208770E6" w14:textId="77777777" w:rsidR="00727D63" w:rsidRPr="006D1B7A" w:rsidRDefault="00727D63" w:rsidP="000177E0">
      <w:pPr>
        <w:pStyle w:val="Paragraph"/>
        <w:rPr>
          <w:caps/>
        </w:rPr>
      </w:pPr>
      <w:r w:rsidRPr="006D1B7A">
        <w:t xml:space="preserve">Not all factors may apply. This is a further aid for inspectors in reaching an enforcement decision. It is important that the inspector makes it clear </w:t>
      </w:r>
      <w:r w:rsidRPr="002F73D8">
        <w:rPr>
          <w:i/>
          <w:iCs/>
        </w:rPr>
        <w:t>which</w:t>
      </w:r>
      <w:r w:rsidRPr="006D1B7A">
        <w:t xml:space="preserve"> factors have been applied in the EDR, and </w:t>
      </w:r>
      <w:r w:rsidRPr="002F73D8">
        <w:rPr>
          <w:i/>
          <w:iCs/>
        </w:rPr>
        <w:t>why</w:t>
      </w:r>
      <w:r w:rsidRPr="006D1B7A">
        <w:t>. ONR will utilise what is recorded in the EDR to support consistent and transparent enforcement decision making</w:t>
      </w:r>
      <w:r w:rsidRPr="006D1B7A">
        <w:rPr>
          <w:caps/>
        </w:rPr>
        <w:t xml:space="preserve">. </w:t>
      </w:r>
    </w:p>
    <w:p w14:paraId="7FD5B6D0" w14:textId="18ED1D80" w:rsidR="00CA42E6" w:rsidRDefault="00CA42E6" w:rsidP="000177E0">
      <w:pPr>
        <w:pStyle w:val="Paragraph"/>
      </w:pPr>
      <w:r w:rsidRPr="00CA42E6">
        <w:t xml:space="preserve">There can also be, on extremely rare occasions, other wider national factors </w:t>
      </w:r>
      <w:r w:rsidRPr="00CA42E6">
        <w:br/>
        <w:t>(beyond the dutyholder and strategic factors described above)</w:t>
      </w:r>
      <w:r w:rsidR="005362C1">
        <w:t xml:space="preserve"> which are beyond ONR remit</w:t>
      </w:r>
      <w:r w:rsidRPr="00CA42E6">
        <w:t xml:space="preserve">, such as ‘in the interests of national security’, where </w:t>
      </w:r>
      <w:r>
        <w:t>ONR</w:t>
      </w:r>
      <w:r w:rsidRPr="00CA42E6">
        <w:t xml:space="preserve"> do</w:t>
      </w:r>
      <w:r w:rsidR="00C975DA">
        <w:t>es</w:t>
      </w:r>
      <w:r w:rsidRPr="00CA42E6">
        <w:t xml:space="preserve"> not have sufficient knowledge of the considerations involved, nor the legal authority, to judge the significance of such factors</w:t>
      </w:r>
      <w:r>
        <w:t xml:space="preserve">. For further </w:t>
      </w:r>
      <w:r w:rsidR="00E60098">
        <w:t xml:space="preserve">guidance on strategic factors as part of </w:t>
      </w:r>
      <w:r w:rsidR="005F22C5">
        <w:t>regulatory decision making</w:t>
      </w:r>
      <w:r w:rsidR="00E53294">
        <w:t>,</w:t>
      </w:r>
      <w:r w:rsidR="005F22C5">
        <w:t xml:space="preserve"> </w:t>
      </w:r>
      <w:r w:rsidR="00E53294">
        <w:t xml:space="preserve">refer to </w:t>
      </w:r>
      <w:sdt>
        <w:sdtPr>
          <w:id w:val="-1174882483"/>
          <w:citation/>
        </w:sdtPr>
        <w:sdtEndPr/>
        <w:sdtContent>
          <w:r w:rsidR="002543A1">
            <w:fldChar w:fldCharType="begin"/>
          </w:r>
          <w:r w:rsidR="00E53294">
            <w:instrText xml:space="preserve">CITATION ONR \l 2057 </w:instrText>
          </w:r>
          <w:r w:rsidR="002543A1">
            <w:fldChar w:fldCharType="separate"/>
          </w:r>
          <w:r w:rsidR="00E53294" w:rsidRPr="00E53294">
            <w:rPr>
              <w:noProof/>
            </w:rPr>
            <w:t>[18]</w:t>
          </w:r>
          <w:r w:rsidR="002543A1">
            <w:fldChar w:fldCharType="end"/>
          </w:r>
        </w:sdtContent>
      </w:sdt>
      <w:r w:rsidR="002543A1">
        <w:t>.</w:t>
      </w:r>
    </w:p>
    <w:p w14:paraId="39475D1E" w14:textId="2072C4E3" w:rsidR="00B17799" w:rsidRPr="006D1B7A" w:rsidRDefault="009E2119" w:rsidP="001C6EE9">
      <w:pPr>
        <w:pStyle w:val="Heading2"/>
      </w:pPr>
      <w:bookmarkStart w:id="27" w:name="_Toc46136923"/>
      <w:bookmarkStart w:id="28" w:name="_Toc213836316"/>
      <w:r w:rsidRPr="006D1B7A">
        <w:t>Making an e</w:t>
      </w:r>
      <w:r w:rsidR="00B17799" w:rsidRPr="006D1B7A">
        <w:t xml:space="preserve">nforcement </w:t>
      </w:r>
      <w:r w:rsidRPr="006D1B7A">
        <w:t>decision</w:t>
      </w:r>
      <w:bookmarkEnd w:id="27"/>
      <w:bookmarkEnd w:id="28"/>
    </w:p>
    <w:p w14:paraId="6EDD6B29" w14:textId="6E24C447" w:rsidR="006A1794" w:rsidRDefault="0043162C" w:rsidP="000177E0">
      <w:pPr>
        <w:pStyle w:val="Paragraph"/>
      </w:pPr>
      <w:r>
        <w:t>For</w:t>
      </w:r>
      <w:r w:rsidR="003168F3">
        <w:t xml:space="preserve"> the enforcement action recommendation </w:t>
      </w:r>
      <w:r w:rsidR="00E81655">
        <w:t>the inspector will be drawing together</w:t>
      </w:r>
      <w:r>
        <w:t>;</w:t>
      </w:r>
      <w:r w:rsidR="00E81655">
        <w:t xml:space="preserve"> the BEL, application of factors, the actions / response taken by the dutyholder</w:t>
      </w:r>
      <w:r w:rsidR="00593F53">
        <w:t xml:space="preserve">. </w:t>
      </w:r>
      <w:r w:rsidR="00593F53" w:rsidRPr="00593F53">
        <w:t xml:space="preserve">The inspector should use these to inform their judgement </w:t>
      </w:r>
      <w:r w:rsidR="00DD25E2">
        <w:t xml:space="preserve">to arrive at the enforcement action which is most </w:t>
      </w:r>
      <w:r w:rsidR="006A1794">
        <w:t>appropriate in the circumstances.</w:t>
      </w:r>
    </w:p>
    <w:p w14:paraId="01CC1E12" w14:textId="1E544396" w:rsidR="00B17799" w:rsidRPr="006D1B7A" w:rsidRDefault="00B17799" w:rsidP="000177E0">
      <w:pPr>
        <w:pStyle w:val="Paragraph"/>
      </w:pPr>
      <w:r w:rsidRPr="006D1B7A">
        <w:t xml:space="preserve">The inspector </w:t>
      </w:r>
      <w:r w:rsidR="006A1794">
        <w:t>will be</w:t>
      </w:r>
      <w:r w:rsidRPr="006D1B7A">
        <w:t xml:space="preserve"> ensur</w:t>
      </w:r>
      <w:r w:rsidR="006A1794">
        <w:t>ing</w:t>
      </w:r>
      <w:r w:rsidRPr="006D1B7A">
        <w:t xml:space="preserve"> that the enforcement </w:t>
      </w:r>
      <w:r w:rsidR="009E2119" w:rsidRPr="006D1B7A">
        <w:t>decision</w:t>
      </w:r>
      <w:r w:rsidR="00E53294">
        <w:t xml:space="preserve"> </w:t>
      </w:r>
      <w:r w:rsidR="009E2119" w:rsidRPr="006D1B7A">
        <w:t>/</w:t>
      </w:r>
      <w:r w:rsidR="00E53294">
        <w:t xml:space="preserve"> </w:t>
      </w:r>
      <w:r w:rsidR="009E2119" w:rsidRPr="006D1B7A">
        <w:t>action</w:t>
      </w:r>
      <w:r w:rsidR="00E53294">
        <w:t xml:space="preserve"> </w:t>
      </w:r>
      <w:r w:rsidR="009E2119" w:rsidRPr="006D1B7A">
        <w:t xml:space="preserve">/ </w:t>
      </w:r>
      <w:r w:rsidRPr="006D1B7A">
        <w:t>recommendation takes account of the following principles in relation to the priorities for action:</w:t>
      </w:r>
    </w:p>
    <w:p w14:paraId="0EAA47AC" w14:textId="1C8EC4CB" w:rsidR="00B17799" w:rsidRPr="006D1B7A" w:rsidRDefault="00B17799" w:rsidP="001A677D">
      <w:pPr>
        <w:pStyle w:val="Bulletlist1"/>
      </w:pPr>
      <w:r w:rsidRPr="006D1B7A">
        <w:t xml:space="preserve">Does the enforcement </w:t>
      </w:r>
      <w:r w:rsidR="00BC4E93" w:rsidRPr="006D1B7A">
        <w:t xml:space="preserve">decision/action/recommendation </w:t>
      </w:r>
      <w:r w:rsidRPr="006D1B7A">
        <w:t>deal with the most serious risks in order of priority, and in appropriate timescales?</w:t>
      </w:r>
    </w:p>
    <w:p w14:paraId="358C4EA1" w14:textId="77777777" w:rsidR="00B17799" w:rsidRPr="006D1B7A" w:rsidRDefault="00B17799" w:rsidP="001A677D">
      <w:pPr>
        <w:pStyle w:val="Bulletlist1"/>
        <w:rPr>
          <w:b/>
          <w:caps/>
        </w:rPr>
      </w:pPr>
      <w:r w:rsidRPr="006D1B7A">
        <w:t>Are underlying causes addressed?</w:t>
      </w:r>
    </w:p>
    <w:p w14:paraId="62B1495B" w14:textId="0A95CEC5" w:rsidR="00B17799" w:rsidRPr="006D1B7A" w:rsidRDefault="00B17799" w:rsidP="001A677D">
      <w:pPr>
        <w:pStyle w:val="Bulletlist1"/>
        <w:rPr>
          <w:caps/>
        </w:rPr>
      </w:pPr>
      <w:r w:rsidRPr="006D1B7A">
        <w:lastRenderedPageBreak/>
        <w:t xml:space="preserve">Does the enforcement </w:t>
      </w:r>
      <w:r w:rsidR="00BC4E93" w:rsidRPr="006D1B7A">
        <w:t>decision</w:t>
      </w:r>
      <w:r w:rsidR="00E53294">
        <w:t xml:space="preserve"> </w:t>
      </w:r>
      <w:r w:rsidR="00BC4E93" w:rsidRPr="006D1B7A">
        <w:t>/</w:t>
      </w:r>
      <w:r w:rsidR="00E53294">
        <w:t xml:space="preserve"> </w:t>
      </w:r>
      <w:r w:rsidR="00BC4E93" w:rsidRPr="006D1B7A">
        <w:t>action</w:t>
      </w:r>
      <w:r w:rsidR="00E53294">
        <w:t xml:space="preserve"> </w:t>
      </w:r>
      <w:r w:rsidR="00BC4E93" w:rsidRPr="006D1B7A">
        <w:t>/</w:t>
      </w:r>
      <w:r w:rsidR="00E53294">
        <w:t xml:space="preserve"> </w:t>
      </w:r>
      <w:r w:rsidR="00BC4E93" w:rsidRPr="006D1B7A">
        <w:t xml:space="preserve">recommendation </w:t>
      </w:r>
      <w:r w:rsidRPr="006D1B7A">
        <w:t xml:space="preserve">take account of the scale of the failures, </w:t>
      </w:r>
      <w:r w:rsidR="00E7390C" w:rsidRPr="006D1B7A">
        <w:t>for example,</w:t>
      </w:r>
      <w:r w:rsidRPr="006D1B7A">
        <w:t xml:space="preserve"> isolated or multiple failures?</w:t>
      </w:r>
    </w:p>
    <w:p w14:paraId="46582437" w14:textId="5F07084F" w:rsidR="00B17799" w:rsidRPr="00FF5693" w:rsidRDefault="00B17799" w:rsidP="001A677D">
      <w:pPr>
        <w:pStyle w:val="Bulletlist1"/>
        <w:rPr>
          <w:caps/>
        </w:rPr>
      </w:pPr>
      <w:r w:rsidRPr="006D1B7A">
        <w:t xml:space="preserve">Does the enforcement </w:t>
      </w:r>
      <w:r w:rsidR="00BC4E93" w:rsidRPr="006D1B7A">
        <w:t xml:space="preserve">decision/action/recommendation </w:t>
      </w:r>
      <w:r w:rsidRPr="006D1B7A">
        <w:t xml:space="preserve">deal with the fundamental cause of the problem(s), </w:t>
      </w:r>
      <w:r w:rsidR="00B96777" w:rsidRPr="006D1B7A">
        <w:t>for example,</w:t>
      </w:r>
      <w:r w:rsidRPr="006D1B7A">
        <w:t xml:space="preserve"> workplace precautions, risk control systems or management arrangements?</w:t>
      </w:r>
    </w:p>
    <w:p w14:paraId="61F13C27" w14:textId="138838C8" w:rsidR="00DF658F" w:rsidRPr="006D1B7A" w:rsidRDefault="008747E8" w:rsidP="001A677D">
      <w:pPr>
        <w:pStyle w:val="Bulletlist1"/>
      </w:pPr>
      <w:r>
        <w:t>W</w:t>
      </w:r>
      <w:r w:rsidR="00FF5693" w:rsidRPr="006D1B7A">
        <w:t>hether the proposed enforcement action meets the EPS in terms of principles and expectations (such as the expectation of when ONR would consider prosecution)</w:t>
      </w:r>
      <w:r w:rsidR="00DF658F">
        <w:t>.</w:t>
      </w:r>
    </w:p>
    <w:p w14:paraId="6585159E" w14:textId="77777777" w:rsidR="00DF0EE2" w:rsidRPr="006D1B7A" w:rsidRDefault="00DF0EE2" w:rsidP="00DF0EE2">
      <w:pPr>
        <w:pStyle w:val="Heading2"/>
      </w:pPr>
      <w:bookmarkStart w:id="29" w:name="_Toc213836317"/>
      <w:r w:rsidRPr="006D1B7A">
        <w:t>Recording the application of the enforcement decision</w:t>
      </w:r>
      <w:bookmarkEnd w:id="29"/>
      <w:r w:rsidRPr="006D1B7A">
        <w:t xml:space="preserve"> </w:t>
      </w:r>
    </w:p>
    <w:p w14:paraId="58DB612A" w14:textId="214C8089" w:rsidR="00DF0EE2" w:rsidRPr="006D1B7A" w:rsidRDefault="00DF0EE2" w:rsidP="000177E0">
      <w:pPr>
        <w:pStyle w:val="Paragraph"/>
      </w:pPr>
      <w:r w:rsidRPr="006D1B7A">
        <w:t>An EDR</w:t>
      </w:r>
      <w:r w:rsidR="00A174D1">
        <w:t xml:space="preserve"> </w:t>
      </w:r>
      <w:r w:rsidRPr="006D1B7A">
        <w:rPr>
          <w:szCs w:val="36"/>
        </w:rPr>
        <w:t>must be completed for</w:t>
      </w:r>
      <w:r w:rsidRPr="006D1B7A">
        <w:t xml:space="preserve"> any decision where formal enforcement is a realistic possibility (BEL or final decision). </w:t>
      </w:r>
      <w:r w:rsidR="003570D9">
        <w:t>Additionally</w:t>
      </w:r>
      <w:r w:rsidRPr="006D1B7A">
        <w:t xml:space="preserve">, </w:t>
      </w:r>
      <w:r w:rsidR="00551382" w:rsidRPr="006D1B7A">
        <w:t xml:space="preserve">an EDR is </w:t>
      </w:r>
      <w:r w:rsidR="004878A2" w:rsidRPr="006D1B7A">
        <w:t>a</w:t>
      </w:r>
      <w:r w:rsidR="002C184B" w:rsidRPr="006D1B7A">
        <w:t xml:space="preserve"> useful</w:t>
      </w:r>
      <w:r w:rsidR="004878A2" w:rsidRPr="006D1B7A">
        <w:t xml:space="preserve"> auditable trail for all enforcement decisions and an inspector may utilise </w:t>
      </w:r>
      <w:r w:rsidR="00E56B22" w:rsidRPr="006D1B7A">
        <w:t xml:space="preserve">the template </w:t>
      </w:r>
      <w:r w:rsidR="00042EC8">
        <w:t>as a concise summary</w:t>
      </w:r>
      <w:r w:rsidR="00592E72">
        <w:t xml:space="preserve"> of enforcement decision making</w:t>
      </w:r>
      <w:r w:rsidR="00E56B22" w:rsidRPr="006D1B7A">
        <w:t xml:space="preserve"> </w:t>
      </w:r>
      <w:r w:rsidR="002C184B" w:rsidRPr="006D1B7A">
        <w:t xml:space="preserve">to support </w:t>
      </w:r>
      <w:r w:rsidR="00572CA6">
        <w:t>articulating their decision</w:t>
      </w:r>
      <w:r w:rsidR="00017513" w:rsidRPr="006D1B7A">
        <w:t>.</w:t>
      </w:r>
      <w:r w:rsidR="002A3A20">
        <w:t xml:space="preserve"> </w:t>
      </w:r>
    </w:p>
    <w:p w14:paraId="16B008C4" w14:textId="0BB2B367" w:rsidR="00BC4E93" w:rsidRPr="006D1B7A" w:rsidRDefault="000507C4" w:rsidP="00BC4E93">
      <w:pPr>
        <w:pStyle w:val="Heading2"/>
      </w:pPr>
      <w:bookmarkStart w:id="30" w:name="_Toc213836318"/>
      <w:r w:rsidRPr="006D1B7A">
        <w:t>R</w:t>
      </w:r>
      <w:r w:rsidR="00BC4E93" w:rsidRPr="006D1B7A">
        <w:t>eview of decision</w:t>
      </w:r>
      <w:bookmarkEnd w:id="30"/>
    </w:p>
    <w:p w14:paraId="05898810" w14:textId="5E0AFD11" w:rsidR="000507C4" w:rsidRPr="006D1B7A" w:rsidRDefault="000507C4" w:rsidP="000507C4">
      <w:pPr>
        <w:pStyle w:val="Heading3"/>
      </w:pPr>
      <w:r w:rsidRPr="006D1B7A">
        <w:t>Peer review</w:t>
      </w:r>
    </w:p>
    <w:p w14:paraId="0B1FF8BF" w14:textId="7443E3AD" w:rsidR="00D80E30" w:rsidRPr="006D1B7A" w:rsidRDefault="00D80E30" w:rsidP="000177E0">
      <w:pPr>
        <w:pStyle w:val="Paragraph"/>
      </w:pPr>
      <w:r w:rsidRPr="006D1B7A">
        <w:t xml:space="preserve">The inspector may request a peer review of their proposed enforcement action, prior to the EDR being submitted to the </w:t>
      </w:r>
      <w:r w:rsidR="00E756DD">
        <w:t>HoR</w:t>
      </w:r>
      <w:r w:rsidRPr="006D1B7A">
        <w:t xml:space="preserve"> for review and approval.  A peer review is not mandatory</w:t>
      </w:r>
      <w:r w:rsidR="0016035D" w:rsidRPr="006D1B7A">
        <w:t>, h</w:t>
      </w:r>
      <w:r w:rsidRPr="006D1B7A">
        <w:t xml:space="preserve">owever, a peer review </w:t>
      </w:r>
      <w:r w:rsidR="0099697B" w:rsidRPr="006D1B7A">
        <w:t xml:space="preserve">can support </w:t>
      </w:r>
      <w:r w:rsidR="00037BD4" w:rsidRPr="006D1B7A">
        <w:t xml:space="preserve">inspector decision making, especially if building experience in relation to this regulatory activity. </w:t>
      </w:r>
    </w:p>
    <w:p w14:paraId="72637965" w14:textId="3F7DD5CE" w:rsidR="000507C4" w:rsidRPr="006D1B7A" w:rsidRDefault="000507C4" w:rsidP="000507C4">
      <w:pPr>
        <w:pStyle w:val="Heading3"/>
      </w:pPr>
      <w:r w:rsidRPr="006D1B7A">
        <w:t>Final review by Head of Regulation</w:t>
      </w:r>
    </w:p>
    <w:p w14:paraId="0627257B" w14:textId="6448CEB2" w:rsidR="00B17799" w:rsidRPr="006D1B7A" w:rsidRDefault="00B17799" w:rsidP="000177E0">
      <w:pPr>
        <w:pStyle w:val="Paragraph"/>
      </w:pPr>
      <w:r w:rsidRPr="006D1B7A">
        <w:t xml:space="preserve">Once the inspector has recommended an enforcement action in the EDR, and a peer review (if one is to be performed) has been completed, the </w:t>
      </w:r>
      <w:r w:rsidR="00E756DD">
        <w:t>HoR</w:t>
      </w:r>
      <w:r w:rsidRPr="006D1B7A">
        <w:t xml:space="preserve"> </w:t>
      </w:r>
      <w:r w:rsidR="00F4495E" w:rsidRPr="006D1B7A">
        <w:t>will</w:t>
      </w:r>
      <w:r w:rsidRPr="006D1B7A">
        <w:t xml:space="preserve"> review </w:t>
      </w:r>
      <w:r w:rsidR="00CB5991">
        <w:t>the enforcement decision</w:t>
      </w:r>
      <w:r w:rsidR="00D27F50">
        <w:t xml:space="preserve"> and </w:t>
      </w:r>
      <w:r w:rsidR="00446409">
        <w:t>recommendation</w:t>
      </w:r>
      <w:r w:rsidRPr="006D1B7A">
        <w:t xml:space="preserve"> </w:t>
      </w:r>
      <w:r w:rsidR="00446409">
        <w:t>to</w:t>
      </w:r>
      <w:r w:rsidRPr="006D1B7A">
        <w:t xml:space="preserve"> decide the most appropriate enforcement action to implement. This review </w:t>
      </w:r>
      <w:r w:rsidR="00F4495E" w:rsidRPr="006D1B7A">
        <w:t>must</w:t>
      </w:r>
      <w:r w:rsidRPr="006D1B7A">
        <w:t xml:space="preserve"> be proportionate to the </w:t>
      </w:r>
      <w:r w:rsidR="0055341D">
        <w:t xml:space="preserve">enforcement </w:t>
      </w:r>
      <w:r w:rsidRPr="006D1B7A">
        <w:t xml:space="preserve">action being recommended to support consistency and credibility of enforcement decisions in ONR.    </w:t>
      </w:r>
    </w:p>
    <w:p w14:paraId="4C8AC6E7" w14:textId="55D09727" w:rsidR="00B17799" w:rsidRPr="006D1B7A" w:rsidRDefault="00B17799" w:rsidP="000177E0">
      <w:pPr>
        <w:pStyle w:val="Paragraph"/>
      </w:pPr>
      <w:r w:rsidRPr="006D1B7A">
        <w:t xml:space="preserve">The review process requires the </w:t>
      </w:r>
      <w:r w:rsidR="00E53294">
        <w:t>HoR</w:t>
      </w:r>
      <w:r w:rsidRPr="006D1B7A">
        <w:t xml:space="preserve"> to consider</w:t>
      </w:r>
      <w:r w:rsidR="007133B1" w:rsidRPr="006D1B7A">
        <w:t>:</w:t>
      </w:r>
    </w:p>
    <w:p w14:paraId="02FD605E" w14:textId="77777777" w:rsidR="00B17799" w:rsidRPr="006D1B7A" w:rsidRDefault="00B17799" w:rsidP="001A677D">
      <w:pPr>
        <w:pStyle w:val="Bulletlist1"/>
      </w:pPr>
      <w:r w:rsidRPr="006D1B7A">
        <w:t>that the application and evidence for dutyholder factors has been appropriately applied if the BEL has been escalated.</w:t>
      </w:r>
    </w:p>
    <w:p w14:paraId="4D669E76" w14:textId="4F9978D6" w:rsidR="00B17799" w:rsidRPr="006D1B7A" w:rsidRDefault="00B17799" w:rsidP="001A677D">
      <w:pPr>
        <w:pStyle w:val="Bulletlist1"/>
      </w:pPr>
      <w:r w:rsidRPr="006D1B7A">
        <w:t>that the application of strategic factors is addressed by the proposed enforcement action</w:t>
      </w:r>
      <w:r w:rsidR="006A0020">
        <w:t xml:space="preserve"> – noting that not all may apply</w:t>
      </w:r>
      <w:r w:rsidRPr="006D1B7A">
        <w:t>.</w:t>
      </w:r>
    </w:p>
    <w:p w14:paraId="74D9E411" w14:textId="66AD5BE2" w:rsidR="00B17799" w:rsidRPr="006D1B7A" w:rsidRDefault="00B17799" w:rsidP="001A677D">
      <w:pPr>
        <w:pStyle w:val="Bulletlist1"/>
      </w:pPr>
      <w:r w:rsidRPr="006D1B7A">
        <w:lastRenderedPageBreak/>
        <w:t>whether the proposed enforcement action meets the EPS</w:t>
      </w:r>
      <w:r w:rsidR="00572551" w:rsidRPr="006D1B7A">
        <w:t xml:space="preserve"> in terms of principles and expectations</w:t>
      </w:r>
      <w:r w:rsidR="001F180A" w:rsidRPr="006D1B7A">
        <w:t xml:space="preserve"> (such as the expectation of when ONR would consider prosecution)</w:t>
      </w:r>
      <w:r w:rsidRPr="006D1B7A">
        <w:t xml:space="preserve">, </w:t>
      </w:r>
    </w:p>
    <w:p w14:paraId="660F50CA" w14:textId="77777777" w:rsidR="00B17799" w:rsidRPr="006D1B7A" w:rsidRDefault="00B17799" w:rsidP="001A677D">
      <w:pPr>
        <w:pStyle w:val="Bulletlist1"/>
      </w:pPr>
      <w:r w:rsidRPr="006D1B7A">
        <w:t>that, for consideration of prosecution, the enforcement action meets the Code for Crown Prosecutors in England and Wales or the Prosecutors Code in Scotland.</w:t>
      </w:r>
    </w:p>
    <w:p w14:paraId="31914D2D" w14:textId="7D2FC972" w:rsidR="00E07EE6" w:rsidRPr="006D1B7A" w:rsidRDefault="00E07EE6" w:rsidP="000177E0">
      <w:pPr>
        <w:pStyle w:val="Paragraph"/>
      </w:pPr>
      <w:r w:rsidRPr="006D1B7A">
        <w:t xml:space="preserve">There may be specific circumstances where the </w:t>
      </w:r>
      <w:r w:rsidR="00B10FC5">
        <w:t>HoR</w:t>
      </w:r>
      <w:r w:rsidRPr="006D1B7A">
        <w:t xml:space="preserve"> judges that an alternative enforcement approach to the recommendation is merited (including perhaps below the BEL). Example</w:t>
      </w:r>
      <w:r w:rsidR="00AB18A1">
        <w:t>s</w:t>
      </w:r>
      <w:r w:rsidRPr="006D1B7A">
        <w:t xml:space="preserve"> m</w:t>
      </w:r>
      <w:r w:rsidR="00834236" w:rsidRPr="006D1B7A">
        <w:t>ay</w:t>
      </w:r>
      <w:r w:rsidRPr="006D1B7A">
        <w:t xml:space="preserve"> include where the site</w:t>
      </w:r>
      <w:r w:rsidR="00E53294">
        <w:t xml:space="preserve"> </w:t>
      </w:r>
      <w:r w:rsidR="00F35EA4">
        <w:t>/</w:t>
      </w:r>
      <w:r w:rsidR="00E53294">
        <w:t xml:space="preserve"> </w:t>
      </w:r>
      <w:r w:rsidR="00F35EA4">
        <w:t>dutyholder</w:t>
      </w:r>
      <w:r w:rsidRPr="006D1B7A">
        <w:t xml:space="preserve"> is under enhanced</w:t>
      </w:r>
      <w:r w:rsidR="00E53294">
        <w:t xml:space="preserve"> </w:t>
      </w:r>
      <w:r w:rsidRPr="006D1B7A">
        <w:t>/</w:t>
      </w:r>
      <w:r w:rsidR="00E53294">
        <w:t xml:space="preserve"> </w:t>
      </w:r>
      <w:r w:rsidRPr="006D1B7A">
        <w:t>significantly enhanced regulatory attention</w:t>
      </w:r>
      <w:r w:rsidR="00C65AEF" w:rsidRPr="006D1B7A">
        <w:t xml:space="preserve"> </w:t>
      </w:r>
      <w:sdt>
        <w:sdtPr>
          <w:id w:val="-733853612"/>
          <w:citation/>
        </w:sdtPr>
        <w:sdtEndPr/>
        <w:sdtContent>
          <w:r w:rsidR="00C65AEF" w:rsidRPr="00DA2902">
            <w:fldChar w:fldCharType="begin"/>
          </w:r>
          <w:r w:rsidR="00C65AEF" w:rsidRPr="00DA2902">
            <w:instrText xml:space="preserve"> CITATION ONR177 \l 2057 </w:instrText>
          </w:r>
          <w:r w:rsidR="00C65AEF" w:rsidRPr="00DA2902">
            <w:fldChar w:fldCharType="separate"/>
          </w:r>
          <w:r w:rsidR="00EB346B" w:rsidRPr="00EB346B">
            <w:rPr>
              <w:noProof/>
            </w:rPr>
            <w:t>[20]</w:t>
          </w:r>
          <w:r w:rsidR="00C65AEF" w:rsidRPr="00DA2902">
            <w:fldChar w:fldCharType="end"/>
          </w:r>
        </w:sdtContent>
      </w:sdt>
      <w:r w:rsidRPr="006D1B7A">
        <w:t xml:space="preserve"> and so is subject to a specific enforcement strategy</w:t>
      </w:r>
      <w:r w:rsidR="00B47983" w:rsidRPr="00B47983">
        <w:t xml:space="preserve"> or where a strategic level regulatory initiative is taking place to improve risk management and where multiple formal enforcement actions may be detrimental to its delivery. </w:t>
      </w:r>
      <w:r w:rsidRPr="006D1B7A">
        <w:t xml:space="preserve">. </w:t>
      </w:r>
    </w:p>
    <w:p w14:paraId="3D03118D" w14:textId="64B3AD3E" w:rsidR="0028318D" w:rsidRPr="006D1B7A" w:rsidRDefault="00B17799" w:rsidP="000177E0">
      <w:pPr>
        <w:pStyle w:val="Paragraph"/>
      </w:pPr>
      <w:r w:rsidRPr="006D1B7A">
        <w:t xml:space="preserve">If the </w:t>
      </w:r>
      <w:r w:rsidR="008A405C">
        <w:t>HoR</w:t>
      </w:r>
      <w:r w:rsidR="00BC134C" w:rsidRPr="006D1B7A">
        <w:t xml:space="preserve"> </w:t>
      </w:r>
      <w:r w:rsidRPr="006D1B7A">
        <w:t xml:space="preserve">review concludes that a different enforcement outcome to that recommended is appropriate, or the enforcement outcome is below the BEL, then this </w:t>
      </w:r>
      <w:r w:rsidR="00927EA2" w:rsidRPr="006D1B7A">
        <w:t>must</w:t>
      </w:r>
      <w:r w:rsidRPr="006D1B7A">
        <w:t xml:space="preserve"> be justified explicitly by the </w:t>
      </w:r>
      <w:r w:rsidR="008A405C">
        <w:t>HoR</w:t>
      </w:r>
      <w:r w:rsidR="00BC134C" w:rsidRPr="006D1B7A">
        <w:t xml:space="preserve"> </w:t>
      </w:r>
      <w:r w:rsidRPr="006D1B7A">
        <w:t xml:space="preserve">in the EDR. The justification </w:t>
      </w:r>
      <w:r w:rsidR="00927EA2" w:rsidRPr="006D1B7A">
        <w:t>will</w:t>
      </w:r>
      <w:r w:rsidRPr="006D1B7A">
        <w:t xml:space="preserve"> also be subject to a separate confirmatory review (usually by the </w:t>
      </w:r>
      <w:r w:rsidR="007C5656" w:rsidRPr="006D1B7A">
        <w:t xml:space="preserve">most appropriate </w:t>
      </w:r>
      <w:r w:rsidR="00E53294">
        <w:t>Head of Profession</w:t>
      </w:r>
      <w:r w:rsidR="00BC134C" w:rsidRPr="006D1B7A">
        <w:t xml:space="preserve"> </w:t>
      </w:r>
      <w:r w:rsidR="00E53294">
        <w:t xml:space="preserve">(HoP) </w:t>
      </w:r>
      <w:r w:rsidR="00BC134C" w:rsidRPr="006D1B7A">
        <w:t xml:space="preserve">for </w:t>
      </w:r>
      <w:r w:rsidR="00516197" w:rsidRPr="006D1B7A">
        <w:t xml:space="preserve">Safety, </w:t>
      </w:r>
      <w:r w:rsidR="00E05798" w:rsidRPr="006D1B7A">
        <w:t>Security or Safeguards</w:t>
      </w:r>
      <w:r w:rsidR="00BC134C" w:rsidRPr="006D1B7A">
        <w:t>, on behalf of the Technical Director</w:t>
      </w:r>
      <w:r w:rsidRPr="006D1B7A">
        <w:t xml:space="preserve">), who will act independently to advise the </w:t>
      </w:r>
      <w:r w:rsidR="009A346E">
        <w:t>HoR</w:t>
      </w:r>
      <w:r w:rsidR="00BC134C" w:rsidRPr="006D1B7A">
        <w:t xml:space="preserve"> </w:t>
      </w:r>
      <w:r w:rsidRPr="006D1B7A">
        <w:t xml:space="preserve">and to ensure consistency in the use of such justifications.  </w:t>
      </w:r>
    </w:p>
    <w:p w14:paraId="13FE255D" w14:textId="52857BD2" w:rsidR="00B17799" w:rsidRPr="006D1B7A" w:rsidRDefault="00B17799" w:rsidP="000177E0">
      <w:pPr>
        <w:pStyle w:val="Paragraph"/>
      </w:pPr>
      <w:r w:rsidRPr="006D1B7A">
        <w:t xml:space="preserve">If there is a difference of opinion between any party in relation to the enforcement decision, then this should be rectified before the decision is enacted by utilising ONR’s process for </w:t>
      </w:r>
      <w:r w:rsidR="000507C4" w:rsidRPr="006D1B7A">
        <w:t>r</w:t>
      </w:r>
      <w:r w:rsidRPr="006D1B7A">
        <w:t xml:space="preserve">esolving </w:t>
      </w:r>
      <w:r w:rsidR="000507C4" w:rsidRPr="006D1B7A">
        <w:t>d</w:t>
      </w:r>
      <w:r w:rsidRPr="006D1B7A">
        <w:t xml:space="preserve">ifferences of </w:t>
      </w:r>
      <w:r w:rsidR="000507C4" w:rsidRPr="006D1B7A">
        <w:t>r</w:t>
      </w:r>
      <w:r w:rsidRPr="006D1B7A">
        <w:t xml:space="preserve">egulatory </w:t>
      </w:r>
      <w:r w:rsidR="000507C4" w:rsidRPr="0093363E">
        <w:t>o</w:t>
      </w:r>
      <w:r w:rsidRPr="0093363E">
        <w:t>pinion</w:t>
      </w:r>
      <w:r w:rsidR="000507C4" w:rsidRPr="0093363E">
        <w:t xml:space="preserve"> </w:t>
      </w:r>
      <w:sdt>
        <w:sdtPr>
          <w:id w:val="1303423217"/>
          <w:citation/>
        </w:sdtPr>
        <w:sdtEndPr/>
        <w:sdtContent>
          <w:r w:rsidR="000507C4" w:rsidRPr="0093363E">
            <w:fldChar w:fldCharType="begin"/>
          </w:r>
          <w:r w:rsidR="000507C4" w:rsidRPr="0093363E">
            <w:instrText xml:space="preserve"> CITATION ONR439 \l 2057 </w:instrText>
          </w:r>
          <w:r w:rsidR="000507C4" w:rsidRPr="0093363E">
            <w:fldChar w:fldCharType="separate"/>
          </w:r>
          <w:r w:rsidR="00EB346B" w:rsidRPr="00EB346B">
            <w:rPr>
              <w:noProof/>
            </w:rPr>
            <w:t>[21]</w:t>
          </w:r>
          <w:r w:rsidR="000507C4" w:rsidRPr="0093363E">
            <w:fldChar w:fldCharType="end"/>
          </w:r>
        </w:sdtContent>
      </w:sdt>
      <w:r w:rsidR="000507C4" w:rsidRPr="006D1B7A">
        <w:t>.</w:t>
      </w:r>
    </w:p>
    <w:p w14:paraId="17EC1816" w14:textId="0E923D35" w:rsidR="00B17799" w:rsidRPr="006D1B7A" w:rsidRDefault="006568B3" w:rsidP="001C6EE9">
      <w:pPr>
        <w:pStyle w:val="Heading2"/>
      </w:pPr>
      <w:bookmarkStart w:id="31" w:name="_Toc46136926"/>
      <w:bookmarkStart w:id="32" w:name="_Toc213836319"/>
      <w:r w:rsidRPr="006D1B7A">
        <w:t xml:space="preserve">Implement </w:t>
      </w:r>
      <w:r w:rsidR="00C63253" w:rsidRPr="006D1B7A">
        <w:t xml:space="preserve">enforcement </w:t>
      </w:r>
      <w:r w:rsidRPr="006D1B7A">
        <w:t>action and communicate</w:t>
      </w:r>
      <w:r w:rsidR="00B17799" w:rsidRPr="006D1B7A">
        <w:t xml:space="preserve"> </w:t>
      </w:r>
      <w:r w:rsidRPr="006D1B7A">
        <w:t xml:space="preserve">decision to </w:t>
      </w:r>
      <w:r w:rsidR="00C10FA0" w:rsidRPr="006D1B7A">
        <w:t>d</w:t>
      </w:r>
      <w:r w:rsidR="009B7814" w:rsidRPr="006D1B7A">
        <w:t>utyholder</w:t>
      </w:r>
      <w:bookmarkEnd w:id="31"/>
      <w:bookmarkEnd w:id="32"/>
    </w:p>
    <w:p w14:paraId="5764B96A" w14:textId="6870ABD3" w:rsidR="00B17799" w:rsidRPr="006D1B7A" w:rsidRDefault="00B17799" w:rsidP="000177E0">
      <w:pPr>
        <w:pStyle w:val="Paragraph"/>
      </w:pPr>
      <w:r w:rsidRPr="006D1B7A">
        <w:t>In line with our ratings guidance there are clear prompts for when to apply the EMM</w:t>
      </w:r>
      <w:r w:rsidR="006568B3" w:rsidRPr="006D1B7A">
        <w:t xml:space="preserve"> </w:t>
      </w:r>
      <w:sdt>
        <w:sdtPr>
          <w:id w:val="1284537723"/>
          <w:citation/>
        </w:sdtPr>
        <w:sdtEndPr/>
        <w:sdtContent>
          <w:r w:rsidR="006568B3" w:rsidRPr="006D1B7A">
            <w:fldChar w:fldCharType="begin"/>
          </w:r>
          <w:r w:rsidR="006568B3" w:rsidRPr="006D1B7A">
            <w:instrText xml:space="preserve"> CITATION ONR187 \l 2057 </w:instrText>
          </w:r>
          <w:r w:rsidR="006568B3" w:rsidRPr="006D1B7A">
            <w:fldChar w:fldCharType="separate"/>
          </w:r>
          <w:r w:rsidR="00EB346B" w:rsidRPr="00EB346B">
            <w:rPr>
              <w:noProof/>
            </w:rPr>
            <w:t>[2]</w:t>
          </w:r>
          <w:r w:rsidR="006568B3" w:rsidRPr="006D1B7A">
            <w:fldChar w:fldCharType="end"/>
          </w:r>
        </w:sdtContent>
      </w:sdt>
      <w:r w:rsidRPr="006D1B7A">
        <w:t xml:space="preserve">. We normally ensure that our inspection findings are shared with the dutyholder prior to leaving the site. If the </w:t>
      </w:r>
      <w:r w:rsidR="00686CA5" w:rsidRPr="00D83599">
        <w:rPr>
          <w:i/>
          <w:iCs/>
        </w:rPr>
        <w:t>overall</w:t>
      </w:r>
      <w:r w:rsidR="00686CA5">
        <w:t xml:space="preserve"> </w:t>
      </w:r>
      <w:r w:rsidRPr="006D1B7A">
        <w:t xml:space="preserve">inspection rating is ‘red’ or ‘amber’ then the ONR response is to inform the dutyholder that </w:t>
      </w:r>
      <w:r w:rsidR="00D8449A" w:rsidRPr="006D1B7A">
        <w:t>we</w:t>
      </w:r>
      <w:r w:rsidR="00502143" w:rsidRPr="006D1B7A">
        <w:t xml:space="preserve"> will be applying the EMM to the findings of the inspection.</w:t>
      </w:r>
    </w:p>
    <w:p w14:paraId="4E2A04E7" w14:textId="1067D582" w:rsidR="00B17799" w:rsidRPr="006D1B7A" w:rsidRDefault="00B17799" w:rsidP="000177E0">
      <w:pPr>
        <w:pStyle w:val="Paragraph"/>
      </w:pPr>
      <w:r w:rsidRPr="006D1B7A">
        <w:t xml:space="preserve">Enforcement action must be communicated to the dutyholder, in line with </w:t>
      </w:r>
      <w:r w:rsidR="00E50611" w:rsidRPr="006D1B7A">
        <w:t>regulatory directorate</w:t>
      </w:r>
      <w:r w:rsidRPr="006D1B7A">
        <w:t xml:space="preserve"> arrangements. Consider at what level of the organisation the enforcement action should be communicated. It will often require resources to deliver compliance and therefore, those who have the authority to deploy the necessary resources should be targeted for this communication. This should be completed in a timely manner as soon as the EDR is accepted (unless the decision has been challenged in line with</w:t>
      </w:r>
      <w:r w:rsidR="002C2459" w:rsidRPr="006D1B7A">
        <w:t xml:space="preserve"> a difference of opinion</w:t>
      </w:r>
      <w:r w:rsidRPr="006D1B7A">
        <w:t xml:space="preserve"> </w:t>
      </w:r>
      <w:sdt>
        <w:sdtPr>
          <w:id w:val="-1051542977"/>
          <w:citation/>
        </w:sdtPr>
        <w:sdtEndPr/>
        <w:sdtContent>
          <w:r w:rsidR="00E50611" w:rsidRPr="006D1B7A">
            <w:fldChar w:fldCharType="begin"/>
          </w:r>
          <w:r w:rsidR="00E50611" w:rsidRPr="006D1B7A">
            <w:instrText xml:space="preserve"> CITATION ONR439 \l 2057 </w:instrText>
          </w:r>
          <w:r w:rsidR="00E50611" w:rsidRPr="006D1B7A">
            <w:fldChar w:fldCharType="separate"/>
          </w:r>
          <w:r w:rsidR="00EB346B" w:rsidRPr="00EB346B">
            <w:rPr>
              <w:noProof/>
            </w:rPr>
            <w:t>[21]</w:t>
          </w:r>
          <w:r w:rsidR="00E50611" w:rsidRPr="006D1B7A">
            <w:fldChar w:fldCharType="end"/>
          </w:r>
        </w:sdtContent>
      </w:sdt>
      <w:r w:rsidRPr="006D1B7A">
        <w:t>).</w:t>
      </w:r>
    </w:p>
    <w:p w14:paraId="48A1C6B8" w14:textId="4F11D33B" w:rsidR="00E53294" w:rsidRDefault="00B17799" w:rsidP="000177E0">
      <w:pPr>
        <w:pStyle w:val="Paragraph"/>
      </w:pPr>
      <w:r w:rsidRPr="006D1B7A">
        <w:lastRenderedPageBreak/>
        <w:t>The Regulators Code states that</w:t>
      </w:r>
      <w:r w:rsidR="00E53294">
        <w:t>:</w:t>
      </w:r>
    </w:p>
    <w:p w14:paraId="292A9C15" w14:textId="77777777" w:rsidR="00E53294" w:rsidRPr="00E53294" w:rsidRDefault="00B17799" w:rsidP="00E53294">
      <w:pPr>
        <w:pStyle w:val="QuoteText"/>
      </w:pPr>
      <w:r w:rsidRPr="00E53294">
        <w:t xml:space="preserve">‘Regulators should share information about compliance and risk’ </w:t>
      </w:r>
    </w:p>
    <w:p w14:paraId="7B889657" w14:textId="6D6DE576" w:rsidR="00E53294" w:rsidRDefault="00B17799" w:rsidP="00E53294">
      <w:pPr>
        <w:pStyle w:val="Paragraph"/>
        <w:numPr>
          <w:ilvl w:val="0"/>
          <w:numId w:val="0"/>
        </w:numPr>
        <w:ind w:left="851"/>
      </w:pPr>
      <w:r w:rsidRPr="006D1B7A">
        <w:t>and</w:t>
      </w:r>
      <w:r w:rsidR="00E53294">
        <w:t>,</w:t>
      </w:r>
      <w:r w:rsidRPr="006D1B7A">
        <w:t xml:space="preserve"> </w:t>
      </w:r>
    </w:p>
    <w:p w14:paraId="1109B554" w14:textId="77777777" w:rsidR="00E53294" w:rsidRDefault="00B17799" w:rsidP="00E53294">
      <w:pPr>
        <w:pStyle w:val="QuoteText"/>
      </w:pPr>
      <w:r w:rsidRPr="006D1B7A">
        <w:t>‘Regulators should ensure clear information, guidance and advice is available to help those they regulate meet their responsibilities to comply’</w:t>
      </w:r>
      <w:r w:rsidR="00E50611" w:rsidRPr="006D1B7A">
        <w:t xml:space="preserve"> </w:t>
      </w:r>
      <w:sdt>
        <w:sdtPr>
          <w:id w:val="1603228937"/>
          <w:citation/>
        </w:sdtPr>
        <w:sdtEndPr/>
        <w:sdtContent>
          <w:r w:rsidR="00E50611" w:rsidRPr="006D1B7A">
            <w:fldChar w:fldCharType="begin"/>
          </w:r>
          <w:r w:rsidR="000177E0">
            <w:instrText xml:space="preserve">CITATION HMG143 \l 2057 </w:instrText>
          </w:r>
          <w:r w:rsidR="00E50611" w:rsidRPr="006D1B7A">
            <w:fldChar w:fldCharType="separate"/>
          </w:r>
          <w:r w:rsidR="000177E0" w:rsidRPr="000177E0">
            <w:rPr>
              <w:noProof/>
            </w:rPr>
            <w:t>[8]</w:t>
          </w:r>
          <w:r w:rsidR="00E50611" w:rsidRPr="006D1B7A">
            <w:fldChar w:fldCharType="end"/>
          </w:r>
        </w:sdtContent>
      </w:sdt>
      <w:r w:rsidRPr="006D1B7A">
        <w:t xml:space="preserve">. </w:t>
      </w:r>
    </w:p>
    <w:p w14:paraId="3D0AF340" w14:textId="41FC8F13" w:rsidR="00B17799" w:rsidRPr="006D1B7A" w:rsidRDefault="00B17799" w:rsidP="000177E0">
      <w:pPr>
        <w:pStyle w:val="Paragraph"/>
      </w:pPr>
      <w:r w:rsidRPr="006D1B7A">
        <w:t>It also set out our obligations to work collaboratively with other regulators. Consider the relevant regulators, contact them, work with them, as appropriate, in areas of common interest and</w:t>
      </w:r>
      <w:r w:rsidR="009B7814" w:rsidRPr="006D1B7A">
        <w:t>/</w:t>
      </w:r>
      <w:r w:rsidRPr="006D1B7A">
        <w:t xml:space="preserve">or inform them of the enforcement outcome. In most cases this will be straightforward as we have </w:t>
      </w:r>
      <w:hyperlink r:id="rId33" w:history="1">
        <w:r w:rsidRPr="00332D3B">
          <w:rPr>
            <w:rStyle w:val="Hyperlink"/>
          </w:rPr>
          <w:t>agency agreements</w:t>
        </w:r>
      </w:hyperlink>
      <w:r w:rsidRPr="006D1B7A">
        <w:t xml:space="preserve"> with the other appropriate regulators.</w:t>
      </w:r>
    </w:p>
    <w:p w14:paraId="6CD3DCB0" w14:textId="27FCBAD0" w:rsidR="00C9618F" w:rsidRDefault="00B17799" w:rsidP="000177E0">
      <w:pPr>
        <w:pStyle w:val="Paragraph"/>
      </w:pPr>
      <w:r w:rsidRPr="006D1B7A">
        <w:t>The most prominent formal enforcement decisions (i.e.</w:t>
      </w:r>
      <w:r w:rsidR="00E53294">
        <w:t>,</w:t>
      </w:r>
      <w:r w:rsidRPr="006D1B7A">
        <w:t xml:space="preserve"> notices, directions, specifications) will be published by ONR’s Communications </w:t>
      </w:r>
      <w:r w:rsidR="00E53294">
        <w:t>t</w:t>
      </w:r>
      <w:r w:rsidRPr="006D1B7A">
        <w:t>eam on the ONR website, usually once the validity of the notice or direction</w:t>
      </w:r>
      <w:r w:rsidR="00E53294">
        <w:t>,</w:t>
      </w:r>
      <w:r w:rsidRPr="006D1B7A">
        <w:t xml:space="preserve"> etc. has been confirmed</w:t>
      </w:r>
      <w:r w:rsidR="008503F3">
        <w:t xml:space="preserve"> (</w:t>
      </w:r>
      <w:r w:rsidR="00CC3937">
        <w:t>and when any applicable</w:t>
      </w:r>
      <w:r w:rsidR="008503F3">
        <w:t xml:space="preserve"> appeal timelines</w:t>
      </w:r>
      <w:r w:rsidR="001873BC">
        <w:t xml:space="preserve"> have expired</w:t>
      </w:r>
      <w:r w:rsidR="008503F3">
        <w:t>)</w:t>
      </w:r>
      <w:r w:rsidRPr="006D1B7A">
        <w:t>. Due to security considerations this may not be appropriate in all cases.</w:t>
      </w:r>
    </w:p>
    <w:p w14:paraId="6822B637" w14:textId="486A73BE" w:rsidR="00B17799" w:rsidRPr="006D1B7A" w:rsidRDefault="00C9618F" w:rsidP="000177E0">
      <w:pPr>
        <w:pStyle w:val="Paragraph"/>
      </w:pPr>
      <w:r w:rsidRPr="00C9618F">
        <w:t xml:space="preserve">If an investigation leads to a decision not to prosecute, </w:t>
      </w:r>
      <w:r w:rsidR="00DE398F">
        <w:t xml:space="preserve">then prior to </w:t>
      </w:r>
      <w:r w:rsidRPr="00C9618F">
        <w:t xml:space="preserve">formal notification </w:t>
      </w:r>
      <w:r w:rsidR="00DE398F">
        <w:t>being</w:t>
      </w:r>
      <w:r w:rsidRPr="00C9618F">
        <w:t xml:space="preserve"> given to the entity under investigation, sufficient opportunity must be given for internal challenge in line with ONR policy. Any notification that an entity will not be prosecuted should make clear that the decision not to prosecute may be reviewed if new evidence or information becomes available. </w:t>
      </w:r>
    </w:p>
    <w:p w14:paraId="6E660D28" w14:textId="77777777" w:rsidR="00E351C8" w:rsidRPr="006D1B7A" w:rsidRDefault="00E351C8" w:rsidP="00E351C8">
      <w:pPr>
        <w:pStyle w:val="Heading2"/>
      </w:pPr>
      <w:bookmarkStart w:id="33" w:name="_Toc213836320"/>
      <w:r w:rsidRPr="006D1B7A">
        <w:t>Follow-up actions and identifying lessons learned/ operating experience</w:t>
      </w:r>
      <w:bookmarkEnd w:id="33"/>
    </w:p>
    <w:p w14:paraId="16B53F43" w14:textId="4D6E54AB" w:rsidR="00B17799" w:rsidRPr="006D1B7A" w:rsidRDefault="00B17799" w:rsidP="000177E0">
      <w:pPr>
        <w:pStyle w:val="Paragraph"/>
      </w:pPr>
      <w:r w:rsidRPr="006D1B7A">
        <w:t xml:space="preserve">All </w:t>
      </w:r>
      <w:r w:rsidRPr="00D81D63">
        <w:rPr>
          <w:b/>
          <w:bCs/>
        </w:rPr>
        <w:t>formal enforcement actions need to be visible and accessible</w:t>
      </w:r>
      <w:r w:rsidRPr="00651E30">
        <w:rPr>
          <w:b/>
          <w:bCs/>
        </w:rPr>
        <w:t xml:space="preserve"> within ONR, </w:t>
      </w:r>
      <w:r w:rsidRPr="006D1B7A">
        <w:t>to aid future enforcement decisions and to inform operating experience for inspectors. It also facilitates consistency across the ONR.</w:t>
      </w:r>
    </w:p>
    <w:p w14:paraId="0AB37AA6" w14:textId="30FCED89" w:rsidR="00140E1C" w:rsidRPr="006D1B7A" w:rsidRDefault="00B17799" w:rsidP="000177E0">
      <w:pPr>
        <w:pStyle w:val="Paragraph"/>
      </w:pPr>
      <w:r w:rsidRPr="006D1B7A">
        <w:t xml:space="preserve">Inspectors should track and maintain visibility of formal enforcement actions with the dutyholder </w:t>
      </w:r>
      <w:r w:rsidRPr="00D81D63">
        <w:rPr>
          <w:b/>
          <w:bCs/>
        </w:rPr>
        <w:t>by raising an appropriately categorised regulatory issue</w:t>
      </w:r>
      <w:r w:rsidR="00E53294">
        <w:t xml:space="preserve"> </w:t>
      </w:r>
      <w:sdt>
        <w:sdtPr>
          <w:id w:val="800959055"/>
          <w:citation/>
        </w:sdtPr>
        <w:sdtEndPr/>
        <w:sdtContent>
          <w:r w:rsidR="00E53294">
            <w:fldChar w:fldCharType="begin"/>
          </w:r>
          <w:r w:rsidR="00E53294">
            <w:instrText xml:space="preserve"> CITATION ONR179 \l 2057 </w:instrText>
          </w:r>
          <w:r w:rsidR="00E53294">
            <w:fldChar w:fldCharType="separate"/>
          </w:r>
          <w:r w:rsidR="00E53294" w:rsidRPr="00E53294">
            <w:rPr>
              <w:noProof/>
            </w:rPr>
            <w:t>[21]</w:t>
          </w:r>
          <w:r w:rsidR="00E53294">
            <w:fldChar w:fldCharType="end"/>
          </w:r>
        </w:sdtContent>
      </w:sdt>
      <w:r w:rsidR="00E53294">
        <w:t xml:space="preserve"> </w:t>
      </w:r>
      <w:r w:rsidRPr="006D1B7A">
        <w:t xml:space="preserve">and then apply the associated guidance, </w:t>
      </w:r>
      <w:r w:rsidR="0010263C" w:rsidRPr="006D1B7A">
        <w:t xml:space="preserve">for example, </w:t>
      </w:r>
      <w:r w:rsidRPr="006D1B7A">
        <w:t>ensure that the enforcement actions are regularly followed up with the dutyholder in line with the agreed response plan.</w:t>
      </w:r>
    </w:p>
    <w:p w14:paraId="1B1E1725" w14:textId="77777777" w:rsidR="003D29D7" w:rsidRPr="006D1B7A" w:rsidRDefault="003D29D7" w:rsidP="000177E0">
      <w:pPr>
        <w:pStyle w:val="Paragraph"/>
        <w:numPr>
          <w:ilvl w:val="0"/>
          <w:numId w:val="0"/>
        </w:numPr>
        <w:ind w:left="720"/>
      </w:pPr>
    </w:p>
    <w:p w14:paraId="77C41C44" w14:textId="77777777" w:rsidR="00E351C8" w:rsidRPr="006D1B7A" w:rsidRDefault="00E351C8" w:rsidP="00631B8C">
      <w:pPr>
        <w:pStyle w:val="Heading1"/>
        <w:numPr>
          <w:ilvl w:val="0"/>
          <w:numId w:val="0"/>
        </w:numPr>
        <w:sectPr w:rsidR="00E351C8" w:rsidRPr="006D1B7A" w:rsidSect="001A677D">
          <w:pgSz w:w="11906" w:h="16838" w:code="9"/>
          <w:pgMar w:top="1440" w:right="1440" w:bottom="1440" w:left="1440" w:header="431" w:footer="567" w:gutter="0"/>
          <w:cols w:space="708"/>
          <w:titlePg/>
          <w:docGrid w:linePitch="360"/>
        </w:sectPr>
      </w:pPr>
      <w:bookmarkStart w:id="34" w:name="_Appendix_A_-"/>
      <w:bookmarkStart w:id="35" w:name="_Appendix_A_–"/>
      <w:bookmarkEnd w:id="34"/>
      <w:bookmarkEnd w:id="35"/>
    </w:p>
    <w:p w14:paraId="0F15620B" w14:textId="097E8798" w:rsidR="00631B8C" w:rsidRPr="006D1B7A" w:rsidRDefault="00631B8C" w:rsidP="00E53294">
      <w:pPr>
        <w:pStyle w:val="Heading1"/>
        <w:numPr>
          <w:ilvl w:val="0"/>
          <w:numId w:val="0"/>
        </w:numPr>
        <w:ind w:left="851"/>
      </w:pPr>
      <w:bookmarkStart w:id="36" w:name="_Toc213836321"/>
      <w:r w:rsidRPr="006D1B7A">
        <w:lastRenderedPageBreak/>
        <w:t>Appendix A – Types of enforcement actions</w:t>
      </w:r>
      <w:bookmarkEnd w:id="36"/>
    </w:p>
    <w:p w14:paraId="425EFCC3" w14:textId="0C83754B" w:rsidR="00631B8C" w:rsidRPr="006D1B7A" w:rsidRDefault="001E7CBC" w:rsidP="00E53294">
      <w:pPr>
        <w:pStyle w:val="Paragraph"/>
      </w:pPr>
      <w:r w:rsidRPr="00E53294">
        <w:rPr>
          <w:caps/>
        </w:rPr>
        <w:t>I</w:t>
      </w:r>
      <w:r w:rsidR="00631B8C" w:rsidRPr="006D1B7A">
        <w:t xml:space="preserve">nspectors have a range of legal powers that can be used to compel dutyholders to comply with legal duties, or face prosecution if they fail to do so. </w:t>
      </w:r>
      <w:r w:rsidR="00631B8C" w:rsidRPr="00E53294">
        <w:rPr>
          <w:b/>
          <w:bCs/>
        </w:rPr>
        <w:t>Note</w:t>
      </w:r>
      <w:r w:rsidR="00FD1D23" w:rsidRPr="00E53294">
        <w:rPr>
          <w:b/>
          <w:bCs/>
        </w:rPr>
        <w:t>:</w:t>
      </w:r>
      <w:r w:rsidR="00631B8C" w:rsidRPr="006D1B7A">
        <w:t xml:space="preserve"> </w:t>
      </w:r>
      <w:r w:rsidR="00FD1D23" w:rsidRPr="006D1B7A">
        <w:t>I</w:t>
      </w:r>
      <w:r w:rsidR="00631B8C" w:rsidRPr="006D1B7A">
        <w:t xml:space="preserve">ssuing of prohibition notices is not covered under </w:t>
      </w:r>
      <w:r w:rsidR="00FD1D23" w:rsidRPr="006D1B7A">
        <w:t>the EMM</w:t>
      </w:r>
      <w:r w:rsidR="007869A5" w:rsidRPr="006D1B7A">
        <w:t xml:space="preserve"> as </w:t>
      </w:r>
      <w:r w:rsidR="007841B9">
        <w:t xml:space="preserve">this </w:t>
      </w:r>
      <w:r w:rsidR="007869A5" w:rsidRPr="006D1B7A">
        <w:t>will have likely occurred at site</w:t>
      </w:r>
      <w:r w:rsidR="00631B8C" w:rsidRPr="006D1B7A">
        <w:t>, but failure to comply with a prohibition notice is</w:t>
      </w:r>
      <w:r w:rsidR="00FD1D23" w:rsidRPr="006D1B7A">
        <w:t xml:space="preserve"> covered</w:t>
      </w:r>
      <w:r w:rsidR="000A3248" w:rsidRPr="006D1B7A">
        <w:t>,</w:t>
      </w:r>
      <w:r w:rsidR="00FD1D23" w:rsidRPr="006D1B7A">
        <w:t xml:space="preserve"> </w:t>
      </w:r>
      <w:r w:rsidR="000A3248" w:rsidRPr="006D1B7A">
        <w:t>see</w:t>
      </w:r>
      <w:r w:rsidR="00FD1D23" w:rsidRPr="006D1B7A">
        <w:t xml:space="preserve"> ‘General </w:t>
      </w:r>
      <w:r w:rsidR="006D172E" w:rsidRPr="006D1B7A">
        <w:t>p</w:t>
      </w:r>
      <w:r w:rsidR="00FD1D23" w:rsidRPr="006D1B7A">
        <w:t xml:space="preserve">oints’ </w:t>
      </w:r>
      <w:r w:rsidR="006D172E" w:rsidRPr="006D1B7A">
        <w:t>in this appendix</w:t>
      </w:r>
      <w:r w:rsidR="00FD1D23" w:rsidRPr="006D1B7A">
        <w:t>.</w:t>
      </w:r>
      <w:r w:rsidR="00631B8C" w:rsidRPr="006D1B7A">
        <w:t xml:space="preserve"> </w:t>
      </w:r>
    </w:p>
    <w:p w14:paraId="5113AA97" w14:textId="77777777" w:rsidR="00631B8C" w:rsidRPr="006D1B7A" w:rsidRDefault="00631B8C" w:rsidP="00E53294">
      <w:pPr>
        <w:pStyle w:val="Heading2"/>
        <w:numPr>
          <w:ilvl w:val="0"/>
          <w:numId w:val="0"/>
        </w:numPr>
        <w:ind w:left="851"/>
      </w:pPr>
      <w:r w:rsidRPr="006D1B7A">
        <w:t xml:space="preserve">Prosecution </w:t>
      </w:r>
    </w:p>
    <w:p w14:paraId="7A845651" w14:textId="77777777" w:rsidR="00631B8C" w:rsidRPr="006D1B7A" w:rsidRDefault="00631B8C" w:rsidP="00E53294">
      <w:pPr>
        <w:pStyle w:val="Heading3"/>
        <w:numPr>
          <w:ilvl w:val="0"/>
          <w:numId w:val="0"/>
        </w:numPr>
        <w:ind w:left="851"/>
        <w:rPr>
          <w:b/>
        </w:rPr>
      </w:pPr>
      <w:r w:rsidRPr="006D1B7A">
        <w:t>England and Wales</w:t>
      </w:r>
    </w:p>
    <w:p w14:paraId="41F05E1B" w14:textId="77777777" w:rsidR="00631B8C" w:rsidRPr="006D1B7A" w:rsidRDefault="00631B8C" w:rsidP="000177E0">
      <w:pPr>
        <w:pStyle w:val="Paragraph"/>
        <w:rPr>
          <w:b/>
        </w:rPr>
      </w:pPr>
      <w:r w:rsidRPr="006D1B7A">
        <w:t xml:space="preserve">In England and Wales ONR has the power to prosecute for breaches of relevant legislation. ONR must use discretion in deciding whether to bring a prosecution (or a joint prosecution with another enforcing authority) and ensure that so doing fully aligns with our EPS. </w:t>
      </w:r>
    </w:p>
    <w:p w14:paraId="3D57153D" w14:textId="7B258449" w:rsidR="00631B8C" w:rsidRPr="006D1B7A" w:rsidRDefault="00631B8C" w:rsidP="000177E0">
      <w:pPr>
        <w:pStyle w:val="Paragraph"/>
        <w:rPr>
          <w:b/>
        </w:rPr>
      </w:pPr>
      <w:r w:rsidRPr="006D1B7A">
        <w:t xml:space="preserve">In England and </w:t>
      </w:r>
      <w:r w:rsidR="00B70346" w:rsidRPr="006D1B7A">
        <w:t>Wales,</w:t>
      </w:r>
      <w:r w:rsidRPr="006D1B7A">
        <w:t xml:space="preserve"> the decision on whether to prosecute must take account of the tests set down by the Director of Public Prosecutions in the Code for Crown Prosecutors (CCP). </w:t>
      </w:r>
      <w:r w:rsidRPr="00CC1141">
        <w:rPr>
          <w:b/>
          <w:bCs/>
        </w:rPr>
        <w:t>No prosecution may proceed unless ONR decides that there is sufficient evidence to provide a realistic prospect of conviction, and that prosecution would also be in the public interest</w:t>
      </w:r>
      <w:r w:rsidRPr="006D1B7A">
        <w:t xml:space="preserve">. </w:t>
      </w:r>
    </w:p>
    <w:p w14:paraId="2E72D662" w14:textId="6C6EA8CA" w:rsidR="00D61C1E" w:rsidRPr="006D1B7A" w:rsidRDefault="001D4BF0" w:rsidP="000177E0">
      <w:pPr>
        <w:pStyle w:val="Paragraph"/>
      </w:pPr>
      <w:r w:rsidRPr="006D1B7A">
        <w:t>T</w:t>
      </w:r>
      <w:r w:rsidR="00631B8C" w:rsidRPr="006D1B7A">
        <w:t>he purpose</w:t>
      </w:r>
      <w:r w:rsidRPr="006D1B7A">
        <w:t>s</w:t>
      </w:r>
      <w:r w:rsidR="00631B8C" w:rsidRPr="006D1B7A">
        <w:t xml:space="preserve"> of </w:t>
      </w:r>
      <w:r w:rsidRPr="006D1B7A">
        <w:t>enforcement</w:t>
      </w:r>
      <w:r w:rsidR="00144A1F" w:rsidRPr="006D1B7A">
        <w:t>, as laid out in the EPS,</w:t>
      </w:r>
      <w:r w:rsidR="00631B8C" w:rsidRPr="006D1B7A">
        <w:t xml:space="preserve"> </w:t>
      </w:r>
      <w:r w:rsidR="0058669A" w:rsidRPr="006D1B7A">
        <w:t>are</w:t>
      </w:r>
      <w:r w:rsidR="00631B8C" w:rsidRPr="006D1B7A">
        <w:t xml:space="preserve"> to ensure that dutyholders manage and control risks effectively and comply with the law</w:t>
      </w:r>
      <w:r w:rsidR="008A5918">
        <w:t>.</w:t>
      </w:r>
      <w:r w:rsidR="00631B8C" w:rsidRPr="006D1B7A">
        <w:t xml:space="preserve"> </w:t>
      </w:r>
      <w:r w:rsidR="008A5918">
        <w:t>R</w:t>
      </w:r>
      <w:r w:rsidR="00B134D0" w:rsidRPr="006D1B7A">
        <w:t xml:space="preserve">ecommending </w:t>
      </w:r>
      <w:r w:rsidR="00631B8C" w:rsidRPr="006D1B7A">
        <w:t>prosecution is an essential enforcement option</w:t>
      </w:r>
      <w:r w:rsidR="0058669A" w:rsidRPr="006D1B7A">
        <w:t xml:space="preserve"> in relation to </w:t>
      </w:r>
      <w:r w:rsidR="00453A9B" w:rsidRPr="006D1B7A">
        <w:t>holding dutyholders to account</w:t>
      </w:r>
      <w:r w:rsidR="00631B8C" w:rsidRPr="006D1B7A">
        <w:t xml:space="preserve">. </w:t>
      </w:r>
    </w:p>
    <w:p w14:paraId="50D6A06C" w14:textId="4E8A65DE" w:rsidR="00631B8C" w:rsidRPr="006D1B7A" w:rsidRDefault="00631B8C" w:rsidP="000177E0">
      <w:pPr>
        <w:pStyle w:val="Paragraph"/>
      </w:pPr>
      <w:r w:rsidRPr="006D1B7A">
        <w:t xml:space="preserve">The CCP requires the decision to prosecute to be kept under continuous review. Where the circumstances warrant it and the evidence to support a case is available, ONR may prosecute without prior warning or recourse to alternative sanctions. </w:t>
      </w:r>
    </w:p>
    <w:p w14:paraId="54D53237" w14:textId="77777777" w:rsidR="00631B8C" w:rsidRPr="006D1B7A" w:rsidRDefault="00631B8C" w:rsidP="00E53294">
      <w:pPr>
        <w:pStyle w:val="Heading3"/>
        <w:numPr>
          <w:ilvl w:val="0"/>
          <w:numId w:val="0"/>
        </w:numPr>
        <w:ind w:left="851"/>
      </w:pPr>
      <w:r w:rsidRPr="006D1B7A">
        <w:t>Scotland</w:t>
      </w:r>
    </w:p>
    <w:p w14:paraId="11F43FCD" w14:textId="12677A54" w:rsidR="00631B8C" w:rsidRPr="006D1B7A" w:rsidRDefault="00631B8C" w:rsidP="000177E0">
      <w:pPr>
        <w:pStyle w:val="Paragraph"/>
      </w:pPr>
      <w:r w:rsidRPr="006D1B7A">
        <w:t xml:space="preserve">In Scotland the Procurator Fiscal decides whether to bring a prosecution and will need to be satisfied that there is sufficient evidence and that prosecution is in the public interest. Such a decision may be made on the basis of a recommendation by ONR, although the Procurator Fiscal may investigate the circumstances and institute proceedings independently of ONR. </w:t>
      </w:r>
      <w:r w:rsidR="00E53294">
        <w:br/>
      </w:r>
      <w:r w:rsidRPr="006D1B7A">
        <w:t>Where appropriate, ONR will discuss its proposed approach with the Procurator Fiscal at an early stage and seek direction.</w:t>
      </w:r>
    </w:p>
    <w:p w14:paraId="033C8185" w14:textId="77777777" w:rsidR="006D172E" w:rsidRPr="006D1B7A" w:rsidRDefault="006D172E" w:rsidP="000177E0">
      <w:pPr>
        <w:pStyle w:val="Paragraph"/>
        <w:numPr>
          <w:ilvl w:val="0"/>
          <w:numId w:val="0"/>
        </w:numPr>
        <w:ind w:left="851"/>
        <w:sectPr w:rsidR="006D172E" w:rsidRPr="006D1B7A" w:rsidSect="001A677D">
          <w:pgSz w:w="11906" w:h="16838" w:code="9"/>
          <w:pgMar w:top="1440" w:right="1440" w:bottom="1440" w:left="1440" w:header="431" w:footer="567" w:gutter="0"/>
          <w:cols w:space="708"/>
          <w:docGrid w:linePitch="360"/>
        </w:sectPr>
      </w:pPr>
    </w:p>
    <w:p w14:paraId="53D8363C" w14:textId="77777777" w:rsidR="002670AE" w:rsidRPr="006D1B7A" w:rsidRDefault="002670AE" w:rsidP="000177E0">
      <w:pPr>
        <w:pStyle w:val="Paragraph"/>
        <w:numPr>
          <w:ilvl w:val="0"/>
          <w:numId w:val="0"/>
        </w:numPr>
        <w:ind w:left="851"/>
        <w:rPr>
          <w:highlight w:val="green"/>
        </w:rPr>
        <w:sectPr w:rsidR="002670AE" w:rsidRPr="006D1B7A" w:rsidSect="001A677D">
          <w:type w:val="continuous"/>
          <w:pgSz w:w="11906" w:h="16838" w:code="9"/>
          <w:pgMar w:top="1440" w:right="1440" w:bottom="1440" w:left="1440" w:header="431" w:footer="567" w:gutter="0"/>
          <w:cols w:space="708"/>
          <w:titlePg/>
          <w:docGrid w:linePitch="360"/>
        </w:sectPr>
      </w:pPr>
    </w:p>
    <w:p w14:paraId="62404A73" w14:textId="14A35BD7" w:rsidR="00631B8C" w:rsidRPr="006D1B7A" w:rsidRDefault="00631B8C" w:rsidP="00E53294">
      <w:pPr>
        <w:pStyle w:val="Heading2"/>
        <w:numPr>
          <w:ilvl w:val="0"/>
          <w:numId w:val="0"/>
        </w:numPr>
        <w:ind w:left="851"/>
      </w:pPr>
      <w:r w:rsidRPr="006D1B7A">
        <w:lastRenderedPageBreak/>
        <w:t xml:space="preserve">General points </w:t>
      </w:r>
    </w:p>
    <w:p w14:paraId="5D12C4CA" w14:textId="755788B6" w:rsidR="007D1A0D" w:rsidRPr="006D1B7A" w:rsidRDefault="007D1A0D" w:rsidP="000177E0">
      <w:pPr>
        <w:pStyle w:val="Paragraph"/>
        <w:rPr>
          <w:caps/>
        </w:rPr>
      </w:pPr>
      <w:r w:rsidRPr="00F24A28">
        <w:t>The EMM cannot dictate that prosecution will be taken. It can only ever recommend the consideration for prosecution. This is because the EMM does not seek to formally apply any evidential tests to determine if there is sufficient admissible evidence to support prosecution, or to apply a public interest test to determine whether prosecution is proportionate</w:t>
      </w:r>
      <w:r w:rsidRPr="006D1B7A">
        <w:t>, as required by the Code for Crown Prosecutors. Notwithstanding that for Scotland, the decision to prosecute is taken by the COPFS and not ONR.</w:t>
      </w:r>
    </w:p>
    <w:p w14:paraId="577519B5" w14:textId="0C4D89C5" w:rsidR="00631B8C" w:rsidRPr="006D1B7A" w:rsidRDefault="002B7775" w:rsidP="000177E0">
      <w:pPr>
        <w:pStyle w:val="Paragraph"/>
        <w:rPr>
          <w:b/>
          <w:caps/>
        </w:rPr>
      </w:pPr>
      <w:r w:rsidRPr="006D1B7A">
        <w:t xml:space="preserve">The baseline enforcement level should </w:t>
      </w:r>
      <w:r w:rsidR="005E4A07" w:rsidRPr="006D1B7A">
        <w:t xml:space="preserve">align with the expectations of the EPS in relation to considering </w:t>
      </w:r>
      <w:r w:rsidR="00C83B48" w:rsidRPr="006D1B7A">
        <w:t>prosecution</w:t>
      </w:r>
      <w:r w:rsidR="00147C2D" w:rsidRPr="006D1B7A">
        <w:t xml:space="preserve">. If it does not it is important to remember that the EMM is subordinate to the EPS </w:t>
      </w:r>
      <w:r w:rsidR="00E62831" w:rsidRPr="006D1B7A">
        <w:t>which</w:t>
      </w:r>
      <w:r w:rsidR="00631B8C" w:rsidRPr="006D1B7A">
        <w:t xml:space="preserve"> identifies specific circumstances where ONR expects that it will normally </w:t>
      </w:r>
      <w:r w:rsidR="00B70346" w:rsidRPr="006D1B7A">
        <w:t>prosecute or</w:t>
      </w:r>
      <w:r w:rsidR="00631B8C" w:rsidRPr="006D1B7A">
        <w:t xml:space="preserve"> recommend prosecution</w:t>
      </w:r>
      <w:r w:rsidR="00FF1607">
        <w:t>.</w:t>
      </w:r>
    </w:p>
    <w:p w14:paraId="1C7FC957" w14:textId="51FD1F0D" w:rsidR="00631B8C" w:rsidRPr="006D1B7A" w:rsidRDefault="00631B8C" w:rsidP="000177E0">
      <w:pPr>
        <w:pStyle w:val="Paragraph"/>
        <w:rPr>
          <w:b/>
        </w:rPr>
      </w:pPr>
      <w:r w:rsidRPr="006D1B7A">
        <w:t xml:space="preserve">In addition, ONR will, in the public interest, recommend prosecution, where </w:t>
      </w:r>
      <w:r w:rsidRPr="006D1B7A">
        <w:rPr>
          <w:b/>
          <w:bCs/>
        </w:rPr>
        <w:t>following an investigation</w:t>
      </w:r>
      <w:r w:rsidRPr="006D1B7A">
        <w:t xml:space="preserve"> </w:t>
      </w:r>
      <w:sdt>
        <w:sdtPr>
          <w:id w:val="-1496172316"/>
          <w:citation/>
        </w:sdtPr>
        <w:sdtEndPr/>
        <w:sdtContent>
          <w:r w:rsidR="00E53A6B">
            <w:fldChar w:fldCharType="begin"/>
          </w:r>
          <w:r w:rsidR="000177E0">
            <w:instrText xml:space="preserve">CITATION ONR31 \l 2057 </w:instrText>
          </w:r>
          <w:r w:rsidR="00E53A6B">
            <w:fldChar w:fldCharType="separate"/>
          </w:r>
          <w:r w:rsidR="000177E0" w:rsidRPr="000177E0">
            <w:rPr>
              <w:noProof/>
            </w:rPr>
            <w:t>[3]</w:t>
          </w:r>
          <w:r w:rsidR="00E53A6B">
            <w:fldChar w:fldCharType="end"/>
          </w:r>
        </w:sdtContent>
      </w:sdt>
      <w:r w:rsidR="002D79DE" w:rsidRPr="006D1B7A">
        <w:t xml:space="preserve"> </w:t>
      </w:r>
      <w:r w:rsidRPr="006D1B7A">
        <w:t xml:space="preserve">or other regulatory contact, one or more of the following circumstances apply: </w:t>
      </w:r>
    </w:p>
    <w:p w14:paraId="6D5BDDCD" w14:textId="45E15AD4" w:rsidR="00631B8C" w:rsidRPr="006D1B7A" w:rsidRDefault="00631B8C" w:rsidP="001A677D">
      <w:pPr>
        <w:pStyle w:val="Bulletlist1"/>
      </w:pPr>
      <w:r w:rsidRPr="006D1B7A">
        <w:t xml:space="preserve">it is appropriate in the circumstances as a way to draw general attention to the need for compliance with the law and the maintenance of standards required by law, and conviction may deter others from similar failures to comply with the </w:t>
      </w:r>
      <w:r w:rsidR="00B70346" w:rsidRPr="006D1B7A">
        <w:t>law.</w:t>
      </w:r>
    </w:p>
    <w:p w14:paraId="78590172" w14:textId="77777777" w:rsidR="00631B8C" w:rsidRPr="006D1B7A" w:rsidRDefault="00631B8C" w:rsidP="001A677D">
      <w:pPr>
        <w:pStyle w:val="Bulletlist1"/>
      </w:pPr>
      <w:r w:rsidRPr="006D1B7A">
        <w:t>a breach which gives rise to significant risk has continued despite relevant warnings from employees, or their representatives, or from others affected by a work activity.</w:t>
      </w:r>
    </w:p>
    <w:p w14:paraId="09997BE9" w14:textId="4BEFE4A8" w:rsidR="00631B8C" w:rsidRPr="006D1B7A" w:rsidRDefault="00631B8C" w:rsidP="000177E0">
      <w:pPr>
        <w:pStyle w:val="Paragraph"/>
        <w:rPr>
          <w:b/>
          <w:caps/>
        </w:rPr>
      </w:pPr>
      <w:r w:rsidRPr="006D1B7A">
        <w:t xml:space="preserve">If prosecution is to be considered it will be necessary to investigate to establish the breaches and their root causes, </w:t>
      </w:r>
      <w:r w:rsidR="00481B51" w:rsidRPr="006D1B7A">
        <w:t>and determine that th</w:t>
      </w:r>
      <w:r w:rsidR="00B203E6" w:rsidRPr="006D1B7A">
        <w:t xml:space="preserve">e evidential and public interest tests are met, </w:t>
      </w:r>
      <w:r w:rsidRPr="006D1B7A">
        <w:t xml:space="preserve">applying ONR’s Investigation </w:t>
      </w:r>
      <w:r w:rsidR="00EF1599" w:rsidRPr="006D1B7A">
        <w:t xml:space="preserve">process </w:t>
      </w:r>
      <w:sdt>
        <w:sdtPr>
          <w:id w:val="-2118121715"/>
          <w:citation/>
        </w:sdtPr>
        <w:sdtEndPr/>
        <w:sdtContent>
          <w:r w:rsidR="00EF1599" w:rsidRPr="006D1B7A">
            <w:fldChar w:fldCharType="begin"/>
          </w:r>
          <w:r w:rsidR="000177E0">
            <w:instrText xml:space="preserve">CITATION ONR31 \l 2057 </w:instrText>
          </w:r>
          <w:r w:rsidR="00EF1599" w:rsidRPr="006D1B7A">
            <w:fldChar w:fldCharType="separate"/>
          </w:r>
          <w:r w:rsidR="000177E0" w:rsidRPr="000177E0">
            <w:rPr>
              <w:noProof/>
            </w:rPr>
            <w:t>[3]</w:t>
          </w:r>
          <w:r w:rsidR="00EF1599" w:rsidRPr="006D1B7A">
            <w:fldChar w:fldCharType="end"/>
          </w:r>
        </w:sdtContent>
      </w:sdt>
      <w:r w:rsidRPr="006D1B7A">
        <w:t xml:space="preserve">. </w:t>
      </w:r>
    </w:p>
    <w:p w14:paraId="6033591B" w14:textId="77777777" w:rsidR="00631B8C" w:rsidRPr="006D1B7A" w:rsidRDefault="00631B8C" w:rsidP="000177E0">
      <w:pPr>
        <w:pStyle w:val="Paragraph"/>
        <w:rPr>
          <w:b/>
          <w:caps/>
        </w:rPr>
      </w:pPr>
      <w:r w:rsidRPr="006D1B7A">
        <w:t xml:space="preserve">The potential to prosecute applies to all dutyholders under security, health, safety and safeguards legislation, including individuals such as individual employers, directors, managers, self-employed persons and employees. </w:t>
      </w:r>
    </w:p>
    <w:p w14:paraId="2CEE5B3E" w14:textId="1CCD9AF2" w:rsidR="00631B8C" w:rsidRPr="006D1B7A" w:rsidRDefault="00B4750A" w:rsidP="000177E0">
      <w:pPr>
        <w:pStyle w:val="Paragraph"/>
        <w:rPr>
          <w:b/>
          <w:caps/>
        </w:rPr>
      </w:pPr>
      <w:r w:rsidRPr="006D1B7A">
        <w:t xml:space="preserve">There is no Crown exemption from the duties under the HSWA. </w:t>
      </w:r>
      <w:r w:rsidR="00E53294">
        <w:br/>
      </w:r>
      <w:r w:rsidRPr="006D1B7A">
        <w:t xml:space="preserve">However, the Crown, including MOD as a Crown body cannot be prosecuted for breaches of the law. </w:t>
      </w:r>
      <w:r w:rsidR="009208E1" w:rsidRPr="006D1B7A">
        <w:t xml:space="preserve">In lieu of formal legal enforcement, ONR has </w:t>
      </w:r>
      <w:r w:rsidR="004E41C2">
        <w:t xml:space="preserve">guidance </w:t>
      </w:r>
      <w:r w:rsidR="009208E1" w:rsidRPr="006D1B7A">
        <w:t>for the raising of Crown Censures in respect of occurrences where it is ONR's opinion that, but for Crown immunity, there would have been sufficient evidence to provide a realistic prospect of conviction in the courts</w:t>
      </w:r>
      <w:r w:rsidR="00E53294" w:rsidRPr="00E53294">
        <w:t xml:space="preserve"> </w:t>
      </w:r>
      <w:sdt>
        <w:sdtPr>
          <w:id w:val="159511293"/>
          <w:citation/>
        </w:sdtPr>
        <w:sdtEndPr/>
        <w:sdtContent>
          <w:r w:rsidR="00E53294">
            <w:fldChar w:fldCharType="begin"/>
          </w:r>
          <w:r w:rsidR="00E53294">
            <w:instrText xml:space="preserve">CITATION Reg \l 2057 </w:instrText>
          </w:r>
          <w:r w:rsidR="00E53294">
            <w:fldChar w:fldCharType="separate"/>
          </w:r>
          <w:r w:rsidR="00E53294" w:rsidRPr="00E53294">
            <w:rPr>
              <w:noProof/>
            </w:rPr>
            <w:t>[22]</w:t>
          </w:r>
          <w:r w:rsidR="00E53294">
            <w:fldChar w:fldCharType="end"/>
          </w:r>
        </w:sdtContent>
      </w:sdt>
      <w:r w:rsidR="00631B8C" w:rsidRPr="006D1B7A">
        <w:t>.</w:t>
      </w:r>
    </w:p>
    <w:p w14:paraId="4F2F2BB8" w14:textId="77777777" w:rsidR="00631B8C" w:rsidRPr="006D1B7A" w:rsidRDefault="00631B8C" w:rsidP="000177E0">
      <w:pPr>
        <w:pStyle w:val="Paragraph"/>
        <w:rPr>
          <w:b/>
          <w:caps/>
        </w:rPr>
      </w:pPr>
      <w:r w:rsidRPr="006D1B7A">
        <w:lastRenderedPageBreak/>
        <w:t>When considering the prosecution of employees, inspectors should also take account of the role that the individual employees played in the commission of the offence, and any relevant actions by their employer.</w:t>
      </w:r>
    </w:p>
    <w:p w14:paraId="5FAD15A6" w14:textId="4D09E212" w:rsidR="00631B8C" w:rsidRPr="00C317EB" w:rsidRDefault="00631B8C" w:rsidP="000177E0">
      <w:pPr>
        <w:pStyle w:val="Paragraph"/>
        <w:rPr>
          <w:b/>
          <w:bCs/>
        </w:rPr>
      </w:pPr>
      <w:r w:rsidRPr="006D1B7A">
        <w:t>Directors or</w:t>
      </w:r>
      <w:r w:rsidR="00D17E3C" w:rsidRPr="006D1B7A">
        <w:t xml:space="preserve"> </w:t>
      </w:r>
      <w:r w:rsidRPr="006D1B7A">
        <w:t xml:space="preserve">managers may only be prosecuted </w:t>
      </w:r>
      <w:r w:rsidR="00260023" w:rsidRPr="006D1B7A">
        <w:t>(Offences by bodies corporate</w:t>
      </w:r>
      <w:r w:rsidR="00BC2919" w:rsidRPr="006D1B7A">
        <w:rPr>
          <w:b/>
          <w:bCs/>
        </w:rPr>
        <w:t>)</w:t>
      </w:r>
      <w:r w:rsidRPr="006D1B7A">
        <w:t xml:space="preserve">, if the body corporate has failed to meet a legal duty. </w:t>
      </w:r>
      <w:r w:rsidR="00E53294">
        <w:br/>
      </w:r>
      <w:r w:rsidRPr="006D1B7A">
        <w:t xml:space="preserve">Prosecutors must then be able to prove the failure was caused through the consent, connivance or neglect of the director or manager in question. </w:t>
      </w:r>
      <w:r w:rsidR="00C326BD">
        <w:br/>
      </w:r>
      <w:r w:rsidRPr="006D1B7A">
        <w:t xml:space="preserve">When considering the prosecution of such persons, inspectors should seek to apply the principles of the EMM wherever possible and, in particular, should consider the management chain and the role played by individual directors and managers. </w:t>
      </w:r>
      <w:hyperlink r:id="rId34" w:history="1">
        <w:r w:rsidR="00DA0709" w:rsidRPr="006D1B7A">
          <w:rPr>
            <w:rStyle w:val="Hyperlink"/>
          </w:rPr>
          <w:t>Prosecuting individuals (HSE Operational Circular (OC) 130/8 V2</w:t>
        </w:r>
        <w:r w:rsidR="008F5F22" w:rsidRPr="006D1B7A">
          <w:rPr>
            <w:rStyle w:val="Hyperlink"/>
          </w:rPr>
          <w:t>)</w:t>
        </w:r>
      </w:hyperlink>
      <w:r w:rsidR="008F5F22" w:rsidRPr="006D1B7A">
        <w:t xml:space="preserve"> states the</w:t>
      </w:r>
      <w:r w:rsidR="008F5F22" w:rsidRPr="006D1B7A">
        <w:rPr>
          <w:b/>
          <w:bCs/>
        </w:rPr>
        <w:t xml:space="preserve"> </w:t>
      </w:r>
      <w:r w:rsidR="0084779D" w:rsidRPr="006D1B7A">
        <w:t>principles to follow and the factors to take into account when considering prosecuting individuals under sections 7, 8, 36, and 37 of the HSWA.</w:t>
      </w:r>
    </w:p>
    <w:p w14:paraId="0E24590D" w14:textId="7DC72264" w:rsidR="00631B8C" w:rsidRPr="006D1B7A" w:rsidRDefault="00631B8C" w:rsidP="000177E0">
      <w:pPr>
        <w:pStyle w:val="Paragraph"/>
        <w:rPr>
          <w:b/>
        </w:rPr>
      </w:pPr>
      <w:r w:rsidRPr="006D1B7A">
        <w:t>For legal advice, inspectors should seek guidance from our legal advisory service applying ONR’s guidance on ‘</w:t>
      </w:r>
      <w:hyperlink r:id="rId35" w:history="1">
        <w:r w:rsidR="00BD0DC6" w:rsidRPr="006D1B7A">
          <w:rPr>
            <w:rStyle w:val="Hyperlink"/>
          </w:rPr>
          <w:t>Accessing public and criminal law legal advice</w:t>
        </w:r>
      </w:hyperlink>
      <w:r w:rsidR="00BD0DC6" w:rsidRPr="006D1B7A">
        <w:t>’</w:t>
      </w:r>
      <w:r w:rsidRPr="006D1B7A">
        <w:t>. Additionally, detailed guidance on prosecution can be found at the links below:</w:t>
      </w:r>
    </w:p>
    <w:p w14:paraId="2378EFBD" w14:textId="77777777" w:rsidR="00631B8C" w:rsidRPr="006D1B7A" w:rsidRDefault="00631B8C" w:rsidP="001A677D">
      <w:pPr>
        <w:pStyle w:val="Bulletlist1"/>
      </w:pPr>
      <w:hyperlink r:id="rId36" w:history="1">
        <w:r w:rsidRPr="006D1B7A">
          <w:rPr>
            <w:rStyle w:val="Hyperlink"/>
          </w:rPr>
          <w:t>Code for Crown Prosecutors</w:t>
        </w:r>
      </w:hyperlink>
      <w:r w:rsidRPr="006D1B7A">
        <w:t xml:space="preserve"> for England and Wales</w:t>
      </w:r>
    </w:p>
    <w:p w14:paraId="02370C94" w14:textId="671F01FD" w:rsidR="00631B8C" w:rsidRPr="006D1B7A" w:rsidRDefault="00631B8C" w:rsidP="001A677D">
      <w:pPr>
        <w:pStyle w:val="Bulletlist1"/>
      </w:pPr>
      <w:hyperlink r:id="rId37" w:history="1">
        <w:r w:rsidRPr="006D1B7A">
          <w:rPr>
            <w:rStyle w:val="Hyperlink"/>
          </w:rPr>
          <w:t>Prosecution Code for Scotland</w:t>
        </w:r>
      </w:hyperlink>
    </w:p>
    <w:p w14:paraId="320D9DF3" w14:textId="024B984F" w:rsidR="006C7099" w:rsidRPr="006D1B7A" w:rsidRDefault="006C7099" w:rsidP="001A677D">
      <w:pPr>
        <w:pStyle w:val="Bulletlist1"/>
      </w:pPr>
      <w:hyperlink r:id="rId38" w:history="1">
        <w:r w:rsidRPr="006D1B7A">
          <w:rPr>
            <w:rStyle w:val="Hyperlink"/>
          </w:rPr>
          <w:t>HSE Enforcement Management Model</w:t>
        </w:r>
      </w:hyperlink>
    </w:p>
    <w:p w14:paraId="14DF498E" w14:textId="417E1B82" w:rsidR="006C7099" w:rsidRPr="006D1B7A" w:rsidRDefault="006C7099" w:rsidP="001A677D">
      <w:pPr>
        <w:pStyle w:val="Bulletlist1"/>
      </w:pPr>
      <w:hyperlink r:id="rId39" w:history="1">
        <w:r w:rsidRPr="006D1B7A">
          <w:rPr>
            <w:rStyle w:val="Hyperlink"/>
          </w:rPr>
          <w:t>ORR Enforcement Mana</w:t>
        </w:r>
        <w:r w:rsidR="00870744" w:rsidRPr="006D1B7A">
          <w:rPr>
            <w:rStyle w:val="Hyperlink"/>
          </w:rPr>
          <w:t>gement Model</w:t>
        </w:r>
      </w:hyperlink>
    </w:p>
    <w:p w14:paraId="084772E8" w14:textId="6418F277" w:rsidR="00631B8C" w:rsidRPr="006D1B7A" w:rsidRDefault="00631B8C" w:rsidP="001A677D">
      <w:pPr>
        <w:pStyle w:val="Bulletlist1"/>
        <w:rPr>
          <w:rStyle w:val="Hyperlink"/>
          <w:color w:val="auto"/>
        </w:rPr>
      </w:pPr>
      <w:hyperlink r:id="rId40" w:history="1">
        <w:r w:rsidRPr="006D1B7A">
          <w:rPr>
            <w:rStyle w:val="Hyperlink"/>
          </w:rPr>
          <w:t>ONR Enforcement Policy Statement (EPS)</w:t>
        </w:r>
      </w:hyperlink>
    </w:p>
    <w:p w14:paraId="380FF04B" w14:textId="77777777" w:rsidR="00631B8C" w:rsidRPr="006D1B7A" w:rsidRDefault="00631B8C" w:rsidP="001A677D">
      <w:pPr>
        <w:pStyle w:val="Bulletlist1"/>
        <w:rPr>
          <w:rStyle w:val="Hyperlink"/>
          <w:color w:val="auto"/>
        </w:rPr>
      </w:pPr>
      <w:hyperlink r:id="rId41" w:history="1">
        <w:r w:rsidRPr="006D1B7A">
          <w:rPr>
            <w:rStyle w:val="Hyperlink"/>
          </w:rPr>
          <w:t>Work Related Death (WRD) Protocol</w:t>
        </w:r>
      </w:hyperlink>
    </w:p>
    <w:p w14:paraId="0487860D" w14:textId="77777777" w:rsidR="000D6CFE" w:rsidRPr="006D1B7A" w:rsidRDefault="000D6CFE" w:rsidP="000177E0">
      <w:pPr>
        <w:pStyle w:val="Paragraph"/>
        <w:numPr>
          <w:ilvl w:val="0"/>
          <w:numId w:val="0"/>
        </w:numPr>
        <w:ind w:left="720"/>
      </w:pPr>
    </w:p>
    <w:p w14:paraId="1AC9E336" w14:textId="77777777" w:rsidR="006C7099" w:rsidRPr="006D1B7A" w:rsidRDefault="006C7099" w:rsidP="000177E0">
      <w:pPr>
        <w:pStyle w:val="Paragraph"/>
        <w:numPr>
          <w:ilvl w:val="0"/>
          <w:numId w:val="0"/>
        </w:numPr>
        <w:ind w:left="720"/>
        <w:sectPr w:rsidR="006C7099" w:rsidRPr="006D1B7A" w:rsidSect="001A677D">
          <w:pgSz w:w="11906" w:h="16838" w:code="9"/>
          <w:pgMar w:top="1440" w:right="1440" w:bottom="1440" w:left="1440" w:header="431" w:footer="567" w:gutter="0"/>
          <w:cols w:space="708"/>
          <w:docGrid w:linePitch="360"/>
        </w:sectPr>
      </w:pPr>
    </w:p>
    <w:p w14:paraId="5F1346FB" w14:textId="6703628A" w:rsidR="00631B8C" w:rsidRPr="006D1B7A" w:rsidRDefault="00631B8C" w:rsidP="00C326BD">
      <w:pPr>
        <w:pStyle w:val="Heading2"/>
        <w:numPr>
          <w:ilvl w:val="0"/>
          <w:numId w:val="0"/>
        </w:numPr>
        <w:ind w:left="851"/>
      </w:pPr>
      <w:r w:rsidRPr="006D1B7A">
        <w:lastRenderedPageBreak/>
        <w:t>Notices, Security Directions and Licence Condition (LC) powers</w:t>
      </w:r>
    </w:p>
    <w:p w14:paraId="0196FBBB" w14:textId="75F44976" w:rsidR="00631B8C" w:rsidRPr="006D1B7A" w:rsidRDefault="00631B8C" w:rsidP="00C326BD">
      <w:pPr>
        <w:pStyle w:val="Heading3"/>
        <w:numPr>
          <w:ilvl w:val="0"/>
          <w:numId w:val="0"/>
        </w:numPr>
        <w:ind w:left="851"/>
      </w:pPr>
      <w:r w:rsidRPr="006D1B7A">
        <w:t>Security directions</w:t>
      </w:r>
    </w:p>
    <w:p w14:paraId="1843E1AB" w14:textId="193FFFE3" w:rsidR="00631B8C" w:rsidRPr="006D1B7A" w:rsidRDefault="001A255C" w:rsidP="000177E0">
      <w:pPr>
        <w:pStyle w:val="Paragraph"/>
      </w:pPr>
      <w:r>
        <w:t>S</w:t>
      </w:r>
      <w:r w:rsidR="00631B8C" w:rsidRPr="006D1B7A">
        <w:t>ecurity inspectors have the power to issue directions under the NISR 2003</w:t>
      </w:r>
      <w:r w:rsidR="00EF1599" w:rsidRPr="006D1B7A">
        <w:t xml:space="preserve"> </w:t>
      </w:r>
      <w:sdt>
        <w:sdtPr>
          <w:id w:val="373901392"/>
          <w:citation/>
        </w:sdtPr>
        <w:sdtEndPr/>
        <w:sdtContent>
          <w:r w:rsidR="00EF1599" w:rsidRPr="006D1B7A">
            <w:fldChar w:fldCharType="begin"/>
          </w:r>
          <w:r w:rsidR="00C326BD">
            <w:instrText xml:space="preserve">CITATION HMG032 \l 2057 </w:instrText>
          </w:r>
          <w:r w:rsidR="00EF1599" w:rsidRPr="006D1B7A">
            <w:fldChar w:fldCharType="separate"/>
          </w:r>
          <w:r w:rsidR="00C326BD" w:rsidRPr="00C326BD">
            <w:rPr>
              <w:noProof/>
            </w:rPr>
            <w:t>[23]</w:t>
          </w:r>
          <w:r w:rsidR="00EF1599" w:rsidRPr="006D1B7A">
            <w:fldChar w:fldCharType="end"/>
          </w:r>
        </w:sdtContent>
      </w:sdt>
      <w:r w:rsidR="004C71EC" w:rsidRPr="006D1B7A">
        <w:t xml:space="preserve">, Regulation 11 (Direction to responsible </w:t>
      </w:r>
      <w:r w:rsidR="008614F8" w:rsidRPr="006D1B7A">
        <w:t>persons)</w:t>
      </w:r>
      <w:r w:rsidR="00F444A8" w:rsidRPr="006D1B7A">
        <w:t>,</w:t>
      </w:r>
      <w:r w:rsidR="008614F8" w:rsidRPr="006D1B7A">
        <w:t xml:space="preserve"> Regulation 21 (Direction to carriers)</w:t>
      </w:r>
      <w:r w:rsidR="00F444A8" w:rsidRPr="006D1B7A">
        <w:t xml:space="preserve"> and Regulation 22</w:t>
      </w:r>
      <w:r w:rsidR="00E47E08" w:rsidRPr="006D1B7A">
        <w:t xml:space="preserve"> (Duties of persons with sensitive nuclear information)</w:t>
      </w:r>
      <w:r w:rsidR="00631B8C" w:rsidRPr="006D1B7A">
        <w:t xml:space="preserve">. </w:t>
      </w:r>
    </w:p>
    <w:p w14:paraId="7F352174" w14:textId="42E7A2C5" w:rsidR="00631B8C" w:rsidRPr="006D1B7A" w:rsidRDefault="00631B8C" w:rsidP="000177E0">
      <w:pPr>
        <w:pStyle w:val="Paragraph"/>
      </w:pPr>
      <w:r w:rsidRPr="006D1B7A">
        <w:t>Such a direction may impose a requirement to be met within a period specified in the direction, or if it is about the continuing or future adequacy of security</w:t>
      </w:r>
      <w:r w:rsidR="006922AB" w:rsidRPr="006D1B7A">
        <w:t xml:space="preserve"> at</w:t>
      </w:r>
      <w:r w:rsidR="00F57D66" w:rsidRPr="006D1B7A">
        <w:t xml:space="preserve"> intervals specified </w:t>
      </w:r>
      <w:r w:rsidRPr="006D1B7A">
        <w:t>in the direction.</w:t>
      </w:r>
    </w:p>
    <w:p w14:paraId="03A7D83F" w14:textId="77777777" w:rsidR="00EF1599" w:rsidRPr="006D1B7A" w:rsidRDefault="00EF1599" w:rsidP="000177E0">
      <w:pPr>
        <w:pStyle w:val="Paragraph"/>
        <w:rPr>
          <w:highlight w:val="green"/>
        </w:rPr>
        <w:sectPr w:rsidR="00EF1599" w:rsidRPr="006D1B7A" w:rsidSect="001A677D">
          <w:pgSz w:w="11906" w:h="16838" w:code="9"/>
          <w:pgMar w:top="1440" w:right="1440" w:bottom="1440" w:left="1440" w:header="431" w:footer="567" w:gutter="0"/>
          <w:cols w:space="708"/>
          <w:docGrid w:linePitch="360"/>
        </w:sectPr>
      </w:pPr>
    </w:p>
    <w:p w14:paraId="317F980A" w14:textId="7704E986" w:rsidR="00782A16" w:rsidRPr="006D1B7A" w:rsidRDefault="00782A16" w:rsidP="000177E0">
      <w:pPr>
        <w:pStyle w:val="Paragraph"/>
      </w:pPr>
      <w:r w:rsidRPr="006D1B7A">
        <w:t>Templates for security directions under Reg</w:t>
      </w:r>
      <w:r w:rsidR="00C326BD">
        <w:t>ulation</w:t>
      </w:r>
      <w:r w:rsidRPr="006D1B7A">
        <w:t xml:space="preserve"> 11, 21 and 22 can be found </w:t>
      </w:r>
      <w:r w:rsidR="00C326BD">
        <w:t>on</w:t>
      </w:r>
      <w:r w:rsidRPr="006D1B7A">
        <w:t xml:space="preserve"> </w:t>
      </w:r>
      <w:hyperlink r:id="rId42" w:history="1">
        <w:r w:rsidRPr="00C326BD">
          <w:rPr>
            <w:rStyle w:val="Hyperlink"/>
          </w:rPr>
          <w:t>HOW2</w:t>
        </w:r>
        <w:r w:rsidR="00C326BD" w:rsidRPr="00C326BD">
          <w:rPr>
            <w:rStyle w:val="Hyperlink"/>
          </w:rPr>
          <w:t xml:space="preserve"> Hub</w:t>
        </w:r>
      </w:hyperlink>
      <w:r w:rsidR="007163AB">
        <w:t>.</w:t>
      </w:r>
    </w:p>
    <w:p w14:paraId="511A5A63" w14:textId="77777777" w:rsidR="00782A16" w:rsidRPr="006D1B7A" w:rsidRDefault="00782A16" w:rsidP="000177E0">
      <w:pPr>
        <w:pStyle w:val="Paragraph"/>
      </w:pPr>
      <w:r w:rsidRPr="006D1B7A">
        <w:t>Security directions are unlikely to be published on the ONR website.</w:t>
      </w:r>
    </w:p>
    <w:p w14:paraId="293B58BA" w14:textId="1073E0C6" w:rsidR="00631B8C" w:rsidRPr="006D1B7A" w:rsidRDefault="00631B8C" w:rsidP="000177E0">
      <w:pPr>
        <w:pStyle w:val="Paragraph"/>
      </w:pPr>
      <w:r w:rsidRPr="006D1B7A">
        <w:t xml:space="preserve">Consideration should also be given to the extent to which other relevant external stakeholders are informed of the formal enforcement action, and in particular </w:t>
      </w:r>
      <w:r w:rsidR="008718B2" w:rsidRPr="008718B2">
        <w:t xml:space="preserve">the National Technical Authorities and </w:t>
      </w:r>
      <w:r w:rsidRPr="006D1B7A">
        <w:t xml:space="preserve">other regulatory bodies/agencies.   </w:t>
      </w:r>
    </w:p>
    <w:p w14:paraId="57AF4BB3" w14:textId="77777777" w:rsidR="00631B8C" w:rsidRPr="006D1B7A" w:rsidRDefault="00631B8C" w:rsidP="000177E0">
      <w:pPr>
        <w:pStyle w:val="Paragraph"/>
      </w:pPr>
      <w:r w:rsidRPr="006D1B7A">
        <w:t>The contents of a direction should be discussed with the dutyholder in advance of issuing it, so that they are clear why ONR is taking this action, the response required and to what timescales.</w:t>
      </w:r>
    </w:p>
    <w:p w14:paraId="492ADE0F" w14:textId="77777777" w:rsidR="00945873" w:rsidRPr="006D1B7A" w:rsidRDefault="00945873" w:rsidP="000177E0">
      <w:pPr>
        <w:pStyle w:val="Paragraph"/>
      </w:pPr>
      <w:r w:rsidRPr="006D1B7A">
        <w:t xml:space="preserve">The direction will require an associated Level 1 or 2 regulatory issue to track the enforcement actions with the dutyholder. </w:t>
      </w:r>
    </w:p>
    <w:p w14:paraId="01ACA962" w14:textId="127FBF21" w:rsidR="00EF1599" w:rsidRPr="006D1B7A" w:rsidRDefault="0019198A" w:rsidP="000177E0">
      <w:pPr>
        <w:pStyle w:val="Paragraph"/>
      </w:pPr>
      <w:r w:rsidRPr="006D1B7A">
        <w:t>This enforcement action will need to be visible internally (for example, to the Regulatory Leadership Team (RLT)), along with all other ONR formal enforcement action (i.e.</w:t>
      </w:r>
      <w:r w:rsidR="00C326BD">
        <w:t>,</w:t>
      </w:r>
      <w:r w:rsidRPr="006D1B7A">
        <w:t xml:space="preserve"> enforcement letter and above).</w:t>
      </w:r>
    </w:p>
    <w:p w14:paraId="7AF802A4" w14:textId="5BD09D08" w:rsidR="00631B8C" w:rsidRPr="006D1B7A" w:rsidRDefault="00631B8C" w:rsidP="00C326BD">
      <w:pPr>
        <w:pStyle w:val="Heading3"/>
        <w:numPr>
          <w:ilvl w:val="0"/>
          <w:numId w:val="0"/>
        </w:numPr>
        <w:ind w:left="851"/>
      </w:pPr>
      <w:r w:rsidRPr="006D1B7A">
        <w:t>Improvement and Enforcement Notices (IN</w:t>
      </w:r>
      <w:r w:rsidR="00C326BD">
        <w:t xml:space="preserve"> </w:t>
      </w:r>
      <w:r w:rsidRPr="006D1B7A">
        <w:t>/</w:t>
      </w:r>
      <w:r w:rsidR="00C326BD">
        <w:t xml:space="preserve"> </w:t>
      </w:r>
      <w:r w:rsidRPr="006D1B7A">
        <w:t>EN)</w:t>
      </w:r>
    </w:p>
    <w:p w14:paraId="178A4E02" w14:textId="043368D7" w:rsidR="00631B8C" w:rsidRPr="006D1B7A" w:rsidRDefault="001A255C" w:rsidP="000177E0">
      <w:pPr>
        <w:pStyle w:val="Paragraph"/>
      </w:pPr>
      <w:r>
        <w:t>I</w:t>
      </w:r>
      <w:r w:rsidR="00631B8C" w:rsidRPr="006D1B7A">
        <w:t xml:space="preserve">nspectors have the power to issue Improvement Notices (IN) under both the HSWA </w:t>
      </w:r>
      <w:r w:rsidR="00B20832" w:rsidRPr="006D1B7A">
        <w:t>(section 21 – Improvement Notices</w:t>
      </w:r>
      <w:r w:rsidR="009101B3" w:rsidRPr="006D1B7A">
        <w:t>; section 23 -</w:t>
      </w:r>
      <w:r w:rsidR="00F3196C" w:rsidRPr="006D1B7A">
        <w:t>Provisions supplementary to ss. 21 and 22</w:t>
      </w:r>
      <w:r w:rsidR="00B20832" w:rsidRPr="006D1B7A">
        <w:t xml:space="preserve">) </w:t>
      </w:r>
      <w:r w:rsidR="00631B8C" w:rsidRPr="006D1B7A">
        <w:t>and TEA13</w:t>
      </w:r>
      <w:r w:rsidR="007E7240" w:rsidRPr="006D1B7A">
        <w:t xml:space="preserve"> (</w:t>
      </w:r>
      <w:r w:rsidR="005D505F">
        <w:t>S</w:t>
      </w:r>
      <w:r w:rsidR="007E7240" w:rsidRPr="006D1B7A">
        <w:t xml:space="preserve">chedule 8 Part 2 </w:t>
      </w:r>
      <w:r w:rsidR="00DE4BCE" w:rsidRPr="006D1B7A">
        <w:t>(3))</w:t>
      </w:r>
      <w:r w:rsidR="00631B8C" w:rsidRPr="006D1B7A">
        <w:t>.</w:t>
      </w:r>
    </w:p>
    <w:p w14:paraId="2FDF6317" w14:textId="7F47BD4D" w:rsidR="00631B8C" w:rsidRPr="006D1B7A" w:rsidRDefault="00631B8C" w:rsidP="000177E0">
      <w:pPr>
        <w:pStyle w:val="Paragraph"/>
      </w:pPr>
      <w:r w:rsidRPr="006D1B7A">
        <w:t xml:space="preserve">In considering the issue of an IN the inspector has to be of the opinion that the </w:t>
      </w:r>
      <w:r w:rsidR="009B7814" w:rsidRPr="006D1B7A">
        <w:t xml:space="preserve">dutyholder </w:t>
      </w:r>
      <w:r w:rsidRPr="006D1B7A">
        <w:t xml:space="preserve">is contravening, or has contravened, one or more of the relevant statutory provisions of HSWA, or the applicable provisions of the TEA13, in circumstances that make it </w:t>
      </w:r>
      <w:r w:rsidRPr="00B70DA7">
        <w:rPr>
          <w:b/>
          <w:bCs/>
        </w:rPr>
        <w:t>likely that the contravention will continue or be repeated</w:t>
      </w:r>
      <w:r w:rsidRPr="006D1B7A">
        <w:t xml:space="preserve">. </w:t>
      </w:r>
    </w:p>
    <w:p w14:paraId="27E94452" w14:textId="73EA7A47" w:rsidR="00631B8C" w:rsidRPr="006D1B7A" w:rsidRDefault="00631B8C" w:rsidP="000177E0">
      <w:pPr>
        <w:pStyle w:val="Paragraph"/>
        <w:rPr>
          <w:b/>
        </w:rPr>
      </w:pPr>
      <w:r w:rsidRPr="006D1B7A">
        <w:lastRenderedPageBreak/>
        <w:t xml:space="preserve">Crown bodies are exempt from statutory </w:t>
      </w:r>
      <w:r w:rsidR="00B70346" w:rsidRPr="006D1B7A">
        <w:t>enforcement,</w:t>
      </w:r>
      <w:r w:rsidRPr="006D1B7A">
        <w:t xml:space="preserve"> but ONR can issue non-statutory notices</w:t>
      </w:r>
      <w:r w:rsidR="00D926A8" w:rsidRPr="006D1B7A">
        <w:t xml:space="preserve"> (</w:t>
      </w:r>
      <w:r w:rsidR="004323B9" w:rsidRPr="006D1B7A">
        <w:t>Crown notice that work should be stopped</w:t>
      </w:r>
      <w:r w:rsidR="00B566A6" w:rsidRPr="006D1B7A">
        <w:t xml:space="preserve"> (LP52</w:t>
      </w:r>
      <w:r w:rsidR="008E75C7" w:rsidRPr="006D1B7A">
        <w:t>)</w:t>
      </w:r>
      <w:r w:rsidR="004323B9" w:rsidRPr="006D1B7A">
        <w:t xml:space="preserve"> and</w:t>
      </w:r>
      <w:bookmarkStart w:id="37" w:name="_Toc25593584"/>
      <w:r w:rsidR="00B566A6" w:rsidRPr="006D1B7A">
        <w:rPr>
          <w:rFonts w:ascii="Arial Bold" w:eastAsia="Times New Roman" w:hAnsi="Arial Bold" w:cs="Times New Roman"/>
          <w:b/>
          <w:caps/>
          <w:sz w:val="22"/>
          <w:lang w:bidi="ar-SA"/>
        </w:rPr>
        <w:t xml:space="preserve"> </w:t>
      </w:r>
      <w:r w:rsidR="00B566A6" w:rsidRPr="006D1B7A">
        <w:rPr>
          <w:bCs/>
        </w:rPr>
        <w:t>Improvement notice for crown employers (LP51)</w:t>
      </w:r>
      <w:bookmarkEnd w:id="37"/>
      <w:r w:rsidR="008E75C7" w:rsidRPr="006D1B7A">
        <w:rPr>
          <w:bCs/>
        </w:rPr>
        <w:t>).</w:t>
      </w:r>
      <w:r w:rsidR="00B566A6" w:rsidRPr="006D1B7A">
        <w:rPr>
          <w:b/>
        </w:rPr>
        <w:t xml:space="preserve"> </w:t>
      </w:r>
    </w:p>
    <w:p w14:paraId="3AEEC4E6" w14:textId="093DC27E" w:rsidR="00631B8C" w:rsidRPr="006D1B7A" w:rsidRDefault="00631B8C" w:rsidP="000177E0">
      <w:pPr>
        <w:pStyle w:val="Paragraph"/>
      </w:pPr>
      <w:r w:rsidRPr="006D1B7A">
        <w:t>Inspectors have the power to issue Enforcement Notices under the Regulatory Reform (Fire Safety) Order 2005</w:t>
      </w:r>
      <w:r w:rsidR="00251219" w:rsidRPr="006D1B7A">
        <w:t xml:space="preserve"> (section 30)</w:t>
      </w:r>
      <w:r w:rsidRPr="006D1B7A">
        <w:t xml:space="preserve"> or the Fire (Scotland) Act 2005</w:t>
      </w:r>
      <w:r w:rsidR="00C30FD3" w:rsidRPr="006D1B7A">
        <w:t xml:space="preserve"> (section 64)</w:t>
      </w:r>
      <w:r w:rsidRPr="006D1B7A">
        <w:t>.</w:t>
      </w:r>
    </w:p>
    <w:p w14:paraId="5F348618" w14:textId="77777777" w:rsidR="00D15575" w:rsidRPr="006D1B7A" w:rsidRDefault="002B726A" w:rsidP="000177E0">
      <w:pPr>
        <w:pStyle w:val="Paragraph"/>
      </w:pPr>
      <w:r w:rsidRPr="006D1B7A">
        <w:t>The contents of a notice should be discussed with the dutyholder in advance of issuing it, so that they are clear why ONR is taking this action, the response required and to what timescales.</w:t>
      </w:r>
      <w:r w:rsidR="00264DE2" w:rsidRPr="006D1B7A">
        <w:t xml:space="preserve"> </w:t>
      </w:r>
    </w:p>
    <w:p w14:paraId="21514B6B" w14:textId="53054218" w:rsidR="002B726A" w:rsidRDefault="00264DE2" w:rsidP="000177E0">
      <w:pPr>
        <w:pStyle w:val="Paragraph"/>
      </w:pPr>
      <w:r w:rsidRPr="006D1B7A">
        <w:t>Along with the notice itself and</w:t>
      </w:r>
      <w:r w:rsidR="00F75936" w:rsidRPr="006D1B7A">
        <w:t xml:space="preserve"> associated schedule</w:t>
      </w:r>
      <w:r w:rsidR="00165A16">
        <w:t xml:space="preserve"> (schedule is not mandatory but there would need to be a good reason for not having one)</w:t>
      </w:r>
      <w:r w:rsidR="00F75936" w:rsidRPr="006D1B7A">
        <w:t xml:space="preserve">, a covering letter is sent providing </w:t>
      </w:r>
      <w:r w:rsidR="000B2821" w:rsidRPr="006D1B7A">
        <w:t xml:space="preserve">information on the circumstances, standard </w:t>
      </w:r>
      <w:r w:rsidR="000F24EF" w:rsidRPr="006D1B7A">
        <w:t>being sought vs. the dutyholder actual</w:t>
      </w:r>
      <w:r w:rsidR="00453271" w:rsidRPr="006D1B7A">
        <w:t xml:space="preserve">, </w:t>
      </w:r>
      <w:r w:rsidR="000F24EF" w:rsidRPr="006D1B7A">
        <w:t xml:space="preserve">the </w:t>
      </w:r>
      <w:r w:rsidR="00453271" w:rsidRPr="006D1B7A">
        <w:t xml:space="preserve">proposed remedy and the </w:t>
      </w:r>
      <w:r w:rsidR="000F24EF" w:rsidRPr="006D1B7A">
        <w:t>timescales for re</w:t>
      </w:r>
      <w:r w:rsidR="00453271" w:rsidRPr="006D1B7A">
        <w:t xml:space="preserve">medy. </w:t>
      </w:r>
      <w:r w:rsidR="00D15575" w:rsidRPr="006D1B7A">
        <w:t xml:space="preserve">Keep the proposed remedy as aligned with the schedule as possible to </w:t>
      </w:r>
      <w:r w:rsidR="008125D9" w:rsidRPr="006D1B7A">
        <w:t xml:space="preserve">not </w:t>
      </w:r>
      <w:r w:rsidR="00D15575" w:rsidRPr="006D1B7A">
        <w:t>overcomplicate</w:t>
      </w:r>
      <w:r w:rsidR="00B96EE6" w:rsidRPr="006D1B7A">
        <w:t xml:space="preserve"> and that the notice can be complied with in timely manner.</w:t>
      </w:r>
    </w:p>
    <w:p w14:paraId="38403856" w14:textId="7893F12D" w:rsidR="00AF0AB7" w:rsidRDefault="00777131" w:rsidP="000177E0">
      <w:pPr>
        <w:pStyle w:val="Paragraph"/>
      </w:pPr>
      <w:r>
        <w:t xml:space="preserve">Serving of the </w:t>
      </w:r>
      <w:r w:rsidR="00996C1F">
        <w:t xml:space="preserve">notice </w:t>
      </w:r>
      <w:r w:rsidR="00CD2426">
        <w:t xml:space="preserve">which is </w:t>
      </w:r>
      <w:r w:rsidR="00996C1F">
        <w:t xml:space="preserve">aligned to TEA </w:t>
      </w:r>
      <w:r w:rsidR="00B864DC">
        <w:t xml:space="preserve">2013 </w:t>
      </w:r>
      <w:r w:rsidR="0004071E">
        <w:t>Part 3, Chapter 5</w:t>
      </w:r>
      <w:r w:rsidR="00C326BD">
        <w:t xml:space="preserve">, </w:t>
      </w:r>
      <w:r w:rsidR="0004071E">
        <w:t xml:space="preserve">paragraph 109 </w:t>
      </w:r>
      <w:r w:rsidR="00B864DC">
        <w:t xml:space="preserve">can be served electronically, as long as the recipient is aware of the method </w:t>
      </w:r>
      <w:r w:rsidR="00863B5C">
        <w:t>of transmission, see TEA 13</w:t>
      </w:r>
      <w:r w:rsidR="002C469F">
        <w:t xml:space="preserve"> Part 3, Chapter </w:t>
      </w:r>
      <w:r w:rsidR="0004071E">
        <w:t>5</w:t>
      </w:r>
      <w:r w:rsidR="00C326BD">
        <w:t>,</w:t>
      </w:r>
      <w:r w:rsidR="0073334C">
        <w:t xml:space="preserve"> paragraph 110.</w:t>
      </w:r>
    </w:p>
    <w:p w14:paraId="1E57834F" w14:textId="277270C0" w:rsidR="00136543" w:rsidRPr="00136543" w:rsidRDefault="00AF0AB7" w:rsidP="000177E0">
      <w:pPr>
        <w:pStyle w:val="Paragraph"/>
      </w:pPr>
      <w:r w:rsidRPr="00136543">
        <w:t>For</w:t>
      </w:r>
      <w:r w:rsidR="0052791A" w:rsidRPr="00136543">
        <w:t xml:space="preserve"> notices served in relation to </w:t>
      </w:r>
      <w:r w:rsidR="009B6EF9" w:rsidRPr="00136543">
        <w:t>HSWA</w:t>
      </w:r>
      <w:r w:rsidR="00C326BD">
        <w:t>, S</w:t>
      </w:r>
      <w:r w:rsidR="009B6EF9" w:rsidRPr="00136543">
        <w:t>ection 46 relates to how notices will be served</w:t>
      </w:r>
      <w:r w:rsidR="0000725E" w:rsidRPr="00136543">
        <w:t>.</w:t>
      </w:r>
      <w:r w:rsidR="008D020F">
        <w:rPr>
          <w:rFonts w:ascii="Roboto" w:hAnsi="Roboto"/>
          <w:color w:val="212B32"/>
          <w:sz w:val="29"/>
          <w:szCs w:val="29"/>
          <w:shd w:val="clear" w:color="auto" w:fill="FFFFFF"/>
        </w:rPr>
        <w:t xml:space="preserve"> </w:t>
      </w:r>
      <w:r w:rsidR="003B3B45" w:rsidRPr="00136543">
        <w:t>There will be other ways to achieve service outside the scope of Section 46 as the section is permissive not prescriptive</w:t>
      </w:r>
      <w:r w:rsidR="00136543" w:rsidRPr="00136543">
        <w:t>. If a notice is to be served by email then you should ensure that you:</w:t>
      </w:r>
    </w:p>
    <w:p w14:paraId="1E55413F" w14:textId="0205E5BC" w:rsidR="00136543" w:rsidRDefault="00136543" w:rsidP="00342F96">
      <w:pPr>
        <w:pStyle w:val="Paragraph"/>
        <w:numPr>
          <w:ilvl w:val="0"/>
          <w:numId w:val="25"/>
        </w:numPr>
      </w:pPr>
      <w:r>
        <w:t>Identify who the notice should be served upon. With a limited company this should be a director of the company or an appropriate senior manager</w:t>
      </w:r>
      <w:r w:rsidR="00342F96">
        <w:t xml:space="preserve">. </w:t>
      </w:r>
      <w:r w:rsidR="00342F96" w:rsidRPr="00342F96">
        <w:t>The Regulator should confirm the correct recipient with the dutyholder prior to serving.</w:t>
      </w:r>
      <w:r w:rsidR="00342F96">
        <w:t xml:space="preserve"> </w:t>
      </w:r>
      <w:r w:rsidR="00342F96" w:rsidRPr="00342F96">
        <w:t>Caution should be taken if the email address appears to be a personal one</w:t>
      </w:r>
      <w:r w:rsidR="00342F96" w:rsidRPr="00342F96">
        <w:rPr>
          <w:i/>
          <w:iCs/>
        </w:rPr>
        <w:t>.</w:t>
      </w:r>
    </w:p>
    <w:p w14:paraId="653F1D1A" w14:textId="3437107A" w:rsidR="005C770E" w:rsidRDefault="005C770E" w:rsidP="005C770E">
      <w:pPr>
        <w:pStyle w:val="Paragraph"/>
        <w:numPr>
          <w:ilvl w:val="0"/>
          <w:numId w:val="25"/>
        </w:numPr>
      </w:pPr>
      <w:r>
        <w:t xml:space="preserve">The notice, saved in a PDF format, should be emailed directly to the named person. A copy of an appropriate covering letter should be sent at the same time. It may be appropriate to send (or copy) the email to more than one company recipient, such as the health and safety or local manager. </w:t>
      </w:r>
    </w:p>
    <w:p w14:paraId="47B4D5AB" w14:textId="2C7C9452" w:rsidR="00136543" w:rsidRDefault="00115E5A" w:rsidP="000177E0">
      <w:pPr>
        <w:pStyle w:val="Paragraph"/>
        <w:numPr>
          <w:ilvl w:val="0"/>
          <w:numId w:val="25"/>
        </w:numPr>
      </w:pPr>
      <w:r>
        <w:t xml:space="preserve">In the covering email the Regulator should ask the recipient to personally acknowledge receipt of the notice - it is a good idea to also ask them to confirm that they are able to open the attached documents.  </w:t>
      </w:r>
    </w:p>
    <w:p w14:paraId="320A7AB6" w14:textId="31938A53" w:rsidR="005C770E" w:rsidRDefault="00136543" w:rsidP="002B48A0">
      <w:pPr>
        <w:pStyle w:val="Paragraph"/>
        <w:numPr>
          <w:ilvl w:val="0"/>
          <w:numId w:val="25"/>
        </w:numPr>
      </w:pPr>
      <w:r>
        <w:t>If you do not receive any acknowledgment of receipt then you should serve the notice in one of the ways outlined under s</w:t>
      </w:r>
      <w:r w:rsidR="00C326BD">
        <w:t>.</w:t>
      </w:r>
      <w:r>
        <w:t xml:space="preserve"> 46</w:t>
      </w:r>
      <w:r w:rsidR="00C326BD">
        <w:t xml:space="preserve"> of the</w:t>
      </w:r>
      <w:r>
        <w:t xml:space="preserve"> HSWA</w:t>
      </w:r>
      <w:r w:rsidR="002B6B41">
        <w:t xml:space="preserve">. </w:t>
      </w:r>
      <w:r w:rsidR="002B6B41" w:rsidRPr="002B6B41">
        <w:lastRenderedPageBreak/>
        <w:t>If the recipient of a notice accepts that they have received it, this cures any defect in service.</w:t>
      </w:r>
    </w:p>
    <w:p w14:paraId="3FBFD5D7" w14:textId="0A7F3DB9" w:rsidR="005C770E" w:rsidRPr="006D1B7A" w:rsidRDefault="005C770E" w:rsidP="005C770E">
      <w:pPr>
        <w:pStyle w:val="Paragraph"/>
        <w:numPr>
          <w:ilvl w:val="0"/>
          <w:numId w:val="25"/>
        </w:numPr>
      </w:pPr>
      <w:r>
        <w:t>Prior to serving via email, the Regulator should have already explained the notice and its implications. If they have been unable to do this, despite undertaking reasonable efforts to do so, additional text should be added to the covering email highlighting the key points as described in discussing the notice.</w:t>
      </w:r>
    </w:p>
    <w:p w14:paraId="75046D7D" w14:textId="1822FC95" w:rsidR="00631B8C" w:rsidRPr="007163AB" w:rsidRDefault="00631B8C" w:rsidP="000177E0">
      <w:pPr>
        <w:pStyle w:val="Paragraph"/>
        <w:rPr>
          <w:b/>
          <w:bCs/>
        </w:rPr>
      </w:pPr>
      <w:r w:rsidRPr="006D1B7A">
        <w:t xml:space="preserve">Templates for an IN, </w:t>
      </w:r>
      <w:r w:rsidR="00261AB9">
        <w:t xml:space="preserve">associated schedule, </w:t>
      </w:r>
      <w:r w:rsidRPr="006D1B7A">
        <w:t xml:space="preserve">EN and the related extension and withdrawal forms can be found </w:t>
      </w:r>
      <w:r w:rsidR="00251219" w:rsidRPr="006D1B7A">
        <w:t>on</w:t>
      </w:r>
      <w:r w:rsidR="00C326BD" w:rsidRPr="006D1B7A">
        <w:t xml:space="preserve"> </w:t>
      </w:r>
      <w:hyperlink r:id="rId43" w:history="1">
        <w:r w:rsidR="00C326BD" w:rsidRPr="00C326BD">
          <w:rPr>
            <w:rStyle w:val="Hyperlink"/>
          </w:rPr>
          <w:t>HOW2 Hub</w:t>
        </w:r>
      </w:hyperlink>
      <w:r w:rsidR="00C326BD">
        <w:t>.</w:t>
      </w:r>
      <w:r w:rsidR="007163AB" w:rsidRPr="007163AB">
        <w:t xml:space="preserve"> </w:t>
      </w:r>
      <w:r w:rsidR="007163AB">
        <w:t xml:space="preserve">The notice templates provide useful prompts for completing, however to support inspectors further for prohibition and improvement notices the HSE have an operational circular related to </w:t>
      </w:r>
      <w:hyperlink r:id="rId44" w:history="1">
        <w:r w:rsidR="007163AB" w:rsidRPr="00DB6466">
          <w:rPr>
            <w:rStyle w:val="Hyperlink"/>
          </w:rPr>
          <w:t>Improvement and prohibition notices – effective drafting and service OC 130/14.</w:t>
        </w:r>
      </w:hyperlink>
    </w:p>
    <w:p w14:paraId="3121D77F" w14:textId="3D946D4C" w:rsidR="00BF4327" w:rsidRPr="006D1B7A" w:rsidRDefault="00BF4327" w:rsidP="000177E0">
      <w:pPr>
        <w:pStyle w:val="Paragraph"/>
      </w:pPr>
      <w:r w:rsidRPr="006D1B7A">
        <w:t>A dutyholder may request an extension of the notice period</w:t>
      </w:r>
      <w:r w:rsidR="00881AC3">
        <w:t xml:space="preserve">, it may be that in your monitoring of </w:t>
      </w:r>
      <w:r w:rsidR="006535D2">
        <w:t>compliance with the notice that you may influence that the dutyholder consider an extension</w:t>
      </w:r>
      <w:r w:rsidR="003B3B0C" w:rsidRPr="006D1B7A">
        <w:t xml:space="preserve"> and</w:t>
      </w:r>
      <w:r w:rsidRPr="006D1B7A">
        <w:t xml:space="preserve"> </w:t>
      </w:r>
      <w:r w:rsidR="00560169">
        <w:t xml:space="preserve">that they </w:t>
      </w:r>
      <w:r w:rsidRPr="006D1B7A">
        <w:t>must do so:</w:t>
      </w:r>
    </w:p>
    <w:p w14:paraId="29F84ECE" w14:textId="17629688" w:rsidR="00BF4327" w:rsidRPr="006D1B7A" w:rsidRDefault="00BF4327" w:rsidP="00C326BD">
      <w:pPr>
        <w:pStyle w:val="NumList2"/>
        <w:numPr>
          <w:ilvl w:val="1"/>
          <w:numId w:val="29"/>
        </w:numPr>
        <w:ind w:left="1276"/>
      </w:pPr>
      <w:r w:rsidRPr="006D1B7A">
        <w:t xml:space="preserve">during the period of compliance with an </w:t>
      </w:r>
      <w:r w:rsidR="00C326BD">
        <w:t>IN</w:t>
      </w:r>
      <w:r w:rsidRPr="006D1B7A">
        <w:t>;</w:t>
      </w:r>
      <w:r w:rsidR="00227988" w:rsidRPr="006D1B7A">
        <w:t xml:space="preserve"> </w:t>
      </w:r>
      <w:r w:rsidRPr="006D1B7A">
        <w:t>or</w:t>
      </w:r>
    </w:p>
    <w:p w14:paraId="2B5A1AAB" w14:textId="02FEDEA4" w:rsidR="00BF4327" w:rsidRPr="006D1B7A" w:rsidRDefault="00BD0D2E" w:rsidP="00C326BD">
      <w:pPr>
        <w:pStyle w:val="NumList2"/>
        <w:numPr>
          <w:ilvl w:val="1"/>
          <w:numId w:val="29"/>
        </w:numPr>
        <w:ind w:left="1276"/>
      </w:pPr>
      <w:r w:rsidRPr="006D1B7A">
        <w:t xml:space="preserve">at </w:t>
      </w:r>
      <w:r w:rsidR="00BF4327" w:rsidRPr="006D1B7A">
        <w:t>any time when an appeal is not pending</w:t>
      </w:r>
      <w:r w:rsidRPr="006D1B7A">
        <w:t>.</w:t>
      </w:r>
    </w:p>
    <w:p w14:paraId="50E22046" w14:textId="38B8C9D4" w:rsidR="00872D60" w:rsidRPr="006D1B7A" w:rsidRDefault="00920894" w:rsidP="000177E0">
      <w:pPr>
        <w:pStyle w:val="Paragraph"/>
      </w:pPr>
      <w:r w:rsidRPr="006D1B7A">
        <w:t>Understand the basis for the request</w:t>
      </w:r>
      <w:r w:rsidR="00593980" w:rsidRPr="006D1B7A">
        <w:t xml:space="preserve"> to extend</w:t>
      </w:r>
      <w:r w:rsidRPr="006D1B7A">
        <w:t xml:space="preserve"> </w:t>
      </w:r>
      <w:r w:rsidR="008756F4" w:rsidRPr="006D1B7A">
        <w:t xml:space="preserve">and </w:t>
      </w:r>
      <w:r w:rsidRPr="006D1B7A">
        <w:t>de</w:t>
      </w:r>
      <w:r w:rsidR="008756F4" w:rsidRPr="006D1B7A">
        <w:t>termine</w:t>
      </w:r>
      <w:r w:rsidRPr="006D1B7A">
        <w:t xml:space="preserve"> whether the need for an extension is genuine and justified</w:t>
      </w:r>
      <w:r w:rsidR="008005DD" w:rsidRPr="006D1B7A">
        <w:t xml:space="preserve">. </w:t>
      </w:r>
      <w:r w:rsidR="0089012A" w:rsidRPr="0089012A">
        <w:t xml:space="preserve">Ensure you maintain regular </w:t>
      </w:r>
      <w:r w:rsidR="000A48AB">
        <w:t>contact</w:t>
      </w:r>
      <w:r w:rsidR="0089012A" w:rsidRPr="0089012A">
        <w:t xml:space="preserve"> with the dutyholder such that any extension request is received in plenty of time before the compliance date is due. </w:t>
      </w:r>
      <w:r w:rsidR="000A48AB">
        <w:t xml:space="preserve">Often in monitoring close out inspectors may carry out a site visit or inspection to judge how compliance is progressing. </w:t>
      </w:r>
      <w:r w:rsidR="008005DD" w:rsidRPr="006D1B7A">
        <w:t xml:space="preserve">Discuss with </w:t>
      </w:r>
      <w:r w:rsidR="0099731B">
        <w:t xml:space="preserve">HoR </w:t>
      </w:r>
      <w:r w:rsidR="008005DD" w:rsidRPr="006D1B7A">
        <w:t xml:space="preserve">and </w:t>
      </w:r>
      <w:r w:rsidR="004B0E95" w:rsidRPr="006D1B7A">
        <w:t xml:space="preserve">complete the extension template on </w:t>
      </w:r>
      <w:hyperlink r:id="rId45" w:history="1">
        <w:r w:rsidR="00C326BD" w:rsidRPr="00C326BD">
          <w:rPr>
            <w:rStyle w:val="Hyperlink"/>
          </w:rPr>
          <w:t>HOW2 Hub</w:t>
        </w:r>
      </w:hyperlink>
      <w:r w:rsidR="00C326BD">
        <w:t>.</w:t>
      </w:r>
    </w:p>
    <w:p w14:paraId="7DF76F1F" w14:textId="0E5212AE" w:rsidR="00593980" w:rsidRPr="006D1B7A" w:rsidRDefault="002D52F7" w:rsidP="000177E0">
      <w:pPr>
        <w:pStyle w:val="Paragraph"/>
      </w:pPr>
      <w:r>
        <w:t xml:space="preserve">Although </w:t>
      </w:r>
      <w:r w:rsidR="00E20498">
        <w:t xml:space="preserve">it would be </w:t>
      </w:r>
      <w:r>
        <w:t xml:space="preserve">unusual, </w:t>
      </w:r>
      <w:r w:rsidR="0058575D">
        <w:t>i</w:t>
      </w:r>
      <w:r w:rsidR="00593980" w:rsidRPr="006D1B7A">
        <w:t>nspectors can withdraw a notice</w:t>
      </w:r>
      <w:r w:rsidR="00DC11BA" w:rsidRPr="006D1B7A">
        <w:t>, usually if there is a</w:t>
      </w:r>
      <w:r w:rsidR="00D56B9C" w:rsidRPr="006D1B7A">
        <w:t xml:space="preserve"> significant error with it.</w:t>
      </w:r>
      <w:r w:rsidR="00A904D7" w:rsidRPr="006D1B7A">
        <w:t xml:space="preserve"> </w:t>
      </w:r>
      <w:r w:rsidR="003E251D">
        <w:t xml:space="preserve">This would require discussion with the relevant HoR and may require a new notice to be served if the notice was withdrawn due to an </w:t>
      </w:r>
      <w:r w:rsidR="006868AF">
        <w:t>error.</w:t>
      </w:r>
      <w:r w:rsidR="0001706F" w:rsidRPr="006D1B7A">
        <w:t xml:space="preserve"> </w:t>
      </w:r>
    </w:p>
    <w:p w14:paraId="4E1C3E6C" w14:textId="1B41BEDF" w:rsidR="00FC4D3D" w:rsidRPr="006D1B7A" w:rsidRDefault="00CC4621" w:rsidP="000177E0">
      <w:pPr>
        <w:pStyle w:val="Paragraph"/>
      </w:pPr>
      <w:r w:rsidRPr="006D1B7A">
        <w:t xml:space="preserve">Failure </w:t>
      </w:r>
      <w:r w:rsidR="00E4635B" w:rsidRPr="006D1B7A">
        <w:t>to comply with a</w:t>
      </w:r>
      <w:r w:rsidR="00DE235C" w:rsidRPr="006D1B7A">
        <w:t>n improvement</w:t>
      </w:r>
      <w:r w:rsidR="00E4635B" w:rsidRPr="006D1B7A">
        <w:t xml:space="preserve"> notice is an offence</w:t>
      </w:r>
      <w:r w:rsidR="00CE7DDC">
        <w:t>,</w:t>
      </w:r>
      <w:r w:rsidR="00E4635B" w:rsidRPr="006D1B7A">
        <w:t xml:space="preserve"> under </w:t>
      </w:r>
      <w:r w:rsidR="00C326BD">
        <w:t xml:space="preserve">the </w:t>
      </w:r>
      <w:r w:rsidR="00CE7DDC">
        <w:t>HSWA</w:t>
      </w:r>
      <w:r w:rsidR="00C326BD">
        <w:t>, S</w:t>
      </w:r>
      <w:r w:rsidR="00E4635B" w:rsidRPr="006D1B7A">
        <w:t>ection 33</w:t>
      </w:r>
      <w:r w:rsidR="00147AD9">
        <w:t xml:space="preserve"> and </w:t>
      </w:r>
      <w:r w:rsidR="005B10A1">
        <w:t xml:space="preserve">under </w:t>
      </w:r>
      <w:r w:rsidR="00CE7DDC">
        <w:t>TEA13</w:t>
      </w:r>
      <w:r w:rsidR="00C326BD">
        <w:t>,</w:t>
      </w:r>
      <w:r w:rsidR="00CE7DDC">
        <w:t xml:space="preserve"> </w:t>
      </w:r>
      <w:r w:rsidR="005B10A1">
        <w:t>Schedule 8</w:t>
      </w:r>
      <w:r w:rsidR="00C326BD">
        <w:t>,</w:t>
      </w:r>
      <w:r w:rsidR="005B10A1">
        <w:t xml:space="preserve"> Part 2</w:t>
      </w:r>
      <w:r w:rsidR="00C326BD">
        <w:t>,</w:t>
      </w:r>
      <w:r w:rsidR="005B10A1">
        <w:t xml:space="preserve"> paragraph </w:t>
      </w:r>
      <w:r w:rsidR="00CE20DA">
        <w:t>7(1)</w:t>
      </w:r>
      <w:r w:rsidR="00E4635B" w:rsidRPr="006D1B7A">
        <w:t xml:space="preserve"> </w:t>
      </w:r>
      <w:r w:rsidR="00DE235C" w:rsidRPr="006D1B7A">
        <w:t>potentially leading to prosecution (</w:t>
      </w:r>
      <w:r w:rsidR="00C326BD">
        <w:t>refer to the</w:t>
      </w:r>
      <w:r w:rsidR="00DE235C" w:rsidRPr="006D1B7A">
        <w:t xml:space="preserve"> EPS</w:t>
      </w:r>
      <w:r w:rsidR="00AC6687" w:rsidRPr="006D1B7A">
        <w:t xml:space="preserve"> </w:t>
      </w:r>
      <w:r w:rsidR="00C529EB" w:rsidRPr="006D1B7A">
        <w:t xml:space="preserve">where ONR would normally prosecute, </w:t>
      </w:r>
      <w:r w:rsidR="00C326BD">
        <w:t>for example,</w:t>
      </w:r>
      <w:r w:rsidR="00C529EB" w:rsidRPr="006D1B7A">
        <w:t xml:space="preserve"> there has been a failure to comply with a notice or direction).</w:t>
      </w:r>
    </w:p>
    <w:p w14:paraId="266EABB2" w14:textId="31D03ADF" w:rsidR="00687CC0" w:rsidRPr="006D1B7A" w:rsidRDefault="00BB0F29" w:rsidP="000177E0">
      <w:pPr>
        <w:pStyle w:val="Paragraph"/>
      </w:pPr>
      <w:r w:rsidRPr="006D1B7A">
        <w:t>An IN</w:t>
      </w:r>
      <w:r w:rsidR="00236403" w:rsidRPr="006D1B7A">
        <w:t xml:space="preserve"> (</w:t>
      </w:r>
      <w:r w:rsidR="00DF1D99" w:rsidRPr="006D1B7A">
        <w:t>HSWA</w:t>
      </w:r>
      <w:r w:rsidR="00C326BD">
        <w:t>,</w:t>
      </w:r>
      <w:r w:rsidR="00DF1D99" w:rsidRPr="006D1B7A">
        <w:t xml:space="preserve"> s</w:t>
      </w:r>
      <w:r w:rsidR="00C326BD">
        <w:t>.</w:t>
      </w:r>
      <w:r w:rsidR="00DF1D99" w:rsidRPr="006D1B7A">
        <w:t xml:space="preserve">24 </w:t>
      </w:r>
      <w:r w:rsidR="000220EB">
        <w:t>and</w:t>
      </w:r>
      <w:r w:rsidR="000220EB" w:rsidRPr="000220EB">
        <w:t xml:space="preserve"> </w:t>
      </w:r>
      <w:r w:rsidR="00060536" w:rsidRPr="000220EB">
        <w:t>TEA13</w:t>
      </w:r>
      <w:r w:rsidR="00C326BD">
        <w:t>,</w:t>
      </w:r>
      <w:r w:rsidR="009D708D">
        <w:t xml:space="preserve"> </w:t>
      </w:r>
      <w:r w:rsidR="000220EB" w:rsidRPr="000220EB">
        <w:t>Schedule 8</w:t>
      </w:r>
      <w:r w:rsidR="00C326BD">
        <w:t>,</w:t>
      </w:r>
      <w:r w:rsidR="000220EB" w:rsidRPr="000220EB">
        <w:t xml:space="preserve"> Part 2</w:t>
      </w:r>
      <w:r w:rsidR="00C326BD">
        <w:t>,</w:t>
      </w:r>
      <w:r w:rsidR="000220EB" w:rsidRPr="000220EB">
        <w:t xml:space="preserve"> paragraph </w:t>
      </w:r>
      <w:r w:rsidR="000220EB">
        <w:t>6</w:t>
      </w:r>
      <w:r w:rsidR="009D708D" w:rsidRPr="009D708D">
        <w:t xml:space="preserve"> </w:t>
      </w:r>
      <w:r w:rsidR="009D708D">
        <w:t xml:space="preserve">- </w:t>
      </w:r>
      <w:r w:rsidR="009D708D" w:rsidRPr="006D1B7A">
        <w:t>Appeal against improvement or prohibition notice</w:t>
      </w:r>
      <w:r w:rsidR="00DF1D99" w:rsidRPr="006D1B7A">
        <w:t xml:space="preserve">) </w:t>
      </w:r>
      <w:r w:rsidRPr="006D1B7A">
        <w:t>/</w:t>
      </w:r>
      <w:r w:rsidR="006F4CC8">
        <w:t xml:space="preserve"> </w:t>
      </w:r>
      <w:r w:rsidRPr="006D1B7A">
        <w:t xml:space="preserve">EN </w:t>
      </w:r>
      <w:r w:rsidR="00474975" w:rsidRPr="006D1B7A">
        <w:t>(</w:t>
      </w:r>
      <w:r w:rsidR="00CE31B2" w:rsidRPr="006D1B7A">
        <w:t>Regulatory Reform (Fire Safety) Order 2005 s</w:t>
      </w:r>
      <w:r w:rsidR="00445E6E" w:rsidRPr="006D1B7A">
        <w:t xml:space="preserve">35 or </w:t>
      </w:r>
      <w:r w:rsidR="00EE2A8F" w:rsidRPr="006D1B7A">
        <w:t xml:space="preserve">FSA 2005 s66) </w:t>
      </w:r>
      <w:r w:rsidRPr="006D1B7A">
        <w:t>can be appealed</w:t>
      </w:r>
      <w:r w:rsidR="00812D5E" w:rsidRPr="006D1B7A">
        <w:t>.</w:t>
      </w:r>
      <w:r w:rsidRPr="006D1B7A">
        <w:t xml:space="preserve"> </w:t>
      </w:r>
      <w:r w:rsidR="000840DD">
        <w:t>T</w:t>
      </w:r>
      <w:r w:rsidRPr="006D1B7A">
        <w:t xml:space="preserve">he </w:t>
      </w:r>
      <w:r w:rsidR="000840DD">
        <w:t>reverse</w:t>
      </w:r>
      <w:r w:rsidRPr="006D1B7A">
        <w:t xml:space="preserve"> of the IN/EN template is guidance on how that can be done. </w:t>
      </w:r>
    </w:p>
    <w:p w14:paraId="27CB7C19" w14:textId="2F93585F" w:rsidR="00687CC0" w:rsidRPr="006D1B7A" w:rsidRDefault="00BB0F29" w:rsidP="000177E0">
      <w:pPr>
        <w:pStyle w:val="Paragraph"/>
      </w:pPr>
      <w:r w:rsidRPr="006D1B7A">
        <w:lastRenderedPageBreak/>
        <w:t>A notice of appeal must be presented to the Employment Tribunal within 21 days for an IN or to the local Magistrates Court within 21 days for an EN</w:t>
      </w:r>
      <w:r w:rsidR="00E9454C">
        <w:t xml:space="preserve"> by the dutyholder</w:t>
      </w:r>
      <w:r w:rsidRPr="006D1B7A">
        <w:t xml:space="preserve">. </w:t>
      </w:r>
    </w:p>
    <w:p w14:paraId="2279E721" w14:textId="2446EE01" w:rsidR="00631B8C" w:rsidRPr="006D1B7A" w:rsidRDefault="00BB0F29" w:rsidP="000177E0">
      <w:pPr>
        <w:pStyle w:val="Paragraph"/>
      </w:pPr>
      <w:r w:rsidRPr="006D1B7A">
        <w:t>The entering of an appeal suspends the IN until the appeal has been determined or withdrawn</w:t>
      </w:r>
      <w:r w:rsidR="00040347">
        <w:t xml:space="preserve"> (</w:t>
      </w:r>
      <w:r w:rsidR="0023451A">
        <w:t xml:space="preserve">this is </w:t>
      </w:r>
      <w:r w:rsidR="00040347">
        <w:t>not the case for a prohibition notice)</w:t>
      </w:r>
      <w:r w:rsidRPr="006D1B7A">
        <w:t>.</w:t>
      </w:r>
    </w:p>
    <w:p w14:paraId="5ADE026A" w14:textId="1B3E9789" w:rsidR="00002F80" w:rsidRPr="006D1B7A" w:rsidRDefault="00453412" w:rsidP="000177E0">
      <w:pPr>
        <w:pStyle w:val="Paragraph"/>
      </w:pPr>
      <w:r w:rsidRPr="006D1B7A">
        <w:t xml:space="preserve">If a notice of appeal form from an Employment Tribunal </w:t>
      </w:r>
      <w:r w:rsidR="00B0408C">
        <w:t xml:space="preserve">(ET) </w:t>
      </w:r>
      <w:r w:rsidRPr="006D1B7A">
        <w:t>is received</w:t>
      </w:r>
      <w:r w:rsidR="00277EC5" w:rsidRPr="006D1B7A">
        <w:t xml:space="preserve"> by ONR</w:t>
      </w:r>
      <w:r w:rsidRPr="006D1B7A">
        <w:t>:</w:t>
      </w:r>
    </w:p>
    <w:p w14:paraId="7B1CF4A1" w14:textId="2B56199E" w:rsidR="006F224B" w:rsidRPr="006D1B7A" w:rsidRDefault="006F224B" w:rsidP="00C326BD">
      <w:pPr>
        <w:pStyle w:val="NumList2"/>
        <w:numPr>
          <w:ilvl w:val="1"/>
          <w:numId w:val="30"/>
        </w:numPr>
        <w:ind w:left="1276"/>
        <w:rPr>
          <w:lang w:eastAsia="en-GB"/>
        </w:rPr>
      </w:pPr>
      <w:r w:rsidRPr="006D1B7A">
        <w:rPr>
          <w:lang w:eastAsia="en-GB"/>
        </w:rPr>
        <w:t xml:space="preserve">discuss all aspects with </w:t>
      </w:r>
      <w:r w:rsidR="008A686F">
        <w:rPr>
          <w:lang w:eastAsia="en-GB"/>
        </w:rPr>
        <w:t xml:space="preserve">the </w:t>
      </w:r>
      <w:r w:rsidR="00DE19A2">
        <w:rPr>
          <w:lang w:eastAsia="en-GB"/>
        </w:rPr>
        <w:t>HoR</w:t>
      </w:r>
      <w:r w:rsidRPr="006D1B7A">
        <w:rPr>
          <w:lang w:eastAsia="en-GB"/>
        </w:rPr>
        <w:t xml:space="preserve"> as early as possible</w:t>
      </w:r>
    </w:p>
    <w:p w14:paraId="3AB3283E" w14:textId="1B72F092" w:rsidR="00944660" w:rsidRDefault="00717ABB" w:rsidP="00C326BD">
      <w:pPr>
        <w:pStyle w:val="NumList2"/>
        <w:numPr>
          <w:ilvl w:val="1"/>
          <w:numId w:val="30"/>
        </w:numPr>
        <w:ind w:left="1276"/>
        <w:rPr>
          <w:lang w:eastAsia="en-GB"/>
        </w:rPr>
      </w:pPr>
      <w:r>
        <w:rPr>
          <w:lang w:eastAsia="en-GB"/>
        </w:rPr>
        <w:t>s</w:t>
      </w:r>
      <w:r w:rsidR="00343FBF">
        <w:rPr>
          <w:lang w:eastAsia="en-GB"/>
        </w:rPr>
        <w:t xml:space="preserve">eek advice from the investigation core team in relation to </w:t>
      </w:r>
      <w:r w:rsidR="006E076F">
        <w:rPr>
          <w:lang w:eastAsia="en-GB"/>
        </w:rPr>
        <w:t xml:space="preserve">monitoring financial </w:t>
      </w:r>
      <w:r w:rsidR="00135B2A">
        <w:rPr>
          <w:lang w:eastAsia="en-GB"/>
        </w:rPr>
        <w:t xml:space="preserve">costs, recovery of costs and </w:t>
      </w:r>
      <w:r>
        <w:rPr>
          <w:lang w:eastAsia="en-GB"/>
        </w:rPr>
        <w:t>timing.</w:t>
      </w:r>
    </w:p>
    <w:p w14:paraId="1484DC66" w14:textId="0A2EA66C" w:rsidR="00EC7C87" w:rsidRPr="006D1B7A" w:rsidRDefault="00EC7C87" w:rsidP="00C326BD">
      <w:pPr>
        <w:pStyle w:val="NumList2"/>
        <w:numPr>
          <w:ilvl w:val="1"/>
          <w:numId w:val="30"/>
        </w:numPr>
        <w:ind w:left="1276"/>
        <w:rPr>
          <w:lang w:eastAsia="en-GB"/>
        </w:rPr>
      </w:pPr>
      <w:r w:rsidRPr="006D1B7A">
        <w:rPr>
          <w:lang w:eastAsia="en-GB"/>
        </w:rPr>
        <w:t>record receipt of appeal</w:t>
      </w:r>
    </w:p>
    <w:p w14:paraId="4807FAD0" w14:textId="63463E5F" w:rsidR="00EC7C87" w:rsidRPr="006D1B7A" w:rsidRDefault="00EC7C87" w:rsidP="00C326BD">
      <w:pPr>
        <w:pStyle w:val="NumList2"/>
        <w:numPr>
          <w:ilvl w:val="1"/>
          <w:numId w:val="30"/>
        </w:numPr>
        <w:ind w:left="1276"/>
        <w:rPr>
          <w:lang w:eastAsia="en-GB"/>
        </w:rPr>
      </w:pPr>
      <w:r w:rsidRPr="006D1B7A">
        <w:rPr>
          <w:lang w:eastAsia="en-GB"/>
        </w:rPr>
        <w:t>promptly check that the</w:t>
      </w:r>
      <w:r w:rsidR="00F84EDD">
        <w:rPr>
          <w:lang w:eastAsia="en-GB"/>
        </w:rPr>
        <w:t xml:space="preserve"> ET</w:t>
      </w:r>
      <w:r w:rsidRPr="006D1B7A">
        <w:rPr>
          <w:lang w:eastAsia="en-GB"/>
        </w:rPr>
        <w:t xml:space="preserve"> have a copy of the notice</w:t>
      </w:r>
    </w:p>
    <w:p w14:paraId="7B4B74F9" w14:textId="30C7CABE" w:rsidR="00EC7C87" w:rsidRPr="006D1B7A" w:rsidRDefault="00EC7C87" w:rsidP="00C326BD">
      <w:pPr>
        <w:pStyle w:val="NumList2"/>
        <w:numPr>
          <w:ilvl w:val="1"/>
          <w:numId w:val="30"/>
        </w:numPr>
        <w:ind w:left="1276"/>
        <w:rPr>
          <w:lang w:eastAsia="en-GB"/>
        </w:rPr>
      </w:pPr>
      <w:r w:rsidRPr="006D1B7A">
        <w:rPr>
          <w:lang w:eastAsia="en-GB"/>
        </w:rPr>
        <w:t xml:space="preserve">inform the </w:t>
      </w:r>
      <w:r w:rsidR="00DE19A2">
        <w:rPr>
          <w:lang w:eastAsia="en-GB"/>
        </w:rPr>
        <w:t>ET</w:t>
      </w:r>
      <w:r w:rsidRPr="006D1B7A">
        <w:rPr>
          <w:lang w:eastAsia="en-GB"/>
        </w:rPr>
        <w:t xml:space="preserve"> if the appeal relates to an immediate prohibition notice and full compliance (including remedial measures) has been achieved</w:t>
      </w:r>
    </w:p>
    <w:p w14:paraId="18D377CF" w14:textId="27B4BE5E" w:rsidR="00EC7C87" w:rsidRPr="006D1B7A" w:rsidRDefault="00EC7C87" w:rsidP="00C326BD">
      <w:pPr>
        <w:pStyle w:val="NumList2"/>
        <w:numPr>
          <w:ilvl w:val="1"/>
          <w:numId w:val="30"/>
        </w:numPr>
        <w:ind w:left="1276"/>
        <w:rPr>
          <w:lang w:eastAsia="en-GB"/>
        </w:rPr>
      </w:pPr>
      <w:r w:rsidRPr="006D1B7A">
        <w:rPr>
          <w:lang w:eastAsia="en-GB"/>
        </w:rPr>
        <w:t xml:space="preserve">inform the </w:t>
      </w:r>
      <w:r w:rsidR="00DE19A2">
        <w:rPr>
          <w:lang w:eastAsia="en-GB"/>
        </w:rPr>
        <w:t>ET</w:t>
      </w:r>
      <w:r w:rsidRPr="006D1B7A">
        <w:rPr>
          <w:lang w:eastAsia="en-GB"/>
        </w:rPr>
        <w:t xml:space="preserve"> if a decision has been made (or is almost certain to be made) to prosecute the appellant in relation to the circumstances that led to the notice</w:t>
      </w:r>
    </w:p>
    <w:p w14:paraId="03A803B7" w14:textId="18551F55" w:rsidR="00EC7C87" w:rsidRPr="006D1B7A" w:rsidRDefault="00EC7C87" w:rsidP="00C326BD">
      <w:pPr>
        <w:pStyle w:val="NumList2"/>
        <w:numPr>
          <w:ilvl w:val="1"/>
          <w:numId w:val="30"/>
        </w:numPr>
        <w:ind w:left="1276"/>
        <w:rPr>
          <w:lang w:eastAsia="en-GB"/>
        </w:rPr>
      </w:pPr>
      <w:r w:rsidRPr="006D1B7A">
        <w:rPr>
          <w:lang w:eastAsia="en-GB"/>
        </w:rPr>
        <w:t xml:space="preserve">where a prosecution is underway, consider with </w:t>
      </w:r>
      <w:r w:rsidR="00BC2E30">
        <w:rPr>
          <w:lang w:eastAsia="en-GB"/>
        </w:rPr>
        <w:t xml:space="preserve">the </w:t>
      </w:r>
      <w:r w:rsidR="00DE19A2">
        <w:rPr>
          <w:lang w:eastAsia="en-GB"/>
        </w:rPr>
        <w:t>HoR</w:t>
      </w:r>
      <w:r w:rsidRPr="006D1B7A">
        <w:rPr>
          <w:lang w:eastAsia="en-GB"/>
        </w:rPr>
        <w:t xml:space="preserve"> whether it would be in </w:t>
      </w:r>
      <w:r w:rsidR="002F6837" w:rsidRPr="006D1B7A">
        <w:rPr>
          <w:lang w:eastAsia="en-GB"/>
        </w:rPr>
        <w:t>ONR</w:t>
      </w:r>
      <w:r w:rsidRPr="006D1B7A">
        <w:rPr>
          <w:lang w:eastAsia="en-GB"/>
        </w:rPr>
        <w:t xml:space="preserve">'s interest to request the </w:t>
      </w:r>
      <w:r w:rsidR="00DE19A2">
        <w:rPr>
          <w:lang w:eastAsia="en-GB"/>
        </w:rPr>
        <w:t>ET</w:t>
      </w:r>
      <w:r w:rsidRPr="006D1B7A">
        <w:rPr>
          <w:lang w:eastAsia="en-GB"/>
        </w:rPr>
        <w:t xml:space="preserve"> to put the appeal of the notice on hold pending the outcome of the prosecution</w:t>
      </w:r>
    </w:p>
    <w:p w14:paraId="5FA329D8" w14:textId="60ADD0D0" w:rsidR="00EC7C87" w:rsidRPr="006D1B7A" w:rsidRDefault="00EC7C87" w:rsidP="00C326BD">
      <w:pPr>
        <w:pStyle w:val="NumList2"/>
        <w:numPr>
          <w:ilvl w:val="1"/>
          <w:numId w:val="30"/>
        </w:numPr>
        <w:ind w:left="1276"/>
        <w:rPr>
          <w:lang w:eastAsia="en-GB"/>
        </w:rPr>
      </w:pPr>
      <w:r w:rsidRPr="006D1B7A">
        <w:rPr>
          <w:lang w:eastAsia="en-GB"/>
        </w:rPr>
        <w:t xml:space="preserve">where the grounds for appeal are not sufficiently clear on the notice of appeal, promptly contact the appellant to request further information to clarify their reasons for appealing and copy the request and the subsequent reply to the </w:t>
      </w:r>
      <w:r w:rsidR="00DE19A2">
        <w:rPr>
          <w:lang w:eastAsia="en-GB"/>
        </w:rPr>
        <w:t>ET.</w:t>
      </w:r>
    </w:p>
    <w:p w14:paraId="11891D50" w14:textId="6BAD4527" w:rsidR="00EC7C87" w:rsidRPr="006D1B7A" w:rsidRDefault="00EC7C87" w:rsidP="00C326BD">
      <w:pPr>
        <w:pStyle w:val="NumList2"/>
        <w:numPr>
          <w:ilvl w:val="1"/>
          <w:numId w:val="30"/>
        </w:numPr>
        <w:ind w:left="1276"/>
        <w:rPr>
          <w:lang w:eastAsia="en-GB"/>
        </w:rPr>
      </w:pPr>
      <w:r w:rsidRPr="006D1B7A">
        <w:rPr>
          <w:lang w:eastAsia="en-GB"/>
        </w:rPr>
        <w:t xml:space="preserve">if the reply from the dutyholder is not satisfactory, apply to the </w:t>
      </w:r>
      <w:r w:rsidR="00DE19A2">
        <w:rPr>
          <w:lang w:eastAsia="en-GB"/>
        </w:rPr>
        <w:t>ET</w:t>
      </w:r>
      <w:r w:rsidRPr="006D1B7A">
        <w:rPr>
          <w:lang w:eastAsia="en-GB"/>
        </w:rPr>
        <w:t xml:space="preserve"> for an order to be made for release of the information</w:t>
      </w:r>
    </w:p>
    <w:p w14:paraId="5436315F" w14:textId="2C3F0C5C" w:rsidR="00EC7C87" w:rsidRPr="006D1B7A" w:rsidRDefault="00EC7C87" w:rsidP="00C326BD">
      <w:pPr>
        <w:pStyle w:val="NumList2"/>
        <w:numPr>
          <w:ilvl w:val="1"/>
          <w:numId w:val="30"/>
        </w:numPr>
        <w:ind w:left="1276"/>
        <w:rPr>
          <w:lang w:eastAsia="en-GB"/>
        </w:rPr>
      </w:pPr>
      <w:r w:rsidRPr="006D1B7A">
        <w:rPr>
          <w:lang w:eastAsia="en-GB"/>
        </w:rPr>
        <w:t xml:space="preserve">decide in conjunction with </w:t>
      </w:r>
      <w:r w:rsidR="00BC2E30">
        <w:rPr>
          <w:lang w:eastAsia="en-GB"/>
        </w:rPr>
        <w:t xml:space="preserve">the </w:t>
      </w:r>
      <w:r w:rsidR="00DE19A2">
        <w:rPr>
          <w:lang w:eastAsia="en-GB"/>
        </w:rPr>
        <w:t>HoR</w:t>
      </w:r>
      <w:r w:rsidRPr="006D1B7A">
        <w:rPr>
          <w:lang w:eastAsia="en-GB"/>
        </w:rPr>
        <w:t xml:space="preserve"> whether a solicitor agent in England and Wales, or </w:t>
      </w:r>
      <w:r w:rsidR="00152B79" w:rsidRPr="006D1B7A">
        <w:rPr>
          <w:lang w:eastAsia="en-GB"/>
        </w:rPr>
        <w:t>ONR</w:t>
      </w:r>
      <w:r w:rsidRPr="006D1B7A">
        <w:rPr>
          <w:lang w:eastAsia="en-GB"/>
        </w:rPr>
        <w:t>'s legal advisers in Scotland, should be engaged to handle the appeal</w:t>
      </w:r>
      <w:r w:rsidR="00013D61" w:rsidRPr="006D1B7A">
        <w:rPr>
          <w:lang w:eastAsia="en-GB"/>
        </w:rPr>
        <w:t>.</w:t>
      </w:r>
    </w:p>
    <w:p w14:paraId="1C2A0B95" w14:textId="144D2C08" w:rsidR="001E6C89" w:rsidRPr="006D1B7A" w:rsidRDefault="00FE0231" w:rsidP="000177E0">
      <w:pPr>
        <w:pStyle w:val="Paragraph"/>
      </w:pPr>
      <w:r>
        <w:t>F</w:t>
      </w:r>
      <w:r w:rsidR="002F156C" w:rsidRPr="006D1B7A">
        <w:t xml:space="preserve">or the </w:t>
      </w:r>
      <w:r w:rsidR="008648B2">
        <w:t>ET</w:t>
      </w:r>
      <w:r w:rsidR="002F156C" w:rsidRPr="006D1B7A">
        <w:t xml:space="preserve"> hearing </w:t>
      </w:r>
      <w:r w:rsidR="001E6C89" w:rsidRPr="006D1B7A">
        <w:t xml:space="preserve">prepare an opening statement that includes the main reasons for issuing the notice, the legal requirements relating to the circumstances, which witnesses and documents will be presented to the </w:t>
      </w:r>
      <w:r w:rsidR="00CB0098">
        <w:t>ET</w:t>
      </w:r>
      <w:r w:rsidR="001E6C89" w:rsidRPr="006D1B7A">
        <w:t xml:space="preserve"> and why</w:t>
      </w:r>
      <w:r w:rsidR="00CA6986" w:rsidRPr="006D1B7A">
        <w:t xml:space="preserve">. </w:t>
      </w:r>
      <w:r w:rsidR="005053DD" w:rsidRPr="006D1B7A">
        <w:t>For further information</w:t>
      </w:r>
      <w:r w:rsidR="00C326BD">
        <w:t>,</w:t>
      </w:r>
      <w:r w:rsidR="005053DD" w:rsidRPr="006D1B7A">
        <w:t xml:space="preserve"> refer to </w:t>
      </w:r>
      <w:hyperlink r:id="rId46" w:history="1">
        <w:r w:rsidR="00367F26" w:rsidRPr="006D1B7A">
          <w:rPr>
            <w:rStyle w:val="Hyperlink"/>
          </w:rPr>
          <w:t>HSE operational procedure on Notices</w:t>
        </w:r>
      </w:hyperlink>
      <w:r w:rsidR="00367F26" w:rsidRPr="006D1B7A">
        <w:t>.</w:t>
      </w:r>
    </w:p>
    <w:p w14:paraId="5DB8F715" w14:textId="09AFA0A4" w:rsidR="00316A69" w:rsidRPr="006D1B7A" w:rsidRDefault="007E759C" w:rsidP="000177E0">
      <w:pPr>
        <w:pStyle w:val="Paragraph"/>
      </w:pPr>
      <w:r w:rsidRPr="006D1B7A">
        <w:t xml:space="preserve">If attendance at the </w:t>
      </w:r>
      <w:r w:rsidR="00CB0098">
        <w:t>ET</w:t>
      </w:r>
      <w:r w:rsidR="00316A69" w:rsidRPr="006D1B7A">
        <w:t xml:space="preserve"> hearing is required, then </w:t>
      </w:r>
      <w:r w:rsidR="00A41273" w:rsidRPr="006D1B7A">
        <w:t xml:space="preserve">the </w:t>
      </w:r>
      <w:r w:rsidR="00316A69" w:rsidRPr="006D1B7A">
        <w:t>inspector who served the notice should</w:t>
      </w:r>
      <w:r w:rsidR="001728A5">
        <w:t xml:space="preserve"> be prepared</w:t>
      </w:r>
      <w:r w:rsidR="00316A69" w:rsidRPr="006D1B7A">
        <w:t>:</w:t>
      </w:r>
    </w:p>
    <w:p w14:paraId="1BEBC197" w14:textId="32FE9766" w:rsidR="00316A69" w:rsidRPr="006D1B7A" w:rsidRDefault="00316A69" w:rsidP="00C326BD">
      <w:pPr>
        <w:pStyle w:val="NumList2"/>
        <w:numPr>
          <w:ilvl w:val="1"/>
          <w:numId w:val="31"/>
        </w:numPr>
        <w:ind w:left="1276"/>
      </w:pPr>
      <w:r w:rsidRPr="006D1B7A">
        <w:lastRenderedPageBreak/>
        <w:t>to make an opening statement</w:t>
      </w:r>
      <w:r w:rsidR="00872347">
        <w:t>.</w:t>
      </w:r>
    </w:p>
    <w:p w14:paraId="3E6E72FB" w14:textId="1C9FA160" w:rsidR="00316A69" w:rsidRPr="006D1B7A" w:rsidRDefault="00316A69" w:rsidP="00C326BD">
      <w:pPr>
        <w:pStyle w:val="NumList2"/>
        <w:numPr>
          <w:ilvl w:val="1"/>
          <w:numId w:val="31"/>
        </w:numPr>
        <w:ind w:left="1276"/>
      </w:pPr>
      <w:r w:rsidRPr="006D1B7A">
        <w:t>to give evidence on the known facts at the time the notice was issued and the justification for the decision to issue it</w:t>
      </w:r>
      <w:r w:rsidR="00872347">
        <w:t>.</w:t>
      </w:r>
    </w:p>
    <w:p w14:paraId="2E3DD8B5" w14:textId="6ECBD462" w:rsidR="00316A69" w:rsidRPr="006D1B7A" w:rsidRDefault="00316A69" w:rsidP="00C326BD">
      <w:pPr>
        <w:pStyle w:val="NumList2"/>
        <w:numPr>
          <w:ilvl w:val="1"/>
          <w:numId w:val="31"/>
        </w:numPr>
        <w:ind w:left="1276"/>
      </w:pPr>
      <w:r w:rsidRPr="006D1B7A">
        <w:t>to call witnesses</w:t>
      </w:r>
      <w:r w:rsidR="00872347">
        <w:t>.</w:t>
      </w:r>
    </w:p>
    <w:p w14:paraId="15AF6336" w14:textId="4BAAB418" w:rsidR="00316A69" w:rsidRPr="006D1B7A" w:rsidRDefault="00316A69" w:rsidP="00C326BD">
      <w:pPr>
        <w:pStyle w:val="NumList2"/>
        <w:numPr>
          <w:ilvl w:val="1"/>
          <w:numId w:val="31"/>
        </w:numPr>
        <w:ind w:left="1276"/>
      </w:pPr>
      <w:r w:rsidRPr="006D1B7A">
        <w:t>to cross examine any witnesses called by the other party</w:t>
      </w:r>
      <w:r w:rsidR="00872347">
        <w:t>.</w:t>
      </w:r>
    </w:p>
    <w:p w14:paraId="047DBEBA" w14:textId="2FB847E4" w:rsidR="00316A69" w:rsidRDefault="00316A69" w:rsidP="00C326BD">
      <w:pPr>
        <w:pStyle w:val="NumList2"/>
        <w:numPr>
          <w:ilvl w:val="1"/>
          <w:numId w:val="31"/>
        </w:numPr>
        <w:ind w:left="1276"/>
      </w:pPr>
      <w:r w:rsidRPr="006D1B7A">
        <w:t xml:space="preserve">to address the </w:t>
      </w:r>
      <w:r w:rsidR="00124C3B">
        <w:t>ET</w:t>
      </w:r>
      <w:r w:rsidR="00872347">
        <w:t>.</w:t>
      </w:r>
    </w:p>
    <w:p w14:paraId="7E83F4AD" w14:textId="7FE5D8BA" w:rsidR="00453412" w:rsidRPr="006D1B7A" w:rsidRDefault="00872347" w:rsidP="00C326BD">
      <w:pPr>
        <w:pStyle w:val="NumList2"/>
        <w:numPr>
          <w:ilvl w:val="1"/>
          <w:numId w:val="31"/>
        </w:numPr>
        <w:ind w:left="1276"/>
      </w:pPr>
      <w:r w:rsidRPr="006D1B7A">
        <w:t>t</w:t>
      </w:r>
      <w:r>
        <w:t>o</w:t>
      </w:r>
      <w:r w:rsidRPr="006D1B7A">
        <w:t xml:space="preserve"> calculat</w:t>
      </w:r>
      <w:r>
        <w:t>e</w:t>
      </w:r>
      <w:r w:rsidRPr="006D1B7A">
        <w:t xml:space="preserve"> witnesses’ costs / expenses </w:t>
      </w:r>
      <w:r>
        <w:t xml:space="preserve">at the end of the case and </w:t>
      </w:r>
      <w:r w:rsidRPr="006D1B7A">
        <w:t xml:space="preserve">should be handed to the </w:t>
      </w:r>
      <w:r>
        <w:t>ET</w:t>
      </w:r>
      <w:r w:rsidRPr="006D1B7A">
        <w:t xml:space="preserve"> and the appellant</w:t>
      </w:r>
      <w:r>
        <w:t>.</w:t>
      </w:r>
    </w:p>
    <w:p w14:paraId="7DAAE455" w14:textId="77777777" w:rsidR="00631B8C" w:rsidRPr="006D1B7A" w:rsidRDefault="00631B8C" w:rsidP="000177E0">
      <w:pPr>
        <w:pStyle w:val="Paragraph"/>
      </w:pPr>
      <w:r w:rsidRPr="006D1B7A">
        <w:t>Once the validity of the notice has been confirmed the enforcement action will be published on the ONR website.</w:t>
      </w:r>
    </w:p>
    <w:p w14:paraId="36E48535" w14:textId="27D6C2E7" w:rsidR="00631B8C" w:rsidRPr="006D1B7A" w:rsidRDefault="00631B8C" w:rsidP="000177E0">
      <w:pPr>
        <w:pStyle w:val="Paragraph"/>
      </w:pPr>
      <w:r w:rsidRPr="006D1B7A">
        <w:t xml:space="preserve">For enforcement action which may be deemed of interest to </w:t>
      </w:r>
      <w:r w:rsidR="00A32B40" w:rsidRPr="006D1B7A">
        <w:t xml:space="preserve">other regulators </w:t>
      </w:r>
      <w:r w:rsidRPr="006D1B7A">
        <w:t xml:space="preserve">the </w:t>
      </w:r>
      <w:r w:rsidR="0058575D">
        <w:t>i</w:t>
      </w:r>
      <w:r w:rsidRPr="006D1B7A">
        <w:t xml:space="preserve">nspector should inform the relevant counterparts in a timely manner, in accordance with the respective </w:t>
      </w:r>
      <w:hyperlink r:id="rId47" w:history="1">
        <w:r w:rsidR="006F1518" w:rsidRPr="006F1518">
          <w:rPr>
            <w:rStyle w:val="Hyperlink"/>
          </w:rPr>
          <w:t>agency agreements</w:t>
        </w:r>
      </w:hyperlink>
      <w:r w:rsidRPr="006D1B7A">
        <w:t>.</w:t>
      </w:r>
    </w:p>
    <w:p w14:paraId="10DF4798" w14:textId="22FEF81C" w:rsidR="00631B8C" w:rsidRDefault="00631B8C" w:rsidP="000177E0">
      <w:pPr>
        <w:pStyle w:val="Paragraph"/>
      </w:pPr>
      <w:r w:rsidRPr="006D1B7A">
        <w:t xml:space="preserve">The IN/EN will require an associated Level 1 or 2 regulatory issue to track </w:t>
      </w:r>
      <w:r w:rsidR="00561B9B" w:rsidRPr="006D1B7A">
        <w:t>the enforcement</w:t>
      </w:r>
      <w:r w:rsidRPr="006D1B7A">
        <w:t xml:space="preserve"> actions with the dutyholder</w:t>
      </w:r>
      <w:r w:rsidR="00EF1599" w:rsidRPr="006D1B7A">
        <w:t xml:space="preserve">. </w:t>
      </w:r>
      <w:r w:rsidR="007A0D27">
        <w:t xml:space="preserve">These will be followed up with the </w:t>
      </w:r>
      <w:r w:rsidR="005714EF">
        <w:t xml:space="preserve">dutyholder and the dutyholder will be considering the evidence they need to collect to demonstrate that the </w:t>
      </w:r>
      <w:r w:rsidR="0093526E">
        <w:t>notice has been met</w:t>
      </w:r>
      <w:r w:rsidR="0066228C">
        <w:t xml:space="preserve"> by the notice expiry date</w:t>
      </w:r>
      <w:r w:rsidR="0093526E">
        <w:t>.</w:t>
      </w:r>
    </w:p>
    <w:p w14:paraId="068CEB2F" w14:textId="77777777" w:rsidR="00FF033A" w:rsidRDefault="00F1580E" w:rsidP="000177E0">
      <w:pPr>
        <w:pStyle w:val="Paragraph"/>
      </w:pPr>
      <w:r>
        <w:t xml:space="preserve">To close the IN or EN an inspector </w:t>
      </w:r>
      <w:r w:rsidR="00F163E1" w:rsidRPr="00F90EC6">
        <w:rPr>
          <w:i/>
          <w:iCs/>
        </w:rPr>
        <w:t>may</w:t>
      </w:r>
      <w:r w:rsidR="00F163E1">
        <w:t xml:space="preserve"> determine that an inspection is a </w:t>
      </w:r>
      <w:r w:rsidR="0093526E">
        <w:t xml:space="preserve">suitable </w:t>
      </w:r>
      <w:r w:rsidR="00F163E1">
        <w:t xml:space="preserve">way of sampling the </w:t>
      </w:r>
      <w:r w:rsidR="007A0D27">
        <w:t>notice evidence for closure</w:t>
      </w:r>
      <w:r w:rsidR="004578BB">
        <w:t>.</w:t>
      </w:r>
      <w:r w:rsidR="00100915">
        <w:t xml:space="preserve"> </w:t>
      </w:r>
      <w:r w:rsidR="004578BB">
        <w:t>N</w:t>
      </w:r>
      <w:r w:rsidR="00100915">
        <w:t xml:space="preserve">oting </w:t>
      </w:r>
      <w:r w:rsidR="00F90EC6">
        <w:t xml:space="preserve">the expectation </w:t>
      </w:r>
      <w:r w:rsidR="004578BB">
        <w:t xml:space="preserve">is </w:t>
      </w:r>
      <w:r w:rsidR="00100915">
        <w:t xml:space="preserve">that </w:t>
      </w:r>
      <w:r w:rsidR="00F90EC6">
        <w:t>inspectors</w:t>
      </w:r>
      <w:r w:rsidR="00100915">
        <w:t xml:space="preserve"> will have been monitoring progress </w:t>
      </w:r>
      <w:r w:rsidR="00C87673">
        <w:t>with the dutyholder</w:t>
      </w:r>
      <w:r w:rsidR="00F90EC6">
        <w:t xml:space="preserve"> and that this may </w:t>
      </w:r>
      <w:r w:rsidR="00FF033A">
        <w:t xml:space="preserve">have </w:t>
      </w:r>
      <w:r w:rsidR="00F90EC6">
        <w:t>include</w:t>
      </w:r>
      <w:r w:rsidR="00FF033A">
        <w:t>d</w:t>
      </w:r>
      <w:r w:rsidR="00F90EC6">
        <w:t xml:space="preserve"> </w:t>
      </w:r>
      <w:r w:rsidR="00956972">
        <w:t>inspections</w:t>
      </w:r>
      <w:r w:rsidR="00FF033A">
        <w:t xml:space="preserve"> when evidence was available</w:t>
      </w:r>
      <w:r w:rsidR="007664AF">
        <w:t>.</w:t>
      </w:r>
      <w:r w:rsidR="0093526E">
        <w:t xml:space="preserve"> </w:t>
      </w:r>
    </w:p>
    <w:p w14:paraId="14BD9079" w14:textId="0C80B14B" w:rsidR="00F1580E" w:rsidRDefault="007664AF" w:rsidP="000177E0">
      <w:pPr>
        <w:pStyle w:val="Paragraph"/>
      </w:pPr>
      <w:r>
        <w:t>T</w:t>
      </w:r>
      <w:r w:rsidR="0093526E">
        <w:t xml:space="preserve">his </w:t>
      </w:r>
      <w:r>
        <w:t xml:space="preserve">close out inspection </w:t>
      </w:r>
      <w:r w:rsidR="0093526E">
        <w:t xml:space="preserve">should be planned to </w:t>
      </w:r>
      <w:r w:rsidR="00F55713">
        <w:t xml:space="preserve">be as close </w:t>
      </w:r>
      <w:r w:rsidR="007F1B21">
        <w:t>to</w:t>
      </w:r>
      <w:r w:rsidR="00F55713">
        <w:t xml:space="preserve"> the </w:t>
      </w:r>
      <w:r w:rsidR="00DE54DC" w:rsidRPr="005B741B">
        <w:t xml:space="preserve">expiry </w:t>
      </w:r>
      <w:r w:rsidR="00F55713" w:rsidRPr="005B741B">
        <w:t>notice date</w:t>
      </w:r>
      <w:r w:rsidR="00F55713">
        <w:t xml:space="preserve"> as possible</w:t>
      </w:r>
      <w:r>
        <w:t xml:space="preserve"> (</w:t>
      </w:r>
      <w:r w:rsidR="00534C5D">
        <w:t>given this is date for compliance</w:t>
      </w:r>
      <w:r>
        <w:t>)</w:t>
      </w:r>
      <w:r w:rsidR="00F55713">
        <w:t>,</w:t>
      </w:r>
      <w:r w:rsidR="009C23CE">
        <w:t xml:space="preserve"> </w:t>
      </w:r>
      <w:r w:rsidR="00E64D9A">
        <w:t>which</w:t>
      </w:r>
      <w:r w:rsidR="00F55713">
        <w:t xml:space="preserve"> provides the inspector time to </w:t>
      </w:r>
      <w:r w:rsidR="00906975">
        <w:t>review the evidence provided by the dutyholder and plan the inspection</w:t>
      </w:r>
      <w:r w:rsidR="00A71A73">
        <w:t xml:space="preserve">. </w:t>
      </w:r>
      <w:r w:rsidR="005B741B">
        <w:t xml:space="preserve">Providing flexibility </w:t>
      </w:r>
      <w:r w:rsidR="00EF6270">
        <w:t xml:space="preserve">to extend the notice before the notice expiry date </w:t>
      </w:r>
      <w:r w:rsidR="00AE1674">
        <w:t>is</w:t>
      </w:r>
      <w:r w:rsidR="00EF6270">
        <w:t xml:space="preserve"> reached.</w:t>
      </w:r>
    </w:p>
    <w:p w14:paraId="059FC53D" w14:textId="77777777" w:rsidR="00882F58" w:rsidRDefault="008A4E95" w:rsidP="000177E0">
      <w:pPr>
        <w:pStyle w:val="Paragraph"/>
      </w:pPr>
      <w:r>
        <w:t>Capture closure of the notice in a</w:t>
      </w:r>
      <w:r w:rsidR="00E334FC">
        <w:t>n email /</w:t>
      </w:r>
      <w:r>
        <w:t xml:space="preserve"> letter which will document the auditable trail</w:t>
      </w:r>
      <w:r w:rsidR="00D0334B">
        <w:t xml:space="preserve"> of the notice and will </w:t>
      </w:r>
      <w:r w:rsidR="00013732">
        <w:t>make reference</w:t>
      </w:r>
      <w:r w:rsidR="00D0334B">
        <w:t xml:space="preserve"> to</w:t>
      </w:r>
      <w:r w:rsidR="00215500">
        <w:t>;</w:t>
      </w:r>
      <w:r w:rsidR="00D0334B">
        <w:t xml:space="preserve"> </w:t>
      </w:r>
    </w:p>
    <w:p w14:paraId="0C620A0D" w14:textId="77777777" w:rsidR="00882F58" w:rsidRDefault="00D0334B" w:rsidP="001A677D">
      <w:pPr>
        <w:pStyle w:val="Bulletlist1"/>
      </w:pPr>
      <w:r>
        <w:t>the notice</w:t>
      </w:r>
      <w:r w:rsidR="004B3067">
        <w:t>, schedule</w:t>
      </w:r>
      <w:r w:rsidR="00551A1C">
        <w:t xml:space="preserve"> and </w:t>
      </w:r>
      <w:r w:rsidR="00C445E9">
        <w:t xml:space="preserve">initial </w:t>
      </w:r>
      <w:r w:rsidR="00551A1C">
        <w:t>covering letter</w:t>
      </w:r>
      <w:r w:rsidR="00215500">
        <w:t>;</w:t>
      </w:r>
      <w:r w:rsidR="00551A1C">
        <w:t xml:space="preserve"> </w:t>
      </w:r>
    </w:p>
    <w:p w14:paraId="2C977C01" w14:textId="77777777" w:rsidR="00882F58" w:rsidRDefault="00382A65" w:rsidP="001A677D">
      <w:pPr>
        <w:pStyle w:val="Bulletlist1"/>
      </w:pPr>
      <w:r>
        <w:t xml:space="preserve">regulatory </w:t>
      </w:r>
      <w:r w:rsidR="00551A1C">
        <w:t xml:space="preserve">engagements </w:t>
      </w:r>
      <w:r w:rsidR="00C445E9">
        <w:t>carried out</w:t>
      </w:r>
      <w:r w:rsidR="0047772B">
        <w:t xml:space="preserve"> </w:t>
      </w:r>
      <w:r w:rsidR="005C0554">
        <w:t>for updates on progress,</w:t>
      </w:r>
      <w:r w:rsidR="0047772B">
        <w:t xml:space="preserve"> provi</w:t>
      </w:r>
      <w:r w:rsidR="00387531">
        <w:t>sion of</w:t>
      </w:r>
      <w:r w:rsidR="0047772B">
        <w:t xml:space="preserve"> regulatory advice</w:t>
      </w:r>
      <w:r w:rsidR="005C0554">
        <w:t xml:space="preserve"> or inspection</w:t>
      </w:r>
      <w:r w:rsidR="00215500">
        <w:t>;</w:t>
      </w:r>
      <w:r w:rsidR="00013732">
        <w:t xml:space="preserve"> </w:t>
      </w:r>
    </w:p>
    <w:p w14:paraId="693BB3D3" w14:textId="77777777" w:rsidR="005B6446" w:rsidRDefault="00551A1C" w:rsidP="001A677D">
      <w:pPr>
        <w:pStyle w:val="Bulletlist1"/>
      </w:pPr>
      <w:r>
        <w:t xml:space="preserve">the </w:t>
      </w:r>
      <w:r w:rsidR="00215500">
        <w:t xml:space="preserve">date of the </w:t>
      </w:r>
      <w:r>
        <w:t>dutyholder</w:t>
      </w:r>
      <w:r w:rsidR="00013732">
        <w:t>s</w:t>
      </w:r>
      <w:r>
        <w:t xml:space="preserve"> submission of evidence to meet the notice</w:t>
      </w:r>
      <w:r w:rsidR="00382A65" w:rsidRPr="00382A65">
        <w:t xml:space="preserve"> </w:t>
      </w:r>
      <w:r w:rsidR="00382A65">
        <w:t xml:space="preserve">and </w:t>
      </w:r>
    </w:p>
    <w:p w14:paraId="730F892A" w14:textId="5A9B19DF" w:rsidR="00E04ECA" w:rsidRDefault="00382A65" w:rsidP="001A677D">
      <w:pPr>
        <w:pStyle w:val="Bulletlist1"/>
      </w:pPr>
      <w:r>
        <w:lastRenderedPageBreak/>
        <w:t>the close out inspection</w:t>
      </w:r>
      <w:r w:rsidR="005B6446">
        <w:t xml:space="preserve"> (</w:t>
      </w:r>
      <w:r w:rsidR="005B6446" w:rsidRPr="005B6446">
        <w:rPr>
          <w:i/>
          <w:iCs/>
        </w:rPr>
        <w:t>if carried out</w:t>
      </w:r>
      <w:r w:rsidR="005B6446">
        <w:t>)</w:t>
      </w:r>
      <w:r w:rsidR="009237D8">
        <w:t>.</w:t>
      </w:r>
    </w:p>
    <w:p w14:paraId="4C78BCF9" w14:textId="243114A0" w:rsidR="00631B8C" w:rsidRPr="006D1B7A" w:rsidRDefault="00631B8C" w:rsidP="00C326BD">
      <w:pPr>
        <w:pStyle w:val="Heading3"/>
        <w:numPr>
          <w:ilvl w:val="0"/>
          <w:numId w:val="0"/>
        </w:numPr>
        <w:ind w:left="851"/>
      </w:pPr>
      <w:r w:rsidRPr="006D1B7A">
        <w:t>LC powers</w:t>
      </w:r>
    </w:p>
    <w:p w14:paraId="4EF66C1B" w14:textId="66EF419A" w:rsidR="00631B8C" w:rsidRPr="006D1B7A" w:rsidRDefault="00631B8C" w:rsidP="000177E0">
      <w:pPr>
        <w:pStyle w:val="Paragraph"/>
      </w:pPr>
      <w:r w:rsidRPr="006D1B7A">
        <w:t xml:space="preserve">ONR has regulatory powers within the conditions </w:t>
      </w:r>
      <w:sdt>
        <w:sdtPr>
          <w:id w:val="1578785787"/>
          <w:citation/>
        </w:sdtPr>
        <w:sdtEndPr/>
        <w:sdtContent>
          <w:r w:rsidR="001515F6">
            <w:fldChar w:fldCharType="begin"/>
          </w:r>
          <w:r w:rsidR="00C326BD">
            <w:instrText xml:space="preserve">CITATION ONR1 \l 2057 </w:instrText>
          </w:r>
          <w:r w:rsidR="001515F6">
            <w:fldChar w:fldCharType="separate"/>
          </w:r>
          <w:r w:rsidR="00C326BD" w:rsidRPr="00C326BD">
            <w:rPr>
              <w:noProof/>
            </w:rPr>
            <w:t>[24]</w:t>
          </w:r>
          <w:r w:rsidR="001515F6">
            <w:fldChar w:fldCharType="end"/>
          </w:r>
        </w:sdtContent>
      </w:sdt>
      <w:r w:rsidR="001515F6">
        <w:t xml:space="preserve"> </w:t>
      </w:r>
      <w:r w:rsidRPr="006D1B7A">
        <w:t>which are attached to the site licence under the Nuclear Installations Act 1965</w:t>
      </w:r>
      <w:r w:rsidR="00C326BD">
        <w:t xml:space="preserve"> (NIA65)</w:t>
      </w:r>
      <w:r w:rsidRPr="006D1B7A">
        <w:t>.</w:t>
      </w:r>
    </w:p>
    <w:p w14:paraId="5E9E24DE" w14:textId="1FEB595D" w:rsidR="00631B8C" w:rsidRPr="006D1B7A" w:rsidRDefault="00CB140A" w:rsidP="000177E0">
      <w:pPr>
        <w:pStyle w:val="Paragraph"/>
      </w:pPr>
      <w:r w:rsidRPr="006D1B7A">
        <w:t>I</w:t>
      </w:r>
      <w:r w:rsidR="00631B8C" w:rsidRPr="006D1B7A">
        <w:t>n relation to enforcement are the powers to direct and specify which are associated with a number of the LCs.</w:t>
      </w:r>
    </w:p>
    <w:p w14:paraId="75BA3C72" w14:textId="00F842A8" w:rsidR="00C16EA6" w:rsidRPr="006D1B7A" w:rsidRDefault="00C16EA6" w:rsidP="000177E0">
      <w:pPr>
        <w:pStyle w:val="Paragraph"/>
      </w:pPr>
      <w:r w:rsidRPr="006D1B7A">
        <w:t xml:space="preserve">Templates </w:t>
      </w:r>
      <w:r w:rsidR="00335C1E" w:rsidRPr="006D1B7A">
        <w:t xml:space="preserve">are </w:t>
      </w:r>
      <w:r w:rsidR="00C326BD">
        <w:t>available on</w:t>
      </w:r>
      <w:r w:rsidR="00C326BD" w:rsidRPr="006D1B7A">
        <w:t xml:space="preserve"> </w:t>
      </w:r>
      <w:hyperlink r:id="rId48" w:history="1">
        <w:r w:rsidR="00C326BD" w:rsidRPr="00C326BD">
          <w:rPr>
            <w:rStyle w:val="Hyperlink"/>
          </w:rPr>
          <w:t>HOW2 Hub</w:t>
        </w:r>
      </w:hyperlink>
      <w:r w:rsidR="00C326BD">
        <w:t>.</w:t>
      </w:r>
    </w:p>
    <w:p w14:paraId="1E1776FD" w14:textId="7CC391B8" w:rsidR="00C16EA6" w:rsidRPr="006D1B7A" w:rsidRDefault="00C16EA6" w:rsidP="000177E0">
      <w:pPr>
        <w:pStyle w:val="Paragraph"/>
      </w:pPr>
      <w:r w:rsidRPr="006D1B7A">
        <w:t>The contents of a direction/specification should be discussed with the dutyholder in advance of issuing it, so that they are clear why ONR is taking this action, the response required and to what timescales.</w:t>
      </w:r>
    </w:p>
    <w:p w14:paraId="3D824F82" w14:textId="76C30917" w:rsidR="00631B8C" w:rsidRPr="006D1B7A" w:rsidRDefault="00631B8C" w:rsidP="000177E0">
      <w:pPr>
        <w:pStyle w:val="Paragraph"/>
      </w:pPr>
      <w:r w:rsidRPr="006D1B7A">
        <w:t xml:space="preserve">For enforcement action which may be deemed of interest to </w:t>
      </w:r>
      <w:r w:rsidR="00D11EAE" w:rsidRPr="006D1B7A">
        <w:t>other regulators</w:t>
      </w:r>
      <w:r w:rsidRPr="006D1B7A">
        <w:t xml:space="preserve">, the </w:t>
      </w:r>
      <w:r w:rsidR="0058575D">
        <w:t>i</w:t>
      </w:r>
      <w:r w:rsidRPr="006D1B7A">
        <w:t>nspector should inform the relevant counterparts in a timely manner, in accordance with the respective MoUs with each body.</w:t>
      </w:r>
    </w:p>
    <w:p w14:paraId="3E54E4E8" w14:textId="77777777" w:rsidR="00631B8C" w:rsidRPr="006D1B7A" w:rsidRDefault="00631B8C" w:rsidP="000177E0">
      <w:pPr>
        <w:pStyle w:val="Paragraph"/>
        <w:sectPr w:rsidR="00631B8C" w:rsidRPr="006D1B7A" w:rsidSect="001A677D">
          <w:type w:val="continuous"/>
          <w:pgSz w:w="11906" w:h="16838" w:code="9"/>
          <w:pgMar w:top="1440" w:right="1440" w:bottom="1440" w:left="1440" w:header="431" w:footer="567" w:gutter="0"/>
          <w:cols w:space="708"/>
          <w:docGrid w:linePitch="360"/>
        </w:sectPr>
      </w:pPr>
    </w:p>
    <w:p w14:paraId="33BBBE17" w14:textId="421FFCF7" w:rsidR="00631B8C" w:rsidRPr="006D1B7A" w:rsidRDefault="006F224B" w:rsidP="000177E0">
      <w:pPr>
        <w:pStyle w:val="Paragraph"/>
      </w:pPr>
      <w:r w:rsidRPr="006D1B7A">
        <w:t>T</w:t>
      </w:r>
      <w:r w:rsidR="00631B8C" w:rsidRPr="006D1B7A">
        <w:t>he direction</w:t>
      </w:r>
      <w:r w:rsidR="00C326BD">
        <w:t xml:space="preserve"> </w:t>
      </w:r>
      <w:r w:rsidR="009B7814" w:rsidRPr="006D1B7A">
        <w:t>/</w:t>
      </w:r>
      <w:r w:rsidR="00C326BD">
        <w:t xml:space="preserve"> </w:t>
      </w:r>
      <w:r w:rsidR="00631B8C" w:rsidRPr="006D1B7A">
        <w:t xml:space="preserve">specification will require an associated Level 1 or 2 regulatory issue to track </w:t>
      </w:r>
      <w:r w:rsidR="00F17887" w:rsidRPr="006D1B7A">
        <w:t>the enforcement</w:t>
      </w:r>
      <w:r w:rsidR="00631B8C" w:rsidRPr="006D1B7A">
        <w:t xml:space="preserve"> actions with the dutyholder</w:t>
      </w:r>
      <w:r w:rsidR="00EF1599" w:rsidRPr="006D1B7A">
        <w:t xml:space="preserve">. </w:t>
      </w:r>
    </w:p>
    <w:p w14:paraId="54557819" w14:textId="46179D92" w:rsidR="00631B8C" w:rsidRPr="006D1B7A" w:rsidRDefault="00631B8C" w:rsidP="00C326BD">
      <w:pPr>
        <w:pStyle w:val="Heading3"/>
        <w:numPr>
          <w:ilvl w:val="0"/>
          <w:numId w:val="0"/>
        </w:numPr>
        <w:ind w:left="851"/>
      </w:pPr>
      <w:r w:rsidRPr="006D1B7A">
        <w:t>Enforcement letters</w:t>
      </w:r>
    </w:p>
    <w:p w14:paraId="6CE20CA4" w14:textId="5F71AB76" w:rsidR="00C326BD" w:rsidRPr="00C326BD" w:rsidRDefault="00631B8C" w:rsidP="0085622E">
      <w:pPr>
        <w:pStyle w:val="Paragraph"/>
        <w:rPr>
          <w:b/>
          <w:caps/>
        </w:rPr>
      </w:pPr>
      <w:r w:rsidRPr="006D1B7A">
        <w:t xml:space="preserve">Enforcement letters are used by inspectors to seek improvement and bring dutyholders back into compliance. </w:t>
      </w:r>
      <w:r w:rsidR="00196F71" w:rsidRPr="00196F71">
        <w:t xml:space="preserve">They do not constitute formal enforcement and </w:t>
      </w:r>
      <w:r w:rsidR="00196F71">
        <w:t>w</w:t>
      </w:r>
      <w:r w:rsidRPr="006D1B7A">
        <w:t xml:space="preserve">hilst non-compliance with a letter is not in itself an offence, unresponsive dutyholders are likely to face escalation following the application of </w:t>
      </w:r>
      <w:r w:rsidR="00EF1599" w:rsidRPr="006D1B7A">
        <w:t>d</w:t>
      </w:r>
      <w:r w:rsidRPr="006D1B7A">
        <w:t xml:space="preserve">utyholder </w:t>
      </w:r>
      <w:r w:rsidR="00EF1599" w:rsidRPr="006D1B7A">
        <w:t>f</w:t>
      </w:r>
      <w:r w:rsidRPr="006D1B7A">
        <w:t>actors.</w:t>
      </w:r>
      <w:r w:rsidR="00C326BD">
        <w:t xml:space="preserve"> </w:t>
      </w:r>
      <w:r w:rsidRPr="006D1B7A">
        <w:t xml:space="preserve">The enforcement letter template </w:t>
      </w:r>
      <w:r w:rsidR="00EF1599" w:rsidRPr="006D1B7A">
        <w:t>can be</w:t>
      </w:r>
      <w:r w:rsidRPr="006D1B7A">
        <w:t xml:space="preserve"> found </w:t>
      </w:r>
      <w:r w:rsidR="00C326BD">
        <w:t xml:space="preserve">on </w:t>
      </w:r>
      <w:hyperlink r:id="rId49" w:history="1">
        <w:r w:rsidR="00C326BD" w:rsidRPr="00C326BD">
          <w:rPr>
            <w:rStyle w:val="Hyperlink"/>
          </w:rPr>
          <w:t>HOW2 Hub</w:t>
        </w:r>
      </w:hyperlink>
      <w:r w:rsidR="00EF1599" w:rsidRPr="006D1B7A">
        <w:t>.</w:t>
      </w:r>
      <w:r w:rsidRPr="006D1B7A">
        <w:t xml:space="preserve"> </w:t>
      </w:r>
    </w:p>
    <w:p w14:paraId="40329721" w14:textId="05D23904" w:rsidR="00631B8C" w:rsidRPr="006D1B7A" w:rsidRDefault="00631B8C" w:rsidP="000177E0">
      <w:pPr>
        <w:pStyle w:val="Paragraph"/>
        <w:rPr>
          <w:b/>
          <w:caps/>
        </w:rPr>
      </w:pPr>
      <w:r w:rsidRPr="006D1B7A">
        <w:t xml:space="preserve">Within the body of an enforcement </w:t>
      </w:r>
      <w:r w:rsidR="00B70346" w:rsidRPr="006D1B7A">
        <w:t>letter,</w:t>
      </w:r>
      <w:r w:rsidRPr="006D1B7A">
        <w:t xml:space="preserve"> it should be made apparent:  </w:t>
      </w:r>
    </w:p>
    <w:p w14:paraId="6FDCAB52" w14:textId="77777777" w:rsidR="00631B8C" w:rsidRPr="006D1B7A" w:rsidRDefault="00631B8C" w:rsidP="001A677D">
      <w:pPr>
        <w:pStyle w:val="Bulletlist1"/>
      </w:pPr>
      <w:r w:rsidRPr="006D1B7A">
        <w:t>What the compliance matter is, including the precise legal duty.</w:t>
      </w:r>
    </w:p>
    <w:p w14:paraId="7FA55CED" w14:textId="77777777" w:rsidR="00631B8C" w:rsidRPr="006D1B7A" w:rsidRDefault="00631B8C" w:rsidP="001A677D">
      <w:pPr>
        <w:pStyle w:val="Bulletlist1"/>
      </w:pPr>
      <w:r w:rsidRPr="006D1B7A">
        <w:t>Why this is an issue.</w:t>
      </w:r>
    </w:p>
    <w:p w14:paraId="05EADEEC" w14:textId="77777777" w:rsidR="00631B8C" w:rsidRPr="006D1B7A" w:rsidRDefault="00631B8C" w:rsidP="001A677D">
      <w:pPr>
        <w:pStyle w:val="Bulletlist1"/>
      </w:pPr>
      <w:r w:rsidRPr="006D1B7A">
        <w:t>ONR’s expectations of when compliance will be achieved.</w:t>
      </w:r>
    </w:p>
    <w:p w14:paraId="1E76A9BA" w14:textId="77777777" w:rsidR="00631B8C" w:rsidRPr="006D1B7A" w:rsidRDefault="00631B8C" w:rsidP="001A677D">
      <w:pPr>
        <w:pStyle w:val="Bulletlist1"/>
      </w:pPr>
      <w:r w:rsidRPr="006D1B7A">
        <w:t>ONR expectations for a response to the enforcement letter</w:t>
      </w:r>
    </w:p>
    <w:p w14:paraId="4959FB91" w14:textId="77777777" w:rsidR="00631B8C" w:rsidRPr="006D1B7A" w:rsidRDefault="00631B8C" w:rsidP="000177E0">
      <w:pPr>
        <w:pStyle w:val="Paragraph"/>
        <w:rPr>
          <w:b/>
          <w:caps/>
        </w:rPr>
      </w:pPr>
      <w:r w:rsidRPr="006D1B7A">
        <w:t>The following practices should be followed when issuing enforcement letters:</w:t>
      </w:r>
    </w:p>
    <w:p w14:paraId="1C14CFF5" w14:textId="77777777" w:rsidR="00631B8C" w:rsidRPr="006D1B7A" w:rsidRDefault="00631B8C" w:rsidP="001A677D">
      <w:pPr>
        <w:pStyle w:val="Bulletlist1"/>
      </w:pPr>
      <w:r w:rsidRPr="006D1B7A">
        <w:t>It should be clear to the dutyholder that they are receiving an enforcement letter, both from the title and in the body of the letter.</w:t>
      </w:r>
    </w:p>
    <w:p w14:paraId="657A9B28" w14:textId="41BD4F9F" w:rsidR="00631B8C" w:rsidRPr="006D1B7A" w:rsidRDefault="00631B8C" w:rsidP="001A677D">
      <w:pPr>
        <w:pStyle w:val="Bulletlist1"/>
      </w:pPr>
      <w:r w:rsidRPr="006D1B7A">
        <w:t xml:space="preserve">The relevant </w:t>
      </w:r>
      <w:r w:rsidR="001C6A80" w:rsidRPr="006D1B7A">
        <w:t>sub directorate</w:t>
      </w:r>
      <w:r w:rsidRPr="006D1B7A">
        <w:t xml:space="preserve"> governance processes for producing and issuing letters should be followed; email transmission to a dutyholder is acceptable.</w:t>
      </w:r>
    </w:p>
    <w:p w14:paraId="2B9F2D5E" w14:textId="209FC551" w:rsidR="00631B8C" w:rsidRPr="006D1B7A" w:rsidRDefault="00631B8C" w:rsidP="001A677D">
      <w:pPr>
        <w:pStyle w:val="Bulletlist1"/>
      </w:pPr>
      <w:r w:rsidRPr="006D1B7A">
        <w:lastRenderedPageBreak/>
        <w:t xml:space="preserve">The relevant </w:t>
      </w:r>
      <w:r w:rsidR="008C0B8E">
        <w:t>HoR</w:t>
      </w:r>
      <w:r w:rsidRPr="006D1B7A">
        <w:t xml:space="preserve"> should </w:t>
      </w:r>
      <w:r w:rsidR="00B40FCF" w:rsidRPr="006D1B7A">
        <w:t>have been informed of the action vi</w:t>
      </w:r>
      <w:r w:rsidR="00341881">
        <w:t>a</w:t>
      </w:r>
      <w:r w:rsidR="00B40FCF" w:rsidRPr="006D1B7A">
        <w:t xml:space="preserve"> the EDR review</w:t>
      </w:r>
      <w:r w:rsidR="00383FAD" w:rsidRPr="006D1B7A">
        <w:t xml:space="preserve"> and </w:t>
      </w:r>
      <w:r w:rsidRPr="006D1B7A">
        <w:t>be on the distribution list</w:t>
      </w:r>
      <w:r w:rsidR="00383FAD" w:rsidRPr="006D1B7A">
        <w:t xml:space="preserve"> of the enforcement letter</w:t>
      </w:r>
      <w:r w:rsidRPr="006D1B7A">
        <w:t>.</w:t>
      </w:r>
    </w:p>
    <w:p w14:paraId="26F2AEC0" w14:textId="23438A20" w:rsidR="000A14C0" w:rsidRPr="006D1B7A" w:rsidRDefault="000A14C0" w:rsidP="001A677D">
      <w:pPr>
        <w:pStyle w:val="Bulletlist1"/>
      </w:pPr>
      <w:r w:rsidRPr="006D1B7A">
        <w:t>The contents of an enforcement letter should be discussed with the dutyholder in advance of sending it, so that they are clear why ONR is taking this action and the response required. The letter should be addressed to include managers in the dutyholder organisation who have the authority to remedy the contravention</w:t>
      </w:r>
      <w:r w:rsidR="00BE0A25">
        <w:t xml:space="preserve">, and </w:t>
      </w:r>
      <w:r w:rsidR="00A55949">
        <w:t xml:space="preserve">to </w:t>
      </w:r>
      <w:r w:rsidR="00BE0A25">
        <w:t>safety representatives</w:t>
      </w:r>
      <w:r w:rsidR="00A55949">
        <w:t xml:space="preserve"> for their awareness</w:t>
      </w:r>
      <w:r w:rsidRPr="006D1B7A">
        <w:t>.</w:t>
      </w:r>
    </w:p>
    <w:p w14:paraId="149C2ED7" w14:textId="77777777" w:rsidR="00631B8C" w:rsidRPr="006D1B7A" w:rsidRDefault="00631B8C" w:rsidP="001A677D">
      <w:pPr>
        <w:pStyle w:val="Bulletlist1"/>
      </w:pPr>
      <w:r w:rsidRPr="006D1B7A">
        <w:t xml:space="preserve">Relevant external stakeholders, in particular other regulatory bodies/agencies, should be informed of the letter.  </w:t>
      </w:r>
    </w:p>
    <w:p w14:paraId="6514BCC2" w14:textId="49828C3C" w:rsidR="00631B8C" w:rsidRDefault="00631B8C" w:rsidP="001A677D">
      <w:pPr>
        <w:pStyle w:val="Bulletlist1"/>
      </w:pPr>
      <w:r w:rsidRPr="006D1B7A">
        <w:t xml:space="preserve">The enforcement letter will require an associated regulatory issue to track </w:t>
      </w:r>
      <w:r w:rsidR="008978A7" w:rsidRPr="006D1B7A">
        <w:t xml:space="preserve">with the dutyholder </w:t>
      </w:r>
      <w:r w:rsidR="006B2F57" w:rsidRPr="006D1B7A">
        <w:t>the enforcement</w:t>
      </w:r>
      <w:r w:rsidRPr="006D1B7A">
        <w:t xml:space="preserve"> actions </w:t>
      </w:r>
      <w:r w:rsidR="006B2F57" w:rsidRPr="006D1B7A">
        <w:t xml:space="preserve">detailed in the </w:t>
      </w:r>
      <w:r w:rsidR="008978A7" w:rsidRPr="006D1B7A">
        <w:t xml:space="preserve">letter. </w:t>
      </w:r>
    </w:p>
    <w:p w14:paraId="1304CB60" w14:textId="3EC16911" w:rsidR="005F6D65" w:rsidRPr="006D1B7A" w:rsidRDefault="005F6D65" w:rsidP="001A677D">
      <w:pPr>
        <w:pStyle w:val="Bulletlist1"/>
        <w:numPr>
          <w:ilvl w:val="0"/>
          <w:numId w:val="0"/>
        </w:numPr>
        <w:ind w:left="360"/>
        <w:sectPr w:rsidR="005F6D65" w:rsidRPr="006D1B7A" w:rsidSect="001A677D">
          <w:type w:val="continuous"/>
          <w:pgSz w:w="11906" w:h="16838" w:code="9"/>
          <w:pgMar w:top="1440" w:right="1440" w:bottom="1440" w:left="1440" w:header="431" w:footer="567" w:gutter="0"/>
          <w:cols w:space="708"/>
          <w:titlePg/>
          <w:docGrid w:linePitch="360"/>
        </w:sectPr>
      </w:pPr>
    </w:p>
    <w:p w14:paraId="2224148C" w14:textId="77777777" w:rsidR="00631B8C" w:rsidRPr="006D1B7A" w:rsidRDefault="00631B8C" w:rsidP="00C326BD">
      <w:pPr>
        <w:pStyle w:val="Heading3"/>
        <w:numPr>
          <w:ilvl w:val="0"/>
          <w:numId w:val="0"/>
        </w:numPr>
        <w:ind w:left="851"/>
      </w:pPr>
      <w:r w:rsidRPr="006D1B7A">
        <w:t>Other regulatory letters</w:t>
      </w:r>
    </w:p>
    <w:p w14:paraId="5D34FCC0" w14:textId="4C88710C" w:rsidR="00631B8C" w:rsidRPr="006D1B7A" w:rsidRDefault="00631B8C" w:rsidP="000177E0">
      <w:pPr>
        <w:pStyle w:val="Paragraph"/>
      </w:pPr>
      <w:r w:rsidRPr="006D1B7A">
        <w:t>There are a number of other regulatory letter types associated with legislation relevant to ONR</w:t>
      </w:r>
      <w:r w:rsidR="009C6CF5">
        <w:rPr>
          <w:rStyle w:val="FootnoteReference"/>
        </w:rPr>
        <w:footnoteReference w:id="9"/>
      </w:r>
      <w:r w:rsidRPr="006D1B7A">
        <w:t xml:space="preserve">; examples are listed below. </w:t>
      </w:r>
    </w:p>
    <w:p w14:paraId="77B5CF32" w14:textId="0FF5FE93" w:rsidR="00631B8C" w:rsidRPr="006D1B7A" w:rsidRDefault="0058575D" w:rsidP="001A677D">
      <w:pPr>
        <w:pStyle w:val="Bulletlist1"/>
      </w:pPr>
      <w:r>
        <w:t>I</w:t>
      </w:r>
      <w:r w:rsidR="00631B8C" w:rsidRPr="006D1B7A">
        <w:t xml:space="preserve">nspectors have the power to issue a ‘notice in writing’ under </w:t>
      </w:r>
      <w:r w:rsidR="00EF1599" w:rsidRPr="006D1B7A">
        <w:t xml:space="preserve">IRR17 </w:t>
      </w:r>
      <w:sdt>
        <w:sdtPr>
          <w:id w:val="714477744"/>
          <w:citation/>
        </w:sdtPr>
        <w:sdtEndPr/>
        <w:sdtContent>
          <w:r w:rsidR="00EF1599" w:rsidRPr="006D1B7A">
            <w:fldChar w:fldCharType="begin"/>
          </w:r>
          <w:r w:rsidR="00C326BD">
            <w:instrText xml:space="preserve">CITATION HMG1712 \l 2057 </w:instrText>
          </w:r>
          <w:r w:rsidR="00EF1599" w:rsidRPr="006D1B7A">
            <w:fldChar w:fldCharType="separate"/>
          </w:r>
          <w:r w:rsidR="00C326BD" w:rsidRPr="00C326BD">
            <w:rPr>
              <w:noProof/>
            </w:rPr>
            <w:t>[26]</w:t>
          </w:r>
          <w:r w:rsidR="00EF1599" w:rsidRPr="006D1B7A">
            <w:fldChar w:fldCharType="end"/>
          </w:r>
        </w:sdtContent>
      </w:sdt>
      <w:r w:rsidR="00631B8C" w:rsidRPr="006D1B7A">
        <w:t>, specific to Regulation 5 requiring the employer to provide additional particulars of specified work as ONR may reasonably require.</w:t>
      </w:r>
    </w:p>
    <w:p w14:paraId="14DAB378" w14:textId="6D88B622" w:rsidR="00631B8C" w:rsidRDefault="0058575D" w:rsidP="001A677D">
      <w:pPr>
        <w:pStyle w:val="Bulletlist1"/>
      </w:pPr>
      <w:r>
        <w:t>I</w:t>
      </w:r>
      <w:r w:rsidR="00631B8C" w:rsidRPr="006D1B7A">
        <w:t xml:space="preserve">nspectors have the power to impose particular safeguard provisions upon a dutyholder (Operator) under Regulation 5 of </w:t>
      </w:r>
      <w:r w:rsidR="00372FF1" w:rsidRPr="006D1B7A">
        <w:t>T</w:t>
      </w:r>
      <w:r w:rsidR="00631B8C" w:rsidRPr="006D1B7A">
        <w:t>he Nuclear Safeguards (EU Exit) Regulations 2019</w:t>
      </w:r>
      <w:r w:rsidR="00EF1599" w:rsidRPr="006D1B7A">
        <w:t xml:space="preserve"> </w:t>
      </w:r>
      <w:sdt>
        <w:sdtPr>
          <w:id w:val="-1850486517"/>
          <w:citation/>
        </w:sdtPr>
        <w:sdtEndPr/>
        <w:sdtContent>
          <w:r w:rsidR="00EF1599" w:rsidRPr="006D1B7A">
            <w:fldChar w:fldCharType="begin"/>
          </w:r>
          <w:r w:rsidR="00C326BD">
            <w:instrText xml:space="preserve">CITATION HMG6 \l 2057 </w:instrText>
          </w:r>
          <w:r w:rsidR="00EF1599" w:rsidRPr="006D1B7A">
            <w:fldChar w:fldCharType="separate"/>
          </w:r>
          <w:r w:rsidR="00C326BD" w:rsidRPr="00C326BD">
            <w:rPr>
              <w:noProof/>
            </w:rPr>
            <w:t>[27]</w:t>
          </w:r>
          <w:r w:rsidR="00EF1599" w:rsidRPr="006D1B7A">
            <w:fldChar w:fldCharType="end"/>
          </w:r>
        </w:sdtContent>
      </w:sdt>
      <w:r w:rsidR="00631B8C" w:rsidRPr="006D1B7A">
        <w:t>.</w:t>
      </w:r>
    </w:p>
    <w:p w14:paraId="1199C23F" w14:textId="3E9CBFA1" w:rsidR="002F6B9F" w:rsidRPr="006D1B7A" w:rsidRDefault="002F6B9F" w:rsidP="001A677D">
      <w:pPr>
        <w:pStyle w:val="Bulletlist1"/>
      </w:pPr>
      <w:r>
        <w:t>Inspectors can serve al</w:t>
      </w:r>
      <w:r w:rsidR="00397344">
        <w:t>terations notices under the Regulatory Reform Fire Safety Order</w:t>
      </w:r>
      <w:r w:rsidR="00890106">
        <w:t xml:space="preserve"> article 29, which requires consultation to make changes</w:t>
      </w:r>
      <w:r w:rsidR="003C099B">
        <w:t>.</w:t>
      </w:r>
    </w:p>
    <w:p w14:paraId="2523B147" w14:textId="1DCF0EE1" w:rsidR="00631B8C" w:rsidRPr="006D1B7A" w:rsidRDefault="00631B8C" w:rsidP="00C326BD">
      <w:pPr>
        <w:pStyle w:val="Heading2"/>
        <w:numPr>
          <w:ilvl w:val="0"/>
          <w:numId w:val="0"/>
        </w:numPr>
        <w:ind w:left="851"/>
      </w:pPr>
      <w:r w:rsidRPr="006D1B7A">
        <w:t xml:space="preserve">Regulatory advice </w:t>
      </w:r>
    </w:p>
    <w:p w14:paraId="6554AA7C" w14:textId="3C27DB36" w:rsidR="00631B8C" w:rsidRPr="006D1B7A" w:rsidRDefault="00FB2F07" w:rsidP="000177E0">
      <w:pPr>
        <w:pStyle w:val="Paragraph"/>
        <w:rPr>
          <w:b/>
        </w:rPr>
      </w:pPr>
      <w:r>
        <w:t>For</w:t>
      </w:r>
      <w:r w:rsidR="00AF3953" w:rsidRPr="006D1B7A">
        <w:t xml:space="preserve"> inspectors </w:t>
      </w:r>
      <w:r w:rsidR="00631B8C" w:rsidRPr="006D1B7A">
        <w:t xml:space="preserve">there are routine and regular opportunities to provide </w:t>
      </w:r>
      <w:r w:rsidR="004D0EFC" w:rsidRPr="006D1B7A">
        <w:t xml:space="preserve">regulatory advice to </w:t>
      </w:r>
      <w:r w:rsidR="00631B8C" w:rsidRPr="006D1B7A">
        <w:t>dutyholders</w:t>
      </w:r>
      <w:r w:rsidR="00C326BD">
        <w:t>, for example,</w:t>
      </w:r>
      <w:r w:rsidR="00BB2C42" w:rsidRPr="006D1B7A">
        <w:t xml:space="preserve"> </w:t>
      </w:r>
      <w:r w:rsidR="00CC11C2" w:rsidRPr="006D1B7A">
        <w:t xml:space="preserve">providing </w:t>
      </w:r>
      <w:r w:rsidR="007B6864" w:rsidRPr="006D1B7A">
        <w:t xml:space="preserve">awareness of </w:t>
      </w:r>
      <w:r w:rsidR="00BB2C42" w:rsidRPr="006D1B7A">
        <w:t>relevant good practice</w:t>
      </w:r>
      <w:r w:rsidR="006C777F" w:rsidRPr="006D1B7A">
        <w:t xml:space="preserve">. </w:t>
      </w:r>
      <w:r w:rsidR="00975D2C" w:rsidRPr="006D1B7A">
        <w:t xml:space="preserve">We capture </w:t>
      </w:r>
      <w:r w:rsidR="00322384" w:rsidRPr="006D1B7A">
        <w:t xml:space="preserve">that we have provided </w:t>
      </w:r>
      <w:r w:rsidR="00975D2C" w:rsidRPr="006D1B7A">
        <w:t>this routine regulatory advice as part of our records</w:t>
      </w:r>
      <w:r w:rsidR="00494BFA" w:rsidRPr="006D1B7A">
        <w:t xml:space="preserve">, </w:t>
      </w:r>
      <w:r w:rsidR="009022C8" w:rsidRPr="006D1B7A">
        <w:t>f</w:t>
      </w:r>
      <w:r w:rsidR="00494BFA" w:rsidRPr="006D1B7A">
        <w:t>or regulatory intelligence</w:t>
      </w:r>
      <w:r w:rsidR="00E811CC" w:rsidRPr="006D1B7A">
        <w:t xml:space="preserve"> and we do n</w:t>
      </w:r>
      <w:r w:rsidR="00322384" w:rsidRPr="006D1B7A">
        <w:t xml:space="preserve">ot specifically seek </w:t>
      </w:r>
      <w:r w:rsidR="00494BFA" w:rsidRPr="006D1B7A">
        <w:t xml:space="preserve">active </w:t>
      </w:r>
      <w:r w:rsidR="00322384" w:rsidRPr="006D1B7A">
        <w:t xml:space="preserve">follow-up </w:t>
      </w:r>
      <w:r w:rsidR="00494BFA" w:rsidRPr="006D1B7A">
        <w:t>of</w:t>
      </w:r>
      <w:r w:rsidR="00322384" w:rsidRPr="006D1B7A">
        <w:t xml:space="preserve"> it. </w:t>
      </w:r>
    </w:p>
    <w:p w14:paraId="1B2D47F0" w14:textId="0464214D" w:rsidR="00521FF5" w:rsidRPr="006D1B7A" w:rsidRDefault="00521FF5" w:rsidP="000177E0">
      <w:pPr>
        <w:pStyle w:val="Paragraph"/>
        <w:rPr>
          <w:b/>
        </w:rPr>
      </w:pPr>
      <w:r w:rsidRPr="006D1B7A">
        <w:t xml:space="preserve">This </w:t>
      </w:r>
      <w:r w:rsidR="00725CF1">
        <w:t xml:space="preserve">section </w:t>
      </w:r>
      <w:r w:rsidRPr="006D1B7A">
        <w:t>relates specifically to regulatory advice as an enforcement action.</w:t>
      </w:r>
    </w:p>
    <w:p w14:paraId="7C1D5200" w14:textId="1F4652D6" w:rsidR="00631B8C" w:rsidRPr="006D1B7A" w:rsidRDefault="00631B8C" w:rsidP="001A677D">
      <w:pPr>
        <w:pStyle w:val="Bulletlist1"/>
      </w:pPr>
      <w:r w:rsidRPr="006D1B7A">
        <w:lastRenderedPageBreak/>
        <w:t xml:space="preserve">Regulatory advice can be written or </w:t>
      </w:r>
      <w:r w:rsidR="009D3D3C" w:rsidRPr="006D1B7A">
        <w:t>verbal</w:t>
      </w:r>
      <w:r w:rsidRPr="006D1B7A">
        <w:t>.</w:t>
      </w:r>
    </w:p>
    <w:p w14:paraId="0BDFCCFA" w14:textId="3FAEB7FA" w:rsidR="00631B8C" w:rsidRPr="006D1B7A" w:rsidRDefault="00631B8C" w:rsidP="001A677D">
      <w:pPr>
        <w:pStyle w:val="Bulletlist1"/>
      </w:pPr>
      <w:r w:rsidRPr="006D1B7A">
        <w:t xml:space="preserve">For both </w:t>
      </w:r>
      <w:r w:rsidR="0042116A" w:rsidRPr="006D1B7A">
        <w:t>verbal</w:t>
      </w:r>
      <w:r w:rsidRPr="006D1B7A">
        <w:t xml:space="preserve"> and written advice ensure that it is clear;</w:t>
      </w:r>
    </w:p>
    <w:p w14:paraId="58A722CE" w14:textId="33A43DCE" w:rsidR="00880C87" w:rsidRPr="006D1B7A" w:rsidRDefault="00631B8C" w:rsidP="001A677D">
      <w:pPr>
        <w:pStyle w:val="Bulletlist2"/>
      </w:pPr>
      <w:r w:rsidRPr="006D1B7A">
        <w:t>What the compliance matter is.</w:t>
      </w:r>
    </w:p>
    <w:p w14:paraId="31CC01A8" w14:textId="77777777" w:rsidR="00631B8C" w:rsidRPr="006D1B7A" w:rsidRDefault="00631B8C" w:rsidP="001A677D">
      <w:pPr>
        <w:pStyle w:val="Bulletlist2"/>
      </w:pPr>
      <w:r w:rsidRPr="006D1B7A">
        <w:t>Why this is an issue.</w:t>
      </w:r>
    </w:p>
    <w:p w14:paraId="679D279C" w14:textId="7D2D44F6" w:rsidR="00831E7D" w:rsidRPr="006D1B7A" w:rsidRDefault="00831E7D" w:rsidP="001A677D">
      <w:pPr>
        <w:pStyle w:val="Bulletlist2"/>
      </w:pPr>
      <w:r w:rsidRPr="006D1B7A">
        <w:t>That the dutyholder has understood the advice provided.</w:t>
      </w:r>
    </w:p>
    <w:p w14:paraId="6B65F7C9" w14:textId="77777777" w:rsidR="00C326BD" w:rsidRDefault="00C326BD" w:rsidP="000177E0">
      <w:pPr>
        <w:pStyle w:val="Paragraph"/>
        <w:sectPr w:rsidR="00C326BD" w:rsidSect="001A677D">
          <w:type w:val="continuous"/>
          <w:pgSz w:w="11906" w:h="16838" w:code="9"/>
          <w:pgMar w:top="1440" w:right="1440" w:bottom="1440" w:left="1440" w:header="397" w:footer="397" w:gutter="0"/>
          <w:cols w:space="312"/>
          <w:docGrid w:linePitch="360"/>
        </w:sectPr>
      </w:pPr>
    </w:p>
    <w:p w14:paraId="1912FFF0" w14:textId="25FC3452" w:rsidR="00BC115B" w:rsidRPr="006D1B7A" w:rsidRDefault="00BC115B" w:rsidP="000177E0">
      <w:pPr>
        <w:pStyle w:val="Paragraph"/>
      </w:pPr>
      <w:r w:rsidRPr="006D1B7A">
        <w:lastRenderedPageBreak/>
        <w:t>The nature of the risks associated with the nuclear industry activities or transport of radioactive material and the expectations of the public, means that ONR expects dutyholders to respond positively to all regulatory advice given by inspectors. Where dutyholders persistently fail to respond to regulatory advice, inspectors should consider targeted interventions to determine the underlying organisational issues and</w:t>
      </w:r>
      <w:r w:rsidR="00C326BD">
        <w:t xml:space="preserve"> </w:t>
      </w:r>
      <w:r w:rsidRPr="006D1B7A">
        <w:t>/</w:t>
      </w:r>
      <w:r w:rsidR="00C326BD">
        <w:t xml:space="preserve"> </w:t>
      </w:r>
      <w:r w:rsidRPr="006D1B7A">
        <w:t>or consider escalation of the BEL</w:t>
      </w:r>
      <w:r w:rsidR="00E2373F" w:rsidRPr="006D1B7A">
        <w:t xml:space="preserve"> as part of dutyholder factors</w:t>
      </w:r>
      <w:r w:rsidRPr="006D1B7A">
        <w:t>.</w:t>
      </w:r>
    </w:p>
    <w:p w14:paraId="08F1681E" w14:textId="665E7040" w:rsidR="00BC115B" w:rsidRPr="006D1B7A" w:rsidRDefault="00BC115B" w:rsidP="00C326BD">
      <w:pPr>
        <w:pStyle w:val="Heading2"/>
        <w:numPr>
          <w:ilvl w:val="0"/>
          <w:numId w:val="0"/>
        </w:numPr>
        <w:ind w:left="851"/>
      </w:pPr>
      <w:r w:rsidRPr="006D1B7A">
        <w:t>Complementary regulatory tools</w:t>
      </w:r>
    </w:p>
    <w:p w14:paraId="0E469919" w14:textId="462FBEE7" w:rsidR="00BC115B" w:rsidRPr="006D1B7A" w:rsidRDefault="00C326BD" w:rsidP="00C326BD">
      <w:pPr>
        <w:pStyle w:val="Heading3"/>
        <w:numPr>
          <w:ilvl w:val="0"/>
          <w:numId w:val="0"/>
        </w:numPr>
        <w:ind w:left="851"/>
      </w:pPr>
      <w:r>
        <w:t>‘</w:t>
      </w:r>
      <w:r w:rsidR="00BC115B" w:rsidRPr="006D1B7A">
        <w:t>Holding to account’ meetings</w:t>
      </w:r>
    </w:p>
    <w:p w14:paraId="72E48992" w14:textId="4FCC9F50" w:rsidR="00FC424D" w:rsidRPr="006D1B7A" w:rsidRDefault="00761371" w:rsidP="000177E0">
      <w:pPr>
        <w:pStyle w:val="Paragraph"/>
        <w:rPr>
          <w:b/>
          <w:i/>
        </w:rPr>
      </w:pPr>
      <w:r w:rsidRPr="006D1B7A">
        <w:t>H</w:t>
      </w:r>
      <w:r w:rsidR="005D6270" w:rsidRPr="006D1B7A">
        <w:t>olding to account meetings</w:t>
      </w:r>
      <w:r w:rsidR="00ED4F7A" w:rsidRPr="006D1B7A">
        <w:t xml:space="preserve"> are not an enforcement action</w:t>
      </w:r>
      <w:r w:rsidRPr="006D1B7A">
        <w:t>.</w:t>
      </w:r>
      <w:r w:rsidR="00ED4F7A" w:rsidRPr="006D1B7A">
        <w:t xml:space="preserve"> </w:t>
      </w:r>
      <w:r w:rsidRPr="006D1B7A">
        <w:t>T</w:t>
      </w:r>
      <w:r w:rsidR="007B5E80" w:rsidRPr="006D1B7A">
        <w:t>hey are a</w:t>
      </w:r>
      <w:r w:rsidR="00C6494F" w:rsidRPr="006D1B7A">
        <w:t xml:space="preserve"> </w:t>
      </w:r>
      <w:r w:rsidR="007B5E80" w:rsidRPr="006D1B7A">
        <w:t xml:space="preserve">regulatory tool </w:t>
      </w:r>
      <w:r w:rsidR="003640A3" w:rsidRPr="006D1B7A">
        <w:t xml:space="preserve">that can be </w:t>
      </w:r>
      <w:r w:rsidR="003E263F" w:rsidRPr="006D1B7A">
        <w:t xml:space="preserve">utilised by Heads of Regulation </w:t>
      </w:r>
      <w:r w:rsidR="007B5E80" w:rsidRPr="006D1B7A">
        <w:t xml:space="preserve">for communicating </w:t>
      </w:r>
      <w:r w:rsidR="002053BB" w:rsidRPr="006D1B7A">
        <w:t>the purposes of enforcement</w:t>
      </w:r>
      <w:r w:rsidR="009606AC" w:rsidRPr="006D1B7A">
        <w:t>,</w:t>
      </w:r>
      <w:r w:rsidR="002053BB" w:rsidRPr="006D1B7A">
        <w:t xml:space="preserve"> as detailed in the EPS</w:t>
      </w:r>
      <w:r w:rsidR="009606AC" w:rsidRPr="006D1B7A">
        <w:t>,</w:t>
      </w:r>
      <w:r w:rsidR="00F35871" w:rsidRPr="006D1B7A">
        <w:t xml:space="preserve"> and</w:t>
      </w:r>
      <w:r w:rsidR="00525588" w:rsidRPr="006D1B7A">
        <w:t xml:space="preserve"> </w:t>
      </w:r>
      <w:r w:rsidR="002A21E7" w:rsidRPr="006D1B7A">
        <w:t xml:space="preserve">the gravity of </w:t>
      </w:r>
      <w:r w:rsidR="007B5E80" w:rsidRPr="006D1B7A">
        <w:t>enforcement action</w:t>
      </w:r>
      <w:r w:rsidR="002A21E7" w:rsidRPr="006D1B7A">
        <w:t>.</w:t>
      </w:r>
      <w:r w:rsidR="003C0600" w:rsidRPr="006D1B7A">
        <w:t xml:space="preserve"> </w:t>
      </w:r>
      <w:r w:rsidR="002A21E7" w:rsidRPr="006D1B7A">
        <w:t>T</w:t>
      </w:r>
      <w:r w:rsidR="00C645E5" w:rsidRPr="006D1B7A">
        <w:t xml:space="preserve">hey </w:t>
      </w:r>
      <w:r w:rsidR="007B5E80" w:rsidRPr="006D1B7A">
        <w:t xml:space="preserve">support </w:t>
      </w:r>
      <w:r w:rsidR="00867D33" w:rsidRPr="006D1B7A">
        <w:t>transparency of the regulatory position</w:t>
      </w:r>
      <w:r w:rsidR="00C645E5" w:rsidRPr="006D1B7A">
        <w:t xml:space="preserve">, </w:t>
      </w:r>
      <w:r w:rsidR="004314AA" w:rsidRPr="006D1B7A">
        <w:t xml:space="preserve">are an </w:t>
      </w:r>
      <w:r w:rsidR="00C645E5" w:rsidRPr="006D1B7A">
        <w:t>enable</w:t>
      </w:r>
      <w:r w:rsidR="00186B78" w:rsidRPr="006D1B7A">
        <w:t>r for</w:t>
      </w:r>
      <w:r w:rsidR="00C645E5" w:rsidRPr="006D1B7A">
        <w:t xml:space="preserve"> </w:t>
      </w:r>
      <w:r w:rsidR="00186B78" w:rsidRPr="006D1B7A">
        <w:t xml:space="preserve">clarity </w:t>
      </w:r>
      <w:r w:rsidR="00E860AC" w:rsidRPr="006D1B7A">
        <w:t>on regulatory expectations</w:t>
      </w:r>
      <w:r w:rsidR="00186B78" w:rsidRPr="006D1B7A">
        <w:t xml:space="preserve"> and</w:t>
      </w:r>
      <w:r w:rsidR="00867D33" w:rsidRPr="006D1B7A">
        <w:t xml:space="preserve"> </w:t>
      </w:r>
      <w:r w:rsidR="00326772" w:rsidRPr="006D1B7A">
        <w:t>the potential ramifications if the enforcement action is not acted upon</w:t>
      </w:r>
      <w:r w:rsidR="005D6270" w:rsidRPr="006D1B7A">
        <w:t>.</w:t>
      </w:r>
      <w:r w:rsidR="0084208E" w:rsidRPr="006D1B7A">
        <w:t xml:space="preserve"> </w:t>
      </w:r>
    </w:p>
    <w:p w14:paraId="5F2DEACE" w14:textId="576FEF33" w:rsidR="00BC115B" w:rsidRPr="006D1B7A" w:rsidRDefault="00BC115B" w:rsidP="000177E0">
      <w:pPr>
        <w:pStyle w:val="Paragraph"/>
        <w:rPr>
          <w:b/>
          <w:i/>
        </w:rPr>
      </w:pPr>
      <w:r w:rsidRPr="006D1B7A">
        <w:t xml:space="preserve">This type of meeting supports ONR’s </w:t>
      </w:r>
      <w:r w:rsidR="009D7D07" w:rsidRPr="006D1B7A">
        <w:t>g</w:t>
      </w:r>
      <w:r w:rsidRPr="006D1B7A">
        <w:t>uide to enabling regulation in</w:t>
      </w:r>
      <w:r w:rsidRPr="006D1B7A">
        <w:rPr>
          <w:b/>
        </w:rPr>
        <w:t xml:space="preserve"> </w:t>
      </w:r>
      <w:r w:rsidRPr="006D1B7A">
        <w:rPr>
          <w:bCs/>
        </w:rPr>
        <w:t>practice</w:t>
      </w:r>
      <w:r w:rsidRPr="006D1B7A">
        <w:t xml:space="preserve"> </w:t>
      </w:r>
      <w:sdt>
        <w:sdtPr>
          <w:id w:val="-439452626"/>
          <w:citation/>
        </w:sdtPr>
        <w:sdtEndPr/>
        <w:sdtContent>
          <w:r w:rsidR="009D7D07" w:rsidRPr="006D1B7A">
            <w:fldChar w:fldCharType="begin"/>
          </w:r>
          <w:r w:rsidR="009D7D07" w:rsidRPr="006D1B7A">
            <w:instrText xml:space="preserve"> CITATION ONR1811 \l 2057 </w:instrText>
          </w:r>
          <w:r w:rsidR="009D7D07" w:rsidRPr="006D1B7A">
            <w:fldChar w:fldCharType="separate"/>
          </w:r>
          <w:r w:rsidR="00EB346B" w:rsidRPr="00EB346B">
            <w:rPr>
              <w:noProof/>
            </w:rPr>
            <w:t>[28]</w:t>
          </w:r>
          <w:r w:rsidR="009D7D07" w:rsidRPr="006D1B7A">
            <w:fldChar w:fldCharType="end"/>
          </w:r>
        </w:sdtContent>
      </w:sdt>
      <w:r w:rsidR="009D7D07" w:rsidRPr="006D1B7A">
        <w:t xml:space="preserve"> </w:t>
      </w:r>
      <w:r w:rsidRPr="006D1B7A">
        <w:t xml:space="preserve">and compliance with the </w:t>
      </w:r>
      <w:r w:rsidRPr="006D1B7A">
        <w:rPr>
          <w:bCs/>
        </w:rPr>
        <w:t>Regulators Code</w:t>
      </w:r>
      <w:r w:rsidRPr="006D1B7A">
        <w:t xml:space="preserve"> </w:t>
      </w:r>
      <w:sdt>
        <w:sdtPr>
          <w:id w:val="1911964597"/>
          <w:citation/>
        </w:sdtPr>
        <w:sdtEndPr/>
        <w:sdtContent>
          <w:r w:rsidRPr="006D1B7A">
            <w:fldChar w:fldCharType="begin"/>
          </w:r>
          <w:r w:rsidR="000177E0">
            <w:instrText xml:space="preserve">CITATION HMG143 \l 2057 </w:instrText>
          </w:r>
          <w:r w:rsidRPr="006D1B7A">
            <w:fldChar w:fldCharType="separate"/>
          </w:r>
          <w:r w:rsidR="000177E0" w:rsidRPr="000177E0">
            <w:rPr>
              <w:noProof/>
            </w:rPr>
            <w:t>[8]</w:t>
          </w:r>
          <w:r w:rsidRPr="006D1B7A">
            <w:fldChar w:fldCharType="end"/>
          </w:r>
        </w:sdtContent>
      </w:sdt>
      <w:r w:rsidR="00C326BD">
        <w:t>.</w:t>
      </w:r>
    </w:p>
    <w:p w14:paraId="7F95D040" w14:textId="754C0FE2" w:rsidR="00BC115B" w:rsidRPr="006D1B7A" w:rsidRDefault="00BC115B" w:rsidP="000177E0">
      <w:pPr>
        <w:pStyle w:val="Paragraph"/>
        <w:rPr>
          <w:b/>
          <w:i/>
        </w:rPr>
      </w:pPr>
      <w:r w:rsidRPr="006D1B7A">
        <w:t>The dutyholder representative should be empowered to speak for the company and should be in a position to control the resources and</w:t>
      </w:r>
      <w:r w:rsidR="00E454D6">
        <w:t xml:space="preserve"> </w:t>
      </w:r>
      <w:r w:rsidRPr="006D1B7A">
        <w:t>/</w:t>
      </w:r>
      <w:r w:rsidR="00E454D6">
        <w:t xml:space="preserve"> </w:t>
      </w:r>
      <w:r w:rsidRPr="006D1B7A">
        <w:t>or actions needed for compliance.</w:t>
      </w:r>
    </w:p>
    <w:p w14:paraId="259C8E3C" w14:textId="1882F88D" w:rsidR="00BC115B" w:rsidRPr="006D1B7A" w:rsidRDefault="00BC115B" w:rsidP="000177E0">
      <w:pPr>
        <w:pStyle w:val="Paragraph"/>
        <w:rPr>
          <w:b/>
          <w:i/>
        </w:rPr>
      </w:pPr>
      <w:r w:rsidRPr="006D1B7A">
        <w:t xml:space="preserve">The </w:t>
      </w:r>
      <w:r w:rsidR="00E454D6">
        <w:t>HoR,</w:t>
      </w:r>
      <w:r w:rsidRPr="006D1B7A">
        <w:t xml:space="preserve"> and relevant inspector(s) (normally including the nominated inspector if one is appointed)</w:t>
      </w:r>
      <w:r w:rsidR="00E454D6">
        <w:t>,</w:t>
      </w:r>
      <w:r w:rsidRPr="006D1B7A">
        <w:t xml:space="preserve"> should convene the ‘holding to account’ meeting. In planning the meeting, the </w:t>
      </w:r>
      <w:r w:rsidR="00C326BD">
        <w:t>HoR</w:t>
      </w:r>
      <w:r w:rsidRPr="006D1B7A">
        <w:t xml:space="preserve"> should consider whether they require specialist inspector assistance. These meetings will:</w:t>
      </w:r>
    </w:p>
    <w:p w14:paraId="02095A29" w14:textId="3F3EA3E1" w:rsidR="00BC115B" w:rsidRPr="006D1B7A" w:rsidRDefault="00BC115B" w:rsidP="001A677D">
      <w:pPr>
        <w:pStyle w:val="Bulletlist1"/>
      </w:pPr>
      <w:r w:rsidRPr="006D1B7A">
        <w:t>review what happened and what has been learned</w:t>
      </w:r>
      <w:r w:rsidR="00AA26CE" w:rsidRPr="006D1B7A">
        <w:t>;</w:t>
      </w:r>
    </w:p>
    <w:p w14:paraId="3BD47983" w14:textId="65050ADF" w:rsidR="00BC115B" w:rsidRPr="006D1B7A" w:rsidRDefault="00BC115B" w:rsidP="001A677D">
      <w:pPr>
        <w:pStyle w:val="Bulletlist1"/>
      </w:pPr>
      <w:r w:rsidRPr="006D1B7A">
        <w:t>provide opportunity for a senior and suitably empowered dutyholder manager to explain and justify why there will be no repeats</w:t>
      </w:r>
      <w:r w:rsidR="00AA26CE" w:rsidRPr="006D1B7A">
        <w:t>;</w:t>
      </w:r>
    </w:p>
    <w:p w14:paraId="61466D48" w14:textId="5AD7EEEE" w:rsidR="00BC115B" w:rsidRPr="006D1B7A" w:rsidRDefault="00BC115B" w:rsidP="001A677D">
      <w:pPr>
        <w:pStyle w:val="Bulletlist1"/>
      </w:pPr>
      <w:r w:rsidRPr="006D1B7A">
        <w:t>on nuclear sites, consider the internal regulator’s views on future compliance and whether anything more is needed</w:t>
      </w:r>
      <w:r w:rsidR="00AA26CE" w:rsidRPr="006D1B7A">
        <w:t>;</w:t>
      </w:r>
    </w:p>
    <w:p w14:paraId="65DB5A11" w14:textId="1AE08EEE" w:rsidR="00BC115B" w:rsidRPr="006D1B7A" w:rsidRDefault="00BC115B" w:rsidP="001A677D">
      <w:pPr>
        <w:pStyle w:val="Bulletlist1"/>
      </w:pPr>
      <w:r w:rsidRPr="006D1B7A">
        <w:t>clarify how ONR will be regulating this topic, area</w:t>
      </w:r>
      <w:r w:rsidR="00C326BD">
        <w:t>,</w:t>
      </w:r>
      <w:r w:rsidRPr="006D1B7A">
        <w:t xml:space="preserve"> etc.</w:t>
      </w:r>
      <w:r w:rsidR="00C326BD">
        <w:t>,</w:t>
      </w:r>
      <w:r w:rsidRPr="006D1B7A">
        <w:t xml:space="preserve"> going forward</w:t>
      </w:r>
      <w:r w:rsidR="00AA26CE" w:rsidRPr="006D1B7A">
        <w:t>;</w:t>
      </w:r>
    </w:p>
    <w:p w14:paraId="2B1B2222" w14:textId="3C6C11E4" w:rsidR="00BC115B" w:rsidRPr="006D1B7A" w:rsidRDefault="00BC115B" w:rsidP="001A677D">
      <w:pPr>
        <w:pStyle w:val="Bulletlist1"/>
      </w:pPr>
      <w:r w:rsidRPr="006D1B7A">
        <w:t>allow the delivery lead and supporting inspectors to gain assurance/ secure commitment in the dutyholder’s response and set ONR’s expectations for future compliance</w:t>
      </w:r>
      <w:r w:rsidR="00AA26CE" w:rsidRPr="006D1B7A">
        <w:t>; and,</w:t>
      </w:r>
    </w:p>
    <w:p w14:paraId="3DAA228D" w14:textId="77777777" w:rsidR="00BC115B" w:rsidRPr="006D1B7A" w:rsidRDefault="00BC115B" w:rsidP="001A677D">
      <w:pPr>
        <w:pStyle w:val="Bulletlist1"/>
      </w:pPr>
      <w:r w:rsidRPr="006D1B7A">
        <w:t>be captured in a contact record or an intervention record</w:t>
      </w:r>
      <w:r w:rsidR="00BB7A3D" w:rsidRPr="006D1B7A">
        <w:t>.</w:t>
      </w:r>
    </w:p>
    <w:p w14:paraId="2B7B133E" w14:textId="77777777" w:rsidR="000D6CFE" w:rsidRPr="006D1B7A" w:rsidRDefault="000D6CFE" w:rsidP="000177E0">
      <w:pPr>
        <w:pStyle w:val="Paragraph"/>
        <w:numPr>
          <w:ilvl w:val="0"/>
          <w:numId w:val="0"/>
        </w:numPr>
        <w:rPr>
          <w:highlight w:val="green"/>
        </w:rPr>
      </w:pPr>
      <w:bookmarkStart w:id="38" w:name="_Appendix_B_–_1"/>
      <w:bookmarkEnd w:id="38"/>
    </w:p>
    <w:p w14:paraId="59CDE462" w14:textId="77777777" w:rsidR="00BB7A3D" w:rsidRPr="006D1B7A" w:rsidRDefault="00BB7A3D" w:rsidP="00BB7A3D">
      <w:pPr>
        <w:rPr>
          <w:highlight w:val="green"/>
        </w:rPr>
        <w:sectPr w:rsidR="00BB7A3D" w:rsidRPr="006D1B7A" w:rsidSect="00C326BD">
          <w:pgSz w:w="11906" w:h="16838" w:code="9"/>
          <w:pgMar w:top="1440" w:right="1440" w:bottom="1440" w:left="1440" w:header="397" w:footer="397" w:gutter="0"/>
          <w:cols w:space="312"/>
          <w:docGrid w:linePitch="360"/>
        </w:sectPr>
      </w:pPr>
    </w:p>
    <w:p w14:paraId="7EF2DF64" w14:textId="1E44B493" w:rsidR="00442DC8" w:rsidRPr="006D1B7A" w:rsidRDefault="00442DC8" w:rsidP="00E454D6">
      <w:pPr>
        <w:pStyle w:val="Heading1"/>
        <w:numPr>
          <w:ilvl w:val="0"/>
          <w:numId w:val="0"/>
        </w:numPr>
        <w:ind w:left="851"/>
      </w:pPr>
      <w:bookmarkStart w:id="39" w:name="_Appendix_B_–"/>
      <w:bookmarkStart w:id="40" w:name="_Appendix_C_–"/>
      <w:bookmarkStart w:id="41" w:name="_Toc46136929"/>
      <w:bookmarkStart w:id="42" w:name="_Toc213836322"/>
      <w:bookmarkEnd w:id="39"/>
      <w:bookmarkEnd w:id="40"/>
      <w:r w:rsidRPr="006D1B7A">
        <w:lastRenderedPageBreak/>
        <w:t xml:space="preserve">Appendix </w:t>
      </w:r>
      <w:r w:rsidR="00AF75CD">
        <w:t>B</w:t>
      </w:r>
      <w:r w:rsidRPr="006D1B7A">
        <w:t xml:space="preserve"> – Examples of consequence level</w:t>
      </w:r>
      <w:bookmarkEnd w:id="41"/>
      <w:r w:rsidRPr="006D1B7A">
        <w:t>s</w:t>
      </w:r>
      <w:bookmarkEnd w:id="42"/>
    </w:p>
    <w:p w14:paraId="78FC2B15" w14:textId="17129A00" w:rsidR="00442DC8" w:rsidRPr="006D1B7A" w:rsidRDefault="00442DC8" w:rsidP="00E454D6">
      <w:pPr>
        <w:pStyle w:val="Heading2"/>
        <w:numPr>
          <w:ilvl w:val="0"/>
          <w:numId w:val="0"/>
        </w:numPr>
        <w:ind w:left="851"/>
      </w:pPr>
      <w:r w:rsidRPr="006D1B7A">
        <w:t>Serious consequences</w:t>
      </w:r>
    </w:p>
    <w:p w14:paraId="13731AA5" w14:textId="020A5235" w:rsidR="00442DC8" w:rsidRPr="000177E0" w:rsidRDefault="00442DC8" w:rsidP="00E454D6">
      <w:pPr>
        <w:pStyle w:val="Paragraph"/>
        <w:rPr>
          <w:b/>
          <w:caps/>
        </w:rPr>
      </w:pPr>
      <w:r w:rsidRPr="006D1B7A">
        <w:t xml:space="preserve">Serious consequences should be selected in circumstances that have or </w:t>
      </w:r>
      <w:r w:rsidRPr="000177E0">
        <w:rPr>
          <w:i/>
          <w:iCs/>
        </w:rPr>
        <w:t>may</w:t>
      </w:r>
      <w:r w:rsidRPr="006D1B7A">
        <w:t xml:space="preserve"> result in</w:t>
      </w:r>
      <w:r w:rsidR="00CF69DB" w:rsidRPr="006D1B7A">
        <w:t>;</w:t>
      </w:r>
      <w:r w:rsidRPr="006D1B7A">
        <w:t xml:space="preserve"> death, </w:t>
      </w:r>
      <w:r w:rsidR="000B6DF5" w:rsidRPr="006D1B7A">
        <w:t xml:space="preserve">multiple casualties, </w:t>
      </w:r>
      <w:r w:rsidRPr="006D1B7A">
        <w:t>major injury or significant permanent debilitation to workers; significant radiation</w:t>
      </w:r>
      <w:r w:rsidR="00D45A0D">
        <w:t xml:space="preserve"> / chemotoxic</w:t>
      </w:r>
      <w:r w:rsidRPr="006D1B7A">
        <w:t xml:space="preserve"> exposure to members of the public; or significant civil disruption.</w:t>
      </w:r>
      <w:r w:rsidR="009B7814" w:rsidRPr="006D1B7A">
        <w:t xml:space="preserve"> </w:t>
      </w:r>
      <w:r w:rsidR="00E454D6">
        <w:br/>
      </w:r>
      <w:r w:rsidRPr="006D1B7A">
        <w:t xml:space="preserve">Examples of serious consequences </w:t>
      </w:r>
      <w:r w:rsidR="00DB2F1C" w:rsidRPr="006D1B7A">
        <w:t xml:space="preserve">which are </w:t>
      </w:r>
      <w:r w:rsidR="00DB2F1C" w:rsidRPr="000177E0">
        <w:rPr>
          <w:b/>
          <w:bCs/>
          <w:i/>
          <w:iCs/>
        </w:rPr>
        <w:t>indicative but not exhaustive</w:t>
      </w:r>
      <w:r w:rsidR="00DB2F1C" w:rsidRPr="000177E0">
        <w:rPr>
          <w:b/>
          <w:bCs/>
        </w:rPr>
        <w:t xml:space="preserve"> </w:t>
      </w:r>
      <w:r w:rsidR="00DB2F1C" w:rsidRPr="006D1B7A">
        <w:t>include</w:t>
      </w:r>
      <w:r w:rsidRPr="006D1B7A">
        <w:t>:</w:t>
      </w:r>
    </w:p>
    <w:p w14:paraId="41D1E6E9" w14:textId="3ACA4C1D" w:rsidR="00442DC8" w:rsidRPr="006D1B7A" w:rsidRDefault="00442DC8" w:rsidP="001A677D">
      <w:pPr>
        <w:pStyle w:val="Bulletlist1"/>
      </w:pPr>
      <w:r w:rsidRPr="006D1B7A">
        <w:t>A fatal injury</w:t>
      </w:r>
      <w:r w:rsidR="004A56D0" w:rsidRPr="006D1B7A">
        <w:t xml:space="preserve"> (</w:t>
      </w:r>
      <w:r w:rsidR="00A6038C" w:rsidRPr="006D1B7A">
        <w:t>no additional weighting for multiple fatalities</w:t>
      </w:r>
      <w:r w:rsidR="004A56D0" w:rsidRPr="006D1B7A">
        <w:t>)</w:t>
      </w:r>
      <w:r w:rsidR="00A75C40" w:rsidRPr="006D1B7A">
        <w:t>.</w:t>
      </w:r>
    </w:p>
    <w:p w14:paraId="5883844A" w14:textId="77777777" w:rsidR="0044737C" w:rsidRPr="006D1B7A" w:rsidRDefault="0044737C" w:rsidP="001A677D">
      <w:pPr>
        <w:pStyle w:val="Bulletlist1"/>
      </w:pPr>
      <w:r w:rsidRPr="006D1B7A">
        <w:t xml:space="preserve">Multiple casualties are expected. </w:t>
      </w:r>
    </w:p>
    <w:p w14:paraId="2C94509D" w14:textId="6876CFAD" w:rsidR="00442DC8" w:rsidRPr="006D1B7A" w:rsidRDefault="00442DC8" w:rsidP="001A677D">
      <w:pPr>
        <w:pStyle w:val="Bulletlist1"/>
      </w:pPr>
      <w:r w:rsidRPr="006D1B7A">
        <w:t xml:space="preserve">An injury or ill health effect which results in permanent disabling or requires </w:t>
      </w:r>
      <w:r w:rsidRPr="006D1B7A">
        <w:rPr>
          <w:bCs/>
        </w:rPr>
        <w:t>immediate</w:t>
      </w:r>
      <w:r w:rsidR="00E454D6">
        <w:rPr>
          <w:bCs/>
        </w:rPr>
        <w:t xml:space="preserve"> </w:t>
      </w:r>
      <w:r w:rsidRPr="006D1B7A">
        <w:rPr>
          <w:bCs/>
        </w:rPr>
        <w:t>/</w:t>
      </w:r>
      <w:r w:rsidR="00E454D6">
        <w:rPr>
          <w:bCs/>
        </w:rPr>
        <w:t xml:space="preserve"> </w:t>
      </w:r>
      <w:r w:rsidRPr="006D1B7A">
        <w:rPr>
          <w:bCs/>
        </w:rPr>
        <w:t xml:space="preserve">intensive </w:t>
      </w:r>
      <w:r w:rsidRPr="006D1B7A">
        <w:t>treatment in hospital</w:t>
      </w:r>
      <w:r w:rsidR="00FD211B">
        <w:t>, l</w:t>
      </w:r>
      <w:r w:rsidR="00531F5A" w:rsidRPr="006D1B7A">
        <w:t xml:space="preserve">eading to a lifelong restriction in work capability or a major reduction in quality of life. </w:t>
      </w:r>
      <w:r w:rsidRPr="006D1B7A">
        <w:rPr>
          <w:b/>
          <w:bCs/>
        </w:rPr>
        <w:t>Note</w:t>
      </w:r>
      <w:r w:rsidR="00214013" w:rsidRPr="006D1B7A">
        <w:t>:</w:t>
      </w:r>
      <w:r w:rsidRPr="006D1B7A">
        <w:t xml:space="preserve"> </w:t>
      </w:r>
      <w:r w:rsidR="00214013" w:rsidRPr="006D1B7A">
        <w:t>F</w:t>
      </w:r>
      <w:r w:rsidRPr="006D1B7A">
        <w:t>or health effects relating to exposure to ionising radiations, see the specific dose examples associated to each consequence categorisation</w:t>
      </w:r>
      <w:r w:rsidR="007D5270">
        <w:t xml:space="preserve"> below</w:t>
      </w:r>
      <w:r w:rsidRPr="006D1B7A">
        <w:t>.</w:t>
      </w:r>
    </w:p>
    <w:p w14:paraId="5BE1D04F" w14:textId="2627FA9C" w:rsidR="00B1384B" w:rsidRPr="006D1B7A" w:rsidRDefault="00B1384B" w:rsidP="001A677D">
      <w:pPr>
        <w:pStyle w:val="Bulletlist1"/>
      </w:pPr>
      <w:r w:rsidRPr="006D1B7A">
        <w:t>A fire/explosion or injury relating to a release of a dangerous substance with respect to COMAH</w:t>
      </w:r>
      <w:r w:rsidR="00F339B1" w:rsidRPr="006D1B7A">
        <w:t xml:space="preserve"> </w:t>
      </w:r>
      <w:r w:rsidR="001003EA" w:rsidRPr="006D1B7A">
        <w:t>or</w:t>
      </w:r>
      <w:r w:rsidR="00F339B1" w:rsidRPr="006D1B7A">
        <w:t xml:space="preserve"> DSEAR.</w:t>
      </w:r>
    </w:p>
    <w:p w14:paraId="50E553F3" w14:textId="33A9D2C1" w:rsidR="00442DC8" w:rsidRPr="006D1B7A" w:rsidRDefault="00442DC8" w:rsidP="001A677D">
      <w:pPr>
        <w:pStyle w:val="Bulletlist1"/>
      </w:pPr>
      <w:r w:rsidRPr="006D1B7A">
        <w:t xml:space="preserve">There is an impact on the public due to emergency plan </w:t>
      </w:r>
      <w:r w:rsidR="0040192D">
        <w:t>protective actions</w:t>
      </w:r>
      <w:r w:rsidRPr="006D1B7A">
        <w:t xml:space="preserve"> being instigated as part of an off-site nuclear emergency.</w:t>
      </w:r>
    </w:p>
    <w:p w14:paraId="08D284F8" w14:textId="3909A8C2" w:rsidR="00442DC8" w:rsidRPr="006D1B7A" w:rsidRDefault="00C46BFD" w:rsidP="001A677D">
      <w:pPr>
        <w:pStyle w:val="Bulletlist1"/>
      </w:pPr>
      <w:r w:rsidRPr="006D1B7A">
        <w:t>Injury or ill health effect due to inadequate fire protection arrangements.</w:t>
      </w:r>
    </w:p>
    <w:p w14:paraId="0F43E2F5" w14:textId="70F9FFD4" w:rsidR="00442DC8" w:rsidRPr="00321A6B" w:rsidRDefault="00C92240" w:rsidP="001A677D">
      <w:pPr>
        <w:pStyle w:val="Bulletlist1"/>
      </w:pPr>
      <w:r w:rsidRPr="00321A6B">
        <w:t>The creation of a security vulnerability which significantly increases</w:t>
      </w:r>
      <w:r w:rsidR="00321A6B" w:rsidRPr="00321A6B">
        <w:t xml:space="preserve"> the likelihood of a DBT threat vector being successful.</w:t>
      </w:r>
    </w:p>
    <w:p w14:paraId="3A6681B5" w14:textId="77777777" w:rsidR="00442DC8" w:rsidRPr="006D1B7A" w:rsidRDefault="00442DC8" w:rsidP="001A677D">
      <w:pPr>
        <w:pStyle w:val="Bulletlist1"/>
      </w:pPr>
      <w:r w:rsidRPr="006D1B7A">
        <w:t>A whole-body effective dose or Committed Effective Dose Equivalent in excess of 100 mSv.</w:t>
      </w:r>
    </w:p>
    <w:p w14:paraId="098AD925" w14:textId="77777777" w:rsidR="00442DC8" w:rsidRPr="006D1B7A" w:rsidRDefault="00442DC8" w:rsidP="001A677D">
      <w:pPr>
        <w:pStyle w:val="Bulletlist1"/>
      </w:pPr>
      <w:r w:rsidRPr="006D1B7A">
        <w:t>An equivalent dose in excess of a relevant threshold for deterministic health effects.</w:t>
      </w:r>
    </w:p>
    <w:p w14:paraId="2EB9127F" w14:textId="39274D5E" w:rsidR="00442DC8" w:rsidRPr="006D1B7A" w:rsidRDefault="00442DC8" w:rsidP="001A677D">
      <w:pPr>
        <w:pStyle w:val="Bulletlist1"/>
      </w:pPr>
      <w:r w:rsidRPr="006D1B7A">
        <w:t xml:space="preserve">A contamination </w:t>
      </w:r>
      <w:r w:rsidR="00E31C8E">
        <w:t xml:space="preserve">event </w:t>
      </w:r>
      <w:r w:rsidRPr="006D1B7A">
        <w:t>in an area not expected by design, with a probability of public exposure.</w:t>
      </w:r>
    </w:p>
    <w:p w14:paraId="0D075281" w14:textId="77777777" w:rsidR="00442DC8" w:rsidRPr="006D1B7A" w:rsidRDefault="00442DC8" w:rsidP="001A677D">
      <w:pPr>
        <w:pStyle w:val="Bulletlist1"/>
      </w:pPr>
      <w:r w:rsidRPr="006D1B7A">
        <w:t>Radiation dose rates that are sufficiently high so as to exceed a dose limit in a short period of time.</w:t>
      </w:r>
    </w:p>
    <w:p w14:paraId="6CF4D376" w14:textId="3F06BE27" w:rsidR="00442DC8" w:rsidRPr="006D1B7A" w:rsidRDefault="00442DC8" w:rsidP="00E454D6">
      <w:pPr>
        <w:pStyle w:val="Heading2"/>
        <w:numPr>
          <w:ilvl w:val="0"/>
          <w:numId w:val="0"/>
        </w:numPr>
        <w:ind w:left="851"/>
      </w:pPr>
      <w:r w:rsidRPr="006D1B7A">
        <w:lastRenderedPageBreak/>
        <w:t>Significant consequences</w:t>
      </w:r>
    </w:p>
    <w:p w14:paraId="07614357" w14:textId="5FCD1EB4" w:rsidR="00442DC8" w:rsidRPr="006D1B7A" w:rsidRDefault="00442DC8" w:rsidP="000177E0">
      <w:pPr>
        <w:pStyle w:val="Paragraph"/>
      </w:pPr>
      <w:r w:rsidRPr="006D1B7A">
        <w:t xml:space="preserve">Significant consequences should be selected in circumstances that do not satisfy the criteria for serious consequences but </w:t>
      </w:r>
      <w:r w:rsidRPr="006D1B7A">
        <w:rPr>
          <w:i/>
          <w:iCs/>
        </w:rPr>
        <w:t>have or may</w:t>
      </w:r>
      <w:r w:rsidRPr="006D1B7A">
        <w:t xml:space="preserve">; result in a </w:t>
      </w:r>
      <w:r w:rsidR="00EF6CA9" w:rsidRPr="006D1B7A">
        <w:t>permanent restriction</w:t>
      </w:r>
      <w:r w:rsidR="00C321F4" w:rsidRPr="006D1B7A">
        <w:t xml:space="preserve"> for workers</w:t>
      </w:r>
      <w:r w:rsidRPr="006D1B7A">
        <w:t>; a loss of control of nuclear material</w:t>
      </w:r>
      <w:r w:rsidR="00F23A7A" w:rsidRPr="006D1B7A">
        <w:t xml:space="preserve"> or sensitive nuclear information</w:t>
      </w:r>
      <w:r w:rsidRPr="006D1B7A">
        <w:t xml:space="preserve">; or exposure of members of the public to risks arising from activities of the dutyholder. </w:t>
      </w:r>
    </w:p>
    <w:p w14:paraId="3961229E" w14:textId="13D91713" w:rsidR="00442DC8" w:rsidRPr="006D1B7A" w:rsidRDefault="00442DC8" w:rsidP="000177E0">
      <w:pPr>
        <w:pStyle w:val="Paragraph"/>
        <w:rPr>
          <w:b/>
          <w:caps/>
        </w:rPr>
      </w:pPr>
      <w:r w:rsidRPr="006D1B7A">
        <w:t xml:space="preserve">Examples of significant consequences </w:t>
      </w:r>
      <w:r w:rsidR="00815B93" w:rsidRPr="006D1B7A">
        <w:t xml:space="preserve">which are </w:t>
      </w:r>
      <w:r w:rsidR="00815B93" w:rsidRPr="00B13522">
        <w:rPr>
          <w:b/>
          <w:bCs/>
          <w:i/>
          <w:iCs/>
        </w:rPr>
        <w:t xml:space="preserve">indicative but not </w:t>
      </w:r>
      <w:r w:rsidR="00DB2F1C" w:rsidRPr="00B13522">
        <w:rPr>
          <w:b/>
          <w:bCs/>
          <w:i/>
          <w:iCs/>
        </w:rPr>
        <w:t>exhaustive</w:t>
      </w:r>
      <w:r w:rsidR="00DB2F1C" w:rsidRPr="006D1B7A">
        <w:t xml:space="preserve"> </w:t>
      </w:r>
      <w:r w:rsidRPr="006D1B7A">
        <w:t>include:</w:t>
      </w:r>
    </w:p>
    <w:p w14:paraId="04E81128" w14:textId="0F7F78E6" w:rsidR="00442DC8" w:rsidRPr="00311639" w:rsidRDefault="00321A6B" w:rsidP="001A677D">
      <w:pPr>
        <w:pStyle w:val="Bulletlist1"/>
      </w:pPr>
      <w:r w:rsidRPr="00311639">
        <w:t xml:space="preserve">The creation of a security vulnerability which increases the likelihood of a </w:t>
      </w:r>
      <w:r w:rsidR="00F67A35">
        <w:t xml:space="preserve">DBT </w:t>
      </w:r>
      <w:r w:rsidRPr="00311639">
        <w:t>vector being succe</w:t>
      </w:r>
      <w:r w:rsidR="00311639" w:rsidRPr="00311639">
        <w:t>ssful.</w:t>
      </w:r>
    </w:p>
    <w:p w14:paraId="1FBFAC4C" w14:textId="77777777" w:rsidR="00442DC8" w:rsidRPr="006D1B7A" w:rsidRDefault="00442DC8" w:rsidP="001A677D">
      <w:pPr>
        <w:pStyle w:val="Bulletlist1"/>
      </w:pPr>
      <w:r w:rsidRPr="006D1B7A">
        <w:t>An uncontrolled release of nuclear material on site that leads to a site incident being declared.</w:t>
      </w:r>
    </w:p>
    <w:p w14:paraId="1741AC44" w14:textId="3AF794B5" w:rsidR="00442DC8" w:rsidRPr="006D1B7A" w:rsidRDefault="00442DC8" w:rsidP="001A677D">
      <w:pPr>
        <w:pStyle w:val="Bulletlist1"/>
      </w:pPr>
      <w:r w:rsidRPr="006D1B7A">
        <w:t xml:space="preserve">Public not protected by </w:t>
      </w:r>
      <w:r w:rsidR="003A765C">
        <w:t xml:space="preserve">implementation of </w:t>
      </w:r>
      <w:r w:rsidRPr="006D1B7A">
        <w:t>emergency plans for the transport of radioactive sources.</w:t>
      </w:r>
    </w:p>
    <w:p w14:paraId="69BD4268" w14:textId="284DCBE0" w:rsidR="00442DC8" w:rsidRPr="006D1B7A" w:rsidRDefault="00442DC8" w:rsidP="001A677D">
      <w:pPr>
        <w:pStyle w:val="Bulletlist1"/>
      </w:pPr>
      <w:r w:rsidRPr="006D1B7A">
        <w:t xml:space="preserve">An exposure to ionising radiation in excess of three tenths of a relevant statutory dose limit as described in </w:t>
      </w:r>
      <w:r w:rsidR="00F15C8A" w:rsidRPr="006D1B7A">
        <w:t>IRR17</w:t>
      </w:r>
      <w:r w:rsidR="00E454D6">
        <w:t>,</w:t>
      </w:r>
      <w:r w:rsidR="00F15C8A">
        <w:t xml:space="preserve"> S</w:t>
      </w:r>
      <w:r w:rsidRPr="006D1B7A">
        <w:t>chedule 3.</w:t>
      </w:r>
    </w:p>
    <w:p w14:paraId="1CA98F29" w14:textId="77777777" w:rsidR="00442DC8" w:rsidRDefault="00442DC8" w:rsidP="001A677D">
      <w:pPr>
        <w:pStyle w:val="Bulletlist1"/>
      </w:pPr>
      <w:r w:rsidRPr="006D1B7A">
        <w:t>Release or spread of significant quantities of radioactive materials into an area not expected by design.</w:t>
      </w:r>
    </w:p>
    <w:p w14:paraId="45C685D7" w14:textId="77777777" w:rsidR="00A04F21" w:rsidRDefault="00A04F21" w:rsidP="001A677D">
      <w:pPr>
        <w:pStyle w:val="Bulletlist1"/>
      </w:pPr>
      <w:r w:rsidRPr="00A04F21">
        <w:t xml:space="preserve">It is credible that an injury could occur to a person that results in that person being unable to perform their normal work for more than 3 days. </w:t>
      </w:r>
    </w:p>
    <w:p w14:paraId="3C87EDB8" w14:textId="77777777" w:rsidR="00A04F21" w:rsidRDefault="00A04F21" w:rsidP="001A677D">
      <w:pPr>
        <w:pStyle w:val="Bulletlist1"/>
      </w:pPr>
      <w:r w:rsidRPr="00A04F21">
        <w:t xml:space="preserve">It is credible that a health effect could occur that; </w:t>
      </w:r>
    </w:p>
    <w:p w14:paraId="4E5FD915" w14:textId="77777777" w:rsidR="00A04F21" w:rsidRDefault="00A04F21" w:rsidP="00E454D6">
      <w:pPr>
        <w:pStyle w:val="Bulletlist2"/>
        <w:ind w:left="1985"/>
      </w:pPr>
      <w:r w:rsidRPr="00A04F21">
        <w:t xml:space="preserve">causes non-permanent or reversible health effects, </w:t>
      </w:r>
    </w:p>
    <w:p w14:paraId="0F757FE2" w14:textId="77777777" w:rsidR="00A04F21" w:rsidRDefault="00A04F21" w:rsidP="00E454D6">
      <w:pPr>
        <w:pStyle w:val="Bulletlist2"/>
        <w:ind w:left="1985"/>
      </w:pPr>
      <w:r w:rsidRPr="00A04F21">
        <w:t xml:space="preserve">causes non-progressive conditions, or </w:t>
      </w:r>
    </w:p>
    <w:p w14:paraId="43F5565B" w14:textId="3DB97976" w:rsidR="00A04F21" w:rsidRPr="006D1B7A" w:rsidRDefault="00A04F21" w:rsidP="00E454D6">
      <w:pPr>
        <w:pStyle w:val="Bulletlist2"/>
        <w:ind w:left="1985"/>
      </w:pPr>
      <w:r w:rsidRPr="00A04F21">
        <w:t xml:space="preserve">results in temporary disability </w:t>
      </w:r>
    </w:p>
    <w:p w14:paraId="3666794B" w14:textId="77777777" w:rsidR="00442DC8" w:rsidRPr="006D1B7A" w:rsidRDefault="00442DC8" w:rsidP="00E454D6">
      <w:pPr>
        <w:pStyle w:val="Heading2"/>
        <w:numPr>
          <w:ilvl w:val="0"/>
          <w:numId w:val="0"/>
        </w:numPr>
        <w:ind w:left="851"/>
      </w:pPr>
      <w:r w:rsidRPr="006D1B7A">
        <w:t>Minor consequences</w:t>
      </w:r>
    </w:p>
    <w:p w14:paraId="1447FE60" w14:textId="77777777" w:rsidR="00442DC8" w:rsidRPr="006D1B7A" w:rsidRDefault="00442DC8" w:rsidP="000177E0">
      <w:pPr>
        <w:pStyle w:val="Paragraph"/>
      </w:pPr>
      <w:r w:rsidRPr="006D1B7A">
        <w:t>Minor consequences should be selected in circumstances that do not satisfy the criteria for serious or significant consequences and will not result in any permanent harm to workers; harm to the public; or civil disruption.</w:t>
      </w:r>
    </w:p>
    <w:p w14:paraId="28F67155" w14:textId="22183E16" w:rsidR="00442DC8" w:rsidRPr="006D1B7A" w:rsidRDefault="00442DC8" w:rsidP="000177E0">
      <w:pPr>
        <w:pStyle w:val="Paragraph"/>
        <w:rPr>
          <w:b/>
        </w:rPr>
      </w:pPr>
      <w:r w:rsidRPr="006D1B7A">
        <w:t xml:space="preserve">Examples of minor consequences </w:t>
      </w:r>
      <w:r w:rsidR="008E3660" w:rsidRPr="006D1B7A">
        <w:t xml:space="preserve">which are </w:t>
      </w:r>
      <w:r w:rsidR="008E3660" w:rsidRPr="00B13522">
        <w:rPr>
          <w:b/>
          <w:bCs/>
          <w:i/>
          <w:iCs/>
        </w:rPr>
        <w:t>indicative but not exhaustive</w:t>
      </w:r>
      <w:r w:rsidR="008E3660" w:rsidRPr="006D1B7A">
        <w:t xml:space="preserve"> </w:t>
      </w:r>
      <w:r w:rsidRPr="006D1B7A">
        <w:t>include:</w:t>
      </w:r>
    </w:p>
    <w:p w14:paraId="11669629" w14:textId="068C6C8F" w:rsidR="00442DC8" w:rsidRPr="006D1B7A" w:rsidRDefault="00442DC8" w:rsidP="001A677D">
      <w:pPr>
        <w:pStyle w:val="Bulletlist1"/>
      </w:pPr>
      <w:r w:rsidRPr="006D1B7A">
        <w:t xml:space="preserve">A person being unable to perform their normal work for more than </w:t>
      </w:r>
      <w:r w:rsidR="00E454D6">
        <w:t>seven</w:t>
      </w:r>
      <w:r w:rsidRPr="006D1B7A">
        <w:t xml:space="preserve"> days.</w:t>
      </w:r>
    </w:p>
    <w:p w14:paraId="279B52ED" w14:textId="77777777" w:rsidR="00442DC8" w:rsidRPr="006D1B7A" w:rsidRDefault="00442DC8" w:rsidP="001A677D">
      <w:pPr>
        <w:pStyle w:val="Bulletlist1"/>
      </w:pPr>
      <w:r w:rsidRPr="006D1B7A">
        <w:lastRenderedPageBreak/>
        <w:t>A health effect that causes non-permanent or reversible health effects, non-progressive conditions or results in temporary disability.</w:t>
      </w:r>
    </w:p>
    <w:p w14:paraId="0CC91223" w14:textId="77777777" w:rsidR="00442DC8" w:rsidRPr="006D1B7A" w:rsidRDefault="00442DC8" w:rsidP="001A677D">
      <w:pPr>
        <w:pStyle w:val="Bulletlist1"/>
      </w:pPr>
      <w:r w:rsidRPr="006D1B7A">
        <w:t>An event where the inappropriate configuration of the plant unduly challenges its duty.</w:t>
      </w:r>
    </w:p>
    <w:p w14:paraId="18C9797F" w14:textId="1EC706E8" w:rsidR="00442DC8" w:rsidRPr="006D1B7A" w:rsidRDefault="00442DC8" w:rsidP="001A677D">
      <w:pPr>
        <w:pStyle w:val="Bulletlist1"/>
      </w:pPr>
      <w:r w:rsidRPr="006D1B7A">
        <w:t>An event where less than the minimum safety related plant</w:t>
      </w:r>
      <w:r w:rsidR="009B7814" w:rsidRPr="006D1B7A">
        <w:t>/</w:t>
      </w:r>
      <w:r w:rsidRPr="006D1B7A">
        <w:t>equipment is available for a period of time</w:t>
      </w:r>
      <w:r w:rsidR="00E454D6">
        <w:t>, for example,</w:t>
      </w:r>
      <w:r w:rsidRPr="006D1B7A">
        <w:t xml:space="preserve"> minimum staffing levels not met which leads to an increase in risk.</w:t>
      </w:r>
    </w:p>
    <w:p w14:paraId="0446BA22" w14:textId="03BD9E4F" w:rsidR="00442DC8" w:rsidRPr="006D1B7A" w:rsidRDefault="00442DC8" w:rsidP="001A677D">
      <w:pPr>
        <w:pStyle w:val="Bulletlist1"/>
      </w:pPr>
      <w:r w:rsidRPr="006D1B7A">
        <w:t xml:space="preserve">Inadequate packaging </w:t>
      </w:r>
      <w:r w:rsidR="004F3EE9">
        <w:t xml:space="preserve">and transport </w:t>
      </w:r>
      <w:r w:rsidRPr="006D1B7A">
        <w:t>of a sealed source.</w:t>
      </w:r>
    </w:p>
    <w:p w14:paraId="285F5849" w14:textId="55446C23" w:rsidR="00442DC8" w:rsidRPr="006D1B7A" w:rsidRDefault="00442DC8" w:rsidP="001A677D">
      <w:pPr>
        <w:pStyle w:val="Bulletlist1"/>
      </w:pPr>
      <w:r w:rsidRPr="006D1B7A">
        <w:t xml:space="preserve">An isolated event which is a threat to the safe condition of a nuclear facility, </w:t>
      </w:r>
      <w:r w:rsidR="00E454D6">
        <w:t>for example,</w:t>
      </w:r>
      <w:r w:rsidRPr="006D1B7A">
        <w:t xml:space="preserve"> from an internal or external hazard, human performance.</w:t>
      </w:r>
    </w:p>
    <w:p w14:paraId="6CCAA941" w14:textId="77777777" w:rsidR="00442DC8" w:rsidRPr="006D1B7A" w:rsidRDefault="00442DC8" w:rsidP="001A677D">
      <w:pPr>
        <w:pStyle w:val="Bulletlist1"/>
      </w:pPr>
      <w:r w:rsidRPr="006D1B7A">
        <w:t xml:space="preserve">An event resulting in degraded radiological control barriers. </w:t>
      </w:r>
    </w:p>
    <w:p w14:paraId="35CC206B" w14:textId="3CF55DFF" w:rsidR="00442DC8" w:rsidRPr="006D1B7A" w:rsidRDefault="00442DC8" w:rsidP="001A677D">
      <w:pPr>
        <w:pStyle w:val="Bulletlist1"/>
      </w:pPr>
      <w:r w:rsidRPr="006D1B7A">
        <w:t xml:space="preserve">An event which leads to a worker receiving a radiation dose much greater than the expected dose, but below three tenths of a relevant statutory dose limit as described in </w:t>
      </w:r>
      <w:r w:rsidR="00C50053" w:rsidRPr="006D1B7A">
        <w:t>IRR17</w:t>
      </w:r>
      <w:r w:rsidR="00E454D6">
        <w:t>,</w:t>
      </w:r>
      <w:r w:rsidR="00C50053">
        <w:t xml:space="preserve"> S</w:t>
      </w:r>
      <w:r w:rsidRPr="006D1B7A">
        <w:t>chedule 3.</w:t>
      </w:r>
    </w:p>
    <w:p w14:paraId="730481CF" w14:textId="4451E085" w:rsidR="00442DC8" w:rsidRPr="00311639" w:rsidRDefault="00311639" w:rsidP="001A677D">
      <w:pPr>
        <w:pStyle w:val="Bulletlist1"/>
      </w:pPr>
      <w:r w:rsidRPr="00311639">
        <w:t xml:space="preserve">The creation of a security vulnerability but has minor impact on the protection of nuclear material, safety-critical systems or </w:t>
      </w:r>
      <w:r w:rsidR="00E454D6">
        <w:t>sensitive nuclear information (SNI)</w:t>
      </w:r>
      <w:r w:rsidRPr="00311639">
        <w:t>.</w:t>
      </w:r>
    </w:p>
    <w:p w14:paraId="1B1B0323" w14:textId="77777777" w:rsidR="00F62820" w:rsidRPr="006D1B7A" w:rsidRDefault="00F62820" w:rsidP="000177E0">
      <w:pPr>
        <w:pStyle w:val="Paragraph"/>
        <w:numPr>
          <w:ilvl w:val="0"/>
          <w:numId w:val="0"/>
        </w:numPr>
        <w:rPr>
          <w:highlight w:val="green"/>
        </w:rPr>
      </w:pPr>
    </w:p>
    <w:p w14:paraId="4A8BBA14" w14:textId="77777777" w:rsidR="00EC1E53" w:rsidRPr="006D1B7A" w:rsidRDefault="00EC1E53" w:rsidP="00D45FC5">
      <w:pPr>
        <w:rPr>
          <w:highlight w:val="green"/>
        </w:rPr>
        <w:sectPr w:rsidR="00EC1E53" w:rsidRPr="006D1B7A" w:rsidSect="001A677D">
          <w:headerReference w:type="first" r:id="rId50"/>
          <w:pgSz w:w="11906" w:h="16838" w:code="9"/>
          <w:pgMar w:top="1440" w:right="1440" w:bottom="1440" w:left="1440" w:header="431" w:footer="567" w:gutter="0"/>
          <w:cols w:space="708"/>
          <w:titlePg/>
          <w:docGrid w:linePitch="360"/>
        </w:sectPr>
      </w:pPr>
    </w:p>
    <w:p w14:paraId="15D502E8" w14:textId="77777777" w:rsidR="00D45FC5" w:rsidRPr="006D1B7A" w:rsidRDefault="00D45FC5" w:rsidP="00D45FC5">
      <w:pPr>
        <w:rPr>
          <w:highlight w:val="green"/>
        </w:rPr>
        <w:sectPr w:rsidR="00D45FC5" w:rsidRPr="006D1B7A" w:rsidSect="001A677D">
          <w:pgSz w:w="11906" w:h="16838" w:code="9"/>
          <w:pgMar w:top="1440" w:right="1440" w:bottom="1440" w:left="1440" w:header="431" w:footer="567" w:gutter="0"/>
          <w:cols w:space="708"/>
          <w:titlePg/>
          <w:docGrid w:linePitch="360"/>
        </w:sectPr>
      </w:pPr>
    </w:p>
    <w:p w14:paraId="6BB89145" w14:textId="693758A6" w:rsidR="00482CB4" w:rsidRPr="006D1B7A" w:rsidRDefault="00482CB4" w:rsidP="00482CB4">
      <w:pPr>
        <w:pStyle w:val="Heading1"/>
        <w:numPr>
          <w:ilvl w:val="0"/>
          <w:numId w:val="0"/>
        </w:numPr>
      </w:pPr>
      <w:bookmarkStart w:id="43" w:name="_Appendix_D_–"/>
      <w:bookmarkStart w:id="44" w:name="_Appendix_E_–"/>
      <w:bookmarkStart w:id="45" w:name="_Toc213836323"/>
      <w:bookmarkStart w:id="46" w:name="_Toc46136930"/>
      <w:bookmarkEnd w:id="43"/>
      <w:bookmarkEnd w:id="44"/>
      <w:r w:rsidRPr="006D1B7A">
        <w:t xml:space="preserve">Appendix </w:t>
      </w:r>
      <w:r w:rsidR="00AF75CD">
        <w:t>C</w:t>
      </w:r>
      <w:r w:rsidRPr="006D1B7A">
        <w:t xml:space="preserve"> – Dutyholder and strategic factors</w:t>
      </w:r>
      <w:bookmarkEnd w:id="45"/>
    </w:p>
    <w:p w14:paraId="2B6C7D51" w14:textId="6118A5DA" w:rsidR="0016630A" w:rsidRDefault="0016630A" w:rsidP="0016630A">
      <w:pPr>
        <w:pStyle w:val="Caption"/>
        <w:ind w:left="0"/>
        <w:jc w:val="left"/>
      </w:pPr>
      <w:r>
        <w:t xml:space="preserve">Table </w:t>
      </w:r>
      <w:r>
        <w:fldChar w:fldCharType="begin"/>
      </w:r>
      <w:r>
        <w:instrText xml:space="preserve"> SEQ Table \* ARABIC </w:instrText>
      </w:r>
      <w:r>
        <w:fldChar w:fldCharType="separate"/>
      </w:r>
      <w:r>
        <w:rPr>
          <w:noProof/>
        </w:rPr>
        <w:t>4</w:t>
      </w:r>
      <w:r>
        <w:fldChar w:fldCharType="end"/>
      </w:r>
      <w:r>
        <w:t xml:space="preserve"> - </w:t>
      </w:r>
      <w:r w:rsidRPr="003B1327">
        <w:t>Dutyholder factors</w:t>
      </w:r>
    </w:p>
    <w:tbl>
      <w:tblPr>
        <w:tblStyle w:val="ONRTable1"/>
        <w:tblW w:w="5000" w:type="pct"/>
        <w:tblInd w:w="0" w:type="dxa"/>
        <w:tblLook w:val="04A0" w:firstRow="1" w:lastRow="0" w:firstColumn="1" w:lastColumn="0" w:noHBand="0" w:noVBand="1"/>
      </w:tblPr>
      <w:tblGrid>
        <w:gridCol w:w="2540"/>
        <w:gridCol w:w="6486"/>
      </w:tblGrid>
      <w:tr w:rsidR="00D5182F" w:rsidRPr="006D1B7A" w14:paraId="0D543585" w14:textId="77777777" w:rsidTr="0016630A">
        <w:trPr>
          <w:cnfStyle w:val="100000000000" w:firstRow="1" w:lastRow="0" w:firstColumn="0" w:lastColumn="0" w:oddVBand="0" w:evenVBand="0" w:oddHBand="0" w:evenHBand="0" w:firstRowFirstColumn="0" w:firstRowLastColumn="0" w:lastRowFirstColumn="0" w:lastRowLastColumn="0"/>
          <w:cantSplit/>
          <w:tblHeader/>
        </w:trPr>
        <w:tc>
          <w:tcPr>
            <w:tcW w:w="1407" w:type="pct"/>
            <w:hideMark/>
          </w:tcPr>
          <w:p w14:paraId="6320795E" w14:textId="77777777" w:rsidR="00D5182F" w:rsidRPr="006D1B7A" w:rsidRDefault="00D5182F" w:rsidP="00E454D6">
            <w:pPr>
              <w:pStyle w:val="TableText"/>
              <w:spacing w:line="252" w:lineRule="auto"/>
              <w:rPr>
                <w:b w:val="0"/>
                <w:bCs/>
                <w:szCs w:val="24"/>
              </w:rPr>
            </w:pPr>
            <w:r w:rsidRPr="006D1B7A">
              <w:rPr>
                <w:b w:val="0"/>
                <w:bCs/>
                <w:szCs w:val="24"/>
              </w:rPr>
              <w:t>Factor</w:t>
            </w:r>
          </w:p>
        </w:tc>
        <w:tc>
          <w:tcPr>
            <w:tcW w:w="3593" w:type="pct"/>
          </w:tcPr>
          <w:p w14:paraId="6FDD06A1" w14:textId="77777777" w:rsidR="00D5182F" w:rsidRPr="006D1B7A" w:rsidRDefault="00D5182F" w:rsidP="00E454D6">
            <w:pPr>
              <w:pStyle w:val="TableText"/>
              <w:spacing w:line="252" w:lineRule="auto"/>
              <w:rPr>
                <w:b w:val="0"/>
                <w:bCs/>
                <w:szCs w:val="24"/>
              </w:rPr>
            </w:pPr>
            <w:r w:rsidRPr="006D1B7A">
              <w:rPr>
                <w:b w:val="0"/>
                <w:bCs/>
                <w:szCs w:val="24"/>
              </w:rPr>
              <w:t>Descriptor</w:t>
            </w:r>
          </w:p>
        </w:tc>
      </w:tr>
      <w:tr w:rsidR="00CD462A" w:rsidRPr="006D1B7A" w14:paraId="7EE7BDE1" w14:textId="77777777" w:rsidTr="0016630A">
        <w:trPr>
          <w:cantSplit/>
        </w:trPr>
        <w:tc>
          <w:tcPr>
            <w:tcW w:w="1407" w:type="pct"/>
          </w:tcPr>
          <w:p w14:paraId="001E3600" w14:textId="5905D199" w:rsidR="00CD462A" w:rsidRPr="006D1B7A" w:rsidRDefault="00CD462A" w:rsidP="00E454D6">
            <w:pPr>
              <w:pStyle w:val="TableText"/>
              <w:spacing w:line="252" w:lineRule="auto"/>
              <w:rPr>
                <w:rFonts w:cs="Arial"/>
                <w:szCs w:val="24"/>
                <w:lang w:eastAsia="en-GB"/>
              </w:rPr>
            </w:pPr>
            <w:r w:rsidRPr="006D1B7A">
              <w:rPr>
                <w:rFonts w:cs="Arial"/>
                <w:szCs w:val="24"/>
                <w:lang w:eastAsia="en-GB"/>
              </w:rPr>
              <w:t>What is the level of actual harm?</w:t>
            </w:r>
          </w:p>
        </w:tc>
        <w:tc>
          <w:tcPr>
            <w:tcW w:w="3593" w:type="pct"/>
          </w:tcPr>
          <w:p w14:paraId="5133EBAC" w14:textId="6DBDBDAE" w:rsidR="00AA34A5" w:rsidRDefault="001E3DB5" w:rsidP="00E454D6">
            <w:pPr>
              <w:pStyle w:val="Bulletlist1"/>
              <w:spacing w:before="60" w:after="60"/>
              <w:ind w:left="762" w:hanging="425"/>
            </w:pPr>
            <w:r w:rsidRPr="006D1B7A">
              <w:t xml:space="preserve">Serious: </w:t>
            </w:r>
            <w:r w:rsidR="00685C36" w:rsidRPr="006D1B7A">
              <w:t xml:space="preserve">A ‘serious personal injury’ or ‘serious health effect’ has occurred as a result of the matter under </w:t>
            </w:r>
            <w:r w:rsidR="00EF6CA9" w:rsidRPr="006D1B7A">
              <w:t>consideration.</w:t>
            </w:r>
          </w:p>
          <w:p w14:paraId="43E0CF0C" w14:textId="73619BB0" w:rsidR="006A4333" w:rsidRPr="00AA34A5" w:rsidRDefault="006A4333" w:rsidP="00E454D6">
            <w:pPr>
              <w:pStyle w:val="Bulletlist1"/>
              <w:spacing w:before="60" w:after="60"/>
              <w:ind w:left="762" w:hanging="425"/>
            </w:pPr>
            <w:r w:rsidRPr="006A4333">
              <w:t>An IRR17 radiation dose limit has been exceeded</w:t>
            </w:r>
          </w:p>
          <w:p w14:paraId="220A4437" w14:textId="28A417B6" w:rsidR="00AB4519" w:rsidRPr="006D1B7A" w:rsidRDefault="005424B2" w:rsidP="00E454D6">
            <w:pPr>
              <w:pStyle w:val="Bulletlist1"/>
              <w:spacing w:before="60" w:after="60"/>
              <w:ind w:left="762" w:hanging="425"/>
            </w:pPr>
            <w:r w:rsidRPr="006D1B7A">
              <w:t>Not serious: There has been no actual harm, or the harm has been no greater than a ‘significant personal injury’ or a ‘significant health effect’.</w:t>
            </w:r>
          </w:p>
        </w:tc>
      </w:tr>
      <w:tr w:rsidR="00D5182F" w:rsidRPr="006D1B7A" w14:paraId="18FCA0D7" w14:textId="77777777" w:rsidTr="0016630A">
        <w:trPr>
          <w:cantSplit/>
        </w:trPr>
        <w:tc>
          <w:tcPr>
            <w:tcW w:w="1407" w:type="pct"/>
            <w:hideMark/>
          </w:tcPr>
          <w:p w14:paraId="7295D980" w14:textId="661BBBC0" w:rsidR="00D5182F" w:rsidRPr="006D1B7A" w:rsidRDefault="00D5182F" w:rsidP="00E454D6">
            <w:pPr>
              <w:pStyle w:val="TableText"/>
              <w:spacing w:line="252" w:lineRule="auto"/>
              <w:rPr>
                <w:szCs w:val="24"/>
              </w:rPr>
            </w:pPr>
            <w:r w:rsidRPr="006D1B7A">
              <w:rPr>
                <w:rFonts w:cs="Arial"/>
                <w:szCs w:val="24"/>
                <w:lang w:eastAsia="en-GB"/>
              </w:rPr>
              <w:t xml:space="preserve">What is the inspection history of the </w:t>
            </w:r>
            <w:r w:rsidRPr="006D1B7A">
              <w:rPr>
                <w:rFonts w:cs="Arial"/>
                <w:bCs/>
                <w:szCs w:val="24"/>
                <w:lang w:eastAsia="en-GB"/>
              </w:rPr>
              <w:t>dutyholder</w:t>
            </w:r>
            <w:r w:rsidRPr="006D1B7A">
              <w:rPr>
                <w:rFonts w:cs="Arial"/>
                <w:szCs w:val="24"/>
                <w:lang w:eastAsia="en-GB"/>
              </w:rPr>
              <w:t>?</w:t>
            </w:r>
            <w:r w:rsidR="00FD28F1">
              <w:rPr>
                <w:rStyle w:val="FootnoteReference"/>
                <w:rFonts w:cs="Arial"/>
                <w:szCs w:val="24"/>
                <w:lang w:eastAsia="en-GB"/>
              </w:rPr>
              <w:footnoteReference w:id="10"/>
            </w:r>
          </w:p>
        </w:tc>
        <w:tc>
          <w:tcPr>
            <w:tcW w:w="3593" w:type="pct"/>
          </w:tcPr>
          <w:p w14:paraId="79C5E773" w14:textId="77777777" w:rsidR="00D5182F" w:rsidRPr="006D1B7A" w:rsidRDefault="00D5182F" w:rsidP="00E454D6">
            <w:pPr>
              <w:pStyle w:val="TSHeadingNumbered111"/>
              <w:tabs>
                <w:tab w:val="clear" w:pos="-31680"/>
              </w:tabs>
              <w:spacing w:before="60" w:after="60" w:line="252" w:lineRule="auto"/>
              <w:ind w:left="0" w:firstLine="0"/>
              <w:rPr>
                <w:rFonts w:ascii="Arial" w:hAnsi="Arial" w:cs="Arial"/>
                <w:b w:val="0"/>
                <w:bCs/>
                <w:caps w:val="0"/>
                <w:sz w:val="24"/>
              </w:rPr>
            </w:pPr>
            <w:r w:rsidRPr="006D1B7A">
              <w:rPr>
                <w:rFonts w:ascii="Arial" w:hAnsi="Arial" w:cs="Arial"/>
                <w:b w:val="0"/>
                <w:bCs/>
                <w:caps w:val="0"/>
                <w:sz w:val="24"/>
              </w:rPr>
              <w:t>Inspection history may vary as follows:</w:t>
            </w:r>
          </w:p>
          <w:p w14:paraId="384D32F8" w14:textId="77777777" w:rsidR="00D5182F" w:rsidRPr="006D1B7A" w:rsidRDefault="00D5182F" w:rsidP="00E454D6">
            <w:pPr>
              <w:pStyle w:val="TSHeadingNumbered111"/>
              <w:numPr>
                <w:ilvl w:val="0"/>
                <w:numId w:val="10"/>
              </w:numPr>
              <w:spacing w:before="60" w:after="60" w:line="252" w:lineRule="auto"/>
              <w:rPr>
                <w:rFonts w:ascii="Arial" w:hAnsi="Arial" w:cs="Arial"/>
                <w:b w:val="0"/>
                <w:bCs/>
                <w:caps w:val="0"/>
                <w:sz w:val="24"/>
              </w:rPr>
            </w:pPr>
            <w:r w:rsidRPr="006D1B7A">
              <w:rPr>
                <w:rFonts w:ascii="Arial" w:hAnsi="Arial" w:cs="Arial"/>
                <w:caps w:val="0"/>
                <w:sz w:val="24"/>
              </w:rPr>
              <w:t>Poor</w:t>
            </w:r>
            <w:r w:rsidRPr="006D1B7A">
              <w:rPr>
                <w:rFonts w:ascii="Arial" w:hAnsi="Arial" w:cs="Arial"/>
                <w:b w:val="0"/>
                <w:bCs/>
                <w:caps w:val="0"/>
                <w:sz w:val="24"/>
              </w:rPr>
              <w:t xml:space="preserve"> – The dutyholder has an inspection history of significant problems, copious relevant advice and poor inspection ratings in relevant areas. </w:t>
            </w:r>
          </w:p>
          <w:p w14:paraId="0D7417C0" w14:textId="77777777" w:rsidR="009B7814" w:rsidRPr="006D1B7A" w:rsidRDefault="00D5182F" w:rsidP="00E454D6">
            <w:pPr>
              <w:pStyle w:val="TSHeadingNumbered111"/>
              <w:numPr>
                <w:ilvl w:val="0"/>
                <w:numId w:val="10"/>
              </w:numPr>
              <w:spacing w:before="60" w:after="60" w:line="252" w:lineRule="auto"/>
              <w:rPr>
                <w:sz w:val="24"/>
              </w:rPr>
            </w:pPr>
            <w:r w:rsidRPr="006D1B7A">
              <w:rPr>
                <w:rFonts w:ascii="Arial" w:hAnsi="Arial" w:cs="Arial"/>
                <w:caps w:val="0"/>
                <w:sz w:val="24"/>
              </w:rPr>
              <w:t>Reasonable</w:t>
            </w:r>
            <w:r w:rsidRPr="006D1B7A">
              <w:rPr>
                <w:rFonts w:ascii="Arial" w:hAnsi="Arial" w:cs="Arial"/>
                <w:b w:val="0"/>
                <w:bCs/>
                <w:caps w:val="0"/>
                <w:sz w:val="24"/>
              </w:rPr>
              <w:t xml:space="preserve"> – The dutyholder has an inspection history of nominal or piecemeal problems in relevant areas.</w:t>
            </w:r>
          </w:p>
          <w:p w14:paraId="68798553" w14:textId="2A8A0F27" w:rsidR="00D5182F" w:rsidRPr="006D1B7A" w:rsidRDefault="00D5182F" w:rsidP="00E454D6">
            <w:pPr>
              <w:pStyle w:val="TSHeadingNumbered111"/>
              <w:numPr>
                <w:ilvl w:val="0"/>
                <w:numId w:val="10"/>
              </w:numPr>
              <w:spacing w:before="60" w:after="60" w:line="252" w:lineRule="auto"/>
              <w:rPr>
                <w:sz w:val="24"/>
              </w:rPr>
            </w:pPr>
            <w:r w:rsidRPr="006D1B7A">
              <w:rPr>
                <w:rFonts w:ascii="Arial" w:hAnsi="Arial" w:cs="Arial"/>
                <w:caps w:val="0"/>
                <w:sz w:val="24"/>
              </w:rPr>
              <w:t>Good</w:t>
            </w:r>
            <w:r w:rsidRPr="006D1B7A">
              <w:rPr>
                <w:rFonts w:ascii="Arial" w:hAnsi="Arial" w:cs="Arial"/>
                <w:b w:val="0"/>
                <w:bCs/>
                <w:caps w:val="0"/>
                <w:sz w:val="24"/>
              </w:rPr>
              <w:t xml:space="preserve"> – The dutyholder has an inspection history of generally good compliance, effective response to advice and consistently high standards.</w:t>
            </w:r>
          </w:p>
        </w:tc>
      </w:tr>
      <w:tr w:rsidR="00D5182F" w:rsidRPr="006D1B7A" w14:paraId="66D65CDA" w14:textId="77777777" w:rsidTr="0016630A">
        <w:trPr>
          <w:cantSplit/>
          <w:trHeight w:val="2788"/>
        </w:trPr>
        <w:tc>
          <w:tcPr>
            <w:tcW w:w="1407" w:type="pct"/>
          </w:tcPr>
          <w:p w14:paraId="2EB309DC" w14:textId="2583BEB2" w:rsidR="00D5182F" w:rsidRPr="006D1B7A" w:rsidRDefault="00D5182F" w:rsidP="00E454D6">
            <w:pPr>
              <w:pStyle w:val="TableText"/>
              <w:spacing w:line="252" w:lineRule="auto"/>
              <w:rPr>
                <w:rFonts w:cs="Arial"/>
                <w:szCs w:val="24"/>
                <w:lang w:eastAsia="en-GB"/>
              </w:rPr>
            </w:pPr>
            <w:r w:rsidRPr="006D1B7A">
              <w:rPr>
                <w:rFonts w:cs="Arial"/>
                <w:szCs w:val="24"/>
                <w:lang w:eastAsia="en-GB"/>
              </w:rPr>
              <w:t>What is the level of confidence in the dutyholder?</w:t>
            </w:r>
          </w:p>
        </w:tc>
        <w:tc>
          <w:tcPr>
            <w:tcW w:w="3593" w:type="pct"/>
          </w:tcPr>
          <w:p w14:paraId="258E07C7" w14:textId="77777777" w:rsidR="00D5182F" w:rsidRPr="006D1B7A" w:rsidRDefault="00D5182F" w:rsidP="00E454D6">
            <w:pPr>
              <w:pStyle w:val="TSHeadingNumbered111"/>
              <w:tabs>
                <w:tab w:val="clear" w:pos="-31680"/>
              </w:tabs>
              <w:spacing w:before="60" w:after="60" w:line="252" w:lineRule="auto"/>
              <w:ind w:left="0" w:firstLine="0"/>
              <w:rPr>
                <w:rFonts w:ascii="Arial" w:hAnsi="Arial" w:cs="Arial"/>
                <w:b w:val="0"/>
                <w:bCs/>
                <w:caps w:val="0"/>
                <w:sz w:val="24"/>
              </w:rPr>
            </w:pPr>
            <w:r w:rsidRPr="006D1B7A">
              <w:rPr>
                <w:rFonts w:ascii="Arial" w:hAnsi="Arial" w:cs="Arial"/>
                <w:b w:val="0"/>
                <w:bCs/>
                <w:caps w:val="0"/>
                <w:sz w:val="24"/>
              </w:rPr>
              <w:t>Level of confidence may vary as follows:</w:t>
            </w:r>
          </w:p>
          <w:p w14:paraId="54CD2260" w14:textId="5370BE34" w:rsidR="00D5182F" w:rsidRPr="006D1B7A" w:rsidRDefault="00D5182F" w:rsidP="00E454D6">
            <w:pPr>
              <w:pStyle w:val="TSHeadingNumbered111"/>
              <w:numPr>
                <w:ilvl w:val="0"/>
                <w:numId w:val="11"/>
              </w:numPr>
              <w:spacing w:before="60" w:after="60" w:line="252" w:lineRule="auto"/>
              <w:rPr>
                <w:rFonts w:ascii="Arial" w:hAnsi="Arial" w:cs="Arial"/>
                <w:b w:val="0"/>
                <w:bCs/>
                <w:caps w:val="0"/>
                <w:sz w:val="24"/>
              </w:rPr>
            </w:pPr>
            <w:r w:rsidRPr="006D1B7A">
              <w:rPr>
                <w:rFonts w:ascii="Arial" w:hAnsi="Arial" w:cs="Arial"/>
                <w:caps w:val="0"/>
                <w:sz w:val="24"/>
              </w:rPr>
              <w:t>Little or no confidence – There is a concern that the dutyholder does</w:t>
            </w:r>
            <w:r w:rsidRPr="006D1B7A">
              <w:rPr>
                <w:rFonts w:ascii="Arial" w:hAnsi="Arial" w:cs="Arial"/>
                <w:b w:val="0"/>
                <w:bCs/>
                <w:caps w:val="0"/>
                <w:sz w:val="24"/>
              </w:rPr>
              <w:t xml:space="preserve"> not have the intent, capacity, or commitment, to comply with the law and ensure the effective management of security</w:t>
            </w:r>
            <w:r w:rsidR="009B7814" w:rsidRPr="006D1B7A">
              <w:rPr>
                <w:rFonts w:ascii="Arial" w:hAnsi="Arial" w:cs="Arial"/>
                <w:b w:val="0"/>
                <w:bCs/>
                <w:caps w:val="0"/>
                <w:sz w:val="24"/>
              </w:rPr>
              <w:t xml:space="preserve">/ </w:t>
            </w:r>
            <w:r w:rsidRPr="006D1B7A">
              <w:rPr>
                <w:rFonts w:ascii="Arial" w:hAnsi="Arial" w:cs="Arial"/>
                <w:b w:val="0"/>
                <w:bCs/>
                <w:caps w:val="0"/>
                <w:sz w:val="24"/>
              </w:rPr>
              <w:t>safety</w:t>
            </w:r>
            <w:r w:rsidR="009B7814" w:rsidRPr="006D1B7A">
              <w:rPr>
                <w:rFonts w:ascii="Arial" w:hAnsi="Arial" w:cs="Arial"/>
                <w:b w:val="0"/>
                <w:bCs/>
                <w:caps w:val="0"/>
                <w:sz w:val="24"/>
              </w:rPr>
              <w:t>/</w:t>
            </w:r>
            <w:r w:rsidRPr="006D1B7A">
              <w:rPr>
                <w:rFonts w:ascii="Arial" w:hAnsi="Arial" w:cs="Arial"/>
                <w:b w:val="0"/>
                <w:bCs/>
                <w:caps w:val="0"/>
                <w:sz w:val="24"/>
              </w:rPr>
              <w:t>safeguards.</w:t>
            </w:r>
          </w:p>
          <w:p w14:paraId="5CACA8D8" w14:textId="2DA732CB" w:rsidR="00A13938" w:rsidRPr="00A13938" w:rsidRDefault="00D5182F" w:rsidP="00E454D6">
            <w:pPr>
              <w:pStyle w:val="TSHeadingNumbered111"/>
              <w:numPr>
                <w:ilvl w:val="0"/>
                <w:numId w:val="11"/>
              </w:numPr>
              <w:spacing w:before="60" w:after="60" w:line="252" w:lineRule="auto"/>
              <w:rPr>
                <w:rFonts w:ascii="Arial" w:hAnsi="Arial" w:cs="Arial"/>
                <w:b w:val="0"/>
                <w:bCs/>
                <w:caps w:val="0"/>
                <w:sz w:val="24"/>
              </w:rPr>
            </w:pPr>
            <w:r w:rsidRPr="006D1B7A">
              <w:rPr>
                <w:rFonts w:ascii="Arial" w:hAnsi="Arial" w:cs="Arial"/>
                <w:caps w:val="0"/>
                <w:sz w:val="24"/>
              </w:rPr>
              <w:t>Confident</w:t>
            </w:r>
            <w:r w:rsidRPr="006D1B7A">
              <w:rPr>
                <w:rFonts w:ascii="Arial" w:hAnsi="Arial" w:cs="Arial"/>
                <w:b w:val="0"/>
                <w:bCs/>
                <w:caps w:val="0"/>
                <w:sz w:val="24"/>
              </w:rPr>
              <w:t xml:space="preserve"> – it is clear that the dutyholder is both fully capable of and is strongly committed to, compliance with the law through the effective management of security</w:t>
            </w:r>
            <w:r w:rsidR="009B7814" w:rsidRPr="006D1B7A">
              <w:rPr>
                <w:rFonts w:ascii="Arial" w:hAnsi="Arial" w:cs="Arial"/>
                <w:b w:val="0"/>
                <w:bCs/>
                <w:caps w:val="0"/>
                <w:sz w:val="24"/>
              </w:rPr>
              <w:t>/</w:t>
            </w:r>
            <w:r w:rsidRPr="006D1B7A">
              <w:rPr>
                <w:rFonts w:ascii="Arial" w:hAnsi="Arial" w:cs="Arial"/>
                <w:b w:val="0"/>
                <w:bCs/>
                <w:caps w:val="0"/>
                <w:sz w:val="24"/>
              </w:rPr>
              <w:t>safety and can be trusted to put the matter(s) right.</w:t>
            </w:r>
          </w:p>
        </w:tc>
      </w:tr>
      <w:tr w:rsidR="00D5182F" w:rsidRPr="006D1B7A" w14:paraId="3FDF1FC8" w14:textId="77777777" w:rsidTr="0016630A">
        <w:trPr>
          <w:cantSplit/>
        </w:trPr>
        <w:tc>
          <w:tcPr>
            <w:tcW w:w="1407" w:type="pct"/>
          </w:tcPr>
          <w:p w14:paraId="48B51719" w14:textId="16A11BF8" w:rsidR="00D5182F" w:rsidRPr="006D1B7A" w:rsidRDefault="00D5182F" w:rsidP="00E454D6">
            <w:pPr>
              <w:pStyle w:val="TableText"/>
              <w:spacing w:line="252" w:lineRule="auto"/>
              <w:rPr>
                <w:rFonts w:cs="Arial"/>
                <w:szCs w:val="24"/>
                <w:lang w:eastAsia="en-GB"/>
              </w:rPr>
            </w:pPr>
            <w:r w:rsidRPr="006D1B7A">
              <w:rPr>
                <w:rFonts w:cs="Arial"/>
                <w:szCs w:val="24"/>
              </w:rPr>
              <w:lastRenderedPageBreak/>
              <w:t>Does the dutyholder have a history of relevant, formal enforcement being taken or relevant advice being given?</w:t>
            </w:r>
            <w:r w:rsidR="00AC3F39">
              <w:rPr>
                <w:rStyle w:val="FootnoteReference"/>
                <w:rFonts w:cs="Arial"/>
                <w:szCs w:val="24"/>
              </w:rPr>
              <w:footnoteReference w:id="11"/>
            </w:r>
          </w:p>
        </w:tc>
        <w:tc>
          <w:tcPr>
            <w:tcW w:w="3593" w:type="pct"/>
          </w:tcPr>
          <w:p w14:paraId="6643F63E" w14:textId="77777777" w:rsidR="00D5182F" w:rsidRPr="006D1B7A" w:rsidRDefault="00D5182F" w:rsidP="00E454D6">
            <w:pPr>
              <w:pStyle w:val="TSHeadingNumbered111"/>
              <w:tabs>
                <w:tab w:val="clear" w:pos="-31680"/>
              </w:tabs>
              <w:spacing w:before="60" w:after="60" w:line="252" w:lineRule="auto"/>
              <w:ind w:left="0" w:firstLine="0"/>
              <w:rPr>
                <w:rFonts w:ascii="Arial" w:hAnsi="Arial" w:cs="Arial"/>
                <w:b w:val="0"/>
                <w:bCs/>
                <w:caps w:val="0"/>
                <w:sz w:val="24"/>
              </w:rPr>
            </w:pPr>
            <w:r w:rsidRPr="006D1B7A">
              <w:rPr>
                <w:rFonts w:ascii="Arial" w:hAnsi="Arial" w:cs="Arial"/>
                <w:b w:val="0"/>
                <w:bCs/>
                <w:caps w:val="0"/>
                <w:sz w:val="24"/>
              </w:rPr>
              <w:t xml:space="preserve">Formal enforcement action has been taken against the </w:t>
            </w:r>
            <w:r w:rsidRPr="006D1B7A">
              <w:rPr>
                <w:rFonts w:ascii="Arial" w:hAnsi="Arial" w:cs="Arial"/>
                <w:b w:val="0"/>
                <w:caps w:val="0"/>
                <w:sz w:val="24"/>
              </w:rPr>
              <w:t>dutyholder</w:t>
            </w:r>
            <w:r w:rsidRPr="006D1B7A">
              <w:rPr>
                <w:rFonts w:ascii="Arial" w:hAnsi="Arial" w:cs="Arial"/>
                <w:b w:val="0"/>
                <w:bCs/>
                <w:caps w:val="0"/>
                <w:sz w:val="24"/>
              </w:rPr>
              <w:t xml:space="preserve"> on the same or similar issues, by prosecution, direction (security or safety), notice, specification or enforcement letter. </w:t>
            </w:r>
          </w:p>
          <w:p w14:paraId="584A9265" w14:textId="77777777" w:rsidR="00D5182F" w:rsidRPr="006D1B7A" w:rsidRDefault="00D5182F" w:rsidP="00E454D6">
            <w:pPr>
              <w:pStyle w:val="TSHeadingNumbered111"/>
              <w:tabs>
                <w:tab w:val="clear" w:pos="-31680"/>
              </w:tabs>
              <w:spacing w:before="60" w:after="60" w:line="252" w:lineRule="auto"/>
              <w:ind w:left="0" w:firstLine="0"/>
              <w:rPr>
                <w:rFonts w:ascii="Arial" w:hAnsi="Arial" w:cs="Arial"/>
                <w:b w:val="0"/>
                <w:bCs/>
                <w:caps w:val="0"/>
                <w:sz w:val="24"/>
              </w:rPr>
            </w:pPr>
            <w:r w:rsidRPr="006D1B7A">
              <w:rPr>
                <w:rFonts w:ascii="Arial" w:hAnsi="Arial" w:cs="Arial"/>
                <w:b w:val="0"/>
                <w:bCs/>
                <w:caps w:val="0"/>
                <w:sz w:val="24"/>
              </w:rPr>
              <w:t xml:space="preserve">Non-formal enforcement action – advice, has been taken on the same or similar issues, by telling the dutyholder what they have to do in order to comply. </w:t>
            </w:r>
          </w:p>
        </w:tc>
      </w:tr>
      <w:tr w:rsidR="00D5182F" w:rsidRPr="006D1B7A" w14:paraId="6C3030BC" w14:textId="77777777" w:rsidTr="0016630A">
        <w:trPr>
          <w:cantSplit/>
        </w:trPr>
        <w:tc>
          <w:tcPr>
            <w:tcW w:w="1407" w:type="pct"/>
          </w:tcPr>
          <w:p w14:paraId="6DD3157E" w14:textId="77777777" w:rsidR="00D5182F" w:rsidRPr="006D1B7A" w:rsidRDefault="00D5182F" w:rsidP="00E454D6">
            <w:pPr>
              <w:pStyle w:val="TableText"/>
              <w:spacing w:line="252" w:lineRule="auto"/>
              <w:rPr>
                <w:rFonts w:cs="Arial"/>
                <w:szCs w:val="24"/>
              </w:rPr>
            </w:pPr>
            <w:r w:rsidRPr="006D1B7A">
              <w:rPr>
                <w:rFonts w:cs="Arial"/>
                <w:szCs w:val="24"/>
              </w:rPr>
              <w:t>Is there a relevant incident history?</w:t>
            </w:r>
          </w:p>
        </w:tc>
        <w:tc>
          <w:tcPr>
            <w:tcW w:w="3593" w:type="pct"/>
          </w:tcPr>
          <w:p w14:paraId="55EC7ACF" w14:textId="77777777" w:rsidR="00D5182F" w:rsidRPr="006D1B7A" w:rsidRDefault="00D5182F" w:rsidP="00E454D6">
            <w:pPr>
              <w:pStyle w:val="TSHeadingNumbered111"/>
              <w:tabs>
                <w:tab w:val="clear" w:pos="-31680"/>
              </w:tabs>
              <w:spacing w:before="60" w:after="60" w:line="252" w:lineRule="auto"/>
              <w:ind w:left="0" w:firstLine="0"/>
              <w:rPr>
                <w:rFonts w:ascii="Arial" w:hAnsi="Arial" w:cs="Arial"/>
                <w:b w:val="0"/>
                <w:bCs/>
                <w:caps w:val="0"/>
                <w:sz w:val="24"/>
              </w:rPr>
            </w:pPr>
            <w:r w:rsidRPr="006D1B7A">
              <w:rPr>
                <w:rFonts w:ascii="Arial" w:hAnsi="Arial" w:cs="Arial"/>
                <w:b w:val="0"/>
                <w:bCs/>
                <w:caps w:val="0"/>
                <w:sz w:val="24"/>
              </w:rPr>
              <w:t xml:space="preserve">The </w:t>
            </w:r>
            <w:r w:rsidRPr="006D1B7A">
              <w:rPr>
                <w:rFonts w:ascii="Arial" w:hAnsi="Arial" w:cs="Arial"/>
                <w:b w:val="0"/>
                <w:caps w:val="0"/>
                <w:sz w:val="24"/>
              </w:rPr>
              <w:t>dutyholder</w:t>
            </w:r>
            <w:r w:rsidRPr="006D1B7A">
              <w:rPr>
                <w:rFonts w:ascii="Arial" w:hAnsi="Arial" w:cs="Arial"/>
                <w:b w:val="0"/>
                <w:bCs/>
                <w:caps w:val="0"/>
                <w:sz w:val="24"/>
              </w:rPr>
              <w:t xml:space="preserve"> has a history of related incidents, or there is evidence of related incidents. </w:t>
            </w:r>
          </w:p>
        </w:tc>
      </w:tr>
      <w:tr w:rsidR="00D5182F" w:rsidRPr="006D1B7A" w14:paraId="6F807FB9" w14:textId="77777777" w:rsidTr="0016630A">
        <w:trPr>
          <w:cantSplit/>
        </w:trPr>
        <w:tc>
          <w:tcPr>
            <w:tcW w:w="1407" w:type="pct"/>
          </w:tcPr>
          <w:p w14:paraId="0FCA9ED3" w14:textId="43FAB0AD" w:rsidR="00D5182F" w:rsidRPr="006D1B7A" w:rsidRDefault="00D5182F" w:rsidP="00E454D6">
            <w:pPr>
              <w:pStyle w:val="TableText"/>
              <w:spacing w:line="252" w:lineRule="auto"/>
              <w:rPr>
                <w:rFonts w:cs="Arial"/>
                <w:szCs w:val="24"/>
              </w:rPr>
            </w:pPr>
            <w:r w:rsidRPr="006D1B7A">
              <w:rPr>
                <w:rFonts w:cs="Arial"/>
                <w:szCs w:val="24"/>
                <w:lang w:eastAsia="en-GB"/>
              </w:rPr>
              <w:t>Is the dutyholder deliberately seeking economic advantage?</w:t>
            </w:r>
            <w:r w:rsidR="009F4B4B">
              <w:rPr>
                <w:rStyle w:val="FootnoteReference"/>
                <w:rFonts w:cs="Arial"/>
                <w:szCs w:val="24"/>
                <w:lang w:eastAsia="en-GB"/>
              </w:rPr>
              <w:footnoteReference w:id="12"/>
            </w:r>
          </w:p>
        </w:tc>
        <w:tc>
          <w:tcPr>
            <w:tcW w:w="3593" w:type="pct"/>
          </w:tcPr>
          <w:p w14:paraId="6B3BC84F" w14:textId="62D17BEC" w:rsidR="00D5182F" w:rsidRPr="006D1B7A" w:rsidRDefault="00D5182F" w:rsidP="00E454D6">
            <w:pPr>
              <w:pStyle w:val="TSHeadingNumbered111"/>
              <w:tabs>
                <w:tab w:val="clear" w:pos="-31680"/>
              </w:tabs>
              <w:spacing w:before="60" w:after="60" w:line="252" w:lineRule="auto"/>
              <w:ind w:left="0" w:firstLine="0"/>
              <w:rPr>
                <w:rFonts w:ascii="Arial" w:hAnsi="Arial" w:cs="Arial"/>
                <w:b w:val="0"/>
                <w:bCs/>
                <w:caps w:val="0"/>
                <w:sz w:val="24"/>
              </w:rPr>
            </w:pPr>
            <w:r w:rsidRPr="006D1B7A">
              <w:rPr>
                <w:rFonts w:ascii="Arial" w:hAnsi="Arial" w:cs="Arial"/>
                <w:b w:val="0"/>
                <w:caps w:val="0"/>
                <w:sz w:val="24"/>
              </w:rPr>
              <w:t>The dutyholder is deliberately avoiding minimum legal requirements for commercial gain</w:t>
            </w:r>
            <w:r w:rsidR="00315A93">
              <w:rPr>
                <w:rFonts w:ascii="Arial" w:hAnsi="Arial" w:cs="Arial"/>
                <w:b w:val="0"/>
                <w:caps w:val="0"/>
                <w:sz w:val="24"/>
              </w:rPr>
              <w:t>.</w:t>
            </w:r>
            <w:r w:rsidRPr="006D1B7A">
              <w:rPr>
                <w:rFonts w:ascii="Arial" w:hAnsi="Arial" w:cs="Arial"/>
                <w:b w:val="0"/>
                <w:caps w:val="0"/>
                <w:sz w:val="24"/>
              </w:rPr>
              <w:t xml:space="preserve"> </w:t>
            </w:r>
          </w:p>
        </w:tc>
      </w:tr>
      <w:tr w:rsidR="00D5182F" w:rsidRPr="006D1B7A" w14:paraId="59CFBBAF" w14:textId="77777777" w:rsidTr="0016630A">
        <w:trPr>
          <w:cantSplit/>
        </w:trPr>
        <w:tc>
          <w:tcPr>
            <w:tcW w:w="1407" w:type="pct"/>
          </w:tcPr>
          <w:p w14:paraId="2FB0D452" w14:textId="1852F939" w:rsidR="00D5182F" w:rsidRPr="006D1B7A" w:rsidRDefault="00D5182F" w:rsidP="00E454D6">
            <w:pPr>
              <w:pStyle w:val="TableText"/>
              <w:spacing w:line="252" w:lineRule="auto"/>
              <w:rPr>
                <w:rFonts w:cs="Arial"/>
                <w:szCs w:val="24"/>
                <w:lang w:eastAsia="en-GB"/>
              </w:rPr>
            </w:pPr>
            <w:r w:rsidRPr="006D1B7A">
              <w:rPr>
                <w:rFonts w:cs="Arial"/>
                <w:szCs w:val="24"/>
                <w:lang w:eastAsia="en-GB"/>
              </w:rPr>
              <w:t>What is the standard of general compliance, relevant to the legal shortfall?</w:t>
            </w:r>
            <w:r w:rsidR="0049676D">
              <w:rPr>
                <w:rStyle w:val="FootnoteReference"/>
                <w:rFonts w:cs="Arial"/>
                <w:szCs w:val="24"/>
                <w:lang w:eastAsia="en-GB"/>
              </w:rPr>
              <w:footnoteReference w:id="13"/>
            </w:r>
          </w:p>
        </w:tc>
        <w:tc>
          <w:tcPr>
            <w:tcW w:w="3593" w:type="pct"/>
          </w:tcPr>
          <w:p w14:paraId="2DCE07DC" w14:textId="77777777" w:rsidR="00D5182F" w:rsidRPr="006D1B7A" w:rsidRDefault="00D5182F" w:rsidP="00E454D6">
            <w:pPr>
              <w:pStyle w:val="TSHeadingNumbered111"/>
              <w:tabs>
                <w:tab w:val="clear" w:pos="-31680"/>
              </w:tabs>
              <w:spacing w:before="60" w:after="60" w:line="252" w:lineRule="auto"/>
              <w:ind w:left="0" w:firstLine="0"/>
              <w:rPr>
                <w:rFonts w:ascii="Arial" w:hAnsi="Arial" w:cs="Arial"/>
                <w:b w:val="0"/>
                <w:bCs/>
                <w:caps w:val="0"/>
                <w:sz w:val="24"/>
              </w:rPr>
            </w:pPr>
            <w:r w:rsidRPr="006D1B7A">
              <w:rPr>
                <w:rFonts w:ascii="Arial" w:hAnsi="Arial" w:cs="Arial"/>
                <w:b w:val="0"/>
                <w:bCs/>
                <w:caps w:val="0"/>
                <w:sz w:val="24"/>
              </w:rPr>
              <w:t>Compliance relevant to the shortfall is generally:</w:t>
            </w:r>
          </w:p>
          <w:p w14:paraId="541053FE" w14:textId="77777777" w:rsidR="00D5182F" w:rsidRPr="006D1B7A" w:rsidRDefault="00D5182F" w:rsidP="00E454D6">
            <w:pPr>
              <w:pStyle w:val="TSHeadingNumbered111"/>
              <w:numPr>
                <w:ilvl w:val="0"/>
                <w:numId w:val="9"/>
              </w:numPr>
              <w:spacing w:before="60" w:after="60" w:line="252" w:lineRule="auto"/>
              <w:rPr>
                <w:rFonts w:ascii="Arial" w:hAnsi="Arial" w:cs="Arial"/>
                <w:b w:val="0"/>
                <w:bCs/>
                <w:caps w:val="0"/>
                <w:sz w:val="24"/>
              </w:rPr>
            </w:pPr>
            <w:r w:rsidRPr="006D1B7A">
              <w:rPr>
                <w:rFonts w:ascii="Arial" w:hAnsi="Arial" w:cs="Arial"/>
                <w:caps w:val="0"/>
                <w:sz w:val="24"/>
              </w:rPr>
              <w:t>Good</w:t>
            </w:r>
            <w:r w:rsidRPr="006D1B7A">
              <w:rPr>
                <w:rFonts w:ascii="Arial" w:hAnsi="Arial" w:cs="Arial"/>
                <w:b w:val="0"/>
                <w:bCs/>
                <w:caps w:val="0"/>
                <w:sz w:val="24"/>
              </w:rPr>
              <w:t xml:space="preserve"> - full compliance across a range of indicators with no notable omissions.</w:t>
            </w:r>
          </w:p>
          <w:p w14:paraId="332FFFAF" w14:textId="77777777" w:rsidR="009B7814" w:rsidRPr="006D1B7A" w:rsidRDefault="00D5182F" w:rsidP="00E454D6">
            <w:pPr>
              <w:pStyle w:val="TSHeadingNumbered111"/>
              <w:numPr>
                <w:ilvl w:val="0"/>
                <w:numId w:val="9"/>
              </w:numPr>
              <w:spacing w:before="60" w:after="60" w:line="252" w:lineRule="auto"/>
              <w:rPr>
                <w:rFonts w:ascii="Arial" w:hAnsi="Arial" w:cs="Arial"/>
                <w:b w:val="0"/>
                <w:caps w:val="0"/>
                <w:sz w:val="24"/>
              </w:rPr>
            </w:pPr>
            <w:r w:rsidRPr="006D1B7A">
              <w:rPr>
                <w:rFonts w:ascii="Arial" w:hAnsi="Arial" w:cs="Arial"/>
                <w:caps w:val="0"/>
                <w:sz w:val="24"/>
              </w:rPr>
              <w:t>Reasonable</w:t>
            </w:r>
            <w:r w:rsidRPr="006D1B7A">
              <w:rPr>
                <w:rFonts w:ascii="Arial" w:hAnsi="Arial" w:cs="Arial"/>
                <w:b w:val="0"/>
                <w:bCs/>
                <w:caps w:val="0"/>
                <w:sz w:val="24"/>
              </w:rPr>
              <w:t xml:space="preserve"> - Almost all our issues are adequately addressed, with only minor or occasional omissions.</w:t>
            </w:r>
          </w:p>
          <w:p w14:paraId="0977F3C6" w14:textId="3B608582" w:rsidR="00D5182F" w:rsidRPr="006D1B7A" w:rsidRDefault="00D5182F" w:rsidP="00E454D6">
            <w:pPr>
              <w:pStyle w:val="TSHeadingNumbered111"/>
              <w:numPr>
                <w:ilvl w:val="0"/>
                <w:numId w:val="9"/>
              </w:numPr>
              <w:spacing w:before="60" w:after="60" w:line="252" w:lineRule="auto"/>
              <w:rPr>
                <w:rFonts w:ascii="Arial" w:hAnsi="Arial" w:cs="Arial"/>
                <w:b w:val="0"/>
                <w:caps w:val="0"/>
                <w:sz w:val="24"/>
              </w:rPr>
            </w:pPr>
            <w:r w:rsidRPr="006D1B7A">
              <w:rPr>
                <w:rFonts w:ascii="Arial" w:hAnsi="Arial" w:cs="Arial"/>
                <w:caps w:val="0"/>
                <w:sz w:val="24"/>
              </w:rPr>
              <w:t>Poor</w:t>
            </w:r>
            <w:r w:rsidRPr="006D1B7A">
              <w:rPr>
                <w:rFonts w:ascii="Arial" w:hAnsi="Arial" w:cs="Arial"/>
                <w:b w:val="0"/>
                <w:bCs/>
                <w:caps w:val="0"/>
                <w:sz w:val="24"/>
              </w:rPr>
              <w:t xml:space="preserve"> – compliance levels are neither Good nor Reasonable (as defined in the previous bullets)</w:t>
            </w:r>
            <w:r w:rsidR="0027046F">
              <w:rPr>
                <w:rFonts w:ascii="Arial" w:hAnsi="Arial" w:cs="Arial"/>
                <w:b w:val="0"/>
                <w:bCs/>
                <w:caps w:val="0"/>
                <w:sz w:val="24"/>
              </w:rPr>
              <w:t>.</w:t>
            </w:r>
            <w:r w:rsidRPr="006D1B7A">
              <w:rPr>
                <w:rFonts w:ascii="Arial" w:hAnsi="Arial" w:cs="Arial"/>
                <w:b w:val="0"/>
                <w:bCs/>
                <w:caps w:val="0"/>
                <w:sz w:val="24"/>
              </w:rPr>
              <w:t xml:space="preserve"> </w:t>
            </w:r>
          </w:p>
        </w:tc>
      </w:tr>
    </w:tbl>
    <w:p w14:paraId="47DFA9A3" w14:textId="77777777" w:rsidR="00E454D6" w:rsidRDefault="00E454D6" w:rsidP="0016630A">
      <w:pPr>
        <w:pStyle w:val="Caption"/>
        <w:ind w:left="0"/>
        <w:jc w:val="left"/>
        <w:sectPr w:rsidR="00E454D6" w:rsidSect="001A677D">
          <w:type w:val="continuous"/>
          <w:pgSz w:w="11906" w:h="16838" w:code="9"/>
          <w:pgMar w:top="1440" w:right="1440" w:bottom="1440" w:left="1440" w:header="397" w:footer="397" w:gutter="0"/>
          <w:cols w:space="312"/>
          <w:docGrid w:linePitch="360"/>
        </w:sectPr>
      </w:pPr>
    </w:p>
    <w:p w14:paraId="70AA39D2" w14:textId="5101C8ED" w:rsidR="0016630A" w:rsidRDefault="0016630A" w:rsidP="0016630A">
      <w:pPr>
        <w:pStyle w:val="Caption"/>
        <w:ind w:left="0"/>
        <w:jc w:val="left"/>
      </w:pPr>
      <w:r>
        <w:lastRenderedPageBreak/>
        <w:t xml:space="preserve">Table </w:t>
      </w:r>
      <w:r>
        <w:fldChar w:fldCharType="begin"/>
      </w:r>
      <w:r>
        <w:instrText xml:space="preserve"> SEQ Table \* ARABIC </w:instrText>
      </w:r>
      <w:r>
        <w:fldChar w:fldCharType="separate"/>
      </w:r>
      <w:r>
        <w:rPr>
          <w:noProof/>
        </w:rPr>
        <w:t>5</w:t>
      </w:r>
      <w:r>
        <w:fldChar w:fldCharType="end"/>
      </w:r>
      <w:r>
        <w:t xml:space="preserve"> - </w:t>
      </w:r>
      <w:r w:rsidRPr="001849F9">
        <w:t>Strategic factors</w:t>
      </w:r>
    </w:p>
    <w:tbl>
      <w:tblPr>
        <w:tblStyle w:val="ONRTable1"/>
        <w:tblW w:w="5000" w:type="pct"/>
        <w:tblInd w:w="0" w:type="dxa"/>
        <w:tblLook w:val="04A0" w:firstRow="1" w:lastRow="0" w:firstColumn="1" w:lastColumn="0" w:noHBand="0" w:noVBand="1"/>
      </w:tblPr>
      <w:tblGrid>
        <w:gridCol w:w="2540"/>
        <w:gridCol w:w="6486"/>
      </w:tblGrid>
      <w:tr w:rsidR="0018549C" w:rsidRPr="006D1B7A" w14:paraId="7601E5D4" w14:textId="77777777" w:rsidTr="0016630A">
        <w:trPr>
          <w:cnfStyle w:val="100000000000" w:firstRow="1" w:lastRow="0" w:firstColumn="0" w:lastColumn="0" w:oddVBand="0" w:evenVBand="0" w:oddHBand="0" w:evenHBand="0" w:firstRowFirstColumn="0" w:firstRowLastColumn="0" w:lastRowFirstColumn="0" w:lastRowLastColumn="0"/>
          <w:cantSplit/>
          <w:tblHeader/>
        </w:trPr>
        <w:tc>
          <w:tcPr>
            <w:tcW w:w="1407" w:type="pct"/>
            <w:hideMark/>
          </w:tcPr>
          <w:p w14:paraId="6E526C9E" w14:textId="77777777" w:rsidR="0018549C" w:rsidRPr="006D1B7A" w:rsidRDefault="0018549C" w:rsidP="0018549C">
            <w:pPr>
              <w:pStyle w:val="TableText"/>
              <w:rPr>
                <w:b w:val="0"/>
                <w:bCs/>
              </w:rPr>
            </w:pPr>
            <w:r w:rsidRPr="006D1B7A">
              <w:rPr>
                <w:b w:val="0"/>
                <w:bCs/>
              </w:rPr>
              <w:t>Factor</w:t>
            </w:r>
          </w:p>
        </w:tc>
        <w:tc>
          <w:tcPr>
            <w:tcW w:w="3593" w:type="pct"/>
          </w:tcPr>
          <w:p w14:paraId="6B1DEC5F" w14:textId="77777777" w:rsidR="0018549C" w:rsidRPr="006D1B7A" w:rsidRDefault="0018549C" w:rsidP="0018549C">
            <w:pPr>
              <w:pStyle w:val="TableText"/>
              <w:rPr>
                <w:b w:val="0"/>
                <w:bCs/>
              </w:rPr>
            </w:pPr>
            <w:r w:rsidRPr="006D1B7A">
              <w:rPr>
                <w:b w:val="0"/>
                <w:bCs/>
              </w:rPr>
              <w:t>Descriptor</w:t>
            </w:r>
          </w:p>
        </w:tc>
      </w:tr>
      <w:tr w:rsidR="0018549C" w:rsidRPr="006D1B7A" w14:paraId="708565D6" w14:textId="77777777" w:rsidTr="0016630A">
        <w:trPr>
          <w:cantSplit/>
        </w:trPr>
        <w:tc>
          <w:tcPr>
            <w:tcW w:w="1407" w:type="pct"/>
          </w:tcPr>
          <w:p w14:paraId="41DAF6D1" w14:textId="77777777" w:rsidR="0018549C" w:rsidRPr="006D1B7A" w:rsidRDefault="0018549C" w:rsidP="0018549C">
            <w:pPr>
              <w:pStyle w:val="TableText"/>
            </w:pPr>
            <w:r w:rsidRPr="006D1B7A">
              <w:rPr>
                <w:lang w:eastAsia="en-GB"/>
              </w:rPr>
              <w:t>Does the action coincide with the Public Interest?</w:t>
            </w:r>
          </w:p>
        </w:tc>
        <w:tc>
          <w:tcPr>
            <w:tcW w:w="3593" w:type="pct"/>
          </w:tcPr>
          <w:p w14:paraId="0346343E" w14:textId="77777777" w:rsidR="001133FC" w:rsidRPr="006D1B7A" w:rsidRDefault="0018549C" w:rsidP="001133FC">
            <w:pPr>
              <w:pStyle w:val="TableText"/>
              <w:rPr>
                <w:lang w:eastAsia="en-GB"/>
              </w:rPr>
            </w:pPr>
            <w:r w:rsidRPr="006D1B7A">
              <w:rPr>
                <w:lang w:eastAsia="en-GB"/>
              </w:rPr>
              <w:t>Does the enforcement action result in a net benefit to the wider community in terms of targeting resources on security</w:t>
            </w:r>
            <w:r w:rsidR="009B7814" w:rsidRPr="006D1B7A">
              <w:rPr>
                <w:lang w:eastAsia="en-GB"/>
              </w:rPr>
              <w:t>/</w:t>
            </w:r>
            <w:r w:rsidRPr="006D1B7A">
              <w:rPr>
                <w:lang w:eastAsia="en-GB"/>
              </w:rPr>
              <w:t>safety risks and meeting the legitimate public expectations of ONR?</w:t>
            </w:r>
            <w:r w:rsidR="003110AD" w:rsidRPr="006D1B7A">
              <w:rPr>
                <w:lang w:eastAsia="en-GB"/>
              </w:rPr>
              <w:t xml:space="preserve"> </w:t>
            </w:r>
          </w:p>
          <w:p w14:paraId="083B930F" w14:textId="496984CF" w:rsidR="0018549C" w:rsidRPr="006D1B7A" w:rsidRDefault="001133FC" w:rsidP="001133FC">
            <w:pPr>
              <w:pStyle w:val="TableText"/>
            </w:pPr>
            <w:r w:rsidRPr="006D1B7A">
              <w:rPr>
                <w:lang w:eastAsia="en-GB"/>
              </w:rPr>
              <w:t>Public interest is a difficult issue to assess. Inspectors should ask themselves what a reasonable person would expect from ONR in the circumstances.</w:t>
            </w:r>
          </w:p>
        </w:tc>
      </w:tr>
      <w:tr w:rsidR="0018549C" w:rsidRPr="006D1B7A" w14:paraId="7DC8D556" w14:textId="77777777" w:rsidTr="0016630A">
        <w:trPr>
          <w:cantSplit/>
        </w:trPr>
        <w:tc>
          <w:tcPr>
            <w:tcW w:w="1407" w:type="pct"/>
          </w:tcPr>
          <w:p w14:paraId="48A0B635" w14:textId="77777777" w:rsidR="0018549C" w:rsidRPr="006D1B7A" w:rsidRDefault="0018549C" w:rsidP="0018549C">
            <w:pPr>
              <w:pStyle w:val="TableText"/>
              <w:rPr>
                <w:rFonts w:cs="Arial"/>
                <w:szCs w:val="24"/>
                <w:lang w:eastAsia="en-GB"/>
              </w:rPr>
            </w:pPr>
            <w:r w:rsidRPr="006D1B7A">
              <w:rPr>
                <w:szCs w:val="24"/>
                <w:lang w:eastAsia="en-GB"/>
              </w:rPr>
              <w:t>Are vulnerable groups protected?</w:t>
            </w:r>
          </w:p>
        </w:tc>
        <w:tc>
          <w:tcPr>
            <w:tcW w:w="3593" w:type="pct"/>
          </w:tcPr>
          <w:p w14:paraId="587AE5A5" w14:textId="538A0D1D" w:rsidR="0018549C" w:rsidRPr="006D1B7A" w:rsidRDefault="0018549C" w:rsidP="0018549C">
            <w:pPr>
              <w:pStyle w:val="TSHeadingNumbered111"/>
              <w:tabs>
                <w:tab w:val="clear" w:pos="-31680"/>
              </w:tabs>
              <w:spacing w:before="60" w:after="60"/>
              <w:ind w:left="0" w:firstLine="0"/>
              <w:rPr>
                <w:rFonts w:ascii="Arial" w:hAnsi="Arial" w:cs="Arial"/>
                <w:b w:val="0"/>
                <w:bCs/>
                <w:caps w:val="0"/>
                <w:sz w:val="24"/>
              </w:rPr>
            </w:pPr>
            <w:r w:rsidRPr="006D1B7A">
              <w:rPr>
                <w:rFonts w:ascii="Arial" w:hAnsi="Arial"/>
                <w:b w:val="0"/>
                <w:caps w:val="0"/>
                <w:sz w:val="24"/>
                <w:lang w:eastAsia="en-GB"/>
              </w:rPr>
              <w:t xml:space="preserve">Does the enforcement action result in suitable control of security/safety risks to vulnerable groups, </w:t>
            </w:r>
            <w:r w:rsidR="009B7814" w:rsidRPr="006D1B7A">
              <w:rPr>
                <w:rFonts w:ascii="Arial" w:hAnsi="Arial"/>
                <w:b w:val="0"/>
                <w:caps w:val="0"/>
                <w:sz w:val="24"/>
                <w:lang w:eastAsia="en-GB"/>
              </w:rPr>
              <w:t>for example,</w:t>
            </w:r>
            <w:r w:rsidRPr="006D1B7A">
              <w:rPr>
                <w:rFonts w:ascii="Arial" w:hAnsi="Arial"/>
                <w:b w:val="0"/>
                <w:caps w:val="0"/>
                <w:sz w:val="24"/>
                <w:lang w:eastAsia="en-GB"/>
              </w:rPr>
              <w:t xml:space="preserve"> children, the elderly and hospital patients?</w:t>
            </w:r>
          </w:p>
        </w:tc>
      </w:tr>
      <w:tr w:rsidR="0018549C" w:rsidRPr="006D1B7A" w14:paraId="0E917031" w14:textId="77777777" w:rsidTr="0016630A">
        <w:trPr>
          <w:cantSplit/>
        </w:trPr>
        <w:tc>
          <w:tcPr>
            <w:tcW w:w="1407" w:type="pct"/>
          </w:tcPr>
          <w:p w14:paraId="1CAD41C0" w14:textId="77777777" w:rsidR="0018549C" w:rsidRPr="006D1B7A" w:rsidRDefault="0018549C" w:rsidP="0018549C">
            <w:pPr>
              <w:pStyle w:val="TableText"/>
              <w:rPr>
                <w:rFonts w:cs="Arial"/>
                <w:szCs w:val="24"/>
                <w:lang w:eastAsia="en-GB"/>
              </w:rPr>
            </w:pPr>
            <w:r w:rsidRPr="006D1B7A">
              <w:rPr>
                <w:szCs w:val="24"/>
                <w:lang w:eastAsia="en-GB"/>
              </w:rPr>
              <w:t>What is the long-term impact of the action?</w:t>
            </w:r>
          </w:p>
        </w:tc>
        <w:tc>
          <w:tcPr>
            <w:tcW w:w="3593" w:type="pct"/>
          </w:tcPr>
          <w:p w14:paraId="3DC01FD1" w14:textId="77777777" w:rsidR="0018549C" w:rsidRPr="006D1B7A" w:rsidRDefault="0018549C" w:rsidP="0018549C">
            <w:pPr>
              <w:pStyle w:val="TSHeadingNumbered111"/>
              <w:tabs>
                <w:tab w:val="clear" w:pos="-31680"/>
              </w:tabs>
              <w:spacing w:before="60" w:after="60"/>
              <w:ind w:left="0" w:firstLine="0"/>
              <w:rPr>
                <w:rFonts w:ascii="Arial" w:hAnsi="Arial" w:cs="Arial"/>
                <w:b w:val="0"/>
                <w:bCs/>
                <w:caps w:val="0"/>
                <w:sz w:val="24"/>
              </w:rPr>
            </w:pPr>
            <w:r w:rsidRPr="006D1B7A">
              <w:rPr>
                <w:rFonts w:ascii="Arial" w:hAnsi="Arial"/>
                <w:b w:val="0"/>
                <w:caps w:val="0"/>
                <w:sz w:val="24"/>
                <w:lang w:eastAsia="en-GB"/>
              </w:rPr>
              <w:t xml:space="preserve">Is the enforcement action sufficient to achieve sustained compliance by the dutyholder? </w:t>
            </w:r>
          </w:p>
        </w:tc>
      </w:tr>
      <w:tr w:rsidR="0018549C" w:rsidRPr="006D1B7A" w14:paraId="142667D5" w14:textId="77777777" w:rsidTr="0016630A">
        <w:trPr>
          <w:cantSplit/>
        </w:trPr>
        <w:tc>
          <w:tcPr>
            <w:tcW w:w="1407" w:type="pct"/>
          </w:tcPr>
          <w:p w14:paraId="7C89C46A" w14:textId="37467ACD" w:rsidR="0018549C" w:rsidRPr="006D1B7A" w:rsidRDefault="0018549C" w:rsidP="0018549C">
            <w:pPr>
              <w:pStyle w:val="TableText"/>
              <w:rPr>
                <w:rFonts w:cs="Arial"/>
                <w:szCs w:val="24"/>
              </w:rPr>
            </w:pPr>
            <w:r w:rsidRPr="006D1B7A">
              <w:rPr>
                <w:szCs w:val="24"/>
                <w:lang w:eastAsia="en-GB"/>
              </w:rPr>
              <w:t xml:space="preserve">What is the effect of </w:t>
            </w:r>
            <w:r w:rsidR="00425766" w:rsidRPr="006D1B7A">
              <w:rPr>
                <w:szCs w:val="24"/>
                <w:lang w:eastAsia="en-GB"/>
              </w:rPr>
              <w:t xml:space="preserve">the enforcement </w:t>
            </w:r>
            <w:r w:rsidRPr="006D1B7A">
              <w:rPr>
                <w:szCs w:val="24"/>
                <w:lang w:eastAsia="en-GB"/>
              </w:rPr>
              <w:t>action?</w:t>
            </w:r>
          </w:p>
        </w:tc>
        <w:tc>
          <w:tcPr>
            <w:tcW w:w="3593" w:type="pct"/>
          </w:tcPr>
          <w:p w14:paraId="4C4114B0" w14:textId="2E01483E" w:rsidR="0018549C" w:rsidRPr="006D1B7A" w:rsidRDefault="0018549C" w:rsidP="0018549C">
            <w:pPr>
              <w:pStyle w:val="TSHeadingNumbered111"/>
              <w:tabs>
                <w:tab w:val="clear" w:pos="-31680"/>
              </w:tabs>
              <w:spacing w:before="60" w:after="60"/>
              <w:ind w:left="0" w:firstLine="0"/>
              <w:rPr>
                <w:rFonts w:ascii="Arial" w:hAnsi="Arial"/>
                <w:b w:val="0"/>
                <w:caps w:val="0"/>
                <w:sz w:val="24"/>
                <w:lang w:eastAsia="en-GB"/>
              </w:rPr>
            </w:pPr>
            <w:r w:rsidRPr="006D1B7A">
              <w:rPr>
                <w:rFonts w:ascii="Arial" w:hAnsi="Arial"/>
                <w:b w:val="0"/>
                <w:caps w:val="0"/>
                <w:sz w:val="24"/>
                <w:lang w:eastAsia="en-GB"/>
              </w:rPr>
              <w:t xml:space="preserve">Does the action secure compliance with the relevant benchmark, </w:t>
            </w:r>
            <w:r w:rsidR="009B7814" w:rsidRPr="006D1B7A">
              <w:rPr>
                <w:rFonts w:ascii="Arial" w:hAnsi="Arial"/>
                <w:b w:val="0"/>
                <w:caps w:val="0"/>
                <w:sz w:val="24"/>
                <w:lang w:eastAsia="en-GB"/>
              </w:rPr>
              <w:t>for example,</w:t>
            </w:r>
            <w:r w:rsidRPr="006D1B7A">
              <w:rPr>
                <w:rFonts w:ascii="Arial" w:hAnsi="Arial"/>
                <w:b w:val="0"/>
                <w:caps w:val="0"/>
                <w:sz w:val="24"/>
                <w:lang w:eastAsia="en-GB"/>
              </w:rPr>
              <w:t xml:space="preserve"> regulations, LCs or security plan? </w:t>
            </w:r>
          </w:p>
          <w:p w14:paraId="77C37947" w14:textId="20919BAB" w:rsidR="0018549C" w:rsidRPr="006D1B7A" w:rsidRDefault="0018549C" w:rsidP="0018549C">
            <w:pPr>
              <w:pStyle w:val="TSHeadingNumbered111"/>
              <w:tabs>
                <w:tab w:val="clear" w:pos="-31680"/>
              </w:tabs>
              <w:spacing w:before="60" w:after="60"/>
              <w:ind w:left="0" w:firstLine="0"/>
              <w:rPr>
                <w:rFonts w:ascii="Arial" w:hAnsi="Arial"/>
                <w:b w:val="0"/>
                <w:caps w:val="0"/>
                <w:sz w:val="24"/>
                <w:lang w:eastAsia="en-GB"/>
              </w:rPr>
            </w:pPr>
            <w:r w:rsidRPr="006D1B7A">
              <w:rPr>
                <w:rFonts w:ascii="Arial" w:hAnsi="Arial"/>
                <w:b w:val="0"/>
                <w:caps w:val="0"/>
                <w:sz w:val="24"/>
                <w:lang w:eastAsia="en-GB"/>
              </w:rPr>
              <w:t xml:space="preserve">Does the action result in a material misalignment of enforcement decision to other regulatory bodies in similar circumstances even when taking into account differences in how ONR regulates? For example, HSE CH&amp;S, COMAH and non-nuclear transport enforcement decisions? </w:t>
            </w:r>
          </w:p>
          <w:p w14:paraId="211094BA" w14:textId="77777777" w:rsidR="0018549C" w:rsidRPr="006D1B7A" w:rsidRDefault="0018549C" w:rsidP="0018549C">
            <w:pPr>
              <w:pStyle w:val="TSHeadingNumbered111"/>
              <w:tabs>
                <w:tab w:val="clear" w:pos="-31680"/>
              </w:tabs>
              <w:spacing w:before="60" w:after="60"/>
              <w:ind w:left="0" w:firstLine="0"/>
              <w:rPr>
                <w:rFonts w:ascii="Arial" w:hAnsi="Arial" w:cs="Arial"/>
                <w:b w:val="0"/>
                <w:bCs/>
                <w:caps w:val="0"/>
                <w:sz w:val="24"/>
              </w:rPr>
            </w:pPr>
            <w:r w:rsidRPr="006D1B7A">
              <w:rPr>
                <w:rFonts w:ascii="Arial" w:hAnsi="Arial"/>
                <w:b w:val="0"/>
                <w:caps w:val="0"/>
                <w:sz w:val="24"/>
                <w:lang w:eastAsia="en-GB"/>
              </w:rPr>
              <w:t xml:space="preserve">Does the action impact/affect other ONR purposes and have these been assessed? </w:t>
            </w:r>
          </w:p>
        </w:tc>
      </w:tr>
      <w:tr w:rsidR="0018549C" w:rsidRPr="006D1B7A" w14:paraId="75A9542A" w14:textId="77777777" w:rsidTr="0016630A">
        <w:trPr>
          <w:cantSplit/>
        </w:trPr>
        <w:tc>
          <w:tcPr>
            <w:tcW w:w="1407" w:type="pct"/>
          </w:tcPr>
          <w:p w14:paraId="206A1C11" w14:textId="2AFD2C68" w:rsidR="0018549C" w:rsidRPr="006D1B7A" w:rsidRDefault="0018549C" w:rsidP="0018549C">
            <w:pPr>
              <w:pStyle w:val="TableText"/>
              <w:rPr>
                <w:rFonts w:cs="Arial"/>
                <w:szCs w:val="24"/>
              </w:rPr>
            </w:pPr>
            <w:r w:rsidRPr="006D1B7A">
              <w:rPr>
                <w:szCs w:val="24"/>
                <w:lang w:eastAsia="en-GB"/>
              </w:rPr>
              <w:t xml:space="preserve">What is the functional impact of the </w:t>
            </w:r>
            <w:r w:rsidR="002970DC" w:rsidRPr="006D1B7A">
              <w:rPr>
                <w:szCs w:val="24"/>
                <w:lang w:eastAsia="en-GB"/>
              </w:rPr>
              <w:t xml:space="preserve">enforcement </w:t>
            </w:r>
            <w:r w:rsidRPr="006D1B7A">
              <w:rPr>
                <w:szCs w:val="24"/>
                <w:lang w:eastAsia="en-GB"/>
              </w:rPr>
              <w:t>action?</w:t>
            </w:r>
          </w:p>
        </w:tc>
        <w:tc>
          <w:tcPr>
            <w:tcW w:w="3593" w:type="pct"/>
          </w:tcPr>
          <w:p w14:paraId="21C368CE" w14:textId="2FC7202F" w:rsidR="0018549C" w:rsidRPr="006D1B7A" w:rsidRDefault="0018549C" w:rsidP="0018549C">
            <w:pPr>
              <w:pStyle w:val="TSHeadingNumbered111"/>
              <w:tabs>
                <w:tab w:val="clear" w:pos="-31680"/>
              </w:tabs>
              <w:spacing w:before="60" w:after="60"/>
              <w:ind w:left="0" w:firstLine="0"/>
              <w:rPr>
                <w:rFonts w:ascii="Arial" w:hAnsi="Arial"/>
                <w:b w:val="0"/>
                <w:caps w:val="0"/>
                <w:sz w:val="24"/>
                <w:lang w:eastAsia="en-GB"/>
              </w:rPr>
            </w:pPr>
            <w:r w:rsidRPr="006D1B7A">
              <w:rPr>
                <w:rFonts w:ascii="Arial" w:hAnsi="Arial"/>
                <w:b w:val="0"/>
                <w:caps w:val="0"/>
                <w:sz w:val="24"/>
                <w:lang w:eastAsia="en-GB"/>
              </w:rPr>
              <w:t xml:space="preserve">There </w:t>
            </w:r>
            <w:r w:rsidR="002970DC" w:rsidRPr="006D1B7A">
              <w:rPr>
                <w:rFonts w:ascii="Arial" w:hAnsi="Arial"/>
                <w:b w:val="0"/>
                <w:caps w:val="0"/>
                <w:sz w:val="24"/>
                <w:lang w:eastAsia="en-GB"/>
              </w:rPr>
              <w:t>may be</w:t>
            </w:r>
            <w:r w:rsidRPr="006D1B7A">
              <w:rPr>
                <w:rFonts w:ascii="Arial" w:hAnsi="Arial"/>
                <w:b w:val="0"/>
                <w:caps w:val="0"/>
                <w:sz w:val="24"/>
                <w:lang w:eastAsia="en-GB"/>
              </w:rPr>
              <w:t>;</w:t>
            </w:r>
          </w:p>
          <w:p w14:paraId="60987C41" w14:textId="77777777" w:rsidR="0018549C" w:rsidRPr="006D1B7A" w:rsidRDefault="0018549C" w:rsidP="0071501A">
            <w:pPr>
              <w:pStyle w:val="TSHeadingNumbered111"/>
              <w:numPr>
                <w:ilvl w:val="0"/>
                <w:numId w:val="12"/>
              </w:numPr>
              <w:spacing w:before="60" w:after="60"/>
              <w:rPr>
                <w:rFonts w:ascii="Arial" w:hAnsi="Arial"/>
                <w:b w:val="0"/>
                <w:caps w:val="0"/>
                <w:sz w:val="24"/>
                <w:lang w:eastAsia="en-GB"/>
              </w:rPr>
            </w:pPr>
            <w:r w:rsidRPr="006D1B7A">
              <w:rPr>
                <w:rFonts w:ascii="Arial" w:hAnsi="Arial"/>
                <w:b w:val="0"/>
                <w:caps w:val="0"/>
                <w:sz w:val="24"/>
                <w:lang w:eastAsia="en-GB"/>
              </w:rPr>
              <w:t>an acceptable net benefit to those who might be affected, or</w:t>
            </w:r>
          </w:p>
          <w:p w14:paraId="54E3A626" w14:textId="77777777" w:rsidR="0018549C" w:rsidRPr="006D1B7A" w:rsidRDefault="0018549C" w:rsidP="0071501A">
            <w:pPr>
              <w:pStyle w:val="TSHeadingNumbered111"/>
              <w:numPr>
                <w:ilvl w:val="0"/>
                <w:numId w:val="12"/>
              </w:numPr>
              <w:spacing w:before="60" w:after="60"/>
              <w:rPr>
                <w:rFonts w:ascii="Arial" w:hAnsi="Arial"/>
                <w:b w:val="0"/>
                <w:caps w:val="0"/>
                <w:sz w:val="24"/>
                <w:lang w:eastAsia="en-GB"/>
              </w:rPr>
            </w:pPr>
            <w:r w:rsidRPr="006D1B7A">
              <w:rPr>
                <w:rFonts w:ascii="Arial" w:hAnsi="Arial"/>
                <w:b w:val="0"/>
                <w:caps w:val="0"/>
                <w:sz w:val="24"/>
                <w:lang w:eastAsia="en-GB"/>
              </w:rPr>
              <w:t>an unacceptable disadvantage to those who may be affected. For example.</w:t>
            </w:r>
          </w:p>
          <w:p w14:paraId="06B4A9B6" w14:textId="77777777" w:rsidR="009B7814" w:rsidRPr="006D1B7A" w:rsidRDefault="0018549C" w:rsidP="0071501A">
            <w:pPr>
              <w:pStyle w:val="TSHeadingNumbered111"/>
              <w:numPr>
                <w:ilvl w:val="1"/>
                <w:numId w:val="12"/>
              </w:numPr>
              <w:spacing w:before="60" w:after="60"/>
              <w:rPr>
                <w:rFonts w:ascii="Arial" w:hAnsi="Arial" w:cs="Arial"/>
                <w:b w:val="0"/>
                <w:bCs/>
                <w:caps w:val="0"/>
                <w:sz w:val="24"/>
              </w:rPr>
            </w:pPr>
            <w:r w:rsidRPr="006D1B7A">
              <w:rPr>
                <w:rFonts w:ascii="Arial" w:hAnsi="Arial"/>
                <w:b w:val="0"/>
                <w:caps w:val="0"/>
                <w:sz w:val="24"/>
                <w:lang w:eastAsia="en-GB"/>
              </w:rPr>
              <w:t xml:space="preserve">circumstances </w:t>
            </w:r>
            <w:r w:rsidRPr="006D1B7A">
              <w:rPr>
                <w:rFonts w:ascii="Arial" w:hAnsi="Arial" w:cs="Arial"/>
                <w:b w:val="0"/>
                <w:bCs/>
                <w:caps w:val="0"/>
                <w:sz w:val="24"/>
              </w:rPr>
              <w:t>where rigid application of security standards may unacceptably compromise safety and vice versa.</w:t>
            </w:r>
          </w:p>
          <w:p w14:paraId="45AF6B04" w14:textId="41B596E3" w:rsidR="0018549C" w:rsidRPr="006D1B7A" w:rsidRDefault="0018549C" w:rsidP="0071501A">
            <w:pPr>
              <w:pStyle w:val="TSHeadingNumbered111"/>
              <w:numPr>
                <w:ilvl w:val="1"/>
                <w:numId w:val="12"/>
              </w:numPr>
              <w:spacing w:before="60" w:after="60"/>
              <w:rPr>
                <w:rFonts w:ascii="Arial" w:hAnsi="Arial" w:cs="Arial"/>
                <w:b w:val="0"/>
                <w:bCs/>
                <w:caps w:val="0"/>
                <w:sz w:val="24"/>
              </w:rPr>
            </w:pPr>
            <w:r w:rsidRPr="006D1B7A">
              <w:rPr>
                <w:rFonts w:ascii="Arial" w:hAnsi="Arial" w:cs="Arial"/>
                <w:b w:val="0"/>
                <w:bCs/>
                <w:caps w:val="0"/>
                <w:sz w:val="24"/>
              </w:rPr>
              <w:t xml:space="preserve">circumstances where rigid application of nuclear standards may unacceptably compromise </w:t>
            </w:r>
            <w:r w:rsidR="00F135AC">
              <w:rPr>
                <w:rFonts w:ascii="Arial" w:hAnsi="Arial" w:cs="Arial"/>
                <w:b w:val="0"/>
                <w:bCs/>
                <w:caps w:val="0"/>
                <w:sz w:val="24"/>
              </w:rPr>
              <w:t xml:space="preserve">NS </w:t>
            </w:r>
            <w:r w:rsidRPr="006D1B7A">
              <w:rPr>
                <w:rFonts w:ascii="Arial" w:hAnsi="Arial" w:cs="Arial"/>
                <w:b w:val="0"/>
                <w:bCs/>
                <w:caps w:val="0"/>
                <w:sz w:val="24"/>
              </w:rPr>
              <w:t>HS, and vice versa.</w:t>
            </w:r>
          </w:p>
        </w:tc>
      </w:tr>
      <w:tr w:rsidR="0018549C" w:rsidRPr="006D1B7A" w14:paraId="150E2415" w14:textId="77777777" w:rsidTr="0016630A">
        <w:trPr>
          <w:cantSplit/>
        </w:trPr>
        <w:tc>
          <w:tcPr>
            <w:tcW w:w="1407" w:type="pct"/>
          </w:tcPr>
          <w:p w14:paraId="7C0EB5AE" w14:textId="77777777" w:rsidR="0018549C" w:rsidRPr="006D1B7A" w:rsidRDefault="0018549C" w:rsidP="0018549C">
            <w:pPr>
              <w:pStyle w:val="TableText"/>
              <w:rPr>
                <w:rFonts w:cs="Arial"/>
                <w:lang w:eastAsia="en-GB"/>
              </w:rPr>
            </w:pPr>
            <w:r w:rsidRPr="006D1B7A">
              <w:rPr>
                <w:lang w:eastAsia="en-GB"/>
              </w:rPr>
              <w:t>Does the action align with ONR’s formal regulatory strategy?</w:t>
            </w:r>
          </w:p>
        </w:tc>
        <w:tc>
          <w:tcPr>
            <w:tcW w:w="3593" w:type="pct"/>
          </w:tcPr>
          <w:p w14:paraId="5B5CE01A" w14:textId="12FC7C98" w:rsidR="0018549C" w:rsidRPr="006D1B7A" w:rsidRDefault="0018549C" w:rsidP="0018549C">
            <w:pPr>
              <w:pStyle w:val="TSHeadingNumbered111"/>
              <w:tabs>
                <w:tab w:val="clear" w:pos="-31680"/>
              </w:tabs>
              <w:spacing w:before="60" w:after="60"/>
              <w:ind w:left="0" w:firstLine="0"/>
              <w:rPr>
                <w:rFonts w:ascii="Arial" w:hAnsi="Arial" w:cs="Arial"/>
                <w:b w:val="0"/>
                <w:caps w:val="0"/>
                <w:sz w:val="24"/>
              </w:rPr>
            </w:pPr>
            <w:r w:rsidRPr="006D1B7A">
              <w:rPr>
                <w:rFonts w:ascii="Arial" w:hAnsi="Arial"/>
                <w:b w:val="0"/>
                <w:caps w:val="0"/>
                <w:sz w:val="24"/>
                <w:lang w:eastAsia="en-GB"/>
              </w:rPr>
              <w:t xml:space="preserve">ONR may have targeted formal strategies for specific dutyholders (for example, those in enhanced regulatory attention) or sectors (for </w:t>
            </w:r>
            <w:r w:rsidR="00EF6CA9" w:rsidRPr="006D1B7A">
              <w:rPr>
                <w:rFonts w:ascii="Arial" w:hAnsi="Arial"/>
                <w:b w:val="0"/>
                <w:caps w:val="0"/>
                <w:sz w:val="24"/>
                <w:lang w:eastAsia="en-GB"/>
              </w:rPr>
              <w:t>example, non</w:t>
            </w:r>
            <w:r w:rsidRPr="006D1B7A">
              <w:rPr>
                <w:rFonts w:ascii="Arial" w:hAnsi="Arial"/>
                <w:b w:val="0"/>
                <w:caps w:val="0"/>
                <w:sz w:val="24"/>
                <w:lang w:eastAsia="en-GB"/>
              </w:rPr>
              <w:t xml:space="preserve">-nuclear transport) in relation to achieving safety and security improvements.  </w:t>
            </w:r>
          </w:p>
        </w:tc>
      </w:tr>
      <w:tr w:rsidR="0018549C" w:rsidRPr="006D1B7A" w14:paraId="5F6D11BF" w14:textId="77777777" w:rsidTr="0016630A">
        <w:trPr>
          <w:cantSplit/>
        </w:trPr>
        <w:tc>
          <w:tcPr>
            <w:tcW w:w="1407" w:type="pct"/>
          </w:tcPr>
          <w:p w14:paraId="5A8AFCEA" w14:textId="77777777" w:rsidR="0018549C" w:rsidRPr="006D1B7A" w:rsidRDefault="0018549C" w:rsidP="0018549C">
            <w:pPr>
              <w:pStyle w:val="TableText"/>
              <w:rPr>
                <w:szCs w:val="24"/>
                <w:lang w:eastAsia="en-GB"/>
              </w:rPr>
            </w:pPr>
            <w:r w:rsidRPr="006D1B7A">
              <w:rPr>
                <w:szCs w:val="24"/>
                <w:lang w:eastAsia="en-GB"/>
              </w:rPr>
              <w:lastRenderedPageBreak/>
              <w:t>Have the principles and expectations of the ONR Enforcement Policy Statement been met?</w:t>
            </w:r>
          </w:p>
        </w:tc>
        <w:tc>
          <w:tcPr>
            <w:tcW w:w="3593" w:type="pct"/>
          </w:tcPr>
          <w:p w14:paraId="21157B32" w14:textId="77777777" w:rsidR="0018549C" w:rsidRPr="006D1B7A" w:rsidRDefault="0018549C" w:rsidP="0018549C">
            <w:pPr>
              <w:pStyle w:val="Default"/>
              <w:spacing w:before="60" w:after="60"/>
            </w:pPr>
            <w:r w:rsidRPr="006D1B7A">
              <w:t xml:space="preserve">The purpose of enforcement is to: </w:t>
            </w:r>
          </w:p>
          <w:p w14:paraId="5023ED01" w14:textId="5B1FCC1C" w:rsidR="0018549C" w:rsidRPr="006D1B7A" w:rsidRDefault="0018549C" w:rsidP="0071501A">
            <w:pPr>
              <w:pStyle w:val="Default"/>
              <w:numPr>
                <w:ilvl w:val="0"/>
                <w:numId w:val="14"/>
              </w:numPr>
              <w:spacing w:before="60" w:after="60"/>
            </w:pPr>
            <w:r w:rsidRPr="006D1B7A">
              <w:t xml:space="preserve">Ensure that dutyholders take action to deal immediately with serious risks. </w:t>
            </w:r>
          </w:p>
          <w:p w14:paraId="0D480FEA" w14:textId="77777777" w:rsidR="0018549C" w:rsidRPr="006D1B7A" w:rsidRDefault="0018549C" w:rsidP="0071501A">
            <w:pPr>
              <w:pStyle w:val="Default"/>
              <w:numPr>
                <w:ilvl w:val="0"/>
                <w:numId w:val="14"/>
              </w:numPr>
              <w:spacing w:before="60" w:after="60"/>
            </w:pPr>
            <w:r w:rsidRPr="006D1B7A">
              <w:t xml:space="preserve">Promote, achieve and sustain compliance with the law. </w:t>
            </w:r>
          </w:p>
          <w:p w14:paraId="2097419A" w14:textId="6DE63D83" w:rsidR="0018549C" w:rsidRPr="006D1B7A" w:rsidRDefault="0018549C" w:rsidP="0071501A">
            <w:pPr>
              <w:pStyle w:val="Default"/>
              <w:numPr>
                <w:ilvl w:val="0"/>
                <w:numId w:val="14"/>
              </w:numPr>
              <w:spacing w:before="60" w:after="60"/>
            </w:pPr>
            <w:r w:rsidRPr="006D1B7A">
              <w:t xml:space="preserve">Ensure that dutyholders who breach regulatory requirements, and directors or managers who fail in their responsibilities, may be held to account, which may include bringing alleged offenders before the courts in England and Wales, or recommending prosecution in Scotland. </w:t>
            </w:r>
          </w:p>
          <w:p w14:paraId="092B807A" w14:textId="29B3DDFD" w:rsidR="0018549C" w:rsidRPr="006D1B7A" w:rsidRDefault="0018549C" w:rsidP="0018549C">
            <w:pPr>
              <w:pStyle w:val="TSHeadingNumbered111"/>
              <w:tabs>
                <w:tab w:val="clear" w:pos="-31680"/>
              </w:tabs>
              <w:spacing w:before="60" w:after="60"/>
              <w:ind w:left="0" w:firstLine="0"/>
              <w:rPr>
                <w:rFonts w:ascii="Arial" w:hAnsi="Arial"/>
                <w:b w:val="0"/>
                <w:caps w:val="0"/>
                <w:sz w:val="24"/>
                <w:lang w:eastAsia="en-GB"/>
              </w:rPr>
            </w:pPr>
            <w:r w:rsidRPr="006D1B7A">
              <w:rPr>
                <w:rFonts w:ascii="Arial" w:hAnsi="Arial"/>
                <w:b w:val="0"/>
                <w:caps w:val="0"/>
                <w:sz w:val="24"/>
                <w:lang w:eastAsia="en-GB"/>
              </w:rPr>
              <w:t xml:space="preserve">The </w:t>
            </w:r>
            <w:r w:rsidR="00FD2A55" w:rsidRPr="006D1B7A">
              <w:rPr>
                <w:rFonts w:ascii="Arial" w:hAnsi="Arial"/>
                <w:b w:val="0"/>
                <w:caps w:val="0"/>
                <w:sz w:val="24"/>
                <w:lang w:eastAsia="en-GB"/>
              </w:rPr>
              <w:t>p</w:t>
            </w:r>
            <w:r w:rsidRPr="006D1B7A">
              <w:rPr>
                <w:rFonts w:ascii="Arial" w:hAnsi="Arial"/>
                <w:b w:val="0"/>
                <w:caps w:val="0"/>
                <w:sz w:val="24"/>
                <w:lang w:eastAsia="en-GB"/>
              </w:rPr>
              <w:t xml:space="preserve">rinciples of </w:t>
            </w:r>
            <w:r w:rsidR="00FD2A55" w:rsidRPr="006D1B7A">
              <w:rPr>
                <w:rFonts w:ascii="Arial" w:hAnsi="Arial"/>
                <w:b w:val="0"/>
                <w:caps w:val="0"/>
                <w:sz w:val="24"/>
                <w:lang w:eastAsia="en-GB"/>
              </w:rPr>
              <w:t>e</w:t>
            </w:r>
            <w:r w:rsidRPr="006D1B7A">
              <w:rPr>
                <w:rFonts w:ascii="Arial" w:hAnsi="Arial"/>
                <w:b w:val="0"/>
                <w:caps w:val="0"/>
                <w:sz w:val="24"/>
                <w:lang w:eastAsia="en-GB"/>
              </w:rPr>
              <w:t>nforcement are proportionality, accountability, consistency, targeted and transparent.</w:t>
            </w:r>
          </w:p>
          <w:p w14:paraId="64EC7C65" w14:textId="40935CE8" w:rsidR="0018549C" w:rsidRPr="006D1B7A" w:rsidRDefault="009B7814" w:rsidP="0018549C">
            <w:pPr>
              <w:pStyle w:val="TableText"/>
              <w:rPr>
                <w:b/>
                <w:caps/>
                <w:szCs w:val="24"/>
                <w:lang w:eastAsia="en-GB"/>
              </w:rPr>
            </w:pPr>
            <w:hyperlink w:anchor="_Appendix_A_–" w:history="1">
              <w:r w:rsidRPr="006D1B7A">
                <w:rPr>
                  <w:rStyle w:val="Hyperlink"/>
                  <w:szCs w:val="24"/>
                </w:rPr>
                <w:t>Appendix A</w:t>
              </w:r>
            </w:hyperlink>
            <w:r w:rsidR="0018549C" w:rsidRPr="006D1B7A">
              <w:rPr>
                <w:szCs w:val="24"/>
              </w:rPr>
              <w:t xml:space="preserve"> identif</w:t>
            </w:r>
            <w:r w:rsidRPr="006D1B7A">
              <w:rPr>
                <w:szCs w:val="24"/>
              </w:rPr>
              <w:t>ies</w:t>
            </w:r>
            <w:r w:rsidR="0018549C" w:rsidRPr="006D1B7A">
              <w:rPr>
                <w:szCs w:val="24"/>
              </w:rPr>
              <w:t xml:space="preserve"> the circumstances where ONR </w:t>
            </w:r>
            <w:r w:rsidR="0018549C" w:rsidRPr="006D1B7A">
              <w:rPr>
                <w:b/>
                <w:bCs/>
                <w:iCs/>
                <w:szCs w:val="24"/>
              </w:rPr>
              <w:t>expects</w:t>
            </w:r>
            <w:r w:rsidR="0018549C" w:rsidRPr="006D1B7A">
              <w:rPr>
                <w:szCs w:val="24"/>
              </w:rPr>
              <w:t xml:space="preserve"> that it will normally prosecute, or recommend prosecution, following an investigation or other regulatory </w:t>
            </w:r>
            <w:r w:rsidR="00F7644B" w:rsidRPr="006D1B7A">
              <w:rPr>
                <w:szCs w:val="24"/>
              </w:rPr>
              <w:t>activity</w:t>
            </w:r>
            <w:r w:rsidR="0018549C" w:rsidRPr="006D1B7A">
              <w:rPr>
                <w:szCs w:val="24"/>
              </w:rPr>
              <w:t xml:space="preserve">. </w:t>
            </w:r>
          </w:p>
        </w:tc>
      </w:tr>
      <w:bookmarkEnd w:id="46"/>
    </w:tbl>
    <w:p w14:paraId="14F46C35" w14:textId="77777777" w:rsidR="00B70718" w:rsidRDefault="00B70718" w:rsidP="000177E0">
      <w:pPr>
        <w:pStyle w:val="Paragraph"/>
        <w:numPr>
          <w:ilvl w:val="0"/>
          <w:numId w:val="0"/>
        </w:numPr>
        <w:rPr>
          <w:highlight w:val="green"/>
        </w:rPr>
      </w:pPr>
    </w:p>
    <w:p w14:paraId="01B5C8CB" w14:textId="77777777" w:rsidR="00B6513B" w:rsidRDefault="00B6513B" w:rsidP="00B6513B">
      <w:pPr>
        <w:rPr>
          <w:highlight w:val="green"/>
        </w:rPr>
      </w:pPr>
    </w:p>
    <w:p w14:paraId="172C9477" w14:textId="77777777" w:rsidR="00F06DDD" w:rsidRDefault="00F06DDD" w:rsidP="00B6513B">
      <w:pPr>
        <w:rPr>
          <w:highlight w:val="green"/>
        </w:rPr>
        <w:sectPr w:rsidR="00F06DDD" w:rsidSect="00E454D6">
          <w:pgSz w:w="11906" w:h="16838" w:code="9"/>
          <w:pgMar w:top="1440" w:right="1440" w:bottom="1440" w:left="1440" w:header="397" w:footer="397" w:gutter="0"/>
          <w:cols w:space="312"/>
          <w:docGrid w:linePitch="360"/>
        </w:sectPr>
      </w:pPr>
    </w:p>
    <w:p w14:paraId="70E33CDF" w14:textId="5A9B8BAE" w:rsidR="00F06DDD" w:rsidRPr="00F06DDD" w:rsidRDefault="00F06DDD" w:rsidP="002B5193">
      <w:pPr>
        <w:pStyle w:val="Heading1"/>
        <w:numPr>
          <w:ilvl w:val="0"/>
          <w:numId w:val="0"/>
        </w:numPr>
        <w:rPr>
          <w:lang w:bidi="ar-SA"/>
        </w:rPr>
      </w:pPr>
      <w:bookmarkStart w:id="47" w:name="_Ref212210396"/>
      <w:bookmarkStart w:id="48" w:name="_Toc213836324"/>
      <w:r w:rsidRPr="00F06DDD">
        <w:rPr>
          <w:lang w:bidi="ar-SA"/>
        </w:rPr>
        <w:lastRenderedPageBreak/>
        <w:t>A</w:t>
      </w:r>
      <w:r w:rsidR="00D509FC">
        <w:rPr>
          <w:lang w:bidi="ar-SA"/>
        </w:rPr>
        <w:t>ppendix</w:t>
      </w:r>
      <w:r w:rsidRPr="00F06DDD">
        <w:rPr>
          <w:lang w:bidi="ar-SA"/>
        </w:rPr>
        <w:t xml:space="preserve"> </w:t>
      </w:r>
      <w:r w:rsidR="00AF75CD">
        <w:rPr>
          <w:lang w:bidi="ar-SA"/>
        </w:rPr>
        <w:t>D</w:t>
      </w:r>
      <w:r w:rsidRPr="00F06DDD">
        <w:rPr>
          <w:lang w:bidi="ar-SA"/>
        </w:rPr>
        <w:t xml:space="preserve"> </w:t>
      </w:r>
      <w:r w:rsidR="00E71AD2">
        <w:rPr>
          <w:lang w:bidi="ar-SA"/>
        </w:rPr>
        <w:t xml:space="preserve">- </w:t>
      </w:r>
      <w:r w:rsidRPr="00F06DDD">
        <w:rPr>
          <w:lang w:bidi="ar-SA"/>
        </w:rPr>
        <w:t xml:space="preserve">Examples of </w:t>
      </w:r>
      <w:r w:rsidR="002B5193">
        <w:rPr>
          <w:lang w:bidi="ar-SA"/>
        </w:rPr>
        <w:t xml:space="preserve">compliance and </w:t>
      </w:r>
      <w:r w:rsidRPr="00F06DDD">
        <w:rPr>
          <w:lang w:bidi="ar-SA"/>
        </w:rPr>
        <w:t xml:space="preserve">administrative </w:t>
      </w:r>
      <w:r w:rsidR="002B5193">
        <w:rPr>
          <w:lang w:bidi="ar-SA"/>
        </w:rPr>
        <w:t>issues</w:t>
      </w:r>
      <w:bookmarkEnd w:id="47"/>
      <w:bookmarkEnd w:id="48"/>
    </w:p>
    <w:p w14:paraId="5CF1CFC3" w14:textId="0F995E3B" w:rsidR="0016630A" w:rsidRDefault="0016630A" w:rsidP="0016630A">
      <w:pPr>
        <w:pStyle w:val="Caption"/>
        <w:ind w:left="0"/>
        <w:jc w:val="left"/>
      </w:pPr>
      <w:r>
        <w:t xml:space="preserve">Table </w:t>
      </w:r>
      <w:r>
        <w:fldChar w:fldCharType="begin"/>
      </w:r>
      <w:r>
        <w:instrText xml:space="preserve"> SEQ Table \* ARABIC </w:instrText>
      </w:r>
      <w:r>
        <w:fldChar w:fldCharType="separate"/>
      </w:r>
      <w:r>
        <w:rPr>
          <w:noProof/>
        </w:rPr>
        <w:t>6</w:t>
      </w:r>
      <w:r>
        <w:fldChar w:fldCharType="end"/>
      </w:r>
      <w:r>
        <w:t xml:space="preserve"> - </w:t>
      </w:r>
      <w:r w:rsidRPr="00FC65E8">
        <w:t>Examples of compliance and administrative issues</w:t>
      </w:r>
    </w:p>
    <w:tbl>
      <w:tblPr>
        <w:tblStyle w:val="TableGrid4"/>
        <w:tblW w:w="5000" w:type="pct"/>
        <w:tblLook w:val="04A0" w:firstRow="1" w:lastRow="0" w:firstColumn="1" w:lastColumn="0" w:noHBand="0" w:noVBand="1"/>
      </w:tblPr>
      <w:tblGrid>
        <w:gridCol w:w="1306"/>
        <w:gridCol w:w="1550"/>
        <w:gridCol w:w="3469"/>
        <w:gridCol w:w="4005"/>
        <w:gridCol w:w="3598"/>
      </w:tblGrid>
      <w:tr w:rsidR="00F06DDD" w:rsidRPr="00DF3CF8" w14:paraId="27069219" w14:textId="77777777" w:rsidTr="0016630A">
        <w:trPr>
          <w:trHeight w:val="567"/>
          <w:tblHeader/>
        </w:trPr>
        <w:tc>
          <w:tcPr>
            <w:tcW w:w="988" w:type="pct"/>
            <w:gridSpan w:val="2"/>
            <w:tcBorders>
              <w:top w:val="single" w:sz="12" w:space="0" w:color="auto"/>
              <w:left w:val="single" w:sz="12" w:space="0" w:color="auto"/>
              <w:bottom w:val="single" w:sz="6" w:space="0" w:color="auto"/>
              <w:right w:val="single" w:sz="6" w:space="0" w:color="auto"/>
            </w:tcBorders>
            <w:vAlign w:val="center"/>
          </w:tcPr>
          <w:p w14:paraId="58A335A4" w14:textId="77777777" w:rsidR="00F06DDD" w:rsidRPr="00DF3CF8" w:rsidRDefault="00F06DDD" w:rsidP="00F06DDD">
            <w:pPr>
              <w:spacing w:after="0" w:line="240" w:lineRule="auto"/>
              <w:rPr>
                <w:rFonts w:asciiTheme="minorHAnsi" w:hAnsiTheme="minorHAnsi" w:cstheme="minorHAnsi"/>
                <w:b/>
                <w:sz w:val="20"/>
                <w:szCs w:val="20"/>
                <w:lang w:bidi="ar-SA"/>
              </w:rPr>
            </w:pPr>
            <w:r w:rsidRPr="00DF3CF8">
              <w:rPr>
                <w:rFonts w:asciiTheme="minorHAnsi" w:hAnsiTheme="minorHAnsi" w:cstheme="minorHAnsi"/>
                <w:b/>
                <w:sz w:val="20"/>
                <w:szCs w:val="20"/>
                <w:lang w:bidi="ar-SA"/>
              </w:rPr>
              <w:t>Source of Compliance/ Administrative expectation</w:t>
            </w:r>
          </w:p>
        </w:tc>
        <w:tc>
          <w:tcPr>
            <w:tcW w:w="4012" w:type="pct"/>
            <w:gridSpan w:val="3"/>
            <w:tcBorders>
              <w:top w:val="single" w:sz="12" w:space="0" w:color="auto"/>
              <w:left w:val="single" w:sz="6" w:space="0" w:color="auto"/>
              <w:bottom w:val="single" w:sz="6" w:space="0" w:color="auto"/>
              <w:right w:val="single" w:sz="12" w:space="0" w:color="auto"/>
            </w:tcBorders>
            <w:vAlign w:val="center"/>
          </w:tcPr>
          <w:p w14:paraId="084DAD86" w14:textId="32CA36CC" w:rsidR="00F06DDD" w:rsidRPr="00DF3CF8" w:rsidRDefault="00F06DDD" w:rsidP="00F06DDD">
            <w:pPr>
              <w:spacing w:after="0" w:line="240" w:lineRule="auto"/>
              <w:rPr>
                <w:rFonts w:asciiTheme="minorHAnsi" w:hAnsiTheme="minorHAnsi" w:cstheme="minorHAnsi"/>
                <w:b/>
                <w:sz w:val="20"/>
                <w:szCs w:val="20"/>
                <w:lang w:bidi="ar-SA"/>
              </w:rPr>
            </w:pPr>
            <w:r w:rsidRPr="00DF3CF8">
              <w:rPr>
                <w:rFonts w:asciiTheme="minorHAnsi" w:hAnsiTheme="minorHAnsi" w:cstheme="minorHAnsi"/>
                <w:b/>
                <w:sz w:val="20"/>
                <w:szCs w:val="20"/>
                <w:lang w:bidi="ar-SA"/>
              </w:rPr>
              <w:t xml:space="preserve">Extent of compliance shortfall (taken from definition in </w:t>
            </w:r>
            <w:r w:rsidR="0016630A" w:rsidRPr="0016630A">
              <w:rPr>
                <w:rFonts w:asciiTheme="minorHAnsi" w:hAnsiTheme="minorHAnsi" w:cstheme="minorHAnsi"/>
                <w:b/>
                <w:sz w:val="20"/>
                <w:szCs w:val="20"/>
                <w:lang w:bidi="ar-SA"/>
              </w:rPr>
              <w:fldChar w:fldCharType="begin"/>
            </w:r>
            <w:r w:rsidR="0016630A" w:rsidRPr="0016630A">
              <w:rPr>
                <w:rFonts w:asciiTheme="minorHAnsi" w:hAnsiTheme="minorHAnsi" w:cstheme="minorHAnsi"/>
                <w:b/>
                <w:sz w:val="20"/>
                <w:szCs w:val="20"/>
                <w:lang w:bidi="ar-SA"/>
              </w:rPr>
              <w:instrText xml:space="preserve"> REF _Ref213835963 \h  \* MERGEFORMAT </w:instrText>
            </w:r>
            <w:r w:rsidR="0016630A" w:rsidRPr="0016630A">
              <w:rPr>
                <w:rFonts w:asciiTheme="minorHAnsi" w:hAnsiTheme="minorHAnsi" w:cstheme="minorHAnsi"/>
                <w:b/>
                <w:sz w:val="20"/>
                <w:szCs w:val="20"/>
                <w:lang w:bidi="ar-SA"/>
              </w:rPr>
            </w:r>
            <w:r w:rsidR="0016630A" w:rsidRPr="0016630A">
              <w:rPr>
                <w:rFonts w:asciiTheme="minorHAnsi" w:hAnsiTheme="minorHAnsi" w:cstheme="minorHAnsi"/>
                <w:b/>
                <w:sz w:val="20"/>
                <w:szCs w:val="20"/>
                <w:lang w:bidi="ar-SA"/>
              </w:rPr>
              <w:fldChar w:fldCharType="separate"/>
            </w:r>
            <w:r w:rsidR="0016630A" w:rsidRPr="0016630A">
              <w:rPr>
                <w:b/>
                <w:sz w:val="20"/>
                <w:szCs w:val="20"/>
              </w:rPr>
              <w:t xml:space="preserve">Table </w:t>
            </w:r>
            <w:r w:rsidR="0016630A" w:rsidRPr="0016630A">
              <w:rPr>
                <w:b/>
                <w:noProof/>
                <w:sz w:val="20"/>
                <w:szCs w:val="20"/>
              </w:rPr>
              <w:t>2</w:t>
            </w:r>
            <w:r w:rsidR="0016630A" w:rsidRPr="0016630A">
              <w:rPr>
                <w:rFonts w:asciiTheme="minorHAnsi" w:hAnsiTheme="minorHAnsi" w:cstheme="minorHAnsi"/>
                <w:b/>
                <w:sz w:val="20"/>
                <w:szCs w:val="20"/>
                <w:lang w:bidi="ar-SA"/>
              </w:rPr>
              <w:fldChar w:fldCharType="end"/>
            </w:r>
            <w:r w:rsidRPr="0016630A">
              <w:rPr>
                <w:rFonts w:asciiTheme="minorHAnsi" w:hAnsiTheme="minorHAnsi" w:cstheme="minorHAnsi"/>
                <w:b/>
                <w:sz w:val="20"/>
                <w:szCs w:val="20"/>
                <w:lang w:bidi="ar-SA"/>
              </w:rPr>
              <w:t>)</w:t>
            </w:r>
          </w:p>
        </w:tc>
      </w:tr>
      <w:tr w:rsidR="00F06DDD" w:rsidRPr="00DF3CF8" w14:paraId="25EAD804" w14:textId="77777777" w:rsidTr="0016630A">
        <w:trPr>
          <w:trHeight w:val="567"/>
          <w:tblHeader/>
        </w:trPr>
        <w:tc>
          <w:tcPr>
            <w:tcW w:w="474" w:type="pct"/>
            <w:tcBorders>
              <w:top w:val="single" w:sz="6" w:space="0" w:color="auto"/>
              <w:left w:val="single" w:sz="12" w:space="0" w:color="auto"/>
              <w:bottom w:val="single" w:sz="12" w:space="0" w:color="auto"/>
              <w:right w:val="single" w:sz="6" w:space="0" w:color="auto"/>
            </w:tcBorders>
            <w:vAlign w:val="center"/>
          </w:tcPr>
          <w:p w14:paraId="421F8733" w14:textId="77777777" w:rsidR="00F06DDD" w:rsidRPr="00DF3CF8" w:rsidRDefault="00F06DDD" w:rsidP="00F06DDD">
            <w:pPr>
              <w:spacing w:after="0" w:line="240" w:lineRule="auto"/>
              <w:rPr>
                <w:rFonts w:asciiTheme="minorHAnsi" w:hAnsiTheme="minorHAnsi" w:cstheme="minorHAnsi"/>
                <w:b/>
                <w:sz w:val="20"/>
                <w:szCs w:val="20"/>
                <w:lang w:bidi="ar-SA"/>
              </w:rPr>
            </w:pPr>
            <w:r w:rsidRPr="00DF3CF8">
              <w:rPr>
                <w:rFonts w:asciiTheme="minorHAnsi" w:hAnsiTheme="minorHAnsi" w:cstheme="minorHAnsi"/>
                <w:b/>
                <w:sz w:val="20"/>
                <w:szCs w:val="20"/>
                <w:lang w:bidi="ar-SA"/>
              </w:rPr>
              <w:t>Benchmark</w:t>
            </w:r>
          </w:p>
        </w:tc>
        <w:tc>
          <w:tcPr>
            <w:tcW w:w="514" w:type="pct"/>
            <w:tcBorders>
              <w:top w:val="single" w:sz="6" w:space="0" w:color="auto"/>
              <w:left w:val="single" w:sz="6" w:space="0" w:color="auto"/>
              <w:bottom w:val="single" w:sz="12" w:space="0" w:color="auto"/>
              <w:right w:val="single" w:sz="6" w:space="0" w:color="auto"/>
            </w:tcBorders>
            <w:vAlign w:val="center"/>
          </w:tcPr>
          <w:p w14:paraId="4E927942" w14:textId="77777777" w:rsidR="00F06DDD" w:rsidRPr="00DF3CF8" w:rsidRDefault="00F06DDD" w:rsidP="00F06DDD">
            <w:pPr>
              <w:spacing w:after="0" w:line="240" w:lineRule="auto"/>
              <w:rPr>
                <w:rFonts w:asciiTheme="minorHAnsi" w:hAnsiTheme="minorHAnsi" w:cstheme="minorHAnsi"/>
                <w:b/>
                <w:sz w:val="20"/>
                <w:szCs w:val="20"/>
                <w:lang w:bidi="ar-SA"/>
              </w:rPr>
            </w:pPr>
            <w:r w:rsidRPr="00DF3CF8">
              <w:rPr>
                <w:rFonts w:asciiTheme="minorHAnsi" w:hAnsiTheme="minorHAnsi" w:cstheme="minorHAnsi"/>
                <w:b/>
                <w:sz w:val="20"/>
                <w:szCs w:val="20"/>
                <w:lang w:bidi="ar-SA"/>
              </w:rPr>
              <w:t>Title/</w:t>
            </w:r>
          </w:p>
          <w:p w14:paraId="6442A8A0" w14:textId="77777777" w:rsidR="00F06DDD" w:rsidRPr="00DF3CF8" w:rsidRDefault="00F06DDD" w:rsidP="00F06DDD">
            <w:pPr>
              <w:spacing w:after="0" w:line="240" w:lineRule="auto"/>
              <w:rPr>
                <w:rFonts w:asciiTheme="minorHAnsi" w:hAnsiTheme="minorHAnsi" w:cstheme="minorHAnsi"/>
                <w:b/>
                <w:sz w:val="20"/>
                <w:szCs w:val="20"/>
                <w:lang w:bidi="ar-SA"/>
              </w:rPr>
            </w:pPr>
            <w:r w:rsidRPr="00DF3CF8">
              <w:rPr>
                <w:rFonts w:asciiTheme="minorHAnsi" w:hAnsiTheme="minorHAnsi" w:cstheme="minorHAnsi"/>
                <w:b/>
                <w:sz w:val="20"/>
                <w:szCs w:val="20"/>
                <w:lang w:bidi="ar-SA"/>
              </w:rPr>
              <w:t>Description</w:t>
            </w:r>
          </w:p>
        </w:tc>
        <w:tc>
          <w:tcPr>
            <w:tcW w:w="1262" w:type="pct"/>
            <w:tcBorders>
              <w:top w:val="single" w:sz="6" w:space="0" w:color="auto"/>
              <w:left w:val="single" w:sz="6" w:space="0" w:color="auto"/>
              <w:bottom w:val="single" w:sz="12" w:space="0" w:color="auto"/>
              <w:right w:val="single" w:sz="6" w:space="0" w:color="auto"/>
            </w:tcBorders>
            <w:shd w:val="clear" w:color="auto" w:fill="FF5050"/>
            <w:vAlign w:val="center"/>
          </w:tcPr>
          <w:p w14:paraId="6C4BDF2F" w14:textId="77777777" w:rsidR="00F06DDD" w:rsidRPr="00DF3CF8" w:rsidRDefault="00F06DDD" w:rsidP="00F06DDD">
            <w:pPr>
              <w:spacing w:after="0" w:line="240" w:lineRule="auto"/>
              <w:rPr>
                <w:rFonts w:asciiTheme="minorHAnsi" w:hAnsiTheme="minorHAnsi" w:cstheme="minorHAnsi"/>
                <w:b/>
                <w:sz w:val="20"/>
                <w:szCs w:val="20"/>
                <w:lang w:bidi="ar-SA"/>
              </w:rPr>
            </w:pPr>
            <w:r w:rsidRPr="00DF3CF8">
              <w:rPr>
                <w:rFonts w:asciiTheme="minorHAnsi" w:hAnsiTheme="minorHAnsi" w:cstheme="minorHAnsi"/>
                <w:b/>
                <w:sz w:val="20"/>
                <w:szCs w:val="20"/>
                <w:lang w:bidi="ar-SA"/>
              </w:rPr>
              <w:t>Absent</w:t>
            </w:r>
          </w:p>
        </w:tc>
        <w:tc>
          <w:tcPr>
            <w:tcW w:w="1448" w:type="pct"/>
            <w:tcBorders>
              <w:top w:val="single" w:sz="6" w:space="0" w:color="auto"/>
              <w:left w:val="single" w:sz="6" w:space="0" w:color="auto"/>
              <w:bottom w:val="single" w:sz="12" w:space="0" w:color="auto"/>
              <w:right w:val="single" w:sz="6" w:space="0" w:color="auto"/>
            </w:tcBorders>
            <w:shd w:val="clear" w:color="auto" w:fill="FFC000"/>
            <w:vAlign w:val="center"/>
          </w:tcPr>
          <w:p w14:paraId="35BDFED8" w14:textId="77777777" w:rsidR="00F06DDD" w:rsidRPr="00DF3CF8" w:rsidRDefault="00F06DDD" w:rsidP="00F06DDD">
            <w:pPr>
              <w:spacing w:after="0" w:line="240" w:lineRule="auto"/>
              <w:rPr>
                <w:rFonts w:asciiTheme="minorHAnsi" w:hAnsiTheme="minorHAnsi" w:cstheme="minorHAnsi"/>
                <w:b/>
                <w:sz w:val="20"/>
                <w:szCs w:val="20"/>
                <w:lang w:bidi="ar-SA"/>
              </w:rPr>
            </w:pPr>
            <w:r w:rsidRPr="00DF3CF8">
              <w:rPr>
                <w:rFonts w:asciiTheme="minorHAnsi" w:hAnsiTheme="minorHAnsi" w:cstheme="minorHAnsi"/>
                <w:b/>
                <w:sz w:val="20"/>
                <w:szCs w:val="20"/>
                <w:lang w:bidi="ar-SA"/>
              </w:rPr>
              <w:t>Inadequate</w:t>
            </w:r>
          </w:p>
        </w:tc>
        <w:tc>
          <w:tcPr>
            <w:tcW w:w="1302" w:type="pct"/>
            <w:tcBorders>
              <w:top w:val="single" w:sz="6" w:space="0" w:color="auto"/>
              <w:left w:val="single" w:sz="6" w:space="0" w:color="auto"/>
              <w:bottom w:val="single" w:sz="12" w:space="0" w:color="auto"/>
              <w:right w:val="single" w:sz="12" w:space="0" w:color="auto"/>
            </w:tcBorders>
            <w:shd w:val="clear" w:color="auto" w:fill="92D050"/>
            <w:vAlign w:val="center"/>
          </w:tcPr>
          <w:p w14:paraId="54E6662E"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Minor</w:t>
            </w:r>
          </w:p>
        </w:tc>
      </w:tr>
      <w:tr w:rsidR="00F06DDD" w:rsidRPr="00DF3CF8" w14:paraId="4438A64F" w14:textId="77777777" w:rsidTr="0016630A">
        <w:trPr>
          <w:trHeight w:val="1966"/>
        </w:trPr>
        <w:tc>
          <w:tcPr>
            <w:tcW w:w="474" w:type="pct"/>
            <w:tcBorders>
              <w:top w:val="single" w:sz="6" w:space="0" w:color="auto"/>
              <w:left w:val="single" w:sz="12" w:space="0" w:color="auto"/>
              <w:bottom w:val="single" w:sz="6" w:space="0" w:color="auto"/>
              <w:right w:val="single" w:sz="6" w:space="0" w:color="auto"/>
            </w:tcBorders>
            <w:vAlign w:val="center"/>
          </w:tcPr>
          <w:p w14:paraId="2330D15C"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LC7</w:t>
            </w:r>
          </w:p>
        </w:tc>
        <w:tc>
          <w:tcPr>
            <w:tcW w:w="514" w:type="pct"/>
            <w:tcBorders>
              <w:top w:val="single" w:sz="6" w:space="0" w:color="auto"/>
              <w:left w:val="single" w:sz="6" w:space="0" w:color="auto"/>
              <w:bottom w:val="single" w:sz="6" w:space="0" w:color="auto"/>
              <w:right w:val="single" w:sz="6" w:space="0" w:color="auto"/>
            </w:tcBorders>
            <w:vAlign w:val="center"/>
          </w:tcPr>
          <w:p w14:paraId="22DC77E9"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Incidents on the site</w:t>
            </w:r>
          </w:p>
        </w:tc>
        <w:tc>
          <w:tcPr>
            <w:tcW w:w="1262" w:type="pct"/>
            <w:tcBorders>
              <w:top w:val="single" w:sz="6" w:space="0" w:color="auto"/>
              <w:left w:val="single" w:sz="6" w:space="0" w:color="auto"/>
              <w:bottom w:val="single" w:sz="6" w:space="0" w:color="auto"/>
              <w:right w:val="single" w:sz="6" w:space="0" w:color="auto"/>
            </w:tcBorders>
            <w:shd w:val="clear" w:color="auto" w:fill="FF5050"/>
            <w:vAlign w:val="center"/>
          </w:tcPr>
          <w:p w14:paraId="7EF0F60A"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Complete lack of site incident reporting process, or failure to adhere on a systemic and significant scale with any relevant process in force.  Repeated failure to recognise significance of events and the required level/timescales for both external and internal reporting.</w:t>
            </w:r>
          </w:p>
        </w:tc>
        <w:tc>
          <w:tcPr>
            <w:tcW w:w="1448" w:type="pct"/>
            <w:tcBorders>
              <w:top w:val="single" w:sz="6" w:space="0" w:color="auto"/>
              <w:left w:val="single" w:sz="6" w:space="0" w:color="auto"/>
              <w:bottom w:val="single" w:sz="6" w:space="0" w:color="auto"/>
              <w:right w:val="single" w:sz="6" w:space="0" w:color="auto"/>
            </w:tcBorders>
            <w:shd w:val="clear" w:color="auto" w:fill="FFC000"/>
            <w:vAlign w:val="center"/>
          </w:tcPr>
          <w:p w14:paraId="7D1BDA03"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 xml:space="preserve">Repeated inability to sentence incidents adequately, and/or report such incidents at the correct level internally. </w:t>
            </w:r>
          </w:p>
          <w:p w14:paraId="30879303"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Failure to carry out adequate investigations of serious events, or repeated failure to deliver adequate investigations against less significant events.</w:t>
            </w:r>
          </w:p>
        </w:tc>
        <w:tc>
          <w:tcPr>
            <w:tcW w:w="1302" w:type="pct"/>
            <w:tcBorders>
              <w:top w:val="single" w:sz="6" w:space="0" w:color="auto"/>
              <w:left w:val="single" w:sz="6" w:space="0" w:color="auto"/>
              <w:bottom w:val="single" w:sz="6" w:space="0" w:color="auto"/>
              <w:right w:val="single" w:sz="12" w:space="0" w:color="auto"/>
            </w:tcBorders>
            <w:shd w:val="clear" w:color="auto" w:fill="92D050"/>
            <w:vAlign w:val="center"/>
          </w:tcPr>
          <w:p w14:paraId="5C1F9F8C"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Inconsistent sentencing of incidents.  Failure to report individual events where such events have a potential safety impact.  Failure to carry out adequate monitoring and/or trending of incident data.  Failure to carry out an adequate investigation.</w:t>
            </w:r>
          </w:p>
        </w:tc>
      </w:tr>
      <w:tr w:rsidR="00F06DDD" w:rsidRPr="00DF3CF8" w14:paraId="65DD6700" w14:textId="77777777" w:rsidTr="0016630A">
        <w:trPr>
          <w:trHeight w:val="2160"/>
        </w:trPr>
        <w:tc>
          <w:tcPr>
            <w:tcW w:w="474" w:type="pct"/>
            <w:tcBorders>
              <w:top w:val="single" w:sz="6" w:space="0" w:color="auto"/>
              <w:left w:val="single" w:sz="12" w:space="0" w:color="auto"/>
              <w:bottom w:val="single" w:sz="6" w:space="0" w:color="auto"/>
              <w:right w:val="single" w:sz="6" w:space="0" w:color="auto"/>
            </w:tcBorders>
            <w:vAlign w:val="center"/>
          </w:tcPr>
          <w:p w14:paraId="1AD59419"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LC11</w:t>
            </w:r>
          </w:p>
        </w:tc>
        <w:tc>
          <w:tcPr>
            <w:tcW w:w="514" w:type="pct"/>
            <w:tcBorders>
              <w:top w:val="single" w:sz="6" w:space="0" w:color="auto"/>
              <w:left w:val="single" w:sz="6" w:space="0" w:color="auto"/>
              <w:bottom w:val="single" w:sz="6" w:space="0" w:color="auto"/>
              <w:right w:val="single" w:sz="6" w:space="0" w:color="auto"/>
            </w:tcBorders>
            <w:vAlign w:val="center"/>
          </w:tcPr>
          <w:p w14:paraId="0E9F3E94"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Emergency arrangements</w:t>
            </w:r>
          </w:p>
        </w:tc>
        <w:tc>
          <w:tcPr>
            <w:tcW w:w="1262" w:type="pct"/>
            <w:tcBorders>
              <w:top w:val="single" w:sz="6" w:space="0" w:color="auto"/>
              <w:left w:val="single" w:sz="6" w:space="0" w:color="auto"/>
              <w:bottom w:val="single" w:sz="6" w:space="0" w:color="auto"/>
              <w:right w:val="single" w:sz="6" w:space="0" w:color="auto"/>
            </w:tcBorders>
            <w:shd w:val="clear" w:color="auto" w:fill="FF5050"/>
            <w:vAlign w:val="center"/>
          </w:tcPr>
          <w:p w14:paraId="0E306FC9"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 xml:space="preserve">Complete lack of emergency arrangements, or arrangements that are entirely inappropriate and/or ineffective. </w:t>
            </w:r>
          </w:p>
        </w:tc>
        <w:tc>
          <w:tcPr>
            <w:tcW w:w="1448" w:type="pct"/>
            <w:tcBorders>
              <w:top w:val="single" w:sz="6" w:space="0" w:color="auto"/>
              <w:left w:val="single" w:sz="6" w:space="0" w:color="auto"/>
              <w:bottom w:val="single" w:sz="6" w:space="0" w:color="auto"/>
              <w:right w:val="single" w:sz="6" w:space="0" w:color="auto"/>
            </w:tcBorders>
            <w:shd w:val="clear" w:color="auto" w:fill="FFC000"/>
            <w:vAlign w:val="center"/>
          </w:tcPr>
          <w:p w14:paraId="733D3873"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Arrangements that do not, in a number of areas, address the more significant emergency scenarios.  Systemic failure to connect emergency arrangements with output of any credible assessment of reasonably likely scenarios.  Failure to deliver the more significant aspects of required arrangements.  Repeated failure to deliver any aspect of the arrangements.</w:t>
            </w:r>
          </w:p>
        </w:tc>
        <w:tc>
          <w:tcPr>
            <w:tcW w:w="1302" w:type="pct"/>
            <w:tcBorders>
              <w:top w:val="single" w:sz="6" w:space="0" w:color="auto"/>
              <w:left w:val="single" w:sz="6" w:space="0" w:color="auto"/>
              <w:bottom w:val="single" w:sz="6" w:space="0" w:color="auto"/>
              <w:right w:val="single" w:sz="12" w:space="0" w:color="auto"/>
            </w:tcBorders>
            <w:shd w:val="clear" w:color="auto" w:fill="92D050"/>
            <w:vAlign w:val="center"/>
          </w:tcPr>
          <w:p w14:paraId="0EAB8A18"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Failure to implement a number of individual (not repeated) aspects of the formal arrangements.  Minor shortfalls in the scope of formal arrangements.</w:t>
            </w:r>
          </w:p>
        </w:tc>
      </w:tr>
      <w:tr w:rsidR="00F06DDD" w:rsidRPr="00DF3CF8" w14:paraId="7B79AC93" w14:textId="77777777" w:rsidTr="0016630A">
        <w:trPr>
          <w:trHeight w:val="2092"/>
        </w:trPr>
        <w:tc>
          <w:tcPr>
            <w:tcW w:w="474" w:type="pct"/>
            <w:tcBorders>
              <w:top w:val="single" w:sz="6" w:space="0" w:color="auto"/>
              <w:left w:val="single" w:sz="12" w:space="0" w:color="auto"/>
              <w:bottom w:val="single" w:sz="6" w:space="0" w:color="auto"/>
              <w:right w:val="single" w:sz="6" w:space="0" w:color="auto"/>
            </w:tcBorders>
            <w:vAlign w:val="center"/>
          </w:tcPr>
          <w:p w14:paraId="79C5523F"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LC15</w:t>
            </w:r>
          </w:p>
        </w:tc>
        <w:tc>
          <w:tcPr>
            <w:tcW w:w="514" w:type="pct"/>
            <w:tcBorders>
              <w:top w:val="single" w:sz="6" w:space="0" w:color="auto"/>
              <w:left w:val="single" w:sz="6" w:space="0" w:color="auto"/>
              <w:bottom w:val="single" w:sz="6" w:space="0" w:color="auto"/>
              <w:right w:val="single" w:sz="6" w:space="0" w:color="auto"/>
            </w:tcBorders>
            <w:vAlign w:val="center"/>
          </w:tcPr>
          <w:p w14:paraId="21F146A1"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Periodic review</w:t>
            </w:r>
          </w:p>
        </w:tc>
        <w:tc>
          <w:tcPr>
            <w:tcW w:w="1262" w:type="pct"/>
            <w:tcBorders>
              <w:top w:val="single" w:sz="6" w:space="0" w:color="auto"/>
              <w:left w:val="single" w:sz="6" w:space="0" w:color="auto"/>
              <w:bottom w:val="single" w:sz="6" w:space="0" w:color="auto"/>
              <w:right w:val="single" w:sz="6" w:space="0" w:color="auto"/>
            </w:tcBorders>
            <w:shd w:val="clear" w:color="auto" w:fill="FF5050"/>
            <w:vAlign w:val="center"/>
          </w:tcPr>
          <w:p w14:paraId="402F5F30"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 xml:space="preserve">Complete failure to deliver a periodic and systematic review of the safety case.  Failure to define clearly the scope of review and assessment work that has been undertaken.  </w:t>
            </w:r>
          </w:p>
        </w:tc>
        <w:tc>
          <w:tcPr>
            <w:tcW w:w="1448" w:type="pct"/>
            <w:tcBorders>
              <w:top w:val="single" w:sz="6" w:space="0" w:color="auto"/>
              <w:left w:val="single" w:sz="6" w:space="0" w:color="auto"/>
              <w:bottom w:val="single" w:sz="6" w:space="0" w:color="auto"/>
              <w:right w:val="single" w:sz="6" w:space="0" w:color="auto"/>
            </w:tcBorders>
            <w:shd w:val="clear" w:color="auto" w:fill="FFC000"/>
            <w:vAlign w:val="center"/>
          </w:tcPr>
          <w:p w14:paraId="74637FF6"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 xml:space="preserve">Inadequate review of safety case, with multiple instances of failure to identify shortfalls in the case.  Significant weakness in a key aspect of the assessment, indicating a failure to provide adequate internal assurance of the work.   Failure to deliver declared safety significant improvements to the timescales initially declared. </w:t>
            </w:r>
          </w:p>
        </w:tc>
        <w:tc>
          <w:tcPr>
            <w:tcW w:w="1302" w:type="pct"/>
            <w:tcBorders>
              <w:top w:val="single" w:sz="6" w:space="0" w:color="auto"/>
              <w:left w:val="single" w:sz="6" w:space="0" w:color="auto"/>
              <w:bottom w:val="single" w:sz="6" w:space="0" w:color="auto"/>
              <w:right w:val="single" w:sz="12" w:space="0" w:color="auto"/>
            </w:tcBorders>
            <w:shd w:val="clear" w:color="auto" w:fill="92D050"/>
            <w:vAlign w:val="center"/>
          </w:tcPr>
          <w:p w14:paraId="2831042B"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Failure to deliver a number of the minor pre-identified safety improvements.  Minor inconsistencies or shortfalls in the formal review, either in terms of scope, targets or written summary of work undertaken.</w:t>
            </w:r>
          </w:p>
        </w:tc>
      </w:tr>
      <w:tr w:rsidR="00F06DDD" w:rsidRPr="00DF3CF8" w14:paraId="4C853E78" w14:textId="77777777" w:rsidTr="0016630A">
        <w:trPr>
          <w:trHeight w:val="1095"/>
        </w:trPr>
        <w:tc>
          <w:tcPr>
            <w:tcW w:w="474" w:type="pct"/>
            <w:tcBorders>
              <w:top w:val="single" w:sz="12" w:space="0" w:color="auto"/>
              <w:left w:val="single" w:sz="12" w:space="0" w:color="auto"/>
              <w:bottom w:val="single" w:sz="12" w:space="0" w:color="auto"/>
              <w:right w:val="single" w:sz="12" w:space="0" w:color="auto"/>
            </w:tcBorders>
          </w:tcPr>
          <w:p w14:paraId="04EC44FA"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lastRenderedPageBreak/>
              <w:t>NISR 2003</w:t>
            </w:r>
          </w:p>
          <w:p w14:paraId="771ECB7C"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4</w:t>
            </w:r>
          </w:p>
        </w:tc>
        <w:tc>
          <w:tcPr>
            <w:tcW w:w="514" w:type="pct"/>
            <w:tcBorders>
              <w:top w:val="single" w:sz="12" w:space="0" w:color="auto"/>
              <w:left w:val="single" w:sz="12" w:space="0" w:color="auto"/>
              <w:bottom w:val="single" w:sz="12" w:space="0" w:color="auto"/>
              <w:right w:val="single" w:sz="12" w:space="0" w:color="auto"/>
            </w:tcBorders>
          </w:tcPr>
          <w:p w14:paraId="73715BBD"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Nuclear Premises</w:t>
            </w:r>
          </w:p>
          <w:p w14:paraId="5ED96010"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Approved Security Plan</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54473023"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Complete lack of an approved Site Security Plan (SSP).</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4A0E7EE3"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There are repeated, systemic failures or significant omissions in how the standards, procedures and arrangements in the SSP meet the expectations of NISR or SyAPs.</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2926B1F1"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Minor shortfalls in how the standards, procedures and arrangements in the SSP meet the expectations of NISR or SyAPs.</w:t>
            </w:r>
          </w:p>
        </w:tc>
      </w:tr>
      <w:tr w:rsidR="00F06DDD" w:rsidRPr="00DF3CF8" w14:paraId="5DA83D49" w14:textId="77777777" w:rsidTr="0016630A">
        <w:trPr>
          <w:trHeight w:val="1173"/>
        </w:trPr>
        <w:tc>
          <w:tcPr>
            <w:tcW w:w="474" w:type="pct"/>
            <w:tcBorders>
              <w:top w:val="single" w:sz="12" w:space="0" w:color="auto"/>
              <w:left w:val="single" w:sz="12" w:space="0" w:color="auto"/>
              <w:bottom w:val="single" w:sz="12" w:space="0" w:color="auto"/>
              <w:right w:val="single" w:sz="12" w:space="0" w:color="auto"/>
            </w:tcBorders>
          </w:tcPr>
          <w:p w14:paraId="2EBA6C38"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NISR 2003</w:t>
            </w:r>
          </w:p>
          <w:p w14:paraId="40D66607"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7</w:t>
            </w:r>
          </w:p>
        </w:tc>
        <w:tc>
          <w:tcPr>
            <w:tcW w:w="514" w:type="pct"/>
            <w:tcBorders>
              <w:top w:val="single" w:sz="12" w:space="0" w:color="auto"/>
              <w:left w:val="single" w:sz="12" w:space="0" w:color="auto"/>
              <w:bottom w:val="single" w:sz="12" w:space="0" w:color="auto"/>
              <w:right w:val="single" w:sz="12" w:space="0" w:color="auto"/>
            </w:tcBorders>
          </w:tcPr>
          <w:p w14:paraId="7C14F188"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Nuclear Premises</w:t>
            </w:r>
          </w:p>
          <w:p w14:paraId="4A82EA30"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Maintenance of Security</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1B5F0FFA"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 xml:space="preserve">The failure to maintain the SSP, in that the standards, procedures and arrangements described in the SSP bear little or no resemblance to those implemented. </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28F4A9D0"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There are repeated or systemic inconsistencies between the standards, procedures and arrangements implemented and those described in the SSP.</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4D2348AF"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Minor inconsistencies between the standards, procedures and arrangements implemented and those described in the SSP.</w:t>
            </w:r>
          </w:p>
        </w:tc>
      </w:tr>
      <w:tr w:rsidR="00F06DDD" w:rsidRPr="00DF3CF8" w14:paraId="142F4CCC" w14:textId="77777777" w:rsidTr="0016630A">
        <w:trPr>
          <w:trHeight w:val="1105"/>
        </w:trPr>
        <w:tc>
          <w:tcPr>
            <w:tcW w:w="474" w:type="pct"/>
            <w:tcBorders>
              <w:top w:val="single" w:sz="12" w:space="0" w:color="auto"/>
              <w:left w:val="single" w:sz="12" w:space="0" w:color="auto"/>
              <w:bottom w:val="single" w:sz="12" w:space="0" w:color="auto"/>
              <w:right w:val="single" w:sz="12" w:space="0" w:color="auto"/>
            </w:tcBorders>
          </w:tcPr>
          <w:p w14:paraId="1A43FFF3"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NISR 2003</w:t>
            </w:r>
          </w:p>
          <w:p w14:paraId="3DBECC5E"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8</w:t>
            </w:r>
          </w:p>
        </w:tc>
        <w:tc>
          <w:tcPr>
            <w:tcW w:w="514" w:type="pct"/>
            <w:tcBorders>
              <w:top w:val="single" w:sz="12" w:space="0" w:color="auto"/>
              <w:left w:val="single" w:sz="12" w:space="0" w:color="auto"/>
              <w:bottom w:val="single" w:sz="12" w:space="0" w:color="auto"/>
              <w:right w:val="single" w:sz="12" w:space="0" w:color="auto"/>
            </w:tcBorders>
          </w:tcPr>
          <w:p w14:paraId="5BB309BD"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Nuclear Premises</w:t>
            </w:r>
          </w:p>
          <w:p w14:paraId="7E897E75"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Temporary Security Plans</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7BC556CC"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Complete lack of an approved Temporary Security Plan (TSP).</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5C9FB988"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There are repeated or systemic failures in administration and governance of arrangements supporting the TSP.</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769D861F"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Minor shortfalls in administration and governance of arrangements supporting the TSP.</w:t>
            </w:r>
          </w:p>
        </w:tc>
      </w:tr>
      <w:tr w:rsidR="00F06DDD" w:rsidRPr="00DF3CF8" w14:paraId="3705E8CE" w14:textId="77777777" w:rsidTr="0016630A">
        <w:trPr>
          <w:trHeight w:val="1598"/>
        </w:trPr>
        <w:tc>
          <w:tcPr>
            <w:tcW w:w="474" w:type="pct"/>
            <w:tcBorders>
              <w:top w:val="single" w:sz="12" w:space="0" w:color="auto"/>
              <w:left w:val="single" w:sz="12" w:space="0" w:color="auto"/>
              <w:bottom w:val="single" w:sz="12" w:space="0" w:color="auto"/>
              <w:right w:val="single" w:sz="12" w:space="0" w:color="auto"/>
            </w:tcBorders>
          </w:tcPr>
          <w:p w14:paraId="009EF361"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NISR 2003</w:t>
            </w:r>
          </w:p>
          <w:p w14:paraId="6CEB7CE5"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13</w:t>
            </w:r>
          </w:p>
        </w:tc>
        <w:tc>
          <w:tcPr>
            <w:tcW w:w="514" w:type="pct"/>
            <w:tcBorders>
              <w:top w:val="single" w:sz="12" w:space="0" w:color="auto"/>
              <w:left w:val="single" w:sz="12" w:space="0" w:color="auto"/>
              <w:bottom w:val="single" w:sz="12" w:space="0" w:color="auto"/>
              <w:right w:val="single" w:sz="12" w:space="0" w:color="auto"/>
            </w:tcBorders>
          </w:tcPr>
          <w:p w14:paraId="212340ED"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Approved Carriers</w:t>
            </w:r>
          </w:p>
          <w:p w14:paraId="607E7A1F"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 xml:space="preserve">Approved Transport Security Statement </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6F1FCFAD"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Transporting NM without an approved Transport Security Statement (TSS).</w:t>
            </w:r>
          </w:p>
          <w:p w14:paraId="326F0693" w14:textId="77777777" w:rsidR="00F06DDD" w:rsidRPr="00DF3CF8" w:rsidRDefault="00F06DDD" w:rsidP="00F06DDD">
            <w:pPr>
              <w:spacing w:after="0" w:line="240" w:lineRule="auto"/>
              <w:rPr>
                <w:rFonts w:asciiTheme="minorHAnsi" w:hAnsiTheme="minorHAnsi" w:cstheme="minorHAnsi"/>
                <w:color w:val="000000"/>
                <w:sz w:val="20"/>
                <w:szCs w:val="20"/>
                <w:lang w:bidi="ar-SA"/>
              </w:rPr>
            </w:pP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685C1070"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Transporting NM where there are repeated, systemic failures or significant omissions in how the standards, procedures and arrangements in the TSS meet the expectations of NISR or SyAPs.</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2EEF8D21"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Transporting NM where there are minor shortfalls in how the standards, procedures and arrangements in the TSS meet the expectations of NISR or SyAPs.</w:t>
            </w:r>
          </w:p>
        </w:tc>
      </w:tr>
      <w:tr w:rsidR="00F06DDD" w:rsidRPr="00DF3CF8" w14:paraId="27493846" w14:textId="77777777" w:rsidTr="0016630A">
        <w:trPr>
          <w:trHeight w:val="1253"/>
        </w:trPr>
        <w:tc>
          <w:tcPr>
            <w:tcW w:w="474" w:type="pct"/>
            <w:tcBorders>
              <w:top w:val="single" w:sz="12" w:space="0" w:color="auto"/>
              <w:left w:val="single" w:sz="12" w:space="0" w:color="auto"/>
              <w:bottom w:val="single" w:sz="12" w:space="0" w:color="auto"/>
              <w:right w:val="single" w:sz="12" w:space="0" w:color="auto"/>
            </w:tcBorders>
          </w:tcPr>
          <w:p w14:paraId="78C0FB0D"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NISR 2003</w:t>
            </w:r>
          </w:p>
          <w:p w14:paraId="1E6C2839"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17</w:t>
            </w:r>
          </w:p>
        </w:tc>
        <w:tc>
          <w:tcPr>
            <w:tcW w:w="514" w:type="pct"/>
            <w:tcBorders>
              <w:top w:val="single" w:sz="12" w:space="0" w:color="auto"/>
              <w:left w:val="single" w:sz="12" w:space="0" w:color="auto"/>
              <w:bottom w:val="single" w:sz="12" w:space="0" w:color="auto"/>
              <w:right w:val="single" w:sz="12" w:space="0" w:color="auto"/>
            </w:tcBorders>
          </w:tcPr>
          <w:p w14:paraId="364FC7FB"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Approved Carriers</w:t>
            </w:r>
          </w:p>
          <w:p w14:paraId="2DB7C7A5"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Maintenance of Security</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7E72C826"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The failure to maintain the TSS, in that the standards, procedures and arrangements described in the TSS bear little or no resemblance to those implemented.</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14755763"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There are repeated or systemic inconsistencies between the standards, procedures and arrangements implemented and those described in the TSS.</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74A634EC"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Minor inconsistencies between the standards, procedures and arrangements implemented  and those described in the TSS.</w:t>
            </w:r>
          </w:p>
        </w:tc>
      </w:tr>
      <w:tr w:rsidR="00F06DDD" w:rsidRPr="00DF3CF8" w14:paraId="0477A320" w14:textId="77777777" w:rsidTr="0016630A">
        <w:trPr>
          <w:trHeight w:val="1824"/>
        </w:trPr>
        <w:tc>
          <w:tcPr>
            <w:tcW w:w="474" w:type="pct"/>
            <w:tcBorders>
              <w:top w:val="single" w:sz="12" w:space="0" w:color="auto"/>
              <w:left w:val="single" w:sz="12" w:space="0" w:color="auto"/>
              <w:bottom w:val="single" w:sz="12" w:space="0" w:color="auto"/>
              <w:right w:val="single" w:sz="12" w:space="0" w:color="auto"/>
            </w:tcBorders>
          </w:tcPr>
          <w:p w14:paraId="3F0096B1"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lastRenderedPageBreak/>
              <w:t>NISR 2003</w:t>
            </w:r>
          </w:p>
          <w:p w14:paraId="14A1E629"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19/20</w:t>
            </w:r>
          </w:p>
        </w:tc>
        <w:tc>
          <w:tcPr>
            <w:tcW w:w="514" w:type="pct"/>
            <w:tcBorders>
              <w:top w:val="single" w:sz="12" w:space="0" w:color="auto"/>
              <w:left w:val="single" w:sz="12" w:space="0" w:color="auto"/>
              <w:bottom w:val="single" w:sz="12" w:space="0" w:color="auto"/>
              <w:right w:val="single" w:sz="12" w:space="0" w:color="auto"/>
            </w:tcBorders>
          </w:tcPr>
          <w:p w14:paraId="22076EEA"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Approved Carriers</w:t>
            </w:r>
          </w:p>
          <w:p w14:paraId="1236CD72"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Transport Security Plans</w:t>
            </w:r>
          </w:p>
          <w:p w14:paraId="5B7437FF" w14:textId="77777777" w:rsidR="00F06DDD" w:rsidRPr="00DF3CF8" w:rsidRDefault="00F06DDD" w:rsidP="00F06DDD">
            <w:pPr>
              <w:spacing w:after="0" w:line="240" w:lineRule="auto"/>
              <w:rPr>
                <w:rFonts w:asciiTheme="minorHAnsi" w:hAnsiTheme="minorHAnsi" w:cstheme="minorHAnsi"/>
                <w:sz w:val="20"/>
                <w:szCs w:val="20"/>
                <w:lang w:bidi="ar-SA"/>
              </w:rPr>
            </w:pP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14952A93"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A complete lack of an approved transport security plan.</w:t>
            </w:r>
          </w:p>
          <w:p w14:paraId="398F0353" w14:textId="77777777" w:rsidR="00F06DDD" w:rsidRPr="00DF3CF8" w:rsidRDefault="00F06DDD" w:rsidP="00F06DDD">
            <w:pPr>
              <w:spacing w:after="0" w:line="240" w:lineRule="auto"/>
              <w:rPr>
                <w:rFonts w:asciiTheme="minorHAnsi" w:hAnsiTheme="minorHAnsi" w:cstheme="minorHAnsi"/>
                <w:color w:val="000000"/>
                <w:sz w:val="20"/>
                <w:szCs w:val="20"/>
                <w:lang w:bidi="ar-SA"/>
              </w:rPr>
            </w:pPr>
          </w:p>
          <w:p w14:paraId="3E7F4A4A" w14:textId="77777777" w:rsidR="00F06DDD" w:rsidRPr="00DF3CF8" w:rsidRDefault="00F06DDD" w:rsidP="00F06DDD">
            <w:pPr>
              <w:spacing w:after="0" w:line="240" w:lineRule="auto"/>
              <w:rPr>
                <w:rFonts w:asciiTheme="minorHAnsi" w:hAnsiTheme="minorHAnsi" w:cstheme="minorHAnsi"/>
                <w:color w:val="000000"/>
                <w:sz w:val="20"/>
                <w:szCs w:val="20"/>
                <w:lang w:bidi="ar-SA"/>
              </w:rPr>
            </w:pP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3451C922"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 xml:space="preserve">There are repeated, systemic failures or significant omissions in how the standards, procedures and arrangements in the </w:t>
            </w:r>
            <w:proofErr w:type="spellStart"/>
            <w:r w:rsidRPr="00DF3CF8">
              <w:rPr>
                <w:rFonts w:asciiTheme="minorHAnsi" w:hAnsiTheme="minorHAnsi" w:cstheme="minorHAnsi"/>
                <w:color w:val="000000"/>
                <w:sz w:val="20"/>
                <w:szCs w:val="20"/>
                <w:lang w:bidi="ar-SA"/>
              </w:rPr>
              <w:t>TptSP</w:t>
            </w:r>
            <w:proofErr w:type="spellEnd"/>
            <w:r w:rsidRPr="00DF3CF8">
              <w:rPr>
                <w:rFonts w:asciiTheme="minorHAnsi" w:hAnsiTheme="minorHAnsi" w:cstheme="minorHAnsi"/>
                <w:color w:val="000000"/>
                <w:sz w:val="20"/>
                <w:szCs w:val="20"/>
                <w:lang w:bidi="ar-SA"/>
              </w:rPr>
              <w:t xml:space="preserve"> meet the expectations of NISR or SyAPs</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409DE56F"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 xml:space="preserve">Minor shortfalls in how the standards, procedures and arrangements in the </w:t>
            </w:r>
            <w:proofErr w:type="spellStart"/>
            <w:r w:rsidRPr="00DF3CF8">
              <w:rPr>
                <w:rFonts w:asciiTheme="minorHAnsi" w:hAnsiTheme="minorHAnsi" w:cstheme="minorHAnsi"/>
                <w:color w:val="000000"/>
                <w:sz w:val="20"/>
                <w:szCs w:val="20"/>
                <w:lang w:bidi="ar-SA"/>
              </w:rPr>
              <w:t>TptSP</w:t>
            </w:r>
            <w:proofErr w:type="spellEnd"/>
            <w:r w:rsidRPr="00DF3CF8">
              <w:rPr>
                <w:rFonts w:asciiTheme="minorHAnsi" w:hAnsiTheme="minorHAnsi" w:cstheme="minorHAnsi"/>
                <w:color w:val="000000"/>
                <w:sz w:val="20"/>
                <w:szCs w:val="20"/>
                <w:lang w:bidi="ar-SA"/>
              </w:rPr>
              <w:t xml:space="preserve"> meet the expectations of NISR or SyAPs</w:t>
            </w:r>
          </w:p>
        </w:tc>
      </w:tr>
      <w:tr w:rsidR="00F06DDD" w:rsidRPr="00DF3CF8" w14:paraId="634C0551" w14:textId="77777777" w:rsidTr="0016630A">
        <w:trPr>
          <w:trHeight w:val="2268"/>
        </w:trPr>
        <w:tc>
          <w:tcPr>
            <w:tcW w:w="474" w:type="pct"/>
            <w:tcBorders>
              <w:top w:val="single" w:sz="12" w:space="0" w:color="auto"/>
              <w:left w:val="single" w:sz="12" w:space="0" w:color="auto"/>
              <w:bottom w:val="single" w:sz="12" w:space="0" w:color="auto"/>
              <w:right w:val="single" w:sz="12" w:space="0" w:color="auto"/>
            </w:tcBorders>
          </w:tcPr>
          <w:p w14:paraId="7CB9C742"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NISR 2003</w:t>
            </w:r>
          </w:p>
          <w:p w14:paraId="7E1E1780"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10/18/22(e)</w:t>
            </w:r>
          </w:p>
        </w:tc>
        <w:tc>
          <w:tcPr>
            <w:tcW w:w="514" w:type="pct"/>
            <w:tcBorders>
              <w:top w:val="single" w:sz="12" w:space="0" w:color="auto"/>
              <w:left w:val="single" w:sz="12" w:space="0" w:color="auto"/>
              <w:bottom w:val="single" w:sz="12" w:space="0" w:color="auto"/>
              <w:right w:val="single" w:sz="12" w:space="0" w:color="auto"/>
            </w:tcBorders>
          </w:tcPr>
          <w:p w14:paraId="63787253"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Nuclear licensed sites, Approved Carriers &amp; Sensitive Nuclear Information</w:t>
            </w:r>
          </w:p>
          <w:p w14:paraId="1EC6B87D"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Reports by Responsible Persons</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48A0612F"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 xml:space="preserve">The complete lack of reporting any events or matters of kind specified in the regulation.  </w:t>
            </w:r>
          </w:p>
          <w:p w14:paraId="4BBD36BE" w14:textId="77777777" w:rsidR="00F06DDD" w:rsidRPr="00DF3CF8" w:rsidRDefault="00F06DDD" w:rsidP="00F06DDD">
            <w:pPr>
              <w:spacing w:after="0" w:line="240" w:lineRule="auto"/>
              <w:rPr>
                <w:rFonts w:asciiTheme="minorHAnsi" w:hAnsiTheme="minorHAnsi" w:cstheme="minorHAnsi"/>
                <w:color w:val="000000"/>
                <w:sz w:val="20"/>
                <w:szCs w:val="20"/>
                <w:lang w:bidi="ar-SA"/>
              </w:rPr>
            </w:pPr>
          </w:p>
          <w:p w14:paraId="34E9FBBA"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 xml:space="preserve">The wilful intent to withhold or delay reporting of events or matters of kind specified in the regulation </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0F6AED35"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There are repeated or systemic failures in implementation or delay in the reporting of events or matters of kind specified in the regulation.</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141ACD8B" w14:textId="7777777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Minor shortfalls with the implementation or delay in the reporting of events or matters of kind specified in the regulation.</w:t>
            </w:r>
          </w:p>
        </w:tc>
      </w:tr>
      <w:tr w:rsidR="00F06DDD" w:rsidRPr="00DF3CF8" w14:paraId="6488CDEC" w14:textId="77777777" w:rsidTr="0016630A">
        <w:trPr>
          <w:trHeight w:val="1101"/>
        </w:trPr>
        <w:tc>
          <w:tcPr>
            <w:tcW w:w="474" w:type="pct"/>
            <w:tcBorders>
              <w:top w:val="single" w:sz="12" w:space="0" w:color="auto"/>
              <w:left w:val="single" w:sz="12" w:space="0" w:color="auto"/>
              <w:bottom w:val="single" w:sz="12" w:space="0" w:color="auto"/>
              <w:right w:val="single" w:sz="12" w:space="0" w:color="auto"/>
            </w:tcBorders>
          </w:tcPr>
          <w:p w14:paraId="534DA392"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RRO</w:t>
            </w:r>
          </w:p>
          <w:p w14:paraId="6488FCE4" w14:textId="77777777" w:rsidR="00F06DDD" w:rsidRPr="00DF3CF8" w:rsidRDefault="00F06DDD" w:rsidP="00F06DDD">
            <w:pPr>
              <w:spacing w:after="0" w:line="240" w:lineRule="auto"/>
              <w:rPr>
                <w:rFonts w:asciiTheme="minorHAnsi" w:hAnsiTheme="minorHAnsi" w:cstheme="minorHAnsi"/>
                <w:sz w:val="20"/>
                <w:szCs w:val="20"/>
                <w:lang w:bidi="ar-SA"/>
              </w:rPr>
            </w:pPr>
          </w:p>
          <w:p w14:paraId="765AA365"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Article 8</w:t>
            </w:r>
          </w:p>
        </w:tc>
        <w:tc>
          <w:tcPr>
            <w:tcW w:w="514" w:type="pct"/>
            <w:tcBorders>
              <w:top w:val="single" w:sz="12" w:space="0" w:color="auto"/>
              <w:left w:val="single" w:sz="12" w:space="0" w:color="auto"/>
              <w:bottom w:val="single" w:sz="12" w:space="0" w:color="auto"/>
              <w:right w:val="single" w:sz="12" w:space="0" w:color="auto"/>
            </w:tcBorders>
          </w:tcPr>
          <w:p w14:paraId="0E3B6177"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Relevant Fire Precautions</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1716CACE"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A complete failure to take such relevant fire precautions (as defined in Article 4) as will ensure, so far as is reasonably practicable, the safety of any employees.</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606EF9A1"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There are repeated or systematic failures in applying the relevant fire precautions to such an extent as to endanger the safety of employees.</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1C6B898E"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Minor shortfalls exist in the implementation of the expected actions to ensure that all the relevant fire precautions are provided.</w:t>
            </w:r>
          </w:p>
        </w:tc>
      </w:tr>
      <w:tr w:rsidR="00F06DDD" w:rsidRPr="00DF3CF8" w14:paraId="3002843B" w14:textId="77777777" w:rsidTr="0016630A">
        <w:tc>
          <w:tcPr>
            <w:tcW w:w="474" w:type="pct"/>
            <w:tcBorders>
              <w:top w:val="single" w:sz="12" w:space="0" w:color="auto"/>
              <w:left w:val="single" w:sz="12" w:space="0" w:color="auto"/>
              <w:bottom w:val="single" w:sz="12" w:space="0" w:color="auto"/>
              <w:right w:val="single" w:sz="12" w:space="0" w:color="auto"/>
            </w:tcBorders>
            <w:hideMark/>
          </w:tcPr>
          <w:p w14:paraId="6F50BF8E"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RRO</w:t>
            </w:r>
          </w:p>
          <w:p w14:paraId="07D1AF36"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FSA</w:t>
            </w:r>
          </w:p>
        </w:tc>
        <w:tc>
          <w:tcPr>
            <w:tcW w:w="514" w:type="pct"/>
            <w:tcBorders>
              <w:top w:val="single" w:sz="12" w:space="0" w:color="auto"/>
              <w:left w:val="single" w:sz="12" w:space="0" w:color="auto"/>
              <w:bottom w:val="single" w:sz="12" w:space="0" w:color="auto"/>
              <w:right w:val="single" w:sz="12" w:space="0" w:color="auto"/>
            </w:tcBorders>
            <w:hideMark/>
          </w:tcPr>
          <w:p w14:paraId="123B7194"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Warning in case of Fire</w:t>
            </w:r>
          </w:p>
        </w:tc>
        <w:tc>
          <w:tcPr>
            <w:tcW w:w="1262" w:type="pct"/>
            <w:tcBorders>
              <w:top w:val="single" w:sz="12" w:space="0" w:color="auto"/>
              <w:left w:val="single" w:sz="12" w:space="0" w:color="auto"/>
              <w:bottom w:val="single" w:sz="12" w:space="0" w:color="auto"/>
              <w:right w:val="single" w:sz="12" w:space="0" w:color="auto"/>
            </w:tcBorders>
            <w:shd w:val="clear" w:color="auto" w:fill="FF5050"/>
            <w:hideMark/>
          </w:tcPr>
          <w:p w14:paraId="0D80EEC5"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Failure of a fire alarm / detection system to operate and / or a lack of audibility of the fire alarm throughout the building.</w:t>
            </w:r>
          </w:p>
        </w:tc>
        <w:tc>
          <w:tcPr>
            <w:tcW w:w="1448" w:type="pct"/>
            <w:tcBorders>
              <w:top w:val="single" w:sz="12" w:space="0" w:color="auto"/>
              <w:left w:val="single" w:sz="12" w:space="0" w:color="auto"/>
              <w:bottom w:val="single" w:sz="12" w:space="0" w:color="auto"/>
              <w:right w:val="single" w:sz="12" w:space="0" w:color="auto"/>
            </w:tcBorders>
            <w:shd w:val="clear" w:color="auto" w:fill="FFC000"/>
            <w:hideMark/>
          </w:tcPr>
          <w:p w14:paraId="2654B14B" w14:textId="77777777" w:rsidR="00F06DDD" w:rsidRPr="00DF3CF8" w:rsidRDefault="00F06DDD" w:rsidP="00F06DDD">
            <w:pPr>
              <w:spacing w:after="0" w:line="240" w:lineRule="auto"/>
              <w:rPr>
                <w:rFonts w:asciiTheme="minorHAnsi" w:hAnsiTheme="minorHAnsi" w:cstheme="minorHAnsi"/>
                <w:sz w:val="20"/>
                <w:szCs w:val="20"/>
                <w:highlight w:val="yellow"/>
                <w:lang w:bidi="ar-SA"/>
              </w:rPr>
            </w:pPr>
            <w:r w:rsidRPr="00DF3CF8">
              <w:rPr>
                <w:rFonts w:asciiTheme="minorHAnsi" w:hAnsiTheme="minorHAnsi" w:cstheme="minorHAnsi"/>
                <w:sz w:val="20"/>
                <w:szCs w:val="20"/>
                <w:lang w:bidi="ar-SA"/>
              </w:rPr>
              <w:t>Fire alarm / detection system provided but of an inadequate type for the conditions / circumstances in the building.</w:t>
            </w:r>
          </w:p>
        </w:tc>
        <w:tc>
          <w:tcPr>
            <w:tcW w:w="1302" w:type="pct"/>
            <w:tcBorders>
              <w:top w:val="single" w:sz="12" w:space="0" w:color="auto"/>
              <w:left w:val="single" w:sz="12" w:space="0" w:color="auto"/>
              <w:bottom w:val="single" w:sz="12" w:space="0" w:color="auto"/>
              <w:right w:val="single" w:sz="12" w:space="0" w:color="auto"/>
            </w:tcBorders>
            <w:shd w:val="clear" w:color="auto" w:fill="92D050"/>
            <w:hideMark/>
          </w:tcPr>
          <w:p w14:paraId="1A2246CA"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sound emitted by the fire alarm can be confused with other alarms that may be used.</w:t>
            </w:r>
          </w:p>
        </w:tc>
      </w:tr>
      <w:tr w:rsidR="00F06DDD" w:rsidRPr="00DF3CF8" w14:paraId="263A14A4" w14:textId="77777777" w:rsidTr="0016630A">
        <w:tc>
          <w:tcPr>
            <w:tcW w:w="474" w:type="pct"/>
            <w:tcBorders>
              <w:top w:val="single" w:sz="12" w:space="0" w:color="auto"/>
              <w:left w:val="single" w:sz="12" w:space="0" w:color="auto"/>
              <w:bottom w:val="single" w:sz="12" w:space="0" w:color="auto"/>
              <w:right w:val="single" w:sz="12" w:space="0" w:color="auto"/>
            </w:tcBorders>
            <w:hideMark/>
          </w:tcPr>
          <w:p w14:paraId="23793871"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RRO</w:t>
            </w:r>
          </w:p>
          <w:p w14:paraId="7C77089C"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FSA</w:t>
            </w:r>
          </w:p>
        </w:tc>
        <w:tc>
          <w:tcPr>
            <w:tcW w:w="514" w:type="pct"/>
            <w:tcBorders>
              <w:top w:val="single" w:sz="12" w:space="0" w:color="auto"/>
              <w:left w:val="single" w:sz="12" w:space="0" w:color="auto"/>
              <w:bottom w:val="single" w:sz="12" w:space="0" w:color="auto"/>
              <w:right w:val="single" w:sz="12" w:space="0" w:color="auto"/>
            </w:tcBorders>
            <w:hideMark/>
          </w:tcPr>
          <w:p w14:paraId="7D924666"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Fire Separation</w:t>
            </w:r>
          </w:p>
        </w:tc>
        <w:tc>
          <w:tcPr>
            <w:tcW w:w="1262" w:type="pct"/>
            <w:tcBorders>
              <w:top w:val="single" w:sz="12" w:space="0" w:color="auto"/>
              <w:left w:val="single" w:sz="12" w:space="0" w:color="auto"/>
              <w:bottom w:val="single" w:sz="12" w:space="0" w:color="auto"/>
              <w:right w:val="single" w:sz="12" w:space="0" w:color="auto"/>
            </w:tcBorders>
            <w:shd w:val="clear" w:color="auto" w:fill="FF5050"/>
            <w:hideMark/>
          </w:tcPr>
          <w:p w14:paraId="6FA3AF76"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Lines of compartmentation breached or found to contain significant open penetrations.</w:t>
            </w:r>
          </w:p>
        </w:tc>
        <w:tc>
          <w:tcPr>
            <w:tcW w:w="1448" w:type="pct"/>
            <w:tcBorders>
              <w:top w:val="single" w:sz="12" w:space="0" w:color="auto"/>
              <w:left w:val="single" w:sz="12" w:space="0" w:color="auto"/>
              <w:bottom w:val="single" w:sz="12" w:space="0" w:color="auto"/>
              <w:right w:val="single" w:sz="12" w:space="0" w:color="auto"/>
            </w:tcBorders>
            <w:shd w:val="clear" w:color="auto" w:fill="FFC000"/>
            <w:hideMark/>
          </w:tcPr>
          <w:p w14:paraId="758F3E2C"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use of materials to infill penetrations in compartment walls cannot be proven to be of a suitable standard to achieve the required level of fire resistance.</w:t>
            </w:r>
          </w:p>
        </w:tc>
        <w:tc>
          <w:tcPr>
            <w:tcW w:w="1302" w:type="pct"/>
            <w:tcBorders>
              <w:top w:val="single" w:sz="12" w:space="0" w:color="auto"/>
              <w:left w:val="single" w:sz="12" w:space="0" w:color="auto"/>
              <w:bottom w:val="single" w:sz="12" w:space="0" w:color="auto"/>
              <w:right w:val="single" w:sz="12" w:space="0" w:color="auto"/>
            </w:tcBorders>
            <w:shd w:val="clear" w:color="auto" w:fill="92D050"/>
            <w:hideMark/>
          </w:tcPr>
          <w:p w14:paraId="13510504"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Failure to be able to demonstrate the adequate maintenance of fire dampers between compartments.</w:t>
            </w:r>
          </w:p>
        </w:tc>
      </w:tr>
      <w:tr w:rsidR="00F06DDD" w:rsidRPr="00DF3CF8" w14:paraId="2FED32F1" w14:textId="77777777" w:rsidTr="0016630A">
        <w:trPr>
          <w:trHeight w:val="382"/>
        </w:trPr>
        <w:tc>
          <w:tcPr>
            <w:tcW w:w="474" w:type="pct"/>
            <w:tcBorders>
              <w:top w:val="single" w:sz="12" w:space="0" w:color="auto"/>
              <w:left w:val="single" w:sz="12" w:space="0" w:color="auto"/>
              <w:bottom w:val="single" w:sz="12" w:space="0" w:color="auto"/>
              <w:right w:val="single" w:sz="12" w:space="0" w:color="auto"/>
            </w:tcBorders>
          </w:tcPr>
          <w:p w14:paraId="6E97182C"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LOLER reg. 9</w:t>
            </w:r>
          </w:p>
        </w:tc>
        <w:tc>
          <w:tcPr>
            <w:tcW w:w="514" w:type="pct"/>
            <w:tcBorders>
              <w:top w:val="single" w:sz="12" w:space="0" w:color="auto"/>
              <w:left w:val="single" w:sz="12" w:space="0" w:color="auto"/>
              <w:bottom w:val="single" w:sz="12" w:space="0" w:color="auto"/>
              <w:right w:val="single" w:sz="12" w:space="0" w:color="auto"/>
            </w:tcBorders>
          </w:tcPr>
          <w:p w14:paraId="358736F0"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 xml:space="preserve">Thorough examination </w:t>
            </w:r>
            <w:r w:rsidRPr="00DF3CF8">
              <w:rPr>
                <w:rFonts w:asciiTheme="minorHAnsi" w:hAnsiTheme="minorHAnsi" w:cstheme="minorHAnsi"/>
                <w:sz w:val="20"/>
                <w:szCs w:val="20"/>
                <w:lang w:bidi="ar-SA"/>
              </w:rPr>
              <w:lastRenderedPageBreak/>
              <w:t xml:space="preserve">and inspection of lifting equipment </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1F535ED8"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lastRenderedPageBreak/>
              <w:t xml:space="preserve">Complete failure to identify equipment which requires a </w:t>
            </w:r>
            <w:r w:rsidRPr="00DF3CF8">
              <w:rPr>
                <w:rFonts w:asciiTheme="minorHAnsi" w:hAnsiTheme="minorHAnsi" w:cstheme="minorHAnsi"/>
                <w:sz w:val="20"/>
                <w:szCs w:val="20"/>
                <w:lang w:bidi="ar-SA"/>
              </w:rPr>
              <w:lastRenderedPageBreak/>
              <w:t xml:space="preserve">thorough examination, or ensure that lifting equipment is thoroughly examined for any defects by a competent person. </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5C6A4D26"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lastRenderedPageBreak/>
              <w:t xml:space="preserve">There are shortfalls in arrangements that could increase the likelihood of a piece of </w:t>
            </w:r>
            <w:r w:rsidRPr="00DF3CF8">
              <w:rPr>
                <w:rFonts w:asciiTheme="minorHAnsi" w:hAnsiTheme="minorHAnsi" w:cstheme="minorHAnsi"/>
                <w:sz w:val="20"/>
                <w:szCs w:val="20"/>
                <w:lang w:bidi="ar-SA"/>
              </w:rPr>
              <w:lastRenderedPageBreak/>
              <w:t>lifting equipment not being thoroughly examined by a competent person at suitable time intervals.</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751E8BFC"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lastRenderedPageBreak/>
              <w:t xml:space="preserve">A thorough examination of lifting equipment has been completed by a </w:t>
            </w:r>
            <w:r w:rsidRPr="00DF3CF8">
              <w:rPr>
                <w:rFonts w:asciiTheme="minorHAnsi" w:hAnsiTheme="minorHAnsi" w:cstheme="minorHAnsi"/>
                <w:sz w:val="20"/>
                <w:szCs w:val="20"/>
                <w:lang w:bidi="ar-SA"/>
              </w:rPr>
              <w:lastRenderedPageBreak/>
              <w:t>competent person, but there is no physical evidence that the examination has been completed.</w:t>
            </w:r>
          </w:p>
        </w:tc>
      </w:tr>
      <w:tr w:rsidR="00F06DDD" w:rsidRPr="00DF3CF8" w14:paraId="1F3CB16B" w14:textId="77777777" w:rsidTr="0016630A">
        <w:trPr>
          <w:trHeight w:val="1716"/>
        </w:trPr>
        <w:tc>
          <w:tcPr>
            <w:tcW w:w="474" w:type="pct"/>
            <w:tcBorders>
              <w:top w:val="single" w:sz="12" w:space="0" w:color="auto"/>
              <w:left w:val="single" w:sz="12" w:space="0" w:color="auto"/>
              <w:bottom w:val="single" w:sz="12" w:space="0" w:color="auto"/>
              <w:right w:val="single" w:sz="12" w:space="0" w:color="auto"/>
            </w:tcBorders>
          </w:tcPr>
          <w:p w14:paraId="18579F7C"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lastRenderedPageBreak/>
              <w:t>COMAH Regs 8 &amp; 9, Schedule 3</w:t>
            </w:r>
          </w:p>
        </w:tc>
        <w:tc>
          <w:tcPr>
            <w:tcW w:w="514" w:type="pct"/>
            <w:tcBorders>
              <w:top w:val="single" w:sz="12" w:space="0" w:color="auto"/>
              <w:left w:val="single" w:sz="12" w:space="0" w:color="auto"/>
              <w:bottom w:val="single" w:sz="12" w:space="0" w:color="auto"/>
              <w:right w:val="single" w:sz="12" w:space="0" w:color="auto"/>
            </w:tcBorders>
          </w:tcPr>
          <w:p w14:paraId="748E1F73"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Production and submission of adequate Safety Report within the set timeframes</w:t>
            </w:r>
          </w:p>
          <w:p w14:paraId="0B5982F4" w14:textId="77777777" w:rsidR="00F06DDD" w:rsidRPr="00DF3CF8" w:rsidRDefault="00F06DDD" w:rsidP="00F06DDD">
            <w:pPr>
              <w:spacing w:after="0" w:line="240" w:lineRule="auto"/>
              <w:rPr>
                <w:rFonts w:asciiTheme="minorHAnsi" w:hAnsiTheme="minorHAnsi" w:cstheme="minorHAnsi"/>
                <w:sz w:val="20"/>
                <w:szCs w:val="20"/>
                <w:lang w:bidi="ar-SA"/>
              </w:rPr>
            </w:pP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04018E01"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Complete failure to produce or submit a COMAH Safety Report to the Competent Authority.</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4AB17B27"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Failure to submit an adequate Safety Report, such that it is unable to proceed to assessment due to significant omissions or errors.</w:t>
            </w:r>
          </w:p>
          <w:p w14:paraId="15CE6941"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eastAsia="Times New Roman" w:hAnsiTheme="minorHAnsi" w:cstheme="minorHAnsi"/>
                <w:sz w:val="20"/>
                <w:szCs w:val="20"/>
                <w:lang w:bidi="ar-SA"/>
              </w:rPr>
              <w:t>Submission of Safety Report significantly beyond the timeframes laid out in the regulations.</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2AA88D2D"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Shortfalls in the details and demonstrations provided within the Safety Report; which will require further work to confirm adequate systems and safety precautions are in place.</w:t>
            </w:r>
          </w:p>
        </w:tc>
      </w:tr>
      <w:tr w:rsidR="00F06DDD" w:rsidRPr="00DF3CF8" w14:paraId="45E22934" w14:textId="77777777" w:rsidTr="0016630A">
        <w:trPr>
          <w:trHeight w:val="1807"/>
        </w:trPr>
        <w:tc>
          <w:tcPr>
            <w:tcW w:w="474" w:type="pct"/>
            <w:tcBorders>
              <w:top w:val="single" w:sz="12" w:space="0" w:color="auto"/>
              <w:left w:val="single" w:sz="12" w:space="0" w:color="auto"/>
              <w:bottom w:val="single" w:sz="12" w:space="0" w:color="auto"/>
              <w:right w:val="single" w:sz="12" w:space="0" w:color="auto"/>
            </w:tcBorders>
          </w:tcPr>
          <w:p w14:paraId="167CD691"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Nuclear Safeguards (EU Exit) Regulations 2019</w:t>
            </w:r>
          </w:p>
          <w:p w14:paraId="4E403D03" w14:textId="77777777" w:rsidR="00F06DDD" w:rsidRPr="00DF3CF8" w:rsidRDefault="00F06DDD" w:rsidP="00F06DDD">
            <w:pPr>
              <w:spacing w:after="0" w:line="240" w:lineRule="auto"/>
              <w:rPr>
                <w:rFonts w:asciiTheme="minorHAnsi" w:hAnsiTheme="minorHAnsi" w:cstheme="minorHAnsi"/>
                <w:sz w:val="20"/>
                <w:szCs w:val="20"/>
                <w:lang w:bidi="ar-SA"/>
              </w:rPr>
            </w:pPr>
          </w:p>
          <w:p w14:paraId="117168BF"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3 / 4 / 7</w:t>
            </w:r>
          </w:p>
        </w:tc>
        <w:tc>
          <w:tcPr>
            <w:tcW w:w="514" w:type="pct"/>
            <w:tcBorders>
              <w:top w:val="single" w:sz="12" w:space="0" w:color="auto"/>
              <w:left w:val="single" w:sz="12" w:space="0" w:color="auto"/>
              <w:bottom w:val="single" w:sz="12" w:space="0" w:color="auto"/>
              <w:right w:val="single" w:sz="12" w:space="0" w:color="auto"/>
            </w:tcBorders>
          </w:tcPr>
          <w:p w14:paraId="46CC13E5"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Declaration of Basic Technical Characteristics</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1E240DFD" w14:textId="1E8C6AE7"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The Operator has no appreciation of BTC/POA/ACP compliance and has an ongoing total absence of a BTC/POA/ACP in any form.</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6839558F" w14:textId="412954F4"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 xml:space="preserve">The failings in timeliness or quality of the BTC/POA/ACP (it lacks key information and details) is considered by ONR to be substantial. </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7A94470E" w14:textId="2AC150CC"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Operator deviates from the prescribed BTC/POA/ACP format in Part 1 of Schedule 1.</w:t>
            </w:r>
          </w:p>
          <w:p w14:paraId="2576EACF" w14:textId="77777777" w:rsidR="00F06DDD" w:rsidRPr="00DF3CF8" w:rsidRDefault="00F06DDD" w:rsidP="00F06DDD">
            <w:pPr>
              <w:spacing w:after="0" w:line="240" w:lineRule="auto"/>
              <w:rPr>
                <w:rFonts w:asciiTheme="minorHAnsi" w:hAnsiTheme="minorHAnsi" w:cstheme="minorHAnsi"/>
                <w:color w:val="000000"/>
                <w:sz w:val="20"/>
                <w:szCs w:val="20"/>
                <w:lang w:bidi="ar-SA"/>
              </w:rPr>
            </w:pPr>
          </w:p>
          <w:p w14:paraId="5E1AD174" w14:textId="621074B8"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Minor shortfalls with the information/quality of information declared in the BTC/POA/ACP.</w:t>
            </w:r>
          </w:p>
        </w:tc>
      </w:tr>
      <w:tr w:rsidR="00F06DDD" w:rsidRPr="00DF3CF8" w14:paraId="2B212B52" w14:textId="77777777" w:rsidTr="0016630A">
        <w:trPr>
          <w:trHeight w:val="889"/>
        </w:trPr>
        <w:tc>
          <w:tcPr>
            <w:tcW w:w="474" w:type="pct"/>
            <w:tcBorders>
              <w:top w:val="single" w:sz="12" w:space="0" w:color="auto"/>
              <w:left w:val="single" w:sz="12" w:space="0" w:color="auto"/>
              <w:bottom w:val="single" w:sz="12" w:space="0" w:color="auto"/>
              <w:right w:val="single" w:sz="12" w:space="0" w:color="auto"/>
            </w:tcBorders>
          </w:tcPr>
          <w:p w14:paraId="10539678"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Nuclear Safeguards (EU Exit) Regulations 2019</w:t>
            </w:r>
          </w:p>
          <w:p w14:paraId="71C0469E" w14:textId="77777777" w:rsidR="00F06DDD" w:rsidRPr="00DF3CF8" w:rsidRDefault="00F06DDD" w:rsidP="00F06DDD">
            <w:pPr>
              <w:spacing w:after="0" w:line="240" w:lineRule="auto"/>
              <w:rPr>
                <w:rFonts w:asciiTheme="minorHAnsi" w:hAnsiTheme="minorHAnsi" w:cstheme="minorHAnsi"/>
                <w:sz w:val="20"/>
                <w:szCs w:val="20"/>
                <w:lang w:bidi="ar-SA"/>
              </w:rPr>
            </w:pPr>
          </w:p>
          <w:p w14:paraId="7862111C"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6</w:t>
            </w:r>
          </w:p>
        </w:tc>
        <w:tc>
          <w:tcPr>
            <w:tcW w:w="514" w:type="pct"/>
            <w:tcBorders>
              <w:top w:val="single" w:sz="12" w:space="0" w:color="auto"/>
              <w:left w:val="single" w:sz="12" w:space="0" w:color="auto"/>
              <w:bottom w:val="single" w:sz="12" w:space="0" w:color="auto"/>
              <w:right w:val="single" w:sz="12" w:space="0" w:color="auto"/>
            </w:tcBorders>
          </w:tcPr>
          <w:p w14:paraId="653746CC"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Accountancy and Control of Qualifying Nuclear Material</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14A3E20B" w14:textId="2D5E4DDB"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Operator has no appreciation of compliance regarding retaining required nuclear material accountancy records.</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6E2382FB" w14:textId="6ED9BE30"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Operator’s failings in retaining appropriate nuclear material accountancy records is deemed by ONR to be substantial (records missing for no reason, incomplete records, records not fit for purpose etc.).</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6364BFDB" w14:textId="799C2753"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Minor compliance shortfalls that are not considered to be substantial, such as minor errors in the records e.g. typos.</w:t>
            </w:r>
          </w:p>
        </w:tc>
      </w:tr>
      <w:tr w:rsidR="00F06DDD" w:rsidRPr="00DF3CF8" w14:paraId="09864069" w14:textId="77777777" w:rsidTr="0016630A">
        <w:tc>
          <w:tcPr>
            <w:tcW w:w="474" w:type="pct"/>
            <w:tcBorders>
              <w:top w:val="single" w:sz="12" w:space="0" w:color="auto"/>
              <w:left w:val="single" w:sz="12" w:space="0" w:color="auto"/>
              <w:bottom w:val="single" w:sz="12" w:space="0" w:color="auto"/>
              <w:right w:val="single" w:sz="12" w:space="0" w:color="auto"/>
            </w:tcBorders>
            <w:hideMark/>
          </w:tcPr>
          <w:p w14:paraId="3287BECF"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Nuclear Safeguards (EU Exit) Regulations 2019</w:t>
            </w:r>
          </w:p>
          <w:p w14:paraId="1CAFD2C2" w14:textId="77777777" w:rsidR="00F06DDD" w:rsidRPr="00DF3CF8" w:rsidRDefault="00F06DDD" w:rsidP="00F06DDD">
            <w:pPr>
              <w:spacing w:after="0" w:line="240" w:lineRule="auto"/>
              <w:rPr>
                <w:rFonts w:asciiTheme="minorHAnsi" w:hAnsiTheme="minorHAnsi" w:cstheme="minorHAnsi"/>
                <w:sz w:val="20"/>
                <w:szCs w:val="20"/>
                <w:lang w:bidi="ar-SA"/>
              </w:rPr>
            </w:pPr>
          </w:p>
          <w:p w14:paraId="203521DD"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lastRenderedPageBreak/>
              <w:t>Reg 9</w:t>
            </w:r>
          </w:p>
        </w:tc>
        <w:tc>
          <w:tcPr>
            <w:tcW w:w="514" w:type="pct"/>
            <w:tcBorders>
              <w:top w:val="single" w:sz="12" w:space="0" w:color="auto"/>
              <w:left w:val="single" w:sz="12" w:space="0" w:color="auto"/>
              <w:bottom w:val="single" w:sz="12" w:space="0" w:color="auto"/>
              <w:right w:val="single" w:sz="12" w:space="0" w:color="auto"/>
            </w:tcBorders>
          </w:tcPr>
          <w:p w14:paraId="3160D668"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lastRenderedPageBreak/>
              <w:t>Operation of an Accountancy and Control Plan</w:t>
            </w:r>
          </w:p>
        </w:tc>
        <w:tc>
          <w:tcPr>
            <w:tcW w:w="1262" w:type="pct"/>
            <w:tcBorders>
              <w:top w:val="single" w:sz="12" w:space="0" w:color="auto"/>
              <w:left w:val="single" w:sz="12" w:space="0" w:color="auto"/>
              <w:bottom w:val="single" w:sz="12" w:space="0" w:color="auto"/>
              <w:right w:val="single" w:sz="12" w:space="0" w:color="auto"/>
            </w:tcBorders>
            <w:shd w:val="clear" w:color="auto" w:fill="FF5050"/>
            <w:hideMark/>
          </w:tcPr>
          <w:p w14:paraId="6B0E1351" w14:textId="158EF8B4"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Operator has no appreciation of implementation of their ACP, and has an ongoing total absence of ACP implementation.</w:t>
            </w:r>
          </w:p>
        </w:tc>
        <w:tc>
          <w:tcPr>
            <w:tcW w:w="1448" w:type="pct"/>
            <w:tcBorders>
              <w:top w:val="single" w:sz="12" w:space="0" w:color="auto"/>
              <w:left w:val="single" w:sz="12" w:space="0" w:color="auto"/>
              <w:bottom w:val="single" w:sz="12" w:space="0" w:color="auto"/>
              <w:right w:val="single" w:sz="12" w:space="0" w:color="auto"/>
            </w:tcBorders>
            <w:shd w:val="clear" w:color="auto" w:fill="FFC000"/>
            <w:hideMark/>
          </w:tcPr>
          <w:p w14:paraId="16080BD4" w14:textId="62329F62" w:rsidR="00F06DDD" w:rsidRPr="00DF3CF8" w:rsidRDefault="00F06DDD" w:rsidP="00F06DDD">
            <w:pPr>
              <w:spacing w:after="0" w:line="240" w:lineRule="auto"/>
              <w:rPr>
                <w:rFonts w:asciiTheme="minorHAnsi" w:hAnsiTheme="minorHAnsi" w:cstheme="minorHAnsi"/>
                <w:sz w:val="20"/>
                <w:szCs w:val="20"/>
                <w:highlight w:val="yellow"/>
                <w:lang w:bidi="ar-SA"/>
              </w:rPr>
            </w:pPr>
            <w:r w:rsidRPr="00DF3CF8">
              <w:rPr>
                <w:rFonts w:asciiTheme="minorHAnsi" w:hAnsiTheme="minorHAnsi" w:cstheme="minorHAnsi"/>
                <w:sz w:val="20"/>
                <w:szCs w:val="20"/>
                <w:lang w:bidi="ar-SA"/>
              </w:rPr>
              <w:t>The Operator is not implementing key aspects of their ACP to the extent that ONR seem these failings to be substantial.</w:t>
            </w:r>
          </w:p>
        </w:tc>
        <w:tc>
          <w:tcPr>
            <w:tcW w:w="1302" w:type="pct"/>
            <w:tcBorders>
              <w:top w:val="single" w:sz="12" w:space="0" w:color="auto"/>
              <w:left w:val="single" w:sz="12" w:space="0" w:color="auto"/>
              <w:bottom w:val="single" w:sz="12" w:space="0" w:color="auto"/>
              <w:right w:val="single" w:sz="12" w:space="0" w:color="auto"/>
            </w:tcBorders>
            <w:shd w:val="clear" w:color="auto" w:fill="92D050"/>
            <w:hideMark/>
          </w:tcPr>
          <w:p w14:paraId="4DBA922A" w14:textId="26738742"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Minor shortfalls with the implementation of the ACP that are not considered to be substantial.</w:t>
            </w:r>
          </w:p>
        </w:tc>
      </w:tr>
      <w:tr w:rsidR="00F06DDD" w:rsidRPr="00DF3CF8" w14:paraId="2B30E3CA" w14:textId="77777777" w:rsidTr="0016630A">
        <w:tc>
          <w:tcPr>
            <w:tcW w:w="474" w:type="pct"/>
            <w:tcBorders>
              <w:top w:val="single" w:sz="12" w:space="0" w:color="auto"/>
              <w:left w:val="single" w:sz="12" w:space="0" w:color="auto"/>
              <w:bottom w:val="single" w:sz="12" w:space="0" w:color="auto"/>
              <w:right w:val="single" w:sz="12" w:space="0" w:color="auto"/>
            </w:tcBorders>
            <w:hideMark/>
          </w:tcPr>
          <w:p w14:paraId="7E61A5E0"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Nuclear Safeguards (EU Exit) Regulations 2019</w:t>
            </w:r>
          </w:p>
          <w:p w14:paraId="03258940" w14:textId="77777777" w:rsidR="00F06DDD" w:rsidRPr="00DF3CF8" w:rsidRDefault="00F06DDD" w:rsidP="00F06DDD">
            <w:pPr>
              <w:spacing w:after="0" w:line="240" w:lineRule="auto"/>
              <w:rPr>
                <w:rFonts w:asciiTheme="minorHAnsi" w:hAnsiTheme="minorHAnsi" w:cstheme="minorHAnsi"/>
                <w:sz w:val="20"/>
                <w:szCs w:val="20"/>
                <w:lang w:bidi="ar-SA"/>
              </w:rPr>
            </w:pPr>
          </w:p>
          <w:p w14:paraId="520F0DED"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12 / 14 / 15</w:t>
            </w:r>
          </w:p>
        </w:tc>
        <w:tc>
          <w:tcPr>
            <w:tcW w:w="514" w:type="pct"/>
            <w:tcBorders>
              <w:top w:val="single" w:sz="12" w:space="0" w:color="auto"/>
              <w:left w:val="single" w:sz="12" w:space="0" w:color="auto"/>
              <w:bottom w:val="single" w:sz="12" w:space="0" w:color="auto"/>
              <w:right w:val="single" w:sz="12" w:space="0" w:color="auto"/>
            </w:tcBorders>
          </w:tcPr>
          <w:p w14:paraId="2696275A"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Submission of Accounting Reports (ICR/MBR/PIL)</w:t>
            </w:r>
          </w:p>
        </w:tc>
        <w:tc>
          <w:tcPr>
            <w:tcW w:w="1262" w:type="pct"/>
            <w:tcBorders>
              <w:top w:val="single" w:sz="12" w:space="0" w:color="auto"/>
              <w:left w:val="single" w:sz="12" w:space="0" w:color="auto"/>
              <w:bottom w:val="single" w:sz="12" w:space="0" w:color="auto"/>
              <w:right w:val="single" w:sz="12" w:space="0" w:color="auto"/>
            </w:tcBorders>
            <w:shd w:val="clear" w:color="auto" w:fill="FF5050"/>
            <w:hideMark/>
          </w:tcPr>
          <w:p w14:paraId="6970618A" w14:textId="02030378"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 xml:space="preserve">The Operator has no appreciation of compliance regarding submission of accountancy records to ONR and has an ongoing total absence of ICR/PIL/MBR submissions. </w:t>
            </w:r>
          </w:p>
        </w:tc>
        <w:tc>
          <w:tcPr>
            <w:tcW w:w="1448" w:type="pct"/>
            <w:tcBorders>
              <w:top w:val="single" w:sz="12" w:space="0" w:color="auto"/>
              <w:left w:val="single" w:sz="12" w:space="0" w:color="auto"/>
              <w:bottom w:val="single" w:sz="12" w:space="0" w:color="auto"/>
              <w:right w:val="single" w:sz="12" w:space="0" w:color="auto"/>
            </w:tcBorders>
            <w:shd w:val="clear" w:color="auto" w:fill="FFC000"/>
            <w:hideMark/>
          </w:tcPr>
          <w:p w14:paraId="175ACDAB" w14:textId="10081818"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The Operator submits reports in a format that is not compliant with the regulations to the extent that the failing is considered to be substantial.</w:t>
            </w:r>
          </w:p>
          <w:p w14:paraId="1190C721" w14:textId="77777777" w:rsidR="00F06DDD" w:rsidRPr="00DF3CF8" w:rsidRDefault="00F06DDD" w:rsidP="00F06DDD">
            <w:pPr>
              <w:spacing w:after="0" w:line="240" w:lineRule="auto"/>
              <w:rPr>
                <w:rFonts w:asciiTheme="minorHAnsi" w:hAnsiTheme="minorHAnsi" w:cstheme="minorHAnsi"/>
                <w:color w:val="000000"/>
                <w:sz w:val="20"/>
                <w:szCs w:val="20"/>
                <w:lang w:bidi="ar-SA"/>
              </w:rPr>
            </w:pPr>
          </w:p>
          <w:p w14:paraId="7A3404B1" w14:textId="52B6EB35" w:rsidR="00F06DDD" w:rsidRPr="00DF3CF8" w:rsidRDefault="00F06DDD" w:rsidP="00F06DDD">
            <w:pPr>
              <w:spacing w:after="0" w:line="240" w:lineRule="auto"/>
              <w:rPr>
                <w:rFonts w:asciiTheme="minorHAnsi" w:hAnsiTheme="minorHAnsi" w:cstheme="minorHAnsi"/>
                <w:color w:val="000000"/>
                <w:sz w:val="20"/>
                <w:szCs w:val="20"/>
                <w:lang w:bidi="ar-SA"/>
              </w:rPr>
            </w:pPr>
            <w:r w:rsidRPr="00DF3CF8">
              <w:rPr>
                <w:rFonts w:asciiTheme="minorHAnsi" w:hAnsiTheme="minorHAnsi" w:cstheme="minorHAnsi"/>
                <w:color w:val="000000"/>
                <w:sz w:val="20"/>
                <w:szCs w:val="20"/>
                <w:lang w:bidi="ar-SA"/>
              </w:rPr>
              <w:t xml:space="preserve">The failings in timeliness, quality or accuracy of the ICR/MBR/PIL (they lack key information and details) is considered by ONR to be substantial. </w:t>
            </w:r>
          </w:p>
        </w:tc>
        <w:tc>
          <w:tcPr>
            <w:tcW w:w="1302" w:type="pct"/>
            <w:tcBorders>
              <w:top w:val="single" w:sz="12" w:space="0" w:color="auto"/>
              <w:left w:val="single" w:sz="12" w:space="0" w:color="auto"/>
              <w:bottom w:val="single" w:sz="12" w:space="0" w:color="auto"/>
              <w:right w:val="single" w:sz="12" w:space="0" w:color="auto"/>
            </w:tcBorders>
            <w:shd w:val="clear" w:color="auto" w:fill="92D050"/>
            <w:hideMark/>
          </w:tcPr>
          <w:p w14:paraId="38A4F3FC" w14:textId="5A818505"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Minor shortfalls with the accountancy reports submitted that are not considered to be substantial.</w:t>
            </w:r>
          </w:p>
        </w:tc>
      </w:tr>
      <w:tr w:rsidR="00F06DDD" w:rsidRPr="00DF3CF8" w14:paraId="01C2CADD" w14:textId="77777777" w:rsidTr="0016630A">
        <w:trPr>
          <w:trHeight w:val="1716"/>
        </w:trPr>
        <w:tc>
          <w:tcPr>
            <w:tcW w:w="474" w:type="pct"/>
            <w:tcBorders>
              <w:top w:val="single" w:sz="12" w:space="0" w:color="auto"/>
              <w:left w:val="single" w:sz="12" w:space="0" w:color="auto"/>
              <w:bottom w:val="single" w:sz="12" w:space="0" w:color="auto"/>
              <w:right w:val="single" w:sz="12" w:space="0" w:color="auto"/>
            </w:tcBorders>
          </w:tcPr>
          <w:p w14:paraId="533B3D36"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Nuclear Safeguards (EU Exit) Regulations 2019</w:t>
            </w:r>
          </w:p>
          <w:p w14:paraId="22A8288B" w14:textId="77777777" w:rsidR="00F06DDD" w:rsidRPr="00DF3CF8" w:rsidRDefault="00F06DDD" w:rsidP="00F06DDD">
            <w:pPr>
              <w:spacing w:after="0" w:line="240" w:lineRule="auto"/>
              <w:rPr>
                <w:rFonts w:asciiTheme="minorHAnsi" w:hAnsiTheme="minorHAnsi" w:cstheme="minorHAnsi"/>
                <w:sz w:val="20"/>
                <w:szCs w:val="20"/>
                <w:lang w:bidi="ar-SA"/>
              </w:rPr>
            </w:pPr>
          </w:p>
          <w:p w14:paraId="282833DD"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19</w:t>
            </w:r>
          </w:p>
        </w:tc>
        <w:tc>
          <w:tcPr>
            <w:tcW w:w="514" w:type="pct"/>
            <w:tcBorders>
              <w:top w:val="single" w:sz="12" w:space="0" w:color="auto"/>
              <w:left w:val="single" w:sz="12" w:space="0" w:color="auto"/>
              <w:bottom w:val="single" w:sz="12" w:space="0" w:color="auto"/>
              <w:right w:val="single" w:sz="12" w:space="0" w:color="auto"/>
            </w:tcBorders>
          </w:tcPr>
          <w:p w14:paraId="295A772F"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NCA Obligations</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0E9B0E02" w14:textId="7AE76C93"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Operator has no appreciation of using obligation codes for nuclear material and has an ongoing total absence of obligation code tracking for nuclear material.</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6D752496" w14:textId="169F96EC"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color w:val="000000"/>
                <w:sz w:val="20"/>
                <w:szCs w:val="20"/>
                <w:lang w:bidi="ar-SA"/>
              </w:rPr>
              <w:t>The failings in usage or accuracy of the obligation codes tracking are considered by ONR to be substantial.</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420981BB" w14:textId="1BE28A63"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There are minor shortfalls with the use and tracking of obligation codes.</w:t>
            </w:r>
          </w:p>
        </w:tc>
      </w:tr>
      <w:tr w:rsidR="00F06DDD" w:rsidRPr="00DF3CF8" w14:paraId="2A7B8B38" w14:textId="77777777" w:rsidTr="0016630A">
        <w:trPr>
          <w:trHeight w:val="1716"/>
        </w:trPr>
        <w:tc>
          <w:tcPr>
            <w:tcW w:w="474" w:type="pct"/>
            <w:tcBorders>
              <w:top w:val="single" w:sz="12" w:space="0" w:color="auto"/>
              <w:left w:val="single" w:sz="12" w:space="0" w:color="auto"/>
              <w:bottom w:val="single" w:sz="12" w:space="0" w:color="auto"/>
              <w:right w:val="single" w:sz="12" w:space="0" w:color="auto"/>
            </w:tcBorders>
          </w:tcPr>
          <w:p w14:paraId="28ED314A"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The Nuclear Safeguards (EU Exit) Regulations 2019</w:t>
            </w:r>
          </w:p>
          <w:p w14:paraId="2E88B5C8" w14:textId="77777777" w:rsidR="00F06DDD" w:rsidRPr="00DF3CF8" w:rsidRDefault="00F06DDD" w:rsidP="00F06DDD">
            <w:pPr>
              <w:spacing w:after="0" w:line="240" w:lineRule="auto"/>
              <w:rPr>
                <w:rFonts w:asciiTheme="minorHAnsi" w:hAnsiTheme="minorHAnsi" w:cstheme="minorHAnsi"/>
                <w:sz w:val="20"/>
                <w:szCs w:val="20"/>
                <w:lang w:bidi="ar-SA"/>
              </w:rPr>
            </w:pPr>
          </w:p>
          <w:p w14:paraId="4DB29897"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Reg 21 / 22</w:t>
            </w:r>
          </w:p>
        </w:tc>
        <w:tc>
          <w:tcPr>
            <w:tcW w:w="514" w:type="pct"/>
            <w:tcBorders>
              <w:top w:val="single" w:sz="12" w:space="0" w:color="auto"/>
              <w:left w:val="single" w:sz="12" w:space="0" w:color="auto"/>
              <w:bottom w:val="single" w:sz="12" w:space="0" w:color="auto"/>
              <w:right w:val="single" w:sz="12" w:space="0" w:color="auto"/>
            </w:tcBorders>
          </w:tcPr>
          <w:p w14:paraId="5794B803"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Exports / Imports</w:t>
            </w:r>
          </w:p>
        </w:tc>
        <w:tc>
          <w:tcPr>
            <w:tcW w:w="1262" w:type="pct"/>
            <w:tcBorders>
              <w:top w:val="single" w:sz="12" w:space="0" w:color="auto"/>
              <w:left w:val="single" w:sz="12" w:space="0" w:color="auto"/>
              <w:bottom w:val="single" w:sz="12" w:space="0" w:color="auto"/>
              <w:right w:val="single" w:sz="12" w:space="0" w:color="auto"/>
            </w:tcBorders>
            <w:shd w:val="clear" w:color="auto" w:fill="FF5050"/>
          </w:tcPr>
          <w:p w14:paraId="7F643F26"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 The Operator has no appreciation of compliance regarding notifications for exports and imports and has an ongoing total absence of notifications for such movements.</w:t>
            </w:r>
          </w:p>
        </w:tc>
        <w:tc>
          <w:tcPr>
            <w:tcW w:w="1448" w:type="pct"/>
            <w:tcBorders>
              <w:top w:val="single" w:sz="12" w:space="0" w:color="auto"/>
              <w:left w:val="single" w:sz="12" w:space="0" w:color="auto"/>
              <w:bottom w:val="single" w:sz="12" w:space="0" w:color="auto"/>
              <w:right w:val="single" w:sz="12" w:space="0" w:color="auto"/>
            </w:tcBorders>
            <w:shd w:val="clear" w:color="auto" w:fill="FFC000"/>
          </w:tcPr>
          <w:p w14:paraId="43D7A2DE"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 xml:space="preserve">- </w:t>
            </w:r>
            <w:r w:rsidRPr="00DF3CF8">
              <w:rPr>
                <w:rFonts w:asciiTheme="minorHAnsi" w:hAnsiTheme="minorHAnsi" w:cstheme="minorHAnsi"/>
                <w:color w:val="000000"/>
                <w:sz w:val="20"/>
                <w:szCs w:val="20"/>
                <w:lang w:bidi="ar-SA"/>
              </w:rPr>
              <w:t>The failings in timeliness, quality or accuracy of the notifications are considered by ONR to be substantial.</w:t>
            </w:r>
          </w:p>
        </w:tc>
        <w:tc>
          <w:tcPr>
            <w:tcW w:w="1302" w:type="pct"/>
            <w:tcBorders>
              <w:top w:val="single" w:sz="12" w:space="0" w:color="auto"/>
              <w:left w:val="single" w:sz="12" w:space="0" w:color="auto"/>
              <w:bottom w:val="single" w:sz="12" w:space="0" w:color="auto"/>
              <w:right w:val="single" w:sz="12" w:space="0" w:color="auto"/>
            </w:tcBorders>
            <w:shd w:val="clear" w:color="auto" w:fill="92D050"/>
          </w:tcPr>
          <w:p w14:paraId="42900779" w14:textId="77777777" w:rsidR="00F06DDD" w:rsidRPr="00DF3CF8" w:rsidRDefault="00F06DDD" w:rsidP="00F06DDD">
            <w:pPr>
              <w:spacing w:after="0" w:line="240" w:lineRule="auto"/>
              <w:rPr>
                <w:rFonts w:asciiTheme="minorHAnsi" w:hAnsiTheme="minorHAnsi" w:cstheme="minorHAnsi"/>
                <w:sz w:val="20"/>
                <w:szCs w:val="20"/>
                <w:lang w:bidi="ar-SA"/>
              </w:rPr>
            </w:pPr>
            <w:r w:rsidRPr="00DF3CF8">
              <w:rPr>
                <w:rFonts w:asciiTheme="minorHAnsi" w:hAnsiTheme="minorHAnsi" w:cstheme="minorHAnsi"/>
                <w:sz w:val="20"/>
                <w:szCs w:val="20"/>
                <w:lang w:bidi="ar-SA"/>
              </w:rPr>
              <w:t>- There are minor shortfalls with the notifications.</w:t>
            </w:r>
          </w:p>
        </w:tc>
      </w:tr>
    </w:tbl>
    <w:p w14:paraId="255120A9" w14:textId="77777777" w:rsidR="00B6513B" w:rsidRDefault="00B6513B" w:rsidP="00B6513B">
      <w:pPr>
        <w:rPr>
          <w:highlight w:val="green"/>
        </w:rPr>
      </w:pPr>
    </w:p>
    <w:p w14:paraId="2E376A8E" w14:textId="77777777" w:rsidR="00B6513B" w:rsidRDefault="00B6513B" w:rsidP="00B6513B">
      <w:pPr>
        <w:rPr>
          <w:highlight w:val="green"/>
        </w:rPr>
      </w:pPr>
    </w:p>
    <w:p w14:paraId="10FAF901" w14:textId="77777777" w:rsidR="00B6513B" w:rsidRPr="00B6513B" w:rsidRDefault="00B6513B" w:rsidP="00B6513B">
      <w:pPr>
        <w:rPr>
          <w:highlight w:val="green"/>
        </w:rPr>
        <w:sectPr w:rsidR="00B6513B" w:rsidRPr="00B6513B" w:rsidSect="001A677D">
          <w:pgSz w:w="16838" w:h="11906" w:orient="landscape" w:code="9"/>
          <w:pgMar w:top="1440" w:right="1440" w:bottom="1440" w:left="1440" w:header="397" w:footer="397" w:gutter="0"/>
          <w:cols w:space="312"/>
          <w:docGrid w:linePitch="360"/>
        </w:sectPr>
      </w:pPr>
    </w:p>
    <w:bookmarkStart w:id="49" w:name="_Toc213836325" w:displacedByCustomXml="next"/>
    <w:sdt>
      <w:sdtPr>
        <w:rPr>
          <w:color w:val="auto"/>
          <w:sz w:val="24"/>
        </w:rPr>
        <w:id w:val="-839160462"/>
        <w:docPartObj>
          <w:docPartGallery w:val="Bibliographies"/>
          <w:docPartUnique/>
        </w:docPartObj>
      </w:sdtPr>
      <w:sdtEndPr>
        <w:rPr>
          <w:highlight w:val="green"/>
        </w:rPr>
      </w:sdtEndPr>
      <w:sdtContent>
        <w:p w14:paraId="3A3A0FEE" w14:textId="1A05AE57" w:rsidR="002C7787" w:rsidRPr="004027CC" w:rsidRDefault="002C7787" w:rsidP="002C7787">
          <w:pPr>
            <w:pStyle w:val="Heading1"/>
            <w:numPr>
              <w:ilvl w:val="0"/>
              <w:numId w:val="0"/>
            </w:numPr>
            <w:ind w:left="851" w:hanging="851"/>
          </w:pPr>
          <w:r w:rsidRPr="004027CC">
            <w:t>References</w:t>
          </w:r>
          <w:bookmarkEnd w:id="49"/>
        </w:p>
        <w:sdt>
          <w:sdtPr>
            <w:rPr>
              <w:highlight w:val="green"/>
            </w:rPr>
            <w:id w:val="-1726366401"/>
            <w:bibliography/>
          </w:sdtPr>
          <w:sdtEndPr/>
          <w:sdtContent>
            <w:p w14:paraId="1C1BDBB5" w14:textId="77777777" w:rsidR="00E454D6" w:rsidRDefault="002C7787">
              <w:pPr>
                <w:rPr>
                  <w:rFonts w:ascii="Calibri" w:hAnsi="Calibri"/>
                  <w:noProof/>
                  <w:sz w:val="20"/>
                  <w:szCs w:val="20"/>
                  <w:lang w:eastAsia="en-GB" w:bidi="ar-SA"/>
                </w:rPr>
              </w:pPr>
              <w:r w:rsidRPr="006D1B7A">
                <w:rPr>
                  <w:highlight w:val="green"/>
                </w:rPr>
                <w:fldChar w:fldCharType="begin"/>
              </w:r>
              <w:r w:rsidRPr="006D1B7A">
                <w:rPr>
                  <w:highlight w:val="green"/>
                </w:rPr>
                <w:instrText>BIBLIOGRAPHY</w:instrText>
              </w:r>
              <w:r w:rsidRPr="006D1B7A">
                <w:rPr>
                  <w:highlight w:val="green"/>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E454D6" w14:paraId="44B777A3" w14:textId="77777777">
                <w:trPr>
                  <w:divId w:val="496264518"/>
                  <w:tblCellSpacing w:w="15" w:type="dxa"/>
                </w:trPr>
                <w:tc>
                  <w:tcPr>
                    <w:tcW w:w="50" w:type="pct"/>
                    <w:hideMark/>
                  </w:tcPr>
                  <w:p w14:paraId="5EEB5737" w14:textId="02629C89" w:rsidR="00E454D6" w:rsidRDefault="00E454D6" w:rsidP="00E454D6">
                    <w:pPr>
                      <w:pStyle w:val="Bibliography"/>
                      <w:spacing w:after="120"/>
                      <w:rPr>
                        <w:noProof/>
                        <w:szCs w:val="24"/>
                      </w:rPr>
                    </w:pPr>
                    <w:r>
                      <w:rPr>
                        <w:noProof/>
                      </w:rPr>
                      <w:t xml:space="preserve">[1] </w:t>
                    </w:r>
                  </w:p>
                </w:tc>
                <w:tc>
                  <w:tcPr>
                    <w:tcW w:w="0" w:type="auto"/>
                    <w:hideMark/>
                  </w:tcPr>
                  <w:p w14:paraId="057DC33C" w14:textId="77777777" w:rsidR="00E454D6" w:rsidRDefault="00E454D6" w:rsidP="00E454D6">
                    <w:pPr>
                      <w:pStyle w:val="Bibliography"/>
                      <w:spacing w:after="120"/>
                      <w:rPr>
                        <w:noProof/>
                      </w:rPr>
                    </w:pPr>
                    <w:r>
                      <w:rPr>
                        <w:noProof/>
                      </w:rPr>
                      <w:t>ONR, “ONR-ENF-POL-001 - Enforcement Policy Statement,” [Online]. Available: https://www.onr.org.uk/our-work/how-we-regulate/enforcement/.</w:t>
                    </w:r>
                  </w:p>
                </w:tc>
              </w:tr>
              <w:tr w:rsidR="00E454D6" w14:paraId="4DBE07F4" w14:textId="77777777">
                <w:trPr>
                  <w:divId w:val="496264518"/>
                  <w:tblCellSpacing w:w="15" w:type="dxa"/>
                </w:trPr>
                <w:tc>
                  <w:tcPr>
                    <w:tcW w:w="50" w:type="pct"/>
                    <w:hideMark/>
                  </w:tcPr>
                  <w:p w14:paraId="4D7593D0" w14:textId="77777777" w:rsidR="00E454D6" w:rsidRDefault="00E454D6" w:rsidP="00E454D6">
                    <w:pPr>
                      <w:pStyle w:val="Bibliography"/>
                      <w:spacing w:after="120"/>
                      <w:rPr>
                        <w:noProof/>
                      </w:rPr>
                    </w:pPr>
                    <w:r>
                      <w:rPr>
                        <w:noProof/>
                      </w:rPr>
                      <w:t xml:space="preserve">[2] </w:t>
                    </w:r>
                  </w:p>
                </w:tc>
                <w:tc>
                  <w:tcPr>
                    <w:tcW w:w="0" w:type="auto"/>
                    <w:hideMark/>
                  </w:tcPr>
                  <w:p w14:paraId="32B4661C" w14:textId="77777777" w:rsidR="00E454D6" w:rsidRDefault="00E454D6" w:rsidP="00E454D6">
                    <w:pPr>
                      <w:pStyle w:val="Bibliography"/>
                      <w:spacing w:after="120"/>
                      <w:rPr>
                        <w:noProof/>
                      </w:rPr>
                    </w:pPr>
                    <w:r>
                      <w:rPr>
                        <w:noProof/>
                      </w:rPr>
                      <w:t>ONR, “ONR-INSP-GD-064 - General Inspection Guide”.</w:t>
                    </w:r>
                  </w:p>
                </w:tc>
              </w:tr>
              <w:tr w:rsidR="00E454D6" w14:paraId="58D794CA" w14:textId="77777777">
                <w:trPr>
                  <w:divId w:val="496264518"/>
                  <w:tblCellSpacing w:w="15" w:type="dxa"/>
                </w:trPr>
                <w:tc>
                  <w:tcPr>
                    <w:tcW w:w="50" w:type="pct"/>
                    <w:hideMark/>
                  </w:tcPr>
                  <w:p w14:paraId="0E43F5EF" w14:textId="77777777" w:rsidR="00E454D6" w:rsidRDefault="00E454D6" w:rsidP="00E454D6">
                    <w:pPr>
                      <w:pStyle w:val="Bibliography"/>
                      <w:spacing w:after="120"/>
                      <w:rPr>
                        <w:noProof/>
                      </w:rPr>
                    </w:pPr>
                    <w:r>
                      <w:rPr>
                        <w:noProof/>
                      </w:rPr>
                      <w:t xml:space="preserve">[3] </w:t>
                    </w:r>
                  </w:p>
                </w:tc>
                <w:tc>
                  <w:tcPr>
                    <w:tcW w:w="0" w:type="auto"/>
                    <w:hideMark/>
                  </w:tcPr>
                  <w:p w14:paraId="603E8094" w14:textId="77777777" w:rsidR="00E454D6" w:rsidRDefault="00E454D6" w:rsidP="00E454D6">
                    <w:pPr>
                      <w:pStyle w:val="Bibliography"/>
                      <w:spacing w:after="120"/>
                      <w:rPr>
                        <w:noProof/>
                      </w:rPr>
                    </w:pPr>
                    <w:r>
                      <w:rPr>
                        <w:noProof/>
                      </w:rPr>
                      <w:t>ONR, “ONR-ENF-GD-005 - Conducting Investigations”.</w:t>
                    </w:r>
                  </w:p>
                </w:tc>
              </w:tr>
              <w:tr w:rsidR="00E454D6" w14:paraId="418C1D51" w14:textId="77777777">
                <w:trPr>
                  <w:divId w:val="496264518"/>
                  <w:tblCellSpacing w:w="15" w:type="dxa"/>
                </w:trPr>
                <w:tc>
                  <w:tcPr>
                    <w:tcW w:w="50" w:type="pct"/>
                    <w:hideMark/>
                  </w:tcPr>
                  <w:p w14:paraId="61740038" w14:textId="77777777" w:rsidR="00E454D6" w:rsidRDefault="00E454D6" w:rsidP="00E454D6">
                    <w:pPr>
                      <w:pStyle w:val="Bibliography"/>
                      <w:spacing w:after="120"/>
                      <w:rPr>
                        <w:noProof/>
                      </w:rPr>
                    </w:pPr>
                    <w:r>
                      <w:rPr>
                        <w:noProof/>
                      </w:rPr>
                      <w:t xml:space="preserve">[4] </w:t>
                    </w:r>
                  </w:p>
                </w:tc>
                <w:tc>
                  <w:tcPr>
                    <w:tcW w:w="0" w:type="auto"/>
                    <w:hideMark/>
                  </w:tcPr>
                  <w:p w14:paraId="3A394155" w14:textId="77777777" w:rsidR="00E454D6" w:rsidRDefault="00E454D6" w:rsidP="00E454D6">
                    <w:pPr>
                      <w:pStyle w:val="Bibliography"/>
                      <w:spacing w:after="120"/>
                      <w:rPr>
                        <w:noProof/>
                      </w:rPr>
                    </w:pPr>
                    <w:r>
                      <w:rPr>
                        <w:noProof/>
                      </w:rPr>
                      <w:t>ONR, “ONR-DOC-TEMP-171 - Investigation and Prosecution Record Template”.</w:t>
                    </w:r>
                  </w:p>
                </w:tc>
              </w:tr>
              <w:tr w:rsidR="00E454D6" w14:paraId="0CD85192" w14:textId="77777777">
                <w:trPr>
                  <w:divId w:val="496264518"/>
                  <w:tblCellSpacing w:w="15" w:type="dxa"/>
                </w:trPr>
                <w:tc>
                  <w:tcPr>
                    <w:tcW w:w="50" w:type="pct"/>
                    <w:hideMark/>
                  </w:tcPr>
                  <w:p w14:paraId="374D722F" w14:textId="77777777" w:rsidR="00E454D6" w:rsidRDefault="00E454D6" w:rsidP="00E454D6">
                    <w:pPr>
                      <w:pStyle w:val="Bibliography"/>
                      <w:spacing w:after="120"/>
                      <w:rPr>
                        <w:noProof/>
                      </w:rPr>
                    </w:pPr>
                    <w:r>
                      <w:rPr>
                        <w:noProof/>
                      </w:rPr>
                      <w:t xml:space="preserve">[5] </w:t>
                    </w:r>
                  </w:p>
                </w:tc>
                <w:tc>
                  <w:tcPr>
                    <w:tcW w:w="0" w:type="auto"/>
                    <w:hideMark/>
                  </w:tcPr>
                  <w:p w14:paraId="31225309" w14:textId="77777777" w:rsidR="00E454D6" w:rsidRDefault="00E454D6" w:rsidP="00E454D6">
                    <w:pPr>
                      <w:pStyle w:val="Bibliography"/>
                      <w:spacing w:after="120"/>
                      <w:rPr>
                        <w:noProof/>
                      </w:rPr>
                    </w:pPr>
                    <w:r>
                      <w:rPr>
                        <w:noProof/>
                      </w:rPr>
                      <w:t>HMG, “Health and Safety at Work etc. Act 1974,” 1974. [Online]. Available: ttps://www.legislation.gov.uk/ukpga/1974/37/contents.</w:t>
                    </w:r>
                  </w:p>
                </w:tc>
              </w:tr>
              <w:tr w:rsidR="00E454D6" w14:paraId="39E52708" w14:textId="77777777">
                <w:trPr>
                  <w:divId w:val="496264518"/>
                  <w:tblCellSpacing w:w="15" w:type="dxa"/>
                </w:trPr>
                <w:tc>
                  <w:tcPr>
                    <w:tcW w:w="50" w:type="pct"/>
                    <w:hideMark/>
                  </w:tcPr>
                  <w:p w14:paraId="61BE0496" w14:textId="77777777" w:rsidR="00E454D6" w:rsidRDefault="00E454D6" w:rsidP="00E454D6">
                    <w:pPr>
                      <w:pStyle w:val="Bibliography"/>
                      <w:spacing w:after="120"/>
                      <w:rPr>
                        <w:noProof/>
                      </w:rPr>
                    </w:pPr>
                    <w:r>
                      <w:rPr>
                        <w:noProof/>
                      </w:rPr>
                      <w:t xml:space="preserve">[6] </w:t>
                    </w:r>
                  </w:p>
                </w:tc>
                <w:tc>
                  <w:tcPr>
                    <w:tcW w:w="0" w:type="auto"/>
                    <w:hideMark/>
                  </w:tcPr>
                  <w:p w14:paraId="51C2D152" w14:textId="77777777" w:rsidR="00E454D6" w:rsidRDefault="00E454D6" w:rsidP="00E454D6">
                    <w:pPr>
                      <w:pStyle w:val="Bibliography"/>
                      <w:spacing w:after="120"/>
                      <w:rPr>
                        <w:noProof/>
                      </w:rPr>
                    </w:pPr>
                    <w:r>
                      <w:rPr>
                        <w:noProof/>
                      </w:rPr>
                      <w:t>HMG, “The Energy Act 2013,” 2013. [Online]. Available: https://www.legislation.gov.uk/ukpga/2013/32/contents.</w:t>
                    </w:r>
                  </w:p>
                </w:tc>
              </w:tr>
              <w:tr w:rsidR="00E454D6" w14:paraId="07790360" w14:textId="77777777">
                <w:trPr>
                  <w:divId w:val="496264518"/>
                  <w:tblCellSpacing w:w="15" w:type="dxa"/>
                </w:trPr>
                <w:tc>
                  <w:tcPr>
                    <w:tcW w:w="50" w:type="pct"/>
                    <w:hideMark/>
                  </w:tcPr>
                  <w:p w14:paraId="27173B7E" w14:textId="77777777" w:rsidR="00E454D6" w:rsidRDefault="00E454D6" w:rsidP="00E454D6">
                    <w:pPr>
                      <w:pStyle w:val="Bibliography"/>
                      <w:spacing w:after="120"/>
                      <w:rPr>
                        <w:noProof/>
                      </w:rPr>
                    </w:pPr>
                    <w:r>
                      <w:rPr>
                        <w:noProof/>
                      </w:rPr>
                      <w:t xml:space="preserve">[7] </w:t>
                    </w:r>
                  </w:p>
                </w:tc>
                <w:tc>
                  <w:tcPr>
                    <w:tcW w:w="0" w:type="auto"/>
                    <w:hideMark/>
                  </w:tcPr>
                  <w:p w14:paraId="41522598" w14:textId="77777777" w:rsidR="00E454D6" w:rsidRDefault="00E454D6" w:rsidP="00E454D6">
                    <w:pPr>
                      <w:pStyle w:val="Bibliography"/>
                      <w:spacing w:after="120"/>
                      <w:rPr>
                        <w:noProof/>
                      </w:rPr>
                    </w:pPr>
                    <w:r>
                      <w:rPr>
                        <w:noProof/>
                      </w:rPr>
                      <w:t>HMG, “Judge over your shoulder (6th edition),” 2022. [Online]. Available: https://www.gov.uk/government/publications/judge-over-your-shoulder.</w:t>
                    </w:r>
                  </w:p>
                </w:tc>
              </w:tr>
              <w:tr w:rsidR="00E454D6" w14:paraId="2195E627" w14:textId="77777777">
                <w:trPr>
                  <w:divId w:val="496264518"/>
                  <w:tblCellSpacing w:w="15" w:type="dxa"/>
                </w:trPr>
                <w:tc>
                  <w:tcPr>
                    <w:tcW w:w="50" w:type="pct"/>
                    <w:hideMark/>
                  </w:tcPr>
                  <w:p w14:paraId="48833478" w14:textId="77777777" w:rsidR="00E454D6" w:rsidRDefault="00E454D6" w:rsidP="00E454D6">
                    <w:pPr>
                      <w:pStyle w:val="Bibliography"/>
                      <w:spacing w:after="120"/>
                      <w:rPr>
                        <w:noProof/>
                      </w:rPr>
                    </w:pPr>
                    <w:r>
                      <w:rPr>
                        <w:noProof/>
                      </w:rPr>
                      <w:t xml:space="preserve">[8] </w:t>
                    </w:r>
                  </w:p>
                </w:tc>
                <w:tc>
                  <w:tcPr>
                    <w:tcW w:w="0" w:type="auto"/>
                    <w:hideMark/>
                  </w:tcPr>
                  <w:p w14:paraId="6C80BB14" w14:textId="77777777" w:rsidR="00E454D6" w:rsidRDefault="00E454D6" w:rsidP="00E454D6">
                    <w:pPr>
                      <w:pStyle w:val="Bibliography"/>
                      <w:spacing w:after="120"/>
                      <w:rPr>
                        <w:noProof/>
                      </w:rPr>
                    </w:pPr>
                    <w:r>
                      <w:rPr>
                        <w:noProof/>
                      </w:rPr>
                      <w:t>HMG, “Regulators Code,” 2014. [Online]. Available: https://www.gov.uk/government/publications/regulators-code.</w:t>
                    </w:r>
                  </w:p>
                </w:tc>
              </w:tr>
              <w:tr w:rsidR="00E454D6" w14:paraId="5F39DD6F" w14:textId="77777777">
                <w:trPr>
                  <w:divId w:val="496264518"/>
                  <w:tblCellSpacing w:w="15" w:type="dxa"/>
                </w:trPr>
                <w:tc>
                  <w:tcPr>
                    <w:tcW w:w="50" w:type="pct"/>
                    <w:hideMark/>
                  </w:tcPr>
                  <w:p w14:paraId="0EAB31A0" w14:textId="77777777" w:rsidR="00E454D6" w:rsidRDefault="00E454D6" w:rsidP="00E454D6">
                    <w:pPr>
                      <w:pStyle w:val="Bibliography"/>
                      <w:spacing w:after="120"/>
                      <w:rPr>
                        <w:noProof/>
                      </w:rPr>
                    </w:pPr>
                    <w:r>
                      <w:rPr>
                        <w:noProof/>
                      </w:rPr>
                      <w:t xml:space="preserve">[9] </w:t>
                    </w:r>
                  </w:p>
                </w:tc>
                <w:tc>
                  <w:tcPr>
                    <w:tcW w:w="0" w:type="auto"/>
                    <w:hideMark/>
                  </w:tcPr>
                  <w:p w14:paraId="589B773A" w14:textId="77777777" w:rsidR="00E454D6" w:rsidRDefault="00E454D6" w:rsidP="00E454D6">
                    <w:pPr>
                      <w:pStyle w:val="Bibliography"/>
                      <w:spacing w:after="120"/>
                      <w:rPr>
                        <w:noProof/>
                      </w:rPr>
                    </w:pPr>
                    <w:r>
                      <w:rPr>
                        <w:noProof/>
                      </w:rPr>
                      <w:t>HSE, “Enforcement Management Model (EMM) (Version 3.2),” [Online]. Available: https://www.hse.gov.uk/enforce/emm.pdf.</w:t>
                    </w:r>
                  </w:p>
                </w:tc>
              </w:tr>
              <w:tr w:rsidR="00E454D6" w14:paraId="6B9180D1" w14:textId="77777777">
                <w:trPr>
                  <w:divId w:val="496264518"/>
                  <w:tblCellSpacing w:w="15" w:type="dxa"/>
                </w:trPr>
                <w:tc>
                  <w:tcPr>
                    <w:tcW w:w="50" w:type="pct"/>
                    <w:hideMark/>
                  </w:tcPr>
                  <w:p w14:paraId="49F0E4B5" w14:textId="77777777" w:rsidR="00E454D6" w:rsidRDefault="00E454D6" w:rsidP="00E454D6">
                    <w:pPr>
                      <w:pStyle w:val="Bibliography"/>
                      <w:spacing w:after="120"/>
                      <w:rPr>
                        <w:noProof/>
                      </w:rPr>
                    </w:pPr>
                    <w:r>
                      <w:rPr>
                        <w:noProof/>
                      </w:rPr>
                      <w:t xml:space="preserve">[10] </w:t>
                    </w:r>
                  </w:p>
                </w:tc>
                <w:tc>
                  <w:tcPr>
                    <w:tcW w:w="0" w:type="auto"/>
                    <w:hideMark/>
                  </w:tcPr>
                  <w:p w14:paraId="3982D77C" w14:textId="77777777" w:rsidR="00E454D6" w:rsidRDefault="00E454D6" w:rsidP="00E454D6">
                    <w:pPr>
                      <w:pStyle w:val="Bibliography"/>
                      <w:spacing w:after="120"/>
                      <w:rPr>
                        <w:noProof/>
                      </w:rPr>
                    </w:pPr>
                    <w:r>
                      <w:rPr>
                        <w:noProof/>
                      </w:rPr>
                      <w:t>HSE, “Operational guidance,” [Online]. Available: https://www.hse.gov.uk/foi/internalops/index.htm.</w:t>
                    </w:r>
                  </w:p>
                </w:tc>
              </w:tr>
              <w:tr w:rsidR="00E454D6" w14:paraId="5EC83C5E" w14:textId="77777777">
                <w:trPr>
                  <w:divId w:val="496264518"/>
                  <w:tblCellSpacing w:w="15" w:type="dxa"/>
                </w:trPr>
                <w:tc>
                  <w:tcPr>
                    <w:tcW w:w="50" w:type="pct"/>
                    <w:hideMark/>
                  </w:tcPr>
                  <w:p w14:paraId="4807CAC9" w14:textId="77777777" w:rsidR="00E454D6" w:rsidRDefault="00E454D6" w:rsidP="00E454D6">
                    <w:pPr>
                      <w:pStyle w:val="Bibliography"/>
                      <w:spacing w:after="120"/>
                      <w:rPr>
                        <w:noProof/>
                      </w:rPr>
                    </w:pPr>
                    <w:r>
                      <w:rPr>
                        <w:noProof/>
                      </w:rPr>
                      <w:t xml:space="preserve">[11] </w:t>
                    </w:r>
                  </w:p>
                </w:tc>
                <w:tc>
                  <w:tcPr>
                    <w:tcW w:w="0" w:type="auto"/>
                    <w:hideMark/>
                  </w:tcPr>
                  <w:p w14:paraId="6DFB5A68" w14:textId="77777777" w:rsidR="00E454D6" w:rsidRDefault="00E454D6" w:rsidP="00E454D6">
                    <w:pPr>
                      <w:pStyle w:val="Bibliography"/>
                      <w:spacing w:after="120"/>
                      <w:rPr>
                        <w:noProof/>
                      </w:rPr>
                    </w:pPr>
                    <w:r>
                      <w:rPr>
                        <w:noProof/>
                      </w:rPr>
                      <w:t>ONR, “ONR-DOC-TEMP-128 - Enforcement Decision Record (EDR)”.</w:t>
                    </w:r>
                  </w:p>
                </w:tc>
              </w:tr>
              <w:tr w:rsidR="00E454D6" w14:paraId="4DD2F418" w14:textId="77777777">
                <w:trPr>
                  <w:divId w:val="496264518"/>
                  <w:tblCellSpacing w:w="15" w:type="dxa"/>
                </w:trPr>
                <w:tc>
                  <w:tcPr>
                    <w:tcW w:w="50" w:type="pct"/>
                    <w:hideMark/>
                  </w:tcPr>
                  <w:p w14:paraId="42C0D444" w14:textId="77777777" w:rsidR="00E454D6" w:rsidRDefault="00E454D6" w:rsidP="00E454D6">
                    <w:pPr>
                      <w:pStyle w:val="Bibliography"/>
                      <w:spacing w:after="120"/>
                      <w:rPr>
                        <w:noProof/>
                      </w:rPr>
                    </w:pPr>
                    <w:r>
                      <w:rPr>
                        <w:noProof/>
                      </w:rPr>
                      <w:t xml:space="preserve">[12] </w:t>
                    </w:r>
                  </w:p>
                </w:tc>
                <w:tc>
                  <w:tcPr>
                    <w:tcW w:w="0" w:type="auto"/>
                    <w:hideMark/>
                  </w:tcPr>
                  <w:p w14:paraId="7A9C00AD" w14:textId="77777777" w:rsidR="00E454D6" w:rsidRDefault="00E454D6" w:rsidP="00E454D6">
                    <w:pPr>
                      <w:pStyle w:val="Bibliography"/>
                      <w:spacing w:after="120"/>
                      <w:rPr>
                        <w:noProof/>
                      </w:rPr>
                    </w:pPr>
                    <w:r>
                      <w:rPr>
                        <w:noProof/>
                      </w:rPr>
                      <w:t>ONR, “ONR-DOC-TEMP-381 - CDG09 Enforcement Decision Record (CDGEDR) Template”.</w:t>
                    </w:r>
                  </w:p>
                </w:tc>
              </w:tr>
              <w:tr w:rsidR="00E454D6" w14:paraId="4680E1CE" w14:textId="77777777">
                <w:trPr>
                  <w:divId w:val="496264518"/>
                  <w:tblCellSpacing w:w="15" w:type="dxa"/>
                </w:trPr>
                <w:tc>
                  <w:tcPr>
                    <w:tcW w:w="50" w:type="pct"/>
                    <w:hideMark/>
                  </w:tcPr>
                  <w:p w14:paraId="30EB1150" w14:textId="77777777" w:rsidR="00E454D6" w:rsidRDefault="00E454D6" w:rsidP="00E454D6">
                    <w:pPr>
                      <w:pStyle w:val="Bibliography"/>
                      <w:spacing w:after="120"/>
                      <w:rPr>
                        <w:noProof/>
                      </w:rPr>
                    </w:pPr>
                    <w:r>
                      <w:rPr>
                        <w:noProof/>
                      </w:rPr>
                      <w:t xml:space="preserve">[13] </w:t>
                    </w:r>
                  </w:p>
                </w:tc>
                <w:tc>
                  <w:tcPr>
                    <w:tcW w:w="0" w:type="auto"/>
                    <w:hideMark/>
                  </w:tcPr>
                  <w:p w14:paraId="450406AD" w14:textId="77777777" w:rsidR="00E454D6" w:rsidRDefault="00E454D6" w:rsidP="00E454D6">
                    <w:pPr>
                      <w:pStyle w:val="Bibliography"/>
                      <w:spacing w:after="120"/>
                      <w:rPr>
                        <w:noProof/>
                      </w:rPr>
                    </w:pPr>
                    <w:r>
                      <w:rPr>
                        <w:noProof/>
                      </w:rPr>
                      <w:t>ONR, “NS-PER-GD-001 - Nuclear Safety Permissioning”.</w:t>
                    </w:r>
                  </w:p>
                </w:tc>
              </w:tr>
              <w:tr w:rsidR="00E454D6" w14:paraId="23CC8FF1" w14:textId="77777777">
                <w:trPr>
                  <w:divId w:val="496264518"/>
                  <w:tblCellSpacing w:w="15" w:type="dxa"/>
                </w:trPr>
                <w:tc>
                  <w:tcPr>
                    <w:tcW w:w="50" w:type="pct"/>
                    <w:hideMark/>
                  </w:tcPr>
                  <w:p w14:paraId="59637633" w14:textId="77777777" w:rsidR="00E454D6" w:rsidRDefault="00E454D6" w:rsidP="00E454D6">
                    <w:pPr>
                      <w:pStyle w:val="Bibliography"/>
                      <w:spacing w:after="120"/>
                      <w:rPr>
                        <w:noProof/>
                      </w:rPr>
                    </w:pPr>
                    <w:r>
                      <w:rPr>
                        <w:noProof/>
                      </w:rPr>
                      <w:t xml:space="preserve">[14] </w:t>
                    </w:r>
                  </w:p>
                </w:tc>
                <w:tc>
                  <w:tcPr>
                    <w:tcW w:w="0" w:type="auto"/>
                    <w:hideMark/>
                  </w:tcPr>
                  <w:p w14:paraId="57BA5E9D" w14:textId="77777777" w:rsidR="00E454D6" w:rsidRDefault="00E454D6" w:rsidP="00E454D6">
                    <w:pPr>
                      <w:pStyle w:val="Bibliography"/>
                      <w:spacing w:after="120"/>
                      <w:rPr>
                        <w:noProof/>
                      </w:rPr>
                    </w:pPr>
                    <w:r>
                      <w:rPr>
                        <w:noProof/>
                      </w:rPr>
                      <w:t>ONR, “Memorandum of Understanding on the implemenation on the Control of Major Accident Hazards (COMAH) Regulations,” [Online]. Available: https://www.onr.org.uk/media/z1moinc4/mou-comah.pdf.</w:t>
                    </w:r>
                  </w:p>
                </w:tc>
              </w:tr>
              <w:tr w:rsidR="00E454D6" w14:paraId="0C3CC6AA" w14:textId="77777777">
                <w:trPr>
                  <w:divId w:val="496264518"/>
                  <w:tblCellSpacing w:w="15" w:type="dxa"/>
                </w:trPr>
                <w:tc>
                  <w:tcPr>
                    <w:tcW w:w="50" w:type="pct"/>
                    <w:hideMark/>
                  </w:tcPr>
                  <w:p w14:paraId="79BAE165" w14:textId="77777777" w:rsidR="00E454D6" w:rsidRDefault="00E454D6" w:rsidP="00E454D6">
                    <w:pPr>
                      <w:pStyle w:val="Bibliography"/>
                      <w:spacing w:after="120"/>
                      <w:rPr>
                        <w:noProof/>
                      </w:rPr>
                    </w:pPr>
                    <w:r>
                      <w:rPr>
                        <w:noProof/>
                      </w:rPr>
                      <w:t xml:space="preserve">[15] </w:t>
                    </w:r>
                  </w:p>
                </w:tc>
                <w:tc>
                  <w:tcPr>
                    <w:tcW w:w="0" w:type="auto"/>
                    <w:hideMark/>
                  </w:tcPr>
                  <w:p w14:paraId="1165DF86" w14:textId="77777777" w:rsidR="00E454D6" w:rsidRDefault="00E454D6" w:rsidP="00E454D6">
                    <w:pPr>
                      <w:pStyle w:val="Bibliography"/>
                      <w:spacing w:after="120"/>
                      <w:rPr>
                        <w:noProof/>
                      </w:rPr>
                    </w:pPr>
                    <w:r>
                      <w:rPr>
                        <w:noProof/>
                      </w:rPr>
                      <w:t>“The Control of Major Accident Hazards Regulations 2015 (https://www.legislation.gov.uk/uksi/2015/483/contents)”.</w:t>
                    </w:r>
                  </w:p>
                </w:tc>
              </w:tr>
              <w:tr w:rsidR="00E454D6" w14:paraId="1E29A738" w14:textId="77777777">
                <w:trPr>
                  <w:divId w:val="496264518"/>
                  <w:tblCellSpacing w:w="15" w:type="dxa"/>
                </w:trPr>
                <w:tc>
                  <w:tcPr>
                    <w:tcW w:w="50" w:type="pct"/>
                    <w:hideMark/>
                  </w:tcPr>
                  <w:p w14:paraId="129E16F7" w14:textId="77777777" w:rsidR="00E454D6" w:rsidRDefault="00E454D6" w:rsidP="00E454D6">
                    <w:pPr>
                      <w:pStyle w:val="Bibliography"/>
                      <w:spacing w:after="120"/>
                      <w:rPr>
                        <w:noProof/>
                      </w:rPr>
                    </w:pPr>
                    <w:r>
                      <w:rPr>
                        <w:noProof/>
                      </w:rPr>
                      <w:t xml:space="preserve">[16] </w:t>
                    </w:r>
                  </w:p>
                </w:tc>
                <w:tc>
                  <w:tcPr>
                    <w:tcW w:w="0" w:type="auto"/>
                    <w:hideMark/>
                  </w:tcPr>
                  <w:p w14:paraId="55E3C5D7" w14:textId="77777777" w:rsidR="00E454D6" w:rsidRDefault="00E454D6" w:rsidP="00E454D6">
                    <w:pPr>
                      <w:pStyle w:val="Bibliography"/>
                      <w:spacing w:after="120"/>
                      <w:rPr>
                        <w:noProof/>
                      </w:rPr>
                    </w:pPr>
                    <w:r>
                      <w:rPr>
                        <w:noProof/>
                      </w:rPr>
                      <w:t xml:space="preserve">ONR, “NS-TAST-GD-005 - Regulating duties to reduce risks to ALARP,” [Online]. </w:t>
                    </w:r>
                  </w:p>
                </w:tc>
              </w:tr>
              <w:tr w:rsidR="00E454D6" w14:paraId="55BE55E2" w14:textId="77777777">
                <w:trPr>
                  <w:divId w:val="496264518"/>
                  <w:tblCellSpacing w:w="15" w:type="dxa"/>
                </w:trPr>
                <w:tc>
                  <w:tcPr>
                    <w:tcW w:w="50" w:type="pct"/>
                    <w:hideMark/>
                  </w:tcPr>
                  <w:p w14:paraId="3F00C837" w14:textId="77777777" w:rsidR="00E454D6" w:rsidRDefault="00E454D6" w:rsidP="00E454D6">
                    <w:pPr>
                      <w:pStyle w:val="Bibliography"/>
                      <w:spacing w:after="120"/>
                      <w:rPr>
                        <w:noProof/>
                      </w:rPr>
                    </w:pPr>
                    <w:r>
                      <w:rPr>
                        <w:noProof/>
                      </w:rPr>
                      <w:t xml:space="preserve">[17] </w:t>
                    </w:r>
                  </w:p>
                </w:tc>
                <w:tc>
                  <w:tcPr>
                    <w:tcW w:w="0" w:type="auto"/>
                    <w:hideMark/>
                  </w:tcPr>
                  <w:p w14:paraId="1C0DBAA7" w14:textId="77777777" w:rsidR="00E454D6" w:rsidRDefault="00E454D6" w:rsidP="00E454D6">
                    <w:pPr>
                      <w:pStyle w:val="Bibliography"/>
                      <w:spacing w:after="120"/>
                      <w:rPr>
                        <w:noProof/>
                      </w:rPr>
                    </w:pPr>
                    <w:r>
                      <w:rPr>
                        <w:noProof/>
                      </w:rPr>
                      <w:t>ONR, “ONR-RIO-PROC-002 - Process for Notifying Incidents to ONR”.</w:t>
                    </w:r>
                  </w:p>
                </w:tc>
              </w:tr>
              <w:tr w:rsidR="00E454D6" w14:paraId="59A15AAF" w14:textId="77777777">
                <w:trPr>
                  <w:divId w:val="496264518"/>
                  <w:tblCellSpacing w:w="15" w:type="dxa"/>
                </w:trPr>
                <w:tc>
                  <w:tcPr>
                    <w:tcW w:w="50" w:type="pct"/>
                    <w:hideMark/>
                  </w:tcPr>
                  <w:p w14:paraId="01F1A84E" w14:textId="77777777" w:rsidR="00E454D6" w:rsidRDefault="00E454D6" w:rsidP="00E454D6">
                    <w:pPr>
                      <w:pStyle w:val="Bibliography"/>
                      <w:spacing w:after="120"/>
                      <w:rPr>
                        <w:noProof/>
                      </w:rPr>
                    </w:pPr>
                    <w:r>
                      <w:rPr>
                        <w:noProof/>
                      </w:rPr>
                      <w:t xml:space="preserve">[18] </w:t>
                    </w:r>
                  </w:p>
                </w:tc>
                <w:tc>
                  <w:tcPr>
                    <w:tcW w:w="0" w:type="auto"/>
                    <w:hideMark/>
                  </w:tcPr>
                  <w:p w14:paraId="2ED26CB6" w14:textId="77777777" w:rsidR="00E454D6" w:rsidRDefault="00E454D6" w:rsidP="00E454D6">
                    <w:pPr>
                      <w:pStyle w:val="Bibliography"/>
                      <w:spacing w:after="120"/>
                      <w:rPr>
                        <w:noProof/>
                      </w:rPr>
                    </w:pPr>
                    <w:r>
                      <w:rPr>
                        <w:noProof/>
                      </w:rPr>
                      <w:t>ONR, “ONR-RD-FW-001 - Risk Informed Regulatory Decision Making (RIRDM)”.</w:t>
                    </w:r>
                  </w:p>
                </w:tc>
              </w:tr>
              <w:tr w:rsidR="00E454D6" w14:paraId="737A185E" w14:textId="77777777">
                <w:trPr>
                  <w:divId w:val="496264518"/>
                  <w:tblCellSpacing w:w="15" w:type="dxa"/>
                </w:trPr>
                <w:tc>
                  <w:tcPr>
                    <w:tcW w:w="50" w:type="pct"/>
                    <w:hideMark/>
                  </w:tcPr>
                  <w:p w14:paraId="1E20D0E1" w14:textId="77777777" w:rsidR="00E454D6" w:rsidRDefault="00E454D6" w:rsidP="00E454D6">
                    <w:pPr>
                      <w:pStyle w:val="Bibliography"/>
                      <w:spacing w:after="120"/>
                      <w:rPr>
                        <w:noProof/>
                      </w:rPr>
                    </w:pPr>
                    <w:r>
                      <w:rPr>
                        <w:noProof/>
                      </w:rPr>
                      <w:lastRenderedPageBreak/>
                      <w:t xml:space="preserve">[19] </w:t>
                    </w:r>
                  </w:p>
                </w:tc>
                <w:tc>
                  <w:tcPr>
                    <w:tcW w:w="0" w:type="auto"/>
                    <w:hideMark/>
                  </w:tcPr>
                  <w:p w14:paraId="6BFA1164" w14:textId="77777777" w:rsidR="00E454D6" w:rsidRDefault="00E454D6" w:rsidP="00E454D6">
                    <w:pPr>
                      <w:pStyle w:val="Bibliography"/>
                      <w:spacing w:after="120"/>
                      <w:rPr>
                        <w:noProof/>
                      </w:rPr>
                    </w:pPr>
                    <w:r>
                      <w:rPr>
                        <w:noProof/>
                      </w:rPr>
                      <w:t>ONR, “ONR-GEN-GD-013 - Guidance on the assignment on Dutyholder attention levels”.</w:t>
                    </w:r>
                  </w:p>
                </w:tc>
              </w:tr>
              <w:tr w:rsidR="00E454D6" w14:paraId="0C66407A" w14:textId="77777777">
                <w:trPr>
                  <w:divId w:val="496264518"/>
                  <w:tblCellSpacing w:w="15" w:type="dxa"/>
                </w:trPr>
                <w:tc>
                  <w:tcPr>
                    <w:tcW w:w="50" w:type="pct"/>
                    <w:hideMark/>
                  </w:tcPr>
                  <w:p w14:paraId="2E05D5D8" w14:textId="77777777" w:rsidR="00E454D6" w:rsidRDefault="00E454D6" w:rsidP="00E454D6">
                    <w:pPr>
                      <w:pStyle w:val="Bibliography"/>
                      <w:spacing w:after="120"/>
                      <w:rPr>
                        <w:noProof/>
                      </w:rPr>
                    </w:pPr>
                    <w:r>
                      <w:rPr>
                        <w:noProof/>
                      </w:rPr>
                      <w:t xml:space="preserve">[20] </w:t>
                    </w:r>
                  </w:p>
                </w:tc>
                <w:tc>
                  <w:tcPr>
                    <w:tcW w:w="0" w:type="auto"/>
                    <w:hideMark/>
                  </w:tcPr>
                  <w:p w14:paraId="30E99783" w14:textId="77777777" w:rsidR="00E454D6" w:rsidRDefault="00E454D6" w:rsidP="00E454D6">
                    <w:pPr>
                      <w:pStyle w:val="Bibliography"/>
                      <w:spacing w:after="120"/>
                      <w:rPr>
                        <w:noProof/>
                      </w:rPr>
                    </w:pPr>
                    <w:r>
                      <w:rPr>
                        <w:noProof/>
                      </w:rPr>
                      <w:t>ONR, “NS-INSP-PROC-001 - Resolving Differences of Regulatory Opinion”.</w:t>
                    </w:r>
                  </w:p>
                </w:tc>
              </w:tr>
              <w:tr w:rsidR="00E454D6" w14:paraId="26051057" w14:textId="77777777">
                <w:trPr>
                  <w:divId w:val="496264518"/>
                  <w:tblCellSpacing w:w="15" w:type="dxa"/>
                </w:trPr>
                <w:tc>
                  <w:tcPr>
                    <w:tcW w:w="50" w:type="pct"/>
                    <w:hideMark/>
                  </w:tcPr>
                  <w:p w14:paraId="49C45186" w14:textId="77777777" w:rsidR="00E454D6" w:rsidRDefault="00E454D6" w:rsidP="00E454D6">
                    <w:pPr>
                      <w:pStyle w:val="Bibliography"/>
                      <w:spacing w:after="120"/>
                      <w:rPr>
                        <w:noProof/>
                      </w:rPr>
                    </w:pPr>
                    <w:r>
                      <w:rPr>
                        <w:noProof/>
                      </w:rPr>
                      <w:t xml:space="preserve">[21] </w:t>
                    </w:r>
                  </w:p>
                </w:tc>
                <w:tc>
                  <w:tcPr>
                    <w:tcW w:w="0" w:type="auto"/>
                    <w:hideMark/>
                  </w:tcPr>
                  <w:p w14:paraId="0B786D48" w14:textId="77777777" w:rsidR="00E454D6" w:rsidRDefault="00E454D6" w:rsidP="00E454D6">
                    <w:pPr>
                      <w:pStyle w:val="Bibliography"/>
                      <w:spacing w:after="120"/>
                      <w:rPr>
                        <w:noProof/>
                      </w:rPr>
                    </w:pPr>
                    <w:r>
                      <w:rPr>
                        <w:noProof/>
                      </w:rPr>
                      <w:t>ONR, “ONR-RIO-PROC-001 - Management of Regulatory Issues”.</w:t>
                    </w:r>
                  </w:p>
                </w:tc>
              </w:tr>
              <w:tr w:rsidR="00E454D6" w14:paraId="3870EBBC" w14:textId="77777777">
                <w:trPr>
                  <w:divId w:val="496264518"/>
                  <w:tblCellSpacing w:w="15" w:type="dxa"/>
                </w:trPr>
                <w:tc>
                  <w:tcPr>
                    <w:tcW w:w="50" w:type="pct"/>
                    <w:hideMark/>
                  </w:tcPr>
                  <w:p w14:paraId="2B50A163" w14:textId="77777777" w:rsidR="00E454D6" w:rsidRDefault="00E454D6" w:rsidP="00E454D6">
                    <w:pPr>
                      <w:pStyle w:val="Bibliography"/>
                      <w:spacing w:after="120"/>
                      <w:rPr>
                        <w:noProof/>
                      </w:rPr>
                    </w:pPr>
                    <w:r>
                      <w:rPr>
                        <w:noProof/>
                      </w:rPr>
                      <w:t xml:space="preserve">[22] </w:t>
                    </w:r>
                  </w:p>
                </w:tc>
                <w:tc>
                  <w:tcPr>
                    <w:tcW w:w="0" w:type="auto"/>
                    <w:hideMark/>
                  </w:tcPr>
                  <w:p w14:paraId="4F4C2D41" w14:textId="77777777" w:rsidR="00E454D6" w:rsidRDefault="00E454D6" w:rsidP="00E454D6">
                    <w:pPr>
                      <w:pStyle w:val="Bibliography"/>
                      <w:spacing w:after="120"/>
                      <w:rPr>
                        <w:noProof/>
                      </w:rPr>
                    </w:pPr>
                    <w:r>
                      <w:rPr>
                        <w:noProof/>
                      </w:rPr>
                      <w:t>ONR, “NS-INSP-GD-056 - Regulation of Great Britain’s Defence Nuclear Programme”.</w:t>
                    </w:r>
                  </w:p>
                </w:tc>
              </w:tr>
              <w:tr w:rsidR="00E454D6" w14:paraId="7C10D117" w14:textId="77777777">
                <w:trPr>
                  <w:divId w:val="496264518"/>
                  <w:tblCellSpacing w:w="15" w:type="dxa"/>
                </w:trPr>
                <w:tc>
                  <w:tcPr>
                    <w:tcW w:w="50" w:type="pct"/>
                    <w:hideMark/>
                  </w:tcPr>
                  <w:p w14:paraId="5F104BF5" w14:textId="77777777" w:rsidR="00E454D6" w:rsidRDefault="00E454D6" w:rsidP="00E454D6">
                    <w:pPr>
                      <w:pStyle w:val="Bibliography"/>
                      <w:spacing w:after="120"/>
                      <w:rPr>
                        <w:noProof/>
                      </w:rPr>
                    </w:pPr>
                    <w:r>
                      <w:rPr>
                        <w:noProof/>
                      </w:rPr>
                      <w:t xml:space="preserve">[23] </w:t>
                    </w:r>
                  </w:p>
                </w:tc>
                <w:tc>
                  <w:tcPr>
                    <w:tcW w:w="0" w:type="auto"/>
                    <w:hideMark/>
                  </w:tcPr>
                  <w:p w14:paraId="0F3EECD8" w14:textId="77777777" w:rsidR="00E454D6" w:rsidRDefault="00E454D6" w:rsidP="00E454D6">
                    <w:pPr>
                      <w:pStyle w:val="Bibliography"/>
                      <w:spacing w:after="120"/>
                      <w:rPr>
                        <w:noProof/>
                      </w:rPr>
                    </w:pPr>
                    <w:r>
                      <w:rPr>
                        <w:noProof/>
                      </w:rPr>
                      <w:t>HMG, “The Nuclear Industries Security Regulations 2003 (NISR) (UK Statutory Instruments 2003 No. 403),” 2003. [Online]. Available: https://www.legislation.gov.uk/uksi/2003/403/contents/made.</w:t>
                    </w:r>
                  </w:p>
                </w:tc>
              </w:tr>
              <w:tr w:rsidR="00E454D6" w14:paraId="046179D9" w14:textId="77777777">
                <w:trPr>
                  <w:divId w:val="496264518"/>
                  <w:tblCellSpacing w:w="15" w:type="dxa"/>
                </w:trPr>
                <w:tc>
                  <w:tcPr>
                    <w:tcW w:w="50" w:type="pct"/>
                    <w:hideMark/>
                  </w:tcPr>
                  <w:p w14:paraId="2C324928" w14:textId="77777777" w:rsidR="00E454D6" w:rsidRDefault="00E454D6" w:rsidP="00E454D6">
                    <w:pPr>
                      <w:pStyle w:val="Bibliography"/>
                      <w:spacing w:after="120"/>
                      <w:rPr>
                        <w:noProof/>
                      </w:rPr>
                    </w:pPr>
                    <w:r>
                      <w:rPr>
                        <w:noProof/>
                      </w:rPr>
                      <w:t xml:space="preserve">[24] </w:t>
                    </w:r>
                  </w:p>
                </w:tc>
                <w:tc>
                  <w:tcPr>
                    <w:tcW w:w="0" w:type="auto"/>
                    <w:hideMark/>
                  </w:tcPr>
                  <w:p w14:paraId="202D494B" w14:textId="77777777" w:rsidR="00E454D6" w:rsidRDefault="00E454D6" w:rsidP="00E454D6">
                    <w:pPr>
                      <w:pStyle w:val="Bibliography"/>
                      <w:spacing w:after="120"/>
                      <w:rPr>
                        <w:noProof/>
                      </w:rPr>
                    </w:pPr>
                    <w:r>
                      <w:rPr>
                        <w:noProof/>
                      </w:rPr>
                      <w:t>ONR, “Licence Condition Handbook,” [Online]. Available: https://www.onr.org.uk/media/gixbe2br/licence-condition-handbook.pdf.</w:t>
                    </w:r>
                  </w:p>
                </w:tc>
              </w:tr>
              <w:tr w:rsidR="00E454D6" w14:paraId="78ED4B5D" w14:textId="77777777">
                <w:trPr>
                  <w:divId w:val="496264518"/>
                  <w:tblCellSpacing w:w="15" w:type="dxa"/>
                </w:trPr>
                <w:tc>
                  <w:tcPr>
                    <w:tcW w:w="50" w:type="pct"/>
                    <w:hideMark/>
                  </w:tcPr>
                  <w:p w14:paraId="2A8C24C5" w14:textId="77777777" w:rsidR="00E454D6" w:rsidRDefault="00E454D6" w:rsidP="00E454D6">
                    <w:pPr>
                      <w:pStyle w:val="Bibliography"/>
                      <w:spacing w:after="120"/>
                      <w:rPr>
                        <w:noProof/>
                      </w:rPr>
                    </w:pPr>
                    <w:r>
                      <w:rPr>
                        <w:noProof/>
                      </w:rPr>
                      <w:t xml:space="preserve">[25] </w:t>
                    </w:r>
                  </w:p>
                </w:tc>
                <w:tc>
                  <w:tcPr>
                    <w:tcW w:w="0" w:type="auto"/>
                    <w:hideMark/>
                  </w:tcPr>
                  <w:p w14:paraId="5D6B501D" w14:textId="77777777" w:rsidR="00E454D6" w:rsidRDefault="00E454D6" w:rsidP="00E454D6">
                    <w:pPr>
                      <w:pStyle w:val="Bibliography"/>
                      <w:spacing w:after="120"/>
                      <w:rPr>
                        <w:noProof/>
                      </w:rPr>
                    </w:pPr>
                    <w:r>
                      <w:rPr>
                        <w:noProof/>
                      </w:rPr>
                      <w:t>HMG, “The Ionising Radiations Regulations 2017,” 2017. [Online]. Available: https://www.legislation.gov.uk/uksi/2017/1075/contents.</w:t>
                    </w:r>
                  </w:p>
                </w:tc>
              </w:tr>
              <w:tr w:rsidR="00E454D6" w14:paraId="4F95DF8C" w14:textId="77777777">
                <w:trPr>
                  <w:divId w:val="496264518"/>
                  <w:tblCellSpacing w:w="15" w:type="dxa"/>
                </w:trPr>
                <w:tc>
                  <w:tcPr>
                    <w:tcW w:w="50" w:type="pct"/>
                    <w:hideMark/>
                  </w:tcPr>
                  <w:p w14:paraId="42711F07" w14:textId="77777777" w:rsidR="00E454D6" w:rsidRDefault="00E454D6" w:rsidP="00E454D6">
                    <w:pPr>
                      <w:pStyle w:val="Bibliography"/>
                      <w:spacing w:after="120"/>
                      <w:rPr>
                        <w:noProof/>
                      </w:rPr>
                    </w:pPr>
                    <w:r>
                      <w:rPr>
                        <w:noProof/>
                      </w:rPr>
                      <w:t xml:space="preserve">[26] </w:t>
                    </w:r>
                  </w:p>
                </w:tc>
                <w:tc>
                  <w:tcPr>
                    <w:tcW w:w="0" w:type="auto"/>
                    <w:hideMark/>
                  </w:tcPr>
                  <w:p w14:paraId="08C02D48" w14:textId="77777777" w:rsidR="00E454D6" w:rsidRDefault="00E454D6" w:rsidP="00E454D6">
                    <w:pPr>
                      <w:pStyle w:val="Bibliography"/>
                      <w:spacing w:after="120"/>
                      <w:rPr>
                        <w:noProof/>
                      </w:rPr>
                    </w:pPr>
                    <w:r>
                      <w:rPr>
                        <w:noProof/>
                      </w:rPr>
                      <w:t>HMG, “The Nuclear Safeguards (EU Exit) Regulations 2019,” 2019. [Online]. Available: https://www.legislation.gov.uk/uksi/2019/196/contents.</w:t>
                    </w:r>
                  </w:p>
                </w:tc>
              </w:tr>
              <w:tr w:rsidR="00E454D6" w14:paraId="7BC844E4" w14:textId="77777777">
                <w:trPr>
                  <w:divId w:val="496264518"/>
                  <w:tblCellSpacing w:w="15" w:type="dxa"/>
                </w:trPr>
                <w:tc>
                  <w:tcPr>
                    <w:tcW w:w="50" w:type="pct"/>
                    <w:hideMark/>
                  </w:tcPr>
                  <w:p w14:paraId="43ADE722" w14:textId="77777777" w:rsidR="00E454D6" w:rsidRDefault="00E454D6" w:rsidP="00E454D6">
                    <w:pPr>
                      <w:pStyle w:val="Bibliography"/>
                      <w:spacing w:after="120"/>
                      <w:rPr>
                        <w:noProof/>
                      </w:rPr>
                    </w:pPr>
                    <w:r>
                      <w:rPr>
                        <w:noProof/>
                      </w:rPr>
                      <w:t xml:space="preserve">[27] </w:t>
                    </w:r>
                  </w:p>
                </w:tc>
                <w:tc>
                  <w:tcPr>
                    <w:tcW w:w="0" w:type="auto"/>
                    <w:hideMark/>
                  </w:tcPr>
                  <w:p w14:paraId="0188E510" w14:textId="77777777" w:rsidR="00E454D6" w:rsidRDefault="00E454D6" w:rsidP="00E454D6">
                    <w:pPr>
                      <w:pStyle w:val="Bibliography"/>
                      <w:spacing w:after="120"/>
                      <w:rPr>
                        <w:noProof/>
                      </w:rPr>
                    </w:pPr>
                    <w:r>
                      <w:rPr>
                        <w:noProof/>
                      </w:rPr>
                      <w:t>ONR, “A guide to enabling regulation,” 2020. [Online]. Available: https://www.onr.org.uk/documents/2020/a-guide-to-enabling-regulation-2020.pdf.</w:t>
                    </w:r>
                  </w:p>
                </w:tc>
              </w:tr>
            </w:tbl>
            <w:p w14:paraId="4D07D3DE" w14:textId="77777777" w:rsidR="00E454D6" w:rsidRDefault="00E454D6">
              <w:pPr>
                <w:divId w:val="496264518"/>
                <w:rPr>
                  <w:rFonts w:eastAsia="Times New Roman"/>
                  <w:noProof/>
                </w:rPr>
              </w:pPr>
            </w:p>
            <w:p w14:paraId="6081EC22" w14:textId="22650F38" w:rsidR="002C7787" w:rsidRPr="006D1B7A" w:rsidRDefault="002C7787">
              <w:pPr>
                <w:rPr>
                  <w:highlight w:val="green"/>
                </w:rPr>
              </w:pPr>
              <w:r w:rsidRPr="006D1B7A">
                <w:rPr>
                  <w:b/>
                  <w:bCs/>
                  <w:highlight w:val="green"/>
                </w:rPr>
                <w:fldChar w:fldCharType="end"/>
              </w:r>
            </w:p>
          </w:sdtContent>
        </w:sdt>
      </w:sdtContent>
    </w:sdt>
    <w:p w14:paraId="440B85B0" w14:textId="77777777" w:rsidR="0016630A" w:rsidRDefault="0016630A" w:rsidP="00C10FA0">
      <w:pPr>
        <w:pStyle w:val="Heading1"/>
        <w:numPr>
          <w:ilvl w:val="0"/>
          <w:numId w:val="0"/>
        </w:numPr>
        <w:ind w:left="851" w:hanging="851"/>
        <w:sectPr w:rsidR="0016630A" w:rsidSect="001A677D">
          <w:pgSz w:w="11906" w:h="16838" w:code="9"/>
          <w:pgMar w:top="1440" w:right="1440" w:bottom="1440" w:left="1440" w:header="397" w:footer="397" w:gutter="0"/>
          <w:cols w:space="312"/>
          <w:docGrid w:linePitch="360"/>
        </w:sectPr>
      </w:pPr>
    </w:p>
    <w:p w14:paraId="6D9D0F89" w14:textId="77777777" w:rsidR="00C10FA0" w:rsidRPr="00E063E2" w:rsidRDefault="00C10FA0" w:rsidP="00C10FA0">
      <w:pPr>
        <w:pStyle w:val="Heading1"/>
        <w:numPr>
          <w:ilvl w:val="0"/>
          <w:numId w:val="0"/>
        </w:numPr>
        <w:ind w:left="851" w:hanging="851"/>
      </w:pPr>
      <w:bookmarkStart w:id="50" w:name="_Toc213836326"/>
      <w:r w:rsidRPr="00E063E2">
        <w:lastRenderedPageBreak/>
        <w:t>Glossary</w:t>
      </w:r>
      <w:bookmarkEnd w:id="50"/>
    </w:p>
    <w:tbl>
      <w:tblPr>
        <w:tblStyle w:val="ONRTable1"/>
        <w:tblW w:w="5000" w:type="pct"/>
        <w:tblInd w:w="0" w:type="dxa"/>
        <w:tblLook w:val="04A0" w:firstRow="1" w:lastRow="0" w:firstColumn="1" w:lastColumn="0" w:noHBand="0" w:noVBand="1"/>
      </w:tblPr>
      <w:tblGrid>
        <w:gridCol w:w="2390"/>
        <w:gridCol w:w="6636"/>
      </w:tblGrid>
      <w:tr w:rsidR="00C10FA0" w:rsidRPr="00E063E2" w14:paraId="75261909" w14:textId="77777777" w:rsidTr="0016630A">
        <w:trPr>
          <w:cnfStyle w:val="100000000000" w:firstRow="1" w:lastRow="0" w:firstColumn="0" w:lastColumn="0" w:oddVBand="0" w:evenVBand="0" w:oddHBand="0" w:evenHBand="0" w:firstRowFirstColumn="0" w:firstRowLastColumn="0" w:lastRowFirstColumn="0" w:lastRowLastColumn="0"/>
          <w:cantSplit/>
          <w:tblHeader/>
        </w:trPr>
        <w:tc>
          <w:tcPr>
            <w:tcW w:w="1324" w:type="pct"/>
            <w:hideMark/>
          </w:tcPr>
          <w:p w14:paraId="3D69F2CE" w14:textId="77777777" w:rsidR="00C10FA0" w:rsidRPr="00E063E2" w:rsidRDefault="00C10FA0" w:rsidP="0054684C">
            <w:pPr>
              <w:pStyle w:val="TableText"/>
              <w:rPr>
                <w:b w:val="0"/>
                <w:bCs/>
              </w:rPr>
            </w:pPr>
            <w:r w:rsidRPr="00E063E2">
              <w:rPr>
                <w:b w:val="0"/>
                <w:bCs/>
              </w:rPr>
              <w:t>Term/acronym</w:t>
            </w:r>
          </w:p>
        </w:tc>
        <w:tc>
          <w:tcPr>
            <w:tcW w:w="3676" w:type="pct"/>
          </w:tcPr>
          <w:p w14:paraId="2494A261" w14:textId="77777777" w:rsidR="00C10FA0" w:rsidRPr="00E063E2" w:rsidRDefault="00C10FA0" w:rsidP="0054684C">
            <w:pPr>
              <w:pStyle w:val="TableText"/>
              <w:rPr>
                <w:b w:val="0"/>
                <w:bCs/>
              </w:rPr>
            </w:pPr>
            <w:r w:rsidRPr="00E063E2">
              <w:rPr>
                <w:b w:val="0"/>
                <w:bCs/>
              </w:rPr>
              <w:t>Description</w:t>
            </w:r>
          </w:p>
        </w:tc>
      </w:tr>
      <w:tr w:rsidR="00C10FA0" w:rsidRPr="006D1B7A" w14:paraId="14C03B55" w14:textId="77777777" w:rsidTr="0016630A">
        <w:trPr>
          <w:cantSplit/>
        </w:trPr>
        <w:tc>
          <w:tcPr>
            <w:tcW w:w="1324" w:type="pct"/>
            <w:hideMark/>
          </w:tcPr>
          <w:p w14:paraId="519B5824" w14:textId="77777777" w:rsidR="00C10FA0" w:rsidRPr="00E063E2" w:rsidRDefault="00C10FA0" w:rsidP="0054684C">
            <w:pPr>
              <w:pStyle w:val="TableText"/>
            </w:pPr>
            <w:r w:rsidRPr="00E063E2">
              <w:t>Actual risk</w:t>
            </w:r>
          </w:p>
        </w:tc>
        <w:tc>
          <w:tcPr>
            <w:tcW w:w="3676" w:type="pct"/>
          </w:tcPr>
          <w:p w14:paraId="4F91503E" w14:textId="331AA1D3" w:rsidR="00C10FA0" w:rsidRPr="00E063E2" w:rsidRDefault="00C10FA0" w:rsidP="00FB0DE9">
            <w:pPr>
              <w:pStyle w:val="TableText"/>
            </w:pPr>
            <w:r w:rsidRPr="00E063E2">
              <w:t xml:space="preserve">Inspectors assess the health and safety risks posed by the various activities being undertaken - where the dutyholder is. </w:t>
            </w:r>
            <w:r w:rsidR="004042A1">
              <w:t xml:space="preserve">Actual risk </w:t>
            </w:r>
            <w:r w:rsidR="00FB0DE9">
              <w:t>is the</w:t>
            </w:r>
            <w:r w:rsidR="00FB0DE9" w:rsidRPr="00FB0DE9">
              <w:t xml:space="preserve"> combination of the likelihood (probability) of harm and the consequence of that harm (actual or potential).</w:t>
            </w:r>
          </w:p>
        </w:tc>
      </w:tr>
      <w:tr w:rsidR="00C10FA0" w:rsidRPr="006D1B7A" w14:paraId="1E370C47" w14:textId="77777777" w:rsidTr="0016630A">
        <w:trPr>
          <w:cantSplit/>
        </w:trPr>
        <w:tc>
          <w:tcPr>
            <w:tcW w:w="1324" w:type="pct"/>
          </w:tcPr>
          <w:p w14:paraId="2DB0F96E" w14:textId="77777777" w:rsidR="00C10FA0" w:rsidRPr="00ED098B" w:rsidRDefault="00C10FA0" w:rsidP="0054684C">
            <w:pPr>
              <w:pStyle w:val="TableText"/>
            </w:pPr>
            <w:r w:rsidRPr="00ED098B">
              <w:t>Baseline Enforcement Level (BEL)</w:t>
            </w:r>
          </w:p>
        </w:tc>
        <w:tc>
          <w:tcPr>
            <w:tcW w:w="3676" w:type="pct"/>
          </w:tcPr>
          <w:p w14:paraId="795DCAB9" w14:textId="77777777" w:rsidR="00C10FA0" w:rsidRPr="00ED098B" w:rsidRDefault="00C10FA0" w:rsidP="0054684C">
            <w:pPr>
              <w:pStyle w:val="TableText"/>
            </w:pPr>
            <w:r w:rsidRPr="00ED098B">
              <w:t>The lowest level of enforcement considered necessary to deliver compliance; solely reflecting, and proportionate to, the risk to health, safety, security or safeguards, or the seriousness of any breach of the law.</w:t>
            </w:r>
          </w:p>
        </w:tc>
      </w:tr>
      <w:tr w:rsidR="00C10FA0" w:rsidRPr="006D1B7A" w14:paraId="5244ED95" w14:textId="77777777" w:rsidTr="0016630A">
        <w:trPr>
          <w:cantSplit/>
        </w:trPr>
        <w:tc>
          <w:tcPr>
            <w:tcW w:w="1324" w:type="pct"/>
          </w:tcPr>
          <w:p w14:paraId="40DEB704" w14:textId="77777777" w:rsidR="00C10FA0" w:rsidRPr="00C631EA" w:rsidRDefault="00C10FA0" w:rsidP="0054684C">
            <w:pPr>
              <w:pStyle w:val="TableText"/>
            </w:pPr>
            <w:r w:rsidRPr="00C631EA">
              <w:t>Control measures</w:t>
            </w:r>
          </w:p>
        </w:tc>
        <w:tc>
          <w:tcPr>
            <w:tcW w:w="3676" w:type="pct"/>
          </w:tcPr>
          <w:p w14:paraId="3B1FE946" w14:textId="5812BAE9" w:rsidR="00C10FA0" w:rsidRPr="00C631EA" w:rsidRDefault="00C10FA0" w:rsidP="0054684C">
            <w:pPr>
              <w:pStyle w:val="TableText"/>
            </w:pPr>
            <w:r w:rsidRPr="00C631EA">
              <w:t>Is the relative measure of the extent to which relevant good practice set out in benchmark standards ha</w:t>
            </w:r>
            <w:r w:rsidR="00ED098B" w:rsidRPr="00C631EA">
              <w:t>s</w:t>
            </w:r>
            <w:r w:rsidRPr="00C631EA">
              <w:t xml:space="preserve"> been satisfied Categorised as </w:t>
            </w:r>
            <w:r w:rsidR="005E0787" w:rsidRPr="00C631EA">
              <w:t>Adequate, Deteriorated</w:t>
            </w:r>
            <w:r w:rsidR="00C631EA" w:rsidRPr="00C631EA">
              <w:t xml:space="preserve"> or Inadequate</w:t>
            </w:r>
            <w:r w:rsidRPr="00C631EA">
              <w:t>.</w:t>
            </w:r>
          </w:p>
        </w:tc>
      </w:tr>
      <w:tr w:rsidR="00C10FA0" w:rsidRPr="006D1B7A" w14:paraId="11807C96" w14:textId="77777777" w:rsidTr="0016630A">
        <w:trPr>
          <w:cantSplit/>
        </w:trPr>
        <w:tc>
          <w:tcPr>
            <w:tcW w:w="1324" w:type="pct"/>
          </w:tcPr>
          <w:p w14:paraId="1C2121B6" w14:textId="77777777" w:rsidR="00C10FA0" w:rsidRPr="008D6F1C" w:rsidRDefault="00C10FA0" w:rsidP="0054684C">
            <w:pPr>
              <w:pStyle w:val="TableText"/>
            </w:pPr>
            <w:r w:rsidRPr="008D6F1C">
              <w:t xml:space="preserve">Dutyholders </w:t>
            </w:r>
          </w:p>
        </w:tc>
        <w:tc>
          <w:tcPr>
            <w:tcW w:w="3676" w:type="pct"/>
          </w:tcPr>
          <w:p w14:paraId="3E16F34C" w14:textId="6D1873D6" w:rsidR="00C10FA0" w:rsidRPr="008D6F1C" w:rsidRDefault="00C10FA0" w:rsidP="0054684C">
            <w:pPr>
              <w:pStyle w:val="TableText"/>
            </w:pPr>
            <w:r w:rsidRPr="008D6F1C">
              <w:t>The legal body with the responsibility for ensuring safe, secure and safeguarded operations. This includes the operator, supplier, consignor/consignee</w:t>
            </w:r>
            <w:r w:rsidR="00F16FB3">
              <w:t>/carrier</w:t>
            </w:r>
            <w:r w:rsidRPr="008D6F1C">
              <w:t xml:space="preserve"> or licensee.</w:t>
            </w:r>
          </w:p>
        </w:tc>
      </w:tr>
      <w:tr w:rsidR="00C10FA0" w:rsidRPr="006D1B7A" w14:paraId="49A5C48E" w14:textId="77777777" w:rsidTr="0016630A">
        <w:trPr>
          <w:cantSplit/>
        </w:trPr>
        <w:tc>
          <w:tcPr>
            <w:tcW w:w="1324" w:type="pct"/>
          </w:tcPr>
          <w:p w14:paraId="09382F08" w14:textId="77777777" w:rsidR="00C10FA0" w:rsidRPr="008D6F1C" w:rsidRDefault="00C10FA0" w:rsidP="0054684C">
            <w:pPr>
              <w:pStyle w:val="TableText"/>
            </w:pPr>
            <w:r w:rsidRPr="008D6F1C">
              <w:t>Enforcement action</w:t>
            </w:r>
          </w:p>
        </w:tc>
        <w:tc>
          <w:tcPr>
            <w:tcW w:w="3676" w:type="pct"/>
          </w:tcPr>
          <w:p w14:paraId="4B7103A6" w14:textId="77777777" w:rsidR="00C10FA0" w:rsidRPr="008D6F1C" w:rsidRDefault="00C10FA0" w:rsidP="0054684C">
            <w:pPr>
              <w:pStyle w:val="TableText"/>
            </w:pPr>
            <w:r w:rsidRPr="008D6F1C">
              <w:t>Is the outcome determined after following the EMM and applying factors, for example, Notice, Enforcement Letter</w:t>
            </w:r>
          </w:p>
        </w:tc>
      </w:tr>
      <w:tr w:rsidR="00C10FA0" w:rsidRPr="006D1B7A" w14:paraId="45399755" w14:textId="77777777" w:rsidTr="0016630A">
        <w:trPr>
          <w:cantSplit/>
        </w:trPr>
        <w:tc>
          <w:tcPr>
            <w:tcW w:w="1324" w:type="pct"/>
          </w:tcPr>
          <w:p w14:paraId="77725FD6" w14:textId="77777777" w:rsidR="00C10FA0" w:rsidRPr="008D6F1C" w:rsidRDefault="00C10FA0" w:rsidP="0054684C">
            <w:pPr>
              <w:pStyle w:val="TableText"/>
            </w:pPr>
            <w:r w:rsidRPr="008D6F1C">
              <w:t>Enforcement Decision Record (EDR)</w:t>
            </w:r>
          </w:p>
        </w:tc>
        <w:tc>
          <w:tcPr>
            <w:tcW w:w="3676" w:type="pct"/>
          </w:tcPr>
          <w:p w14:paraId="79D3964A" w14:textId="77777777" w:rsidR="00C10FA0" w:rsidRPr="008D6F1C" w:rsidRDefault="00C10FA0" w:rsidP="0054684C">
            <w:pPr>
              <w:pStyle w:val="TableText"/>
            </w:pPr>
            <w:r w:rsidRPr="008D6F1C">
              <w:t xml:space="preserve">A document written to record enforcement decisions, which incorporates all the EMM process steps. </w:t>
            </w:r>
            <w:r w:rsidRPr="008D6F1C">
              <w:br/>
              <w:t>This document when completed will provide a transparent and accountable record of the basis for the enforcement decision and who made and contributed to the decision.</w:t>
            </w:r>
          </w:p>
        </w:tc>
      </w:tr>
      <w:tr w:rsidR="00C10FA0" w:rsidRPr="006D1B7A" w14:paraId="67202500" w14:textId="77777777" w:rsidTr="0016630A">
        <w:trPr>
          <w:cantSplit/>
        </w:trPr>
        <w:tc>
          <w:tcPr>
            <w:tcW w:w="1324" w:type="pct"/>
          </w:tcPr>
          <w:p w14:paraId="4D6F7ADC" w14:textId="77777777" w:rsidR="00C10FA0" w:rsidRPr="008D6F1C" w:rsidRDefault="00C10FA0" w:rsidP="0054684C">
            <w:pPr>
              <w:pStyle w:val="TableText"/>
            </w:pPr>
            <w:r w:rsidRPr="008D6F1C">
              <w:t>Enforcement Letter (EL)</w:t>
            </w:r>
          </w:p>
        </w:tc>
        <w:tc>
          <w:tcPr>
            <w:tcW w:w="3676" w:type="pct"/>
          </w:tcPr>
          <w:p w14:paraId="48C921BD" w14:textId="77777777" w:rsidR="00C10FA0" w:rsidRPr="008D6F1C" w:rsidRDefault="00C10FA0" w:rsidP="0054684C">
            <w:pPr>
              <w:pStyle w:val="TableText"/>
            </w:pPr>
            <w:r w:rsidRPr="008D6F1C">
              <w:t>An enforcement action; it should be clear to dutyholder upon receipt that this is an Enforcement Letter.</w:t>
            </w:r>
          </w:p>
        </w:tc>
      </w:tr>
      <w:tr w:rsidR="00C10FA0" w:rsidRPr="006D1B7A" w14:paraId="68D73EEF" w14:textId="77777777" w:rsidTr="0016630A">
        <w:trPr>
          <w:cantSplit/>
        </w:trPr>
        <w:tc>
          <w:tcPr>
            <w:tcW w:w="1324" w:type="pct"/>
          </w:tcPr>
          <w:p w14:paraId="57386CEE" w14:textId="77777777" w:rsidR="00C10FA0" w:rsidRPr="008D6F1C" w:rsidRDefault="00C10FA0" w:rsidP="0054684C">
            <w:pPr>
              <w:pStyle w:val="TableText"/>
            </w:pPr>
            <w:r w:rsidRPr="008D6F1C">
              <w:t>Enforcement Management Model (EMM)</w:t>
            </w:r>
          </w:p>
        </w:tc>
        <w:tc>
          <w:tcPr>
            <w:tcW w:w="3676" w:type="pct"/>
          </w:tcPr>
          <w:p w14:paraId="2AB7D0F0" w14:textId="77777777" w:rsidR="00C10FA0" w:rsidRPr="008D6F1C" w:rsidRDefault="00C10FA0" w:rsidP="0054684C">
            <w:pPr>
              <w:pStyle w:val="TableText"/>
            </w:pPr>
            <w:r w:rsidRPr="008D6F1C">
              <w:t xml:space="preserve">ONRs </w:t>
            </w:r>
            <w:r w:rsidRPr="008D6F1C">
              <w:rPr>
                <w:b/>
                <w:bCs/>
              </w:rPr>
              <w:t>framework</w:t>
            </w:r>
            <w:r w:rsidRPr="008D6F1C">
              <w:t xml:space="preserve"> for aiding consistent and proportionate decision making in relation to enforcement.</w:t>
            </w:r>
          </w:p>
        </w:tc>
      </w:tr>
      <w:tr w:rsidR="00C10FA0" w:rsidRPr="006D1B7A" w14:paraId="16520C7B" w14:textId="77777777" w:rsidTr="0016630A">
        <w:trPr>
          <w:cantSplit/>
        </w:trPr>
        <w:tc>
          <w:tcPr>
            <w:tcW w:w="1324" w:type="pct"/>
          </w:tcPr>
          <w:p w14:paraId="2496360F" w14:textId="77777777" w:rsidR="00C10FA0" w:rsidRPr="008D6F1C" w:rsidRDefault="00C10FA0" w:rsidP="0054684C">
            <w:pPr>
              <w:pStyle w:val="TableText"/>
            </w:pPr>
            <w:r w:rsidRPr="008D6F1C">
              <w:t>Enforcement powers</w:t>
            </w:r>
          </w:p>
        </w:tc>
        <w:tc>
          <w:tcPr>
            <w:tcW w:w="3676" w:type="pct"/>
          </w:tcPr>
          <w:p w14:paraId="31A4B21F" w14:textId="77777777" w:rsidR="00C10FA0" w:rsidRPr="008D6F1C" w:rsidRDefault="00C10FA0" w:rsidP="0054684C">
            <w:pPr>
              <w:pStyle w:val="TableText"/>
            </w:pPr>
            <w:r w:rsidRPr="008D6F1C">
              <w:t>Those powers identified in legislation to enable us to enforce.</w:t>
            </w:r>
          </w:p>
        </w:tc>
      </w:tr>
      <w:tr w:rsidR="00C10FA0" w:rsidRPr="006D1B7A" w14:paraId="2272ABA7" w14:textId="77777777" w:rsidTr="0016630A">
        <w:trPr>
          <w:cantSplit/>
        </w:trPr>
        <w:tc>
          <w:tcPr>
            <w:tcW w:w="1324" w:type="pct"/>
          </w:tcPr>
          <w:p w14:paraId="64B58D85" w14:textId="77777777" w:rsidR="00C10FA0" w:rsidRPr="00C97B73" w:rsidRDefault="00C10FA0" w:rsidP="0054684C">
            <w:pPr>
              <w:pStyle w:val="TableText"/>
            </w:pPr>
            <w:r w:rsidRPr="00C97B73">
              <w:t>Final enforcement conclusion</w:t>
            </w:r>
          </w:p>
        </w:tc>
        <w:tc>
          <w:tcPr>
            <w:tcW w:w="3676" w:type="pct"/>
          </w:tcPr>
          <w:p w14:paraId="2403020E" w14:textId="77777777" w:rsidR="00C10FA0" w:rsidRPr="00C97B73" w:rsidRDefault="00C10FA0" w:rsidP="0054684C">
            <w:pPr>
              <w:pStyle w:val="TableText"/>
            </w:pPr>
            <w:r w:rsidRPr="00C97B73">
              <w:t>Having completed all the steps of the EMM, this is the conclusion, which may lead to an enforcement action.</w:t>
            </w:r>
          </w:p>
        </w:tc>
      </w:tr>
      <w:tr w:rsidR="00C10FA0" w:rsidRPr="006D1B7A" w14:paraId="3EF889EA" w14:textId="77777777" w:rsidTr="0016630A">
        <w:trPr>
          <w:cantSplit/>
        </w:trPr>
        <w:tc>
          <w:tcPr>
            <w:tcW w:w="1324" w:type="pct"/>
          </w:tcPr>
          <w:p w14:paraId="242FF3F8" w14:textId="77777777" w:rsidR="00C10FA0" w:rsidRPr="007221DE" w:rsidRDefault="00C10FA0" w:rsidP="0054684C">
            <w:pPr>
              <w:pStyle w:val="TableText"/>
            </w:pPr>
            <w:r w:rsidRPr="007221DE">
              <w:t>Formal enforcement</w:t>
            </w:r>
          </w:p>
        </w:tc>
        <w:tc>
          <w:tcPr>
            <w:tcW w:w="3676" w:type="pct"/>
          </w:tcPr>
          <w:p w14:paraId="5EAF43D0" w14:textId="1C77C8AE" w:rsidR="00C10FA0" w:rsidRPr="007221DE" w:rsidRDefault="00C10FA0" w:rsidP="0054684C">
            <w:r w:rsidRPr="007221DE">
              <w:t>The enforcement action is a</w:t>
            </w:r>
            <w:r w:rsidR="007221DE" w:rsidRPr="007221DE">
              <w:t>n Enforcement Letter or above.</w:t>
            </w:r>
          </w:p>
          <w:p w14:paraId="04C970C9" w14:textId="77777777" w:rsidR="00C10FA0" w:rsidRPr="007221DE" w:rsidRDefault="00C10FA0" w:rsidP="0054684C">
            <w:pPr>
              <w:pStyle w:val="TableText"/>
            </w:pPr>
          </w:p>
        </w:tc>
      </w:tr>
      <w:tr w:rsidR="00F15EBB" w:rsidRPr="006D1B7A" w14:paraId="318CE32F" w14:textId="77777777" w:rsidTr="0016630A">
        <w:trPr>
          <w:cantSplit/>
        </w:trPr>
        <w:tc>
          <w:tcPr>
            <w:tcW w:w="1324" w:type="pct"/>
          </w:tcPr>
          <w:p w14:paraId="7E1BF1F0" w14:textId="7EA19951" w:rsidR="00F15EBB" w:rsidRPr="007221DE" w:rsidRDefault="00F15EBB" w:rsidP="0054684C">
            <w:pPr>
              <w:pStyle w:val="TableText"/>
            </w:pPr>
            <w:r>
              <w:lastRenderedPageBreak/>
              <w:t>Hazard</w:t>
            </w:r>
          </w:p>
        </w:tc>
        <w:tc>
          <w:tcPr>
            <w:tcW w:w="3676" w:type="pct"/>
          </w:tcPr>
          <w:p w14:paraId="111D7136" w14:textId="197B9B9B" w:rsidR="00F15EBB" w:rsidRPr="007221DE" w:rsidRDefault="008529D1" w:rsidP="0054684C">
            <w:r>
              <w:t>Anything that has the potential to cause harm.</w:t>
            </w:r>
          </w:p>
        </w:tc>
      </w:tr>
      <w:tr w:rsidR="00D0366D" w:rsidRPr="006D1B7A" w14:paraId="4F6DFA64" w14:textId="77777777" w:rsidTr="0016630A">
        <w:tc>
          <w:tcPr>
            <w:tcW w:w="1324" w:type="pct"/>
          </w:tcPr>
          <w:p w14:paraId="641ADD49" w14:textId="77777777" w:rsidR="00D0366D" w:rsidRPr="00C631EA" w:rsidRDefault="00D0366D" w:rsidP="00946934">
            <w:pPr>
              <w:pStyle w:val="TableText"/>
            </w:pPr>
            <w:r w:rsidRPr="00C631EA">
              <w:t>Head of Regulation</w:t>
            </w:r>
          </w:p>
        </w:tc>
        <w:tc>
          <w:tcPr>
            <w:tcW w:w="3676" w:type="pct"/>
          </w:tcPr>
          <w:p w14:paraId="75A82A5C" w14:textId="2B402D8D" w:rsidR="00D0366D" w:rsidRPr="00C631EA" w:rsidRDefault="00D0366D" w:rsidP="00946934">
            <w:pPr>
              <w:pStyle w:val="TableText"/>
            </w:pPr>
            <w:r w:rsidRPr="00C631EA">
              <w:t>The inspector who provides leadership and management for specific packages of regulatory work within the regulatory directorates, typically Superintending Inspector.</w:t>
            </w:r>
          </w:p>
        </w:tc>
      </w:tr>
      <w:tr w:rsidR="00C10FA0" w:rsidRPr="006D1B7A" w14:paraId="002B0429" w14:textId="77777777" w:rsidTr="0016630A">
        <w:trPr>
          <w:cantSplit/>
        </w:trPr>
        <w:tc>
          <w:tcPr>
            <w:tcW w:w="1324" w:type="pct"/>
          </w:tcPr>
          <w:p w14:paraId="5FCFA701" w14:textId="77777777" w:rsidR="00C10FA0" w:rsidRPr="004569F9" w:rsidRDefault="00C10FA0" w:rsidP="0054684C">
            <w:pPr>
              <w:pStyle w:val="TableText"/>
            </w:pPr>
            <w:r w:rsidRPr="004569F9">
              <w:t>‘Holding to account’ meeting</w:t>
            </w:r>
          </w:p>
        </w:tc>
        <w:tc>
          <w:tcPr>
            <w:tcW w:w="3676" w:type="pct"/>
          </w:tcPr>
          <w:p w14:paraId="3C46B8C4" w14:textId="265488C9" w:rsidR="00C10FA0" w:rsidRPr="004569F9" w:rsidRDefault="00C10FA0" w:rsidP="0054684C">
            <w:r w:rsidRPr="004569F9">
              <w:t>A meeting with the dutyholder where the enforcement action is made clear and the potential for subsequent escalation, should timely compliance not be achieved, is understood.</w:t>
            </w:r>
            <w:r w:rsidR="004569F9">
              <w:t xml:space="preserve"> It is not an enforcement action in itself.</w:t>
            </w:r>
          </w:p>
        </w:tc>
      </w:tr>
      <w:tr w:rsidR="00C10FA0" w:rsidRPr="006D1B7A" w14:paraId="55205451" w14:textId="77777777" w:rsidTr="0016630A">
        <w:trPr>
          <w:cantSplit/>
        </w:trPr>
        <w:tc>
          <w:tcPr>
            <w:tcW w:w="1324" w:type="pct"/>
          </w:tcPr>
          <w:p w14:paraId="0D4B3AEA" w14:textId="77777777" w:rsidR="00C10FA0" w:rsidRPr="00681D75" w:rsidRDefault="00C10FA0" w:rsidP="0054684C">
            <w:pPr>
              <w:pStyle w:val="TableText"/>
            </w:pPr>
            <w:r w:rsidRPr="00681D75">
              <w:t>Minor consequence level</w:t>
            </w:r>
          </w:p>
        </w:tc>
        <w:tc>
          <w:tcPr>
            <w:tcW w:w="3676" w:type="pct"/>
          </w:tcPr>
          <w:p w14:paraId="1A1FE852" w14:textId="77777777" w:rsidR="00C10FA0" w:rsidRPr="00681D75" w:rsidRDefault="00C10FA0" w:rsidP="0054684C">
            <w:r w:rsidRPr="00681D75">
              <w:t>Consequences that will not result in any permanent harm to workers; harm to the public; or civil disruption.</w:t>
            </w:r>
          </w:p>
        </w:tc>
      </w:tr>
      <w:tr w:rsidR="00C10FA0" w:rsidRPr="006D1B7A" w14:paraId="514081F6" w14:textId="77777777" w:rsidTr="0016630A">
        <w:trPr>
          <w:cantSplit/>
        </w:trPr>
        <w:tc>
          <w:tcPr>
            <w:tcW w:w="1324" w:type="pct"/>
          </w:tcPr>
          <w:p w14:paraId="544F7D68" w14:textId="77777777" w:rsidR="00C10FA0" w:rsidRPr="00681D75" w:rsidRDefault="00C10FA0" w:rsidP="0054684C">
            <w:pPr>
              <w:pStyle w:val="TableText"/>
            </w:pPr>
            <w:r w:rsidRPr="00681D75">
              <w:t>Non-formal enforcement</w:t>
            </w:r>
          </w:p>
        </w:tc>
        <w:tc>
          <w:tcPr>
            <w:tcW w:w="3676" w:type="pct"/>
          </w:tcPr>
          <w:p w14:paraId="088AD600" w14:textId="4E2DA0D2" w:rsidR="00C10FA0" w:rsidRPr="00681D75" w:rsidRDefault="00C10FA0" w:rsidP="0054684C">
            <w:r w:rsidRPr="00681D75">
              <w:t xml:space="preserve">Our routine enforcement in managing day to day interactions with the dutyholder, e.g. giving advice or promoting/encouraging improvement. This is likely to be recorded in either IR/CRs. </w:t>
            </w:r>
          </w:p>
        </w:tc>
      </w:tr>
      <w:tr w:rsidR="00C10FA0" w:rsidRPr="006D1B7A" w14:paraId="5A39AF97" w14:textId="77777777" w:rsidTr="0016630A">
        <w:trPr>
          <w:cantSplit/>
        </w:trPr>
        <w:tc>
          <w:tcPr>
            <w:tcW w:w="1324" w:type="pct"/>
          </w:tcPr>
          <w:p w14:paraId="32C68A8B" w14:textId="77777777" w:rsidR="00C10FA0" w:rsidRPr="00A571CE" w:rsidRDefault="00C10FA0" w:rsidP="0054684C">
            <w:pPr>
              <w:pStyle w:val="TableText"/>
            </w:pPr>
            <w:r w:rsidRPr="00A571CE">
              <w:t>Risk</w:t>
            </w:r>
          </w:p>
        </w:tc>
        <w:tc>
          <w:tcPr>
            <w:tcW w:w="3676" w:type="pct"/>
          </w:tcPr>
          <w:p w14:paraId="05BDB79D" w14:textId="79A1DEB6" w:rsidR="00C10FA0" w:rsidRPr="00A571CE" w:rsidRDefault="00DC7602" w:rsidP="00A571CE">
            <w:r w:rsidRPr="00A571CE">
              <w:t xml:space="preserve">The </w:t>
            </w:r>
            <w:r w:rsidR="006C3196" w:rsidRPr="00A571CE">
              <w:t>combination of the likelihood (probability</w:t>
            </w:r>
            <w:r w:rsidR="008B6C24" w:rsidRPr="00A571CE">
              <w:t>) of a hazard</w:t>
            </w:r>
            <w:r w:rsidR="000C617B" w:rsidRPr="00A571CE">
              <w:t xml:space="preserve"> causing harm and the consequence of that harm</w:t>
            </w:r>
            <w:r w:rsidR="00CE4272" w:rsidRPr="00A571CE">
              <w:t xml:space="preserve"> (actual or potential)</w:t>
            </w:r>
            <w:r w:rsidR="000C617B" w:rsidRPr="00A571CE">
              <w:t xml:space="preserve">. </w:t>
            </w:r>
          </w:p>
        </w:tc>
      </w:tr>
      <w:tr w:rsidR="00C10FA0" w:rsidRPr="006D1B7A" w14:paraId="69885F4A" w14:textId="77777777" w:rsidTr="0016630A">
        <w:trPr>
          <w:cantSplit/>
        </w:trPr>
        <w:tc>
          <w:tcPr>
            <w:tcW w:w="1324" w:type="pct"/>
          </w:tcPr>
          <w:p w14:paraId="72121E7A" w14:textId="77777777" w:rsidR="00C10FA0" w:rsidRPr="008E3E0B" w:rsidRDefault="00C10FA0" w:rsidP="0054684C">
            <w:pPr>
              <w:pStyle w:val="TableText"/>
            </w:pPr>
            <w:r w:rsidRPr="008E3E0B">
              <w:t>Serious consequence level</w:t>
            </w:r>
          </w:p>
        </w:tc>
        <w:tc>
          <w:tcPr>
            <w:tcW w:w="3676" w:type="pct"/>
          </w:tcPr>
          <w:p w14:paraId="3C281A5E" w14:textId="72A95E70" w:rsidR="00C10FA0" w:rsidRPr="008E3E0B" w:rsidRDefault="00C10FA0" w:rsidP="004D5DE9">
            <w:r w:rsidRPr="008E3E0B">
              <w:t xml:space="preserve">Consequences that have or may result in </w:t>
            </w:r>
            <w:r w:rsidR="008E3E0B" w:rsidRPr="008E3E0B">
              <w:t>death, multiple casualties, major injury or significant permanent debilitation to workers; significant radiation</w:t>
            </w:r>
            <w:r w:rsidR="00860080">
              <w:t xml:space="preserve"> / chemotoxic</w:t>
            </w:r>
            <w:r w:rsidR="008E3E0B" w:rsidRPr="008E3E0B">
              <w:t xml:space="preserve"> exposure to </w:t>
            </w:r>
            <w:r w:rsidR="004D5DE9" w:rsidRPr="004D5DE9">
              <w:t xml:space="preserve">workers or </w:t>
            </w:r>
            <w:r w:rsidR="008E3E0B" w:rsidRPr="008E3E0B">
              <w:t>members of the public; or significant civil disruption</w:t>
            </w:r>
            <w:r w:rsidRPr="008E3E0B">
              <w:t>.</w:t>
            </w:r>
          </w:p>
        </w:tc>
      </w:tr>
      <w:tr w:rsidR="00C10FA0" w:rsidRPr="006D1B7A" w14:paraId="1B30863F" w14:textId="77777777" w:rsidTr="0016630A">
        <w:trPr>
          <w:cantSplit/>
        </w:trPr>
        <w:tc>
          <w:tcPr>
            <w:tcW w:w="1324" w:type="pct"/>
          </w:tcPr>
          <w:p w14:paraId="2FBC7D3D" w14:textId="77777777" w:rsidR="00C10FA0" w:rsidRPr="008E3E0B" w:rsidRDefault="00C10FA0" w:rsidP="0054684C">
            <w:pPr>
              <w:pStyle w:val="TableText"/>
            </w:pPr>
            <w:r w:rsidRPr="008E3E0B">
              <w:t>Significant consequence level</w:t>
            </w:r>
          </w:p>
        </w:tc>
        <w:tc>
          <w:tcPr>
            <w:tcW w:w="3676" w:type="pct"/>
          </w:tcPr>
          <w:p w14:paraId="6D1D6174" w14:textId="5E1D0B53" w:rsidR="00C10FA0" w:rsidRPr="006D1B7A" w:rsidRDefault="008E3E0B" w:rsidP="0054684C">
            <w:r w:rsidRPr="008E3E0B">
              <w:t>that do</w:t>
            </w:r>
            <w:r w:rsidR="000029E5">
              <w:t>es</w:t>
            </w:r>
            <w:r w:rsidRPr="008E3E0B">
              <w:t xml:space="preserve"> not satisfy the criteria for serious consequences but </w:t>
            </w:r>
            <w:r w:rsidRPr="008E3E0B">
              <w:rPr>
                <w:i/>
                <w:iCs/>
              </w:rPr>
              <w:t>have or may</w:t>
            </w:r>
            <w:r w:rsidRPr="008E3E0B">
              <w:t xml:space="preserve">; result in a permanent restriction for workers; a loss of control of nuclear material or sensitive nuclear information; or exposure of </w:t>
            </w:r>
            <w:r w:rsidR="00D73A6B">
              <w:t xml:space="preserve">workers or </w:t>
            </w:r>
            <w:r w:rsidRPr="008E3E0B">
              <w:t>members of the public to risks arising from activities of the dutyholder</w:t>
            </w:r>
            <w:r w:rsidR="00010118">
              <w:t>.</w:t>
            </w:r>
          </w:p>
        </w:tc>
      </w:tr>
    </w:tbl>
    <w:p w14:paraId="2F9ACFF7" w14:textId="77777777" w:rsidR="00C10FA0" w:rsidRPr="006D1B7A" w:rsidRDefault="00C10FA0" w:rsidP="00C10FA0">
      <w:pPr>
        <w:sectPr w:rsidR="00C10FA0" w:rsidRPr="006D1B7A" w:rsidSect="001A677D">
          <w:pgSz w:w="11906" w:h="16838" w:code="9"/>
          <w:pgMar w:top="1440" w:right="1440" w:bottom="1440" w:left="1440" w:header="397" w:footer="397" w:gutter="0"/>
          <w:cols w:space="312"/>
          <w:docGrid w:linePitch="360"/>
        </w:sectPr>
      </w:pPr>
    </w:p>
    <w:p w14:paraId="6884A652" w14:textId="77777777" w:rsidR="001A677D" w:rsidRDefault="001A677D" w:rsidP="001A677D">
      <w:pPr>
        <w:pStyle w:val="InnerCoverTitle"/>
        <w:rPr>
          <w:sz w:val="36"/>
          <w:szCs w:val="36"/>
        </w:rPr>
        <w:sectPr w:rsidR="001A677D" w:rsidSect="001A677D">
          <w:type w:val="continuous"/>
          <w:pgSz w:w="11906" w:h="16838" w:code="9"/>
          <w:pgMar w:top="1440" w:right="1440" w:bottom="1440" w:left="1440" w:header="397" w:footer="397" w:gutter="0"/>
          <w:cols w:space="312"/>
          <w:docGrid w:linePitch="360"/>
        </w:sectPr>
      </w:pPr>
    </w:p>
    <w:p w14:paraId="176CD158" w14:textId="2DCA4D52" w:rsidR="001A677D" w:rsidRPr="006D1B7A" w:rsidRDefault="001A677D" w:rsidP="001A677D">
      <w:pPr>
        <w:pStyle w:val="Heading1"/>
        <w:numPr>
          <w:ilvl w:val="0"/>
          <w:numId w:val="0"/>
        </w:numPr>
        <w:ind w:left="851" w:hanging="851"/>
      </w:pPr>
      <w:bookmarkStart w:id="51" w:name="_Toc213836327"/>
      <w:r>
        <w:lastRenderedPageBreak/>
        <w:t>Document control information</w:t>
      </w:r>
      <w:bookmarkEnd w:id="51"/>
    </w:p>
    <w:p w14:paraId="767E455E" w14:textId="77777777" w:rsidR="001A677D" w:rsidRPr="001A677D" w:rsidRDefault="001A677D" w:rsidP="001A677D">
      <w:pPr>
        <w:rPr>
          <w:szCs w:val="24"/>
        </w:rPr>
      </w:pPr>
      <w:r w:rsidRPr="001A677D">
        <w:rPr>
          <w:rStyle w:val="Style2"/>
          <w:b/>
          <w:bCs/>
          <w:sz w:val="24"/>
          <w:szCs w:val="24"/>
        </w:rPr>
        <w:t>Process Owner</w:t>
      </w:r>
      <w:r w:rsidRPr="001A677D">
        <w:rPr>
          <w:rStyle w:val="Style2"/>
          <w:sz w:val="24"/>
          <w:szCs w:val="24"/>
        </w:rPr>
        <w:t>: Technical Director</w:t>
      </w:r>
    </w:p>
    <w:p w14:paraId="321A49C2" w14:textId="77777777" w:rsidR="001A677D" w:rsidRPr="00B4258F" w:rsidRDefault="001A677D" w:rsidP="001A677D">
      <w:pPr>
        <w:rPr>
          <w:szCs w:val="24"/>
        </w:rPr>
      </w:pPr>
      <w:r w:rsidRPr="00B4258F">
        <w:rPr>
          <w:b/>
          <w:bCs/>
          <w:szCs w:val="24"/>
        </w:rPr>
        <w:t>Authored by</w:t>
      </w:r>
      <w:r>
        <w:rPr>
          <w:b/>
          <w:bCs/>
          <w:szCs w:val="24"/>
        </w:rPr>
        <w:t>:</w:t>
      </w:r>
      <w:r>
        <w:rPr>
          <w:szCs w:val="24"/>
        </w:rPr>
        <w:t xml:space="preserve"> </w:t>
      </w:r>
      <w:r w:rsidRPr="00B4258F">
        <w:rPr>
          <w:szCs w:val="24"/>
        </w:rPr>
        <w:t xml:space="preserve">Nuclear Safety Inspector </w:t>
      </w:r>
    </w:p>
    <w:p w14:paraId="358C5B10" w14:textId="77777777" w:rsidR="001A677D" w:rsidRPr="00B4258F" w:rsidRDefault="001A677D" w:rsidP="001A677D">
      <w:pPr>
        <w:rPr>
          <w:szCs w:val="24"/>
        </w:rPr>
      </w:pPr>
      <w:r w:rsidRPr="00B4258F">
        <w:rPr>
          <w:b/>
          <w:bCs/>
          <w:szCs w:val="24"/>
        </w:rPr>
        <w:t>Approved by</w:t>
      </w:r>
      <w:r>
        <w:rPr>
          <w:b/>
          <w:bCs/>
          <w:szCs w:val="24"/>
        </w:rPr>
        <w:t>:</w:t>
      </w:r>
      <w:r>
        <w:rPr>
          <w:szCs w:val="24"/>
        </w:rPr>
        <w:t xml:space="preserve"> Head of Profession – Operational Inspection</w:t>
      </w:r>
    </w:p>
    <w:p w14:paraId="648E4881" w14:textId="11154EE7" w:rsidR="001A677D" w:rsidRPr="006D1B7A" w:rsidRDefault="001A677D" w:rsidP="001A677D">
      <w:pPr>
        <w:rPr>
          <w:szCs w:val="24"/>
        </w:rPr>
      </w:pPr>
      <w:r w:rsidRPr="006D1B7A">
        <w:rPr>
          <w:b/>
          <w:bCs/>
          <w:szCs w:val="24"/>
        </w:rPr>
        <w:t>Issue:</w:t>
      </w:r>
      <w:r w:rsidRPr="006D1B7A">
        <w:rPr>
          <w:szCs w:val="24"/>
        </w:rPr>
        <w:t xml:space="preserve"> </w:t>
      </w:r>
      <w:sdt>
        <w:sdtPr>
          <w:rPr>
            <w:szCs w:val="24"/>
          </w:rPr>
          <w:alias w:val="Issue No."/>
          <w:tag w:val=""/>
          <w:id w:val="-894428327"/>
          <w:placeholder>
            <w:docPart w:val="296F1CB66ADE4832A9D850676435F19A"/>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5.</w:t>
          </w:r>
          <w:r w:rsidR="0052001A">
            <w:rPr>
              <w:szCs w:val="24"/>
            </w:rPr>
            <w:t>6</w:t>
          </w:r>
        </w:sdtContent>
      </w:sdt>
    </w:p>
    <w:p w14:paraId="418078F2" w14:textId="77777777" w:rsidR="001A677D" w:rsidRPr="006D1B7A" w:rsidRDefault="001A677D" w:rsidP="001A677D">
      <w:pPr>
        <w:rPr>
          <w:szCs w:val="24"/>
        </w:rPr>
      </w:pPr>
      <w:r w:rsidRPr="00994764">
        <w:rPr>
          <w:b/>
          <w:bCs/>
          <w:szCs w:val="24"/>
        </w:rPr>
        <w:t>Published:</w:t>
      </w:r>
      <w:r w:rsidRPr="00994764">
        <w:rPr>
          <w:szCs w:val="24"/>
        </w:rPr>
        <w:t xml:space="preserve"> </w:t>
      </w:r>
      <w:bookmarkStart w:id="52" w:name="_Hlk157422077"/>
      <w:r w:rsidRPr="00994764">
        <w:rPr>
          <w:szCs w:val="24"/>
        </w:rPr>
        <w:t xml:space="preserve">December </w:t>
      </w:r>
      <w:bookmarkEnd w:id="52"/>
      <w:r w:rsidRPr="00994764">
        <w:rPr>
          <w:szCs w:val="24"/>
        </w:rPr>
        <w:t>2025</w:t>
      </w:r>
    </w:p>
    <w:p w14:paraId="78ACADF5" w14:textId="77777777" w:rsidR="001A677D" w:rsidRPr="006D1B7A" w:rsidRDefault="001A677D" w:rsidP="001A677D">
      <w:pPr>
        <w:rPr>
          <w:szCs w:val="24"/>
        </w:rPr>
      </w:pPr>
      <w:r w:rsidRPr="00E73E10">
        <w:rPr>
          <w:b/>
          <w:bCs/>
          <w:szCs w:val="24"/>
        </w:rPr>
        <w:t>Next scheduled review:</w:t>
      </w:r>
      <w:r w:rsidRPr="00E73E10">
        <w:rPr>
          <w:szCs w:val="24"/>
        </w:rPr>
        <w:t xml:space="preserve"> December 2028</w:t>
      </w:r>
    </w:p>
    <w:p w14:paraId="139A8C3D" w14:textId="77777777" w:rsidR="001A677D" w:rsidRPr="006D1B7A" w:rsidRDefault="001A677D" w:rsidP="001A677D">
      <w:pPr>
        <w:rPr>
          <w:szCs w:val="24"/>
        </w:rPr>
      </w:pPr>
      <w:r w:rsidRPr="006D1B7A">
        <w:rPr>
          <w:b/>
          <w:bCs/>
          <w:szCs w:val="24"/>
        </w:rPr>
        <w:t>Document reference:</w:t>
      </w:r>
      <w:r w:rsidRPr="006D1B7A">
        <w:rPr>
          <w:szCs w:val="24"/>
        </w:rPr>
        <w:t xml:space="preserve"> </w:t>
      </w:r>
      <w:r>
        <w:rPr>
          <w:szCs w:val="24"/>
        </w:rPr>
        <w:t>ONR-ENF-GD-006</w:t>
      </w:r>
    </w:p>
    <w:p w14:paraId="2B02B9EE" w14:textId="77777777" w:rsidR="001A677D" w:rsidRPr="00466E99" w:rsidRDefault="001A677D" w:rsidP="001A677D">
      <w:pPr>
        <w:rPr>
          <w:szCs w:val="24"/>
        </w:rPr>
      </w:pPr>
      <w:r w:rsidRPr="006D1B7A">
        <w:rPr>
          <w:b/>
          <w:bCs/>
          <w:szCs w:val="24"/>
        </w:rPr>
        <w:t>Record reference:</w:t>
      </w:r>
      <w:r w:rsidRPr="006D1B7A">
        <w:rPr>
          <w:szCs w:val="24"/>
        </w:rPr>
        <w:t xml:space="preserve"> </w:t>
      </w:r>
      <w:hyperlink r:id="rId51" w:tgtFrame="_blank" w:tooltip="ONRHH-822789359-20664" w:history="1">
        <w:r w:rsidRPr="001A677D">
          <w:rPr>
            <w:rStyle w:val="Hyperlink"/>
            <w:szCs w:val="24"/>
          </w:rPr>
          <w:t>ONRHH-822789359-20664</w:t>
        </w:r>
      </w:hyperlink>
    </w:p>
    <w:p w14:paraId="6B347731" w14:textId="77777777" w:rsidR="001A677D" w:rsidRDefault="001A677D" w:rsidP="001A677D">
      <w:pPr>
        <w:pStyle w:val="Caption"/>
        <w:ind w:left="0"/>
        <w:jc w:val="left"/>
      </w:pPr>
    </w:p>
    <w:p w14:paraId="22A3BB07" w14:textId="4504FB96" w:rsidR="001A677D" w:rsidRPr="006D1B7A" w:rsidRDefault="001A677D" w:rsidP="001A677D">
      <w:pPr>
        <w:pStyle w:val="Caption"/>
        <w:ind w:left="0"/>
        <w:jc w:val="left"/>
      </w:pPr>
      <w:r w:rsidRPr="006D1B7A">
        <w:t>Revision commentary</w:t>
      </w:r>
    </w:p>
    <w:tbl>
      <w:tblPr>
        <w:tblStyle w:val="ONRTable1"/>
        <w:tblW w:w="0" w:type="auto"/>
        <w:tblInd w:w="10" w:type="dxa"/>
        <w:tblLook w:val="04A0" w:firstRow="1" w:lastRow="0" w:firstColumn="1" w:lastColumn="0" w:noHBand="0" w:noVBand="1"/>
      </w:tblPr>
      <w:tblGrid>
        <w:gridCol w:w="1266"/>
        <w:gridCol w:w="7750"/>
      </w:tblGrid>
      <w:tr w:rsidR="001A677D" w:rsidRPr="00AE2519" w14:paraId="0E7636C5" w14:textId="77777777" w:rsidTr="00E259C8">
        <w:trPr>
          <w:cnfStyle w:val="100000000000" w:firstRow="1" w:lastRow="0" w:firstColumn="0" w:lastColumn="0" w:oddVBand="0" w:evenVBand="0" w:oddHBand="0" w:evenHBand="0" w:firstRowFirstColumn="0" w:firstRowLastColumn="0" w:lastRowFirstColumn="0" w:lastRowLastColumn="0"/>
        </w:trPr>
        <w:tc>
          <w:tcPr>
            <w:tcW w:w="1266" w:type="dxa"/>
          </w:tcPr>
          <w:p w14:paraId="7E4AADAB" w14:textId="77777777" w:rsidR="001A677D" w:rsidRPr="00AE2519" w:rsidRDefault="001A677D" w:rsidP="00E259C8">
            <w:pPr>
              <w:spacing w:before="60" w:after="60"/>
              <w:rPr>
                <w:b w:val="0"/>
                <w:bCs/>
                <w:sz w:val="22"/>
              </w:rPr>
            </w:pPr>
            <w:r w:rsidRPr="00AE2519">
              <w:rPr>
                <w:b w:val="0"/>
                <w:bCs/>
                <w:sz w:val="22"/>
              </w:rPr>
              <w:t>Issue</w:t>
            </w:r>
          </w:p>
        </w:tc>
        <w:tc>
          <w:tcPr>
            <w:tcW w:w="7750" w:type="dxa"/>
          </w:tcPr>
          <w:p w14:paraId="11F566D2" w14:textId="77777777" w:rsidR="001A677D" w:rsidRPr="00AE2519" w:rsidRDefault="001A677D" w:rsidP="00E259C8">
            <w:pPr>
              <w:spacing w:before="60" w:after="60"/>
              <w:rPr>
                <w:b w:val="0"/>
                <w:bCs/>
                <w:sz w:val="22"/>
              </w:rPr>
            </w:pPr>
            <w:r w:rsidRPr="00AE2519">
              <w:rPr>
                <w:b w:val="0"/>
                <w:bCs/>
                <w:sz w:val="22"/>
              </w:rPr>
              <w:t>Description of update(s)</w:t>
            </w:r>
          </w:p>
        </w:tc>
      </w:tr>
      <w:tr w:rsidR="001A677D" w:rsidRPr="006D1B7A" w14:paraId="614A66E3" w14:textId="77777777" w:rsidTr="00E259C8">
        <w:tc>
          <w:tcPr>
            <w:tcW w:w="1266" w:type="dxa"/>
          </w:tcPr>
          <w:p w14:paraId="681FEB0C" w14:textId="77777777" w:rsidR="001A677D" w:rsidRPr="005F2B77" w:rsidRDefault="001A677D" w:rsidP="00E259C8">
            <w:pPr>
              <w:spacing w:before="60" w:after="60"/>
              <w:rPr>
                <w:sz w:val="20"/>
                <w:szCs w:val="20"/>
              </w:rPr>
            </w:pPr>
            <w:r w:rsidRPr="005F2B77">
              <w:rPr>
                <w:sz w:val="20"/>
                <w:szCs w:val="20"/>
              </w:rPr>
              <w:t>5.5</w:t>
            </w:r>
          </w:p>
        </w:tc>
        <w:tc>
          <w:tcPr>
            <w:tcW w:w="7750" w:type="dxa"/>
          </w:tcPr>
          <w:p w14:paraId="2B891024" w14:textId="77777777" w:rsidR="001A677D" w:rsidRPr="00466E99" w:rsidRDefault="001A677D" w:rsidP="00E259C8">
            <w:pPr>
              <w:spacing w:before="60" w:after="60"/>
              <w:rPr>
                <w:sz w:val="20"/>
                <w:szCs w:val="20"/>
              </w:rPr>
            </w:pPr>
            <w:r w:rsidRPr="00466E99">
              <w:rPr>
                <w:sz w:val="20"/>
                <w:szCs w:val="20"/>
              </w:rPr>
              <w:t>Minor update – no change to the stages of making an enforcement decision.</w:t>
            </w:r>
          </w:p>
          <w:p w14:paraId="443CF451" w14:textId="77777777" w:rsidR="001A677D" w:rsidRPr="00466E99" w:rsidRDefault="001A677D" w:rsidP="00E259C8">
            <w:pPr>
              <w:spacing w:before="60" w:after="60"/>
              <w:rPr>
                <w:sz w:val="20"/>
                <w:szCs w:val="20"/>
              </w:rPr>
            </w:pPr>
            <w:r w:rsidRPr="00466E99">
              <w:rPr>
                <w:sz w:val="20"/>
                <w:szCs w:val="20"/>
              </w:rPr>
              <w:t>(1) Document aligned with document structure of ONRs management system.</w:t>
            </w:r>
          </w:p>
          <w:p w14:paraId="7175ACF3" w14:textId="77777777" w:rsidR="001A677D" w:rsidRPr="00466E99" w:rsidRDefault="001A677D" w:rsidP="00E259C8">
            <w:pPr>
              <w:spacing w:before="60" w:after="60"/>
              <w:rPr>
                <w:sz w:val="20"/>
                <w:szCs w:val="20"/>
              </w:rPr>
            </w:pPr>
            <w:r w:rsidRPr="00466E99">
              <w:rPr>
                <w:sz w:val="20"/>
                <w:szCs w:val="20"/>
              </w:rPr>
              <w:t xml:space="preserve">(2) Name change from ‘Enforcement’ to ‘Enforcement Management Model’ (EMM). This makes it </w:t>
            </w:r>
            <w:r>
              <w:rPr>
                <w:sz w:val="20"/>
                <w:szCs w:val="20"/>
              </w:rPr>
              <w:t>clearer</w:t>
            </w:r>
            <w:r w:rsidRPr="00466E99">
              <w:rPr>
                <w:sz w:val="20"/>
                <w:szCs w:val="20"/>
              </w:rPr>
              <w:t xml:space="preserve"> as we refer to this guidance as the EMM.</w:t>
            </w:r>
          </w:p>
          <w:p w14:paraId="4A78EB33" w14:textId="77777777" w:rsidR="001A677D" w:rsidRPr="00896574" w:rsidRDefault="001A677D" w:rsidP="00E259C8">
            <w:pPr>
              <w:spacing w:before="60" w:after="60"/>
              <w:rPr>
                <w:sz w:val="20"/>
                <w:szCs w:val="20"/>
              </w:rPr>
            </w:pPr>
            <w:r w:rsidRPr="00466E99">
              <w:rPr>
                <w:sz w:val="20"/>
                <w:szCs w:val="20"/>
              </w:rPr>
              <w:t xml:space="preserve">(3) </w:t>
            </w:r>
            <w:r w:rsidRPr="00896574">
              <w:rPr>
                <w:sz w:val="20"/>
                <w:szCs w:val="20"/>
              </w:rPr>
              <w:t>C</w:t>
            </w:r>
            <w:r>
              <w:rPr>
                <w:sz w:val="20"/>
                <w:szCs w:val="20"/>
              </w:rPr>
              <w:t>onfirm</w:t>
            </w:r>
            <w:r w:rsidRPr="00896574">
              <w:rPr>
                <w:sz w:val="20"/>
                <w:szCs w:val="20"/>
              </w:rPr>
              <w:t xml:space="preserve"> it is inclusive of all ONR purposes.</w:t>
            </w:r>
          </w:p>
          <w:p w14:paraId="1BE3E65C" w14:textId="77777777" w:rsidR="001A677D" w:rsidRPr="00466E99" w:rsidRDefault="001A677D" w:rsidP="00E259C8">
            <w:pPr>
              <w:spacing w:before="60" w:after="60"/>
              <w:rPr>
                <w:sz w:val="20"/>
                <w:szCs w:val="20"/>
              </w:rPr>
            </w:pPr>
            <w:r w:rsidRPr="00466E99">
              <w:rPr>
                <w:rFonts w:eastAsia="Calibri" w:cs="Arial"/>
                <w:sz w:val="20"/>
                <w:szCs w:val="20"/>
              </w:rPr>
              <w:t>(4) Improvements to document layout, and to the regulatory language. The document better articulates alignment to the EPS, the ‘flow’ of the document is to support inspectors and where appropriate have aligned further to the HSE EMM (e.g. addition of actual harm to the dutyholder factors).</w:t>
            </w:r>
          </w:p>
          <w:p w14:paraId="1109214E" w14:textId="77777777" w:rsidR="001A677D" w:rsidRPr="00466E99" w:rsidRDefault="001A677D" w:rsidP="00E259C8">
            <w:pPr>
              <w:spacing w:before="60" w:after="60"/>
              <w:rPr>
                <w:sz w:val="20"/>
                <w:szCs w:val="20"/>
              </w:rPr>
            </w:pPr>
            <w:r w:rsidRPr="00466E99">
              <w:rPr>
                <w:sz w:val="20"/>
                <w:szCs w:val="20"/>
              </w:rPr>
              <w:t xml:space="preserve">(4) The control measure level titles and definitions have changed to better support inspectors, now includes probability of risk materialising and remove passive language. </w:t>
            </w:r>
          </w:p>
          <w:p w14:paraId="264F648F" w14:textId="77777777" w:rsidR="001A677D" w:rsidRPr="00466E99" w:rsidRDefault="001A677D" w:rsidP="00E259C8">
            <w:pPr>
              <w:spacing w:before="60" w:after="60"/>
              <w:rPr>
                <w:sz w:val="20"/>
                <w:szCs w:val="20"/>
              </w:rPr>
            </w:pPr>
            <w:r w:rsidRPr="00466E99">
              <w:rPr>
                <w:sz w:val="20"/>
                <w:szCs w:val="20"/>
              </w:rPr>
              <w:t>(5) The examples of consequence levels have been reviewed.</w:t>
            </w:r>
          </w:p>
          <w:p w14:paraId="4ED196C4" w14:textId="77777777" w:rsidR="001A677D" w:rsidRPr="006A789F" w:rsidRDefault="001A677D" w:rsidP="00E259C8">
            <w:pPr>
              <w:spacing w:before="60" w:after="60"/>
              <w:rPr>
                <w:sz w:val="20"/>
                <w:szCs w:val="20"/>
              </w:rPr>
            </w:pPr>
            <w:r w:rsidRPr="00466E99">
              <w:rPr>
                <w:sz w:val="20"/>
                <w:szCs w:val="20"/>
              </w:rPr>
              <w:t xml:space="preserve">(6) </w:t>
            </w:r>
            <w:r w:rsidRPr="006A789F">
              <w:rPr>
                <w:sz w:val="20"/>
                <w:szCs w:val="20"/>
              </w:rPr>
              <w:t>The benchmark standard table has been removed and how to determine a standard now clearly articulated. This was identified from an ONR assurance review that the table was driving an oversimplification of identifying the standard</w:t>
            </w:r>
            <w:r>
              <w:rPr>
                <w:sz w:val="20"/>
                <w:szCs w:val="20"/>
              </w:rPr>
              <w:t>.</w:t>
            </w:r>
          </w:p>
          <w:p w14:paraId="5991CEB8" w14:textId="77777777" w:rsidR="001A677D" w:rsidRPr="006A789F" w:rsidRDefault="001A677D" w:rsidP="00E259C8">
            <w:pPr>
              <w:spacing w:before="60" w:after="60"/>
              <w:rPr>
                <w:sz w:val="20"/>
                <w:szCs w:val="20"/>
              </w:rPr>
            </w:pPr>
            <w:r w:rsidRPr="00466E99">
              <w:rPr>
                <w:sz w:val="20"/>
                <w:szCs w:val="20"/>
              </w:rPr>
              <w:t xml:space="preserve">(7) </w:t>
            </w:r>
            <w:r w:rsidRPr="006A789F">
              <w:rPr>
                <w:sz w:val="20"/>
                <w:szCs w:val="20"/>
              </w:rPr>
              <w:t xml:space="preserve">Section on what inspectors should do if a notice is appealed has been </w:t>
            </w:r>
            <w:r w:rsidRPr="00466E99">
              <w:rPr>
                <w:sz w:val="20"/>
                <w:szCs w:val="20"/>
              </w:rPr>
              <w:t>included</w:t>
            </w:r>
            <w:r w:rsidRPr="006A789F">
              <w:rPr>
                <w:sz w:val="20"/>
                <w:szCs w:val="20"/>
              </w:rPr>
              <w:t>.</w:t>
            </w:r>
          </w:p>
          <w:p w14:paraId="49B449CD" w14:textId="77777777" w:rsidR="001A677D" w:rsidRDefault="001A677D" w:rsidP="00E259C8">
            <w:pPr>
              <w:spacing w:before="60" w:after="60"/>
              <w:rPr>
                <w:rFonts w:eastAsia="Calibri" w:cs="Arial"/>
                <w:sz w:val="20"/>
                <w:szCs w:val="20"/>
              </w:rPr>
            </w:pPr>
            <w:r w:rsidRPr="00466E99">
              <w:rPr>
                <w:rFonts w:eastAsia="Calibri" w:cs="Arial"/>
                <w:sz w:val="20"/>
                <w:szCs w:val="20"/>
              </w:rPr>
              <w:t>(</w:t>
            </w:r>
            <w:r>
              <w:rPr>
                <w:rFonts w:eastAsia="Calibri" w:cs="Arial"/>
                <w:sz w:val="20"/>
                <w:szCs w:val="20"/>
              </w:rPr>
              <w:t>8</w:t>
            </w:r>
            <w:r w:rsidRPr="00466E99">
              <w:rPr>
                <w:rFonts w:eastAsia="Calibri" w:cs="Arial"/>
                <w:sz w:val="20"/>
                <w:szCs w:val="20"/>
              </w:rPr>
              <w:t>) If the enforcement conclusion is below the BEL then this should be sent to the most appropriate safety, security or safeguards HoP.</w:t>
            </w:r>
          </w:p>
          <w:p w14:paraId="248018F6" w14:textId="77777777" w:rsidR="001A677D" w:rsidRPr="000B16C5" w:rsidRDefault="001A677D" w:rsidP="00E259C8">
            <w:pPr>
              <w:spacing w:before="60" w:after="60"/>
              <w:rPr>
                <w:rFonts w:eastAsia="Calibri" w:cs="Arial"/>
                <w:sz w:val="20"/>
                <w:szCs w:val="20"/>
              </w:rPr>
            </w:pPr>
            <w:r>
              <w:rPr>
                <w:rFonts w:eastAsia="Calibri" w:cs="Arial"/>
                <w:sz w:val="20"/>
                <w:szCs w:val="20"/>
              </w:rPr>
              <w:t>(9) Updated EDR template to better support inspectors.</w:t>
            </w:r>
          </w:p>
        </w:tc>
      </w:tr>
      <w:tr w:rsidR="001619EC" w:rsidRPr="006D1B7A" w14:paraId="3B303C59" w14:textId="77777777" w:rsidTr="00E259C8">
        <w:tc>
          <w:tcPr>
            <w:tcW w:w="1266" w:type="dxa"/>
          </w:tcPr>
          <w:p w14:paraId="0BC74067" w14:textId="0CFD5FEA" w:rsidR="001619EC" w:rsidRPr="005F2B77" w:rsidRDefault="001619EC" w:rsidP="00E259C8">
            <w:pPr>
              <w:spacing w:before="60" w:after="60"/>
              <w:rPr>
                <w:sz w:val="20"/>
                <w:szCs w:val="20"/>
              </w:rPr>
            </w:pPr>
            <w:r>
              <w:rPr>
                <w:sz w:val="20"/>
                <w:szCs w:val="20"/>
              </w:rPr>
              <w:t>5.6</w:t>
            </w:r>
          </w:p>
        </w:tc>
        <w:tc>
          <w:tcPr>
            <w:tcW w:w="7750" w:type="dxa"/>
          </w:tcPr>
          <w:p w14:paraId="75FE6331" w14:textId="018A778D" w:rsidR="001619EC" w:rsidRPr="00466E99" w:rsidRDefault="001619EC" w:rsidP="00E259C8">
            <w:pPr>
              <w:spacing w:before="60" w:after="60"/>
              <w:rPr>
                <w:sz w:val="20"/>
                <w:szCs w:val="20"/>
              </w:rPr>
            </w:pPr>
            <w:r>
              <w:rPr>
                <w:sz w:val="20"/>
                <w:szCs w:val="20"/>
              </w:rPr>
              <w:t xml:space="preserve">Minor update – in relation </w:t>
            </w:r>
            <w:r w:rsidR="00C5380F">
              <w:rPr>
                <w:sz w:val="20"/>
                <w:szCs w:val="20"/>
              </w:rPr>
              <w:t>to providing further detail on the electronic serving of HSWA notices</w:t>
            </w:r>
            <w:r w:rsidR="0052001A">
              <w:rPr>
                <w:sz w:val="20"/>
                <w:szCs w:val="20"/>
              </w:rPr>
              <w:t xml:space="preserve"> </w:t>
            </w:r>
            <w:r w:rsidR="000A251D">
              <w:rPr>
                <w:sz w:val="20"/>
                <w:szCs w:val="20"/>
              </w:rPr>
              <w:t xml:space="preserve">(para 125) </w:t>
            </w:r>
            <w:r w:rsidR="0052001A">
              <w:rPr>
                <w:sz w:val="20"/>
                <w:szCs w:val="20"/>
              </w:rPr>
              <w:t>as advised by ONR regulatory standards team.</w:t>
            </w:r>
          </w:p>
        </w:tc>
      </w:tr>
    </w:tbl>
    <w:p w14:paraId="553D83F8" w14:textId="77777777" w:rsidR="00C10FA0" w:rsidRDefault="00C10FA0">
      <w:pPr>
        <w:spacing w:after="0" w:line="240" w:lineRule="auto"/>
        <w:rPr>
          <w:rFonts w:ascii="Calibri" w:hAnsi="Calibri"/>
          <w:sz w:val="20"/>
          <w:szCs w:val="20"/>
          <w:lang w:eastAsia="en-GB" w:bidi="ar-SA"/>
        </w:rPr>
      </w:pPr>
    </w:p>
    <w:sectPr w:rsidR="00C10FA0" w:rsidSect="001A677D">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QAGEAcgBhAGcAcgBhAHAAa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E2DC" w14:textId="77777777" w:rsidR="003632E0" w:rsidRPr="006D1B7A" w:rsidRDefault="003632E0" w:rsidP="007D199A">
      <w:pPr>
        <w:spacing w:after="0"/>
      </w:pPr>
      <w:r w:rsidRPr="006D1B7A">
        <w:separator/>
      </w:r>
    </w:p>
    <w:p w14:paraId="49C10F6D" w14:textId="77777777" w:rsidR="003632E0" w:rsidRPr="006D1B7A" w:rsidRDefault="003632E0"/>
  </w:endnote>
  <w:endnote w:type="continuationSeparator" w:id="0">
    <w:p w14:paraId="6CC683EF" w14:textId="77777777" w:rsidR="003632E0" w:rsidRPr="006D1B7A" w:rsidRDefault="003632E0" w:rsidP="007D199A">
      <w:pPr>
        <w:spacing w:after="0"/>
      </w:pPr>
      <w:r w:rsidRPr="006D1B7A">
        <w:continuationSeparator/>
      </w:r>
    </w:p>
    <w:p w14:paraId="16C04EEE" w14:textId="77777777" w:rsidR="003632E0" w:rsidRPr="006D1B7A" w:rsidRDefault="003632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KRSTL+Arial-Bold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1B28F4B" w:rsidR="007C3C1D" w:rsidRPr="006D1B7A" w:rsidRDefault="006A525B" w:rsidP="007C3C1D">
    <w:pPr>
      <w:pStyle w:val="Footer"/>
      <w:jc w:val="left"/>
      <w:rPr>
        <w:szCs w:val="24"/>
      </w:rPr>
    </w:pPr>
    <w:r w:rsidRPr="006D1B7A">
      <w:rPr>
        <w:szCs w:val="24"/>
      </w:rPr>
      <w:t>ONR-DOC-TEMP-18</w:t>
    </w:r>
    <w:r w:rsidR="003A7E1C" w:rsidRPr="006D1B7A">
      <w:rPr>
        <w:szCs w:val="24"/>
      </w:rPr>
      <w:t>0</w:t>
    </w:r>
    <w:r w:rsidRPr="006D1B7A">
      <w:rPr>
        <w:szCs w:val="24"/>
      </w:rPr>
      <w:t xml:space="preserve"> (Issue </w:t>
    </w:r>
    <w:r w:rsidR="000817D4" w:rsidRPr="006D1B7A">
      <w:rPr>
        <w:szCs w:val="24"/>
      </w:rPr>
      <w:t>2</w:t>
    </w:r>
    <w:r w:rsidR="00464837" w:rsidRPr="006D1B7A">
      <w:rPr>
        <w:szCs w:val="24"/>
      </w:rPr>
      <w:t>.</w:t>
    </w:r>
    <w:r w:rsidR="00B51C81" w:rsidRPr="006D1B7A">
      <w:rPr>
        <w:szCs w:val="24"/>
      </w:rPr>
      <w:t>3</w:t>
    </w:r>
    <w:r w:rsidRPr="006D1B7A">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3CDE" w14:textId="1A33089A" w:rsidR="006235B6" w:rsidRPr="006D1B7A" w:rsidRDefault="006235B6" w:rsidP="006235B6">
    <w:pPr>
      <w:pStyle w:val="Footer"/>
      <w:rPr>
        <w:bCs/>
        <w:color w:val="auto"/>
        <w:szCs w:val="24"/>
      </w:rPr>
    </w:pPr>
    <w:r w:rsidRPr="006D1B7A">
      <w:rPr>
        <w:rStyle w:val="PageNumber"/>
        <w:bCs/>
        <w:sz w:val="24"/>
        <w:szCs w:val="24"/>
      </w:rPr>
      <w:t xml:space="preserve">Page | </w:t>
    </w:r>
    <w:r w:rsidRPr="006D1B7A">
      <w:rPr>
        <w:rStyle w:val="PageNumber"/>
        <w:bCs/>
        <w:sz w:val="24"/>
        <w:szCs w:val="24"/>
      </w:rPr>
      <w:fldChar w:fldCharType="begin"/>
    </w:r>
    <w:r w:rsidRPr="006D1B7A">
      <w:rPr>
        <w:rStyle w:val="PageNumber"/>
        <w:bCs/>
        <w:sz w:val="24"/>
        <w:szCs w:val="24"/>
      </w:rPr>
      <w:instrText xml:space="preserve"> PAGE   \* MERGEFORMAT </w:instrText>
    </w:r>
    <w:r w:rsidRPr="006D1B7A">
      <w:rPr>
        <w:rStyle w:val="PageNumber"/>
        <w:bCs/>
        <w:sz w:val="24"/>
        <w:szCs w:val="24"/>
      </w:rPr>
      <w:fldChar w:fldCharType="separate"/>
    </w:r>
    <w:r w:rsidRPr="006D1B7A">
      <w:rPr>
        <w:rStyle w:val="PageNumber"/>
        <w:bCs/>
        <w:sz w:val="24"/>
        <w:szCs w:val="24"/>
      </w:rPr>
      <w:t>13</w:t>
    </w:r>
    <w:r w:rsidRPr="006D1B7A">
      <w:rPr>
        <w:rStyle w:val="PageNumber"/>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Pr="006D1B7A"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6152C6CD" w:rsidR="00CE6198" w:rsidRPr="006D1B7A" w:rsidRDefault="00464837" w:rsidP="008229BA">
    <w:pPr>
      <w:pStyle w:val="Footer"/>
      <w:rPr>
        <w:rStyle w:val="PageNumber"/>
        <w:bCs/>
        <w:sz w:val="24"/>
        <w:szCs w:val="24"/>
      </w:rPr>
    </w:pPr>
    <w:r w:rsidRPr="006D1B7A">
      <w:rPr>
        <w:rStyle w:val="PageNumber"/>
        <w:bCs/>
        <w:sz w:val="24"/>
        <w:szCs w:val="24"/>
      </w:rPr>
      <w:t xml:space="preserve">Page | </w:t>
    </w:r>
    <w:r w:rsidRPr="006D1B7A">
      <w:rPr>
        <w:rStyle w:val="PageNumber"/>
        <w:bCs/>
        <w:sz w:val="24"/>
        <w:szCs w:val="24"/>
      </w:rPr>
      <w:fldChar w:fldCharType="begin"/>
    </w:r>
    <w:r w:rsidRPr="006D1B7A">
      <w:rPr>
        <w:rStyle w:val="PageNumber"/>
        <w:bCs/>
        <w:sz w:val="24"/>
        <w:szCs w:val="24"/>
      </w:rPr>
      <w:instrText xml:space="preserve"> PAGE   \* MERGEFORMAT </w:instrText>
    </w:r>
    <w:r w:rsidRPr="006D1B7A">
      <w:rPr>
        <w:rStyle w:val="PageNumber"/>
        <w:bCs/>
        <w:sz w:val="24"/>
        <w:szCs w:val="24"/>
      </w:rPr>
      <w:fldChar w:fldCharType="separate"/>
    </w:r>
    <w:r w:rsidRPr="006D1B7A">
      <w:rPr>
        <w:rStyle w:val="PageNumber"/>
        <w:bCs/>
        <w:sz w:val="24"/>
        <w:szCs w:val="24"/>
      </w:rPr>
      <w:t>1</w:t>
    </w:r>
    <w:r w:rsidRPr="006D1B7A">
      <w:rPr>
        <w:rStyle w:val="PageNumber"/>
        <w:bCs/>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6D1B7A"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E1E3D" w14:textId="77777777" w:rsidR="003632E0" w:rsidRPr="006D1B7A" w:rsidRDefault="003632E0" w:rsidP="005E0344">
      <w:pPr>
        <w:spacing w:after="120"/>
        <w:rPr>
          <w:color w:val="000000" w:themeColor="text2"/>
        </w:rPr>
      </w:pPr>
      <w:r w:rsidRPr="006D1B7A">
        <w:rPr>
          <w:color w:val="000000" w:themeColor="text2"/>
        </w:rPr>
        <w:separator/>
      </w:r>
    </w:p>
  </w:footnote>
  <w:footnote w:type="continuationSeparator" w:id="0">
    <w:p w14:paraId="08BDAFF7" w14:textId="77777777" w:rsidR="003632E0" w:rsidRPr="006D1B7A" w:rsidRDefault="003632E0" w:rsidP="0090581D">
      <w:pPr>
        <w:spacing w:after="120"/>
        <w:rPr>
          <w:color w:val="000000" w:themeColor="text2"/>
        </w:rPr>
      </w:pPr>
      <w:r w:rsidRPr="006D1B7A">
        <w:rPr>
          <w:color w:val="000000" w:themeColor="text2"/>
        </w:rPr>
        <w:continuationSeparator/>
      </w:r>
    </w:p>
    <w:p w14:paraId="70144EB3" w14:textId="77777777" w:rsidR="003632E0" w:rsidRPr="006D1B7A" w:rsidRDefault="003632E0"/>
  </w:footnote>
  <w:footnote w:type="continuationNotice" w:id="1">
    <w:p w14:paraId="0F97C314" w14:textId="77777777" w:rsidR="003632E0" w:rsidRPr="006D1B7A" w:rsidRDefault="003632E0">
      <w:pPr>
        <w:spacing w:after="0"/>
      </w:pPr>
    </w:p>
    <w:p w14:paraId="4C23A28B" w14:textId="77777777" w:rsidR="003632E0" w:rsidRPr="006D1B7A" w:rsidRDefault="003632E0"/>
  </w:footnote>
  <w:footnote w:id="2">
    <w:p w14:paraId="365354DF" w14:textId="0602BC01" w:rsidR="009404FB" w:rsidRPr="006D1B7A" w:rsidRDefault="009404FB" w:rsidP="009404FB">
      <w:pPr>
        <w:pStyle w:val="FootnoteText"/>
        <w:ind w:left="0" w:firstLine="0"/>
      </w:pPr>
      <w:r w:rsidRPr="006D1B7A">
        <w:rPr>
          <w:rStyle w:val="FootnoteReference"/>
        </w:rPr>
        <w:footnoteRef/>
      </w:r>
      <w:r w:rsidRPr="006D1B7A">
        <w:t xml:space="preserve"> The term ‘safety’ should be considered as relating to all aspects of safety including </w:t>
      </w:r>
      <w:r w:rsidR="00ED6C2C">
        <w:t xml:space="preserve">Nuclear </w:t>
      </w:r>
      <w:r w:rsidRPr="006D1B7A">
        <w:t>Site Health and Safety, nuclear, radiological, chemotoxic, fire and transport.  The term ‘security’ refers to civil nuclear</w:t>
      </w:r>
      <w:r w:rsidR="00246AAD">
        <w:t xml:space="preserve">, </w:t>
      </w:r>
      <w:r w:rsidRPr="006D1B7A">
        <w:t xml:space="preserve">radiological </w:t>
      </w:r>
      <w:r w:rsidR="00246AAD">
        <w:t xml:space="preserve">and transport </w:t>
      </w:r>
      <w:r w:rsidRPr="006D1B7A">
        <w:t>matters only. The term ‘safeguards’ refer to nuclear safeguards. This reflects all of ONRs regulatory purposes for which enforcement action is relevant.</w:t>
      </w:r>
    </w:p>
  </w:footnote>
  <w:footnote w:id="3">
    <w:p w14:paraId="2E51A79B" w14:textId="5893E0EF" w:rsidR="00385ADF" w:rsidRDefault="00385ADF" w:rsidP="001A677D">
      <w:pPr>
        <w:pStyle w:val="FootnoteText"/>
        <w:ind w:left="0" w:firstLine="0"/>
      </w:pPr>
      <w:r>
        <w:rPr>
          <w:rStyle w:val="FootnoteReference"/>
        </w:rPr>
        <w:footnoteRef/>
      </w:r>
      <w:r>
        <w:t xml:space="preserve"> Proportionate as defined in the </w:t>
      </w:r>
      <w:r w:rsidR="00292633">
        <w:t>EPS ‘</w:t>
      </w:r>
      <w:r w:rsidR="00292633" w:rsidRPr="00292633">
        <w:t>Proportionality means relating enforcement action to the level of avoidable risk (i.e., the risk gap)</w:t>
      </w:r>
      <w:r w:rsidR="00292633">
        <w:t>’</w:t>
      </w:r>
      <w:r w:rsidR="009B44E7">
        <w:t xml:space="preserve"> </w:t>
      </w:r>
      <w:r w:rsidR="009B44E7" w:rsidRPr="009B44E7">
        <w:t>arising from a breach and/or the seriousness of a failure to comply with a legal obligation</w:t>
      </w:r>
      <w:r w:rsidR="009B44E7">
        <w:t>.</w:t>
      </w:r>
    </w:p>
  </w:footnote>
  <w:footnote w:id="4">
    <w:p w14:paraId="256B0319" w14:textId="659AFEAB" w:rsidR="003514F3" w:rsidRDefault="003514F3" w:rsidP="001A677D">
      <w:pPr>
        <w:pStyle w:val="FootnoteText"/>
        <w:ind w:left="0" w:firstLine="0"/>
      </w:pPr>
      <w:r>
        <w:rPr>
          <w:rStyle w:val="FootnoteReference"/>
        </w:rPr>
        <w:footnoteRef/>
      </w:r>
      <w:r>
        <w:t xml:space="preserve"> Targeting as defined in the EPS ‘</w:t>
      </w:r>
      <w:r w:rsidRPr="003514F3">
        <w:t>Targeting means making sure that actions are targeted primarily on those activities that give rise to the most serious risks, where the hazards or vulnerabilities are least well controlled, or where ongoing compliance with the law needs to be established; and that action is focused on the dutyholders who are responsible for the risk and who are best placed to control it.</w:t>
      </w:r>
      <w:r>
        <w:t>’</w:t>
      </w:r>
    </w:p>
  </w:footnote>
  <w:footnote w:id="5">
    <w:p w14:paraId="0C55CEC3" w14:textId="7A98BAD8" w:rsidR="00DD7BCD" w:rsidRPr="006D1B7A" w:rsidRDefault="00DD7BCD" w:rsidP="00DD7BCD">
      <w:pPr>
        <w:pStyle w:val="FootnoteText"/>
        <w:ind w:left="0" w:firstLine="0"/>
      </w:pPr>
      <w:r w:rsidRPr="006D1B7A">
        <w:rPr>
          <w:rStyle w:val="FootnoteReference"/>
        </w:rPr>
        <w:footnoteRef/>
      </w:r>
      <w:r w:rsidRPr="006D1B7A">
        <w:t xml:space="preserve"> Terminology can be confusing given everything we do when dealing with a dutyholder is termed </w:t>
      </w:r>
      <w:r w:rsidR="00055EBC">
        <w:t xml:space="preserve">as </w:t>
      </w:r>
      <w:r w:rsidRPr="006D1B7A">
        <w:t xml:space="preserve">enforcement. </w:t>
      </w:r>
      <w:r w:rsidR="004142B8" w:rsidRPr="006D1B7A">
        <w:t>So,</w:t>
      </w:r>
      <w:r w:rsidRPr="006D1B7A">
        <w:t xml:space="preserve"> to distinguish, the term ‘formal enforcement’ when used in this document relates to an enforcement letter or greater, as opposed to other means of enforcement such as giving advice and encouraging improvement.</w:t>
      </w:r>
    </w:p>
  </w:footnote>
  <w:footnote w:id="6">
    <w:p w14:paraId="3304BB91" w14:textId="11EDA5E5" w:rsidR="007E2163" w:rsidRDefault="007E2163" w:rsidP="000177E0">
      <w:pPr>
        <w:pStyle w:val="FootnoteText"/>
        <w:ind w:left="0" w:firstLine="0"/>
      </w:pPr>
      <w:r>
        <w:rPr>
          <w:rStyle w:val="FootnoteReference"/>
        </w:rPr>
        <w:footnoteRef/>
      </w:r>
      <w:r>
        <w:t xml:space="preserve"> Or a deferred PN</w:t>
      </w:r>
      <w:r w:rsidR="00806594">
        <w:t xml:space="preserve"> </w:t>
      </w:r>
      <w:r w:rsidR="00D404F4" w:rsidRPr="00D404F4">
        <w:t xml:space="preserve">where the immediate cessation of the activity would give rise to further risks, </w:t>
      </w:r>
      <w:r w:rsidR="00A17856" w:rsidRPr="00D404F4">
        <w:t>e.g.</w:t>
      </w:r>
      <w:r w:rsidR="00D404F4" w:rsidRPr="00D404F4">
        <w:t xml:space="preserve"> uncontrolled shutdown of a chemical process</w:t>
      </w:r>
      <w:r w:rsidR="00D11D80">
        <w:t xml:space="preserve"> or moving a </w:t>
      </w:r>
      <w:r w:rsidR="00D11D80" w:rsidRPr="00D11D80">
        <w:t>consignment of RAM to a safe location before prohibiting further carriage</w:t>
      </w:r>
      <w:r w:rsidR="009D41EA">
        <w:t>.</w:t>
      </w:r>
    </w:p>
  </w:footnote>
  <w:footnote w:id="7">
    <w:p w14:paraId="68B14184" w14:textId="3B80B4A2" w:rsidR="00DA3EB7" w:rsidRDefault="00DA3EB7" w:rsidP="001A677D">
      <w:pPr>
        <w:pStyle w:val="FootnoteText"/>
        <w:ind w:left="0" w:firstLine="0"/>
      </w:pPr>
      <w:r>
        <w:rPr>
          <w:rStyle w:val="FootnoteReference"/>
        </w:rPr>
        <w:footnoteRef/>
      </w:r>
      <w:r>
        <w:t xml:space="preserve"> </w:t>
      </w:r>
      <w:r w:rsidRPr="00DA3EB7">
        <w:t>ADR/RID gives the power to the Transport Competent Authority to prohibit or interrupt non-compliant transport activity, they may also authorise onwards transport of non-compliant loads. The TCA is currently reviewing these powers and their application as part of the ONR EMM.</w:t>
      </w:r>
    </w:p>
  </w:footnote>
  <w:footnote w:id="8">
    <w:p w14:paraId="05039CC4" w14:textId="4EEB69AD" w:rsidR="00414C95" w:rsidRDefault="00414C95" w:rsidP="0016630A">
      <w:pPr>
        <w:pStyle w:val="FootnoteText"/>
        <w:ind w:left="0" w:firstLine="0"/>
      </w:pPr>
      <w:r w:rsidRPr="006D1B7A">
        <w:rPr>
          <w:rStyle w:val="FootnoteReference"/>
        </w:rPr>
        <w:footnoteRef/>
      </w:r>
      <w:r w:rsidRPr="006D1B7A">
        <w:t xml:space="preserve"> Ensure that the action meets the expectations of the EPS in relation to considering prosecution.</w:t>
      </w:r>
      <w:r w:rsidR="008946CB" w:rsidRPr="006D1B7A">
        <w:t xml:space="preserve"> </w:t>
      </w:r>
      <w:r w:rsidR="00E53294">
        <w:br/>
      </w:r>
      <w:r w:rsidR="00176F1B" w:rsidRPr="006D1B7A">
        <w:t xml:space="preserve">If the conclusion of the </w:t>
      </w:r>
      <w:r w:rsidR="00D42455" w:rsidRPr="006D1B7A">
        <w:t xml:space="preserve">enforcement decision is to consider prosecution then utilise our </w:t>
      </w:r>
      <w:r w:rsidR="00244B6F" w:rsidRPr="006D1B7A">
        <w:t>Investigation guidance</w:t>
      </w:r>
      <w:r w:rsidR="00BC205A">
        <w:t xml:space="preserve"> </w:t>
      </w:r>
      <w:sdt>
        <w:sdtPr>
          <w:id w:val="-1847163566"/>
          <w:citation/>
        </w:sdtPr>
        <w:sdtEndPr/>
        <w:sdtContent>
          <w:r w:rsidR="00BC205A">
            <w:fldChar w:fldCharType="begin"/>
          </w:r>
          <w:r w:rsidR="000177E0">
            <w:instrText xml:space="preserve">CITATION ONR31 \l 2057 </w:instrText>
          </w:r>
          <w:r w:rsidR="00BC205A">
            <w:fldChar w:fldCharType="separate"/>
          </w:r>
          <w:r w:rsidR="000177E0" w:rsidRPr="000177E0">
            <w:rPr>
              <w:noProof/>
            </w:rPr>
            <w:t>[3]</w:t>
          </w:r>
          <w:r w:rsidR="00BC205A">
            <w:fldChar w:fldCharType="end"/>
          </w:r>
        </w:sdtContent>
      </w:sdt>
      <w:r w:rsidR="00244B6F" w:rsidRPr="006D1B7A">
        <w:t xml:space="preserve"> which is an enabler for ensuring the sufficiency of evidence to support </w:t>
      </w:r>
      <w:r w:rsidR="00AE5565" w:rsidRPr="006D1B7A">
        <w:t xml:space="preserve">a recommendation of </w:t>
      </w:r>
      <w:r w:rsidR="00244B6F" w:rsidRPr="006D1B7A">
        <w:t>prosecution</w:t>
      </w:r>
      <w:r w:rsidR="00AE5565" w:rsidRPr="006D1B7A">
        <w:t xml:space="preserve"> to an Approval Officer.</w:t>
      </w:r>
    </w:p>
  </w:footnote>
  <w:footnote w:id="9">
    <w:p w14:paraId="2965C82E" w14:textId="3337F91A" w:rsidR="009C6CF5" w:rsidRDefault="009C6CF5" w:rsidP="00C326BD">
      <w:pPr>
        <w:pStyle w:val="FootnoteText"/>
        <w:ind w:left="0" w:firstLine="0"/>
      </w:pPr>
      <w:r>
        <w:rPr>
          <w:rStyle w:val="FootnoteReference"/>
        </w:rPr>
        <w:footnoteRef/>
      </w:r>
      <w:r>
        <w:t xml:space="preserve"> </w:t>
      </w:r>
      <w:r w:rsidRPr="009C6CF5">
        <w:t>ADR/RID gives the power to the Transport Competent Authority to prohibit or interrupt non-compliant transport activity, they may also authorise onwards transport of non-compliant loads. The TCA is currently reviewing these powers and their application as part of the ONR EMM</w:t>
      </w:r>
      <w:r w:rsidR="00433DC7">
        <w:t>.</w:t>
      </w:r>
    </w:p>
  </w:footnote>
  <w:footnote w:id="10">
    <w:p w14:paraId="50FEB0E8" w14:textId="01A8F921" w:rsidR="00FD28F1" w:rsidRDefault="00FD28F1" w:rsidP="00FD28F1">
      <w:pPr>
        <w:pStyle w:val="FootnoteText"/>
      </w:pPr>
      <w:r>
        <w:rPr>
          <w:rStyle w:val="FootnoteReference"/>
        </w:rPr>
        <w:footnoteRef/>
      </w:r>
      <w:r>
        <w:t xml:space="preserve"> </w:t>
      </w:r>
      <w:r w:rsidRPr="00FD28F1">
        <w:t>The EPS states we will consider prosecution for ‘there have been repeated breaches which give rise to significant risk, or persistent and significant poor compliance’.</w:t>
      </w:r>
    </w:p>
  </w:footnote>
  <w:footnote w:id="11">
    <w:p w14:paraId="3DBAB44A" w14:textId="5CF9FC56" w:rsidR="00AC3F39" w:rsidRDefault="00AC3F39" w:rsidP="00E454D6">
      <w:pPr>
        <w:pStyle w:val="FootnoteText"/>
        <w:ind w:left="0" w:firstLine="0"/>
      </w:pPr>
      <w:r>
        <w:rPr>
          <w:rStyle w:val="FootnoteReference"/>
        </w:rPr>
        <w:footnoteRef/>
      </w:r>
      <w:r>
        <w:t xml:space="preserve"> ONR EPS states we will consider prosecution</w:t>
      </w:r>
      <w:r w:rsidR="00093B76">
        <w:t xml:space="preserve"> if ‘t</w:t>
      </w:r>
      <w:r w:rsidRPr="00AC3F39">
        <w:t>here has been a failure to comply with a notice or direction</w:t>
      </w:r>
      <w:r w:rsidR="00093B76">
        <w:t>’.</w:t>
      </w:r>
    </w:p>
  </w:footnote>
  <w:footnote w:id="12">
    <w:p w14:paraId="0358BCC3" w14:textId="0668F555" w:rsidR="009F4B4B" w:rsidRDefault="009F4B4B" w:rsidP="00E454D6">
      <w:pPr>
        <w:pStyle w:val="FootnoteText"/>
        <w:ind w:left="0" w:firstLine="0"/>
      </w:pPr>
      <w:r>
        <w:rPr>
          <w:rStyle w:val="FootnoteReference"/>
        </w:rPr>
        <w:footnoteRef/>
      </w:r>
      <w:r>
        <w:t xml:space="preserve"> ONR EPS states we will consider prosecution if ‘f</w:t>
      </w:r>
      <w:r w:rsidRPr="009F4B4B">
        <w:t>alse information has been supplied wilfully, or there has been an intent to deceive, in relation to a matter which gives rise to significant risk</w:t>
      </w:r>
      <w:r>
        <w:t xml:space="preserve">’ or </w:t>
      </w:r>
      <w:r w:rsidR="009E1FB6">
        <w:t>‘</w:t>
      </w:r>
      <w:r w:rsidR="009E1FB6" w:rsidRPr="009E1FB6">
        <w:t>Inspectors have been intentionally obstructed in the lawful course of their duties</w:t>
      </w:r>
      <w:r w:rsidR="009E1FB6">
        <w:t>’</w:t>
      </w:r>
    </w:p>
  </w:footnote>
  <w:footnote w:id="13">
    <w:p w14:paraId="422FC5FD" w14:textId="7E58CF10" w:rsidR="0049676D" w:rsidRDefault="0049676D" w:rsidP="00E454D6">
      <w:pPr>
        <w:pStyle w:val="FootnoteText"/>
        <w:ind w:left="0" w:firstLine="0"/>
      </w:pPr>
      <w:r>
        <w:rPr>
          <w:rStyle w:val="FootnoteReference"/>
        </w:rPr>
        <w:footnoteRef/>
      </w:r>
      <w:r>
        <w:t xml:space="preserve"> </w:t>
      </w:r>
      <w:r w:rsidR="009C2292">
        <w:t>ONR EP</w:t>
      </w:r>
      <w:r w:rsidR="00AC3F39">
        <w:t>S</w:t>
      </w:r>
      <w:r w:rsidR="009C2292">
        <w:t xml:space="preserve"> states we will consider prosecution if ‘</w:t>
      </w:r>
      <w:r w:rsidR="009C2292" w:rsidRPr="009C2292">
        <w:t>dutyholder’s standard of managing its legal responsibilities is found to be far below what is required by the legislation and to be giving rise to significant risk</w:t>
      </w:r>
      <w:r w:rsidR="009C2292">
        <w:t>’</w:t>
      </w:r>
      <w:r w:rsidR="00AC3F3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6D1B7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6B23" w14:textId="59DBC5C1" w:rsidR="006235B6" w:rsidRPr="006D1B7A" w:rsidRDefault="003F6C3E" w:rsidP="006235B6">
    <w:pPr>
      <w:pStyle w:val="Header"/>
      <w:rPr>
        <w:sz w:val="20"/>
        <w:szCs w:val="24"/>
      </w:rPr>
    </w:pPr>
    <w:sdt>
      <w:sdtPr>
        <w:rPr>
          <w:sz w:val="20"/>
          <w:szCs w:val="24"/>
        </w:rPr>
        <w:alias w:val="Title"/>
        <w:tag w:val=""/>
        <w:id w:val="1088119343"/>
        <w:placeholder>
          <w:docPart w:val="A39D0BB54F824391B9DEBC5165932BBE"/>
        </w:placeholder>
        <w:dataBinding w:prefixMappings="xmlns:ns0='http://purl.org/dc/elements/1.1/' xmlns:ns1='http://schemas.openxmlformats.org/package/2006/metadata/core-properties' " w:xpath="/ns1:coreProperties[1]/ns0:title[1]" w:storeItemID="{6C3C8BC8-F283-45AE-878A-BAB7291924A1}"/>
        <w:text/>
      </w:sdtPr>
      <w:sdtEndPr/>
      <w:sdtContent>
        <w:r w:rsidR="006235B6" w:rsidRPr="006D1B7A">
          <w:rPr>
            <w:sz w:val="20"/>
            <w:szCs w:val="24"/>
          </w:rPr>
          <w:t>Enforcement Management Model (EMM)</w:t>
        </w:r>
      </w:sdtContent>
    </w:sdt>
    <w:r w:rsidR="006235B6" w:rsidRPr="006D1B7A">
      <w:rPr>
        <w:sz w:val="20"/>
        <w:szCs w:val="24"/>
      </w:rPr>
      <w:t xml:space="preserve"> | Issue: </w:t>
    </w:r>
    <w:sdt>
      <w:sdtPr>
        <w:rPr>
          <w:sz w:val="20"/>
          <w:szCs w:val="24"/>
        </w:rPr>
        <w:alias w:val="Status"/>
        <w:tag w:val=""/>
        <w:id w:val="-233779139"/>
        <w:placeholder>
          <w:docPart w:val="BB59213F2EAD4611ACFFDA8D3A011C80"/>
        </w:placeholder>
        <w:dataBinding w:prefixMappings="xmlns:ns0='http://purl.org/dc/elements/1.1/' xmlns:ns1='http://schemas.openxmlformats.org/package/2006/metadata/core-properties' " w:xpath="/ns1:coreProperties[1]/ns1:contentStatus[1]" w:storeItemID="{6C3C8BC8-F283-45AE-878A-BAB7291924A1}"/>
        <w:text/>
      </w:sdtPr>
      <w:sdtEndPr/>
      <w:sdtContent>
        <w:r w:rsidR="0052001A">
          <w:rPr>
            <w:sz w:val="20"/>
            <w:szCs w:val="24"/>
          </w:rPr>
          <w:t>5.6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6D1B7A"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Pr="006D1B7A"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6D1B7A"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9BC70B8" w:rsidR="00177666" w:rsidRPr="006D1B7A" w:rsidRDefault="003F6C3E"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AF2759" w:rsidRPr="006D1B7A">
          <w:rPr>
            <w:sz w:val="20"/>
            <w:szCs w:val="24"/>
          </w:rPr>
          <w:t>Enforcement Management Model (EMM)</w:t>
        </w:r>
      </w:sdtContent>
    </w:sdt>
    <w:r w:rsidR="004E3932" w:rsidRPr="006D1B7A">
      <w:rPr>
        <w:sz w:val="20"/>
        <w:szCs w:val="24"/>
      </w:rPr>
      <w:t xml:space="preserve"> | Issue</w:t>
    </w:r>
    <w:r w:rsidR="00B51C81" w:rsidRPr="006D1B7A">
      <w:rPr>
        <w:sz w:val="20"/>
        <w:szCs w:val="24"/>
      </w:rPr>
      <w:t>:</w:t>
    </w:r>
    <w:r w:rsidR="004E3932" w:rsidRPr="006D1B7A">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2001A">
          <w:rPr>
            <w:sz w:val="20"/>
            <w:szCs w:val="24"/>
          </w:rPr>
          <w:t>5.6</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E33B0" w14:textId="77777777" w:rsidR="00442DC8" w:rsidRPr="006D1B7A" w:rsidRDefault="00442DC8" w:rsidP="008E7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05B72"/>
    <w:multiLevelType w:val="hybridMultilevel"/>
    <w:tmpl w:val="F202F85A"/>
    <w:lvl w:ilvl="0" w:tplc="55E47FF4">
      <w:start w:val="1"/>
      <w:numFmt w:val="bullet"/>
      <w:lvlText w:val=""/>
      <w:lvlJc w:val="left"/>
      <w:pPr>
        <w:ind w:left="2160" w:hanging="360"/>
      </w:pPr>
      <w:rPr>
        <w:rFonts w:ascii="Symbol" w:hAnsi="Symbol"/>
      </w:rPr>
    </w:lvl>
    <w:lvl w:ilvl="1" w:tplc="17904480">
      <w:start w:val="1"/>
      <w:numFmt w:val="bullet"/>
      <w:lvlText w:val=""/>
      <w:lvlJc w:val="left"/>
      <w:pPr>
        <w:ind w:left="2160" w:hanging="360"/>
      </w:pPr>
      <w:rPr>
        <w:rFonts w:ascii="Symbol" w:hAnsi="Symbol"/>
      </w:rPr>
    </w:lvl>
    <w:lvl w:ilvl="2" w:tplc="6B24DBA8">
      <w:start w:val="1"/>
      <w:numFmt w:val="bullet"/>
      <w:lvlText w:val=""/>
      <w:lvlJc w:val="left"/>
      <w:pPr>
        <w:ind w:left="2160" w:hanging="360"/>
      </w:pPr>
      <w:rPr>
        <w:rFonts w:ascii="Symbol" w:hAnsi="Symbol"/>
      </w:rPr>
    </w:lvl>
    <w:lvl w:ilvl="3" w:tplc="4AB42E66">
      <w:start w:val="1"/>
      <w:numFmt w:val="bullet"/>
      <w:lvlText w:val=""/>
      <w:lvlJc w:val="left"/>
      <w:pPr>
        <w:ind w:left="2160" w:hanging="360"/>
      </w:pPr>
      <w:rPr>
        <w:rFonts w:ascii="Symbol" w:hAnsi="Symbol"/>
      </w:rPr>
    </w:lvl>
    <w:lvl w:ilvl="4" w:tplc="804692AE">
      <w:start w:val="1"/>
      <w:numFmt w:val="bullet"/>
      <w:lvlText w:val=""/>
      <w:lvlJc w:val="left"/>
      <w:pPr>
        <w:ind w:left="2160" w:hanging="360"/>
      </w:pPr>
      <w:rPr>
        <w:rFonts w:ascii="Symbol" w:hAnsi="Symbol"/>
      </w:rPr>
    </w:lvl>
    <w:lvl w:ilvl="5" w:tplc="ABB832E8">
      <w:start w:val="1"/>
      <w:numFmt w:val="bullet"/>
      <w:lvlText w:val=""/>
      <w:lvlJc w:val="left"/>
      <w:pPr>
        <w:ind w:left="2160" w:hanging="360"/>
      </w:pPr>
      <w:rPr>
        <w:rFonts w:ascii="Symbol" w:hAnsi="Symbol"/>
      </w:rPr>
    </w:lvl>
    <w:lvl w:ilvl="6" w:tplc="4606D1B2">
      <w:start w:val="1"/>
      <w:numFmt w:val="bullet"/>
      <w:lvlText w:val=""/>
      <w:lvlJc w:val="left"/>
      <w:pPr>
        <w:ind w:left="2160" w:hanging="360"/>
      </w:pPr>
      <w:rPr>
        <w:rFonts w:ascii="Symbol" w:hAnsi="Symbol"/>
      </w:rPr>
    </w:lvl>
    <w:lvl w:ilvl="7" w:tplc="427E3512">
      <w:start w:val="1"/>
      <w:numFmt w:val="bullet"/>
      <w:lvlText w:val=""/>
      <w:lvlJc w:val="left"/>
      <w:pPr>
        <w:ind w:left="2160" w:hanging="360"/>
      </w:pPr>
      <w:rPr>
        <w:rFonts w:ascii="Symbol" w:hAnsi="Symbol"/>
      </w:rPr>
    </w:lvl>
    <w:lvl w:ilvl="8" w:tplc="72E40C9C">
      <w:start w:val="1"/>
      <w:numFmt w:val="bullet"/>
      <w:lvlText w:val=""/>
      <w:lvlJc w:val="left"/>
      <w:pPr>
        <w:ind w:left="2160" w:hanging="360"/>
      </w:pPr>
      <w:rPr>
        <w:rFonts w:ascii="Symbol" w:hAnsi="Symbol"/>
      </w:rPr>
    </w:lvl>
  </w:abstractNum>
  <w:abstractNum w:abstractNumId="1"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6D14A2"/>
    <w:multiLevelType w:val="multilevel"/>
    <w:tmpl w:val="A83C9C0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0C6BD9"/>
    <w:multiLevelType w:val="hybridMultilevel"/>
    <w:tmpl w:val="464E8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4D3258"/>
    <w:multiLevelType w:val="hybridMultilevel"/>
    <w:tmpl w:val="6B0E53B8"/>
    <w:lvl w:ilvl="0" w:tplc="FFFFFFFF">
      <w:start w:val="1"/>
      <w:numFmt w:val="decimal"/>
      <w:lvlText w:val="%1."/>
      <w:lvlJc w:val="left"/>
      <w:pPr>
        <w:ind w:left="720" w:hanging="360"/>
      </w:pPr>
      <w:rPr>
        <w:b w:val="0"/>
        <w:bCs w:val="0"/>
        <w:i w:val="0"/>
        <w:iCs/>
        <w:color w:val="auto"/>
      </w:rPr>
    </w:lvl>
    <w:lvl w:ilvl="1" w:tplc="08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B6625C"/>
    <w:multiLevelType w:val="hybridMultilevel"/>
    <w:tmpl w:val="5E80B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A13C7D"/>
    <w:multiLevelType w:val="hybridMultilevel"/>
    <w:tmpl w:val="5572812C"/>
    <w:lvl w:ilvl="0" w:tplc="D84A21DC">
      <w:start w:val="1"/>
      <w:numFmt w:val="decimal"/>
      <w:pStyle w:val="Paragraph"/>
      <w:lvlText w:val="%1."/>
      <w:lvlJc w:val="left"/>
      <w:pPr>
        <w:ind w:left="720" w:hanging="360"/>
      </w:pPr>
      <w:rPr>
        <w:b w:val="0"/>
        <w:bCs w:val="0"/>
        <w:i w:val="0"/>
        <w:iCs/>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E83E54"/>
    <w:multiLevelType w:val="hybridMultilevel"/>
    <w:tmpl w:val="1A9416EA"/>
    <w:lvl w:ilvl="0" w:tplc="732A9A0A">
      <w:start w:val="1"/>
      <w:numFmt w:val="decimal"/>
      <w:pStyle w:val="F9-Paragraph"/>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294F04"/>
    <w:multiLevelType w:val="hybridMultilevel"/>
    <w:tmpl w:val="0D84D6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13B7A79"/>
    <w:multiLevelType w:val="multilevel"/>
    <w:tmpl w:val="10BC4DE4"/>
    <w:lvl w:ilvl="0">
      <w:start w:val="1"/>
      <w:numFmt w:val="decimal"/>
      <w:pStyle w:val="NumberedHeading"/>
      <w:lvlText w:val="%1."/>
      <w:lvlJc w:val="left"/>
      <w:pPr>
        <w:tabs>
          <w:tab w:val="num" w:pos="-31680"/>
        </w:tabs>
        <w:ind w:left="720" w:hanging="720"/>
      </w:pPr>
      <w:rPr>
        <w:rFonts w:hint="default"/>
      </w:rPr>
    </w:lvl>
    <w:lvl w:ilvl="1">
      <w:start w:val="1"/>
      <w:numFmt w:val="decimal"/>
      <w:pStyle w:val="NumberedParagraph"/>
      <w:lvlText w:val="%1.%2."/>
      <w:lvlJc w:val="left"/>
      <w:pPr>
        <w:tabs>
          <w:tab w:val="num" w:pos="-31680"/>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A121B7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6478110F"/>
    <w:multiLevelType w:val="hybridMultilevel"/>
    <w:tmpl w:val="618E11AE"/>
    <w:lvl w:ilvl="0" w:tplc="7D5A6840">
      <w:start w:val="1"/>
      <w:numFmt w:val="decimal"/>
      <w:pStyle w:val="BodyTextNumbered"/>
      <w:lvlText w:val="%1."/>
      <w:lvlJc w:val="left"/>
      <w:pPr>
        <w:ind w:left="720" w:hanging="360"/>
      </w:pPr>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145E80"/>
    <w:multiLevelType w:val="hybridMultilevel"/>
    <w:tmpl w:val="1904F95E"/>
    <w:lvl w:ilvl="0" w:tplc="31BE91A8">
      <w:start w:val="1"/>
      <w:numFmt w:val="bullet"/>
      <w:lvlText w:val=""/>
      <w:lvlJc w:val="left"/>
      <w:pPr>
        <w:ind w:left="1440" w:hanging="360"/>
      </w:pPr>
      <w:rPr>
        <w:rFonts w:ascii="Symbol" w:hAnsi="Symbol"/>
      </w:rPr>
    </w:lvl>
    <w:lvl w:ilvl="1" w:tplc="7B4A6440">
      <w:start w:val="1"/>
      <w:numFmt w:val="bullet"/>
      <w:lvlText w:val=""/>
      <w:lvlJc w:val="left"/>
      <w:pPr>
        <w:ind w:left="1440" w:hanging="360"/>
      </w:pPr>
      <w:rPr>
        <w:rFonts w:ascii="Symbol" w:hAnsi="Symbol"/>
      </w:rPr>
    </w:lvl>
    <w:lvl w:ilvl="2" w:tplc="78D88D50">
      <w:start w:val="1"/>
      <w:numFmt w:val="bullet"/>
      <w:lvlText w:val=""/>
      <w:lvlJc w:val="left"/>
      <w:pPr>
        <w:ind w:left="1440" w:hanging="360"/>
      </w:pPr>
      <w:rPr>
        <w:rFonts w:ascii="Symbol" w:hAnsi="Symbol"/>
      </w:rPr>
    </w:lvl>
    <w:lvl w:ilvl="3" w:tplc="D6CABCFC">
      <w:start w:val="1"/>
      <w:numFmt w:val="bullet"/>
      <w:lvlText w:val=""/>
      <w:lvlJc w:val="left"/>
      <w:pPr>
        <w:ind w:left="1440" w:hanging="360"/>
      </w:pPr>
      <w:rPr>
        <w:rFonts w:ascii="Symbol" w:hAnsi="Symbol"/>
      </w:rPr>
    </w:lvl>
    <w:lvl w:ilvl="4" w:tplc="B0B492B0">
      <w:start w:val="1"/>
      <w:numFmt w:val="bullet"/>
      <w:lvlText w:val=""/>
      <w:lvlJc w:val="left"/>
      <w:pPr>
        <w:ind w:left="1440" w:hanging="360"/>
      </w:pPr>
      <w:rPr>
        <w:rFonts w:ascii="Symbol" w:hAnsi="Symbol"/>
      </w:rPr>
    </w:lvl>
    <w:lvl w:ilvl="5" w:tplc="0FDCD486">
      <w:start w:val="1"/>
      <w:numFmt w:val="bullet"/>
      <w:lvlText w:val=""/>
      <w:lvlJc w:val="left"/>
      <w:pPr>
        <w:ind w:left="1440" w:hanging="360"/>
      </w:pPr>
      <w:rPr>
        <w:rFonts w:ascii="Symbol" w:hAnsi="Symbol"/>
      </w:rPr>
    </w:lvl>
    <w:lvl w:ilvl="6" w:tplc="D7961094">
      <w:start w:val="1"/>
      <w:numFmt w:val="bullet"/>
      <w:lvlText w:val=""/>
      <w:lvlJc w:val="left"/>
      <w:pPr>
        <w:ind w:left="1440" w:hanging="360"/>
      </w:pPr>
      <w:rPr>
        <w:rFonts w:ascii="Symbol" w:hAnsi="Symbol"/>
      </w:rPr>
    </w:lvl>
    <w:lvl w:ilvl="7" w:tplc="531608C0">
      <w:start w:val="1"/>
      <w:numFmt w:val="bullet"/>
      <w:lvlText w:val=""/>
      <w:lvlJc w:val="left"/>
      <w:pPr>
        <w:ind w:left="1440" w:hanging="360"/>
      </w:pPr>
      <w:rPr>
        <w:rFonts w:ascii="Symbol" w:hAnsi="Symbol"/>
      </w:rPr>
    </w:lvl>
    <w:lvl w:ilvl="8" w:tplc="014ACF7E">
      <w:start w:val="1"/>
      <w:numFmt w:val="bullet"/>
      <w:lvlText w:val=""/>
      <w:lvlJc w:val="left"/>
      <w:pPr>
        <w:ind w:left="1440" w:hanging="360"/>
      </w:pPr>
      <w:rPr>
        <w:rFonts w:ascii="Symbol" w:hAnsi="Symbol"/>
      </w:rPr>
    </w:lvl>
  </w:abstractNum>
  <w:abstractNum w:abstractNumId="13" w15:restartNumberingAfterBreak="0">
    <w:nsid w:val="6A9A75DD"/>
    <w:multiLevelType w:val="multilevel"/>
    <w:tmpl w:val="40CC6688"/>
    <w:lvl w:ilvl="0">
      <w:start w:val="1"/>
      <w:numFmt w:val="decimal"/>
      <w:pStyle w:val="PAM-NUMBEREDHEADING"/>
      <w:lvlText w:val="%1."/>
      <w:lvlJc w:val="left"/>
      <w:pPr>
        <w:tabs>
          <w:tab w:val="num" w:pos="-31680"/>
        </w:tabs>
        <w:ind w:left="0" w:firstLine="0"/>
      </w:pPr>
      <w:rPr>
        <w:rFonts w:hint="default"/>
        <w:b w:val="0"/>
        <w:bCs w:val="0"/>
        <w:i w:val="0"/>
        <w:iCs w:val="0"/>
        <w:caps w:val="0"/>
        <w:strike w:val="0"/>
        <w:dstrike w:val="0"/>
        <w:outline w:val="0"/>
        <w:shadow w:val="0"/>
        <w:emboss w:val="0"/>
        <w:imprint w:val="0"/>
        <w:vanish w:val="0"/>
        <w:color w:val="auto"/>
        <w:sz w:val="22"/>
        <w:szCs w:val="22"/>
        <w:u w:val="none"/>
        <w:vertAlign w:val="baseline"/>
      </w:rPr>
    </w:lvl>
    <w:lvl w:ilvl="1">
      <w:start w:val="1"/>
      <w:numFmt w:val="decimal"/>
      <w:pStyle w:val="PAM-NUMBEREDPARAGRAPH"/>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decimal"/>
      <w:lvlText w:val="%6."/>
      <w:lvlJc w:val="left"/>
      <w:pPr>
        <w:tabs>
          <w:tab w:val="num" w:pos="-31680"/>
        </w:tabs>
        <w:ind w:left="2160" w:hanging="720"/>
      </w:pPr>
      <w:rPr>
        <w:rFonts w:ascii="Arial" w:eastAsia="Times New Roman" w:hAnsi="Arial" w:cs="Arial"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4" w15:restartNumberingAfterBreak="0">
    <w:nsid w:val="6C3E64D9"/>
    <w:multiLevelType w:val="hybridMultilevel"/>
    <w:tmpl w:val="31D6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394D62"/>
    <w:multiLevelType w:val="hybridMultilevel"/>
    <w:tmpl w:val="E5D6D44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70301E57"/>
    <w:multiLevelType w:val="hybridMultilevel"/>
    <w:tmpl w:val="47D0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C2195C"/>
    <w:multiLevelType w:val="hybridMultilevel"/>
    <w:tmpl w:val="33B8A0BC"/>
    <w:lvl w:ilvl="0" w:tplc="84BA4EF8">
      <w:start w:val="1"/>
      <w:numFmt w:val="bullet"/>
      <w:pStyle w:val="TSBullet1Square"/>
      <w:lvlText w:val=""/>
      <w:lvlJc w:val="left"/>
      <w:pPr>
        <w:tabs>
          <w:tab w:val="num" w:pos="-31407"/>
        </w:tabs>
        <w:ind w:left="1713"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CC218F"/>
    <w:multiLevelType w:val="hybridMultilevel"/>
    <w:tmpl w:val="472277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18A0F99"/>
    <w:multiLevelType w:val="multilevel"/>
    <w:tmpl w:val="146A87C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6C86BB58"/>
    <w:lvl w:ilvl="0" w:tplc="CCD6BDC2">
      <w:start w:val="1"/>
      <w:numFmt w:val="bullet"/>
      <w:pStyle w:val="Bulletlist1"/>
      <w:lvlText w:val=""/>
      <w:lvlJc w:val="left"/>
      <w:pPr>
        <w:ind w:left="360" w:hanging="360"/>
      </w:pPr>
      <w:rPr>
        <w:rFonts w:ascii="Symbol" w:hAnsi="Symbol" w:hint="default"/>
        <w:strike w:val="0"/>
        <w:dstrike w:val="0"/>
        <w:color w:val="auto"/>
        <w:sz w:val="24"/>
      </w:rPr>
    </w:lvl>
    <w:lvl w:ilvl="1" w:tplc="D260252E">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6D0341"/>
    <w:multiLevelType w:val="hybridMultilevel"/>
    <w:tmpl w:val="0F2449C8"/>
    <w:lvl w:ilvl="0" w:tplc="FFFFFFFF">
      <w:start w:val="1"/>
      <w:numFmt w:val="decimal"/>
      <w:lvlText w:val="%1."/>
      <w:lvlJc w:val="left"/>
      <w:pPr>
        <w:ind w:left="720" w:hanging="360"/>
      </w:pPr>
      <w:rPr>
        <w:b w:val="0"/>
        <w:bCs w:val="0"/>
        <w:i w:val="0"/>
        <w:iCs/>
        <w:color w:val="auto"/>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18559294">
    <w:abstractNumId w:val="20"/>
  </w:num>
  <w:num w:numId="2" w16cid:durableId="193271029">
    <w:abstractNumId w:val="19"/>
  </w:num>
  <w:num w:numId="3" w16cid:durableId="1015110773">
    <w:abstractNumId w:val="2"/>
  </w:num>
  <w:num w:numId="4" w16cid:durableId="1836190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9157419">
    <w:abstractNumId w:val="17"/>
  </w:num>
  <w:num w:numId="6" w16cid:durableId="1378427615">
    <w:abstractNumId w:val="1"/>
  </w:num>
  <w:num w:numId="7" w16cid:durableId="291402836">
    <w:abstractNumId w:val="10"/>
  </w:num>
  <w:num w:numId="8" w16cid:durableId="389697980">
    <w:abstractNumId w:val="9"/>
  </w:num>
  <w:num w:numId="9" w16cid:durableId="1542405218">
    <w:abstractNumId w:val="16"/>
  </w:num>
  <w:num w:numId="10" w16cid:durableId="1531802366">
    <w:abstractNumId w:val="14"/>
  </w:num>
  <w:num w:numId="11" w16cid:durableId="2002343821">
    <w:abstractNumId w:val="5"/>
  </w:num>
  <w:num w:numId="12" w16cid:durableId="269632392">
    <w:abstractNumId w:val="15"/>
  </w:num>
  <w:num w:numId="13" w16cid:durableId="1962682973">
    <w:abstractNumId w:val="13"/>
  </w:num>
  <w:num w:numId="14" w16cid:durableId="1114443402">
    <w:abstractNumId w:val="3"/>
  </w:num>
  <w:num w:numId="15" w16cid:durableId="1847478528">
    <w:abstractNumId w:val="6"/>
  </w:num>
  <w:num w:numId="16" w16cid:durableId="1612930941">
    <w:abstractNumId w:val="6"/>
    <w:lvlOverride w:ilvl="0">
      <w:startOverride w:val="1"/>
    </w:lvlOverride>
  </w:num>
  <w:num w:numId="17" w16cid:durableId="829296325">
    <w:abstractNumId w:val="6"/>
    <w:lvlOverride w:ilvl="0">
      <w:startOverride w:val="1"/>
    </w:lvlOverride>
  </w:num>
  <w:num w:numId="18" w16cid:durableId="2112433478">
    <w:abstractNumId w:val="7"/>
  </w:num>
  <w:num w:numId="19" w16cid:durableId="1901397869">
    <w:abstractNumId w:val="21"/>
  </w:num>
  <w:num w:numId="20" w16cid:durableId="1761216888">
    <w:abstractNumId w:val="18"/>
  </w:num>
  <w:num w:numId="21" w16cid:durableId="1713967794">
    <w:abstractNumId w:val="11"/>
  </w:num>
  <w:num w:numId="22" w16cid:durableId="100271007">
    <w:abstractNumId w:val="0"/>
  </w:num>
  <w:num w:numId="23" w16cid:durableId="1251500912">
    <w:abstractNumId w:val="12"/>
  </w:num>
  <w:num w:numId="24" w16cid:durableId="1171024864">
    <w:abstractNumId w:val="20"/>
    <w:lvlOverride w:ilvl="0">
      <w:startOverride w:val="1"/>
    </w:lvlOverride>
  </w:num>
  <w:num w:numId="25" w16cid:durableId="746614062">
    <w:abstractNumId w:val="8"/>
  </w:num>
  <w:num w:numId="26" w16cid:durableId="310868787">
    <w:abstractNumId w:val="4"/>
  </w:num>
  <w:num w:numId="27" w16cid:durableId="5812549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12217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39281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137317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31088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0EE"/>
    <w:rsid w:val="00001827"/>
    <w:rsid w:val="00002385"/>
    <w:rsid w:val="000029E5"/>
    <w:rsid w:val="00002F03"/>
    <w:rsid w:val="00002F80"/>
    <w:rsid w:val="00002FC0"/>
    <w:rsid w:val="00004C16"/>
    <w:rsid w:val="00006141"/>
    <w:rsid w:val="00006542"/>
    <w:rsid w:val="00006FAE"/>
    <w:rsid w:val="0000725E"/>
    <w:rsid w:val="000079D9"/>
    <w:rsid w:val="00010118"/>
    <w:rsid w:val="00011177"/>
    <w:rsid w:val="0001218F"/>
    <w:rsid w:val="00013732"/>
    <w:rsid w:val="000137CD"/>
    <w:rsid w:val="00013D61"/>
    <w:rsid w:val="000140E1"/>
    <w:rsid w:val="00014814"/>
    <w:rsid w:val="00016A03"/>
    <w:rsid w:val="00016C45"/>
    <w:rsid w:val="0001706F"/>
    <w:rsid w:val="00017513"/>
    <w:rsid w:val="000177E0"/>
    <w:rsid w:val="000220EB"/>
    <w:rsid w:val="0002251F"/>
    <w:rsid w:val="0002255E"/>
    <w:rsid w:val="00023E41"/>
    <w:rsid w:val="00024522"/>
    <w:rsid w:val="00024B2E"/>
    <w:rsid w:val="00027F4F"/>
    <w:rsid w:val="00030430"/>
    <w:rsid w:val="0003078E"/>
    <w:rsid w:val="00030987"/>
    <w:rsid w:val="000311D1"/>
    <w:rsid w:val="000313A9"/>
    <w:rsid w:val="00031B89"/>
    <w:rsid w:val="00031DD0"/>
    <w:rsid w:val="000320C3"/>
    <w:rsid w:val="00032110"/>
    <w:rsid w:val="00032677"/>
    <w:rsid w:val="00033013"/>
    <w:rsid w:val="00034287"/>
    <w:rsid w:val="000354EF"/>
    <w:rsid w:val="000368A7"/>
    <w:rsid w:val="0003693D"/>
    <w:rsid w:val="00037BD4"/>
    <w:rsid w:val="00040091"/>
    <w:rsid w:val="000400A9"/>
    <w:rsid w:val="0004028F"/>
    <w:rsid w:val="00040347"/>
    <w:rsid w:val="0004071E"/>
    <w:rsid w:val="000413BC"/>
    <w:rsid w:val="00041CA1"/>
    <w:rsid w:val="00042EC8"/>
    <w:rsid w:val="0004338A"/>
    <w:rsid w:val="00043948"/>
    <w:rsid w:val="00044384"/>
    <w:rsid w:val="0004440F"/>
    <w:rsid w:val="00044C91"/>
    <w:rsid w:val="00044F9F"/>
    <w:rsid w:val="000507C4"/>
    <w:rsid w:val="00051A10"/>
    <w:rsid w:val="00052520"/>
    <w:rsid w:val="00052C8A"/>
    <w:rsid w:val="00053684"/>
    <w:rsid w:val="000548C8"/>
    <w:rsid w:val="000551C6"/>
    <w:rsid w:val="00055723"/>
    <w:rsid w:val="00055EBC"/>
    <w:rsid w:val="0005637C"/>
    <w:rsid w:val="00056636"/>
    <w:rsid w:val="00057E15"/>
    <w:rsid w:val="000600DA"/>
    <w:rsid w:val="00060536"/>
    <w:rsid w:val="00060912"/>
    <w:rsid w:val="00060EAF"/>
    <w:rsid w:val="00061126"/>
    <w:rsid w:val="0006157F"/>
    <w:rsid w:val="00061C3B"/>
    <w:rsid w:val="00061CF3"/>
    <w:rsid w:val="00061D16"/>
    <w:rsid w:val="00063D35"/>
    <w:rsid w:val="00064916"/>
    <w:rsid w:val="00064CBF"/>
    <w:rsid w:val="00065E18"/>
    <w:rsid w:val="00066642"/>
    <w:rsid w:val="00066BF3"/>
    <w:rsid w:val="00066D60"/>
    <w:rsid w:val="0006734A"/>
    <w:rsid w:val="00070F34"/>
    <w:rsid w:val="00071794"/>
    <w:rsid w:val="00073082"/>
    <w:rsid w:val="0007336F"/>
    <w:rsid w:val="000734D2"/>
    <w:rsid w:val="00073B6E"/>
    <w:rsid w:val="00075605"/>
    <w:rsid w:val="00075C66"/>
    <w:rsid w:val="00076763"/>
    <w:rsid w:val="00076CEE"/>
    <w:rsid w:val="00076ED3"/>
    <w:rsid w:val="00080B14"/>
    <w:rsid w:val="000817D4"/>
    <w:rsid w:val="00081AD2"/>
    <w:rsid w:val="00082879"/>
    <w:rsid w:val="00083387"/>
    <w:rsid w:val="00083792"/>
    <w:rsid w:val="000840DD"/>
    <w:rsid w:val="0008487B"/>
    <w:rsid w:val="000862B4"/>
    <w:rsid w:val="0009086B"/>
    <w:rsid w:val="00091EEA"/>
    <w:rsid w:val="00093B76"/>
    <w:rsid w:val="00093C39"/>
    <w:rsid w:val="0009461B"/>
    <w:rsid w:val="00095ECA"/>
    <w:rsid w:val="0009628D"/>
    <w:rsid w:val="00096299"/>
    <w:rsid w:val="00096BF9"/>
    <w:rsid w:val="00097BD9"/>
    <w:rsid w:val="000A00BC"/>
    <w:rsid w:val="000A07F5"/>
    <w:rsid w:val="000A105C"/>
    <w:rsid w:val="000A14C0"/>
    <w:rsid w:val="000A2218"/>
    <w:rsid w:val="000A251D"/>
    <w:rsid w:val="000A3248"/>
    <w:rsid w:val="000A3BA2"/>
    <w:rsid w:val="000A3F7B"/>
    <w:rsid w:val="000A48AB"/>
    <w:rsid w:val="000A4BBB"/>
    <w:rsid w:val="000A70E8"/>
    <w:rsid w:val="000B16C5"/>
    <w:rsid w:val="000B1BBE"/>
    <w:rsid w:val="000B2821"/>
    <w:rsid w:val="000B3C22"/>
    <w:rsid w:val="000B4F7A"/>
    <w:rsid w:val="000B6DF5"/>
    <w:rsid w:val="000B6F3E"/>
    <w:rsid w:val="000C0229"/>
    <w:rsid w:val="000C0EE7"/>
    <w:rsid w:val="000C1943"/>
    <w:rsid w:val="000C2856"/>
    <w:rsid w:val="000C2DDC"/>
    <w:rsid w:val="000C3ED4"/>
    <w:rsid w:val="000C444F"/>
    <w:rsid w:val="000C5965"/>
    <w:rsid w:val="000C617B"/>
    <w:rsid w:val="000C748F"/>
    <w:rsid w:val="000C7B60"/>
    <w:rsid w:val="000D1BBB"/>
    <w:rsid w:val="000D2FD4"/>
    <w:rsid w:val="000D4591"/>
    <w:rsid w:val="000D4FF3"/>
    <w:rsid w:val="000D6CFE"/>
    <w:rsid w:val="000D71B0"/>
    <w:rsid w:val="000E036F"/>
    <w:rsid w:val="000E0DFB"/>
    <w:rsid w:val="000E110B"/>
    <w:rsid w:val="000E442A"/>
    <w:rsid w:val="000E4E37"/>
    <w:rsid w:val="000E4FDD"/>
    <w:rsid w:val="000E51AA"/>
    <w:rsid w:val="000E6061"/>
    <w:rsid w:val="000E6317"/>
    <w:rsid w:val="000F06D3"/>
    <w:rsid w:val="000F1B7B"/>
    <w:rsid w:val="000F24EF"/>
    <w:rsid w:val="000F2ED4"/>
    <w:rsid w:val="000F38DB"/>
    <w:rsid w:val="000F3D05"/>
    <w:rsid w:val="000F3E5E"/>
    <w:rsid w:val="000F51B6"/>
    <w:rsid w:val="000F5660"/>
    <w:rsid w:val="000F6806"/>
    <w:rsid w:val="000F688E"/>
    <w:rsid w:val="000F6A2D"/>
    <w:rsid w:val="000F6BFC"/>
    <w:rsid w:val="001002BF"/>
    <w:rsid w:val="001003EA"/>
    <w:rsid w:val="00100854"/>
    <w:rsid w:val="00100915"/>
    <w:rsid w:val="0010263C"/>
    <w:rsid w:val="001028E8"/>
    <w:rsid w:val="001034D6"/>
    <w:rsid w:val="001044CB"/>
    <w:rsid w:val="00111EB7"/>
    <w:rsid w:val="00112DBC"/>
    <w:rsid w:val="001133FC"/>
    <w:rsid w:val="00114167"/>
    <w:rsid w:val="00114480"/>
    <w:rsid w:val="00114964"/>
    <w:rsid w:val="00115E5A"/>
    <w:rsid w:val="00116B9A"/>
    <w:rsid w:val="0012000E"/>
    <w:rsid w:val="001206E4"/>
    <w:rsid w:val="00120CBD"/>
    <w:rsid w:val="00122FCC"/>
    <w:rsid w:val="001236C7"/>
    <w:rsid w:val="001249CB"/>
    <w:rsid w:val="00124C2B"/>
    <w:rsid w:val="00124C3B"/>
    <w:rsid w:val="0012612F"/>
    <w:rsid w:val="001265A3"/>
    <w:rsid w:val="00126752"/>
    <w:rsid w:val="00130B30"/>
    <w:rsid w:val="00131400"/>
    <w:rsid w:val="00133340"/>
    <w:rsid w:val="001337B3"/>
    <w:rsid w:val="001342F3"/>
    <w:rsid w:val="001345CE"/>
    <w:rsid w:val="00134642"/>
    <w:rsid w:val="00134A45"/>
    <w:rsid w:val="001353EC"/>
    <w:rsid w:val="00135B2A"/>
    <w:rsid w:val="00136543"/>
    <w:rsid w:val="00137875"/>
    <w:rsid w:val="0013790C"/>
    <w:rsid w:val="00140E1C"/>
    <w:rsid w:val="00141BA3"/>
    <w:rsid w:val="00143731"/>
    <w:rsid w:val="00144605"/>
    <w:rsid w:val="00144A1F"/>
    <w:rsid w:val="001459AA"/>
    <w:rsid w:val="00146BA2"/>
    <w:rsid w:val="001479A5"/>
    <w:rsid w:val="00147AD9"/>
    <w:rsid w:val="00147AE4"/>
    <w:rsid w:val="00147C2D"/>
    <w:rsid w:val="00147EA6"/>
    <w:rsid w:val="00150A4C"/>
    <w:rsid w:val="001515F6"/>
    <w:rsid w:val="0015237E"/>
    <w:rsid w:val="00152B79"/>
    <w:rsid w:val="00155561"/>
    <w:rsid w:val="0015592C"/>
    <w:rsid w:val="00155D4F"/>
    <w:rsid w:val="00155D91"/>
    <w:rsid w:val="00156ACC"/>
    <w:rsid w:val="00156DB1"/>
    <w:rsid w:val="001571E5"/>
    <w:rsid w:val="00157240"/>
    <w:rsid w:val="0016035D"/>
    <w:rsid w:val="001619EC"/>
    <w:rsid w:val="00161E4C"/>
    <w:rsid w:val="00162D23"/>
    <w:rsid w:val="0016303C"/>
    <w:rsid w:val="00163180"/>
    <w:rsid w:val="001636D6"/>
    <w:rsid w:val="00164300"/>
    <w:rsid w:val="00164908"/>
    <w:rsid w:val="00165665"/>
    <w:rsid w:val="00165A16"/>
    <w:rsid w:val="0016630A"/>
    <w:rsid w:val="001676B8"/>
    <w:rsid w:val="001717AA"/>
    <w:rsid w:val="00171E2F"/>
    <w:rsid w:val="001728A5"/>
    <w:rsid w:val="001737E3"/>
    <w:rsid w:val="00174153"/>
    <w:rsid w:val="00174D2E"/>
    <w:rsid w:val="001754E4"/>
    <w:rsid w:val="00175906"/>
    <w:rsid w:val="00176911"/>
    <w:rsid w:val="00176F1B"/>
    <w:rsid w:val="00177666"/>
    <w:rsid w:val="00177C8D"/>
    <w:rsid w:val="001802C9"/>
    <w:rsid w:val="00181C4E"/>
    <w:rsid w:val="0018248B"/>
    <w:rsid w:val="00183821"/>
    <w:rsid w:val="00183B5C"/>
    <w:rsid w:val="001845F2"/>
    <w:rsid w:val="00184724"/>
    <w:rsid w:val="001849CA"/>
    <w:rsid w:val="00185410"/>
    <w:rsid w:val="0018549C"/>
    <w:rsid w:val="00186B78"/>
    <w:rsid w:val="001873BC"/>
    <w:rsid w:val="00190135"/>
    <w:rsid w:val="0019134A"/>
    <w:rsid w:val="0019181C"/>
    <w:rsid w:val="0019198A"/>
    <w:rsid w:val="00191E28"/>
    <w:rsid w:val="00192352"/>
    <w:rsid w:val="001927F9"/>
    <w:rsid w:val="00192E81"/>
    <w:rsid w:val="00194063"/>
    <w:rsid w:val="001942B9"/>
    <w:rsid w:val="00194910"/>
    <w:rsid w:val="00196F71"/>
    <w:rsid w:val="001A08DC"/>
    <w:rsid w:val="001A0902"/>
    <w:rsid w:val="001A1DB5"/>
    <w:rsid w:val="001A255C"/>
    <w:rsid w:val="001A266B"/>
    <w:rsid w:val="001A2A8C"/>
    <w:rsid w:val="001A395B"/>
    <w:rsid w:val="001A3B81"/>
    <w:rsid w:val="001A5B59"/>
    <w:rsid w:val="001A677D"/>
    <w:rsid w:val="001A6ECC"/>
    <w:rsid w:val="001A727D"/>
    <w:rsid w:val="001B13CB"/>
    <w:rsid w:val="001B16F8"/>
    <w:rsid w:val="001B1EC9"/>
    <w:rsid w:val="001B3861"/>
    <w:rsid w:val="001B5E14"/>
    <w:rsid w:val="001B70BA"/>
    <w:rsid w:val="001C01DE"/>
    <w:rsid w:val="001C0FEB"/>
    <w:rsid w:val="001C1040"/>
    <w:rsid w:val="001C1F41"/>
    <w:rsid w:val="001C3781"/>
    <w:rsid w:val="001C4946"/>
    <w:rsid w:val="001C4D63"/>
    <w:rsid w:val="001C6926"/>
    <w:rsid w:val="001C6A80"/>
    <w:rsid w:val="001C6EE9"/>
    <w:rsid w:val="001D0DE0"/>
    <w:rsid w:val="001D267E"/>
    <w:rsid w:val="001D2D24"/>
    <w:rsid w:val="001D37D4"/>
    <w:rsid w:val="001D4BF0"/>
    <w:rsid w:val="001D4E28"/>
    <w:rsid w:val="001D5AFF"/>
    <w:rsid w:val="001D5D01"/>
    <w:rsid w:val="001D74B4"/>
    <w:rsid w:val="001E03E1"/>
    <w:rsid w:val="001E17EF"/>
    <w:rsid w:val="001E3281"/>
    <w:rsid w:val="001E3DB5"/>
    <w:rsid w:val="001E5B81"/>
    <w:rsid w:val="001E6C89"/>
    <w:rsid w:val="001E78E4"/>
    <w:rsid w:val="001E7CBC"/>
    <w:rsid w:val="001E7EEF"/>
    <w:rsid w:val="001F059F"/>
    <w:rsid w:val="001F0CA6"/>
    <w:rsid w:val="001F10F2"/>
    <w:rsid w:val="001F14BB"/>
    <w:rsid w:val="001F16C7"/>
    <w:rsid w:val="001F180A"/>
    <w:rsid w:val="001F25FA"/>
    <w:rsid w:val="001F2A0C"/>
    <w:rsid w:val="001F2CB6"/>
    <w:rsid w:val="001F367A"/>
    <w:rsid w:val="001F48B6"/>
    <w:rsid w:val="001F4BA5"/>
    <w:rsid w:val="001F579D"/>
    <w:rsid w:val="001F7359"/>
    <w:rsid w:val="001F7EDF"/>
    <w:rsid w:val="00200811"/>
    <w:rsid w:val="00200CA1"/>
    <w:rsid w:val="00202927"/>
    <w:rsid w:val="00202EC5"/>
    <w:rsid w:val="0020463F"/>
    <w:rsid w:val="002053BB"/>
    <w:rsid w:val="00205BB0"/>
    <w:rsid w:val="002062F3"/>
    <w:rsid w:val="002066B1"/>
    <w:rsid w:val="002074D5"/>
    <w:rsid w:val="002108D5"/>
    <w:rsid w:val="00212394"/>
    <w:rsid w:val="0021253E"/>
    <w:rsid w:val="00212DD8"/>
    <w:rsid w:val="0021338D"/>
    <w:rsid w:val="00213E41"/>
    <w:rsid w:val="00214013"/>
    <w:rsid w:val="00214D43"/>
    <w:rsid w:val="00215500"/>
    <w:rsid w:val="002158E3"/>
    <w:rsid w:val="00216893"/>
    <w:rsid w:val="00216BA5"/>
    <w:rsid w:val="00217D38"/>
    <w:rsid w:val="002225B5"/>
    <w:rsid w:val="002226FC"/>
    <w:rsid w:val="00222DAA"/>
    <w:rsid w:val="00223090"/>
    <w:rsid w:val="002238B4"/>
    <w:rsid w:val="00223BCA"/>
    <w:rsid w:val="00224160"/>
    <w:rsid w:val="00224D12"/>
    <w:rsid w:val="002258C3"/>
    <w:rsid w:val="0022629C"/>
    <w:rsid w:val="002267AF"/>
    <w:rsid w:val="00227988"/>
    <w:rsid w:val="002319AB"/>
    <w:rsid w:val="002319AC"/>
    <w:rsid w:val="00231EE3"/>
    <w:rsid w:val="00232701"/>
    <w:rsid w:val="00232767"/>
    <w:rsid w:val="002327B4"/>
    <w:rsid w:val="00233004"/>
    <w:rsid w:val="0023334C"/>
    <w:rsid w:val="0023380B"/>
    <w:rsid w:val="00234342"/>
    <w:rsid w:val="0023451A"/>
    <w:rsid w:val="00235339"/>
    <w:rsid w:val="0023552A"/>
    <w:rsid w:val="00236377"/>
    <w:rsid w:val="00236403"/>
    <w:rsid w:val="002378F6"/>
    <w:rsid w:val="0024040D"/>
    <w:rsid w:val="00240DBE"/>
    <w:rsid w:val="00240EC3"/>
    <w:rsid w:val="00241436"/>
    <w:rsid w:val="00242E3E"/>
    <w:rsid w:val="00244B6F"/>
    <w:rsid w:val="00245543"/>
    <w:rsid w:val="00245C76"/>
    <w:rsid w:val="00246AAD"/>
    <w:rsid w:val="00247676"/>
    <w:rsid w:val="00251219"/>
    <w:rsid w:val="00251AA0"/>
    <w:rsid w:val="00251BBB"/>
    <w:rsid w:val="00251CD7"/>
    <w:rsid w:val="002543A1"/>
    <w:rsid w:val="00255AE7"/>
    <w:rsid w:val="00255FA3"/>
    <w:rsid w:val="00257288"/>
    <w:rsid w:val="0025784B"/>
    <w:rsid w:val="00257C4C"/>
    <w:rsid w:val="00260023"/>
    <w:rsid w:val="00261072"/>
    <w:rsid w:val="00261AB9"/>
    <w:rsid w:val="00261E34"/>
    <w:rsid w:val="00261FB6"/>
    <w:rsid w:val="002629F8"/>
    <w:rsid w:val="00262D5D"/>
    <w:rsid w:val="00263396"/>
    <w:rsid w:val="00263D9F"/>
    <w:rsid w:val="0026429C"/>
    <w:rsid w:val="00264B0D"/>
    <w:rsid w:val="00264DE2"/>
    <w:rsid w:val="0026524D"/>
    <w:rsid w:val="002653EC"/>
    <w:rsid w:val="002659FA"/>
    <w:rsid w:val="0026652C"/>
    <w:rsid w:val="002670AE"/>
    <w:rsid w:val="00267618"/>
    <w:rsid w:val="002677FF"/>
    <w:rsid w:val="00267815"/>
    <w:rsid w:val="0027046F"/>
    <w:rsid w:val="00272A2B"/>
    <w:rsid w:val="00273137"/>
    <w:rsid w:val="00273C85"/>
    <w:rsid w:val="00276254"/>
    <w:rsid w:val="00276408"/>
    <w:rsid w:val="00277EC5"/>
    <w:rsid w:val="00280634"/>
    <w:rsid w:val="00280DDF"/>
    <w:rsid w:val="00281023"/>
    <w:rsid w:val="0028318D"/>
    <w:rsid w:val="002831BE"/>
    <w:rsid w:val="00283927"/>
    <w:rsid w:val="00286F08"/>
    <w:rsid w:val="00287F01"/>
    <w:rsid w:val="0029039B"/>
    <w:rsid w:val="002911BB"/>
    <w:rsid w:val="002917FF"/>
    <w:rsid w:val="00292633"/>
    <w:rsid w:val="00292A6A"/>
    <w:rsid w:val="00292ADF"/>
    <w:rsid w:val="00293C8C"/>
    <w:rsid w:val="00295263"/>
    <w:rsid w:val="002970DC"/>
    <w:rsid w:val="002A0DEC"/>
    <w:rsid w:val="002A21E7"/>
    <w:rsid w:val="002A23E5"/>
    <w:rsid w:val="002A31BC"/>
    <w:rsid w:val="002A3A20"/>
    <w:rsid w:val="002A4198"/>
    <w:rsid w:val="002A6410"/>
    <w:rsid w:val="002A6D36"/>
    <w:rsid w:val="002A7205"/>
    <w:rsid w:val="002B05F5"/>
    <w:rsid w:val="002B123F"/>
    <w:rsid w:val="002B1C53"/>
    <w:rsid w:val="002B1DBA"/>
    <w:rsid w:val="002B2BF6"/>
    <w:rsid w:val="002B318C"/>
    <w:rsid w:val="002B48A0"/>
    <w:rsid w:val="002B4A64"/>
    <w:rsid w:val="002B5193"/>
    <w:rsid w:val="002B53A9"/>
    <w:rsid w:val="002B5634"/>
    <w:rsid w:val="002B5FAF"/>
    <w:rsid w:val="002B6B41"/>
    <w:rsid w:val="002B726A"/>
    <w:rsid w:val="002B7775"/>
    <w:rsid w:val="002C0303"/>
    <w:rsid w:val="002C1359"/>
    <w:rsid w:val="002C13F7"/>
    <w:rsid w:val="002C173D"/>
    <w:rsid w:val="002C184B"/>
    <w:rsid w:val="002C2419"/>
    <w:rsid w:val="002C2459"/>
    <w:rsid w:val="002C26AE"/>
    <w:rsid w:val="002C3464"/>
    <w:rsid w:val="002C469F"/>
    <w:rsid w:val="002C604D"/>
    <w:rsid w:val="002C7787"/>
    <w:rsid w:val="002D1376"/>
    <w:rsid w:val="002D159B"/>
    <w:rsid w:val="002D3275"/>
    <w:rsid w:val="002D3C6B"/>
    <w:rsid w:val="002D4A7A"/>
    <w:rsid w:val="002D4F6E"/>
    <w:rsid w:val="002D52F7"/>
    <w:rsid w:val="002D6824"/>
    <w:rsid w:val="002D6AD2"/>
    <w:rsid w:val="002D78C5"/>
    <w:rsid w:val="002D79DE"/>
    <w:rsid w:val="002E016E"/>
    <w:rsid w:val="002E0BE4"/>
    <w:rsid w:val="002E15A8"/>
    <w:rsid w:val="002E1AB4"/>
    <w:rsid w:val="002E224E"/>
    <w:rsid w:val="002E31FD"/>
    <w:rsid w:val="002E3B58"/>
    <w:rsid w:val="002E3C1E"/>
    <w:rsid w:val="002E3E8A"/>
    <w:rsid w:val="002E3F2D"/>
    <w:rsid w:val="002E4493"/>
    <w:rsid w:val="002E4F92"/>
    <w:rsid w:val="002E506E"/>
    <w:rsid w:val="002E5466"/>
    <w:rsid w:val="002E6A6A"/>
    <w:rsid w:val="002F08B0"/>
    <w:rsid w:val="002F156C"/>
    <w:rsid w:val="002F2920"/>
    <w:rsid w:val="002F3397"/>
    <w:rsid w:val="002F3EDB"/>
    <w:rsid w:val="002F4522"/>
    <w:rsid w:val="002F47F2"/>
    <w:rsid w:val="002F5401"/>
    <w:rsid w:val="002F54F7"/>
    <w:rsid w:val="002F5979"/>
    <w:rsid w:val="002F63A8"/>
    <w:rsid w:val="002F6837"/>
    <w:rsid w:val="002F6B9F"/>
    <w:rsid w:val="002F73D8"/>
    <w:rsid w:val="002F7EF3"/>
    <w:rsid w:val="00300F1A"/>
    <w:rsid w:val="003013B9"/>
    <w:rsid w:val="003022B3"/>
    <w:rsid w:val="00302E95"/>
    <w:rsid w:val="0030380D"/>
    <w:rsid w:val="0030533F"/>
    <w:rsid w:val="00305DA4"/>
    <w:rsid w:val="003110AD"/>
    <w:rsid w:val="00311639"/>
    <w:rsid w:val="00312411"/>
    <w:rsid w:val="00313AB7"/>
    <w:rsid w:val="00313FD4"/>
    <w:rsid w:val="003144F7"/>
    <w:rsid w:val="0031546F"/>
    <w:rsid w:val="00315A93"/>
    <w:rsid w:val="0031651D"/>
    <w:rsid w:val="00316756"/>
    <w:rsid w:val="003168F3"/>
    <w:rsid w:val="003169D6"/>
    <w:rsid w:val="00316A69"/>
    <w:rsid w:val="00320F39"/>
    <w:rsid w:val="00321A6B"/>
    <w:rsid w:val="00322384"/>
    <w:rsid w:val="003237A8"/>
    <w:rsid w:val="00323E71"/>
    <w:rsid w:val="003243E2"/>
    <w:rsid w:val="00324DF9"/>
    <w:rsid w:val="003266C0"/>
    <w:rsid w:val="00326772"/>
    <w:rsid w:val="00326F77"/>
    <w:rsid w:val="003300EF"/>
    <w:rsid w:val="003311D0"/>
    <w:rsid w:val="00332D3B"/>
    <w:rsid w:val="00334FC3"/>
    <w:rsid w:val="003352EA"/>
    <w:rsid w:val="00335C1E"/>
    <w:rsid w:val="00336483"/>
    <w:rsid w:val="00337F7B"/>
    <w:rsid w:val="003401B0"/>
    <w:rsid w:val="003405B3"/>
    <w:rsid w:val="003417DF"/>
    <w:rsid w:val="00341881"/>
    <w:rsid w:val="003425F7"/>
    <w:rsid w:val="00342F96"/>
    <w:rsid w:val="003431C9"/>
    <w:rsid w:val="00343FBF"/>
    <w:rsid w:val="003442E1"/>
    <w:rsid w:val="00344DC4"/>
    <w:rsid w:val="00345727"/>
    <w:rsid w:val="00345CC2"/>
    <w:rsid w:val="00346148"/>
    <w:rsid w:val="00346C8E"/>
    <w:rsid w:val="00346DFB"/>
    <w:rsid w:val="00347215"/>
    <w:rsid w:val="00347848"/>
    <w:rsid w:val="00347A4E"/>
    <w:rsid w:val="00350148"/>
    <w:rsid w:val="00350355"/>
    <w:rsid w:val="0035064C"/>
    <w:rsid w:val="003514F3"/>
    <w:rsid w:val="00352002"/>
    <w:rsid w:val="00353E8D"/>
    <w:rsid w:val="003570D9"/>
    <w:rsid w:val="00357CF8"/>
    <w:rsid w:val="00360FFE"/>
    <w:rsid w:val="003612DB"/>
    <w:rsid w:val="003615E1"/>
    <w:rsid w:val="0036223F"/>
    <w:rsid w:val="003632E0"/>
    <w:rsid w:val="003640A3"/>
    <w:rsid w:val="003659BC"/>
    <w:rsid w:val="00367BD5"/>
    <w:rsid w:val="00367F26"/>
    <w:rsid w:val="00370B8F"/>
    <w:rsid w:val="003724DE"/>
    <w:rsid w:val="003725D4"/>
    <w:rsid w:val="0037293E"/>
    <w:rsid w:val="00372FF1"/>
    <w:rsid w:val="00375465"/>
    <w:rsid w:val="00376613"/>
    <w:rsid w:val="003773DF"/>
    <w:rsid w:val="00377857"/>
    <w:rsid w:val="00377C8C"/>
    <w:rsid w:val="0038263B"/>
    <w:rsid w:val="00382A65"/>
    <w:rsid w:val="00383FAD"/>
    <w:rsid w:val="00384674"/>
    <w:rsid w:val="00384E7B"/>
    <w:rsid w:val="00385ADF"/>
    <w:rsid w:val="00387531"/>
    <w:rsid w:val="00390327"/>
    <w:rsid w:val="003903B5"/>
    <w:rsid w:val="00390720"/>
    <w:rsid w:val="00392417"/>
    <w:rsid w:val="00392B6B"/>
    <w:rsid w:val="00393B78"/>
    <w:rsid w:val="0039476F"/>
    <w:rsid w:val="003955F3"/>
    <w:rsid w:val="00395679"/>
    <w:rsid w:val="00395C6A"/>
    <w:rsid w:val="003962D3"/>
    <w:rsid w:val="00397344"/>
    <w:rsid w:val="003A01E9"/>
    <w:rsid w:val="003A06F4"/>
    <w:rsid w:val="003A0B01"/>
    <w:rsid w:val="003A1440"/>
    <w:rsid w:val="003A376D"/>
    <w:rsid w:val="003A4E18"/>
    <w:rsid w:val="003A5187"/>
    <w:rsid w:val="003A5325"/>
    <w:rsid w:val="003A67DF"/>
    <w:rsid w:val="003A7097"/>
    <w:rsid w:val="003A765C"/>
    <w:rsid w:val="003A77CC"/>
    <w:rsid w:val="003A7E1C"/>
    <w:rsid w:val="003A7F7A"/>
    <w:rsid w:val="003B18B6"/>
    <w:rsid w:val="003B1CF6"/>
    <w:rsid w:val="003B3B0C"/>
    <w:rsid w:val="003B3B45"/>
    <w:rsid w:val="003B4E2E"/>
    <w:rsid w:val="003B7CA6"/>
    <w:rsid w:val="003C0249"/>
    <w:rsid w:val="003C0306"/>
    <w:rsid w:val="003C0600"/>
    <w:rsid w:val="003C099B"/>
    <w:rsid w:val="003C0B21"/>
    <w:rsid w:val="003C114C"/>
    <w:rsid w:val="003C294A"/>
    <w:rsid w:val="003C36DA"/>
    <w:rsid w:val="003C3D4D"/>
    <w:rsid w:val="003C465D"/>
    <w:rsid w:val="003C495A"/>
    <w:rsid w:val="003C6184"/>
    <w:rsid w:val="003C6788"/>
    <w:rsid w:val="003C6C3E"/>
    <w:rsid w:val="003D139D"/>
    <w:rsid w:val="003D1A5A"/>
    <w:rsid w:val="003D1C3F"/>
    <w:rsid w:val="003D1F28"/>
    <w:rsid w:val="003D24F9"/>
    <w:rsid w:val="003D29D7"/>
    <w:rsid w:val="003D495D"/>
    <w:rsid w:val="003D4C48"/>
    <w:rsid w:val="003D68E3"/>
    <w:rsid w:val="003D7093"/>
    <w:rsid w:val="003D70C8"/>
    <w:rsid w:val="003D7AB4"/>
    <w:rsid w:val="003E017A"/>
    <w:rsid w:val="003E098E"/>
    <w:rsid w:val="003E1538"/>
    <w:rsid w:val="003E2100"/>
    <w:rsid w:val="003E251D"/>
    <w:rsid w:val="003E263F"/>
    <w:rsid w:val="003E2816"/>
    <w:rsid w:val="003E292E"/>
    <w:rsid w:val="003E2FAE"/>
    <w:rsid w:val="003E3194"/>
    <w:rsid w:val="003E476E"/>
    <w:rsid w:val="003E6D1F"/>
    <w:rsid w:val="003E7532"/>
    <w:rsid w:val="003F263F"/>
    <w:rsid w:val="003F2655"/>
    <w:rsid w:val="003F28EE"/>
    <w:rsid w:val="003F4484"/>
    <w:rsid w:val="003F452B"/>
    <w:rsid w:val="003F5C3E"/>
    <w:rsid w:val="003F6105"/>
    <w:rsid w:val="003F6C3E"/>
    <w:rsid w:val="00400B68"/>
    <w:rsid w:val="00400E2B"/>
    <w:rsid w:val="004017C0"/>
    <w:rsid w:val="0040192D"/>
    <w:rsid w:val="004027CC"/>
    <w:rsid w:val="004042A1"/>
    <w:rsid w:val="004061E4"/>
    <w:rsid w:val="00407CF7"/>
    <w:rsid w:val="00407DB0"/>
    <w:rsid w:val="004108A8"/>
    <w:rsid w:val="0041208D"/>
    <w:rsid w:val="00412A0F"/>
    <w:rsid w:val="004142B8"/>
    <w:rsid w:val="00414494"/>
    <w:rsid w:val="00414C95"/>
    <w:rsid w:val="0041508D"/>
    <w:rsid w:val="004155B5"/>
    <w:rsid w:val="00415ED6"/>
    <w:rsid w:val="00416164"/>
    <w:rsid w:val="00416A6B"/>
    <w:rsid w:val="00417CAF"/>
    <w:rsid w:val="00417E13"/>
    <w:rsid w:val="00420798"/>
    <w:rsid w:val="00420A11"/>
    <w:rsid w:val="0042114B"/>
    <w:rsid w:val="0042116A"/>
    <w:rsid w:val="00422090"/>
    <w:rsid w:val="00422265"/>
    <w:rsid w:val="00422274"/>
    <w:rsid w:val="0042280D"/>
    <w:rsid w:val="00422C62"/>
    <w:rsid w:val="004236E5"/>
    <w:rsid w:val="0042467E"/>
    <w:rsid w:val="0042469E"/>
    <w:rsid w:val="0042526B"/>
    <w:rsid w:val="00425373"/>
    <w:rsid w:val="00425766"/>
    <w:rsid w:val="00425D15"/>
    <w:rsid w:val="00425EB4"/>
    <w:rsid w:val="004304AE"/>
    <w:rsid w:val="00430E7B"/>
    <w:rsid w:val="004314AA"/>
    <w:rsid w:val="0043162C"/>
    <w:rsid w:val="00431F9E"/>
    <w:rsid w:val="004323B9"/>
    <w:rsid w:val="00432D08"/>
    <w:rsid w:val="00433CEC"/>
    <w:rsid w:val="00433DC7"/>
    <w:rsid w:val="00434DEC"/>
    <w:rsid w:val="004350DA"/>
    <w:rsid w:val="0043709C"/>
    <w:rsid w:val="004372B9"/>
    <w:rsid w:val="004373A7"/>
    <w:rsid w:val="0043742C"/>
    <w:rsid w:val="00437D94"/>
    <w:rsid w:val="0044025B"/>
    <w:rsid w:val="0044030C"/>
    <w:rsid w:val="004411B7"/>
    <w:rsid w:val="00441C24"/>
    <w:rsid w:val="00442049"/>
    <w:rsid w:val="00442DC8"/>
    <w:rsid w:val="00442F66"/>
    <w:rsid w:val="00445E6E"/>
    <w:rsid w:val="00446409"/>
    <w:rsid w:val="00446E57"/>
    <w:rsid w:val="0044722C"/>
    <w:rsid w:val="0044737C"/>
    <w:rsid w:val="00447DFC"/>
    <w:rsid w:val="00447F5B"/>
    <w:rsid w:val="004503A0"/>
    <w:rsid w:val="0045095D"/>
    <w:rsid w:val="00452024"/>
    <w:rsid w:val="00452DED"/>
    <w:rsid w:val="00453271"/>
    <w:rsid w:val="00453412"/>
    <w:rsid w:val="00453A9B"/>
    <w:rsid w:val="004569F9"/>
    <w:rsid w:val="004578BB"/>
    <w:rsid w:val="004612C0"/>
    <w:rsid w:val="004631E6"/>
    <w:rsid w:val="00464837"/>
    <w:rsid w:val="004648A4"/>
    <w:rsid w:val="004651FD"/>
    <w:rsid w:val="00465E0C"/>
    <w:rsid w:val="00466A66"/>
    <w:rsid w:val="00466E99"/>
    <w:rsid w:val="00467E74"/>
    <w:rsid w:val="004702E1"/>
    <w:rsid w:val="00471380"/>
    <w:rsid w:val="0047251E"/>
    <w:rsid w:val="00473434"/>
    <w:rsid w:val="0047364A"/>
    <w:rsid w:val="00473B8D"/>
    <w:rsid w:val="00474975"/>
    <w:rsid w:val="0047561E"/>
    <w:rsid w:val="0047633C"/>
    <w:rsid w:val="0047772B"/>
    <w:rsid w:val="00477839"/>
    <w:rsid w:val="004802C9"/>
    <w:rsid w:val="00480EFE"/>
    <w:rsid w:val="004818E0"/>
    <w:rsid w:val="00481B51"/>
    <w:rsid w:val="004828D0"/>
    <w:rsid w:val="00482CB4"/>
    <w:rsid w:val="0048431D"/>
    <w:rsid w:val="00484E62"/>
    <w:rsid w:val="0048543C"/>
    <w:rsid w:val="00485DA3"/>
    <w:rsid w:val="004878A2"/>
    <w:rsid w:val="00490090"/>
    <w:rsid w:val="00490AFE"/>
    <w:rsid w:val="00490EBC"/>
    <w:rsid w:val="0049274E"/>
    <w:rsid w:val="00492E8F"/>
    <w:rsid w:val="00493E5A"/>
    <w:rsid w:val="004948F7"/>
    <w:rsid w:val="00494BFA"/>
    <w:rsid w:val="00494F0D"/>
    <w:rsid w:val="0049676D"/>
    <w:rsid w:val="00496BFD"/>
    <w:rsid w:val="00496C00"/>
    <w:rsid w:val="00496CDC"/>
    <w:rsid w:val="004970FA"/>
    <w:rsid w:val="00497AB1"/>
    <w:rsid w:val="004A1892"/>
    <w:rsid w:val="004A225C"/>
    <w:rsid w:val="004A3DCB"/>
    <w:rsid w:val="004A3DF2"/>
    <w:rsid w:val="004A423A"/>
    <w:rsid w:val="004A4680"/>
    <w:rsid w:val="004A4C48"/>
    <w:rsid w:val="004A56D0"/>
    <w:rsid w:val="004A5C45"/>
    <w:rsid w:val="004A661D"/>
    <w:rsid w:val="004B0E95"/>
    <w:rsid w:val="004B0ECA"/>
    <w:rsid w:val="004B0EF1"/>
    <w:rsid w:val="004B11A2"/>
    <w:rsid w:val="004B283C"/>
    <w:rsid w:val="004B3067"/>
    <w:rsid w:val="004B3898"/>
    <w:rsid w:val="004B584B"/>
    <w:rsid w:val="004B651D"/>
    <w:rsid w:val="004B6ED3"/>
    <w:rsid w:val="004B737D"/>
    <w:rsid w:val="004C0331"/>
    <w:rsid w:val="004C361D"/>
    <w:rsid w:val="004C4891"/>
    <w:rsid w:val="004C5ACC"/>
    <w:rsid w:val="004C661A"/>
    <w:rsid w:val="004C6B80"/>
    <w:rsid w:val="004C71EC"/>
    <w:rsid w:val="004C7455"/>
    <w:rsid w:val="004D0839"/>
    <w:rsid w:val="004D0EFC"/>
    <w:rsid w:val="004D1001"/>
    <w:rsid w:val="004D2C89"/>
    <w:rsid w:val="004D38BD"/>
    <w:rsid w:val="004D3F3D"/>
    <w:rsid w:val="004D3FF8"/>
    <w:rsid w:val="004D4522"/>
    <w:rsid w:val="004D566F"/>
    <w:rsid w:val="004D5DE9"/>
    <w:rsid w:val="004D6D3B"/>
    <w:rsid w:val="004D6DBA"/>
    <w:rsid w:val="004D7250"/>
    <w:rsid w:val="004D7E61"/>
    <w:rsid w:val="004E38B9"/>
    <w:rsid w:val="004E3932"/>
    <w:rsid w:val="004E41C2"/>
    <w:rsid w:val="004E494E"/>
    <w:rsid w:val="004E58AB"/>
    <w:rsid w:val="004E5B06"/>
    <w:rsid w:val="004E78DA"/>
    <w:rsid w:val="004F0B71"/>
    <w:rsid w:val="004F1CFB"/>
    <w:rsid w:val="004F1E79"/>
    <w:rsid w:val="004F3C50"/>
    <w:rsid w:val="004F3EE9"/>
    <w:rsid w:val="004F40D3"/>
    <w:rsid w:val="004F4862"/>
    <w:rsid w:val="004F5C70"/>
    <w:rsid w:val="004F5F33"/>
    <w:rsid w:val="004F6537"/>
    <w:rsid w:val="004F6A4D"/>
    <w:rsid w:val="004F72DA"/>
    <w:rsid w:val="004F7551"/>
    <w:rsid w:val="004F7C81"/>
    <w:rsid w:val="00500B1C"/>
    <w:rsid w:val="00500D6C"/>
    <w:rsid w:val="0050103A"/>
    <w:rsid w:val="005017BD"/>
    <w:rsid w:val="00501A95"/>
    <w:rsid w:val="00502143"/>
    <w:rsid w:val="005033EA"/>
    <w:rsid w:val="0050358E"/>
    <w:rsid w:val="005044A8"/>
    <w:rsid w:val="00504945"/>
    <w:rsid w:val="005053DD"/>
    <w:rsid w:val="0050766F"/>
    <w:rsid w:val="00507A90"/>
    <w:rsid w:val="00511B0F"/>
    <w:rsid w:val="005126AA"/>
    <w:rsid w:val="0051289B"/>
    <w:rsid w:val="00513256"/>
    <w:rsid w:val="005135AE"/>
    <w:rsid w:val="005138F8"/>
    <w:rsid w:val="00514648"/>
    <w:rsid w:val="00516197"/>
    <w:rsid w:val="00516331"/>
    <w:rsid w:val="005168E3"/>
    <w:rsid w:val="00517279"/>
    <w:rsid w:val="0052001A"/>
    <w:rsid w:val="00520655"/>
    <w:rsid w:val="00521FF5"/>
    <w:rsid w:val="00525588"/>
    <w:rsid w:val="0052585A"/>
    <w:rsid w:val="0052720E"/>
    <w:rsid w:val="005274F9"/>
    <w:rsid w:val="0052791A"/>
    <w:rsid w:val="005301BE"/>
    <w:rsid w:val="00531F5A"/>
    <w:rsid w:val="00534C5D"/>
    <w:rsid w:val="00535921"/>
    <w:rsid w:val="005362C1"/>
    <w:rsid w:val="0053749D"/>
    <w:rsid w:val="0054083A"/>
    <w:rsid w:val="00540924"/>
    <w:rsid w:val="005424B2"/>
    <w:rsid w:val="00543E69"/>
    <w:rsid w:val="0054584F"/>
    <w:rsid w:val="00545DCB"/>
    <w:rsid w:val="00546355"/>
    <w:rsid w:val="00546C80"/>
    <w:rsid w:val="0055118F"/>
    <w:rsid w:val="00551382"/>
    <w:rsid w:val="00551A1C"/>
    <w:rsid w:val="0055341D"/>
    <w:rsid w:val="0055388E"/>
    <w:rsid w:val="00555FDD"/>
    <w:rsid w:val="0055616B"/>
    <w:rsid w:val="00556833"/>
    <w:rsid w:val="00560169"/>
    <w:rsid w:val="0056175C"/>
    <w:rsid w:val="00561B9B"/>
    <w:rsid w:val="00561BB0"/>
    <w:rsid w:val="00562A87"/>
    <w:rsid w:val="00562EF1"/>
    <w:rsid w:val="00564502"/>
    <w:rsid w:val="00564D43"/>
    <w:rsid w:val="00564D79"/>
    <w:rsid w:val="00567D85"/>
    <w:rsid w:val="005702B8"/>
    <w:rsid w:val="0057064B"/>
    <w:rsid w:val="005714EF"/>
    <w:rsid w:val="00572551"/>
    <w:rsid w:val="0057296A"/>
    <w:rsid w:val="00572CA6"/>
    <w:rsid w:val="00572DF0"/>
    <w:rsid w:val="00574323"/>
    <w:rsid w:val="005754AE"/>
    <w:rsid w:val="00577FB5"/>
    <w:rsid w:val="00581267"/>
    <w:rsid w:val="00583BE5"/>
    <w:rsid w:val="00583DD0"/>
    <w:rsid w:val="005852D1"/>
    <w:rsid w:val="0058575D"/>
    <w:rsid w:val="0058669A"/>
    <w:rsid w:val="00587A22"/>
    <w:rsid w:val="00590997"/>
    <w:rsid w:val="00592084"/>
    <w:rsid w:val="0059299D"/>
    <w:rsid w:val="00592E72"/>
    <w:rsid w:val="00593980"/>
    <w:rsid w:val="00593B41"/>
    <w:rsid w:val="00593F53"/>
    <w:rsid w:val="005942B0"/>
    <w:rsid w:val="0059549F"/>
    <w:rsid w:val="00595C8C"/>
    <w:rsid w:val="0059640E"/>
    <w:rsid w:val="00596C21"/>
    <w:rsid w:val="00597747"/>
    <w:rsid w:val="00597B2A"/>
    <w:rsid w:val="005A2323"/>
    <w:rsid w:val="005A282B"/>
    <w:rsid w:val="005A4C3B"/>
    <w:rsid w:val="005A4CDD"/>
    <w:rsid w:val="005A6BE1"/>
    <w:rsid w:val="005B10A1"/>
    <w:rsid w:val="005B1BF9"/>
    <w:rsid w:val="005B1D69"/>
    <w:rsid w:val="005B37F1"/>
    <w:rsid w:val="005B5141"/>
    <w:rsid w:val="005B57E4"/>
    <w:rsid w:val="005B5ABD"/>
    <w:rsid w:val="005B6446"/>
    <w:rsid w:val="005B741B"/>
    <w:rsid w:val="005B7CE5"/>
    <w:rsid w:val="005C0554"/>
    <w:rsid w:val="005C140A"/>
    <w:rsid w:val="005C1E52"/>
    <w:rsid w:val="005C2525"/>
    <w:rsid w:val="005C28B1"/>
    <w:rsid w:val="005C5C66"/>
    <w:rsid w:val="005C5D6B"/>
    <w:rsid w:val="005C664E"/>
    <w:rsid w:val="005C6763"/>
    <w:rsid w:val="005C770E"/>
    <w:rsid w:val="005C7FA2"/>
    <w:rsid w:val="005D07A1"/>
    <w:rsid w:val="005D1FFA"/>
    <w:rsid w:val="005D2685"/>
    <w:rsid w:val="005D300E"/>
    <w:rsid w:val="005D3164"/>
    <w:rsid w:val="005D38E6"/>
    <w:rsid w:val="005D3A4D"/>
    <w:rsid w:val="005D4BA3"/>
    <w:rsid w:val="005D505F"/>
    <w:rsid w:val="005D5E05"/>
    <w:rsid w:val="005D6270"/>
    <w:rsid w:val="005D6613"/>
    <w:rsid w:val="005D6A21"/>
    <w:rsid w:val="005D74F6"/>
    <w:rsid w:val="005D74FA"/>
    <w:rsid w:val="005E0344"/>
    <w:rsid w:val="005E0787"/>
    <w:rsid w:val="005E14CD"/>
    <w:rsid w:val="005E1A3A"/>
    <w:rsid w:val="005E208B"/>
    <w:rsid w:val="005E24F0"/>
    <w:rsid w:val="005E2D4B"/>
    <w:rsid w:val="005E40D7"/>
    <w:rsid w:val="005E440B"/>
    <w:rsid w:val="005E4A07"/>
    <w:rsid w:val="005E6124"/>
    <w:rsid w:val="005F0C91"/>
    <w:rsid w:val="005F148E"/>
    <w:rsid w:val="005F168A"/>
    <w:rsid w:val="005F22C5"/>
    <w:rsid w:val="005F25BB"/>
    <w:rsid w:val="005F2A15"/>
    <w:rsid w:val="005F2B77"/>
    <w:rsid w:val="005F2C85"/>
    <w:rsid w:val="005F2E6F"/>
    <w:rsid w:val="005F3918"/>
    <w:rsid w:val="005F3A8A"/>
    <w:rsid w:val="005F3BC3"/>
    <w:rsid w:val="005F414E"/>
    <w:rsid w:val="005F42BA"/>
    <w:rsid w:val="005F5578"/>
    <w:rsid w:val="005F5B18"/>
    <w:rsid w:val="005F6611"/>
    <w:rsid w:val="005F675E"/>
    <w:rsid w:val="005F6813"/>
    <w:rsid w:val="005F6D65"/>
    <w:rsid w:val="005F7411"/>
    <w:rsid w:val="005F7ADA"/>
    <w:rsid w:val="00601034"/>
    <w:rsid w:val="0060180E"/>
    <w:rsid w:val="00601901"/>
    <w:rsid w:val="00601B77"/>
    <w:rsid w:val="006022BF"/>
    <w:rsid w:val="00603888"/>
    <w:rsid w:val="006047AA"/>
    <w:rsid w:val="00605213"/>
    <w:rsid w:val="00605ADB"/>
    <w:rsid w:val="00606A67"/>
    <w:rsid w:val="006102BF"/>
    <w:rsid w:val="006103DE"/>
    <w:rsid w:val="00610B08"/>
    <w:rsid w:val="00611C9F"/>
    <w:rsid w:val="00612259"/>
    <w:rsid w:val="006138BE"/>
    <w:rsid w:val="0061455D"/>
    <w:rsid w:val="00614C1E"/>
    <w:rsid w:val="00615D0B"/>
    <w:rsid w:val="00616439"/>
    <w:rsid w:val="00617458"/>
    <w:rsid w:val="00617BA8"/>
    <w:rsid w:val="00617C8A"/>
    <w:rsid w:val="00617E87"/>
    <w:rsid w:val="0062064A"/>
    <w:rsid w:val="006235B6"/>
    <w:rsid w:val="00624505"/>
    <w:rsid w:val="006248DE"/>
    <w:rsid w:val="0062558D"/>
    <w:rsid w:val="00627555"/>
    <w:rsid w:val="006278A4"/>
    <w:rsid w:val="00627CE4"/>
    <w:rsid w:val="00631B8C"/>
    <w:rsid w:val="00631E29"/>
    <w:rsid w:val="006322A0"/>
    <w:rsid w:val="00632731"/>
    <w:rsid w:val="00634CD5"/>
    <w:rsid w:val="00635B29"/>
    <w:rsid w:val="006360B1"/>
    <w:rsid w:val="006361FD"/>
    <w:rsid w:val="00637F57"/>
    <w:rsid w:val="00641053"/>
    <w:rsid w:val="006414B0"/>
    <w:rsid w:val="00641608"/>
    <w:rsid w:val="00641805"/>
    <w:rsid w:val="006421D9"/>
    <w:rsid w:val="0064226F"/>
    <w:rsid w:val="00642DDB"/>
    <w:rsid w:val="00643A20"/>
    <w:rsid w:val="00644231"/>
    <w:rsid w:val="00645CDC"/>
    <w:rsid w:val="00646626"/>
    <w:rsid w:val="0064680E"/>
    <w:rsid w:val="006501F5"/>
    <w:rsid w:val="00651733"/>
    <w:rsid w:val="00651B40"/>
    <w:rsid w:val="00651E30"/>
    <w:rsid w:val="006526EB"/>
    <w:rsid w:val="00653298"/>
    <w:rsid w:val="006535D2"/>
    <w:rsid w:val="0065422E"/>
    <w:rsid w:val="00655A69"/>
    <w:rsid w:val="00655D64"/>
    <w:rsid w:val="006568B3"/>
    <w:rsid w:val="00657530"/>
    <w:rsid w:val="00660EAC"/>
    <w:rsid w:val="0066123F"/>
    <w:rsid w:val="006618ED"/>
    <w:rsid w:val="0066228C"/>
    <w:rsid w:val="006626B4"/>
    <w:rsid w:val="00663A7C"/>
    <w:rsid w:val="00663FF0"/>
    <w:rsid w:val="00665551"/>
    <w:rsid w:val="0066626E"/>
    <w:rsid w:val="00667544"/>
    <w:rsid w:val="00667AC9"/>
    <w:rsid w:val="00667DF2"/>
    <w:rsid w:val="00670DF1"/>
    <w:rsid w:val="006711DB"/>
    <w:rsid w:val="00671345"/>
    <w:rsid w:val="00672A9B"/>
    <w:rsid w:val="00672E93"/>
    <w:rsid w:val="0067585A"/>
    <w:rsid w:val="00675862"/>
    <w:rsid w:val="00675884"/>
    <w:rsid w:val="00675A35"/>
    <w:rsid w:val="00675D7F"/>
    <w:rsid w:val="0067616F"/>
    <w:rsid w:val="00676B3C"/>
    <w:rsid w:val="00676B96"/>
    <w:rsid w:val="00677044"/>
    <w:rsid w:val="006806FE"/>
    <w:rsid w:val="00681550"/>
    <w:rsid w:val="00681C52"/>
    <w:rsid w:val="00681D75"/>
    <w:rsid w:val="006827B4"/>
    <w:rsid w:val="00683192"/>
    <w:rsid w:val="00684863"/>
    <w:rsid w:val="00684C6E"/>
    <w:rsid w:val="00685C36"/>
    <w:rsid w:val="00685C9D"/>
    <w:rsid w:val="0068636A"/>
    <w:rsid w:val="006868AF"/>
    <w:rsid w:val="00686CA5"/>
    <w:rsid w:val="00687CC0"/>
    <w:rsid w:val="00690F7F"/>
    <w:rsid w:val="00691CB7"/>
    <w:rsid w:val="00692290"/>
    <w:rsid w:val="006922AB"/>
    <w:rsid w:val="006928B5"/>
    <w:rsid w:val="00692A32"/>
    <w:rsid w:val="00694265"/>
    <w:rsid w:val="006950EC"/>
    <w:rsid w:val="006953D0"/>
    <w:rsid w:val="00696EE0"/>
    <w:rsid w:val="00697980"/>
    <w:rsid w:val="006A0020"/>
    <w:rsid w:val="006A1790"/>
    <w:rsid w:val="006A1794"/>
    <w:rsid w:val="006A19EF"/>
    <w:rsid w:val="006A1E50"/>
    <w:rsid w:val="006A215F"/>
    <w:rsid w:val="006A413E"/>
    <w:rsid w:val="006A4333"/>
    <w:rsid w:val="006A43D5"/>
    <w:rsid w:val="006A525B"/>
    <w:rsid w:val="006A6CA6"/>
    <w:rsid w:val="006A789F"/>
    <w:rsid w:val="006A7B8B"/>
    <w:rsid w:val="006B0379"/>
    <w:rsid w:val="006B07C7"/>
    <w:rsid w:val="006B2C10"/>
    <w:rsid w:val="006B2F57"/>
    <w:rsid w:val="006B4841"/>
    <w:rsid w:val="006B49AD"/>
    <w:rsid w:val="006B4C9F"/>
    <w:rsid w:val="006B4DA9"/>
    <w:rsid w:val="006B7392"/>
    <w:rsid w:val="006C0285"/>
    <w:rsid w:val="006C045F"/>
    <w:rsid w:val="006C0CC2"/>
    <w:rsid w:val="006C234C"/>
    <w:rsid w:val="006C26AF"/>
    <w:rsid w:val="006C3196"/>
    <w:rsid w:val="006C4196"/>
    <w:rsid w:val="006C5007"/>
    <w:rsid w:val="006C63B0"/>
    <w:rsid w:val="006C6F03"/>
    <w:rsid w:val="006C7099"/>
    <w:rsid w:val="006C76A2"/>
    <w:rsid w:val="006C777F"/>
    <w:rsid w:val="006C792E"/>
    <w:rsid w:val="006D08F5"/>
    <w:rsid w:val="006D116C"/>
    <w:rsid w:val="006D172E"/>
    <w:rsid w:val="006D1B7A"/>
    <w:rsid w:val="006D2182"/>
    <w:rsid w:val="006D2434"/>
    <w:rsid w:val="006D5DFB"/>
    <w:rsid w:val="006D71D2"/>
    <w:rsid w:val="006D7411"/>
    <w:rsid w:val="006D74C0"/>
    <w:rsid w:val="006D7ED8"/>
    <w:rsid w:val="006E0056"/>
    <w:rsid w:val="006E076F"/>
    <w:rsid w:val="006E0C4C"/>
    <w:rsid w:val="006E0ECF"/>
    <w:rsid w:val="006E192B"/>
    <w:rsid w:val="006E2B2B"/>
    <w:rsid w:val="006E3CF7"/>
    <w:rsid w:val="006E3CFD"/>
    <w:rsid w:val="006E4498"/>
    <w:rsid w:val="006E46CF"/>
    <w:rsid w:val="006E5082"/>
    <w:rsid w:val="006E54F6"/>
    <w:rsid w:val="006E628A"/>
    <w:rsid w:val="006E6A4C"/>
    <w:rsid w:val="006E7C42"/>
    <w:rsid w:val="006F1518"/>
    <w:rsid w:val="006F15C2"/>
    <w:rsid w:val="006F168A"/>
    <w:rsid w:val="006F20EC"/>
    <w:rsid w:val="006F224B"/>
    <w:rsid w:val="006F4CC8"/>
    <w:rsid w:val="006F5076"/>
    <w:rsid w:val="006F6009"/>
    <w:rsid w:val="006F62D3"/>
    <w:rsid w:val="00700B25"/>
    <w:rsid w:val="0070321D"/>
    <w:rsid w:val="0070387C"/>
    <w:rsid w:val="00703E84"/>
    <w:rsid w:val="00704122"/>
    <w:rsid w:val="00704BE7"/>
    <w:rsid w:val="00704DF2"/>
    <w:rsid w:val="007055D4"/>
    <w:rsid w:val="007068BA"/>
    <w:rsid w:val="00706AE2"/>
    <w:rsid w:val="0071067F"/>
    <w:rsid w:val="00711125"/>
    <w:rsid w:val="00711E8C"/>
    <w:rsid w:val="007133B1"/>
    <w:rsid w:val="00713905"/>
    <w:rsid w:val="00714E63"/>
    <w:rsid w:val="0071501A"/>
    <w:rsid w:val="0071552C"/>
    <w:rsid w:val="00715A16"/>
    <w:rsid w:val="007163AB"/>
    <w:rsid w:val="00716AB1"/>
    <w:rsid w:val="00717683"/>
    <w:rsid w:val="00717ABB"/>
    <w:rsid w:val="00717E83"/>
    <w:rsid w:val="00717EFC"/>
    <w:rsid w:val="00717F33"/>
    <w:rsid w:val="0072146B"/>
    <w:rsid w:val="00721D29"/>
    <w:rsid w:val="00721D63"/>
    <w:rsid w:val="007221DE"/>
    <w:rsid w:val="00722A37"/>
    <w:rsid w:val="00722BB9"/>
    <w:rsid w:val="007250C8"/>
    <w:rsid w:val="00725212"/>
    <w:rsid w:val="00725CF1"/>
    <w:rsid w:val="00727393"/>
    <w:rsid w:val="0072771C"/>
    <w:rsid w:val="00727D63"/>
    <w:rsid w:val="00727ED6"/>
    <w:rsid w:val="007315D5"/>
    <w:rsid w:val="00731C01"/>
    <w:rsid w:val="007320CB"/>
    <w:rsid w:val="00732C7B"/>
    <w:rsid w:val="0073334C"/>
    <w:rsid w:val="00733512"/>
    <w:rsid w:val="00734D2B"/>
    <w:rsid w:val="0073643D"/>
    <w:rsid w:val="00736605"/>
    <w:rsid w:val="00737705"/>
    <w:rsid w:val="00737BA4"/>
    <w:rsid w:val="007400A1"/>
    <w:rsid w:val="007408D4"/>
    <w:rsid w:val="00741DBE"/>
    <w:rsid w:val="00741FD8"/>
    <w:rsid w:val="007420AC"/>
    <w:rsid w:val="00742617"/>
    <w:rsid w:val="00753684"/>
    <w:rsid w:val="00753803"/>
    <w:rsid w:val="00753ACC"/>
    <w:rsid w:val="007559D9"/>
    <w:rsid w:val="00755E7C"/>
    <w:rsid w:val="007560B9"/>
    <w:rsid w:val="00761371"/>
    <w:rsid w:val="00762BF5"/>
    <w:rsid w:val="00763249"/>
    <w:rsid w:val="00763716"/>
    <w:rsid w:val="00764FA2"/>
    <w:rsid w:val="0076609B"/>
    <w:rsid w:val="007664AF"/>
    <w:rsid w:val="00766FC5"/>
    <w:rsid w:val="00767839"/>
    <w:rsid w:val="00767A9F"/>
    <w:rsid w:val="00770226"/>
    <w:rsid w:val="0077073E"/>
    <w:rsid w:val="0077301C"/>
    <w:rsid w:val="007736DE"/>
    <w:rsid w:val="00774BF0"/>
    <w:rsid w:val="007752D4"/>
    <w:rsid w:val="0077590E"/>
    <w:rsid w:val="00775AC5"/>
    <w:rsid w:val="00775D6B"/>
    <w:rsid w:val="00777131"/>
    <w:rsid w:val="00777487"/>
    <w:rsid w:val="00777C50"/>
    <w:rsid w:val="00777EF9"/>
    <w:rsid w:val="00780610"/>
    <w:rsid w:val="00782A16"/>
    <w:rsid w:val="00783948"/>
    <w:rsid w:val="00783AFA"/>
    <w:rsid w:val="007841B9"/>
    <w:rsid w:val="00785427"/>
    <w:rsid w:val="00785BB2"/>
    <w:rsid w:val="007869A5"/>
    <w:rsid w:val="00787474"/>
    <w:rsid w:val="00790540"/>
    <w:rsid w:val="00792C1D"/>
    <w:rsid w:val="00794816"/>
    <w:rsid w:val="00794D80"/>
    <w:rsid w:val="00796068"/>
    <w:rsid w:val="007968CA"/>
    <w:rsid w:val="00796DAB"/>
    <w:rsid w:val="007A036B"/>
    <w:rsid w:val="007A0D27"/>
    <w:rsid w:val="007A2B36"/>
    <w:rsid w:val="007A39BC"/>
    <w:rsid w:val="007A4002"/>
    <w:rsid w:val="007A43FF"/>
    <w:rsid w:val="007A4F7C"/>
    <w:rsid w:val="007A6560"/>
    <w:rsid w:val="007A658F"/>
    <w:rsid w:val="007A6697"/>
    <w:rsid w:val="007A6836"/>
    <w:rsid w:val="007B26AF"/>
    <w:rsid w:val="007B2C58"/>
    <w:rsid w:val="007B3918"/>
    <w:rsid w:val="007B4EC9"/>
    <w:rsid w:val="007B5E80"/>
    <w:rsid w:val="007B61CD"/>
    <w:rsid w:val="007B6864"/>
    <w:rsid w:val="007B7CC2"/>
    <w:rsid w:val="007B7EE0"/>
    <w:rsid w:val="007C1020"/>
    <w:rsid w:val="007C1124"/>
    <w:rsid w:val="007C1EF4"/>
    <w:rsid w:val="007C330F"/>
    <w:rsid w:val="007C382A"/>
    <w:rsid w:val="007C3C1D"/>
    <w:rsid w:val="007C45CD"/>
    <w:rsid w:val="007C5547"/>
    <w:rsid w:val="007C5656"/>
    <w:rsid w:val="007C7856"/>
    <w:rsid w:val="007C7C37"/>
    <w:rsid w:val="007D00FE"/>
    <w:rsid w:val="007D0CA8"/>
    <w:rsid w:val="007D199A"/>
    <w:rsid w:val="007D1A0D"/>
    <w:rsid w:val="007D1ADA"/>
    <w:rsid w:val="007D2EBE"/>
    <w:rsid w:val="007D3973"/>
    <w:rsid w:val="007D5270"/>
    <w:rsid w:val="007D5CED"/>
    <w:rsid w:val="007E1C07"/>
    <w:rsid w:val="007E2163"/>
    <w:rsid w:val="007E24A9"/>
    <w:rsid w:val="007E3AA4"/>
    <w:rsid w:val="007E7240"/>
    <w:rsid w:val="007E759C"/>
    <w:rsid w:val="007E7721"/>
    <w:rsid w:val="007F0120"/>
    <w:rsid w:val="007F1B21"/>
    <w:rsid w:val="007F24B6"/>
    <w:rsid w:val="007F32D9"/>
    <w:rsid w:val="007F70AC"/>
    <w:rsid w:val="007F7320"/>
    <w:rsid w:val="008005DD"/>
    <w:rsid w:val="00800D70"/>
    <w:rsid w:val="008029EF"/>
    <w:rsid w:val="00803CE4"/>
    <w:rsid w:val="00803D94"/>
    <w:rsid w:val="00806208"/>
    <w:rsid w:val="00806410"/>
    <w:rsid w:val="00806594"/>
    <w:rsid w:val="00806B97"/>
    <w:rsid w:val="00811CC1"/>
    <w:rsid w:val="008125D9"/>
    <w:rsid w:val="00812D5E"/>
    <w:rsid w:val="0081423D"/>
    <w:rsid w:val="0081514B"/>
    <w:rsid w:val="00815B93"/>
    <w:rsid w:val="008165DC"/>
    <w:rsid w:val="008229BA"/>
    <w:rsid w:val="00822E76"/>
    <w:rsid w:val="00823354"/>
    <w:rsid w:val="00823B38"/>
    <w:rsid w:val="00824151"/>
    <w:rsid w:val="008243D6"/>
    <w:rsid w:val="008245C5"/>
    <w:rsid w:val="00824F32"/>
    <w:rsid w:val="008255D1"/>
    <w:rsid w:val="00825DDC"/>
    <w:rsid w:val="00825E62"/>
    <w:rsid w:val="00826673"/>
    <w:rsid w:val="008305D4"/>
    <w:rsid w:val="00830B76"/>
    <w:rsid w:val="00831488"/>
    <w:rsid w:val="00831E7D"/>
    <w:rsid w:val="00832C8E"/>
    <w:rsid w:val="00834236"/>
    <w:rsid w:val="00837159"/>
    <w:rsid w:val="0084208E"/>
    <w:rsid w:val="0084243B"/>
    <w:rsid w:val="00843E77"/>
    <w:rsid w:val="00845390"/>
    <w:rsid w:val="008457C5"/>
    <w:rsid w:val="0084601B"/>
    <w:rsid w:val="00846AEB"/>
    <w:rsid w:val="00847291"/>
    <w:rsid w:val="0084779D"/>
    <w:rsid w:val="008503F3"/>
    <w:rsid w:val="00850B32"/>
    <w:rsid w:val="00850D68"/>
    <w:rsid w:val="0085125A"/>
    <w:rsid w:val="008520B2"/>
    <w:rsid w:val="008529D1"/>
    <w:rsid w:val="00853029"/>
    <w:rsid w:val="0085349D"/>
    <w:rsid w:val="00853D27"/>
    <w:rsid w:val="00855DD0"/>
    <w:rsid w:val="00856C29"/>
    <w:rsid w:val="00857E4B"/>
    <w:rsid w:val="00860080"/>
    <w:rsid w:val="00860439"/>
    <w:rsid w:val="008606F0"/>
    <w:rsid w:val="008614F8"/>
    <w:rsid w:val="00862075"/>
    <w:rsid w:val="00862363"/>
    <w:rsid w:val="0086261D"/>
    <w:rsid w:val="0086282E"/>
    <w:rsid w:val="008630E9"/>
    <w:rsid w:val="00863B5C"/>
    <w:rsid w:val="008648B2"/>
    <w:rsid w:val="00865489"/>
    <w:rsid w:val="0086553D"/>
    <w:rsid w:val="0086633D"/>
    <w:rsid w:val="00866474"/>
    <w:rsid w:val="00867681"/>
    <w:rsid w:val="00867D33"/>
    <w:rsid w:val="00867E97"/>
    <w:rsid w:val="00870744"/>
    <w:rsid w:val="008718B2"/>
    <w:rsid w:val="00871BD6"/>
    <w:rsid w:val="0087225D"/>
    <w:rsid w:val="00872347"/>
    <w:rsid w:val="00872D60"/>
    <w:rsid w:val="00874158"/>
    <w:rsid w:val="008747E8"/>
    <w:rsid w:val="00874FEB"/>
    <w:rsid w:val="008756F4"/>
    <w:rsid w:val="00875DF0"/>
    <w:rsid w:val="0087644E"/>
    <w:rsid w:val="00876AB9"/>
    <w:rsid w:val="00880754"/>
    <w:rsid w:val="00880C87"/>
    <w:rsid w:val="00881AC3"/>
    <w:rsid w:val="00881B6F"/>
    <w:rsid w:val="00881F62"/>
    <w:rsid w:val="00882AA4"/>
    <w:rsid w:val="00882F58"/>
    <w:rsid w:val="008834E2"/>
    <w:rsid w:val="00883E22"/>
    <w:rsid w:val="0088431B"/>
    <w:rsid w:val="00884E43"/>
    <w:rsid w:val="00885444"/>
    <w:rsid w:val="00886738"/>
    <w:rsid w:val="00886D17"/>
    <w:rsid w:val="00887EC6"/>
    <w:rsid w:val="00890106"/>
    <w:rsid w:val="0089012A"/>
    <w:rsid w:val="0089084C"/>
    <w:rsid w:val="008910BD"/>
    <w:rsid w:val="00893409"/>
    <w:rsid w:val="00893D9F"/>
    <w:rsid w:val="008946CB"/>
    <w:rsid w:val="00894FF5"/>
    <w:rsid w:val="00895880"/>
    <w:rsid w:val="00896531"/>
    <w:rsid w:val="00896574"/>
    <w:rsid w:val="00896907"/>
    <w:rsid w:val="0089784E"/>
    <w:rsid w:val="008978A7"/>
    <w:rsid w:val="008A1392"/>
    <w:rsid w:val="008A2379"/>
    <w:rsid w:val="008A3042"/>
    <w:rsid w:val="008A405C"/>
    <w:rsid w:val="008A4329"/>
    <w:rsid w:val="008A4C7F"/>
    <w:rsid w:val="008A4E95"/>
    <w:rsid w:val="008A508D"/>
    <w:rsid w:val="008A5369"/>
    <w:rsid w:val="008A578E"/>
    <w:rsid w:val="008A5918"/>
    <w:rsid w:val="008A5BF9"/>
    <w:rsid w:val="008A686F"/>
    <w:rsid w:val="008A7440"/>
    <w:rsid w:val="008A7FE8"/>
    <w:rsid w:val="008B1519"/>
    <w:rsid w:val="008B2309"/>
    <w:rsid w:val="008B315B"/>
    <w:rsid w:val="008B51FF"/>
    <w:rsid w:val="008B5BFF"/>
    <w:rsid w:val="008B6C24"/>
    <w:rsid w:val="008B7BCC"/>
    <w:rsid w:val="008C0479"/>
    <w:rsid w:val="008C0B8E"/>
    <w:rsid w:val="008C1416"/>
    <w:rsid w:val="008C2E0D"/>
    <w:rsid w:val="008C439F"/>
    <w:rsid w:val="008C50C3"/>
    <w:rsid w:val="008C5FA2"/>
    <w:rsid w:val="008C7094"/>
    <w:rsid w:val="008D020F"/>
    <w:rsid w:val="008D0DE4"/>
    <w:rsid w:val="008D1386"/>
    <w:rsid w:val="008D2B97"/>
    <w:rsid w:val="008D2C19"/>
    <w:rsid w:val="008D2FCF"/>
    <w:rsid w:val="008D49A5"/>
    <w:rsid w:val="008D6C81"/>
    <w:rsid w:val="008D6F1C"/>
    <w:rsid w:val="008D78B2"/>
    <w:rsid w:val="008E11AE"/>
    <w:rsid w:val="008E1236"/>
    <w:rsid w:val="008E1DB2"/>
    <w:rsid w:val="008E3660"/>
    <w:rsid w:val="008E3E0B"/>
    <w:rsid w:val="008E3EEF"/>
    <w:rsid w:val="008E552C"/>
    <w:rsid w:val="008E56EF"/>
    <w:rsid w:val="008E678A"/>
    <w:rsid w:val="008E6CF0"/>
    <w:rsid w:val="008E75C7"/>
    <w:rsid w:val="008F1048"/>
    <w:rsid w:val="008F1439"/>
    <w:rsid w:val="008F21FE"/>
    <w:rsid w:val="008F2635"/>
    <w:rsid w:val="008F3AC3"/>
    <w:rsid w:val="008F484C"/>
    <w:rsid w:val="008F5F22"/>
    <w:rsid w:val="008F6262"/>
    <w:rsid w:val="008F7051"/>
    <w:rsid w:val="008F7217"/>
    <w:rsid w:val="008F7E49"/>
    <w:rsid w:val="00900268"/>
    <w:rsid w:val="00901042"/>
    <w:rsid w:val="00902018"/>
    <w:rsid w:val="009022C8"/>
    <w:rsid w:val="009033A9"/>
    <w:rsid w:val="00903B79"/>
    <w:rsid w:val="009051AF"/>
    <w:rsid w:val="0090581D"/>
    <w:rsid w:val="00906975"/>
    <w:rsid w:val="009101B3"/>
    <w:rsid w:val="009105CE"/>
    <w:rsid w:val="0091088C"/>
    <w:rsid w:val="00911DBE"/>
    <w:rsid w:val="009124FE"/>
    <w:rsid w:val="00912A3F"/>
    <w:rsid w:val="00913D22"/>
    <w:rsid w:val="0091439C"/>
    <w:rsid w:val="00914BD6"/>
    <w:rsid w:val="009176F8"/>
    <w:rsid w:val="009200DA"/>
    <w:rsid w:val="009203EC"/>
    <w:rsid w:val="00920572"/>
    <w:rsid w:val="0092088F"/>
    <w:rsid w:val="00920894"/>
    <w:rsid w:val="009208E1"/>
    <w:rsid w:val="00920BF2"/>
    <w:rsid w:val="00921BDD"/>
    <w:rsid w:val="009237D8"/>
    <w:rsid w:val="00923ACF"/>
    <w:rsid w:val="00924072"/>
    <w:rsid w:val="00924E2B"/>
    <w:rsid w:val="0092513F"/>
    <w:rsid w:val="00926430"/>
    <w:rsid w:val="00927EA2"/>
    <w:rsid w:val="00927F04"/>
    <w:rsid w:val="00930EBB"/>
    <w:rsid w:val="009311B5"/>
    <w:rsid w:val="0093363E"/>
    <w:rsid w:val="0093372A"/>
    <w:rsid w:val="009349A9"/>
    <w:rsid w:val="00934CFD"/>
    <w:rsid w:val="00935189"/>
    <w:rsid w:val="0093526E"/>
    <w:rsid w:val="00935D62"/>
    <w:rsid w:val="00936B58"/>
    <w:rsid w:val="00936C52"/>
    <w:rsid w:val="009404FB"/>
    <w:rsid w:val="00940CF1"/>
    <w:rsid w:val="0094253C"/>
    <w:rsid w:val="00943881"/>
    <w:rsid w:val="00943AA6"/>
    <w:rsid w:val="009440F9"/>
    <w:rsid w:val="0094423B"/>
    <w:rsid w:val="00944660"/>
    <w:rsid w:val="0094494A"/>
    <w:rsid w:val="0094553C"/>
    <w:rsid w:val="00945873"/>
    <w:rsid w:val="00945B38"/>
    <w:rsid w:val="00946EEC"/>
    <w:rsid w:val="009476FD"/>
    <w:rsid w:val="00947944"/>
    <w:rsid w:val="00947F26"/>
    <w:rsid w:val="0095046C"/>
    <w:rsid w:val="00950F21"/>
    <w:rsid w:val="0095133A"/>
    <w:rsid w:val="009516D3"/>
    <w:rsid w:val="00953E7E"/>
    <w:rsid w:val="00953F8E"/>
    <w:rsid w:val="0095489B"/>
    <w:rsid w:val="00955254"/>
    <w:rsid w:val="00956235"/>
    <w:rsid w:val="00956972"/>
    <w:rsid w:val="00957CFE"/>
    <w:rsid w:val="00960158"/>
    <w:rsid w:val="009606AC"/>
    <w:rsid w:val="0096113F"/>
    <w:rsid w:val="009613BE"/>
    <w:rsid w:val="0096141A"/>
    <w:rsid w:val="009617EF"/>
    <w:rsid w:val="009618A5"/>
    <w:rsid w:val="00962641"/>
    <w:rsid w:val="00962C5B"/>
    <w:rsid w:val="009633BE"/>
    <w:rsid w:val="009637CC"/>
    <w:rsid w:val="0096512A"/>
    <w:rsid w:val="009656ED"/>
    <w:rsid w:val="00966C18"/>
    <w:rsid w:val="00966FB9"/>
    <w:rsid w:val="009671CD"/>
    <w:rsid w:val="009674A8"/>
    <w:rsid w:val="009711EC"/>
    <w:rsid w:val="00972A15"/>
    <w:rsid w:val="00972F49"/>
    <w:rsid w:val="00973913"/>
    <w:rsid w:val="009750B0"/>
    <w:rsid w:val="009751A9"/>
    <w:rsid w:val="00975D2C"/>
    <w:rsid w:val="0097695E"/>
    <w:rsid w:val="00977CF8"/>
    <w:rsid w:val="00980F9C"/>
    <w:rsid w:val="009847CA"/>
    <w:rsid w:val="00985E87"/>
    <w:rsid w:val="0098632B"/>
    <w:rsid w:val="0098647F"/>
    <w:rsid w:val="00986626"/>
    <w:rsid w:val="00986F7C"/>
    <w:rsid w:val="0099065F"/>
    <w:rsid w:val="009908FB"/>
    <w:rsid w:val="00990BC9"/>
    <w:rsid w:val="0099200C"/>
    <w:rsid w:val="009924C8"/>
    <w:rsid w:val="00992649"/>
    <w:rsid w:val="00994764"/>
    <w:rsid w:val="00994A8A"/>
    <w:rsid w:val="00995049"/>
    <w:rsid w:val="0099697B"/>
    <w:rsid w:val="00996C1F"/>
    <w:rsid w:val="0099731B"/>
    <w:rsid w:val="00997B7A"/>
    <w:rsid w:val="00997BFB"/>
    <w:rsid w:val="009A204E"/>
    <w:rsid w:val="009A27D8"/>
    <w:rsid w:val="009A346E"/>
    <w:rsid w:val="009A3A39"/>
    <w:rsid w:val="009A420A"/>
    <w:rsid w:val="009A475D"/>
    <w:rsid w:val="009A50D3"/>
    <w:rsid w:val="009A583D"/>
    <w:rsid w:val="009A5EF4"/>
    <w:rsid w:val="009A6972"/>
    <w:rsid w:val="009A6AA4"/>
    <w:rsid w:val="009A7348"/>
    <w:rsid w:val="009B029C"/>
    <w:rsid w:val="009B0455"/>
    <w:rsid w:val="009B05BD"/>
    <w:rsid w:val="009B0C2D"/>
    <w:rsid w:val="009B14CE"/>
    <w:rsid w:val="009B1843"/>
    <w:rsid w:val="009B184B"/>
    <w:rsid w:val="009B2056"/>
    <w:rsid w:val="009B44E7"/>
    <w:rsid w:val="009B462C"/>
    <w:rsid w:val="009B5D4F"/>
    <w:rsid w:val="009B6C7B"/>
    <w:rsid w:val="009B6DF2"/>
    <w:rsid w:val="009B6EF9"/>
    <w:rsid w:val="009B7814"/>
    <w:rsid w:val="009B7F3C"/>
    <w:rsid w:val="009C0A71"/>
    <w:rsid w:val="009C15F3"/>
    <w:rsid w:val="009C19B0"/>
    <w:rsid w:val="009C2292"/>
    <w:rsid w:val="009C23CE"/>
    <w:rsid w:val="009C2AD6"/>
    <w:rsid w:val="009C2FD1"/>
    <w:rsid w:val="009C3689"/>
    <w:rsid w:val="009C6CF5"/>
    <w:rsid w:val="009D0405"/>
    <w:rsid w:val="009D0717"/>
    <w:rsid w:val="009D0A10"/>
    <w:rsid w:val="009D10CA"/>
    <w:rsid w:val="009D170F"/>
    <w:rsid w:val="009D19A4"/>
    <w:rsid w:val="009D3D3C"/>
    <w:rsid w:val="009D41EA"/>
    <w:rsid w:val="009D41EF"/>
    <w:rsid w:val="009D45BA"/>
    <w:rsid w:val="009D708D"/>
    <w:rsid w:val="009D7D07"/>
    <w:rsid w:val="009E07C2"/>
    <w:rsid w:val="009E0E52"/>
    <w:rsid w:val="009E1511"/>
    <w:rsid w:val="009E196A"/>
    <w:rsid w:val="009E1FB6"/>
    <w:rsid w:val="009E2119"/>
    <w:rsid w:val="009E34DA"/>
    <w:rsid w:val="009E452E"/>
    <w:rsid w:val="009E47CD"/>
    <w:rsid w:val="009E4A29"/>
    <w:rsid w:val="009E58E5"/>
    <w:rsid w:val="009E7521"/>
    <w:rsid w:val="009F0A48"/>
    <w:rsid w:val="009F11AE"/>
    <w:rsid w:val="009F16F3"/>
    <w:rsid w:val="009F4B4B"/>
    <w:rsid w:val="009F72F9"/>
    <w:rsid w:val="00A00114"/>
    <w:rsid w:val="00A00205"/>
    <w:rsid w:val="00A00AF0"/>
    <w:rsid w:val="00A024C2"/>
    <w:rsid w:val="00A02588"/>
    <w:rsid w:val="00A02D3D"/>
    <w:rsid w:val="00A04F21"/>
    <w:rsid w:val="00A04F71"/>
    <w:rsid w:val="00A05C04"/>
    <w:rsid w:val="00A0667E"/>
    <w:rsid w:val="00A0765D"/>
    <w:rsid w:val="00A114BC"/>
    <w:rsid w:val="00A11D71"/>
    <w:rsid w:val="00A11D89"/>
    <w:rsid w:val="00A12BCD"/>
    <w:rsid w:val="00A1389C"/>
    <w:rsid w:val="00A13938"/>
    <w:rsid w:val="00A144A9"/>
    <w:rsid w:val="00A14B5A"/>
    <w:rsid w:val="00A1576F"/>
    <w:rsid w:val="00A17044"/>
    <w:rsid w:val="00A174D1"/>
    <w:rsid w:val="00A17856"/>
    <w:rsid w:val="00A24D40"/>
    <w:rsid w:val="00A24E0A"/>
    <w:rsid w:val="00A25295"/>
    <w:rsid w:val="00A26AE5"/>
    <w:rsid w:val="00A26DF0"/>
    <w:rsid w:val="00A27F63"/>
    <w:rsid w:val="00A305C8"/>
    <w:rsid w:val="00A30A05"/>
    <w:rsid w:val="00A31823"/>
    <w:rsid w:val="00A31B3A"/>
    <w:rsid w:val="00A32926"/>
    <w:rsid w:val="00A32B40"/>
    <w:rsid w:val="00A32DAC"/>
    <w:rsid w:val="00A32FDF"/>
    <w:rsid w:val="00A3567F"/>
    <w:rsid w:val="00A35ABC"/>
    <w:rsid w:val="00A374CF"/>
    <w:rsid w:val="00A37698"/>
    <w:rsid w:val="00A409F0"/>
    <w:rsid w:val="00A41273"/>
    <w:rsid w:val="00A41E1D"/>
    <w:rsid w:val="00A41ED3"/>
    <w:rsid w:val="00A42AD6"/>
    <w:rsid w:val="00A42E19"/>
    <w:rsid w:val="00A43227"/>
    <w:rsid w:val="00A432AC"/>
    <w:rsid w:val="00A44C53"/>
    <w:rsid w:val="00A50534"/>
    <w:rsid w:val="00A509C9"/>
    <w:rsid w:val="00A50E63"/>
    <w:rsid w:val="00A51FCF"/>
    <w:rsid w:val="00A52152"/>
    <w:rsid w:val="00A52BCA"/>
    <w:rsid w:val="00A5391C"/>
    <w:rsid w:val="00A54BDD"/>
    <w:rsid w:val="00A5507F"/>
    <w:rsid w:val="00A555E4"/>
    <w:rsid w:val="00A55949"/>
    <w:rsid w:val="00A56BDA"/>
    <w:rsid w:val="00A571CE"/>
    <w:rsid w:val="00A60098"/>
    <w:rsid w:val="00A6038C"/>
    <w:rsid w:val="00A612AF"/>
    <w:rsid w:val="00A612D9"/>
    <w:rsid w:val="00A62A3D"/>
    <w:rsid w:val="00A6366B"/>
    <w:rsid w:val="00A64B24"/>
    <w:rsid w:val="00A65197"/>
    <w:rsid w:val="00A6533F"/>
    <w:rsid w:val="00A67F25"/>
    <w:rsid w:val="00A708AF"/>
    <w:rsid w:val="00A70CEF"/>
    <w:rsid w:val="00A71A73"/>
    <w:rsid w:val="00A73002"/>
    <w:rsid w:val="00A74245"/>
    <w:rsid w:val="00A75A5E"/>
    <w:rsid w:val="00A75C40"/>
    <w:rsid w:val="00A81C66"/>
    <w:rsid w:val="00A81D82"/>
    <w:rsid w:val="00A824E0"/>
    <w:rsid w:val="00A82727"/>
    <w:rsid w:val="00A82986"/>
    <w:rsid w:val="00A83783"/>
    <w:rsid w:val="00A84CA1"/>
    <w:rsid w:val="00A852CC"/>
    <w:rsid w:val="00A852F5"/>
    <w:rsid w:val="00A853D7"/>
    <w:rsid w:val="00A85CF9"/>
    <w:rsid w:val="00A87B99"/>
    <w:rsid w:val="00A900F4"/>
    <w:rsid w:val="00A904D7"/>
    <w:rsid w:val="00A9118F"/>
    <w:rsid w:val="00A91B20"/>
    <w:rsid w:val="00A926C1"/>
    <w:rsid w:val="00A93E33"/>
    <w:rsid w:val="00A93F4D"/>
    <w:rsid w:val="00A96932"/>
    <w:rsid w:val="00AA07FC"/>
    <w:rsid w:val="00AA10AD"/>
    <w:rsid w:val="00AA26CE"/>
    <w:rsid w:val="00AA2E2A"/>
    <w:rsid w:val="00AA34A5"/>
    <w:rsid w:val="00AA4526"/>
    <w:rsid w:val="00AA5786"/>
    <w:rsid w:val="00AA5889"/>
    <w:rsid w:val="00AA6001"/>
    <w:rsid w:val="00AA6785"/>
    <w:rsid w:val="00AA78D1"/>
    <w:rsid w:val="00AB063F"/>
    <w:rsid w:val="00AB0D51"/>
    <w:rsid w:val="00AB18A1"/>
    <w:rsid w:val="00AB37B3"/>
    <w:rsid w:val="00AB4519"/>
    <w:rsid w:val="00AB4D66"/>
    <w:rsid w:val="00AB5149"/>
    <w:rsid w:val="00AB6970"/>
    <w:rsid w:val="00AC0AAA"/>
    <w:rsid w:val="00AC1939"/>
    <w:rsid w:val="00AC2B83"/>
    <w:rsid w:val="00AC2E44"/>
    <w:rsid w:val="00AC3F39"/>
    <w:rsid w:val="00AC6687"/>
    <w:rsid w:val="00AC7199"/>
    <w:rsid w:val="00AC77E1"/>
    <w:rsid w:val="00AC7C05"/>
    <w:rsid w:val="00AD167C"/>
    <w:rsid w:val="00AD17C7"/>
    <w:rsid w:val="00AD3C96"/>
    <w:rsid w:val="00AD4041"/>
    <w:rsid w:val="00AD6981"/>
    <w:rsid w:val="00AD7640"/>
    <w:rsid w:val="00AD788B"/>
    <w:rsid w:val="00AD7BA2"/>
    <w:rsid w:val="00AE1674"/>
    <w:rsid w:val="00AE2519"/>
    <w:rsid w:val="00AE302B"/>
    <w:rsid w:val="00AE3759"/>
    <w:rsid w:val="00AE446D"/>
    <w:rsid w:val="00AE5565"/>
    <w:rsid w:val="00AE5E9E"/>
    <w:rsid w:val="00AE6FD6"/>
    <w:rsid w:val="00AE7A27"/>
    <w:rsid w:val="00AF0AB7"/>
    <w:rsid w:val="00AF2759"/>
    <w:rsid w:val="00AF2A84"/>
    <w:rsid w:val="00AF3953"/>
    <w:rsid w:val="00AF427E"/>
    <w:rsid w:val="00AF4F01"/>
    <w:rsid w:val="00AF5131"/>
    <w:rsid w:val="00AF5AF6"/>
    <w:rsid w:val="00AF75CD"/>
    <w:rsid w:val="00B0408C"/>
    <w:rsid w:val="00B04177"/>
    <w:rsid w:val="00B04313"/>
    <w:rsid w:val="00B04AC4"/>
    <w:rsid w:val="00B05188"/>
    <w:rsid w:val="00B0542C"/>
    <w:rsid w:val="00B06BED"/>
    <w:rsid w:val="00B071F1"/>
    <w:rsid w:val="00B10C93"/>
    <w:rsid w:val="00B10FC5"/>
    <w:rsid w:val="00B126D3"/>
    <w:rsid w:val="00B12FDE"/>
    <w:rsid w:val="00B134D0"/>
    <w:rsid w:val="00B13522"/>
    <w:rsid w:val="00B1384B"/>
    <w:rsid w:val="00B14BB7"/>
    <w:rsid w:val="00B15204"/>
    <w:rsid w:val="00B16BE5"/>
    <w:rsid w:val="00B17799"/>
    <w:rsid w:val="00B17B64"/>
    <w:rsid w:val="00B203E6"/>
    <w:rsid w:val="00B206E9"/>
    <w:rsid w:val="00B20832"/>
    <w:rsid w:val="00B22546"/>
    <w:rsid w:val="00B23A17"/>
    <w:rsid w:val="00B2474C"/>
    <w:rsid w:val="00B250CB"/>
    <w:rsid w:val="00B259DF"/>
    <w:rsid w:val="00B26A2E"/>
    <w:rsid w:val="00B30006"/>
    <w:rsid w:val="00B31A67"/>
    <w:rsid w:val="00B333C3"/>
    <w:rsid w:val="00B33C79"/>
    <w:rsid w:val="00B33FDE"/>
    <w:rsid w:val="00B3481E"/>
    <w:rsid w:val="00B34AA4"/>
    <w:rsid w:val="00B35514"/>
    <w:rsid w:val="00B355BD"/>
    <w:rsid w:val="00B35939"/>
    <w:rsid w:val="00B371A0"/>
    <w:rsid w:val="00B37AC8"/>
    <w:rsid w:val="00B37DDA"/>
    <w:rsid w:val="00B40FCF"/>
    <w:rsid w:val="00B40FFB"/>
    <w:rsid w:val="00B41672"/>
    <w:rsid w:val="00B41CA3"/>
    <w:rsid w:val="00B420F0"/>
    <w:rsid w:val="00B42315"/>
    <w:rsid w:val="00B44B1F"/>
    <w:rsid w:val="00B45B53"/>
    <w:rsid w:val="00B46603"/>
    <w:rsid w:val="00B4750A"/>
    <w:rsid w:val="00B4758A"/>
    <w:rsid w:val="00B47983"/>
    <w:rsid w:val="00B47EEC"/>
    <w:rsid w:val="00B50051"/>
    <w:rsid w:val="00B500C3"/>
    <w:rsid w:val="00B51B49"/>
    <w:rsid w:val="00B51C81"/>
    <w:rsid w:val="00B52018"/>
    <w:rsid w:val="00B522C2"/>
    <w:rsid w:val="00B533F2"/>
    <w:rsid w:val="00B536E5"/>
    <w:rsid w:val="00B566A6"/>
    <w:rsid w:val="00B602DA"/>
    <w:rsid w:val="00B605B5"/>
    <w:rsid w:val="00B6124C"/>
    <w:rsid w:val="00B62083"/>
    <w:rsid w:val="00B62A9A"/>
    <w:rsid w:val="00B633B1"/>
    <w:rsid w:val="00B6346C"/>
    <w:rsid w:val="00B64141"/>
    <w:rsid w:val="00B642AA"/>
    <w:rsid w:val="00B64E72"/>
    <w:rsid w:val="00B6513B"/>
    <w:rsid w:val="00B65ACC"/>
    <w:rsid w:val="00B67B88"/>
    <w:rsid w:val="00B70346"/>
    <w:rsid w:val="00B70718"/>
    <w:rsid w:val="00B70DA7"/>
    <w:rsid w:val="00B71E13"/>
    <w:rsid w:val="00B72216"/>
    <w:rsid w:val="00B726A1"/>
    <w:rsid w:val="00B75037"/>
    <w:rsid w:val="00B75589"/>
    <w:rsid w:val="00B761E8"/>
    <w:rsid w:val="00B76555"/>
    <w:rsid w:val="00B772B7"/>
    <w:rsid w:val="00B77568"/>
    <w:rsid w:val="00B77913"/>
    <w:rsid w:val="00B808D8"/>
    <w:rsid w:val="00B81313"/>
    <w:rsid w:val="00B818B3"/>
    <w:rsid w:val="00B818FC"/>
    <w:rsid w:val="00B81BD7"/>
    <w:rsid w:val="00B824FB"/>
    <w:rsid w:val="00B82646"/>
    <w:rsid w:val="00B83C1F"/>
    <w:rsid w:val="00B84E3B"/>
    <w:rsid w:val="00B85BE1"/>
    <w:rsid w:val="00B85FE3"/>
    <w:rsid w:val="00B862A1"/>
    <w:rsid w:val="00B864DC"/>
    <w:rsid w:val="00B87953"/>
    <w:rsid w:val="00B90AD6"/>
    <w:rsid w:val="00B91322"/>
    <w:rsid w:val="00B93A43"/>
    <w:rsid w:val="00B96777"/>
    <w:rsid w:val="00B9685D"/>
    <w:rsid w:val="00B96EE6"/>
    <w:rsid w:val="00B9703E"/>
    <w:rsid w:val="00B97359"/>
    <w:rsid w:val="00B9739B"/>
    <w:rsid w:val="00B97459"/>
    <w:rsid w:val="00B97A8F"/>
    <w:rsid w:val="00BA15B7"/>
    <w:rsid w:val="00BA2AC1"/>
    <w:rsid w:val="00BA4A08"/>
    <w:rsid w:val="00BA4E58"/>
    <w:rsid w:val="00BA50FF"/>
    <w:rsid w:val="00BA7074"/>
    <w:rsid w:val="00BB065C"/>
    <w:rsid w:val="00BB0838"/>
    <w:rsid w:val="00BB0F29"/>
    <w:rsid w:val="00BB179C"/>
    <w:rsid w:val="00BB18F2"/>
    <w:rsid w:val="00BB2C42"/>
    <w:rsid w:val="00BB3719"/>
    <w:rsid w:val="00BB384E"/>
    <w:rsid w:val="00BB42FC"/>
    <w:rsid w:val="00BB7829"/>
    <w:rsid w:val="00BB7A3D"/>
    <w:rsid w:val="00BB7D83"/>
    <w:rsid w:val="00BB7F98"/>
    <w:rsid w:val="00BC06E0"/>
    <w:rsid w:val="00BC115B"/>
    <w:rsid w:val="00BC134C"/>
    <w:rsid w:val="00BC13DD"/>
    <w:rsid w:val="00BC205A"/>
    <w:rsid w:val="00BC2919"/>
    <w:rsid w:val="00BC2E30"/>
    <w:rsid w:val="00BC3B2E"/>
    <w:rsid w:val="00BC4E6B"/>
    <w:rsid w:val="00BC4E93"/>
    <w:rsid w:val="00BC5089"/>
    <w:rsid w:val="00BC6231"/>
    <w:rsid w:val="00BC6A50"/>
    <w:rsid w:val="00BC7540"/>
    <w:rsid w:val="00BC78B9"/>
    <w:rsid w:val="00BD0A6F"/>
    <w:rsid w:val="00BD0D2E"/>
    <w:rsid w:val="00BD0DC6"/>
    <w:rsid w:val="00BD1457"/>
    <w:rsid w:val="00BD1E1A"/>
    <w:rsid w:val="00BD4B98"/>
    <w:rsid w:val="00BD5819"/>
    <w:rsid w:val="00BD6C52"/>
    <w:rsid w:val="00BE0990"/>
    <w:rsid w:val="00BE0A25"/>
    <w:rsid w:val="00BE28F4"/>
    <w:rsid w:val="00BE2AD9"/>
    <w:rsid w:val="00BE3916"/>
    <w:rsid w:val="00BE4157"/>
    <w:rsid w:val="00BE46F5"/>
    <w:rsid w:val="00BE56D8"/>
    <w:rsid w:val="00BE602C"/>
    <w:rsid w:val="00BE69E9"/>
    <w:rsid w:val="00BE7F27"/>
    <w:rsid w:val="00BF084E"/>
    <w:rsid w:val="00BF08D5"/>
    <w:rsid w:val="00BF27FE"/>
    <w:rsid w:val="00BF2FDE"/>
    <w:rsid w:val="00BF3E93"/>
    <w:rsid w:val="00BF4327"/>
    <w:rsid w:val="00BF4859"/>
    <w:rsid w:val="00BF5DF6"/>
    <w:rsid w:val="00BF6B7A"/>
    <w:rsid w:val="00BF7847"/>
    <w:rsid w:val="00BF7D79"/>
    <w:rsid w:val="00C00EED"/>
    <w:rsid w:val="00C0320E"/>
    <w:rsid w:val="00C043B3"/>
    <w:rsid w:val="00C043D0"/>
    <w:rsid w:val="00C079AB"/>
    <w:rsid w:val="00C1099B"/>
    <w:rsid w:val="00C10E61"/>
    <w:rsid w:val="00C10FA0"/>
    <w:rsid w:val="00C11F80"/>
    <w:rsid w:val="00C121E9"/>
    <w:rsid w:val="00C12219"/>
    <w:rsid w:val="00C142C3"/>
    <w:rsid w:val="00C14787"/>
    <w:rsid w:val="00C14DAA"/>
    <w:rsid w:val="00C155EC"/>
    <w:rsid w:val="00C156E6"/>
    <w:rsid w:val="00C1596D"/>
    <w:rsid w:val="00C15B8D"/>
    <w:rsid w:val="00C15EC3"/>
    <w:rsid w:val="00C16EA6"/>
    <w:rsid w:val="00C17010"/>
    <w:rsid w:val="00C2027E"/>
    <w:rsid w:val="00C20562"/>
    <w:rsid w:val="00C2063C"/>
    <w:rsid w:val="00C2065E"/>
    <w:rsid w:val="00C215C3"/>
    <w:rsid w:val="00C21CCD"/>
    <w:rsid w:val="00C21E9F"/>
    <w:rsid w:val="00C23608"/>
    <w:rsid w:val="00C23A96"/>
    <w:rsid w:val="00C23E80"/>
    <w:rsid w:val="00C2448A"/>
    <w:rsid w:val="00C245B4"/>
    <w:rsid w:val="00C249C6"/>
    <w:rsid w:val="00C24F2C"/>
    <w:rsid w:val="00C25A7D"/>
    <w:rsid w:val="00C30B02"/>
    <w:rsid w:val="00C30FD3"/>
    <w:rsid w:val="00C317EB"/>
    <w:rsid w:val="00C31D89"/>
    <w:rsid w:val="00C321F4"/>
    <w:rsid w:val="00C326BD"/>
    <w:rsid w:val="00C32CC1"/>
    <w:rsid w:val="00C337B3"/>
    <w:rsid w:val="00C349A3"/>
    <w:rsid w:val="00C36404"/>
    <w:rsid w:val="00C36805"/>
    <w:rsid w:val="00C37F1B"/>
    <w:rsid w:val="00C420AC"/>
    <w:rsid w:val="00C426EC"/>
    <w:rsid w:val="00C445E9"/>
    <w:rsid w:val="00C4564E"/>
    <w:rsid w:val="00C459E9"/>
    <w:rsid w:val="00C469DC"/>
    <w:rsid w:val="00C46BFD"/>
    <w:rsid w:val="00C474FD"/>
    <w:rsid w:val="00C50053"/>
    <w:rsid w:val="00C52296"/>
    <w:rsid w:val="00C528A9"/>
    <w:rsid w:val="00C529EB"/>
    <w:rsid w:val="00C5380F"/>
    <w:rsid w:val="00C5444F"/>
    <w:rsid w:val="00C553F4"/>
    <w:rsid w:val="00C57285"/>
    <w:rsid w:val="00C57326"/>
    <w:rsid w:val="00C631EA"/>
    <w:rsid w:val="00C63253"/>
    <w:rsid w:val="00C63320"/>
    <w:rsid w:val="00C63C3C"/>
    <w:rsid w:val="00C63D8D"/>
    <w:rsid w:val="00C645E5"/>
    <w:rsid w:val="00C6483C"/>
    <w:rsid w:val="00C6494F"/>
    <w:rsid w:val="00C64AE9"/>
    <w:rsid w:val="00C65193"/>
    <w:rsid w:val="00C654BD"/>
    <w:rsid w:val="00C65AEF"/>
    <w:rsid w:val="00C65D4F"/>
    <w:rsid w:val="00C66CBA"/>
    <w:rsid w:val="00C67165"/>
    <w:rsid w:val="00C70AB5"/>
    <w:rsid w:val="00C70CFF"/>
    <w:rsid w:val="00C718AD"/>
    <w:rsid w:val="00C718FE"/>
    <w:rsid w:val="00C72664"/>
    <w:rsid w:val="00C73EE8"/>
    <w:rsid w:val="00C7520E"/>
    <w:rsid w:val="00C753F5"/>
    <w:rsid w:val="00C77255"/>
    <w:rsid w:val="00C7789A"/>
    <w:rsid w:val="00C7789C"/>
    <w:rsid w:val="00C8298A"/>
    <w:rsid w:val="00C8338A"/>
    <w:rsid w:val="00C833DD"/>
    <w:rsid w:val="00C83633"/>
    <w:rsid w:val="00C83B48"/>
    <w:rsid w:val="00C842BE"/>
    <w:rsid w:val="00C8438F"/>
    <w:rsid w:val="00C8582B"/>
    <w:rsid w:val="00C86711"/>
    <w:rsid w:val="00C86B18"/>
    <w:rsid w:val="00C86CEC"/>
    <w:rsid w:val="00C87673"/>
    <w:rsid w:val="00C8773D"/>
    <w:rsid w:val="00C877EA"/>
    <w:rsid w:val="00C87ABB"/>
    <w:rsid w:val="00C91831"/>
    <w:rsid w:val="00C92240"/>
    <w:rsid w:val="00C92D6F"/>
    <w:rsid w:val="00C9492F"/>
    <w:rsid w:val="00C94B4E"/>
    <w:rsid w:val="00C94B72"/>
    <w:rsid w:val="00C953DF"/>
    <w:rsid w:val="00C955B0"/>
    <w:rsid w:val="00C9618F"/>
    <w:rsid w:val="00C975DA"/>
    <w:rsid w:val="00C976A2"/>
    <w:rsid w:val="00C97B73"/>
    <w:rsid w:val="00C97FEE"/>
    <w:rsid w:val="00CA242A"/>
    <w:rsid w:val="00CA2C2B"/>
    <w:rsid w:val="00CA42E6"/>
    <w:rsid w:val="00CA5568"/>
    <w:rsid w:val="00CA57F4"/>
    <w:rsid w:val="00CA5FCE"/>
    <w:rsid w:val="00CA6822"/>
    <w:rsid w:val="00CA6986"/>
    <w:rsid w:val="00CA6D08"/>
    <w:rsid w:val="00CA70A7"/>
    <w:rsid w:val="00CA7148"/>
    <w:rsid w:val="00CA7945"/>
    <w:rsid w:val="00CA7B50"/>
    <w:rsid w:val="00CB0098"/>
    <w:rsid w:val="00CB00D1"/>
    <w:rsid w:val="00CB0106"/>
    <w:rsid w:val="00CB0ACD"/>
    <w:rsid w:val="00CB140A"/>
    <w:rsid w:val="00CB3CFB"/>
    <w:rsid w:val="00CB42DE"/>
    <w:rsid w:val="00CB43E3"/>
    <w:rsid w:val="00CB47A8"/>
    <w:rsid w:val="00CB48CA"/>
    <w:rsid w:val="00CB594F"/>
    <w:rsid w:val="00CB5991"/>
    <w:rsid w:val="00CB62FC"/>
    <w:rsid w:val="00CC1141"/>
    <w:rsid w:val="00CC11C2"/>
    <w:rsid w:val="00CC285D"/>
    <w:rsid w:val="00CC3937"/>
    <w:rsid w:val="00CC3D18"/>
    <w:rsid w:val="00CC4621"/>
    <w:rsid w:val="00CD2085"/>
    <w:rsid w:val="00CD2426"/>
    <w:rsid w:val="00CD462A"/>
    <w:rsid w:val="00CD5401"/>
    <w:rsid w:val="00CD553E"/>
    <w:rsid w:val="00CD6C22"/>
    <w:rsid w:val="00CE011D"/>
    <w:rsid w:val="00CE0F71"/>
    <w:rsid w:val="00CE20DA"/>
    <w:rsid w:val="00CE2709"/>
    <w:rsid w:val="00CE2D64"/>
    <w:rsid w:val="00CE31B2"/>
    <w:rsid w:val="00CE39C4"/>
    <w:rsid w:val="00CE3A71"/>
    <w:rsid w:val="00CE3DCB"/>
    <w:rsid w:val="00CE423D"/>
    <w:rsid w:val="00CE4272"/>
    <w:rsid w:val="00CE464A"/>
    <w:rsid w:val="00CE59E5"/>
    <w:rsid w:val="00CE5E80"/>
    <w:rsid w:val="00CE6198"/>
    <w:rsid w:val="00CE69AC"/>
    <w:rsid w:val="00CE6A65"/>
    <w:rsid w:val="00CE6B92"/>
    <w:rsid w:val="00CE7CAD"/>
    <w:rsid w:val="00CE7DDC"/>
    <w:rsid w:val="00CF0492"/>
    <w:rsid w:val="00CF3783"/>
    <w:rsid w:val="00CF37B2"/>
    <w:rsid w:val="00CF38D2"/>
    <w:rsid w:val="00CF3CAF"/>
    <w:rsid w:val="00CF4213"/>
    <w:rsid w:val="00CF5660"/>
    <w:rsid w:val="00CF5713"/>
    <w:rsid w:val="00CF5F69"/>
    <w:rsid w:val="00CF6230"/>
    <w:rsid w:val="00CF69DB"/>
    <w:rsid w:val="00CF69F6"/>
    <w:rsid w:val="00CF6A23"/>
    <w:rsid w:val="00CF7614"/>
    <w:rsid w:val="00CF764E"/>
    <w:rsid w:val="00D017FC"/>
    <w:rsid w:val="00D0226A"/>
    <w:rsid w:val="00D0334B"/>
    <w:rsid w:val="00D0353A"/>
    <w:rsid w:val="00D0366D"/>
    <w:rsid w:val="00D03920"/>
    <w:rsid w:val="00D0547A"/>
    <w:rsid w:val="00D06369"/>
    <w:rsid w:val="00D06E07"/>
    <w:rsid w:val="00D07581"/>
    <w:rsid w:val="00D10CDE"/>
    <w:rsid w:val="00D11D80"/>
    <w:rsid w:val="00D11EAE"/>
    <w:rsid w:val="00D11F6D"/>
    <w:rsid w:val="00D13147"/>
    <w:rsid w:val="00D1335C"/>
    <w:rsid w:val="00D1354A"/>
    <w:rsid w:val="00D13AF0"/>
    <w:rsid w:val="00D1400B"/>
    <w:rsid w:val="00D14809"/>
    <w:rsid w:val="00D15575"/>
    <w:rsid w:val="00D16B84"/>
    <w:rsid w:val="00D17E3C"/>
    <w:rsid w:val="00D203D6"/>
    <w:rsid w:val="00D21C3E"/>
    <w:rsid w:val="00D2237B"/>
    <w:rsid w:val="00D25ABD"/>
    <w:rsid w:val="00D25AC8"/>
    <w:rsid w:val="00D25EE6"/>
    <w:rsid w:val="00D26A7D"/>
    <w:rsid w:val="00D276BB"/>
    <w:rsid w:val="00D27F50"/>
    <w:rsid w:val="00D305B8"/>
    <w:rsid w:val="00D31F16"/>
    <w:rsid w:val="00D36F00"/>
    <w:rsid w:val="00D4009F"/>
    <w:rsid w:val="00D4039B"/>
    <w:rsid w:val="00D404F4"/>
    <w:rsid w:val="00D42455"/>
    <w:rsid w:val="00D42F63"/>
    <w:rsid w:val="00D43733"/>
    <w:rsid w:val="00D45A0D"/>
    <w:rsid w:val="00D45CAB"/>
    <w:rsid w:val="00D45FC5"/>
    <w:rsid w:val="00D460D9"/>
    <w:rsid w:val="00D463FF"/>
    <w:rsid w:val="00D509FC"/>
    <w:rsid w:val="00D5121C"/>
    <w:rsid w:val="00D512B7"/>
    <w:rsid w:val="00D5182F"/>
    <w:rsid w:val="00D51D74"/>
    <w:rsid w:val="00D536B4"/>
    <w:rsid w:val="00D54E07"/>
    <w:rsid w:val="00D55397"/>
    <w:rsid w:val="00D55422"/>
    <w:rsid w:val="00D5542C"/>
    <w:rsid w:val="00D5583F"/>
    <w:rsid w:val="00D55ECE"/>
    <w:rsid w:val="00D56B9C"/>
    <w:rsid w:val="00D5715A"/>
    <w:rsid w:val="00D57267"/>
    <w:rsid w:val="00D600F3"/>
    <w:rsid w:val="00D615CC"/>
    <w:rsid w:val="00D618EE"/>
    <w:rsid w:val="00D61C1E"/>
    <w:rsid w:val="00D63CA9"/>
    <w:rsid w:val="00D64060"/>
    <w:rsid w:val="00D6552F"/>
    <w:rsid w:val="00D7056B"/>
    <w:rsid w:val="00D71687"/>
    <w:rsid w:val="00D71CE9"/>
    <w:rsid w:val="00D73A6B"/>
    <w:rsid w:val="00D74717"/>
    <w:rsid w:val="00D74813"/>
    <w:rsid w:val="00D74CE7"/>
    <w:rsid w:val="00D7603C"/>
    <w:rsid w:val="00D7617E"/>
    <w:rsid w:val="00D76255"/>
    <w:rsid w:val="00D76D6F"/>
    <w:rsid w:val="00D80E30"/>
    <w:rsid w:val="00D81D63"/>
    <w:rsid w:val="00D829D1"/>
    <w:rsid w:val="00D83599"/>
    <w:rsid w:val="00D83760"/>
    <w:rsid w:val="00D8449A"/>
    <w:rsid w:val="00D845C8"/>
    <w:rsid w:val="00D8703E"/>
    <w:rsid w:val="00D926A8"/>
    <w:rsid w:val="00D950BE"/>
    <w:rsid w:val="00D95196"/>
    <w:rsid w:val="00D977DA"/>
    <w:rsid w:val="00D97906"/>
    <w:rsid w:val="00DA0709"/>
    <w:rsid w:val="00DA16C0"/>
    <w:rsid w:val="00DA17B9"/>
    <w:rsid w:val="00DA1DA0"/>
    <w:rsid w:val="00DA2030"/>
    <w:rsid w:val="00DA2902"/>
    <w:rsid w:val="00DA30BC"/>
    <w:rsid w:val="00DA3EB7"/>
    <w:rsid w:val="00DA482C"/>
    <w:rsid w:val="00DA69C2"/>
    <w:rsid w:val="00DA6D70"/>
    <w:rsid w:val="00DA7672"/>
    <w:rsid w:val="00DB0325"/>
    <w:rsid w:val="00DB2F1C"/>
    <w:rsid w:val="00DB5046"/>
    <w:rsid w:val="00DB507A"/>
    <w:rsid w:val="00DB52CD"/>
    <w:rsid w:val="00DB54E9"/>
    <w:rsid w:val="00DB6050"/>
    <w:rsid w:val="00DB6466"/>
    <w:rsid w:val="00DB6D57"/>
    <w:rsid w:val="00DC03AF"/>
    <w:rsid w:val="00DC10EE"/>
    <w:rsid w:val="00DC112A"/>
    <w:rsid w:val="00DC11BA"/>
    <w:rsid w:val="00DC121A"/>
    <w:rsid w:val="00DC1F1A"/>
    <w:rsid w:val="00DC2C34"/>
    <w:rsid w:val="00DC5872"/>
    <w:rsid w:val="00DC6732"/>
    <w:rsid w:val="00DC6B71"/>
    <w:rsid w:val="00DC7602"/>
    <w:rsid w:val="00DC792D"/>
    <w:rsid w:val="00DD1DDC"/>
    <w:rsid w:val="00DD25E2"/>
    <w:rsid w:val="00DD2846"/>
    <w:rsid w:val="00DD3FB8"/>
    <w:rsid w:val="00DD407D"/>
    <w:rsid w:val="00DD4188"/>
    <w:rsid w:val="00DD5001"/>
    <w:rsid w:val="00DD6361"/>
    <w:rsid w:val="00DD6601"/>
    <w:rsid w:val="00DD6618"/>
    <w:rsid w:val="00DD6720"/>
    <w:rsid w:val="00DD75CD"/>
    <w:rsid w:val="00DD7BCD"/>
    <w:rsid w:val="00DE07E7"/>
    <w:rsid w:val="00DE19A2"/>
    <w:rsid w:val="00DE235C"/>
    <w:rsid w:val="00DE25F6"/>
    <w:rsid w:val="00DE2C87"/>
    <w:rsid w:val="00DE398F"/>
    <w:rsid w:val="00DE3CCF"/>
    <w:rsid w:val="00DE459A"/>
    <w:rsid w:val="00DE4A86"/>
    <w:rsid w:val="00DE4BCE"/>
    <w:rsid w:val="00DE54DC"/>
    <w:rsid w:val="00DE6388"/>
    <w:rsid w:val="00DE79E3"/>
    <w:rsid w:val="00DF0EE2"/>
    <w:rsid w:val="00DF1D99"/>
    <w:rsid w:val="00DF256E"/>
    <w:rsid w:val="00DF27DA"/>
    <w:rsid w:val="00DF27E1"/>
    <w:rsid w:val="00DF32A5"/>
    <w:rsid w:val="00DF35D2"/>
    <w:rsid w:val="00DF35EC"/>
    <w:rsid w:val="00DF3CF8"/>
    <w:rsid w:val="00DF4DBE"/>
    <w:rsid w:val="00DF658F"/>
    <w:rsid w:val="00DF686D"/>
    <w:rsid w:val="00E00359"/>
    <w:rsid w:val="00E00E57"/>
    <w:rsid w:val="00E02902"/>
    <w:rsid w:val="00E0360C"/>
    <w:rsid w:val="00E04D80"/>
    <w:rsid w:val="00E04ECA"/>
    <w:rsid w:val="00E0509F"/>
    <w:rsid w:val="00E056B9"/>
    <w:rsid w:val="00E05798"/>
    <w:rsid w:val="00E05B36"/>
    <w:rsid w:val="00E063E2"/>
    <w:rsid w:val="00E06708"/>
    <w:rsid w:val="00E06B05"/>
    <w:rsid w:val="00E06E0B"/>
    <w:rsid w:val="00E0768E"/>
    <w:rsid w:val="00E07EE6"/>
    <w:rsid w:val="00E102C4"/>
    <w:rsid w:val="00E13EF3"/>
    <w:rsid w:val="00E14350"/>
    <w:rsid w:val="00E14B59"/>
    <w:rsid w:val="00E14DC6"/>
    <w:rsid w:val="00E1618D"/>
    <w:rsid w:val="00E161F4"/>
    <w:rsid w:val="00E16B75"/>
    <w:rsid w:val="00E177E5"/>
    <w:rsid w:val="00E17C10"/>
    <w:rsid w:val="00E20498"/>
    <w:rsid w:val="00E22C59"/>
    <w:rsid w:val="00E2364F"/>
    <w:rsid w:val="00E2373F"/>
    <w:rsid w:val="00E24260"/>
    <w:rsid w:val="00E24D77"/>
    <w:rsid w:val="00E27862"/>
    <w:rsid w:val="00E30180"/>
    <w:rsid w:val="00E316A5"/>
    <w:rsid w:val="00E31B65"/>
    <w:rsid w:val="00E31C8E"/>
    <w:rsid w:val="00E334FC"/>
    <w:rsid w:val="00E3364C"/>
    <w:rsid w:val="00E33920"/>
    <w:rsid w:val="00E351C8"/>
    <w:rsid w:val="00E36452"/>
    <w:rsid w:val="00E36EF5"/>
    <w:rsid w:val="00E37596"/>
    <w:rsid w:val="00E40820"/>
    <w:rsid w:val="00E409A1"/>
    <w:rsid w:val="00E44145"/>
    <w:rsid w:val="00E44BFD"/>
    <w:rsid w:val="00E454D6"/>
    <w:rsid w:val="00E45EB8"/>
    <w:rsid w:val="00E4635B"/>
    <w:rsid w:val="00E4658F"/>
    <w:rsid w:val="00E47E08"/>
    <w:rsid w:val="00E50611"/>
    <w:rsid w:val="00E51063"/>
    <w:rsid w:val="00E51324"/>
    <w:rsid w:val="00E51EEC"/>
    <w:rsid w:val="00E52969"/>
    <w:rsid w:val="00E53294"/>
    <w:rsid w:val="00E53A6B"/>
    <w:rsid w:val="00E54A67"/>
    <w:rsid w:val="00E56B22"/>
    <w:rsid w:val="00E60098"/>
    <w:rsid w:val="00E619A3"/>
    <w:rsid w:val="00E61C0D"/>
    <w:rsid w:val="00E62229"/>
    <w:rsid w:val="00E62831"/>
    <w:rsid w:val="00E62AE6"/>
    <w:rsid w:val="00E63EB4"/>
    <w:rsid w:val="00E64B76"/>
    <w:rsid w:val="00E64D9A"/>
    <w:rsid w:val="00E66160"/>
    <w:rsid w:val="00E668A5"/>
    <w:rsid w:val="00E7062E"/>
    <w:rsid w:val="00E71035"/>
    <w:rsid w:val="00E71329"/>
    <w:rsid w:val="00E7166F"/>
    <w:rsid w:val="00E71AD2"/>
    <w:rsid w:val="00E722E7"/>
    <w:rsid w:val="00E72582"/>
    <w:rsid w:val="00E7390C"/>
    <w:rsid w:val="00E73E10"/>
    <w:rsid w:val="00E747FD"/>
    <w:rsid w:val="00E7556A"/>
    <w:rsid w:val="00E756DD"/>
    <w:rsid w:val="00E75D82"/>
    <w:rsid w:val="00E76CD0"/>
    <w:rsid w:val="00E77918"/>
    <w:rsid w:val="00E8054D"/>
    <w:rsid w:val="00E811CC"/>
    <w:rsid w:val="00E81655"/>
    <w:rsid w:val="00E8363B"/>
    <w:rsid w:val="00E84877"/>
    <w:rsid w:val="00E84966"/>
    <w:rsid w:val="00E85BB7"/>
    <w:rsid w:val="00E85BC4"/>
    <w:rsid w:val="00E860AC"/>
    <w:rsid w:val="00E90E9C"/>
    <w:rsid w:val="00E91F92"/>
    <w:rsid w:val="00E92256"/>
    <w:rsid w:val="00E92383"/>
    <w:rsid w:val="00E930AC"/>
    <w:rsid w:val="00E94386"/>
    <w:rsid w:val="00E9454C"/>
    <w:rsid w:val="00E95568"/>
    <w:rsid w:val="00E9607A"/>
    <w:rsid w:val="00E96F33"/>
    <w:rsid w:val="00E973AD"/>
    <w:rsid w:val="00E97CC3"/>
    <w:rsid w:val="00EA0D43"/>
    <w:rsid w:val="00EA11BD"/>
    <w:rsid w:val="00EA1B3A"/>
    <w:rsid w:val="00EA2109"/>
    <w:rsid w:val="00EA26B5"/>
    <w:rsid w:val="00EA40C0"/>
    <w:rsid w:val="00EA55A4"/>
    <w:rsid w:val="00EA5B2D"/>
    <w:rsid w:val="00EA697E"/>
    <w:rsid w:val="00EA6CC5"/>
    <w:rsid w:val="00EB218C"/>
    <w:rsid w:val="00EB218F"/>
    <w:rsid w:val="00EB2934"/>
    <w:rsid w:val="00EB346B"/>
    <w:rsid w:val="00EB376E"/>
    <w:rsid w:val="00EB5AAD"/>
    <w:rsid w:val="00EB5B79"/>
    <w:rsid w:val="00EB5D60"/>
    <w:rsid w:val="00EB628F"/>
    <w:rsid w:val="00EC00D9"/>
    <w:rsid w:val="00EC0608"/>
    <w:rsid w:val="00EC0662"/>
    <w:rsid w:val="00EC17D8"/>
    <w:rsid w:val="00EC1D24"/>
    <w:rsid w:val="00EC1E53"/>
    <w:rsid w:val="00EC21C4"/>
    <w:rsid w:val="00EC4607"/>
    <w:rsid w:val="00EC4988"/>
    <w:rsid w:val="00EC7C87"/>
    <w:rsid w:val="00ED098B"/>
    <w:rsid w:val="00ED0B1F"/>
    <w:rsid w:val="00ED0B65"/>
    <w:rsid w:val="00ED1394"/>
    <w:rsid w:val="00ED26D2"/>
    <w:rsid w:val="00ED2A83"/>
    <w:rsid w:val="00ED3683"/>
    <w:rsid w:val="00ED4D4E"/>
    <w:rsid w:val="00ED4E19"/>
    <w:rsid w:val="00ED4F7A"/>
    <w:rsid w:val="00ED61C2"/>
    <w:rsid w:val="00ED68D1"/>
    <w:rsid w:val="00ED6C2C"/>
    <w:rsid w:val="00ED6F43"/>
    <w:rsid w:val="00EE0C42"/>
    <w:rsid w:val="00EE0C77"/>
    <w:rsid w:val="00EE1A52"/>
    <w:rsid w:val="00EE2A8F"/>
    <w:rsid w:val="00EE3197"/>
    <w:rsid w:val="00EE4E54"/>
    <w:rsid w:val="00EE6553"/>
    <w:rsid w:val="00EF08EA"/>
    <w:rsid w:val="00EF0A1D"/>
    <w:rsid w:val="00EF10E6"/>
    <w:rsid w:val="00EF1599"/>
    <w:rsid w:val="00EF2025"/>
    <w:rsid w:val="00EF272E"/>
    <w:rsid w:val="00EF2A4F"/>
    <w:rsid w:val="00EF3B25"/>
    <w:rsid w:val="00EF4334"/>
    <w:rsid w:val="00EF4A5F"/>
    <w:rsid w:val="00EF5450"/>
    <w:rsid w:val="00EF5498"/>
    <w:rsid w:val="00EF6270"/>
    <w:rsid w:val="00EF6CA9"/>
    <w:rsid w:val="00EF7961"/>
    <w:rsid w:val="00F029CB"/>
    <w:rsid w:val="00F059B8"/>
    <w:rsid w:val="00F06DDD"/>
    <w:rsid w:val="00F10737"/>
    <w:rsid w:val="00F12B75"/>
    <w:rsid w:val="00F12CA0"/>
    <w:rsid w:val="00F130CC"/>
    <w:rsid w:val="00F13295"/>
    <w:rsid w:val="00F135AC"/>
    <w:rsid w:val="00F13C45"/>
    <w:rsid w:val="00F14EB5"/>
    <w:rsid w:val="00F1580E"/>
    <w:rsid w:val="00F15ADE"/>
    <w:rsid w:val="00F15C8A"/>
    <w:rsid w:val="00F15EBB"/>
    <w:rsid w:val="00F163E1"/>
    <w:rsid w:val="00F16FB3"/>
    <w:rsid w:val="00F17887"/>
    <w:rsid w:val="00F20DD9"/>
    <w:rsid w:val="00F21B99"/>
    <w:rsid w:val="00F230DD"/>
    <w:rsid w:val="00F231FD"/>
    <w:rsid w:val="00F2390F"/>
    <w:rsid w:val="00F23A16"/>
    <w:rsid w:val="00F23A7A"/>
    <w:rsid w:val="00F24A28"/>
    <w:rsid w:val="00F250E0"/>
    <w:rsid w:val="00F2584A"/>
    <w:rsid w:val="00F25D18"/>
    <w:rsid w:val="00F25E1E"/>
    <w:rsid w:val="00F26A35"/>
    <w:rsid w:val="00F26AE7"/>
    <w:rsid w:val="00F27539"/>
    <w:rsid w:val="00F3196C"/>
    <w:rsid w:val="00F3375D"/>
    <w:rsid w:val="00F339B1"/>
    <w:rsid w:val="00F346F6"/>
    <w:rsid w:val="00F35871"/>
    <w:rsid w:val="00F35EA4"/>
    <w:rsid w:val="00F35FBC"/>
    <w:rsid w:val="00F3683C"/>
    <w:rsid w:val="00F37733"/>
    <w:rsid w:val="00F37986"/>
    <w:rsid w:val="00F40976"/>
    <w:rsid w:val="00F436BB"/>
    <w:rsid w:val="00F444A8"/>
    <w:rsid w:val="00F4495E"/>
    <w:rsid w:val="00F45385"/>
    <w:rsid w:val="00F4557F"/>
    <w:rsid w:val="00F46311"/>
    <w:rsid w:val="00F46508"/>
    <w:rsid w:val="00F46992"/>
    <w:rsid w:val="00F47145"/>
    <w:rsid w:val="00F51063"/>
    <w:rsid w:val="00F545BF"/>
    <w:rsid w:val="00F55713"/>
    <w:rsid w:val="00F56FB8"/>
    <w:rsid w:val="00F576E7"/>
    <w:rsid w:val="00F577B9"/>
    <w:rsid w:val="00F57D66"/>
    <w:rsid w:val="00F604A5"/>
    <w:rsid w:val="00F60E86"/>
    <w:rsid w:val="00F62820"/>
    <w:rsid w:val="00F64941"/>
    <w:rsid w:val="00F64C4A"/>
    <w:rsid w:val="00F6555E"/>
    <w:rsid w:val="00F65AA9"/>
    <w:rsid w:val="00F6725D"/>
    <w:rsid w:val="00F67388"/>
    <w:rsid w:val="00F67A35"/>
    <w:rsid w:val="00F71B56"/>
    <w:rsid w:val="00F71BA3"/>
    <w:rsid w:val="00F724DE"/>
    <w:rsid w:val="00F7399D"/>
    <w:rsid w:val="00F73E33"/>
    <w:rsid w:val="00F7569D"/>
    <w:rsid w:val="00F75936"/>
    <w:rsid w:val="00F75C0D"/>
    <w:rsid w:val="00F75DD0"/>
    <w:rsid w:val="00F7644B"/>
    <w:rsid w:val="00F76648"/>
    <w:rsid w:val="00F7762C"/>
    <w:rsid w:val="00F8078C"/>
    <w:rsid w:val="00F82F70"/>
    <w:rsid w:val="00F832C8"/>
    <w:rsid w:val="00F83A5D"/>
    <w:rsid w:val="00F83D65"/>
    <w:rsid w:val="00F8431B"/>
    <w:rsid w:val="00F848A1"/>
    <w:rsid w:val="00F84D34"/>
    <w:rsid w:val="00F84EDD"/>
    <w:rsid w:val="00F85ADF"/>
    <w:rsid w:val="00F873B3"/>
    <w:rsid w:val="00F87AF3"/>
    <w:rsid w:val="00F90D8C"/>
    <w:rsid w:val="00F90EC6"/>
    <w:rsid w:val="00F90EE3"/>
    <w:rsid w:val="00F917C6"/>
    <w:rsid w:val="00F91877"/>
    <w:rsid w:val="00F91D93"/>
    <w:rsid w:val="00F91DAE"/>
    <w:rsid w:val="00F930C9"/>
    <w:rsid w:val="00F930F6"/>
    <w:rsid w:val="00F93104"/>
    <w:rsid w:val="00F9366A"/>
    <w:rsid w:val="00F951C6"/>
    <w:rsid w:val="00F952C4"/>
    <w:rsid w:val="00F955BC"/>
    <w:rsid w:val="00F9582F"/>
    <w:rsid w:val="00F96176"/>
    <w:rsid w:val="00F97EE0"/>
    <w:rsid w:val="00FA14D5"/>
    <w:rsid w:val="00FA1D8B"/>
    <w:rsid w:val="00FA1F77"/>
    <w:rsid w:val="00FA33FE"/>
    <w:rsid w:val="00FA42B9"/>
    <w:rsid w:val="00FA4B6C"/>
    <w:rsid w:val="00FA670B"/>
    <w:rsid w:val="00FA755A"/>
    <w:rsid w:val="00FA7935"/>
    <w:rsid w:val="00FB0560"/>
    <w:rsid w:val="00FB096C"/>
    <w:rsid w:val="00FB0DE9"/>
    <w:rsid w:val="00FB100A"/>
    <w:rsid w:val="00FB11D3"/>
    <w:rsid w:val="00FB2B0F"/>
    <w:rsid w:val="00FB2F07"/>
    <w:rsid w:val="00FB366D"/>
    <w:rsid w:val="00FB42A2"/>
    <w:rsid w:val="00FB4645"/>
    <w:rsid w:val="00FB4F6B"/>
    <w:rsid w:val="00FB51AE"/>
    <w:rsid w:val="00FB5FE1"/>
    <w:rsid w:val="00FC0A9E"/>
    <w:rsid w:val="00FC0E8D"/>
    <w:rsid w:val="00FC1343"/>
    <w:rsid w:val="00FC1AB9"/>
    <w:rsid w:val="00FC1CA3"/>
    <w:rsid w:val="00FC20C2"/>
    <w:rsid w:val="00FC2B8B"/>
    <w:rsid w:val="00FC2F67"/>
    <w:rsid w:val="00FC424D"/>
    <w:rsid w:val="00FC46EF"/>
    <w:rsid w:val="00FC4D3D"/>
    <w:rsid w:val="00FC53C5"/>
    <w:rsid w:val="00FC56F5"/>
    <w:rsid w:val="00FC738E"/>
    <w:rsid w:val="00FD1CAD"/>
    <w:rsid w:val="00FD1D23"/>
    <w:rsid w:val="00FD211B"/>
    <w:rsid w:val="00FD28F1"/>
    <w:rsid w:val="00FD2A55"/>
    <w:rsid w:val="00FD31B3"/>
    <w:rsid w:val="00FD3F9C"/>
    <w:rsid w:val="00FD4204"/>
    <w:rsid w:val="00FD4D53"/>
    <w:rsid w:val="00FE0231"/>
    <w:rsid w:val="00FE096E"/>
    <w:rsid w:val="00FE131F"/>
    <w:rsid w:val="00FE17D5"/>
    <w:rsid w:val="00FE2486"/>
    <w:rsid w:val="00FE248A"/>
    <w:rsid w:val="00FE2F7A"/>
    <w:rsid w:val="00FE3337"/>
    <w:rsid w:val="00FE482C"/>
    <w:rsid w:val="00FE6A0F"/>
    <w:rsid w:val="00FF033A"/>
    <w:rsid w:val="00FF09F5"/>
    <w:rsid w:val="00FF0FAF"/>
    <w:rsid w:val="00FF1607"/>
    <w:rsid w:val="00FF198B"/>
    <w:rsid w:val="00FF309A"/>
    <w:rsid w:val="00FF3CCB"/>
    <w:rsid w:val="00FF4009"/>
    <w:rsid w:val="00FF52DF"/>
    <w:rsid w:val="00FF5693"/>
    <w:rsid w:val="00FF57B5"/>
    <w:rsid w:val="00FF5F7A"/>
    <w:rsid w:val="00FF64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semiHidden="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464837"/>
    <w:pPr>
      <w:keepNext/>
      <w:numPr>
        <w:numId w:val="3"/>
      </w:numPr>
      <w:spacing w:before="240" w:after="120"/>
      <w:ind w:left="851" w:hanging="851"/>
      <w:outlineLvl w:val="0"/>
    </w:pPr>
    <w:rPr>
      <w:color w:val="22413A"/>
      <w:sz w:val="48"/>
    </w:rPr>
  </w:style>
  <w:style w:type="paragraph" w:styleId="Heading2">
    <w:name w:val="heading 2"/>
    <w:aliases w:val="Left"/>
    <w:basedOn w:val="Normal"/>
    <w:next w:val="Normal"/>
    <w:link w:val="Heading2Char"/>
    <w:qFormat/>
    <w:rsid w:val="00464837"/>
    <w:pPr>
      <w:keepNext/>
      <w:numPr>
        <w:ilvl w:val="1"/>
        <w:numId w:val="3"/>
      </w:numPr>
      <w:spacing w:before="240" w:after="120"/>
      <w:ind w:left="851" w:hanging="851"/>
      <w:outlineLvl w:val="1"/>
    </w:pPr>
    <w:rPr>
      <w:color w:val="22413A"/>
      <w:sz w:val="36"/>
    </w:rPr>
  </w:style>
  <w:style w:type="paragraph" w:styleId="Heading3">
    <w:name w:val="heading 3"/>
    <w:aliases w:val="Sub"/>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B17799"/>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B17799"/>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B17799"/>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rsid w:val="00257288"/>
    <w:rPr>
      <w:rFonts w:ascii="Arial" w:hAnsi="Arial"/>
      <w:color w:val="22413A"/>
      <w:sz w:val="18"/>
      <w:szCs w:val="22"/>
      <w:lang w:eastAsia="en-US" w:bidi="he-IL"/>
    </w:rPr>
  </w:style>
  <w:style w:type="paragraph" w:styleId="Footer">
    <w:name w:val="footer"/>
    <w:basedOn w:val="Normal"/>
    <w:link w:val="FooterChar"/>
    <w:rsid w:val="008229BA"/>
    <w:pPr>
      <w:tabs>
        <w:tab w:val="center" w:pos="4513"/>
        <w:tab w:val="right" w:pos="9026"/>
      </w:tabs>
      <w:jc w:val="right"/>
    </w:pPr>
    <w:rPr>
      <w:color w:val="22413A"/>
    </w:rPr>
  </w:style>
  <w:style w:type="character" w:customStyle="1" w:styleId="FooterChar">
    <w:name w:val="Footer Char"/>
    <w:link w:val="Footer"/>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rsid w:val="00464837"/>
    <w:rPr>
      <w:rFonts w:ascii="Arial" w:hAnsi="Arial"/>
      <w:color w:val="22413A"/>
      <w:sz w:val="36"/>
      <w:szCs w:val="22"/>
      <w:lang w:eastAsia="en-US" w:bidi="he-IL"/>
    </w:rPr>
  </w:style>
  <w:style w:type="character" w:customStyle="1" w:styleId="Heading3Char">
    <w:name w:val="Heading 3 Char"/>
    <w:aliases w:val="Sub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464837"/>
    <w:rPr>
      <w:rFonts w:ascii="Arial" w:hAnsi="Arial"/>
      <w:color w:val="22413A"/>
      <w:sz w:val="48"/>
      <w:szCs w:val="22"/>
      <w:lang w:eastAsia="en-US" w:bidi="he-IL"/>
    </w:rPr>
  </w:style>
  <w:style w:type="table" w:styleId="TableGrid">
    <w:name w:val="Table Grid"/>
    <w:basedOn w:val="TableNormal"/>
    <w:uiPriority w:val="5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A677D"/>
    <w:pPr>
      <w:numPr>
        <w:numId w:val="1"/>
      </w:numPr>
      <w:spacing w:before="240" w:after="120"/>
      <w:ind w:left="1560" w:hanging="567"/>
    </w:pPr>
  </w:style>
  <w:style w:type="paragraph" w:customStyle="1" w:styleId="Bulletlist2">
    <w:name w:val="Bullet list 2"/>
    <w:basedOn w:val="Bulletlist1"/>
    <w:uiPriority w:val="1"/>
    <w:qFormat/>
    <w:rsid w:val="00631B8C"/>
    <w:pPr>
      <w:numPr>
        <w:ilvl w:val="1"/>
      </w:numPr>
      <w:ind w:left="170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886D17"/>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E53294"/>
    <w:pPr>
      <w:pBdr>
        <w:top w:val="single" w:sz="4" w:space="6" w:color="22413A"/>
        <w:bottom w:val="single" w:sz="4" w:space="6" w:color="22413A"/>
      </w:pBdr>
      <w:spacing w:before="240"/>
      <w:ind w:left="851"/>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464837"/>
    <w:pPr>
      <w:numPr>
        <w:numId w:val="2"/>
      </w:numPr>
      <w:spacing w:before="240" w:after="120"/>
    </w:pPr>
    <w:rPr>
      <w:rFonts w:asciiTheme="minorHAnsi" w:eastAsiaTheme="minorHAnsi" w:hAnsiTheme="minorHAnsi" w:cstheme="minorBidi"/>
      <w:noProof/>
      <w:lang w:bidi="ar-SA"/>
    </w:rPr>
  </w:style>
  <w:style w:type="paragraph" w:customStyle="1" w:styleId="NumList2">
    <w:name w:val="Num List 2"/>
    <w:basedOn w:val="Normal"/>
    <w:uiPriority w:val="1"/>
    <w:qFormat/>
    <w:rsid w:val="000177E0"/>
    <w:pPr>
      <w:numPr>
        <w:ilvl w:val="1"/>
        <w:numId w:val="2"/>
      </w:numPr>
      <w:spacing w:before="240" w:after="120"/>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464837"/>
    <w:pPr>
      <w:numPr>
        <w:ilvl w:val="2"/>
      </w:numPr>
      <w:ind w:left="1418"/>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3D24F9"/>
    <w:pPr>
      <w:keepNext/>
      <w:spacing w:before="240" w:after="120" w:line="240" w:lineRule="auto"/>
      <w:ind w:left="851"/>
      <w:jc w:val="center"/>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Paragraph">
    <w:name w:val="Paragraph"/>
    <w:basedOn w:val="Normal"/>
    <w:link w:val="ParagraphChar"/>
    <w:qFormat/>
    <w:rsid w:val="000177E0"/>
    <w:pPr>
      <w:numPr>
        <w:numId w:val="15"/>
      </w:numPr>
      <w:spacing w:before="240" w:after="120"/>
      <w:ind w:left="851" w:hanging="851"/>
    </w:pPr>
  </w:style>
  <w:style w:type="character" w:customStyle="1" w:styleId="ParagraphChar">
    <w:name w:val="Paragraph Char"/>
    <w:basedOn w:val="DefaultParagraphFont"/>
    <w:link w:val="Paragraph"/>
    <w:rsid w:val="000177E0"/>
    <w:rPr>
      <w:rFonts w:ascii="Arial" w:hAnsi="Arial"/>
      <w:sz w:val="24"/>
      <w:szCs w:val="22"/>
      <w:lang w:eastAsia="en-US" w:bidi="he-IL"/>
    </w:rPr>
  </w:style>
  <w:style w:type="character" w:customStyle="1" w:styleId="Heading7Char">
    <w:name w:val="Heading 7 Char"/>
    <w:basedOn w:val="DefaultParagraphFont"/>
    <w:link w:val="Heading7"/>
    <w:rsid w:val="00B17799"/>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B17799"/>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B17799"/>
    <w:rPr>
      <w:rFonts w:ascii="Arial" w:eastAsia="Times New Roman" w:hAnsi="Arial"/>
      <w:sz w:val="22"/>
      <w:szCs w:val="22"/>
      <w:lang w:eastAsia="en-US"/>
    </w:rPr>
  </w:style>
  <w:style w:type="paragraph" w:customStyle="1" w:styleId="TSHeadingNumbered1">
    <w:name w:val="TS Heading Numbered 1"/>
    <w:basedOn w:val="Normal"/>
    <w:rsid w:val="00B17799"/>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B17799"/>
  </w:style>
  <w:style w:type="paragraph" w:customStyle="1" w:styleId="TSHeadingNumbered111">
    <w:name w:val="TS Heading Numbered 1.1.1"/>
    <w:basedOn w:val="TSHeadingNumbered1"/>
    <w:rsid w:val="00B17799"/>
  </w:style>
  <w:style w:type="paragraph" w:customStyle="1" w:styleId="TSHeadingNumbered1111">
    <w:name w:val="TS Heading Numbered 1.1.1.1"/>
    <w:basedOn w:val="TSHeadingNumbered1"/>
    <w:rsid w:val="00B17799"/>
  </w:style>
  <w:style w:type="paragraph" w:customStyle="1" w:styleId="TSNumberedParagraph11">
    <w:name w:val="TS Numbered Paragraph 1.1"/>
    <w:basedOn w:val="TSHeadingNumbered11"/>
    <w:rsid w:val="00B17799"/>
    <w:pPr>
      <w:numPr>
        <w:ilvl w:val="1"/>
      </w:numPr>
      <w:tabs>
        <w:tab w:val="num" w:pos="-31680"/>
      </w:tabs>
      <w:ind w:left="720" w:hanging="720"/>
    </w:pPr>
    <w:rPr>
      <w:rFonts w:ascii="Arial" w:hAnsi="Arial"/>
      <w:b w:val="0"/>
      <w:caps w:val="0"/>
    </w:rPr>
  </w:style>
  <w:style w:type="paragraph" w:customStyle="1" w:styleId="TSBullet1Square">
    <w:name w:val="TS Bullet 1 Square"/>
    <w:basedOn w:val="Normal"/>
    <w:rsid w:val="00B17799"/>
    <w:pPr>
      <w:numPr>
        <w:numId w:val="5"/>
      </w:numPr>
      <w:spacing w:line="240" w:lineRule="auto"/>
      <w:contextualSpacing/>
    </w:pPr>
    <w:rPr>
      <w:rFonts w:eastAsia="Times New Roman" w:cs="Times New Roman"/>
      <w:sz w:val="22"/>
      <w:szCs w:val="24"/>
      <w:lang w:bidi="ar-SA"/>
    </w:rPr>
  </w:style>
  <w:style w:type="character" w:customStyle="1" w:styleId="TSExampleText">
    <w:name w:val="TS Example Text"/>
    <w:rsid w:val="00B17799"/>
    <w:rPr>
      <w:i/>
      <w:iCs/>
      <w:color w:val="006D68"/>
    </w:rPr>
  </w:style>
  <w:style w:type="paragraph" w:customStyle="1" w:styleId="TSBullet2Circle">
    <w:name w:val="TS Bullet 2 Circle"/>
    <w:basedOn w:val="TSBullet1Square"/>
    <w:rsid w:val="00B17799"/>
    <w:pPr>
      <w:numPr>
        <w:numId w:val="6"/>
      </w:numPr>
    </w:pPr>
  </w:style>
  <w:style w:type="character" w:styleId="FollowedHyperlink">
    <w:name w:val="FollowedHyperlink"/>
    <w:rsid w:val="00B17799"/>
    <w:rPr>
      <w:color w:val="800080"/>
      <w:u w:val="single"/>
    </w:rPr>
  </w:style>
  <w:style w:type="paragraph" w:customStyle="1" w:styleId="TSNumberedParagraph1">
    <w:name w:val="TS Numbered Paragraph 1"/>
    <w:basedOn w:val="TSNumberedParagraph11"/>
    <w:rsid w:val="00B17799"/>
    <w:pPr>
      <w:numPr>
        <w:ilvl w:val="0"/>
      </w:numPr>
      <w:tabs>
        <w:tab w:val="num" w:pos="-31680"/>
      </w:tabs>
      <w:ind w:left="720" w:hanging="720"/>
    </w:pPr>
    <w:rPr>
      <w:caps/>
    </w:rPr>
  </w:style>
  <w:style w:type="paragraph" w:styleId="DocumentMap">
    <w:name w:val="Document Map"/>
    <w:basedOn w:val="Normal"/>
    <w:link w:val="DocumentMapChar"/>
    <w:semiHidden/>
    <w:rsid w:val="00B17799"/>
    <w:pPr>
      <w:shd w:val="clear" w:color="auto" w:fill="000080"/>
      <w:spacing w:after="0" w:line="240" w:lineRule="auto"/>
    </w:pPr>
    <w:rPr>
      <w:rFonts w:ascii="Tahoma" w:eastAsia="Times New Roman" w:hAnsi="Tahoma" w:cs="Tahoma"/>
      <w:sz w:val="20"/>
      <w:szCs w:val="20"/>
      <w:lang w:bidi="ar-SA"/>
    </w:rPr>
  </w:style>
  <w:style w:type="character" w:customStyle="1" w:styleId="DocumentMapChar">
    <w:name w:val="Document Map Char"/>
    <w:basedOn w:val="DefaultParagraphFont"/>
    <w:link w:val="DocumentMap"/>
    <w:semiHidden/>
    <w:rsid w:val="00B17799"/>
    <w:rPr>
      <w:rFonts w:ascii="Tahoma" w:eastAsia="Times New Roman" w:hAnsi="Tahoma" w:cs="Tahoma"/>
      <w:shd w:val="clear" w:color="auto" w:fill="000080"/>
      <w:lang w:eastAsia="en-US"/>
    </w:rPr>
  </w:style>
  <w:style w:type="paragraph" w:customStyle="1" w:styleId="Default">
    <w:name w:val="Default"/>
    <w:rsid w:val="00B17799"/>
    <w:pPr>
      <w:autoSpaceDE w:val="0"/>
      <w:autoSpaceDN w:val="0"/>
      <w:adjustRightInd w:val="0"/>
    </w:pPr>
    <w:rPr>
      <w:rFonts w:ascii="Arial" w:eastAsia="Times New Roman" w:hAnsi="Arial"/>
      <w:color w:val="000000"/>
      <w:sz w:val="24"/>
      <w:szCs w:val="24"/>
    </w:rPr>
  </w:style>
  <w:style w:type="table" w:customStyle="1" w:styleId="TableGrid1">
    <w:name w:val="Table Grid1"/>
    <w:basedOn w:val="TableNormal"/>
    <w:next w:val="TableGrid"/>
    <w:uiPriority w:val="59"/>
    <w:rsid w:val="00B1779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779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779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B17799"/>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B17799"/>
    <w:rPr>
      <w:rFonts w:ascii="Arial" w:eastAsia="Times New Roman" w:hAnsi="Arial" w:cs="Times New Roman"/>
      <w:b/>
      <w:bCs/>
      <w:lang w:eastAsia="en-US"/>
    </w:rPr>
  </w:style>
  <w:style w:type="paragraph" w:customStyle="1" w:styleId="AppendixParaNumbering">
    <w:name w:val="Appendix Para Numbering"/>
    <w:qFormat/>
    <w:rsid w:val="00B17799"/>
    <w:pPr>
      <w:spacing w:after="220"/>
    </w:pPr>
    <w:rPr>
      <w:rFonts w:ascii="Arial" w:eastAsia="Times New Roman" w:hAnsi="Arial" w:cs="Times New Roman"/>
      <w:sz w:val="22"/>
      <w:szCs w:val="24"/>
      <w:lang w:eastAsia="en-US"/>
    </w:rPr>
  </w:style>
  <w:style w:type="paragraph" w:styleId="Revision">
    <w:name w:val="Revision"/>
    <w:hidden/>
    <w:uiPriority w:val="99"/>
    <w:semiHidden/>
    <w:rsid w:val="00B17799"/>
    <w:rPr>
      <w:rFonts w:ascii="Arial" w:eastAsia="Times New Roman" w:hAnsi="Arial" w:cs="Times New Roman"/>
      <w:sz w:val="22"/>
      <w:szCs w:val="24"/>
      <w:lang w:eastAsia="en-US"/>
    </w:rPr>
  </w:style>
  <w:style w:type="character" w:styleId="HTMLCite">
    <w:name w:val="HTML Cite"/>
    <w:basedOn w:val="DefaultParagraphFont"/>
    <w:uiPriority w:val="99"/>
    <w:unhideWhenUsed/>
    <w:rsid w:val="00B17799"/>
    <w:rPr>
      <w:i/>
      <w:iCs/>
    </w:rPr>
  </w:style>
  <w:style w:type="paragraph" w:customStyle="1" w:styleId="NumberedHeading">
    <w:name w:val="Numbered Heading"/>
    <w:basedOn w:val="Normal"/>
    <w:rsid w:val="00B17799"/>
    <w:pPr>
      <w:keepNext/>
      <w:numPr>
        <w:numId w:val="8"/>
      </w:numPr>
      <w:overflowPunct w:val="0"/>
      <w:autoSpaceDE w:val="0"/>
      <w:autoSpaceDN w:val="0"/>
      <w:adjustRightInd w:val="0"/>
      <w:spacing w:line="240" w:lineRule="auto"/>
      <w:textAlignment w:val="baseline"/>
    </w:pPr>
    <w:rPr>
      <w:rFonts w:ascii="Arial Bold" w:eastAsia="Times New Roman" w:hAnsi="Arial Bold"/>
      <w:b/>
      <w:bCs/>
      <w:caps/>
      <w:color w:val="000000"/>
      <w:sz w:val="22"/>
      <w:szCs w:val="20"/>
      <w:lang w:bidi="ar-SA"/>
    </w:rPr>
  </w:style>
  <w:style w:type="paragraph" w:customStyle="1" w:styleId="NumberedParagraph">
    <w:name w:val="Numbered Paragraph"/>
    <w:basedOn w:val="Normal"/>
    <w:rsid w:val="00B17799"/>
    <w:pPr>
      <w:numPr>
        <w:ilvl w:val="1"/>
        <w:numId w:val="8"/>
      </w:numPr>
      <w:spacing w:line="240" w:lineRule="auto"/>
      <w:jc w:val="both"/>
    </w:pPr>
    <w:rPr>
      <w:rFonts w:eastAsia="Times New Roman"/>
      <w:sz w:val="22"/>
      <w:lang w:bidi="ar-SA"/>
    </w:rPr>
  </w:style>
  <w:style w:type="paragraph" w:styleId="BodyText">
    <w:name w:val="Body Text"/>
    <w:basedOn w:val="Normal"/>
    <w:link w:val="BodyTextChar"/>
    <w:rsid w:val="00B17799"/>
    <w:pPr>
      <w:spacing w:after="120" w:line="240" w:lineRule="auto"/>
    </w:pPr>
    <w:rPr>
      <w:rFonts w:eastAsia="Times New Roman"/>
      <w:color w:val="000000"/>
      <w:sz w:val="22"/>
      <w:szCs w:val="20"/>
      <w:lang w:val="en-US" w:bidi="ar-SA"/>
    </w:rPr>
  </w:style>
  <w:style w:type="character" w:customStyle="1" w:styleId="BodyTextChar">
    <w:name w:val="Body Text Char"/>
    <w:basedOn w:val="DefaultParagraphFont"/>
    <w:link w:val="BodyText"/>
    <w:rsid w:val="00B17799"/>
    <w:rPr>
      <w:rFonts w:ascii="Arial" w:eastAsia="Times New Roman" w:hAnsi="Arial"/>
      <w:color w:val="000000"/>
      <w:sz w:val="22"/>
      <w:lang w:val="en-US" w:eastAsia="en-US"/>
    </w:rPr>
  </w:style>
  <w:style w:type="numbering" w:styleId="111111">
    <w:name w:val="Outline List 2"/>
    <w:basedOn w:val="NoList"/>
    <w:rsid w:val="00B17799"/>
    <w:pPr>
      <w:numPr>
        <w:numId w:val="7"/>
      </w:numPr>
    </w:pPr>
  </w:style>
  <w:style w:type="paragraph" w:customStyle="1" w:styleId="OutlineNotIndented">
    <w:name w:val="Outline (Not Indented)"/>
    <w:basedOn w:val="Normal"/>
    <w:rsid w:val="00B17799"/>
    <w:pPr>
      <w:spacing w:after="0" w:line="240" w:lineRule="auto"/>
      <w:jc w:val="both"/>
    </w:pPr>
    <w:rPr>
      <w:rFonts w:eastAsia="Times New Roman"/>
      <w:sz w:val="22"/>
      <w:lang w:bidi="ar-SA"/>
    </w:rPr>
  </w:style>
  <w:style w:type="paragraph" w:customStyle="1" w:styleId="Level1">
    <w:name w:val="Level 1"/>
    <w:basedOn w:val="Normal"/>
    <w:rsid w:val="00B17799"/>
    <w:pPr>
      <w:widowControl w:val="0"/>
      <w:spacing w:after="0" w:line="240" w:lineRule="auto"/>
    </w:pPr>
    <w:rPr>
      <w:rFonts w:eastAsia="Times New Roman"/>
      <w:bCs/>
      <w:color w:val="000000"/>
      <w:szCs w:val="20"/>
      <w:lang w:bidi="ar-SA"/>
    </w:rPr>
  </w:style>
  <w:style w:type="paragraph" w:customStyle="1" w:styleId="Normal1">
    <w:name w:val="Normal1"/>
    <w:basedOn w:val="Default"/>
    <w:next w:val="Default"/>
    <w:rsid w:val="00B17799"/>
    <w:rPr>
      <w:rFonts w:cs="Times New Roman"/>
      <w:color w:val="auto"/>
    </w:rPr>
  </w:style>
  <w:style w:type="numbering" w:customStyle="1" w:styleId="1111111">
    <w:name w:val="1 / 1.1 / 1.1.11"/>
    <w:basedOn w:val="NoList"/>
    <w:next w:val="111111"/>
    <w:rsid w:val="00B17799"/>
  </w:style>
  <w:style w:type="paragraph" w:customStyle="1" w:styleId="PAM-NUMBEREDHEADING">
    <w:name w:val="PAM - NUMBERED HEADING"/>
    <w:basedOn w:val="Heading1"/>
    <w:rsid w:val="00B17799"/>
    <w:pPr>
      <w:numPr>
        <w:numId w:val="13"/>
      </w:numPr>
      <w:tabs>
        <w:tab w:val="clear" w:pos="-31680"/>
        <w:tab w:val="num" w:pos="360"/>
      </w:tabs>
      <w:spacing w:before="0" w:after="240" w:line="240" w:lineRule="auto"/>
    </w:pPr>
    <w:rPr>
      <w:rFonts w:ascii="Arial Bold" w:eastAsia="Times New Roman" w:hAnsi="Arial Bold"/>
      <w:b/>
      <w:bCs/>
      <w:caps/>
      <w:color w:val="auto"/>
      <w:kern w:val="32"/>
      <w:sz w:val="22"/>
      <w:szCs w:val="20"/>
      <w:lang w:bidi="ar-SA"/>
    </w:rPr>
  </w:style>
  <w:style w:type="paragraph" w:customStyle="1" w:styleId="PAM-NUMBEREDPARAGRAPH">
    <w:name w:val="PAM - NUMBERED PARAGRAPH"/>
    <w:basedOn w:val="Normal"/>
    <w:rsid w:val="00B17799"/>
    <w:pPr>
      <w:numPr>
        <w:ilvl w:val="1"/>
        <w:numId w:val="13"/>
      </w:numPr>
      <w:spacing w:line="240" w:lineRule="auto"/>
      <w:jc w:val="both"/>
    </w:pPr>
    <w:rPr>
      <w:rFonts w:eastAsia="MS Mincho"/>
      <w:sz w:val="22"/>
      <w:lang w:eastAsia="ja-JP" w:bidi="ar-SA"/>
    </w:rPr>
  </w:style>
  <w:style w:type="table" w:customStyle="1" w:styleId="TableGrid4">
    <w:name w:val="Table Grid4"/>
    <w:basedOn w:val="TableNormal"/>
    <w:next w:val="TableGrid"/>
    <w:uiPriority w:val="59"/>
    <w:rsid w:val="00B177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2">
    <w:name w:val="CM22"/>
    <w:basedOn w:val="Default"/>
    <w:next w:val="Default"/>
    <w:uiPriority w:val="99"/>
    <w:rsid w:val="00B17799"/>
    <w:rPr>
      <w:rFonts w:ascii="GKRSTL+Arial-BoldMT" w:hAnsi="GKRSTL+Arial-BoldMT" w:cs="Times New Roman"/>
      <w:color w:val="auto"/>
    </w:rPr>
  </w:style>
  <w:style w:type="paragraph" w:styleId="NormalWeb">
    <w:name w:val="Normal (Web)"/>
    <w:basedOn w:val="Normal"/>
    <w:uiPriority w:val="99"/>
    <w:semiHidden/>
    <w:unhideWhenUsed/>
    <w:rsid w:val="009D41EF"/>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F9-Paragraph">
    <w:name w:val="F9 - # Paragraph"/>
    <w:basedOn w:val="ListParagraph"/>
    <w:link w:val="F9-ParagraphChar"/>
    <w:qFormat/>
    <w:rsid w:val="00EC0608"/>
    <w:pPr>
      <w:numPr>
        <w:numId w:val="18"/>
      </w:numPr>
      <w:ind w:left="851" w:hanging="851"/>
      <w:contextualSpacing w:val="0"/>
    </w:pPr>
  </w:style>
  <w:style w:type="character" w:customStyle="1" w:styleId="F9-ParagraphChar">
    <w:name w:val="F9 - # Paragraph Char"/>
    <w:basedOn w:val="DefaultParagraphFont"/>
    <w:link w:val="F9-Paragraph"/>
    <w:rsid w:val="00EC0608"/>
    <w:rPr>
      <w:rFonts w:ascii="Arial" w:hAnsi="Arial"/>
      <w:sz w:val="24"/>
      <w:szCs w:val="22"/>
      <w:lang w:eastAsia="en-US" w:bidi="he-IL"/>
    </w:rPr>
  </w:style>
  <w:style w:type="table" w:customStyle="1" w:styleId="TableGrid5">
    <w:name w:val="Table Grid5"/>
    <w:basedOn w:val="TableNormal"/>
    <w:next w:val="TableGrid"/>
    <w:uiPriority w:val="39"/>
    <w:rsid w:val="00FC738E"/>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F452B"/>
    <w:rPr>
      <w:rFonts w:ascii="Segoe UI" w:hAnsi="Segoe UI" w:cs="Segoe UI" w:hint="default"/>
      <w:sz w:val="18"/>
      <w:szCs w:val="18"/>
    </w:rPr>
  </w:style>
  <w:style w:type="paragraph" w:customStyle="1" w:styleId="BodyTextNumbered">
    <w:name w:val="Body Text Numbered"/>
    <w:basedOn w:val="ListParagraph"/>
    <w:link w:val="BodyTextNumberedChar"/>
    <w:autoRedefine/>
    <w:qFormat/>
    <w:rsid w:val="005126AA"/>
    <w:pPr>
      <w:numPr>
        <w:numId w:val="21"/>
      </w:numPr>
      <w:ind w:hanging="720"/>
      <w:contextualSpacing w:val="0"/>
    </w:pPr>
  </w:style>
  <w:style w:type="character" w:customStyle="1" w:styleId="BodyTextNumberedChar">
    <w:name w:val="Body Text Numbered Char"/>
    <w:basedOn w:val="DefaultParagraphFont"/>
    <w:link w:val="BodyTextNumbered"/>
    <w:rsid w:val="005126AA"/>
    <w:rPr>
      <w:rFonts w:ascii="Arial" w:hAnsi="Arial"/>
      <w:sz w:val="24"/>
      <w:szCs w:val="22"/>
      <w:lang w:eastAsia="en-US" w:bidi="he-IL"/>
    </w:rPr>
  </w:style>
  <w:style w:type="character" w:styleId="Strong">
    <w:name w:val="Strong"/>
    <w:basedOn w:val="DefaultParagraphFont"/>
    <w:uiPriority w:val="22"/>
    <w:qFormat/>
    <w:rsid w:val="002330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76">
      <w:bodyDiv w:val="1"/>
      <w:marLeft w:val="0"/>
      <w:marRight w:val="0"/>
      <w:marTop w:val="0"/>
      <w:marBottom w:val="0"/>
      <w:divBdr>
        <w:top w:val="none" w:sz="0" w:space="0" w:color="auto"/>
        <w:left w:val="none" w:sz="0" w:space="0" w:color="auto"/>
        <w:bottom w:val="none" w:sz="0" w:space="0" w:color="auto"/>
        <w:right w:val="none" w:sz="0" w:space="0" w:color="auto"/>
      </w:divBdr>
    </w:div>
    <w:div w:id="4207428">
      <w:bodyDiv w:val="1"/>
      <w:marLeft w:val="0"/>
      <w:marRight w:val="0"/>
      <w:marTop w:val="0"/>
      <w:marBottom w:val="0"/>
      <w:divBdr>
        <w:top w:val="none" w:sz="0" w:space="0" w:color="auto"/>
        <w:left w:val="none" w:sz="0" w:space="0" w:color="auto"/>
        <w:bottom w:val="none" w:sz="0" w:space="0" w:color="auto"/>
        <w:right w:val="none" w:sz="0" w:space="0" w:color="auto"/>
      </w:divBdr>
    </w:div>
    <w:div w:id="8063990">
      <w:bodyDiv w:val="1"/>
      <w:marLeft w:val="0"/>
      <w:marRight w:val="0"/>
      <w:marTop w:val="0"/>
      <w:marBottom w:val="0"/>
      <w:divBdr>
        <w:top w:val="none" w:sz="0" w:space="0" w:color="auto"/>
        <w:left w:val="none" w:sz="0" w:space="0" w:color="auto"/>
        <w:bottom w:val="none" w:sz="0" w:space="0" w:color="auto"/>
        <w:right w:val="none" w:sz="0" w:space="0" w:color="auto"/>
      </w:divBdr>
    </w:div>
    <w:div w:id="15036768">
      <w:bodyDiv w:val="1"/>
      <w:marLeft w:val="0"/>
      <w:marRight w:val="0"/>
      <w:marTop w:val="0"/>
      <w:marBottom w:val="0"/>
      <w:divBdr>
        <w:top w:val="none" w:sz="0" w:space="0" w:color="auto"/>
        <w:left w:val="none" w:sz="0" w:space="0" w:color="auto"/>
        <w:bottom w:val="none" w:sz="0" w:space="0" w:color="auto"/>
        <w:right w:val="none" w:sz="0" w:space="0" w:color="auto"/>
      </w:divBdr>
    </w:div>
    <w:div w:id="16271970">
      <w:bodyDiv w:val="1"/>
      <w:marLeft w:val="0"/>
      <w:marRight w:val="0"/>
      <w:marTop w:val="0"/>
      <w:marBottom w:val="0"/>
      <w:divBdr>
        <w:top w:val="none" w:sz="0" w:space="0" w:color="auto"/>
        <w:left w:val="none" w:sz="0" w:space="0" w:color="auto"/>
        <w:bottom w:val="none" w:sz="0" w:space="0" w:color="auto"/>
        <w:right w:val="none" w:sz="0" w:space="0" w:color="auto"/>
      </w:divBdr>
    </w:div>
    <w:div w:id="18438656">
      <w:bodyDiv w:val="1"/>
      <w:marLeft w:val="0"/>
      <w:marRight w:val="0"/>
      <w:marTop w:val="0"/>
      <w:marBottom w:val="0"/>
      <w:divBdr>
        <w:top w:val="none" w:sz="0" w:space="0" w:color="auto"/>
        <w:left w:val="none" w:sz="0" w:space="0" w:color="auto"/>
        <w:bottom w:val="none" w:sz="0" w:space="0" w:color="auto"/>
        <w:right w:val="none" w:sz="0" w:space="0" w:color="auto"/>
      </w:divBdr>
    </w:div>
    <w:div w:id="23678422">
      <w:bodyDiv w:val="1"/>
      <w:marLeft w:val="0"/>
      <w:marRight w:val="0"/>
      <w:marTop w:val="0"/>
      <w:marBottom w:val="0"/>
      <w:divBdr>
        <w:top w:val="none" w:sz="0" w:space="0" w:color="auto"/>
        <w:left w:val="none" w:sz="0" w:space="0" w:color="auto"/>
        <w:bottom w:val="none" w:sz="0" w:space="0" w:color="auto"/>
        <w:right w:val="none" w:sz="0" w:space="0" w:color="auto"/>
      </w:divBdr>
    </w:div>
    <w:div w:id="25375964">
      <w:bodyDiv w:val="1"/>
      <w:marLeft w:val="0"/>
      <w:marRight w:val="0"/>
      <w:marTop w:val="0"/>
      <w:marBottom w:val="0"/>
      <w:divBdr>
        <w:top w:val="none" w:sz="0" w:space="0" w:color="auto"/>
        <w:left w:val="none" w:sz="0" w:space="0" w:color="auto"/>
        <w:bottom w:val="none" w:sz="0" w:space="0" w:color="auto"/>
        <w:right w:val="none" w:sz="0" w:space="0" w:color="auto"/>
      </w:divBdr>
    </w:div>
    <w:div w:id="30963115">
      <w:bodyDiv w:val="1"/>
      <w:marLeft w:val="0"/>
      <w:marRight w:val="0"/>
      <w:marTop w:val="0"/>
      <w:marBottom w:val="0"/>
      <w:divBdr>
        <w:top w:val="none" w:sz="0" w:space="0" w:color="auto"/>
        <w:left w:val="none" w:sz="0" w:space="0" w:color="auto"/>
        <w:bottom w:val="none" w:sz="0" w:space="0" w:color="auto"/>
        <w:right w:val="none" w:sz="0" w:space="0" w:color="auto"/>
      </w:divBdr>
    </w:div>
    <w:div w:id="31613860">
      <w:bodyDiv w:val="1"/>
      <w:marLeft w:val="0"/>
      <w:marRight w:val="0"/>
      <w:marTop w:val="0"/>
      <w:marBottom w:val="0"/>
      <w:divBdr>
        <w:top w:val="none" w:sz="0" w:space="0" w:color="auto"/>
        <w:left w:val="none" w:sz="0" w:space="0" w:color="auto"/>
        <w:bottom w:val="none" w:sz="0" w:space="0" w:color="auto"/>
        <w:right w:val="none" w:sz="0" w:space="0" w:color="auto"/>
      </w:divBdr>
    </w:div>
    <w:div w:id="36009821">
      <w:bodyDiv w:val="1"/>
      <w:marLeft w:val="0"/>
      <w:marRight w:val="0"/>
      <w:marTop w:val="0"/>
      <w:marBottom w:val="0"/>
      <w:divBdr>
        <w:top w:val="none" w:sz="0" w:space="0" w:color="auto"/>
        <w:left w:val="none" w:sz="0" w:space="0" w:color="auto"/>
        <w:bottom w:val="none" w:sz="0" w:space="0" w:color="auto"/>
        <w:right w:val="none" w:sz="0" w:space="0" w:color="auto"/>
      </w:divBdr>
    </w:div>
    <w:div w:id="41247150">
      <w:bodyDiv w:val="1"/>
      <w:marLeft w:val="0"/>
      <w:marRight w:val="0"/>
      <w:marTop w:val="0"/>
      <w:marBottom w:val="0"/>
      <w:divBdr>
        <w:top w:val="none" w:sz="0" w:space="0" w:color="auto"/>
        <w:left w:val="none" w:sz="0" w:space="0" w:color="auto"/>
        <w:bottom w:val="none" w:sz="0" w:space="0" w:color="auto"/>
        <w:right w:val="none" w:sz="0" w:space="0" w:color="auto"/>
      </w:divBdr>
    </w:div>
    <w:div w:id="44718432">
      <w:bodyDiv w:val="1"/>
      <w:marLeft w:val="0"/>
      <w:marRight w:val="0"/>
      <w:marTop w:val="0"/>
      <w:marBottom w:val="0"/>
      <w:divBdr>
        <w:top w:val="none" w:sz="0" w:space="0" w:color="auto"/>
        <w:left w:val="none" w:sz="0" w:space="0" w:color="auto"/>
        <w:bottom w:val="none" w:sz="0" w:space="0" w:color="auto"/>
        <w:right w:val="none" w:sz="0" w:space="0" w:color="auto"/>
      </w:divBdr>
    </w:div>
    <w:div w:id="53700244">
      <w:bodyDiv w:val="1"/>
      <w:marLeft w:val="0"/>
      <w:marRight w:val="0"/>
      <w:marTop w:val="0"/>
      <w:marBottom w:val="0"/>
      <w:divBdr>
        <w:top w:val="none" w:sz="0" w:space="0" w:color="auto"/>
        <w:left w:val="none" w:sz="0" w:space="0" w:color="auto"/>
        <w:bottom w:val="none" w:sz="0" w:space="0" w:color="auto"/>
        <w:right w:val="none" w:sz="0" w:space="0" w:color="auto"/>
      </w:divBdr>
    </w:div>
    <w:div w:id="54665077">
      <w:bodyDiv w:val="1"/>
      <w:marLeft w:val="0"/>
      <w:marRight w:val="0"/>
      <w:marTop w:val="0"/>
      <w:marBottom w:val="0"/>
      <w:divBdr>
        <w:top w:val="none" w:sz="0" w:space="0" w:color="auto"/>
        <w:left w:val="none" w:sz="0" w:space="0" w:color="auto"/>
        <w:bottom w:val="none" w:sz="0" w:space="0" w:color="auto"/>
        <w:right w:val="none" w:sz="0" w:space="0" w:color="auto"/>
      </w:divBdr>
    </w:div>
    <w:div w:id="54819071">
      <w:bodyDiv w:val="1"/>
      <w:marLeft w:val="0"/>
      <w:marRight w:val="0"/>
      <w:marTop w:val="0"/>
      <w:marBottom w:val="0"/>
      <w:divBdr>
        <w:top w:val="none" w:sz="0" w:space="0" w:color="auto"/>
        <w:left w:val="none" w:sz="0" w:space="0" w:color="auto"/>
        <w:bottom w:val="none" w:sz="0" w:space="0" w:color="auto"/>
        <w:right w:val="none" w:sz="0" w:space="0" w:color="auto"/>
      </w:divBdr>
    </w:div>
    <w:div w:id="55321670">
      <w:bodyDiv w:val="1"/>
      <w:marLeft w:val="0"/>
      <w:marRight w:val="0"/>
      <w:marTop w:val="0"/>
      <w:marBottom w:val="0"/>
      <w:divBdr>
        <w:top w:val="none" w:sz="0" w:space="0" w:color="auto"/>
        <w:left w:val="none" w:sz="0" w:space="0" w:color="auto"/>
        <w:bottom w:val="none" w:sz="0" w:space="0" w:color="auto"/>
        <w:right w:val="none" w:sz="0" w:space="0" w:color="auto"/>
      </w:divBdr>
    </w:div>
    <w:div w:id="55903129">
      <w:bodyDiv w:val="1"/>
      <w:marLeft w:val="0"/>
      <w:marRight w:val="0"/>
      <w:marTop w:val="0"/>
      <w:marBottom w:val="0"/>
      <w:divBdr>
        <w:top w:val="none" w:sz="0" w:space="0" w:color="auto"/>
        <w:left w:val="none" w:sz="0" w:space="0" w:color="auto"/>
        <w:bottom w:val="none" w:sz="0" w:space="0" w:color="auto"/>
        <w:right w:val="none" w:sz="0" w:space="0" w:color="auto"/>
      </w:divBdr>
    </w:div>
    <w:div w:id="57093473">
      <w:bodyDiv w:val="1"/>
      <w:marLeft w:val="0"/>
      <w:marRight w:val="0"/>
      <w:marTop w:val="0"/>
      <w:marBottom w:val="0"/>
      <w:divBdr>
        <w:top w:val="none" w:sz="0" w:space="0" w:color="auto"/>
        <w:left w:val="none" w:sz="0" w:space="0" w:color="auto"/>
        <w:bottom w:val="none" w:sz="0" w:space="0" w:color="auto"/>
        <w:right w:val="none" w:sz="0" w:space="0" w:color="auto"/>
      </w:divBdr>
    </w:div>
    <w:div w:id="57558885">
      <w:bodyDiv w:val="1"/>
      <w:marLeft w:val="0"/>
      <w:marRight w:val="0"/>
      <w:marTop w:val="0"/>
      <w:marBottom w:val="0"/>
      <w:divBdr>
        <w:top w:val="none" w:sz="0" w:space="0" w:color="auto"/>
        <w:left w:val="none" w:sz="0" w:space="0" w:color="auto"/>
        <w:bottom w:val="none" w:sz="0" w:space="0" w:color="auto"/>
        <w:right w:val="none" w:sz="0" w:space="0" w:color="auto"/>
      </w:divBdr>
    </w:div>
    <w:div w:id="73552961">
      <w:bodyDiv w:val="1"/>
      <w:marLeft w:val="0"/>
      <w:marRight w:val="0"/>
      <w:marTop w:val="0"/>
      <w:marBottom w:val="0"/>
      <w:divBdr>
        <w:top w:val="none" w:sz="0" w:space="0" w:color="auto"/>
        <w:left w:val="none" w:sz="0" w:space="0" w:color="auto"/>
        <w:bottom w:val="none" w:sz="0" w:space="0" w:color="auto"/>
        <w:right w:val="none" w:sz="0" w:space="0" w:color="auto"/>
      </w:divBdr>
    </w:div>
    <w:div w:id="76483988">
      <w:bodyDiv w:val="1"/>
      <w:marLeft w:val="0"/>
      <w:marRight w:val="0"/>
      <w:marTop w:val="0"/>
      <w:marBottom w:val="0"/>
      <w:divBdr>
        <w:top w:val="none" w:sz="0" w:space="0" w:color="auto"/>
        <w:left w:val="none" w:sz="0" w:space="0" w:color="auto"/>
        <w:bottom w:val="none" w:sz="0" w:space="0" w:color="auto"/>
        <w:right w:val="none" w:sz="0" w:space="0" w:color="auto"/>
      </w:divBdr>
    </w:div>
    <w:div w:id="84495305">
      <w:bodyDiv w:val="1"/>
      <w:marLeft w:val="0"/>
      <w:marRight w:val="0"/>
      <w:marTop w:val="0"/>
      <w:marBottom w:val="0"/>
      <w:divBdr>
        <w:top w:val="none" w:sz="0" w:space="0" w:color="auto"/>
        <w:left w:val="none" w:sz="0" w:space="0" w:color="auto"/>
        <w:bottom w:val="none" w:sz="0" w:space="0" w:color="auto"/>
        <w:right w:val="none" w:sz="0" w:space="0" w:color="auto"/>
      </w:divBdr>
    </w:div>
    <w:div w:id="84964210">
      <w:bodyDiv w:val="1"/>
      <w:marLeft w:val="0"/>
      <w:marRight w:val="0"/>
      <w:marTop w:val="0"/>
      <w:marBottom w:val="0"/>
      <w:divBdr>
        <w:top w:val="none" w:sz="0" w:space="0" w:color="auto"/>
        <w:left w:val="none" w:sz="0" w:space="0" w:color="auto"/>
        <w:bottom w:val="none" w:sz="0" w:space="0" w:color="auto"/>
        <w:right w:val="none" w:sz="0" w:space="0" w:color="auto"/>
      </w:divBdr>
    </w:div>
    <w:div w:id="85540458">
      <w:bodyDiv w:val="1"/>
      <w:marLeft w:val="0"/>
      <w:marRight w:val="0"/>
      <w:marTop w:val="0"/>
      <w:marBottom w:val="0"/>
      <w:divBdr>
        <w:top w:val="none" w:sz="0" w:space="0" w:color="auto"/>
        <w:left w:val="none" w:sz="0" w:space="0" w:color="auto"/>
        <w:bottom w:val="none" w:sz="0" w:space="0" w:color="auto"/>
        <w:right w:val="none" w:sz="0" w:space="0" w:color="auto"/>
      </w:divBdr>
    </w:div>
    <w:div w:id="87046236">
      <w:bodyDiv w:val="1"/>
      <w:marLeft w:val="0"/>
      <w:marRight w:val="0"/>
      <w:marTop w:val="0"/>
      <w:marBottom w:val="0"/>
      <w:divBdr>
        <w:top w:val="none" w:sz="0" w:space="0" w:color="auto"/>
        <w:left w:val="none" w:sz="0" w:space="0" w:color="auto"/>
        <w:bottom w:val="none" w:sz="0" w:space="0" w:color="auto"/>
        <w:right w:val="none" w:sz="0" w:space="0" w:color="auto"/>
      </w:divBdr>
    </w:div>
    <w:div w:id="87584135">
      <w:bodyDiv w:val="1"/>
      <w:marLeft w:val="0"/>
      <w:marRight w:val="0"/>
      <w:marTop w:val="0"/>
      <w:marBottom w:val="0"/>
      <w:divBdr>
        <w:top w:val="none" w:sz="0" w:space="0" w:color="auto"/>
        <w:left w:val="none" w:sz="0" w:space="0" w:color="auto"/>
        <w:bottom w:val="none" w:sz="0" w:space="0" w:color="auto"/>
        <w:right w:val="none" w:sz="0" w:space="0" w:color="auto"/>
      </w:divBdr>
    </w:div>
    <w:div w:id="9020557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015781">
      <w:bodyDiv w:val="1"/>
      <w:marLeft w:val="0"/>
      <w:marRight w:val="0"/>
      <w:marTop w:val="0"/>
      <w:marBottom w:val="0"/>
      <w:divBdr>
        <w:top w:val="none" w:sz="0" w:space="0" w:color="auto"/>
        <w:left w:val="none" w:sz="0" w:space="0" w:color="auto"/>
        <w:bottom w:val="none" w:sz="0" w:space="0" w:color="auto"/>
        <w:right w:val="none" w:sz="0" w:space="0" w:color="auto"/>
      </w:divBdr>
    </w:div>
    <w:div w:id="95173310">
      <w:bodyDiv w:val="1"/>
      <w:marLeft w:val="0"/>
      <w:marRight w:val="0"/>
      <w:marTop w:val="0"/>
      <w:marBottom w:val="0"/>
      <w:divBdr>
        <w:top w:val="none" w:sz="0" w:space="0" w:color="auto"/>
        <w:left w:val="none" w:sz="0" w:space="0" w:color="auto"/>
        <w:bottom w:val="none" w:sz="0" w:space="0" w:color="auto"/>
        <w:right w:val="none" w:sz="0" w:space="0" w:color="auto"/>
      </w:divBdr>
    </w:div>
    <w:div w:id="96220768">
      <w:bodyDiv w:val="1"/>
      <w:marLeft w:val="0"/>
      <w:marRight w:val="0"/>
      <w:marTop w:val="0"/>
      <w:marBottom w:val="0"/>
      <w:divBdr>
        <w:top w:val="none" w:sz="0" w:space="0" w:color="auto"/>
        <w:left w:val="none" w:sz="0" w:space="0" w:color="auto"/>
        <w:bottom w:val="none" w:sz="0" w:space="0" w:color="auto"/>
        <w:right w:val="none" w:sz="0" w:space="0" w:color="auto"/>
      </w:divBdr>
    </w:div>
    <w:div w:id="99647018">
      <w:bodyDiv w:val="1"/>
      <w:marLeft w:val="0"/>
      <w:marRight w:val="0"/>
      <w:marTop w:val="0"/>
      <w:marBottom w:val="0"/>
      <w:divBdr>
        <w:top w:val="none" w:sz="0" w:space="0" w:color="auto"/>
        <w:left w:val="none" w:sz="0" w:space="0" w:color="auto"/>
        <w:bottom w:val="none" w:sz="0" w:space="0" w:color="auto"/>
        <w:right w:val="none" w:sz="0" w:space="0" w:color="auto"/>
      </w:divBdr>
    </w:div>
    <w:div w:id="100806330">
      <w:bodyDiv w:val="1"/>
      <w:marLeft w:val="0"/>
      <w:marRight w:val="0"/>
      <w:marTop w:val="0"/>
      <w:marBottom w:val="0"/>
      <w:divBdr>
        <w:top w:val="none" w:sz="0" w:space="0" w:color="auto"/>
        <w:left w:val="none" w:sz="0" w:space="0" w:color="auto"/>
        <w:bottom w:val="none" w:sz="0" w:space="0" w:color="auto"/>
        <w:right w:val="none" w:sz="0" w:space="0" w:color="auto"/>
      </w:divBdr>
    </w:div>
    <w:div w:id="103498547">
      <w:bodyDiv w:val="1"/>
      <w:marLeft w:val="0"/>
      <w:marRight w:val="0"/>
      <w:marTop w:val="0"/>
      <w:marBottom w:val="0"/>
      <w:divBdr>
        <w:top w:val="none" w:sz="0" w:space="0" w:color="auto"/>
        <w:left w:val="none" w:sz="0" w:space="0" w:color="auto"/>
        <w:bottom w:val="none" w:sz="0" w:space="0" w:color="auto"/>
        <w:right w:val="none" w:sz="0" w:space="0" w:color="auto"/>
      </w:divBdr>
    </w:div>
    <w:div w:id="107239659">
      <w:bodyDiv w:val="1"/>
      <w:marLeft w:val="0"/>
      <w:marRight w:val="0"/>
      <w:marTop w:val="0"/>
      <w:marBottom w:val="0"/>
      <w:divBdr>
        <w:top w:val="none" w:sz="0" w:space="0" w:color="auto"/>
        <w:left w:val="none" w:sz="0" w:space="0" w:color="auto"/>
        <w:bottom w:val="none" w:sz="0" w:space="0" w:color="auto"/>
        <w:right w:val="none" w:sz="0" w:space="0" w:color="auto"/>
      </w:divBdr>
    </w:div>
    <w:div w:id="107284927">
      <w:bodyDiv w:val="1"/>
      <w:marLeft w:val="0"/>
      <w:marRight w:val="0"/>
      <w:marTop w:val="0"/>
      <w:marBottom w:val="0"/>
      <w:divBdr>
        <w:top w:val="none" w:sz="0" w:space="0" w:color="auto"/>
        <w:left w:val="none" w:sz="0" w:space="0" w:color="auto"/>
        <w:bottom w:val="none" w:sz="0" w:space="0" w:color="auto"/>
        <w:right w:val="none" w:sz="0" w:space="0" w:color="auto"/>
      </w:divBdr>
    </w:div>
    <w:div w:id="109322915">
      <w:bodyDiv w:val="1"/>
      <w:marLeft w:val="0"/>
      <w:marRight w:val="0"/>
      <w:marTop w:val="0"/>
      <w:marBottom w:val="0"/>
      <w:divBdr>
        <w:top w:val="none" w:sz="0" w:space="0" w:color="auto"/>
        <w:left w:val="none" w:sz="0" w:space="0" w:color="auto"/>
        <w:bottom w:val="none" w:sz="0" w:space="0" w:color="auto"/>
        <w:right w:val="none" w:sz="0" w:space="0" w:color="auto"/>
      </w:divBdr>
    </w:div>
    <w:div w:id="116147402">
      <w:bodyDiv w:val="1"/>
      <w:marLeft w:val="0"/>
      <w:marRight w:val="0"/>
      <w:marTop w:val="0"/>
      <w:marBottom w:val="0"/>
      <w:divBdr>
        <w:top w:val="none" w:sz="0" w:space="0" w:color="auto"/>
        <w:left w:val="none" w:sz="0" w:space="0" w:color="auto"/>
        <w:bottom w:val="none" w:sz="0" w:space="0" w:color="auto"/>
        <w:right w:val="none" w:sz="0" w:space="0" w:color="auto"/>
      </w:divBdr>
    </w:div>
    <w:div w:id="118453798">
      <w:bodyDiv w:val="1"/>
      <w:marLeft w:val="0"/>
      <w:marRight w:val="0"/>
      <w:marTop w:val="0"/>
      <w:marBottom w:val="0"/>
      <w:divBdr>
        <w:top w:val="none" w:sz="0" w:space="0" w:color="auto"/>
        <w:left w:val="none" w:sz="0" w:space="0" w:color="auto"/>
        <w:bottom w:val="none" w:sz="0" w:space="0" w:color="auto"/>
        <w:right w:val="none" w:sz="0" w:space="0" w:color="auto"/>
      </w:divBdr>
    </w:div>
    <w:div w:id="125126110">
      <w:bodyDiv w:val="1"/>
      <w:marLeft w:val="0"/>
      <w:marRight w:val="0"/>
      <w:marTop w:val="0"/>
      <w:marBottom w:val="0"/>
      <w:divBdr>
        <w:top w:val="none" w:sz="0" w:space="0" w:color="auto"/>
        <w:left w:val="none" w:sz="0" w:space="0" w:color="auto"/>
        <w:bottom w:val="none" w:sz="0" w:space="0" w:color="auto"/>
        <w:right w:val="none" w:sz="0" w:space="0" w:color="auto"/>
      </w:divBdr>
    </w:div>
    <w:div w:id="125248098">
      <w:bodyDiv w:val="1"/>
      <w:marLeft w:val="0"/>
      <w:marRight w:val="0"/>
      <w:marTop w:val="0"/>
      <w:marBottom w:val="0"/>
      <w:divBdr>
        <w:top w:val="none" w:sz="0" w:space="0" w:color="auto"/>
        <w:left w:val="none" w:sz="0" w:space="0" w:color="auto"/>
        <w:bottom w:val="none" w:sz="0" w:space="0" w:color="auto"/>
        <w:right w:val="none" w:sz="0" w:space="0" w:color="auto"/>
      </w:divBdr>
    </w:div>
    <w:div w:id="129134061">
      <w:bodyDiv w:val="1"/>
      <w:marLeft w:val="0"/>
      <w:marRight w:val="0"/>
      <w:marTop w:val="0"/>
      <w:marBottom w:val="0"/>
      <w:divBdr>
        <w:top w:val="none" w:sz="0" w:space="0" w:color="auto"/>
        <w:left w:val="none" w:sz="0" w:space="0" w:color="auto"/>
        <w:bottom w:val="none" w:sz="0" w:space="0" w:color="auto"/>
        <w:right w:val="none" w:sz="0" w:space="0" w:color="auto"/>
      </w:divBdr>
    </w:div>
    <w:div w:id="132145112">
      <w:bodyDiv w:val="1"/>
      <w:marLeft w:val="0"/>
      <w:marRight w:val="0"/>
      <w:marTop w:val="0"/>
      <w:marBottom w:val="0"/>
      <w:divBdr>
        <w:top w:val="none" w:sz="0" w:space="0" w:color="auto"/>
        <w:left w:val="none" w:sz="0" w:space="0" w:color="auto"/>
        <w:bottom w:val="none" w:sz="0" w:space="0" w:color="auto"/>
        <w:right w:val="none" w:sz="0" w:space="0" w:color="auto"/>
      </w:divBdr>
    </w:div>
    <w:div w:id="136387761">
      <w:bodyDiv w:val="1"/>
      <w:marLeft w:val="0"/>
      <w:marRight w:val="0"/>
      <w:marTop w:val="0"/>
      <w:marBottom w:val="0"/>
      <w:divBdr>
        <w:top w:val="none" w:sz="0" w:space="0" w:color="auto"/>
        <w:left w:val="none" w:sz="0" w:space="0" w:color="auto"/>
        <w:bottom w:val="none" w:sz="0" w:space="0" w:color="auto"/>
        <w:right w:val="none" w:sz="0" w:space="0" w:color="auto"/>
      </w:divBdr>
    </w:div>
    <w:div w:id="136459974">
      <w:bodyDiv w:val="1"/>
      <w:marLeft w:val="0"/>
      <w:marRight w:val="0"/>
      <w:marTop w:val="0"/>
      <w:marBottom w:val="0"/>
      <w:divBdr>
        <w:top w:val="none" w:sz="0" w:space="0" w:color="auto"/>
        <w:left w:val="none" w:sz="0" w:space="0" w:color="auto"/>
        <w:bottom w:val="none" w:sz="0" w:space="0" w:color="auto"/>
        <w:right w:val="none" w:sz="0" w:space="0" w:color="auto"/>
      </w:divBdr>
    </w:div>
    <w:div w:id="138806544">
      <w:bodyDiv w:val="1"/>
      <w:marLeft w:val="0"/>
      <w:marRight w:val="0"/>
      <w:marTop w:val="0"/>
      <w:marBottom w:val="0"/>
      <w:divBdr>
        <w:top w:val="none" w:sz="0" w:space="0" w:color="auto"/>
        <w:left w:val="none" w:sz="0" w:space="0" w:color="auto"/>
        <w:bottom w:val="none" w:sz="0" w:space="0" w:color="auto"/>
        <w:right w:val="none" w:sz="0" w:space="0" w:color="auto"/>
      </w:divBdr>
    </w:div>
    <w:div w:id="139426915">
      <w:bodyDiv w:val="1"/>
      <w:marLeft w:val="0"/>
      <w:marRight w:val="0"/>
      <w:marTop w:val="0"/>
      <w:marBottom w:val="0"/>
      <w:divBdr>
        <w:top w:val="none" w:sz="0" w:space="0" w:color="auto"/>
        <w:left w:val="none" w:sz="0" w:space="0" w:color="auto"/>
        <w:bottom w:val="none" w:sz="0" w:space="0" w:color="auto"/>
        <w:right w:val="none" w:sz="0" w:space="0" w:color="auto"/>
      </w:divBdr>
    </w:div>
    <w:div w:id="140585846">
      <w:bodyDiv w:val="1"/>
      <w:marLeft w:val="0"/>
      <w:marRight w:val="0"/>
      <w:marTop w:val="0"/>
      <w:marBottom w:val="0"/>
      <w:divBdr>
        <w:top w:val="none" w:sz="0" w:space="0" w:color="auto"/>
        <w:left w:val="none" w:sz="0" w:space="0" w:color="auto"/>
        <w:bottom w:val="none" w:sz="0" w:space="0" w:color="auto"/>
        <w:right w:val="none" w:sz="0" w:space="0" w:color="auto"/>
      </w:divBdr>
    </w:div>
    <w:div w:id="142165301">
      <w:bodyDiv w:val="1"/>
      <w:marLeft w:val="0"/>
      <w:marRight w:val="0"/>
      <w:marTop w:val="0"/>
      <w:marBottom w:val="0"/>
      <w:divBdr>
        <w:top w:val="none" w:sz="0" w:space="0" w:color="auto"/>
        <w:left w:val="none" w:sz="0" w:space="0" w:color="auto"/>
        <w:bottom w:val="none" w:sz="0" w:space="0" w:color="auto"/>
        <w:right w:val="none" w:sz="0" w:space="0" w:color="auto"/>
      </w:divBdr>
    </w:div>
    <w:div w:id="145320137">
      <w:bodyDiv w:val="1"/>
      <w:marLeft w:val="0"/>
      <w:marRight w:val="0"/>
      <w:marTop w:val="0"/>
      <w:marBottom w:val="0"/>
      <w:divBdr>
        <w:top w:val="none" w:sz="0" w:space="0" w:color="auto"/>
        <w:left w:val="none" w:sz="0" w:space="0" w:color="auto"/>
        <w:bottom w:val="none" w:sz="0" w:space="0" w:color="auto"/>
        <w:right w:val="none" w:sz="0" w:space="0" w:color="auto"/>
      </w:divBdr>
    </w:div>
    <w:div w:id="151409649">
      <w:bodyDiv w:val="1"/>
      <w:marLeft w:val="0"/>
      <w:marRight w:val="0"/>
      <w:marTop w:val="0"/>
      <w:marBottom w:val="0"/>
      <w:divBdr>
        <w:top w:val="none" w:sz="0" w:space="0" w:color="auto"/>
        <w:left w:val="none" w:sz="0" w:space="0" w:color="auto"/>
        <w:bottom w:val="none" w:sz="0" w:space="0" w:color="auto"/>
        <w:right w:val="none" w:sz="0" w:space="0" w:color="auto"/>
      </w:divBdr>
    </w:div>
    <w:div w:id="156918936">
      <w:bodyDiv w:val="1"/>
      <w:marLeft w:val="0"/>
      <w:marRight w:val="0"/>
      <w:marTop w:val="0"/>
      <w:marBottom w:val="0"/>
      <w:divBdr>
        <w:top w:val="none" w:sz="0" w:space="0" w:color="auto"/>
        <w:left w:val="none" w:sz="0" w:space="0" w:color="auto"/>
        <w:bottom w:val="none" w:sz="0" w:space="0" w:color="auto"/>
        <w:right w:val="none" w:sz="0" w:space="0" w:color="auto"/>
      </w:divBdr>
    </w:div>
    <w:div w:id="159349895">
      <w:bodyDiv w:val="1"/>
      <w:marLeft w:val="0"/>
      <w:marRight w:val="0"/>
      <w:marTop w:val="0"/>
      <w:marBottom w:val="0"/>
      <w:divBdr>
        <w:top w:val="none" w:sz="0" w:space="0" w:color="auto"/>
        <w:left w:val="none" w:sz="0" w:space="0" w:color="auto"/>
        <w:bottom w:val="none" w:sz="0" w:space="0" w:color="auto"/>
        <w:right w:val="none" w:sz="0" w:space="0" w:color="auto"/>
      </w:divBdr>
    </w:div>
    <w:div w:id="162819645">
      <w:bodyDiv w:val="1"/>
      <w:marLeft w:val="0"/>
      <w:marRight w:val="0"/>
      <w:marTop w:val="0"/>
      <w:marBottom w:val="0"/>
      <w:divBdr>
        <w:top w:val="none" w:sz="0" w:space="0" w:color="auto"/>
        <w:left w:val="none" w:sz="0" w:space="0" w:color="auto"/>
        <w:bottom w:val="none" w:sz="0" w:space="0" w:color="auto"/>
        <w:right w:val="none" w:sz="0" w:space="0" w:color="auto"/>
      </w:divBdr>
    </w:div>
    <w:div w:id="163977743">
      <w:bodyDiv w:val="1"/>
      <w:marLeft w:val="0"/>
      <w:marRight w:val="0"/>
      <w:marTop w:val="0"/>
      <w:marBottom w:val="0"/>
      <w:divBdr>
        <w:top w:val="none" w:sz="0" w:space="0" w:color="auto"/>
        <w:left w:val="none" w:sz="0" w:space="0" w:color="auto"/>
        <w:bottom w:val="none" w:sz="0" w:space="0" w:color="auto"/>
        <w:right w:val="none" w:sz="0" w:space="0" w:color="auto"/>
      </w:divBdr>
    </w:div>
    <w:div w:id="164826304">
      <w:bodyDiv w:val="1"/>
      <w:marLeft w:val="0"/>
      <w:marRight w:val="0"/>
      <w:marTop w:val="0"/>
      <w:marBottom w:val="0"/>
      <w:divBdr>
        <w:top w:val="none" w:sz="0" w:space="0" w:color="auto"/>
        <w:left w:val="none" w:sz="0" w:space="0" w:color="auto"/>
        <w:bottom w:val="none" w:sz="0" w:space="0" w:color="auto"/>
        <w:right w:val="none" w:sz="0" w:space="0" w:color="auto"/>
      </w:divBdr>
    </w:div>
    <w:div w:id="165873802">
      <w:bodyDiv w:val="1"/>
      <w:marLeft w:val="0"/>
      <w:marRight w:val="0"/>
      <w:marTop w:val="0"/>
      <w:marBottom w:val="0"/>
      <w:divBdr>
        <w:top w:val="none" w:sz="0" w:space="0" w:color="auto"/>
        <w:left w:val="none" w:sz="0" w:space="0" w:color="auto"/>
        <w:bottom w:val="none" w:sz="0" w:space="0" w:color="auto"/>
        <w:right w:val="none" w:sz="0" w:space="0" w:color="auto"/>
      </w:divBdr>
    </w:div>
    <w:div w:id="166405747">
      <w:bodyDiv w:val="1"/>
      <w:marLeft w:val="0"/>
      <w:marRight w:val="0"/>
      <w:marTop w:val="0"/>
      <w:marBottom w:val="0"/>
      <w:divBdr>
        <w:top w:val="none" w:sz="0" w:space="0" w:color="auto"/>
        <w:left w:val="none" w:sz="0" w:space="0" w:color="auto"/>
        <w:bottom w:val="none" w:sz="0" w:space="0" w:color="auto"/>
        <w:right w:val="none" w:sz="0" w:space="0" w:color="auto"/>
      </w:divBdr>
    </w:div>
    <w:div w:id="169369432">
      <w:bodyDiv w:val="1"/>
      <w:marLeft w:val="0"/>
      <w:marRight w:val="0"/>
      <w:marTop w:val="0"/>
      <w:marBottom w:val="0"/>
      <w:divBdr>
        <w:top w:val="none" w:sz="0" w:space="0" w:color="auto"/>
        <w:left w:val="none" w:sz="0" w:space="0" w:color="auto"/>
        <w:bottom w:val="none" w:sz="0" w:space="0" w:color="auto"/>
        <w:right w:val="none" w:sz="0" w:space="0" w:color="auto"/>
      </w:divBdr>
    </w:div>
    <w:div w:id="170417084">
      <w:bodyDiv w:val="1"/>
      <w:marLeft w:val="0"/>
      <w:marRight w:val="0"/>
      <w:marTop w:val="0"/>
      <w:marBottom w:val="0"/>
      <w:divBdr>
        <w:top w:val="none" w:sz="0" w:space="0" w:color="auto"/>
        <w:left w:val="none" w:sz="0" w:space="0" w:color="auto"/>
        <w:bottom w:val="none" w:sz="0" w:space="0" w:color="auto"/>
        <w:right w:val="none" w:sz="0" w:space="0" w:color="auto"/>
      </w:divBdr>
    </w:div>
    <w:div w:id="170607233">
      <w:bodyDiv w:val="1"/>
      <w:marLeft w:val="0"/>
      <w:marRight w:val="0"/>
      <w:marTop w:val="0"/>
      <w:marBottom w:val="0"/>
      <w:divBdr>
        <w:top w:val="none" w:sz="0" w:space="0" w:color="auto"/>
        <w:left w:val="none" w:sz="0" w:space="0" w:color="auto"/>
        <w:bottom w:val="none" w:sz="0" w:space="0" w:color="auto"/>
        <w:right w:val="none" w:sz="0" w:space="0" w:color="auto"/>
      </w:divBdr>
    </w:div>
    <w:div w:id="182060955">
      <w:bodyDiv w:val="1"/>
      <w:marLeft w:val="0"/>
      <w:marRight w:val="0"/>
      <w:marTop w:val="0"/>
      <w:marBottom w:val="0"/>
      <w:divBdr>
        <w:top w:val="none" w:sz="0" w:space="0" w:color="auto"/>
        <w:left w:val="none" w:sz="0" w:space="0" w:color="auto"/>
        <w:bottom w:val="none" w:sz="0" w:space="0" w:color="auto"/>
        <w:right w:val="none" w:sz="0" w:space="0" w:color="auto"/>
      </w:divBdr>
    </w:div>
    <w:div w:id="183056890">
      <w:bodyDiv w:val="1"/>
      <w:marLeft w:val="0"/>
      <w:marRight w:val="0"/>
      <w:marTop w:val="0"/>
      <w:marBottom w:val="0"/>
      <w:divBdr>
        <w:top w:val="none" w:sz="0" w:space="0" w:color="auto"/>
        <w:left w:val="none" w:sz="0" w:space="0" w:color="auto"/>
        <w:bottom w:val="none" w:sz="0" w:space="0" w:color="auto"/>
        <w:right w:val="none" w:sz="0" w:space="0" w:color="auto"/>
      </w:divBdr>
    </w:div>
    <w:div w:id="184834890">
      <w:bodyDiv w:val="1"/>
      <w:marLeft w:val="0"/>
      <w:marRight w:val="0"/>
      <w:marTop w:val="0"/>
      <w:marBottom w:val="0"/>
      <w:divBdr>
        <w:top w:val="none" w:sz="0" w:space="0" w:color="auto"/>
        <w:left w:val="none" w:sz="0" w:space="0" w:color="auto"/>
        <w:bottom w:val="none" w:sz="0" w:space="0" w:color="auto"/>
        <w:right w:val="none" w:sz="0" w:space="0" w:color="auto"/>
      </w:divBdr>
    </w:div>
    <w:div w:id="186676483">
      <w:bodyDiv w:val="1"/>
      <w:marLeft w:val="0"/>
      <w:marRight w:val="0"/>
      <w:marTop w:val="0"/>
      <w:marBottom w:val="0"/>
      <w:divBdr>
        <w:top w:val="none" w:sz="0" w:space="0" w:color="auto"/>
        <w:left w:val="none" w:sz="0" w:space="0" w:color="auto"/>
        <w:bottom w:val="none" w:sz="0" w:space="0" w:color="auto"/>
        <w:right w:val="none" w:sz="0" w:space="0" w:color="auto"/>
      </w:divBdr>
    </w:div>
    <w:div w:id="190804692">
      <w:bodyDiv w:val="1"/>
      <w:marLeft w:val="0"/>
      <w:marRight w:val="0"/>
      <w:marTop w:val="0"/>
      <w:marBottom w:val="0"/>
      <w:divBdr>
        <w:top w:val="none" w:sz="0" w:space="0" w:color="auto"/>
        <w:left w:val="none" w:sz="0" w:space="0" w:color="auto"/>
        <w:bottom w:val="none" w:sz="0" w:space="0" w:color="auto"/>
        <w:right w:val="none" w:sz="0" w:space="0" w:color="auto"/>
      </w:divBdr>
    </w:div>
    <w:div w:id="190846402">
      <w:bodyDiv w:val="1"/>
      <w:marLeft w:val="0"/>
      <w:marRight w:val="0"/>
      <w:marTop w:val="0"/>
      <w:marBottom w:val="0"/>
      <w:divBdr>
        <w:top w:val="none" w:sz="0" w:space="0" w:color="auto"/>
        <w:left w:val="none" w:sz="0" w:space="0" w:color="auto"/>
        <w:bottom w:val="none" w:sz="0" w:space="0" w:color="auto"/>
        <w:right w:val="none" w:sz="0" w:space="0" w:color="auto"/>
      </w:divBdr>
    </w:div>
    <w:div w:id="193613235">
      <w:bodyDiv w:val="1"/>
      <w:marLeft w:val="0"/>
      <w:marRight w:val="0"/>
      <w:marTop w:val="0"/>
      <w:marBottom w:val="0"/>
      <w:divBdr>
        <w:top w:val="none" w:sz="0" w:space="0" w:color="auto"/>
        <w:left w:val="none" w:sz="0" w:space="0" w:color="auto"/>
        <w:bottom w:val="none" w:sz="0" w:space="0" w:color="auto"/>
        <w:right w:val="none" w:sz="0" w:space="0" w:color="auto"/>
      </w:divBdr>
    </w:div>
    <w:div w:id="196696785">
      <w:bodyDiv w:val="1"/>
      <w:marLeft w:val="0"/>
      <w:marRight w:val="0"/>
      <w:marTop w:val="0"/>
      <w:marBottom w:val="0"/>
      <w:divBdr>
        <w:top w:val="none" w:sz="0" w:space="0" w:color="auto"/>
        <w:left w:val="none" w:sz="0" w:space="0" w:color="auto"/>
        <w:bottom w:val="none" w:sz="0" w:space="0" w:color="auto"/>
        <w:right w:val="none" w:sz="0" w:space="0" w:color="auto"/>
      </w:divBdr>
    </w:div>
    <w:div w:id="197013503">
      <w:bodyDiv w:val="1"/>
      <w:marLeft w:val="0"/>
      <w:marRight w:val="0"/>
      <w:marTop w:val="0"/>
      <w:marBottom w:val="0"/>
      <w:divBdr>
        <w:top w:val="none" w:sz="0" w:space="0" w:color="auto"/>
        <w:left w:val="none" w:sz="0" w:space="0" w:color="auto"/>
        <w:bottom w:val="none" w:sz="0" w:space="0" w:color="auto"/>
        <w:right w:val="none" w:sz="0" w:space="0" w:color="auto"/>
      </w:divBdr>
    </w:div>
    <w:div w:id="198397980">
      <w:bodyDiv w:val="1"/>
      <w:marLeft w:val="0"/>
      <w:marRight w:val="0"/>
      <w:marTop w:val="0"/>
      <w:marBottom w:val="0"/>
      <w:divBdr>
        <w:top w:val="none" w:sz="0" w:space="0" w:color="auto"/>
        <w:left w:val="none" w:sz="0" w:space="0" w:color="auto"/>
        <w:bottom w:val="none" w:sz="0" w:space="0" w:color="auto"/>
        <w:right w:val="none" w:sz="0" w:space="0" w:color="auto"/>
      </w:divBdr>
    </w:div>
    <w:div w:id="199513927">
      <w:bodyDiv w:val="1"/>
      <w:marLeft w:val="0"/>
      <w:marRight w:val="0"/>
      <w:marTop w:val="0"/>
      <w:marBottom w:val="0"/>
      <w:divBdr>
        <w:top w:val="none" w:sz="0" w:space="0" w:color="auto"/>
        <w:left w:val="none" w:sz="0" w:space="0" w:color="auto"/>
        <w:bottom w:val="none" w:sz="0" w:space="0" w:color="auto"/>
        <w:right w:val="none" w:sz="0" w:space="0" w:color="auto"/>
      </w:divBdr>
    </w:div>
    <w:div w:id="200098635">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879357">
      <w:bodyDiv w:val="1"/>
      <w:marLeft w:val="0"/>
      <w:marRight w:val="0"/>
      <w:marTop w:val="0"/>
      <w:marBottom w:val="0"/>
      <w:divBdr>
        <w:top w:val="none" w:sz="0" w:space="0" w:color="auto"/>
        <w:left w:val="none" w:sz="0" w:space="0" w:color="auto"/>
        <w:bottom w:val="none" w:sz="0" w:space="0" w:color="auto"/>
        <w:right w:val="none" w:sz="0" w:space="0" w:color="auto"/>
      </w:divBdr>
    </w:div>
    <w:div w:id="210269992">
      <w:bodyDiv w:val="1"/>
      <w:marLeft w:val="0"/>
      <w:marRight w:val="0"/>
      <w:marTop w:val="0"/>
      <w:marBottom w:val="0"/>
      <w:divBdr>
        <w:top w:val="none" w:sz="0" w:space="0" w:color="auto"/>
        <w:left w:val="none" w:sz="0" w:space="0" w:color="auto"/>
        <w:bottom w:val="none" w:sz="0" w:space="0" w:color="auto"/>
        <w:right w:val="none" w:sz="0" w:space="0" w:color="auto"/>
      </w:divBdr>
    </w:div>
    <w:div w:id="221524565">
      <w:bodyDiv w:val="1"/>
      <w:marLeft w:val="0"/>
      <w:marRight w:val="0"/>
      <w:marTop w:val="0"/>
      <w:marBottom w:val="0"/>
      <w:divBdr>
        <w:top w:val="none" w:sz="0" w:space="0" w:color="auto"/>
        <w:left w:val="none" w:sz="0" w:space="0" w:color="auto"/>
        <w:bottom w:val="none" w:sz="0" w:space="0" w:color="auto"/>
        <w:right w:val="none" w:sz="0" w:space="0" w:color="auto"/>
      </w:divBdr>
    </w:div>
    <w:div w:id="223298386">
      <w:bodyDiv w:val="1"/>
      <w:marLeft w:val="0"/>
      <w:marRight w:val="0"/>
      <w:marTop w:val="0"/>
      <w:marBottom w:val="0"/>
      <w:divBdr>
        <w:top w:val="none" w:sz="0" w:space="0" w:color="auto"/>
        <w:left w:val="none" w:sz="0" w:space="0" w:color="auto"/>
        <w:bottom w:val="none" w:sz="0" w:space="0" w:color="auto"/>
        <w:right w:val="none" w:sz="0" w:space="0" w:color="auto"/>
      </w:divBdr>
    </w:div>
    <w:div w:id="228731433">
      <w:bodyDiv w:val="1"/>
      <w:marLeft w:val="0"/>
      <w:marRight w:val="0"/>
      <w:marTop w:val="0"/>
      <w:marBottom w:val="0"/>
      <w:divBdr>
        <w:top w:val="none" w:sz="0" w:space="0" w:color="auto"/>
        <w:left w:val="none" w:sz="0" w:space="0" w:color="auto"/>
        <w:bottom w:val="none" w:sz="0" w:space="0" w:color="auto"/>
        <w:right w:val="none" w:sz="0" w:space="0" w:color="auto"/>
      </w:divBdr>
    </w:div>
    <w:div w:id="229000688">
      <w:bodyDiv w:val="1"/>
      <w:marLeft w:val="0"/>
      <w:marRight w:val="0"/>
      <w:marTop w:val="0"/>
      <w:marBottom w:val="0"/>
      <w:divBdr>
        <w:top w:val="none" w:sz="0" w:space="0" w:color="auto"/>
        <w:left w:val="none" w:sz="0" w:space="0" w:color="auto"/>
        <w:bottom w:val="none" w:sz="0" w:space="0" w:color="auto"/>
        <w:right w:val="none" w:sz="0" w:space="0" w:color="auto"/>
      </w:divBdr>
    </w:div>
    <w:div w:id="230428048">
      <w:bodyDiv w:val="1"/>
      <w:marLeft w:val="0"/>
      <w:marRight w:val="0"/>
      <w:marTop w:val="0"/>
      <w:marBottom w:val="0"/>
      <w:divBdr>
        <w:top w:val="none" w:sz="0" w:space="0" w:color="auto"/>
        <w:left w:val="none" w:sz="0" w:space="0" w:color="auto"/>
        <w:bottom w:val="none" w:sz="0" w:space="0" w:color="auto"/>
        <w:right w:val="none" w:sz="0" w:space="0" w:color="auto"/>
      </w:divBdr>
    </w:div>
    <w:div w:id="236406615">
      <w:bodyDiv w:val="1"/>
      <w:marLeft w:val="0"/>
      <w:marRight w:val="0"/>
      <w:marTop w:val="0"/>
      <w:marBottom w:val="0"/>
      <w:divBdr>
        <w:top w:val="none" w:sz="0" w:space="0" w:color="auto"/>
        <w:left w:val="none" w:sz="0" w:space="0" w:color="auto"/>
        <w:bottom w:val="none" w:sz="0" w:space="0" w:color="auto"/>
        <w:right w:val="none" w:sz="0" w:space="0" w:color="auto"/>
      </w:divBdr>
    </w:div>
    <w:div w:id="239826555">
      <w:bodyDiv w:val="1"/>
      <w:marLeft w:val="0"/>
      <w:marRight w:val="0"/>
      <w:marTop w:val="0"/>
      <w:marBottom w:val="0"/>
      <w:divBdr>
        <w:top w:val="none" w:sz="0" w:space="0" w:color="auto"/>
        <w:left w:val="none" w:sz="0" w:space="0" w:color="auto"/>
        <w:bottom w:val="none" w:sz="0" w:space="0" w:color="auto"/>
        <w:right w:val="none" w:sz="0" w:space="0" w:color="auto"/>
      </w:divBdr>
    </w:div>
    <w:div w:id="241717854">
      <w:bodyDiv w:val="1"/>
      <w:marLeft w:val="0"/>
      <w:marRight w:val="0"/>
      <w:marTop w:val="0"/>
      <w:marBottom w:val="0"/>
      <w:divBdr>
        <w:top w:val="none" w:sz="0" w:space="0" w:color="auto"/>
        <w:left w:val="none" w:sz="0" w:space="0" w:color="auto"/>
        <w:bottom w:val="none" w:sz="0" w:space="0" w:color="auto"/>
        <w:right w:val="none" w:sz="0" w:space="0" w:color="auto"/>
      </w:divBdr>
    </w:div>
    <w:div w:id="244732695">
      <w:bodyDiv w:val="1"/>
      <w:marLeft w:val="0"/>
      <w:marRight w:val="0"/>
      <w:marTop w:val="0"/>
      <w:marBottom w:val="0"/>
      <w:divBdr>
        <w:top w:val="none" w:sz="0" w:space="0" w:color="auto"/>
        <w:left w:val="none" w:sz="0" w:space="0" w:color="auto"/>
        <w:bottom w:val="none" w:sz="0" w:space="0" w:color="auto"/>
        <w:right w:val="none" w:sz="0" w:space="0" w:color="auto"/>
      </w:divBdr>
    </w:div>
    <w:div w:id="245117090">
      <w:bodyDiv w:val="1"/>
      <w:marLeft w:val="0"/>
      <w:marRight w:val="0"/>
      <w:marTop w:val="0"/>
      <w:marBottom w:val="0"/>
      <w:divBdr>
        <w:top w:val="none" w:sz="0" w:space="0" w:color="auto"/>
        <w:left w:val="none" w:sz="0" w:space="0" w:color="auto"/>
        <w:bottom w:val="none" w:sz="0" w:space="0" w:color="auto"/>
        <w:right w:val="none" w:sz="0" w:space="0" w:color="auto"/>
      </w:divBdr>
    </w:div>
    <w:div w:id="248732022">
      <w:bodyDiv w:val="1"/>
      <w:marLeft w:val="0"/>
      <w:marRight w:val="0"/>
      <w:marTop w:val="0"/>
      <w:marBottom w:val="0"/>
      <w:divBdr>
        <w:top w:val="none" w:sz="0" w:space="0" w:color="auto"/>
        <w:left w:val="none" w:sz="0" w:space="0" w:color="auto"/>
        <w:bottom w:val="none" w:sz="0" w:space="0" w:color="auto"/>
        <w:right w:val="none" w:sz="0" w:space="0" w:color="auto"/>
      </w:divBdr>
    </w:div>
    <w:div w:id="254871296">
      <w:bodyDiv w:val="1"/>
      <w:marLeft w:val="0"/>
      <w:marRight w:val="0"/>
      <w:marTop w:val="0"/>
      <w:marBottom w:val="0"/>
      <w:divBdr>
        <w:top w:val="none" w:sz="0" w:space="0" w:color="auto"/>
        <w:left w:val="none" w:sz="0" w:space="0" w:color="auto"/>
        <w:bottom w:val="none" w:sz="0" w:space="0" w:color="auto"/>
        <w:right w:val="none" w:sz="0" w:space="0" w:color="auto"/>
      </w:divBdr>
    </w:div>
    <w:div w:id="255141177">
      <w:bodyDiv w:val="1"/>
      <w:marLeft w:val="0"/>
      <w:marRight w:val="0"/>
      <w:marTop w:val="0"/>
      <w:marBottom w:val="0"/>
      <w:divBdr>
        <w:top w:val="none" w:sz="0" w:space="0" w:color="auto"/>
        <w:left w:val="none" w:sz="0" w:space="0" w:color="auto"/>
        <w:bottom w:val="none" w:sz="0" w:space="0" w:color="auto"/>
        <w:right w:val="none" w:sz="0" w:space="0" w:color="auto"/>
      </w:divBdr>
    </w:div>
    <w:div w:id="258294528">
      <w:bodyDiv w:val="1"/>
      <w:marLeft w:val="0"/>
      <w:marRight w:val="0"/>
      <w:marTop w:val="0"/>
      <w:marBottom w:val="0"/>
      <w:divBdr>
        <w:top w:val="none" w:sz="0" w:space="0" w:color="auto"/>
        <w:left w:val="none" w:sz="0" w:space="0" w:color="auto"/>
        <w:bottom w:val="none" w:sz="0" w:space="0" w:color="auto"/>
        <w:right w:val="none" w:sz="0" w:space="0" w:color="auto"/>
      </w:divBdr>
    </w:div>
    <w:div w:id="258410117">
      <w:bodyDiv w:val="1"/>
      <w:marLeft w:val="0"/>
      <w:marRight w:val="0"/>
      <w:marTop w:val="0"/>
      <w:marBottom w:val="0"/>
      <w:divBdr>
        <w:top w:val="none" w:sz="0" w:space="0" w:color="auto"/>
        <w:left w:val="none" w:sz="0" w:space="0" w:color="auto"/>
        <w:bottom w:val="none" w:sz="0" w:space="0" w:color="auto"/>
        <w:right w:val="none" w:sz="0" w:space="0" w:color="auto"/>
      </w:divBdr>
    </w:div>
    <w:div w:id="268898435">
      <w:bodyDiv w:val="1"/>
      <w:marLeft w:val="0"/>
      <w:marRight w:val="0"/>
      <w:marTop w:val="0"/>
      <w:marBottom w:val="0"/>
      <w:divBdr>
        <w:top w:val="none" w:sz="0" w:space="0" w:color="auto"/>
        <w:left w:val="none" w:sz="0" w:space="0" w:color="auto"/>
        <w:bottom w:val="none" w:sz="0" w:space="0" w:color="auto"/>
        <w:right w:val="none" w:sz="0" w:space="0" w:color="auto"/>
      </w:divBdr>
    </w:div>
    <w:div w:id="274098416">
      <w:bodyDiv w:val="1"/>
      <w:marLeft w:val="0"/>
      <w:marRight w:val="0"/>
      <w:marTop w:val="0"/>
      <w:marBottom w:val="0"/>
      <w:divBdr>
        <w:top w:val="none" w:sz="0" w:space="0" w:color="auto"/>
        <w:left w:val="none" w:sz="0" w:space="0" w:color="auto"/>
        <w:bottom w:val="none" w:sz="0" w:space="0" w:color="auto"/>
        <w:right w:val="none" w:sz="0" w:space="0" w:color="auto"/>
      </w:divBdr>
    </w:div>
    <w:div w:id="279843212">
      <w:bodyDiv w:val="1"/>
      <w:marLeft w:val="0"/>
      <w:marRight w:val="0"/>
      <w:marTop w:val="0"/>
      <w:marBottom w:val="0"/>
      <w:divBdr>
        <w:top w:val="none" w:sz="0" w:space="0" w:color="auto"/>
        <w:left w:val="none" w:sz="0" w:space="0" w:color="auto"/>
        <w:bottom w:val="none" w:sz="0" w:space="0" w:color="auto"/>
        <w:right w:val="none" w:sz="0" w:space="0" w:color="auto"/>
      </w:divBdr>
    </w:div>
    <w:div w:id="287903605">
      <w:bodyDiv w:val="1"/>
      <w:marLeft w:val="0"/>
      <w:marRight w:val="0"/>
      <w:marTop w:val="0"/>
      <w:marBottom w:val="0"/>
      <w:divBdr>
        <w:top w:val="none" w:sz="0" w:space="0" w:color="auto"/>
        <w:left w:val="none" w:sz="0" w:space="0" w:color="auto"/>
        <w:bottom w:val="none" w:sz="0" w:space="0" w:color="auto"/>
        <w:right w:val="none" w:sz="0" w:space="0" w:color="auto"/>
      </w:divBdr>
    </w:div>
    <w:div w:id="289745503">
      <w:bodyDiv w:val="1"/>
      <w:marLeft w:val="0"/>
      <w:marRight w:val="0"/>
      <w:marTop w:val="0"/>
      <w:marBottom w:val="0"/>
      <w:divBdr>
        <w:top w:val="none" w:sz="0" w:space="0" w:color="auto"/>
        <w:left w:val="none" w:sz="0" w:space="0" w:color="auto"/>
        <w:bottom w:val="none" w:sz="0" w:space="0" w:color="auto"/>
        <w:right w:val="none" w:sz="0" w:space="0" w:color="auto"/>
      </w:divBdr>
    </w:div>
    <w:div w:id="294408890">
      <w:bodyDiv w:val="1"/>
      <w:marLeft w:val="0"/>
      <w:marRight w:val="0"/>
      <w:marTop w:val="0"/>
      <w:marBottom w:val="0"/>
      <w:divBdr>
        <w:top w:val="none" w:sz="0" w:space="0" w:color="auto"/>
        <w:left w:val="none" w:sz="0" w:space="0" w:color="auto"/>
        <w:bottom w:val="none" w:sz="0" w:space="0" w:color="auto"/>
        <w:right w:val="none" w:sz="0" w:space="0" w:color="auto"/>
      </w:divBdr>
    </w:div>
    <w:div w:id="296030533">
      <w:bodyDiv w:val="1"/>
      <w:marLeft w:val="0"/>
      <w:marRight w:val="0"/>
      <w:marTop w:val="0"/>
      <w:marBottom w:val="0"/>
      <w:divBdr>
        <w:top w:val="none" w:sz="0" w:space="0" w:color="auto"/>
        <w:left w:val="none" w:sz="0" w:space="0" w:color="auto"/>
        <w:bottom w:val="none" w:sz="0" w:space="0" w:color="auto"/>
        <w:right w:val="none" w:sz="0" w:space="0" w:color="auto"/>
      </w:divBdr>
    </w:div>
    <w:div w:id="298804915">
      <w:bodyDiv w:val="1"/>
      <w:marLeft w:val="0"/>
      <w:marRight w:val="0"/>
      <w:marTop w:val="0"/>
      <w:marBottom w:val="0"/>
      <w:divBdr>
        <w:top w:val="none" w:sz="0" w:space="0" w:color="auto"/>
        <w:left w:val="none" w:sz="0" w:space="0" w:color="auto"/>
        <w:bottom w:val="none" w:sz="0" w:space="0" w:color="auto"/>
        <w:right w:val="none" w:sz="0" w:space="0" w:color="auto"/>
      </w:divBdr>
    </w:div>
    <w:div w:id="299266889">
      <w:bodyDiv w:val="1"/>
      <w:marLeft w:val="0"/>
      <w:marRight w:val="0"/>
      <w:marTop w:val="0"/>
      <w:marBottom w:val="0"/>
      <w:divBdr>
        <w:top w:val="none" w:sz="0" w:space="0" w:color="auto"/>
        <w:left w:val="none" w:sz="0" w:space="0" w:color="auto"/>
        <w:bottom w:val="none" w:sz="0" w:space="0" w:color="auto"/>
        <w:right w:val="none" w:sz="0" w:space="0" w:color="auto"/>
      </w:divBdr>
    </w:div>
    <w:div w:id="302393102">
      <w:bodyDiv w:val="1"/>
      <w:marLeft w:val="0"/>
      <w:marRight w:val="0"/>
      <w:marTop w:val="0"/>
      <w:marBottom w:val="0"/>
      <w:divBdr>
        <w:top w:val="none" w:sz="0" w:space="0" w:color="auto"/>
        <w:left w:val="none" w:sz="0" w:space="0" w:color="auto"/>
        <w:bottom w:val="none" w:sz="0" w:space="0" w:color="auto"/>
        <w:right w:val="none" w:sz="0" w:space="0" w:color="auto"/>
      </w:divBdr>
    </w:div>
    <w:div w:id="306590932">
      <w:bodyDiv w:val="1"/>
      <w:marLeft w:val="0"/>
      <w:marRight w:val="0"/>
      <w:marTop w:val="0"/>
      <w:marBottom w:val="0"/>
      <w:divBdr>
        <w:top w:val="none" w:sz="0" w:space="0" w:color="auto"/>
        <w:left w:val="none" w:sz="0" w:space="0" w:color="auto"/>
        <w:bottom w:val="none" w:sz="0" w:space="0" w:color="auto"/>
        <w:right w:val="none" w:sz="0" w:space="0" w:color="auto"/>
      </w:divBdr>
    </w:div>
    <w:div w:id="311914536">
      <w:bodyDiv w:val="1"/>
      <w:marLeft w:val="0"/>
      <w:marRight w:val="0"/>
      <w:marTop w:val="0"/>
      <w:marBottom w:val="0"/>
      <w:divBdr>
        <w:top w:val="none" w:sz="0" w:space="0" w:color="auto"/>
        <w:left w:val="none" w:sz="0" w:space="0" w:color="auto"/>
        <w:bottom w:val="none" w:sz="0" w:space="0" w:color="auto"/>
        <w:right w:val="none" w:sz="0" w:space="0" w:color="auto"/>
      </w:divBdr>
    </w:div>
    <w:div w:id="314183590">
      <w:bodyDiv w:val="1"/>
      <w:marLeft w:val="0"/>
      <w:marRight w:val="0"/>
      <w:marTop w:val="0"/>
      <w:marBottom w:val="0"/>
      <w:divBdr>
        <w:top w:val="none" w:sz="0" w:space="0" w:color="auto"/>
        <w:left w:val="none" w:sz="0" w:space="0" w:color="auto"/>
        <w:bottom w:val="none" w:sz="0" w:space="0" w:color="auto"/>
        <w:right w:val="none" w:sz="0" w:space="0" w:color="auto"/>
      </w:divBdr>
    </w:div>
    <w:div w:id="315258660">
      <w:bodyDiv w:val="1"/>
      <w:marLeft w:val="0"/>
      <w:marRight w:val="0"/>
      <w:marTop w:val="0"/>
      <w:marBottom w:val="0"/>
      <w:divBdr>
        <w:top w:val="none" w:sz="0" w:space="0" w:color="auto"/>
        <w:left w:val="none" w:sz="0" w:space="0" w:color="auto"/>
        <w:bottom w:val="none" w:sz="0" w:space="0" w:color="auto"/>
        <w:right w:val="none" w:sz="0" w:space="0" w:color="auto"/>
      </w:divBdr>
    </w:div>
    <w:div w:id="319044546">
      <w:bodyDiv w:val="1"/>
      <w:marLeft w:val="0"/>
      <w:marRight w:val="0"/>
      <w:marTop w:val="0"/>
      <w:marBottom w:val="0"/>
      <w:divBdr>
        <w:top w:val="none" w:sz="0" w:space="0" w:color="auto"/>
        <w:left w:val="none" w:sz="0" w:space="0" w:color="auto"/>
        <w:bottom w:val="none" w:sz="0" w:space="0" w:color="auto"/>
        <w:right w:val="none" w:sz="0" w:space="0" w:color="auto"/>
      </w:divBdr>
    </w:div>
    <w:div w:id="323052232">
      <w:bodyDiv w:val="1"/>
      <w:marLeft w:val="0"/>
      <w:marRight w:val="0"/>
      <w:marTop w:val="0"/>
      <w:marBottom w:val="0"/>
      <w:divBdr>
        <w:top w:val="none" w:sz="0" w:space="0" w:color="auto"/>
        <w:left w:val="none" w:sz="0" w:space="0" w:color="auto"/>
        <w:bottom w:val="none" w:sz="0" w:space="0" w:color="auto"/>
        <w:right w:val="none" w:sz="0" w:space="0" w:color="auto"/>
      </w:divBdr>
    </w:div>
    <w:div w:id="325281793">
      <w:bodyDiv w:val="1"/>
      <w:marLeft w:val="0"/>
      <w:marRight w:val="0"/>
      <w:marTop w:val="0"/>
      <w:marBottom w:val="0"/>
      <w:divBdr>
        <w:top w:val="none" w:sz="0" w:space="0" w:color="auto"/>
        <w:left w:val="none" w:sz="0" w:space="0" w:color="auto"/>
        <w:bottom w:val="none" w:sz="0" w:space="0" w:color="auto"/>
        <w:right w:val="none" w:sz="0" w:space="0" w:color="auto"/>
      </w:divBdr>
    </w:div>
    <w:div w:id="327755698">
      <w:bodyDiv w:val="1"/>
      <w:marLeft w:val="0"/>
      <w:marRight w:val="0"/>
      <w:marTop w:val="0"/>
      <w:marBottom w:val="0"/>
      <w:divBdr>
        <w:top w:val="none" w:sz="0" w:space="0" w:color="auto"/>
        <w:left w:val="none" w:sz="0" w:space="0" w:color="auto"/>
        <w:bottom w:val="none" w:sz="0" w:space="0" w:color="auto"/>
        <w:right w:val="none" w:sz="0" w:space="0" w:color="auto"/>
      </w:divBdr>
    </w:div>
    <w:div w:id="33411668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7737344">
      <w:bodyDiv w:val="1"/>
      <w:marLeft w:val="0"/>
      <w:marRight w:val="0"/>
      <w:marTop w:val="0"/>
      <w:marBottom w:val="0"/>
      <w:divBdr>
        <w:top w:val="none" w:sz="0" w:space="0" w:color="auto"/>
        <w:left w:val="none" w:sz="0" w:space="0" w:color="auto"/>
        <w:bottom w:val="none" w:sz="0" w:space="0" w:color="auto"/>
        <w:right w:val="none" w:sz="0" w:space="0" w:color="auto"/>
      </w:divBdr>
    </w:div>
    <w:div w:id="338000179">
      <w:bodyDiv w:val="1"/>
      <w:marLeft w:val="0"/>
      <w:marRight w:val="0"/>
      <w:marTop w:val="0"/>
      <w:marBottom w:val="0"/>
      <w:divBdr>
        <w:top w:val="none" w:sz="0" w:space="0" w:color="auto"/>
        <w:left w:val="none" w:sz="0" w:space="0" w:color="auto"/>
        <w:bottom w:val="none" w:sz="0" w:space="0" w:color="auto"/>
        <w:right w:val="none" w:sz="0" w:space="0" w:color="auto"/>
      </w:divBdr>
    </w:div>
    <w:div w:id="338239722">
      <w:bodyDiv w:val="1"/>
      <w:marLeft w:val="0"/>
      <w:marRight w:val="0"/>
      <w:marTop w:val="0"/>
      <w:marBottom w:val="0"/>
      <w:divBdr>
        <w:top w:val="none" w:sz="0" w:space="0" w:color="auto"/>
        <w:left w:val="none" w:sz="0" w:space="0" w:color="auto"/>
        <w:bottom w:val="none" w:sz="0" w:space="0" w:color="auto"/>
        <w:right w:val="none" w:sz="0" w:space="0" w:color="auto"/>
      </w:divBdr>
    </w:div>
    <w:div w:id="339430341">
      <w:bodyDiv w:val="1"/>
      <w:marLeft w:val="0"/>
      <w:marRight w:val="0"/>
      <w:marTop w:val="0"/>
      <w:marBottom w:val="0"/>
      <w:divBdr>
        <w:top w:val="none" w:sz="0" w:space="0" w:color="auto"/>
        <w:left w:val="none" w:sz="0" w:space="0" w:color="auto"/>
        <w:bottom w:val="none" w:sz="0" w:space="0" w:color="auto"/>
        <w:right w:val="none" w:sz="0" w:space="0" w:color="auto"/>
      </w:divBdr>
    </w:div>
    <w:div w:id="339478465">
      <w:bodyDiv w:val="1"/>
      <w:marLeft w:val="0"/>
      <w:marRight w:val="0"/>
      <w:marTop w:val="0"/>
      <w:marBottom w:val="0"/>
      <w:divBdr>
        <w:top w:val="none" w:sz="0" w:space="0" w:color="auto"/>
        <w:left w:val="none" w:sz="0" w:space="0" w:color="auto"/>
        <w:bottom w:val="none" w:sz="0" w:space="0" w:color="auto"/>
        <w:right w:val="none" w:sz="0" w:space="0" w:color="auto"/>
      </w:divBdr>
    </w:div>
    <w:div w:id="341518772">
      <w:bodyDiv w:val="1"/>
      <w:marLeft w:val="0"/>
      <w:marRight w:val="0"/>
      <w:marTop w:val="0"/>
      <w:marBottom w:val="0"/>
      <w:divBdr>
        <w:top w:val="none" w:sz="0" w:space="0" w:color="auto"/>
        <w:left w:val="none" w:sz="0" w:space="0" w:color="auto"/>
        <w:bottom w:val="none" w:sz="0" w:space="0" w:color="auto"/>
        <w:right w:val="none" w:sz="0" w:space="0" w:color="auto"/>
      </w:divBdr>
    </w:div>
    <w:div w:id="344746185">
      <w:bodyDiv w:val="1"/>
      <w:marLeft w:val="0"/>
      <w:marRight w:val="0"/>
      <w:marTop w:val="0"/>
      <w:marBottom w:val="0"/>
      <w:divBdr>
        <w:top w:val="none" w:sz="0" w:space="0" w:color="auto"/>
        <w:left w:val="none" w:sz="0" w:space="0" w:color="auto"/>
        <w:bottom w:val="none" w:sz="0" w:space="0" w:color="auto"/>
        <w:right w:val="none" w:sz="0" w:space="0" w:color="auto"/>
      </w:divBdr>
    </w:div>
    <w:div w:id="344748396">
      <w:bodyDiv w:val="1"/>
      <w:marLeft w:val="0"/>
      <w:marRight w:val="0"/>
      <w:marTop w:val="0"/>
      <w:marBottom w:val="0"/>
      <w:divBdr>
        <w:top w:val="none" w:sz="0" w:space="0" w:color="auto"/>
        <w:left w:val="none" w:sz="0" w:space="0" w:color="auto"/>
        <w:bottom w:val="none" w:sz="0" w:space="0" w:color="auto"/>
        <w:right w:val="none" w:sz="0" w:space="0" w:color="auto"/>
      </w:divBdr>
    </w:div>
    <w:div w:id="347484898">
      <w:bodyDiv w:val="1"/>
      <w:marLeft w:val="0"/>
      <w:marRight w:val="0"/>
      <w:marTop w:val="0"/>
      <w:marBottom w:val="0"/>
      <w:divBdr>
        <w:top w:val="none" w:sz="0" w:space="0" w:color="auto"/>
        <w:left w:val="none" w:sz="0" w:space="0" w:color="auto"/>
        <w:bottom w:val="none" w:sz="0" w:space="0" w:color="auto"/>
        <w:right w:val="none" w:sz="0" w:space="0" w:color="auto"/>
      </w:divBdr>
    </w:div>
    <w:div w:id="351344882">
      <w:bodyDiv w:val="1"/>
      <w:marLeft w:val="0"/>
      <w:marRight w:val="0"/>
      <w:marTop w:val="0"/>
      <w:marBottom w:val="0"/>
      <w:divBdr>
        <w:top w:val="none" w:sz="0" w:space="0" w:color="auto"/>
        <w:left w:val="none" w:sz="0" w:space="0" w:color="auto"/>
        <w:bottom w:val="none" w:sz="0" w:space="0" w:color="auto"/>
        <w:right w:val="none" w:sz="0" w:space="0" w:color="auto"/>
      </w:divBdr>
    </w:div>
    <w:div w:id="353389336">
      <w:bodyDiv w:val="1"/>
      <w:marLeft w:val="0"/>
      <w:marRight w:val="0"/>
      <w:marTop w:val="0"/>
      <w:marBottom w:val="0"/>
      <w:divBdr>
        <w:top w:val="none" w:sz="0" w:space="0" w:color="auto"/>
        <w:left w:val="none" w:sz="0" w:space="0" w:color="auto"/>
        <w:bottom w:val="none" w:sz="0" w:space="0" w:color="auto"/>
        <w:right w:val="none" w:sz="0" w:space="0" w:color="auto"/>
      </w:divBdr>
    </w:div>
    <w:div w:id="354237931">
      <w:bodyDiv w:val="1"/>
      <w:marLeft w:val="0"/>
      <w:marRight w:val="0"/>
      <w:marTop w:val="0"/>
      <w:marBottom w:val="0"/>
      <w:divBdr>
        <w:top w:val="none" w:sz="0" w:space="0" w:color="auto"/>
        <w:left w:val="none" w:sz="0" w:space="0" w:color="auto"/>
        <w:bottom w:val="none" w:sz="0" w:space="0" w:color="auto"/>
        <w:right w:val="none" w:sz="0" w:space="0" w:color="auto"/>
      </w:divBdr>
    </w:div>
    <w:div w:id="355692299">
      <w:bodyDiv w:val="1"/>
      <w:marLeft w:val="0"/>
      <w:marRight w:val="0"/>
      <w:marTop w:val="0"/>
      <w:marBottom w:val="0"/>
      <w:divBdr>
        <w:top w:val="none" w:sz="0" w:space="0" w:color="auto"/>
        <w:left w:val="none" w:sz="0" w:space="0" w:color="auto"/>
        <w:bottom w:val="none" w:sz="0" w:space="0" w:color="auto"/>
        <w:right w:val="none" w:sz="0" w:space="0" w:color="auto"/>
      </w:divBdr>
    </w:div>
    <w:div w:id="355883581">
      <w:bodyDiv w:val="1"/>
      <w:marLeft w:val="0"/>
      <w:marRight w:val="0"/>
      <w:marTop w:val="0"/>
      <w:marBottom w:val="0"/>
      <w:divBdr>
        <w:top w:val="none" w:sz="0" w:space="0" w:color="auto"/>
        <w:left w:val="none" w:sz="0" w:space="0" w:color="auto"/>
        <w:bottom w:val="none" w:sz="0" w:space="0" w:color="auto"/>
        <w:right w:val="none" w:sz="0" w:space="0" w:color="auto"/>
      </w:divBdr>
    </w:div>
    <w:div w:id="356471941">
      <w:bodyDiv w:val="1"/>
      <w:marLeft w:val="0"/>
      <w:marRight w:val="0"/>
      <w:marTop w:val="0"/>
      <w:marBottom w:val="0"/>
      <w:divBdr>
        <w:top w:val="none" w:sz="0" w:space="0" w:color="auto"/>
        <w:left w:val="none" w:sz="0" w:space="0" w:color="auto"/>
        <w:bottom w:val="none" w:sz="0" w:space="0" w:color="auto"/>
        <w:right w:val="none" w:sz="0" w:space="0" w:color="auto"/>
      </w:divBdr>
    </w:div>
    <w:div w:id="357000785">
      <w:bodyDiv w:val="1"/>
      <w:marLeft w:val="0"/>
      <w:marRight w:val="0"/>
      <w:marTop w:val="0"/>
      <w:marBottom w:val="0"/>
      <w:divBdr>
        <w:top w:val="none" w:sz="0" w:space="0" w:color="auto"/>
        <w:left w:val="none" w:sz="0" w:space="0" w:color="auto"/>
        <w:bottom w:val="none" w:sz="0" w:space="0" w:color="auto"/>
        <w:right w:val="none" w:sz="0" w:space="0" w:color="auto"/>
      </w:divBdr>
    </w:div>
    <w:div w:id="359402343">
      <w:bodyDiv w:val="1"/>
      <w:marLeft w:val="0"/>
      <w:marRight w:val="0"/>
      <w:marTop w:val="0"/>
      <w:marBottom w:val="0"/>
      <w:divBdr>
        <w:top w:val="none" w:sz="0" w:space="0" w:color="auto"/>
        <w:left w:val="none" w:sz="0" w:space="0" w:color="auto"/>
        <w:bottom w:val="none" w:sz="0" w:space="0" w:color="auto"/>
        <w:right w:val="none" w:sz="0" w:space="0" w:color="auto"/>
      </w:divBdr>
    </w:div>
    <w:div w:id="362025078">
      <w:bodyDiv w:val="1"/>
      <w:marLeft w:val="0"/>
      <w:marRight w:val="0"/>
      <w:marTop w:val="0"/>
      <w:marBottom w:val="0"/>
      <w:divBdr>
        <w:top w:val="none" w:sz="0" w:space="0" w:color="auto"/>
        <w:left w:val="none" w:sz="0" w:space="0" w:color="auto"/>
        <w:bottom w:val="none" w:sz="0" w:space="0" w:color="auto"/>
        <w:right w:val="none" w:sz="0" w:space="0" w:color="auto"/>
      </w:divBdr>
    </w:div>
    <w:div w:id="362244623">
      <w:bodyDiv w:val="1"/>
      <w:marLeft w:val="0"/>
      <w:marRight w:val="0"/>
      <w:marTop w:val="0"/>
      <w:marBottom w:val="0"/>
      <w:divBdr>
        <w:top w:val="none" w:sz="0" w:space="0" w:color="auto"/>
        <w:left w:val="none" w:sz="0" w:space="0" w:color="auto"/>
        <w:bottom w:val="none" w:sz="0" w:space="0" w:color="auto"/>
        <w:right w:val="none" w:sz="0" w:space="0" w:color="auto"/>
      </w:divBdr>
    </w:div>
    <w:div w:id="362949863">
      <w:bodyDiv w:val="1"/>
      <w:marLeft w:val="0"/>
      <w:marRight w:val="0"/>
      <w:marTop w:val="0"/>
      <w:marBottom w:val="0"/>
      <w:divBdr>
        <w:top w:val="none" w:sz="0" w:space="0" w:color="auto"/>
        <w:left w:val="none" w:sz="0" w:space="0" w:color="auto"/>
        <w:bottom w:val="none" w:sz="0" w:space="0" w:color="auto"/>
        <w:right w:val="none" w:sz="0" w:space="0" w:color="auto"/>
      </w:divBdr>
    </w:div>
    <w:div w:id="365833874">
      <w:bodyDiv w:val="1"/>
      <w:marLeft w:val="0"/>
      <w:marRight w:val="0"/>
      <w:marTop w:val="0"/>
      <w:marBottom w:val="0"/>
      <w:divBdr>
        <w:top w:val="none" w:sz="0" w:space="0" w:color="auto"/>
        <w:left w:val="none" w:sz="0" w:space="0" w:color="auto"/>
        <w:bottom w:val="none" w:sz="0" w:space="0" w:color="auto"/>
        <w:right w:val="none" w:sz="0" w:space="0" w:color="auto"/>
      </w:divBdr>
    </w:div>
    <w:div w:id="370227846">
      <w:bodyDiv w:val="1"/>
      <w:marLeft w:val="0"/>
      <w:marRight w:val="0"/>
      <w:marTop w:val="0"/>
      <w:marBottom w:val="0"/>
      <w:divBdr>
        <w:top w:val="none" w:sz="0" w:space="0" w:color="auto"/>
        <w:left w:val="none" w:sz="0" w:space="0" w:color="auto"/>
        <w:bottom w:val="none" w:sz="0" w:space="0" w:color="auto"/>
        <w:right w:val="none" w:sz="0" w:space="0" w:color="auto"/>
      </w:divBdr>
    </w:div>
    <w:div w:id="371343542">
      <w:bodyDiv w:val="1"/>
      <w:marLeft w:val="0"/>
      <w:marRight w:val="0"/>
      <w:marTop w:val="0"/>
      <w:marBottom w:val="0"/>
      <w:divBdr>
        <w:top w:val="none" w:sz="0" w:space="0" w:color="auto"/>
        <w:left w:val="none" w:sz="0" w:space="0" w:color="auto"/>
        <w:bottom w:val="none" w:sz="0" w:space="0" w:color="auto"/>
        <w:right w:val="none" w:sz="0" w:space="0" w:color="auto"/>
      </w:divBdr>
    </w:div>
    <w:div w:id="374351246">
      <w:bodyDiv w:val="1"/>
      <w:marLeft w:val="0"/>
      <w:marRight w:val="0"/>
      <w:marTop w:val="0"/>
      <w:marBottom w:val="0"/>
      <w:divBdr>
        <w:top w:val="none" w:sz="0" w:space="0" w:color="auto"/>
        <w:left w:val="none" w:sz="0" w:space="0" w:color="auto"/>
        <w:bottom w:val="none" w:sz="0" w:space="0" w:color="auto"/>
        <w:right w:val="none" w:sz="0" w:space="0" w:color="auto"/>
      </w:divBdr>
    </w:div>
    <w:div w:id="379129933">
      <w:bodyDiv w:val="1"/>
      <w:marLeft w:val="0"/>
      <w:marRight w:val="0"/>
      <w:marTop w:val="0"/>
      <w:marBottom w:val="0"/>
      <w:divBdr>
        <w:top w:val="none" w:sz="0" w:space="0" w:color="auto"/>
        <w:left w:val="none" w:sz="0" w:space="0" w:color="auto"/>
        <w:bottom w:val="none" w:sz="0" w:space="0" w:color="auto"/>
        <w:right w:val="none" w:sz="0" w:space="0" w:color="auto"/>
      </w:divBdr>
    </w:div>
    <w:div w:id="379942959">
      <w:bodyDiv w:val="1"/>
      <w:marLeft w:val="0"/>
      <w:marRight w:val="0"/>
      <w:marTop w:val="0"/>
      <w:marBottom w:val="0"/>
      <w:divBdr>
        <w:top w:val="none" w:sz="0" w:space="0" w:color="auto"/>
        <w:left w:val="none" w:sz="0" w:space="0" w:color="auto"/>
        <w:bottom w:val="none" w:sz="0" w:space="0" w:color="auto"/>
        <w:right w:val="none" w:sz="0" w:space="0" w:color="auto"/>
      </w:divBdr>
    </w:div>
    <w:div w:id="381058565">
      <w:bodyDiv w:val="1"/>
      <w:marLeft w:val="0"/>
      <w:marRight w:val="0"/>
      <w:marTop w:val="0"/>
      <w:marBottom w:val="0"/>
      <w:divBdr>
        <w:top w:val="none" w:sz="0" w:space="0" w:color="auto"/>
        <w:left w:val="none" w:sz="0" w:space="0" w:color="auto"/>
        <w:bottom w:val="none" w:sz="0" w:space="0" w:color="auto"/>
        <w:right w:val="none" w:sz="0" w:space="0" w:color="auto"/>
      </w:divBdr>
    </w:div>
    <w:div w:id="386606041">
      <w:bodyDiv w:val="1"/>
      <w:marLeft w:val="0"/>
      <w:marRight w:val="0"/>
      <w:marTop w:val="0"/>
      <w:marBottom w:val="0"/>
      <w:divBdr>
        <w:top w:val="none" w:sz="0" w:space="0" w:color="auto"/>
        <w:left w:val="none" w:sz="0" w:space="0" w:color="auto"/>
        <w:bottom w:val="none" w:sz="0" w:space="0" w:color="auto"/>
        <w:right w:val="none" w:sz="0" w:space="0" w:color="auto"/>
      </w:divBdr>
    </w:div>
    <w:div w:id="386924580">
      <w:bodyDiv w:val="1"/>
      <w:marLeft w:val="0"/>
      <w:marRight w:val="0"/>
      <w:marTop w:val="0"/>
      <w:marBottom w:val="0"/>
      <w:divBdr>
        <w:top w:val="none" w:sz="0" w:space="0" w:color="auto"/>
        <w:left w:val="none" w:sz="0" w:space="0" w:color="auto"/>
        <w:bottom w:val="none" w:sz="0" w:space="0" w:color="auto"/>
        <w:right w:val="none" w:sz="0" w:space="0" w:color="auto"/>
      </w:divBdr>
    </w:div>
    <w:div w:id="388191393">
      <w:bodyDiv w:val="1"/>
      <w:marLeft w:val="0"/>
      <w:marRight w:val="0"/>
      <w:marTop w:val="0"/>
      <w:marBottom w:val="0"/>
      <w:divBdr>
        <w:top w:val="none" w:sz="0" w:space="0" w:color="auto"/>
        <w:left w:val="none" w:sz="0" w:space="0" w:color="auto"/>
        <w:bottom w:val="none" w:sz="0" w:space="0" w:color="auto"/>
        <w:right w:val="none" w:sz="0" w:space="0" w:color="auto"/>
      </w:divBdr>
    </w:div>
    <w:div w:id="395590961">
      <w:bodyDiv w:val="1"/>
      <w:marLeft w:val="0"/>
      <w:marRight w:val="0"/>
      <w:marTop w:val="0"/>
      <w:marBottom w:val="0"/>
      <w:divBdr>
        <w:top w:val="none" w:sz="0" w:space="0" w:color="auto"/>
        <w:left w:val="none" w:sz="0" w:space="0" w:color="auto"/>
        <w:bottom w:val="none" w:sz="0" w:space="0" w:color="auto"/>
        <w:right w:val="none" w:sz="0" w:space="0" w:color="auto"/>
      </w:divBdr>
    </w:div>
    <w:div w:id="400567720">
      <w:bodyDiv w:val="1"/>
      <w:marLeft w:val="0"/>
      <w:marRight w:val="0"/>
      <w:marTop w:val="0"/>
      <w:marBottom w:val="0"/>
      <w:divBdr>
        <w:top w:val="none" w:sz="0" w:space="0" w:color="auto"/>
        <w:left w:val="none" w:sz="0" w:space="0" w:color="auto"/>
        <w:bottom w:val="none" w:sz="0" w:space="0" w:color="auto"/>
        <w:right w:val="none" w:sz="0" w:space="0" w:color="auto"/>
      </w:divBdr>
    </w:div>
    <w:div w:id="400635880">
      <w:bodyDiv w:val="1"/>
      <w:marLeft w:val="0"/>
      <w:marRight w:val="0"/>
      <w:marTop w:val="0"/>
      <w:marBottom w:val="0"/>
      <w:divBdr>
        <w:top w:val="none" w:sz="0" w:space="0" w:color="auto"/>
        <w:left w:val="none" w:sz="0" w:space="0" w:color="auto"/>
        <w:bottom w:val="none" w:sz="0" w:space="0" w:color="auto"/>
        <w:right w:val="none" w:sz="0" w:space="0" w:color="auto"/>
      </w:divBdr>
    </w:div>
    <w:div w:id="404651212">
      <w:bodyDiv w:val="1"/>
      <w:marLeft w:val="0"/>
      <w:marRight w:val="0"/>
      <w:marTop w:val="0"/>
      <w:marBottom w:val="0"/>
      <w:divBdr>
        <w:top w:val="none" w:sz="0" w:space="0" w:color="auto"/>
        <w:left w:val="none" w:sz="0" w:space="0" w:color="auto"/>
        <w:bottom w:val="none" w:sz="0" w:space="0" w:color="auto"/>
        <w:right w:val="none" w:sz="0" w:space="0" w:color="auto"/>
      </w:divBdr>
    </w:div>
    <w:div w:id="405105478">
      <w:bodyDiv w:val="1"/>
      <w:marLeft w:val="0"/>
      <w:marRight w:val="0"/>
      <w:marTop w:val="0"/>
      <w:marBottom w:val="0"/>
      <w:divBdr>
        <w:top w:val="none" w:sz="0" w:space="0" w:color="auto"/>
        <w:left w:val="none" w:sz="0" w:space="0" w:color="auto"/>
        <w:bottom w:val="none" w:sz="0" w:space="0" w:color="auto"/>
        <w:right w:val="none" w:sz="0" w:space="0" w:color="auto"/>
      </w:divBdr>
    </w:div>
    <w:div w:id="406072645">
      <w:bodyDiv w:val="1"/>
      <w:marLeft w:val="0"/>
      <w:marRight w:val="0"/>
      <w:marTop w:val="0"/>
      <w:marBottom w:val="0"/>
      <w:divBdr>
        <w:top w:val="none" w:sz="0" w:space="0" w:color="auto"/>
        <w:left w:val="none" w:sz="0" w:space="0" w:color="auto"/>
        <w:bottom w:val="none" w:sz="0" w:space="0" w:color="auto"/>
        <w:right w:val="none" w:sz="0" w:space="0" w:color="auto"/>
      </w:divBdr>
    </w:div>
    <w:div w:id="410586363">
      <w:bodyDiv w:val="1"/>
      <w:marLeft w:val="0"/>
      <w:marRight w:val="0"/>
      <w:marTop w:val="0"/>
      <w:marBottom w:val="0"/>
      <w:divBdr>
        <w:top w:val="none" w:sz="0" w:space="0" w:color="auto"/>
        <w:left w:val="none" w:sz="0" w:space="0" w:color="auto"/>
        <w:bottom w:val="none" w:sz="0" w:space="0" w:color="auto"/>
        <w:right w:val="none" w:sz="0" w:space="0" w:color="auto"/>
      </w:divBdr>
    </w:div>
    <w:div w:id="411197700">
      <w:bodyDiv w:val="1"/>
      <w:marLeft w:val="0"/>
      <w:marRight w:val="0"/>
      <w:marTop w:val="0"/>
      <w:marBottom w:val="0"/>
      <w:divBdr>
        <w:top w:val="none" w:sz="0" w:space="0" w:color="auto"/>
        <w:left w:val="none" w:sz="0" w:space="0" w:color="auto"/>
        <w:bottom w:val="none" w:sz="0" w:space="0" w:color="auto"/>
        <w:right w:val="none" w:sz="0" w:space="0" w:color="auto"/>
      </w:divBdr>
    </w:div>
    <w:div w:id="411859636">
      <w:bodyDiv w:val="1"/>
      <w:marLeft w:val="0"/>
      <w:marRight w:val="0"/>
      <w:marTop w:val="0"/>
      <w:marBottom w:val="0"/>
      <w:divBdr>
        <w:top w:val="none" w:sz="0" w:space="0" w:color="auto"/>
        <w:left w:val="none" w:sz="0" w:space="0" w:color="auto"/>
        <w:bottom w:val="none" w:sz="0" w:space="0" w:color="auto"/>
        <w:right w:val="none" w:sz="0" w:space="0" w:color="auto"/>
      </w:divBdr>
    </w:div>
    <w:div w:id="414324524">
      <w:bodyDiv w:val="1"/>
      <w:marLeft w:val="0"/>
      <w:marRight w:val="0"/>
      <w:marTop w:val="0"/>
      <w:marBottom w:val="0"/>
      <w:divBdr>
        <w:top w:val="none" w:sz="0" w:space="0" w:color="auto"/>
        <w:left w:val="none" w:sz="0" w:space="0" w:color="auto"/>
        <w:bottom w:val="none" w:sz="0" w:space="0" w:color="auto"/>
        <w:right w:val="none" w:sz="0" w:space="0" w:color="auto"/>
      </w:divBdr>
    </w:div>
    <w:div w:id="414593665">
      <w:bodyDiv w:val="1"/>
      <w:marLeft w:val="0"/>
      <w:marRight w:val="0"/>
      <w:marTop w:val="0"/>
      <w:marBottom w:val="0"/>
      <w:divBdr>
        <w:top w:val="none" w:sz="0" w:space="0" w:color="auto"/>
        <w:left w:val="none" w:sz="0" w:space="0" w:color="auto"/>
        <w:bottom w:val="none" w:sz="0" w:space="0" w:color="auto"/>
        <w:right w:val="none" w:sz="0" w:space="0" w:color="auto"/>
      </w:divBdr>
    </w:div>
    <w:div w:id="416100872">
      <w:bodyDiv w:val="1"/>
      <w:marLeft w:val="0"/>
      <w:marRight w:val="0"/>
      <w:marTop w:val="0"/>
      <w:marBottom w:val="0"/>
      <w:divBdr>
        <w:top w:val="none" w:sz="0" w:space="0" w:color="auto"/>
        <w:left w:val="none" w:sz="0" w:space="0" w:color="auto"/>
        <w:bottom w:val="none" w:sz="0" w:space="0" w:color="auto"/>
        <w:right w:val="none" w:sz="0" w:space="0" w:color="auto"/>
      </w:divBdr>
    </w:div>
    <w:div w:id="417218011">
      <w:bodyDiv w:val="1"/>
      <w:marLeft w:val="0"/>
      <w:marRight w:val="0"/>
      <w:marTop w:val="0"/>
      <w:marBottom w:val="0"/>
      <w:divBdr>
        <w:top w:val="none" w:sz="0" w:space="0" w:color="auto"/>
        <w:left w:val="none" w:sz="0" w:space="0" w:color="auto"/>
        <w:bottom w:val="none" w:sz="0" w:space="0" w:color="auto"/>
        <w:right w:val="none" w:sz="0" w:space="0" w:color="auto"/>
      </w:divBdr>
    </w:div>
    <w:div w:id="419523484">
      <w:bodyDiv w:val="1"/>
      <w:marLeft w:val="0"/>
      <w:marRight w:val="0"/>
      <w:marTop w:val="0"/>
      <w:marBottom w:val="0"/>
      <w:divBdr>
        <w:top w:val="none" w:sz="0" w:space="0" w:color="auto"/>
        <w:left w:val="none" w:sz="0" w:space="0" w:color="auto"/>
        <w:bottom w:val="none" w:sz="0" w:space="0" w:color="auto"/>
        <w:right w:val="none" w:sz="0" w:space="0" w:color="auto"/>
      </w:divBdr>
    </w:div>
    <w:div w:id="420413587">
      <w:bodyDiv w:val="1"/>
      <w:marLeft w:val="0"/>
      <w:marRight w:val="0"/>
      <w:marTop w:val="0"/>
      <w:marBottom w:val="0"/>
      <w:divBdr>
        <w:top w:val="none" w:sz="0" w:space="0" w:color="auto"/>
        <w:left w:val="none" w:sz="0" w:space="0" w:color="auto"/>
        <w:bottom w:val="none" w:sz="0" w:space="0" w:color="auto"/>
        <w:right w:val="none" w:sz="0" w:space="0" w:color="auto"/>
      </w:divBdr>
    </w:div>
    <w:div w:id="423035234">
      <w:bodyDiv w:val="1"/>
      <w:marLeft w:val="0"/>
      <w:marRight w:val="0"/>
      <w:marTop w:val="0"/>
      <w:marBottom w:val="0"/>
      <w:divBdr>
        <w:top w:val="none" w:sz="0" w:space="0" w:color="auto"/>
        <w:left w:val="none" w:sz="0" w:space="0" w:color="auto"/>
        <w:bottom w:val="none" w:sz="0" w:space="0" w:color="auto"/>
        <w:right w:val="none" w:sz="0" w:space="0" w:color="auto"/>
      </w:divBdr>
    </w:div>
    <w:div w:id="426001650">
      <w:bodyDiv w:val="1"/>
      <w:marLeft w:val="0"/>
      <w:marRight w:val="0"/>
      <w:marTop w:val="0"/>
      <w:marBottom w:val="0"/>
      <w:divBdr>
        <w:top w:val="none" w:sz="0" w:space="0" w:color="auto"/>
        <w:left w:val="none" w:sz="0" w:space="0" w:color="auto"/>
        <w:bottom w:val="none" w:sz="0" w:space="0" w:color="auto"/>
        <w:right w:val="none" w:sz="0" w:space="0" w:color="auto"/>
      </w:divBdr>
    </w:div>
    <w:div w:id="431510236">
      <w:bodyDiv w:val="1"/>
      <w:marLeft w:val="0"/>
      <w:marRight w:val="0"/>
      <w:marTop w:val="0"/>
      <w:marBottom w:val="0"/>
      <w:divBdr>
        <w:top w:val="none" w:sz="0" w:space="0" w:color="auto"/>
        <w:left w:val="none" w:sz="0" w:space="0" w:color="auto"/>
        <w:bottom w:val="none" w:sz="0" w:space="0" w:color="auto"/>
        <w:right w:val="none" w:sz="0" w:space="0" w:color="auto"/>
      </w:divBdr>
    </w:div>
    <w:div w:id="431776943">
      <w:bodyDiv w:val="1"/>
      <w:marLeft w:val="0"/>
      <w:marRight w:val="0"/>
      <w:marTop w:val="0"/>
      <w:marBottom w:val="0"/>
      <w:divBdr>
        <w:top w:val="none" w:sz="0" w:space="0" w:color="auto"/>
        <w:left w:val="none" w:sz="0" w:space="0" w:color="auto"/>
        <w:bottom w:val="none" w:sz="0" w:space="0" w:color="auto"/>
        <w:right w:val="none" w:sz="0" w:space="0" w:color="auto"/>
      </w:divBdr>
    </w:div>
    <w:div w:id="434832739">
      <w:bodyDiv w:val="1"/>
      <w:marLeft w:val="0"/>
      <w:marRight w:val="0"/>
      <w:marTop w:val="0"/>
      <w:marBottom w:val="0"/>
      <w:divBdr>
        <w:top w:val="none" w:sz="0" w:space="0" w:color="auto"/>
        <w:left w:val="none" w:sz="0" w:space="0" w:color="auto"/>
        <w:bottom w:val="none" w:sz="0" w:space="0" w:color="auto"/>
        <w:right w:val="none" w:sz="0" w:space="0" w:color="auto"/>
      </w:divBdr>
    </w:div>
    <w:div w:id="435176182">
      <w:bodyDiv w:val="1"/>
      <w:marLeft w:val="0"/>
      <w:marRight w:val="0"/>
      <w:marTop w:val="0"/>
      <w:marBottom w:val="0"/>
      <w:divBdr>
        <w:top w:val="none" w:sz="0" w:space="0" w:color="auto"/>
        <w:left w:val="none" w:sz="0" w:space="0" w:color="auto"/>
        <w:bottom w:val="none" w:sz="0" w:space="0" w:color="auto"/>
        <w:right w:val="none" w:sz="0" w:space="0" w:color="auto"/>
      </w:divBdr>
    </w:div>
    <w:div w:id="435254635">
      <w:bodyDiv w:val="1"/>
      <w:marLeft w:val="0"/>
      <w:marRight w:val="0"/>
      <w:marTop w:val="0"/>
      <w:marBottom w:val="0"/>
      <w:divBdr>
        <w:top w:val="none" w:sz="0" w:space="0" w:color="auto"/>
        <w:left w:val="none" w:sz="0" w:space="0" w:color="auto"/>
        <w:bottom w:val="none" w:sz="0" w:space="0" w:color="auto"/>
        <w:right w:val="none" w:sz="0" w:space="0" w:color="auto"/>
      </w:divBdr>
    </w:div>
    <w:div w:id="436602342">
      <w:bodyDiv w:val="1"/>
      <w:marLeft w:val="0"/>
      <w:marRight w:val="0"/>
      <w:marTop w:val="0"/>
      <w:marBottom w:val="0"/>
      <w:divBdr>
        <w:top w:val="none" w:sz="0" w:space="0" w:color="auto"/>
        <w:left w:val="none" w:sz="0" w:space="0" w:color="auto"/>
        <w:bottom w:val="none" w:sz="0" w:space="0" w:color="auto"/>
        <w:right w:val="none" w:sz="0" w:space="0" w:color="auto"/>
      </w:divBdr>
    </w:div>
    <w:div w:id="437988203">
      <w:bodyDiv w:val="1"/>
      <w:marLeft w:val="0"/>
      <w:marRight w:val="0"/>
      <w:marTop w:val="0"/>
      <w:marBottom w:val="0"/>
      <w:divBdr>
        <w:top w:val="none" w:sz="0" w:space="0" w:color="auto"/>
        <w:left w:val="none" w:sz="0" w:space="0" w:color="auto"/>
        <w:bottom w:val="none" w:sz="0" w:space="0" w:color="auto"/>
        <w:right w:val="none" w:sz="0" w:space="0" w:color="auto"/>
      </w:divBdr>
    </w:div>
    <w:div w:id="445203088">
      <w:bodyDiv w:val="1"/>
      <w:marLeft w:val="0"/>
      <w:marRight w:val="0"/>
      <w:marTop w:val="0"/>
      <w:marBottom w:val="0"/>
      <w:divBdr>
        <w:top w:val="none" w:sz="0" w:space="0" w:color="auto"/>
        <w:left w:val="none" w:sz="0" w:space="0" w:color="auto"/>
        <w:bottom w:val="none" w:sz="0" w:space="0" w:color="auto"/>
        <w:right w:val="none" w:sz="0" w:space="0" w:color="auto"/>
      </w:divBdr>
    </w:div>
    <w:div w:id="45436852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913546">
      <w:bodyDiv w:val="1"/>
      <w:marLeft w:val="0"/>
      <w:marRight w:val="0"/>
      <w:marTop w:val="0"/>
      <w:marBottom w:val="0"/>
      <w:divBdr>
        <w:top w:val="none" w:sz="0" w:space="0" w:color="auto"/>
        <w:left w:val="none" w:sz="0" w:space="0" w:color="auto"/>
        <w:bottom w:val="none" w:sz="0" w:space="0" w:color="auto"/>
        <w:right w:val="none" w:sz="0" w:space="0" w:color="auto"/>
      </w:divBdr>
    </w:div>
    <w:div w:id="459954041">
      <w:bodyDiv w:val="1"/>
      <w:marLeft w:val="0"/>
      <w:marRight w:val="0"/>
      <w:marTop w:val="0"/>
      <w:marBottom w:val="0"/>
      <w:divBdr>
        <w:top w:val="none" w:sz="0" w:space="0" w:color="auto"/>
        <w:left w:val="none" w:sz="0" w:space="0" w:color="auto"/>
        <w:bottom w:val="none" w:sz="0" w:space="0" w:color="auto"/>
        <w:right w:val="none" w:sz="0" w:space="0" w:color="auto"/>
      </w:divBdr>
    </w:div>
    <w:div w:id="464742142">
      <w:bodyDiv w:val="1"/>
      <w:marLeft w:val="0"/>
      <w:marRight w:val="0"/>
      <w:marTop w:val="0"/>
      <w:marBottom w:val="0"/>
      <w:divBdr>
        <w:top w:val="none" w:sz="0" w:space="0" w:color="auto"/>
        <w:left w:val="none" w:sz="0" w:space="0" w:color="auto"/>
        <w:bottom w:val="none" w:sz="0" w:space="0" w:color="auto"/>
        <w:right w:val="none" w:sz="0" w:space="0" w:color="auto"/>
      </w:divBdr>
    </w:div>
    <w:div w:id="470634734">
      <w:bodyDiv w:val="1"/>
      <w:marLeft w:val="0"/>
      <w:marRight w:val="0"/>
      <w:marTop w:val="0"/>
      <w:marBottom w:val="0"/>
      <w:divBdr>
        <w:top w:val="none" w:sz="0" w:space="0" w:color="auto"/>
        <w:left w:val="none" w:sz="0" w:space="0" w:color="auto"/>
        <w:bottom w:val="none" w:sz="0" w:space="0" w:color="auto"/>
        <w:right w:val="none" w:sz="0" w:space="0" w:color="auto"/>
      </w:divBdr>
    </w:div>
    <w:div w:id="471598339">
      <w:bodyDiv w:val="1"/>
      <w:marLeft w:val="0"/>
      <w:marRight w:val="0"/>
      <w:marTop w:val="0"/>
      <w:marBottom w:val="0"/>
      <w:divBdr>
        <w:top w:val="none" w:sz="0" w:space="0" w:color="auto"/>
        <w:left w:val="none" w:sz="0" w:space="0" w:color="auto"/>
        <w:bottom w:val="none" w:sz="0" w:space="0" w:color="auto"/>
        <w:right w:val="none" w:sz="0" w:space="0" w:color="auto"/>
      </w:divBdr>
    </w:div>
    <w:div w:id="472333362">
      <w:bodyDiv w:val="1"/>
      <w:marLeft w:val="0"/>
      <w:marRight w:val="0"/>
      <w:marTop w:val="0"/>
      <w:marBottom w:val="0"/>
      <w:divBdr>
        <w:top w:val="none" w:sz="0" w:space="0" w:color="auto"/>
        <w:left w:val="none" w:sz="0" w:space="0" w:color="auto"/>
        <w:bottom w:val="none" w:sz="0" w:space="0" w:color="auto"/>
        <w:right w:val="none" w:sz="0" w:space="0" w:color="auto"/>
      </w:divBdr>
    </w:div>
    <w:div w:id="473061931">
      <w:bodyDiv w:val="1"/>
      <w:marLeft w:val="0"/>
      <w:marRight w:val="0"/>
      <w:marTop w:val="0"/>
      <w:marBottom w:val="0"/>
      <w:divBdr>
        <w:top w:val="none" w:sz="0" w:space="0" w:color="auto"/>
        <w:left w:val="none" w:sz="0" w:space="0" w:color="auto"/>
        <w:bottom w:val="none" w:sz="0" w:space="0" w:color="auto"/>
        <w:right w:val="none" w:sz="0" w:space="0" w:color="auto"/>
      </w:divBdr>
    </w:div>
    <w:div w:id="477768483">
      <w:bodyDiv w:val="1"/>
      <w:marLeft w:val="0"/>
      <w:marRight w:val="0"/>
      <w:marTop w:val="0"/>
      <w:marBottom w:val="0"/>
      <w:divBdr>
        <w:top w:val="none" w:sz="0" w:space="0" w:color="auto"/>
        <w:left w:val="none" w:sz="0" w:space="0" w:color="auto"/>
        <w:bottom w:val="none" w:sz="0" w:space="0" w:color="auto"/>
        <w:right w:val="none" w:sz="0" w:space="0" w:color="auto"/>
      </w:divBdr>
    </w:div>
    <w:div w:id="478811737">
      <w:bodyDiv w:val="1"/>
      <w:marLeft w:val="0"/>
      <w:marRight w:val="0"/>
      <w:marTop w:val="0"/>
      <w:marBottom w:val="0"/>
      <w:divBdr>
        <w:top w:val="none" w:sz="0" w:space="0" w:color="auto"/>
        <w:left w:val="none" w:sz="0" w:space="0" w:color="auto"/>
        <w:bottom w:val="none" w:sz="0" w:space="0" w:color="auto"/>
        <w:right w:val="none" w:sz="0" w:space="0" w:color="auto"/>
      </w:divBdr>
    </w:div>
    <w:div w:id="481702275">
      <w:bodyDiv w:val="1"/>
      <w:marLeft w:val="0"/>
      <w:marRight w:val="0"/>
      <w:marTop w:val="0"/>
      <w:marBottom w:val="0"/>
      <w:divBdr>
        <w:top w:val="none" w:sz="0" w:space="0" w:color="auto"/>
        <w:left w:val="none" w:sz="0" w:space="0" w:color="auto"/>
        <w:bottom w:val="none" w:sz="0" w:space="0" w:color="auto"/>
        <w:right w:val="none" w:sz="0" w:space="0" w:color="auto"/>
      </w:divBdr>
    </w:div>
    <w:div w:id="485588453">
      <w:bodyDiv w:val="1"/>
      <w:marLeft w:val="0"/>
      <w:marRight w:val="0"/>
      <w:marTop w:val="0"/>
      <w:marBottom w:val="0"/>
      <w:divBdr>
        <w:top w:val="none" w:sz="0" w:space="0" w:color="auto"/>
        <w:left w:val="none" w:sz="0" w:space="0" w:color="auto"/>
        <w:bottom w:val="none" w:sz="0" w:space="0" w:color="auto"/>
        <w:right w:val="none" w:sz="0" w:space="0" w:color="auto"/>
      </w:divBdr>
    </w:div>
    <w:div w:id="490220418">
      <w:bodyDiv w:val="1"/>
      <w:marLeft w:val="0"/>
      <w:marRight w:val="0"/>
      <w:marTop w:val="0"/>
      <w:marBottom w:val="0"/>
      <w:divBdr>
        <w:top w:val="none" w:sz="0" w:space="0" w:color="auto"/>
        <w:left w:val="none" w:sz="0" w:space="0" w:color="auto"/>
        <w:bottom w:val="none" w:sz="0" w:space="0" w:color="auto"/>
        <w:right w:val="none" w:sz="0" w:space="0" w:color="auto"/>
      </w:divBdr>
    </w:div>
    <w:div w:id="490557852">
      <w:bodyDiv w:val="1"/>
      <w:marLeft w:val="0"/>
      <w:marRight w:val="0"/>
      <w:marTop w:val="0"/>
      <w:marBottom w:val="0"/>
      <w:divBdr>
        <w:top w:val="none" w:sz="0" w:space="0" w:color="auto"/>
        <w:left w:val="none" w:sz="0" w:space="0" w:color="auto"/>
        <w:bottom w:val="none" w:sz="0" w:space="0" w:color="auto"/>
        <w:right w:val="none" w:sz="0" w:space="0" w:color="auto"/>
      </w:divBdr>
    </w:div>
    <w:div w:id="496264518">
      <w:bodyDiv w:val="1"/>
      <w:marLeft w:val="0"/>
      <w:marRight w:val="0"/>
      <w:marTop w:val="0"/>
      <w:marBottom w:val="0"/>
      <w:divBdr>
        <w:top w:val="none" w:sz="0" w:space="0" w:color="auto"/>
        <w:left w:val="none" w:sz="0" w:space="0" w:color="auto"/>
        <w:bottom w:val="none" w:sz="0" w:space="0" w:color="auto"/>
        <w:right w:val="none" w:sz="0" w:space="0" w:color="auto"/>
      </w:divBdr>
    </w:div>
    <w:div w:id="497962894">
      <w:bodyDiv w:val="1"/>
      <w:marLeft w:val="0"/>
      <w:marRight w:val="0"/>
      <w:marTop w:val="0"/>
      <w:marBottom w:val="0"/>
      <w:divBdr>
        <w:top w:val="none" w:sz="0" w:space="0" w:color="auto"/>
        <w:left w:val="none" w:sz="0" w:space="0" w:color="auto"/>
        <w:bottom w:val="none" w:sz="0" w:space="0" w:color="auto"/>
        <w:right w:val="none" w:sz="0" w:space="0" w:color="auto"/>
      </w:divBdr>
    </w:div>
    <w:div w:id="504712670">
      <w:bodyDiv w:val="1"/>
      <w:marLeft w:val="0"/>
      <w:marRight w:val="0"/>
      <w:marTop w:val="0"/>
      <w:marBottom w:val="0"/>
      <w:divBdr>
        <w:top w:val="none" w:sz="0" w:space="0" w:color="auto"/>
        <w:left w:val="none" w:sz="0" w:space="0" w:color="auto"/>
        <w:bottom w:val="none" w:sz="0" w:space="0" w:color="auto"/>
        <w:right w:val="none" w:sz="0" w:space="0" w:color="auto"/>
      </w:divBdr>
    </w:div>
    <w:div w:id="505023226">
      <w:bodyDiv w:val="1"/>
      <w:marLeft w:val="0"/>
      <w:marRight w:val="0"/>
      <w:marTop w:val="0"/>
      <w:marBottom w:val="0"/>
      <w:divBdr>
        <w:top w:val="none" w:sz="0" w:space="0" w:color="auto"/>
        <w:left w:val="none" w:sz="0" w:space="0" w:color="auto"/>
        <w:bottom w:val="none" w:sz="0" w:space="0" w:color="auto"/>
        <w:right w:val="none" w:sz="0" w:space="0" w:color="auto"/>
      </w:divBdr>
    </w:div>
    <w:div w:id="506215452">
      <w:bodyDiv w:val="1"/>
      <w:marLeft w:val="0"/>
      <w:marRight w:val="0"/>
      <w:marTop w:val="0"/>
      <w:marBottom w:val="0"/>
      <w:divBdr>
        <w:top w:val="none" w:sz="0" w:space="0" w:color="auto"/>
        <w:left w:val="none" w:sz="0" w:space="0" w:color="auto"/>
        <w:bottom w:val="none" w:sz="0" w:space="0" w:color="auto"/>
        <w:right w:val="none" w:sz="0" w:space="0" w:color="auto"/>
      </w:divBdr>
    </w:div>
    <w:div w:id="508956351">
      <w:bodyDiv w:val="1"/>
      <w:marLeft w:val="0"/>
      <w:marRight w:val="0"/>
      <w:marTop w:val="0"/>
      <w:marBottom w:val="0"/>
      <w:divBdr>
        <w:top w:val="none" w:sz="0" w:space="0" w:color="auto"/>
        <w:left w:val="none" w:sz="0" w:space="0" w:color="auto"/>
        <w:bottom w:val="none" w:sz="0" w:space="0" w:color="auto"/>
        <w:right w:val="none" w:sz="0" w:space="0" w:color="auto"/>
      </w:divBdr>
    </w:div>
    <w:div w:id="510724511">
      <w:bodyDiv w:val="1"/>
      <w:marLeft w:val="0"/>
      <w:marRight w:val="0"/>
      <w:marTop w:val="0"/>
      <w:marBottom w:val="0"/>
      <w:divBdr>
        <w:top w:val="none" w:sz="0" w:space="0" w:color="auto"/>
        <w:left w:val="none" w:sz="0" w:space="0" w:color="auto"/>
        <w:bottom w:val="none" w:sz="0" w:space="0" w:color="auto"/>
        <w:right w:val="none" w:sz="0" w:space="0" w:color="auto"/>
      </w:divBdr>
    </w:div>
    <w:div w:id="513808168">
      <w:bodyDiv w:val="1"/>
      <w:marLeft w:val="0"/>
      <w:marRight w:val="0"/>
      <w:marTop w:val="0"/>
      <w:marBottom w:val="0"/>
      <w:divBdr>
        <w:top w:val="none" w:sz="0" w:space="0" w:color="auto"/>
        <w:left w:val="none" w:sz="0" w:space="0" w:color="auto"/>
        <w:bottom w:val="none" w:sz="0" w:space="0" w:color="auto"/>
        <w:right w:val="none" w:sz="0" w:space="0" w:color="auto"/>
      </w:divBdr>
    </w:div>
    <w:div w:id="514030657">
      <w:bodyDiv w:val="1"/>
      <w:marLeft w:val="0"/>
      <w:marRight w:val="0"/>
      <w:marTop w:val="0"/>
      <w:marBottom w:val="0"/>
      <w:divBdr>
        <w:top w:val="none" w:sz="0" w:space="0" w:color="auto"/>
        <w:left w:val="none" w:sz="0" w:space="0" w:color="auto"/>
        <w:bottom w:val="none" w:sz="0" w:space="0" w:color="auto"/>
        <w:right w:val="none" w:sz="0" w:space="0" w:color="auto"/>
      </w:divBdr>
    </w:div>
    <w:div w:id="514270934">
      <w:bodyDiv w:val="1"/>
      <w:marLeft w:val="0"/>
      <w:marRight w:val="0"/>
      <w:marTop w:val="0"/>
      <w:marBottom w:val="0"/>
      <w:divBdr>
        <w:top w:val="none" w:sz="0" w:space="0" w:color="auto"/>
        <w:left w:val="none" w:sz="0" w:space="0" w:color="auto"/>
        <w:bottom w:val="none" w:sz="0" w:space="0" w:color="auto"/>
        <w:right w:val="none" w:sz="0" w:space="0" w:color="auto"/>
      </w:divBdr>
    </w:div>
    <w:div w:id="516626595">
      <w:bodyDiv w:val="1"/>
      <w:marLeft w:val="0"/>
      <w:marRight w:val="0"/>
      <w:marTop w:val="0"/>
      <w:marBottom w:val="0"/>
      <w:divBdr>
        <w:top w:val="none" w:sz="0" w:space="0" w:color="auto"/>
        <w:left w:val="none" w:sz="0" w:space="0" w:color="auto"/>
        <w:bottom w:val="none" w:sz="0" w:space="0" w:color="auto"/>
        <w:right w:val="none" w:sz="0" w:space="0" w:color="auto"/>
      </w:divBdr>
    </w:div>
    <w:div w:id="520044823">
      <w:bodyDiv w:val="1"/>
      <w:marLeft w:val="0"/>
      <w:marRight w:val="0"/>
      <w:marTop w:val="0"/>
      <w:marBottom w:val="0"/>
      <w:divBdr>
        <w:top w:val="none" w:sz="0" w:space="0" w:color="auto"/>
        <w:left w:val="none" w:sz="0" w:space="0" w:color="auto"/>
        <w:bottom w:val="none" w:sz="0" w:space="0" w:color="auto"/>
        <w:right w:val="none" w:sz="0" w:space="0" w:color="auto"/>
      </w:divBdr>
    </w:div>
    <w:div w:id="524828608">
      <w:bodyDiv w:val="1"/>
      <w:marLeft w:val="0"/>
      <w:marRight w:val="0"/>
      <w:marTop w:val="0"/>
      <w:marBottom w:val="0"/>
      <w:divBdr>
        <w:top w:val="none" w:sz="0" w:space="0" w:color="auto"/>
        <w:left w:val="none" w:sz="0" w:space="0" w:color="auto"/>
        <w:bottom w:val="none" w:sz="0" w:space="0" w:color="auto"/>
        <w:right w:val="none" w:sz="0" w:space="0" w:color="auto"/>
      </w:divBdr>
    </w:div>
    <w:div w:id="525171139">
      <w:bodyDiv w:val="1"/>
      <w:marLeft w:val="0"/>
      <w:marRight w:val="0"/>
      <w:marTop w:val="0"/>
      <w:marBottom w:val="0"/>
      <w:divBdr>
        <w:top w:val="none" w:sz="0" w:space="0" w:color="auto"/>
        <w:left w:val="none" w:sz="0" w:space="0" w:color="auto"/>
        <w:bottom w:val="none" w:sz="0" w:space="0" w:color="auto"/>
        <w:right w:val="none" w:sz="0" w:space="0" w:color="auto"/>
      </w:divBdr>
    </w:div>
    <w:div w:id="529880403">
      <w:bodyDiv w:val="1"/>
      <w:marLeft w:val="0"/>
      <w:marRight w:val="0"/>
      <w:marTop w:val="0"/>
      <w:marBottom w:val="0"/>
      <w:divBdr>
        <w:top w:val="none" w:sz="0" w:space="0" w:color="auto"/>
        <w:left w:val="none" w:sz="0" w:space="0" w:color="auto"/>
        <w:bottom w:val="none" w:sz="0" w:space="0" w:color="auto"/>
        <w:right w:val="none" w:sz="0" w:space="0" w:color="auto"/>
      </w:divBdr>
    </w:div>
    <w:div w:id="53184142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8471620">
      <w:bodyDiv w:val="1"/>
      <w:marLeft w:val="0"/>
      <w:marRight w:val="0"/>
      <w:marTop w:val="0"/>
      <w:marBottom w:val="0"/>
      <w:divBdr>
        <w:top w:val="none" w:sz="0" w:space="0" w:color="auto"/>
        <w:left w:val="none" w:sz="0" w:space="0" w:color="auto"/>
        <w:bottom w:val="none" w:sz="0" w:space="0" w:color="auto"/>
        <w:right w:val="none" w:sz="0" w:space="0" w:color="auto"/>
      </w:divBdr>
    </w:div>
    <w:div w:id="539630302">
      <w:bodyDiv w:val="1"/>
      <w:marLeft w:val="0"/>
      <w:marRight w:val="0"/>
      <w:marTop w:val="0"/>
      <w:marBottom w:val="0"/>
      <w:divBdr>
        <w:top w:val="none" w:sz="0" w:space="0" w:color="auto"/>
        <w:left w:val="none" w:sz="0" w:space="0" w:color="auto"/>
        <w:bottom w:val="none" w:sz="0" w:space="0" w:color="auto"/>
        <w:right w:val="none" w:sz="0" w:space="0" w:color="auto"/>
      </w:divBdr>
    </w:div>
    <w:div w:id="540365449">
      <w:bodyDiv w:val="1"/>
      <w:marLeft w:val="0"/>
      <w:marRight w:val="0"/>
      <w:marTop w:val="0"/>
      <w:marBottom w:val="0"/>
      <w:divBdr>
        <w:top w:val="none" w:sz="0" w:space="0" w:color="auto"/>
        <w:left w:val="none" w:sz="0" w:space="0" w:color="auto"/>
        <w:bottom w:val="none" w:sz="0" w:space="0" w:color="auto"/>
        <w:right w:val="none" w:sz="0" w:space="0" w:color="auto"/>
      </w:divBdr>
    </w:div>
    <w:div w:id="542836633">
      <w:bodyDiv w:val="1"/>
      <w:marLeft w:val="0"/>
      <w:marRight w:val="0"/>
      <w:marTop w:val="0"/>
      <w:marBottom w:val="0"/>
      <w:divBdr>
        <w:top w:val="none" w:sz="0" w:space="0" w:color="auto"/>
        <w:left w:val="none" w:sz="0" w:space="0" w:color="auto"/>
        <w:bottom w:val="none" w:sz="0" w:space="0" w:color="auto"/>
        <w:right w:val="none" w:sz="0" w:space="0" w:color="auto"/>
      </w:divBdr>
    </w:div>
    <w:div w:id="544147997">
      <w:bodyDiv w:val="1"/>
      <w:marLeft w:val="0"/>
      <w:marRight w:val="0"/>
      <w:marTop w:val="0"/>
      <w:marBottom w:val="0"/>
      <w:divBdr>
        <w:top w:val="none" w:sz="0" w:space="0" w:color="auto"/>
        <w:left w:val="none" w:sz="0" w:space="0" w:color="auto"/>
        <w:bottom w:val="none" w:sz="0" w:space="0" w:color="auto"/>
        <w:right w:val="none" w:sz="0" w:space="0" w:color="auto"/>
      </w:divBdr>
    </w:div>
    <w:div w:id="549267967">
      <w:bodyDiv w:val="1"/>
      <w:marLeft w:val="0"/>
      <w:marRight w:val="0"/>
      <w:marTop w:val="0"/>
      <w:marBottom w:val="0"/>
      <w:divBdr>
        <w:top w:val="none" w:sz="0" w:space="0" w:color="auto"/>
        <w:left w:val="none" w:sz="0" w:space="0" w:color="auto"/>
        <w:bottom w:val="none" w:sz="0" w:space="0" w:color="auto"/>
        <w:right w:val="none" w:sz="0" w:space="0" w:color="auto"/>
      </w:divBdr>
    </w:div>
    <w:div w:id="551119139">
      <w:bodyDiv w:val="1"/>
      <w:marLeft w:val="0"/>
      <w:marRight w:val="0"/>
      <w:marTop w:val="0"/>
      <w:marBottom w:val="0"/>
      <w:divBdr>
        <w:top w:val="none" w:sz="0" w:space="0" w:color="auto"/>
        <w:left w:val="none" w:sz="0" w:space="0" w:color="auto"/>
        <w:bottom w:val="none" w:sz="0" w:space="0" w:color="auto"/>
        <w:right w:val="none" w:sz="0" w:space="0" w:color="auto"/>
      </w:divBdr>
    </w:div>
    <w:div w:id="556206751">
      <w:bodyDiv w:val="1"/>
      <w:marLeft w:val="0"/>
      <w:marRight w:val="0"/>
      <w:marTop w:val="0"/>
      <w:marBottom w:val="0"/>
      <w:divBdr>
        <w:top w:val="none" w:sz="0" w:space="0" w:color="auto"/>
        <w:left w:val="none" w:sz="0" w:space="0" w:color="auto"/>
        <w:bottom w:val="none" w:sz="0" w:space="0" w:color="auto"/>
        <w:right w:val="none" w:sz="0" w:space="0" w:color="auto"/>
      </w:divBdr>
    </w:div>
    <w:div w:id="558785188">
      <w:bodyDiv w:val="1"/>
      <w:marLeft w:val="0"/>
      <w:marRight w:val="0"/>
      <w:marTop w:val="0"/>
      <w:marBottom w:val="0"/>
      <w:divBdr>
        <w:top w:val="none" w:sz="0" w:space="0" w:color="auto"/>
        <w:left w:val="none" w:sz="0" w:space="0" w:color="auto"/>
        <w:bottom w:val="none" w:sz="0" w:space="0" w:color="auto"/>
        <w:right w:val="none" w:sz="0" w:space="0" w:color="auto"/>
      </w:divBdr>
    </w:div>
    <w:div w:id="563880097">
      <w:bodyDiv w:val="1"/>
      <w:marLeft w:val="0"/>
      <w:marRight w:val="0"/>
      <w:marTop w:val="0"/>
      <w:marBottom w:val="0"/>
      <w:divBdr>
        <w:top w:val="none" w:sz="0" w:space="0" w:color="auto"/>
        <w:left w:val="none" w:sz="0" w:space="0" w:color="auto"/>
        <w:bottom w:val="none" w:sz="0" w:space="0" w:color="auto"/>
        <w:right w:val="none" w:sz="0" w:space="0" w:color="auto"/>
      </w:divBdr>
    </w:div>
    <w:div w:id="568736601">
      <w:bodyDiv w:val="1"/>
      <w:marLeft w:val="0"/>
      <w:marRight w:val="0"/>
      <w:marTop w:val="0"/>
      <w:marBottom w:val="0"/>
      <w:divBdr>
        <w:top w:val="none" w:sz="0" w:space="0" w:color="auto"/>
        <w:left w:val="none" w:sz="0" w:space="0" w:color="auto"/>
        <w:bottom w:val="none" w:sz="0" w:space="0" w:color="auto"/>
        <w:right w:val="none" w:sz="0" w:space="0" w:color="auto"/>
      </w:divBdr>
    </w:div>
    <w:div w:id="571160932">
      <w:bodyDiv w:val="1"/>
      <w:marLeft w:val="0"/>
      <w:marRight w:val="0"/>
      <w:marTop w:val="0"/>
      <w:marBottom w:val="0"/>
      <w:divBdr>
        <w:top w:val="none" w:sz="0" w:space="0" w:color="auto"/>
        <w:left w:val="none" w:sz="0" w:space="0" w:color="auto"/>
        <w:bottom w:val="none" w:sz="0" w:space="0" w:color="auto"/>
        <w:right w:val="none" w:sz="0" w:space="0" w:color="auto"/>
      </w:divBdr>
    </w:div>
    <w:div w:id="572273689">
      <w:bodyDiv w:val="1"/>
      <w:marLeft w:val="0"/>
      <w:marRight w:val="0"/>
      <w:marTop w:val="0"/>
      <w:marBottom w:val="0"/>
      <w:divBdr>
        <w:top w:val="none" w:sz="0" w:space="0" w:color="auto"/>
        <w:left w:val="none" w:sz="0" w:space="0" w:color="auto"/>
        <w:bottom w:val="none" w:sz="0" w:space="0" w:color="auto"/>
        <w:right w:val="none" w:sz="0" w:space="0" w:color="auto"/>
      </w:divBdr>
    </w:div>
    <w:div w:id="575283392">
      <w:bodyDiv w:val="1"/>
      <w:marLeft w:val="0"/>
      <w:marRight w:val="0"/>
      <w:marTop w:val="0"/>
      <w:marBottom w:val="0"/>
      <w:divBdr>
        <w:top w:val="none" w:sz="0" w:space="0" w:color="auto"/>
        <w:left w:val="none" w:sz="0" w:space="0" w:color="auto"/>
        <w:bottom w:val="none" w:sz="0" w:space="0" w:color="auto"/>
        <w:right w:val="none" w:sz="0" w:space="0" w:color="auto"/>
      </w:divBdr>
    </w:div>
    <w:div w:id="578177340">
      <w:bodyDiv w:val="1"/>
      <w:marLeft w:val="0"/>
      <w:marRight w:val="0"/>
      <w:marTop w:val="0"/>
      <w:marBottom w:val="0"/>
      <w:divBdr>
        <w:top w:val="none" w:sz="0" w:space="0" w:color="auto"/>
        <w:left w:val="none" w:sz="0" w:space="0" w:color="auto"/>
        <w:bottom w:val="none" w:sz="0" w:space="0" w:color="auto"/>
        <w:right w:val="none" w:sz="0" w:space="0" w:color="auto"/>
      </w:divBdr>
    </w:div>
    <w:div w:id="580213841">
      <w:bodyDiv w:val="1"/>
      <w:marLeft w:val="0"/>
      <w:marRight w:val="0"/>
      <w:marTop w:val="0"/>
      <w:marBottom w:val="0"/>
      <w:divBdr>
        <w:top w:val="none" w:sz="0" w:space="0" w:color="auto"/>
        <w:left w:val="none" w:sz="0" w:space="0" w:color="auto"/>
        <w:bottom w:val="none" w:sz="0" w:space="0" w:color="auto"/>
        <w:right w:val="none" w:sz="0" w:space="0" w:color="auto"/>
      </w:divBdr>
      <w:divsChild>
        <w:div w:id="590164726">
          <w:marLeft w:val="0"/>
          <w:marRight w:val="0"/>
          <w:marTop w:val="0"/>
          <w:marBottom w:val="0"/>
          <w:divBdr>
            <w:top w:val="none" w:sz="0" w:space="0" w:color="auto"/>
            <w:left w:val="none" w:sz="0" w:space="0" w:color="auto"/>
            <w:bottom w:val="none" w:sz="0" w:space="0" w:color="auto"/>
            <w:right w:val="none" w:sz="0" w:space="0" w:color="auto"/>
          </w:divBdr>
        </w:div>
      </w:divsChild>
    </w:div>
    <w:div w:id="585723735">
      <w:bodyDiv w:val="1"/>
      <w:marLeft w:val="0"/>
      <w:marRight w:val="0"/>
      <w:marTop w:val="0"/>
      <w:marBottom w:val="0"/>
      <w:divBdr>
        <w:top w:val="none" w:sz="0" w:space="0" w:color="auto"/>
        <w:left w:val="none" w:sz="0" w:space="0" w:color="auto"/>
        <w:bottom w:val="none" w:sz="0" w:space="0" w:color="auto"/>
        <w:right w:val="none" w:sz="0" w:space="0" w:color="auto"/>
      </w:divBdr>
    </w:div>
    <w:div w:id="593981957">
      <w:bodyDiv w:val="1"/>
      <w:marLeft w:val="0"/>
      <w:marRight w:val="0"/>
      <w:marTop w:val="0"/>
      <w:marBottom w:val="0"/>
      <w:divBdr>
        <w:top w:val="none" w:sz="0" w:space="0" w:color="auto"/>
        <w:left w:val="none" w:sz="0" w:space="0" w:color="auto"/>
        <w:bottom w:val="none" w:sz="0" w:space="0" w:color="auto"/>
        <w:right w:val="none" w:sz="0" w:space="0" w:color="auto"/>
      </w:divBdr>
    </w:div>
    <w:div w:id="598487744">
      <w:bodyDiv w:val="1"/>
      <w:marLeft w:val="0"/>
      <w:marRight w:val="0"/>
      <w:marTop w:val="0"/>
      <w:marBottom w:val="0"/>
      <w:divBdr>
        <w:top w:val="none" w:sz="0" w:space="0" w:color="auto"/>
        <w:left w:val="none" w:sz="0" w:space="0" w:color="auto"/>
        <w:bottom w:val="none" w:sz="0" w:space="0" w:color="auto"/>
        <w:right w:val="none" w:sz="0" w:space="0" w:color="auto"/>
      </w:divBdr>
    </w:div>
    <w:div w:id="598492353">
      <w:bodyDiv w:val="1"/>
      <w:marLeft w:val="0"/>
      <w:marRight w:val="0"/>
      <w:marTop w:val="0"/>
      <w:marBottom w:val="0"/>
      <w:divBdr>
        <w:top w:val="none" w:sz="0" w:space="0" w:color="auto"/>
        <w:left w:val="none" w:sz="0" w:space="0" w:color="auto"/>
        <w:bottom w:val="none" w:sz="0" w:space="0" w:color="auto"/>
        <w:right w:val="none" w:sz="0" w:space="0" w:color="auto"/>
      </w:divBdr>
    </w:div>
    <w:div w:id="604188597">
      <w:bodyDiv w:val="1"/>
      <w:marLeft w:val="0"/>
      <w:marRight w:val="0"/>
      <w:marTop w:val="0"/>
      <w:marBottom w:val="0"/>
      <w:divBdr>
        <w:top w:val="none" w:sz="0" w:space="0" w:color="auto"/>
        <w:left w:val="none" w:sz="0" w:space="0" w:color="auto"/>
        <w:bottom w:val="none" w:sz="0" w:space="0" w:color="auto"/>
        <w:right w:val="none" w:sz="0" w:space="0" w:color="auto"/>
      </w:divBdr>
    </w:div>
    <w:div w:id="607203199">
      <w:bodyDiv w:val="1"/>
      <w:marLeft w:val="0"/>
      <w:marRight w:val="0"/>
      <w:marTop w:val="0"/>
      <w:marBottom w:val="0"/>
      <w:divBdr>
        <w:top w:val="none" w:sz="0" w:space="0" w:color="auto"/>
        <w:left w:val="none" w:sz="0" w:space="0" w:color="auto"/>
        <w:bottom w:val="none" w:sz="0" w:space="0" w:color="auto"/>
        <w:right w:val="none" w:sz="0" w:space="0" w:color="auto"/>
      </w:divBdr>
    </w:div>
    <w:div w:id="618075482">
      <w:bodyDiv w:val="1"/>
      <w:marLeft w:val="0"/>
      <w:marRight w:val="0"/>
      <w:marTop w:val="0"/>
      <w:marBottom w:val="0"/>
      <w:divBdr>
        <w:top w:val="none" w:sz="0" w:space="0" w:color="auto"/>
        <w:left w:val="none" w:sz="0" w:space="0" w:color="auto"/>
        <w:bottom w:val="none" w:sz="0" w:space="0" w:color="auto"/>
        <w:right w:val="none" w:sz="0" w:space="0" w:color="auto"/>
      </w:divBdr>
    </w:div>
    <w:div w:id="619847232">
      <w:bodyDiv w:val="1"/>
      <w:marLeft w:val="0"/>
      <w:marRight w:val="0"/>
      <w:marTop w:val="0"/>
      <w:marBottom w:val="0"/>
      <w:divBdr>
        <w:top w:val="none" w:sz="0" w:space="0" w:color="auto"/>
        <w:left w:val="none" w:sz="0" w:space="0" w:color="auto"/>
        <w:bottom w:val="none" w:sz="0" w:space="0" w:color="auto"/>
        <w:right w:val="none" w:sz="0" w:space="0" w:color="auto"/>
      </w:divBdr>
    </w:div>
    <w:div w:id="620068132">
      <w:bodyDiv w:val="1"/>
      <w:marLeft w:val="0"/>
      <w:marRight w:val="0"/>
      <w:marTop w:val="0"/>
      <w:marBottom w:val="0"/>
      <w:divBdr>
        <w:top w:val="none" w:sz="0" w:space="0" w:color="auto"/>
        <w:left w:val="none" w:sz="0" w:space="0" w:color="auto"/>
        <w:bottom w:val="none" w:sz="0" w:space="0" w:color="auto"/>
        <w:right w:val="none" w:sz="0" w:space="0" w:color="auto"/>
      </w:divBdr>
    </w:div>
    <w:div w:id="622033805">
      <w:bodyDiv w:val="1"/>
      <w:marLeft w:val="0"/>
      <w:marRight w:val="0"/>
      <w:marTop w:val="0"/>
      <w:marBottom w:val="0"/>
      <w:divBdr>
        <w:top w:val="none" w:sz="0" w:space="0" w:color="auto"/>
        <w:left w:val="none" w:sz="0" w:space="0" w:color="auto"/>
        <w:bottom w:val="none" w:sz="0" w:space="0" w:color="auto"/>
        <w:right w:val="none" w:sz="0" w:space="0" w:color="auto"/>
      </w:divBdr>
    </w:div>
    <w:div w:id="622616144">
      <w:bodyDiv w:val="1"/>
      <w:marLeft w:val="0"/>
      <w:marRight w:val="0"/>
      <w:marTop w:val="0"/>
      <w:marBottom w:val="0"/>
      <w:divBdr>
        <w:top w:val="none" w:sz="0" w:space="0" w:color="auto"/>
        <w:left w:val="none" w:sz="0" w:space="0" w:color="auto"/>
        <w:bottom w:val="none" w:sz="0" w:space="0" w:color="auto"/>
        <w:right w:val="none" w:sz="0" w:space="0" w:color="auto"/>
      </w:divBdr>
    </w:div>
    <w:div w:id="627512460">
      <w:bodyDiv w:val="1"/>
      <w:marLeft w:val="0"/>
      <w:marRight w:val="0"/>
      <w:marTop w:val="0"/>
      <w:marBottom w:val="0"/>
      <w:divBdr>
        <w:top w:val="none" w:sz="0" w:space="0" w:color="auto"/>
        <w:left w:val="none" w:sz="0" w:space="0" w:color="auto"/>
        <w:bottom w:val="none" w:sz="0" w:space="0" w:color="auto"/>
        <w:right w:val="none" w:sz="0" w:space="0" w:color="auto"/>
      </w:divBdr>
    </w:div>
    <w:div w:id="627735794">
      <w:bodyDiv w:val="1"/>
      <w:marLeft w:val="0"/>
      <w:marRight w:val="0"/>
      <w:marTop w:val="0"/>
      <w:marBottom w:val="0"/>
      <w:divBdr>
        <w:top w:val="none" w:sz="0" w:space="0" w:color="auto"/>
        <w:left w:val="none" w:sz="0" w:space="0" w:color="auto"/>
        <w:bottom w:val="none" w:sz="0" w:space="0" w:color="auto"/>
        <w:right w:val="none" w:sz="0" w:space="0" w:color="auto"/>
      </w:divBdr>
    </w:div>
    <w:div w:id="628124592">
      <w:bodyDiv w:val="1"/>
      <w:marLeft w:val="0"/>
      <w:marRight w:val="0"/>
      <w:marTop w:val="0"/>
      <w:marBottom w:val="0"/>
      <w:divBdr>
        <w:top w:val="none" w:sz="0" w:space="0" w:color="auto"/>
        <w:left w:val="none" w:sz="0" w:space="0" w:color="auto"/>
        <w:bottom w:val="none" w:sz="0" w:space="0" w:color="auto"/>
        <w:right w:val="none" w:sz="0" w:space="0" w:color="auto"/>
      </w:divBdr>
    </w:div>
    <w:div w:id="628627200">
      <w:bodyDiv w:val="1"/>
      <w:marLeft w:val="0"/>
      <w:marRight w:val="0"/>
      <w:marTop w:val="0"/>
      <w:marBottom w:val="0"/>
      <w:divBdr>
        <w:top w:val="none" w:sz="0" w:space="0" w:color="auto"/>
        <w:left w:val="none" w:sz="0" w:space="0" w:color="auto"/>
        <w:bottom w:val="none" w:sz="0" w:space="0" w:color="auto"/>
        <w:right w:val="none" w:sz="0" w:space="0" w:color="auto"/>
      </w:divBdr>
    </w:div>
    <w:div w:id="643510848">
      <w:bodyDiv w:val="1"/>
      <w:marLeft w:val="0"/>
      <w:marRight w:val="0"/>
      <w:marTop w:val="0"/>
      <w:marBottom w:val="0"/>
      <w:divBdr>
        <w:top w:val="none" w:sz="0" w:space="0" w:color="auto"/>
        <w:left w:val="none" w:sz="0" w:space="0" w:color="auto"/>
        <w:bottom w:val="none" w:sz="0" w:space="0" w:color="auto"/>
        <w:right w:val="none" w:sz="0" w:space="0" w:color="auto"/>
      </w:divBdr>
    </w:div>
    <w:div w:id="648290484">
      <w:bodyDiv w:val="1"/>
      <w:marLeft w:val="0"/>
      <w:marRight w:val="0"/>
      <w:marTop w:val="0"/>
      <w:marBottom w:val="0"/>
      <w:divBdr>
        <w:top w:val="none" w:sz="0" w:space="0" w:color="auto"/>
        <w:left w:val="none" w:sz="0" w:space="0" w:color="auto"/>
        <w:bottom w:val="none" w:sz="0" w:space="0" w:color="auto"/>
        <w:right w:val="none" w:sz="0" w:space="0" w:color="auto"/>
      </w:divBdr>
    </w:div>
    <w:div w:id="651786962">
      <w:bodyDiv w:val="1"/>
      <w:marLeft w:val="0"/>
      <w:marRight w:val="0"/>
      <w:marTop w:val="0"/>
      <w:marBottom w:val="0"/>
      <w:divBdr>
        <w:top w:val="none" w:sz="0" w:space="0" w:color="auto"/>
        <w:left w:val="none" w:sz="0" w:space="0" w:color="auto"/>
        <w:bottom w:val="none" w:sz="0" w:space="0" w:color="auto"/>
        <w:right w:val="none" w:sz="0" w:space="0" w:color="auto"/>
      </w:divBdr>
    </w:div>
    <w:div w:id="656685454">
      <w:bodyDiv w:val="1"/>
      <w:marLeft w:val="0"/>
      <w:marRight w:val="0"/>
      <w:marTop w:val="0"/>
      <w:marBottom w:val="0"/>
      <w:divBdr>
        <w:top w:val="none" w:sz="0" w:space="0" w:color="auto"/>
        <w:left w:val="none" w:sz="0" w:space="0" w:color="auto"/>
        <w:bottom w:val="none" w:sz="0" w:space="0" w:color="auto"/>
        <w:right w:val="none" w:sz="0" w:space="0" w:color="auto"/>
      </w:divBdr>
    </w:div>
    <w:div w:id="662511226">
      <w:bodyDiv w:val="1"/>
      <w:marLeft w:val="0"/>
      <w:marRight w:val="0"/>
      <w:marTop w:val="0"/>
      <w:marBottom w:val="0"/>
      <w:divBdr>
        <w:top w:val="none" w:sz="0" w:space="0" w:color="auto"/>
        <w:left w:val="none" w:sz="0" w:space="0" w:color="auto"/>
        <w:bottom w:val="none" w:sz="0" w:space="0" w:color="auto"/>
        <w:right w:val="none" w:sz="0" w:space="0" w:color="auto"/>
      </w:divBdr>
    </w:div>
    <w:div w:id="669528908">
      <w:bodyDiv w:val="1"/>
      <w:marLeft w:val="0"/>
      <w:marRight w:val="0"/>
      <w:marTop w:val="0"/>
      <w:marBottom w:val="0"/>
      <w:divBdr>
        <w:top w:val="none" w:sz="0" w:space="0" w:color="auto"/>
        <w:left w:val="none" w:sz="0" w:space="0" w:color="auto"/>
        <w:bottom w:val="none" w:sz="0" w:space="0" w:color="auto"/>
        <w:right w:val="none" w:sz="0" w:space="0" w:color="auto"/>
      </w:divBdr>
    </w:div>
    <w:div w:id="670063928">
      <w:bodyDiv w:val="1"/>
      <w:marLeft w:val="0"/>
      <w:marRight w:val="0"/>
      <w:marTop w:val="0"/>
      <w:marBottom w:val="0"/>
      <w:divBdr>
        <w:top w:val="none" w:sz="0" w:space="0" w:color="auto"/>
        <w:left w:val="none" w:sz="0" w:space="0" w:color="auto"/>
        <w:bottom w:val="none" w:sz="0" w:space="0" w:color="auto"/>
        <w:right w:val="none" w:sz="0" w:space="0" w:color="auto"/>
      </w:divBdr>
    </w:div>
    <w:div w:id="674234811">
      <w:bodyDiv w:val="1"/>
      <w:marLeft w:val="0"/>
      <w:marRight w:val="0"/>
      <w:marTop w:val="0"/>
      <w:marBottom w:val="0"/>
      <w:divBdr>
        <w:top w:val="none" w:sz="0" w:space="0" w:color="auto"/>
        <w:left w:val="none" w:sz="0" w:space="0" w:color="auto"/>
        <w:bottom w:val="none" w:sz="0" w:space="0" w:color="auto"/>
        <w:right w:val="none" w:sz="0" w:space="0" w:color="auto"/>
      </w:divBdr>
    </w:div>
    <w:div w:id="675378368">
      <w:bodyDiv w:val="1"/>
      <w:marLeft w:val="0"/>
      <w:marRight w:val="0"/>
      <w:marTop w:val="0"/>
      <w:marBottom w:val="0"/>
      <w:divBdr>
        <w:top w:val="none" w:sz="0" w:space="0" w:color="auto"/>
        <w:left w:val="none" w:sz="0" w:space="0" w:color="auto"/>
        <w:bottom w:val="none" w:sz="0" w:space="0" w:color="auto"/>
        <w:right w:val="none" w:sz="0" w:space="0" w:color="auto"/>
      </w:divBdr>
    </w:div>
    <w:div w:id="675770803">
      <w:bodyDiv w:val="1"/>
      <w:marLeft w:val="0"/>
      <w:marRight w:val="0"/>
      <w:marTop w:val="0"/>
      <w:marBottom w:val="0"/>
      <w:divBdr>
        <w:top w:val="none" w:sz="0" w:space="0" w:color="auto"/>
        <w:left w:val="none" w:sz="0" w:space="0" w:color="auto"/>
        <w:bottom w:val="none" w:sz="0" w:space="0" w:color="auto"/>
        <w:right w:val="none" w:sz="0" w:space="0" w:color="auto"/>
      </w:divBdr>
    </w:div>
    <w:div w:id="679114737">
      <w:bodyDiv w:val="1"/>
      <w:marLeft w:val="0"/>
      <w:marRight w:val="0"/>
      <w:marTop w:val="0"/>
      <w:marBottom w:val="0"/>
      <w:divBdr>
        <w:top w:val="none" w:sz="0" w:space="0" w:color="auto"/>
        <w:left w:val="none" w:sz="0" w:space="0" w:color="auto"/>
        <w:bottom w:val="none" w:sz="0" w:space="0" w:color="auto"/>
        <w:right w:val="none" w:sz="0" w:space="0" w:color="auto"/>
      </w:divBdr>
    </w:div>
    <w:div w:id="683093587">
      <w:bodyDiv w:val="1"/>
      <w:marLeft w:val="0"/>
      <w:marRight w:val="0"/>
      <w:marTop w:val="0"/>
      <w:marBottom w:val="0"/>
      <w:divBdr>
        <w:top w:val="none" w:sz="0" w:space="0" w:color="auto"/>
        <w:left w:val="none" w:sz="0" w:space="0" w:color="auto"/>
        <w:bottom w:val="none" w:sz="0" w:space="0" w:color="auto"/>
        <w:right w:val="none" w:sz="0" w:space="0" w:color="auto"/>
      </w:divBdr>
    </w:div>
    <w:div w:id="683214749">
      <w:bodyDiv w:val="1"/>
      <w:marLeft w:val="0"/>
      <w:marRight w:val="0"/>
      <w:marTop w:val="0"/>
      <w:marBottom w:val="0"/>
      <w:divBdr>
        <w:top w:val="none" w:sz="0" w:space="0" w:color="auto"/>
        <w:left w:val="none" w:sz="0" w:space="0" w:color="auto"/>
        <w:bottom w:val="none" w:sz="0" w:space="0" w:color="auto"/>
        <w:right w:val="none" w:sz="0" w:space="0" w:color="auto"/>
      </w:divBdr>
    </w:div>
    <w:div w:id="683827840">
      <w:bodyDiv w:val="1"/>
      <w:marLeft w:val="0"/>
      <w:marRight w:val="0"/>
      <w:marTop w:val="0"/>
      <w:marBottom w:val="0"/>
      <w:divBdr>
        <w:top w:val="none" w:sz="0" w:space="0" w:color="auto"/>
        <w:left w:val="none" w:sz="0" w:space="0" w:color="auto"/>
        <w:bottom w:val="none" w:sz="0" w:space="0" w:color="auto"/>
        <w:right w:val="none" w:sz="0" w:space="0" w:color="auto"/>
      </w:divBdr>
    </w:div>
    <w:div w:id="685250789">
      <w:bodyDiv w:val="1"/>
      <w:marLeft w:val="0"/>
      <w:marRight w:val="0"/>
      <w:marTop w:val="0"/>
      <w:marBottom w:val="0"/>
      <w:divBdr>
        <w:top w:val="none" w:sz="0" w:space="0" w:color="auto"/>
        <w:left w:val="none" w:sz="0" w:space="0" w:color="auto"/>
        <w:bottom w:val="none" w:sz="0" w:space="0" w:color="auto"/>
        <w:right w:val="none" w:sz="0" w:space="0" w:color="auto"/>
      </w:divBdr>
    </w:div>
    <w:div w:id="688917010">
      <w:bodyDiv w:val="1"/>
      <w:marLeft w:val="0"/>
      <w:marRight w:val="0"/>
      <w:marTop w:val="0"/>
      <w:marBottom w:val="0"/>
      <w:divBdr>
        <w:top w:val="none" w:sz="0" w:space="0" w:color="auto"/>
        <w:left w:val="none" w:sz="0" w:space="0" w:color="auto"/>
        <w:bottom w:val="none" w:sz="0" w:space="0" w:color="auto"/>
        <w:right w:val="none" w:sz="0" w:space="0" w:color="auto"/>
      </w:divBdr>
    </w:div>
    <w:div w:id="689601789">
      <w:bodyDiv w:val="1"/>
      <w:marLeft w:val="0"/>
      <w:marRight w:val="0"/>
      <w:marTop w:val="0"/>
      <w:marBottom w:val="0"/>
      <w:divBdr>
        <w:top w:val="none" w:sz="0" w:space="0" w:color="auto"/>
        <w:left w:val="none" w:sz="0" w:space="0" w:color="auto"/>
        <w:bottom w:val="none" w:sz="0" w:space="0" w:color="auto"/>
        <w:right w:val="none" w:sz="0" w:space="0" w:color="auto"/>
      </w:divBdr>
    </w:div>
    <w:div w:id="694187501">
      <w:bodyDiv w:val="1"/>
      <w:marLeft w:val="0"/>
      <w:marRight w:val="0"/>
      <w:marTop w:val="0"/>
      <w:marBottom w:val="0"/>
      <w:divBdr>
        <w:top w:val="none" w:sz="0" w:space="0" w:color="auto"/>
        <w:left w:val="none" w:sz="0" w:space="0" w:color="auto"/>
        <w:bottom w:val="none" w:sz="0" w:space="0" w:color="auto"/>
        <w:right w:val="none" w:sz="0" w:space="0" w:color="auto"/>
      </w:divBdr>
    </w:div>
    <w:div w:id="698898419">
      <w:bodyDiv w:val="1"/>
      <w:marLeft w:val="0"/>
      <w:marRight w:val="0"/>
      <w:marTop w:val="0"/>
      <w:marBottom w:val="0"/>
      <w:divBdr>
        <w:top w:val="none" w:sz="0" w:space="0" w:color="auto"/>
        <w:left w:val="none" w:sz="0" w:space="0" w:color="auto"/>
        <w:bottom w:val="none" w:sz="0" w:space="0" w:color="auto"/>
        <w:right w:val="none" w:sz="0" w:space="0" w:color="auto"/>
      </w:divBdr>
    </w:div>
    <w:div w:id="699664011">
      <w:bodyDiv w:val="1"/>
      <w:marLeft w:val="0"/>
      <w:marRight w:val="0"/>
      <w:marTop w:val="0"/>
      <w:marBottom w:val="0"/>
      <w:divBdr>
        <w:top w:val="none" w:sz="0" w:space="0" w:color="auto"/>
        <w:left w:val="none" w:sz="0" w:space="0" w:color="auto"/>
        <w:bottom w:val="none" w:sz="0" w:space="0" w:color="auto"/>
        <w:right w:val="none" w:sz="0" w:space="0" w:color="auto"/>
      </w:divBdr>
    </w:div>
    <w:div w:id="701248864">
      <w:bodyDiv w:val="1"/>
      <w:marLeft w:val="0"/>
      <w:marRight w:val="0"/>
      <w:marTop w:val="0"/>
      <w:marBottom w:val="0"/>
      <w:divBdr>
        <w:top w:val="none" w:sz="0" w:space="0" w:color="auto"/>
        <w:left w:val="none" w:sz="0" w:space="0" w:color="auto"/>
        <w:bottom w:val="none" w:sz="0" w:space="0" w:color="auto"/>
        <w:right w:val="none" w:sz="0" w:space="0" w:color="auto"/>
      </w:divBdr>
    </w:div>
    <w:div w:id="703407129">
      <w:bodyDiv w:val="1"/>
      <w:marLeft w:val="0"/>
      <w:marRight w:val="0"/>
      <w:marTop w:val="0"/>
      <w:marBottom w:val="0"/>
      <w:divBdr>
        <w:top w:val="none" w:sz="0" w:space="0" w:color="auto"/>
        <w:left w:val="none" w:sz="0" w:space="0" w:color="auto"/>
        <w:bottom w:val="none" w:sz="0" w:space="0" w:color="auto"/>
        <w:right w:val="none" w:sz="0" w:space="0" w:color="auto"/>
      </w:divBdr>
    </w:div>
    <w:div w:id="716515800">
      <w:bodyDiv w:val="1"/>
      <w:marLeft w:val="0"/>
      <w:marRight w:val="0"/>
      <w:marTop w:val="0"/>
      <w:marBottom w:val="0"/>
      <w:divBdr>
        <w:top w:val="none" w:sz="0" w:space="0" w:color="auto"/>
        <w:left w:val="none" w:sz="0" w:space="0" w:color="auto"/>
        <w:bottom w:val="none" w:sz="0" w:space="0" w:color="auto"/>
        <w:right w:val="none" w:sz="0" w:space="0" w:color="auto"/>
      </w:divBdr>
    </w:div>
    <w:div w:id="723332509">
      <w:bodyDiv w:val="1"/>
      <w:marLeft w:val="0"/>
      <w:marRight w:val="0"/>
      <w:marTop w:val="0"/>
      <w:marBottom w:val="0"/>
      <w:divBdr>
        <w:top w:val="none" w:sz="0" w:space="0" w:color="auto"/>
        <w:left w:val="none" w:sz="0" w:space="0" w:color="auto"/>
        <w:bottom w:val="none" w:sz="0" w:space="0" w:color="auto"/>
        <w:right w:val="none" w:sz="0" w:space="0" w:color="auto"/>
      </w:divBdr>
    </w:div>
    <w:div w:id="724715921">
      <w:bodyDiv w:val="1"/>
      <w:marLeft w:val="0"/>
      <w:marRight w:val="0"/>
      <w:marTop w:val="0"/>
      <w:marBottom w:val="0"/>
      <w:divBdr>
        <w:top w:val="none" w:sz="0" w:space="0" w:color="auto"/>
        <w:left w:val="none" w:sz="0" w:space="0" w:color="auto"/>
        <w:bottom w:val="none" w:sz="0" w:space="0" w:color="auto"/>
        <w:right w:val="none" w:sz="0" w:space="0" w:color="auto"/>
      </w:divBdr>
    </w:div>
    <w:div w:id="725032334">
      <w:bodyDiv w:val="1"/>
      <w:marLeft w:val="0"/>
      <w:marRight w:val="0"/>
      <w:marTop w:val="0"/>
      <w:marBottom w:val="0"/>
      <w:divBdr>
        <w:top w:val="none" w:sz="0" w:space="0" w:color="auto"/>
        <w:left w:val="none" w:sz="0" w:space="0" w:color="auto"/>
        <w:bottom w:val="none" w:sz="0" w:space="0" w:color="auto"/>
        <w:right w:val="none" w:sz="0" w:space="0" w:color="auto"/>
      </w:divBdr>
    </w:div>
    <w:div w:id="727459288">
      <w:bodyDiv w:val="1"/>
      <w:marLeft w:val="0"/>
      <w:marRight w:val="0"/>
      <w:marTop w:val="0"/>
      <w:marBottom w:val="0"/>
      <w:divBdr>
        <w:top w:val="none" w:sz="0" w:space="0" w:color="auto"/>
        <w:left w:val="none" w:sz="0" w:space="0" w:color="auto"/>
        <w:bottom w:val="none" w:sz="0" w:space="0" w:color="auto"/>
        <w:right w:val="none" w:sz="0" w:space="0" w:color="auto"/>
      </w:divBdr>
    </w:div>
    <w:div w:id="734937519">
      <w:bodyDiv w:val="1"/>
      <w:marLeft w:val="0"/>
      <w:marRight w:val="0"/>
      <w:marTop w:val="0"/>
      <w:marBottom w:val="0"/>
      <w:divBdr>
        <w:top w:val="none" w:sz="0" w:space="0" w:color="auto"/>
        <w:left w:val="none" w:sz="0" w:space="0" w:color="auto"/>
        <w:bottom w:val="none" w:sz="0" w:space="0" w:color="auto"/>
        <w:right w:val="none" w:sz="0" w:space="0" w:color="auto"/>
      </w:divBdr>
    </w:div>
    <w:div w:id="735129238">
      <w:bodyDiv w:val="1"/>
      <w:marLeft w:val="0"/>
      <w:marRight w:val="0"/>
      <w:marTop w:val="0"/>
      <w:marBottom w:val="0"/>
      <w:divBdr>
        <w:top w:val="none" w:sz="0" w:space="0" w:color="auto"/>
        <w:left w:val="none" w:sz="0" w:space="0" w:color="auto"/>
        <w:bottom w:val="none" w:sz="0" w:space="0" w:color="auto"/>
        <w:right w:val="none" w:sz="0" w:space="0" w:color="auto"/>
      </w:divBdr>
    </w:div>
    <w:div w:id="739062357">
      <w:bodyDiv w:val="1"/>
      <w:marLeft w:val="0"/>
      <w:marRight w:val="0"/>
      <w:marTop w:val="0"/>
      <w:marBottom w:val="0"/>
      <w:divBdr>
        <w:top w:val="none" w:sz="0" w:space="0" w:color="auto"/>
        <w:left w:val="none" w:sz="0" w:space="0" w:color="auto"/>
        <w:bottom w:val="none" w:sz="0" w:space="0" w:color="auto"/>
        <w:right w:val="none" w:sz="0" w:space="0" w:color="auto"/>
      </w:divBdr>
    </w:div>
    <w:div w:id="745030518">
      <w:bodyDiv w:val="1"/>
      <w:marLeft w:val="0"/>
      <w:marRight w:val="0"/>
      <w:marTop w:val="0"/>
      <w:marBottom w:val="0"/>
      <w:divBdr>
        <w:top w:val="none" w:sz="0" w:space="0" w:color="auto"/>
        <w:left w:val="none" w:sz="0" w:space="0" w:color="auto"/>
        <w:bottom w:val="none" w:sz="0" w:space="0" w:color="auto"/>
        <w:right w:val="none" w:sz="0" w:space="0" w:color="auto"/>
      </w:divBdr>
    </w:div>
    <w:div w:id="749233880">
      <w:bodyDiv w:val="1"/>
      <w:marLeft w:val="0"/>
      <w:marRight w:val="0"/>
      <w:marTop w:val="0"/>
      <w:marBottom w:val="0"/>
      <w:divBdr>
        <w:top w:val="none" w:sz="0" w:space="0" w:color="auto"/>
        <w:left w:val="none" w:sz="0" w:space="0" w:color="auto"/>
        <w:bottom w:val="none" w:sz="0" w:space="0" w:color="auto"/>
        <w:right w:val="none" w:sz="0" w:space="0" w:color="auto"/>
      </w:divBdr>
    </w:div>
    <w:div w:id="752048774">
      <w:bodyDiv w:val="1"/>
      <w:marLeft w:val="0"/>
      <w:marRight w:val="0"/>
      <w:marTop w:val="0"/>
      <w:marBottom w:val="0"/>
      <w:divBdr>
        <w:top w:val="none" w:sz="0" w:space="0" w:color="auto"/>
        <w:left w:val="none" w:sz="0" w:space="0" w:color="auto"/>
        <w:bottom w:val="none" w:sz="0" w:space="0" w:color="auto"/>
        <w:right w:val="none" w:sz="0" w:space="0" w:color="auto"/>
      </w:divBdr>
    </w:div>
    <w:div w:id="755976626">
      <w:bodyDiv w:val="1"/>
      <w:marLeft w:val="0"/>
      <w:marRight w:val="0"/>
      <w:marTop w:val="0"/>
      <w:marBottom w:val="0"/>
      <w:divBdr>
        <w:top w:val="none" w:sz="0" w:space="0" w:color="auto"/>
        <w:left w:val="none" w:sz="0" w:space="0" w:color="auto"/>
        <w:bottom w:val="none" w:sz="0" w:space="0" w:color="auto"/>
        <w:right w:val="none" w:sz="0" w:space="0" w:color="auto"/>
      </w:divBdr>
    </w:div>
    <w:div w:id="762531940">
      <w:bodyDiv w:val="1"/>
      <w:marLeft w:val="0"/>
      <w:marRight w:val="0"/>
      <w:marTop w:val="0"/>
      <w:marBottom w:val="0"/>
      <w:divBdr>
        <w:top w:val="none" w:sz="0" w:space="0" w:color="auto"/>
        <w:left w:val="none" w:sz="0" w:space="0" w:color="auto"/>
        <w:bottom w:val="none" w:sz="0" w:space="0" w:color="auto"/>
        <w:right w:val="none" w:sz="0" w:space="0" w:color="auto"/>
      </w:divBdr>
    </w:div>
    <w:div w:id="763965146">
      <w:bodyDiv w:val="1"/>
      <w:marLeft w:val="0"/>
      <w:marRight w:val="0"/>
      <w:marTop w:val="0"/>
      <w:marBottom w:val="0"/>
      <w:divBdr>
        <w:top w:val="none" w:sz="0" w:space="0" w:color="auto"/>
        <w:left w:val="none" w:sz="0" w:space="0" w:color="auto"/>
        <w:bottom w:val="none" w:sz="0" w:space="0" w:color="auto"/>
        <w:right w:val="none" w:sz="0" w:space="0" w:color="auto"/>
      </w:divBdr>
    </w:div>
    <w:div w:id="765425680">
      <w:bodyDiv w:val="1"/>
      <w:marLeft w:val="0"/>
      <w:marRight w:val="0"/>
      <w:marTop w:val="0"/>
      <w:marBottom w:val="0"/>
      <w:divBdr>
        <w:top w:val="none" w:sz="0" w:space="0" w:color="auto"/>
        <w:left w:val="none" w:sz="0" w:space="0" w:color="auto"/>
        <w:bottom w:val="none" w:sz="0" w:space="0" w:color="auto"/>
        <w:right w:val="none" w:sz="0" w:space="0" w:color="auto"/>
      </w:divBdr>
    </w:div>
    <w:div w:id="766271512">
      <w:bodyDiv w:val="1"/>
      <w:marLeft w:val="0"/>
      <w:marRight w:val="0"/>
      <w:marTop w:val="0"/>
      <w:marBottom w:val="0"/>
      <w:divBdr>
        <w:top w:val="none" w:sz="0" w:space="0" w:color="auto"/>
        <w:left w:val="none" w:sz="0" w:space="0" w:color="auto"/>
        <w:bottom w:val="none" w:sz="0" w:space="0" w:color="auto"/>
        <w:right w:val="none" w:sz="0" w:space="0" w:color="auto"/>
      </w:divBdr>
    </w:div>
    <w:div w:id="766275054">
      <w:bodyDiv w:val="1"/>
      <w:marLeft w:val="0"/>
      <w:marRight w:val="0"/>
      <w:marTop w:val="0"/>
      <w:marBottom w:val="0"/>
      <w:divBdr>
        <w:top w:val="none" w:sz="0" w:space="0" w:color="auto"/>
        <w:left w:val="none" w:sz="0" w:space="0" w:color="auto"/>
        <w:bottom w:val="none" w:sz="0" w:space="0" w:color="auto"/>
        <w:right w:val="none" w:sz="0" w:space="0" w:color="auto"/>
      </w:divBdr>
    </w:div>
    <w:div w:id="766847507">
      <w:bodyDiv w:val="1"/>
      <w:marLeft w:val="0"/>
      <w:marRight w:val="0"/>
      <w:marTop w:val="0"/>
      <w:marBottom w:val="0"/>
      <w:divBdr>
        <w:top w:val="none" w:sz="0" w:space="0" w:color="auto"/>
        <w:left w:val="none" w:sz="0" w:space="0" w:color="auto"/>
        <w:bottom w:val="none" w:sz="0" w:space="0" w:color="auto"/>
        <w:right w:val="none" w:sz="0" w:space="0" w:color="auto"/>
      </w:divBdr>
    </w:div>
    <w:div w:id="771052124">
      <w:bodyDiv w:val="1"/>
      <w:marLeft w:val="0"/>
      <w:marRight w:val="0"/>
      <w:marTop w:val="0"/>
      <w:marBottom w:val="0"/>
      <w:divBdr>
        <w:top w:val="none" w:sz="0" w:space="0" w:color="auto"/>
        <w:left w:val="none" w:sz="0" w:space="0" w:color="auto"/>
        <w:bottom w:val="none" w:sz="0" w:space="0" w:color="auto"/>
        <w:right w:val="none" w:sz="0" w:space="0" w:color="auto"/>
      </w:divBdr>
    </w:div>
    <w:div w:id="771438079">
      <w:bodyDiv w:val="1"/>
      <w:marLeft w:val="0"/>
      <w:marRight w:val="0"/>
      <w:marTop w:val="0"/>
      <w:marBottom w:val="0"/>
      <w:divBdr>
        <w:top w:val="none" w:sz="0" w:space="0" w:color="auto"/>
        <w:left w:val="none" w:sz="0" w:space="0" w:color="auto"/>
        <w:bottom w:val="none" w:sz="0" w:space="0" w:color="auto"/>
        <w:right w:val="none" w:sz="0" w:space="0" w:color="auto"/>
      </w:divBdr>
    </w:div>
    <w:div w:id="781191724">
      <w:bodyDiv w:val="1"/>
      <w:marLeft w:val="0"/>
      <w:marRight w:val="0"/>
      <w:marTop w:val="0"/>
      <w:marBottom w:val="0"/>
      <w:divBdr>
        <w:top w:val="none" w:sz="0" w:space="0" w:color="auto"/>
        <w:left w:val="none" w:sz="0" w:space="0" w:color="auto"/>
        <w:bottom w:val="none" w:sz="0" w:space="0" w:color="auto"/>
        <w:right w:val="none" w:sz="0" w:space="0" w:color="auto"/>
      </w:divBdr>
    </w:div>
    <w:div w:id="781657493">
      <w:bodyDiv w:val="1"/>
      <w:marLeft w:val="0"/>
      <w:marRight w:val="0"/>
      <w:marTop w:val="0"/>
      <w:marBottom w:val="0"/>
      <w:divBdr>
        <w:top w:val="none" w:sz="0" w:space="0" w:color="auto"/>
        <w:left w:val="none" w:sz="0" w:space="0" w:color="auto"/>
        <w:bottom w:val="none" w:sz="0" w:space="0" w:color="auto"/>
        <w:right w:val="none" w:sz="0" w:space="0" w:color="auto"/>
      </w:divBdr>
    </w:div>
    <w:div w:id="786584958">
      <w:bodyDiv w:val="1"/>
      <w:marLeft w:val="0"/>
      <w:marRight w:val="0"/>
      <w:marTop w:val="0"/>
      <w:marBottom w:val="0"/>
      <w:divBdr>
        <w:top w:val="none" w:sz="0" w:space="0" w:color="auto"/>
        <w:left w:val="none" w:sz="0" w:space="0" w:color="auto"/>
        <w:bottom w:val="none" w:sz="0" w:space="0" w:color="auto"/>
        <w:right w:val="none" w:sz="0" w:space="0" w:color="auto"/>
      </w:divBdr>
    </w:div>
    <w:div w:id="786660986">
      <w:bodyDiv w:val="1"/>
      <w:marLeft w:val="0"/>
      <w:marRight w:val="0"/>
      <w:marTop w:val="0"/>
      <w:marBottom w:val="0"/>
      <w:divBdr>
        <w:top w:val="none" w:sz="0" w:space="0" w:color="auto"/>
        <w:left w:val="none" w:sz="0" w:space="0" w:color="auto"/>
        <w:bottom w:val="none" w:sz="0" w:space="0" w:color="auto"/>
        <w:right w:val="none" w:sz="0" w:space="0" w:color="auto"/>
      </w:divBdr>
    </w:div>
    <w:div w:id="794838128">
      <w:bodyDiv w:val="1"/>
      <w:marLeft w:val="0"/>
      <w:marRight w:val="0"/>
      <w:marTop w:val="0"/>
      <w:marBottom w:val="0"/>
      <w:divBdr>
        <w:top w:val="none" w:sz="0" w:space="0" w:color="auto"/>
        <w:left w:val="none" w:sz="0" w:space="0" w:color="auto"/>
        <w:bottom w:val="none" w:sz="0" w:space="0" w:color="auto"/>
        <w:right w:val="none" w:sz="0" w:space="0" w:color="auto"/>
      </w:divBdr>
    </w:div>
    <w:div w:id="795294155">
      <w:bodyDiv w:val="1"/>
      <w:marLeft w:val="0"/>
      <w:marRight w:val="0"/>
      <w:marTop w:val="0"/>
      <w:marBottom w:val="0"/>
      <w:divBdr>
        <w:top w:val="none" w:sz="0" w:space="0" w:color="auto"/>
        <w:left w:val="none" w:sz="0" w:space="0" w:color="auto"/>
        <w:bottom w:val="none" w:sz="0" w:space="0" w:color="auto"/>
        <w:right w:val="none" w:sz="0" w:space="0" w:color="auto"/>
      </w:divBdr>
    </w:div>
    <w:div w:id="804202735">
      <w:bodyDiv w:val="1"/>
      <w:marLeft w:val="0"/>
      <w:marRight w:val="0"/>
      <w:marTop w:val="0"/>
      <w:marBottom w:val="0"/>
      <w:divBdr>
        <w:top w:val="none" w:sz="0" w:space="0" w:color="auto"/>
        <w:left w:val="none" w:sz="0" w:space="0" w:color="auto"/>
        <w:bottom w:val="none" w:sz="0" w:space="0" w:color="auto"/>
        <w:right w:val="none" w:sz="0" w:space="0" w:color="auto"/>
      </w:divBdr>
    </w:div>
    <w:div w:id="807361648">
      <w:bodyDiv w:val="1"/>
      <w:marLeft w:val="0"/>
      <w:marRight w:val="0"/>
      <w:marTop w:val="0"/>
      <w:marBottom w:val="0"/>
      <w:divBdr>
        <w:top w:val="none" w:sz="0" w:space="0" w:color="auto"/>
        <w:left w:val="none" w:sz="0" w:space="0" w:color="auto"/>
        <w:bottom w:val="none" w:sz="0" w:space="0" w:color="auto"/>
        <w:right w:val="none" w:sz="0" w:space="0" w:color="auto"/>
      </w:divBdr>
    </w:div>
    <w:div w:id="812600209">
      <w:bodyDiv w:val="1"/>
      <w:marLeft w:val="0"/>
      <w:marRight w:val="0"/>
      <w:marTop w:val="0"/>
      <w:marBottom w:val="0"/>
      <w:divBdr>
        <w:top w:val="none" w:sz="0" w:space="0" w:color="auto"/>
        <w:left w:val="none" w:sz="0" w:space="0" w:color="auto"/>
        <w:bottom w:val="none" w:sz="0" w:space="0" w:color="auto"/>
        <w:right w:val="none" w:sz="0" w:space="0" w:color="auto"/>
      </w:divBdr>
    </w:div>
    <w:div w:id="813378493">
      <w:bodyDiv w:val="1"/>
      <w:marLeft w:val="0"/>
      <w:marRight w:val="0"/>
      <w:marTop w:val="0"/>
      <w:marBottom w:val="0"/>
      <w:divBdr>
        <w:top w:val="none" w:sz="0" w:space="0" w:color="auto"/>
        <w:left w:val="none" w:sz="0" w:space="0" w:color="auto"/>
        <w:bottom w:val="none" w:sz="0" w:space="0" w:color="auto"/>
        <w:right w:val="none" w:sz="0" w:space="0" w:color="auto"/>
      </w:divBdr>
    </w:div>
    <w:div w:id="817654145">
      <w:bodyDiv w:val="1"/>
      <w:marLeft w:val="0"/>
      <w:marRight w:val="0"/>
      <w:marTop w:val="0"/>
      <w:marBottom w:val="0"/>
      <w:divBdr>
        <w:top w:val="none" w:sz="0" w:space="0" w:color="auto"/>
        <w:left w:val="none" w:sz="0" w:space="0" w:color="auto"/>
        <w:bottom w:val="none" w:sz="0" w:space="0" w:color="auto"/>
        <w:right w:val="none" w:sz="0" w:space="0" w:color="auto"/>
      </w:divBdr>
    </w:div>
    <w:div w:id="819813752">
      <w:bodyDiv w:val="1"/>
      <w:marLeft w:val="0"/>
      <w:marRight w:val="0"/>
      <w:marTop w:val="0"/>
      <w:marBottom w:val="0"/>
      <w:divBdr>
        <w:top w:val="none" w:sz="0" w:space="0" w:color="auto"/>
        <w:left w:val="none" w:sz="0" w:space="0" w:color="auto"/>
        <w:bottom w:val="none" w:sz="0" w:space="0" w:color="auto"/>
        <w:right w:val="none" w:sz="0" w:space="0" w:color="auto"/>
      </w:divBdr>
    </w:div>
    <w:div w:id="820736737">
      <w:bodyDiv w:val="1"/>
      <w:marLeft w:val="0"/>
      <w:marRight w:val="0"/>
      <w:marTop w:val="0"/>
      <w:marBottom w:val="0"/>
      <w:divBdr>
        <w:top w:val="none" w:sz="0" w:space="0" w:color="auto"/>
        <w:left w:val="none" w:sz="0" w:space="0" w:color="auto"/>
        <w:bottom w:val="none" w:sz="0" w:space="0" w:color="auto"/>
        <w:right w:val="none" w:sz="0" w:space="0" w:color="auto"/>
      </w:divBdr>
    </w:div>
    <w:div w:id="821627970">
      <w:bodyDiv w:val="1"/>
      <w:marLeft w:val="0"/>
      <w:marRight w:val="0"/>
      <w:marTop w:val="0"/>
      <w:marBottom w:val="0"/>
      <w:divBdr>
        <w:top w:val="none" w:sz="0" w:space="0" w:color="auto"/>
        <w:left w:val="none" w:sz="0" w:space="0" w:color="auto"/>
        <w:bottom w:val="none" w:sz="0" w:space="0" w:color="auto"/>
        <w:right w:val="none" w:sz="0" w:space="0" w:color="auto"/>
      </w:divBdr>
    </w:div>
    <w:div w:id="825051341">
      <w:bodyDiv w:val="1"/>
      <w:marLeft w:val="0"/>
      <w:marRight w:val="0"/>
      <w:marTop w:val="0"/>
      <w:marBottom w:val="0"/>
      <w:divBdr>
        <w:top w:val="none" w:sz="0" w:space="0" w:color="auto"/>
        <w:left w:val="none" w:sz="0" w:space="0" w:color="auto"/>
        <w:bottom w:val="none" w:sz="0" w:space="0" w:color="auto"/>
        <w:right w:val="none" w:sz="0" w:space="0" w:color="auto"/>
      </w:divBdr>
    </w:div>
    <w:div w:id="827596976">
      <w:bodyDiv w:val="1"/>
      <w:marLeft w:val="0"/>
      <w:marRight w:val="0"/>
      <w:marTop w:val="0"/>
      <w:marBottom w:val="0"/>
      <w:divBdr>
        <w:top w:val="none" w:sz="0" w:space="0" w:color="auto"/>
        <w:left w:val="none" w:sz="0" w:space="0" w:color="auto"/>
        <w:bottom w:val="none" w:sz="0" w:space="0" w:color="auto"/>
        <w:right w:val="none" w:sz="0" w:space="0" w:color="auto"/>
      </w:divBdr>
    </w:div>
    <w:div w:id="830682823">
      <w:bodyDiv w:val="1"/>
      <w:marLeft w:val="0"/>
      <w:marRight w:val="0"/>
      <w:marTop w:val="0"/>
      <w:marBottom w:val="0"/>
      <w:divBdr>
        <w:top w:val="none" w:sz="0" w:space="0" w:color="auto"/>
        <w:left w:val="none" w:sz="0" w:space="0" w:color="auto"/>
        <w:bottom w:val="none" w:sz="0" w:space="0" w:color="auto"/>
        <w:right w:val="none" w:sz="0" w:space="0" w:color="auto"/>
      </w:divBdr>
    </w:div>
    <w:div w:id="831599121">
      <w:bodyDiv w:val="1"/>
      <w:marLeft w:val="0"/>
      <w:marRight w:val="0"/>
      <w:marTop w:val="0"/>
      <w:marBottom w:val="0"/>
      <w:divBdr>
        <w:top w:val="none" w:sz="0" w:space="0" w:color="auto"/>
        <w:left w:val="none" w:sz="0" w:space="0" w:color="auto"/>
        <w:bottom w:val="none" w:sz="0" w:space="0" w:color="auto"/>
        <w:right w:val="none" w:sz="0" w:space="0" w:color="auto"/>
      </w:divBdr>
    </w:div>
    <w:div w:id="834538546">
      <w:bodyDiv w:val="1"/>
      <w:marLeft w:val="0"/>
      <w:marRight w:val="0"/>
      <w:marTop w:val="0"/>
      <w:marBottom w:val="0"/>
      <w:divBdr>
        <w:top w:val="none" w:sz="0" w:space="0" w:color="auto"/>
        <w:left w:val="none" w:sz="0" w:space="0" w:color="auto"/>
        <w:bottom w:val="none" w:sz="0" w:space="0" w:color="auto"/>
        <w:right w:val="none" w:sz="0" w:space="0" w:color="auto"/>
      </w:divBdr>
    </w:div>
    <w:div w:id="842429025">
      <w:bodyDiv w:val="1"/>
      <w:marLeft w:val="0"/>
      <w:marRight w:val="0"/>
      <w:marTop w:val="0"/>
      <w:marBottom w:val="0"/>
      <w:divBdr>
        <w:top w:val="none" w:sz="0" w:space="0" w:color="auto"/>
        <w:left w:val="none" w:sz="0" w:space="0" w:color="auto"/>
        <w:bottom w:val="none" w:sz="0" w:space="0" w:color="auto"/>
        <w:right w:val="none" w:sz="0" w:space="0" w:color="auto"/>
      </w:divBdr>
    </w:div>
    <w:div w:id="846331907">
      <w:bodyDiv w:val="1"/>
      <w:marLeft w:val="0"/>
      <w:marRight w:val="0"/>
      <w:marTop w:val="0"/>
      <w:marBottom w:val="0"/>
      <w:divBdr>
        <w:top w:val="none" w:sz="0" w:space="0" w:color="auto"/>
        <w:left w:val="none" w:sz="0" w:space="0" w:color="auto"/>
        <w:bottom w:val="none" w:sz="0" w:space="0" w:color="auto"/>
        <w:right w:val="none" w:sz="0" w:space="0" w:color="auto"/>
      </w:divBdr>
    </w:div>
    <w:div w:id="850799133">
      <w:bodyDiv w:val="1"/>
      <w:marLeft w:val="0"/>
      <w:marRight w:val="0"/>
      <w:marTop w:val="0"/>
      <w:marBottom w:val="0"/>
      <w:divBdr>
        <w:top w:val="none" w:sz="0" w:space="0" w:color="auto"/>
        <w:left w:val="none" w:sz="0" w:space="0" w:color="auto"/>
        <w:bottom w:val="none" w:sz="0" w:space="0" w:color="auto"/>
        <w:right w:val="none" w:sz="0" w:space="0" w:color="auto"/>
      </w:divBdr>
    </w:div>
    <w:div w:id="851647911">
      <w:bodyDiv w:val="1"/>
      <w:marLeft w:val="0"/>
      <w:marRight w:val="0"/>
      <w:marTop w:val="0"/>
      <w:marBottom w:val="0"/>
      <w:divBdr>
        <w:top w:val="none" w:sz="0" w:space="0" w:color="auto"/>
        <w:left w:val="none" w:sz="0" w:space="0" w:color="auto"/>
        <w:bottom w:val="none" w:sz="0" w:space="0" w:color="auto"/>
        <w:right w:val="none" w:sz="0" w:space="0" w:color="auto"/>
      </w:divBdr>
    </w:div>
    <w:div w:id="853349434">
      <w:bodyDiv w:val="1"/>
      <w:marLeft w:val="0"/>
      <w:marRight w:val="0"/>
      <w:marTop w:val="0"/>
      <w:marBottom w:val="0"/>
      <w:divBdr>
        <w:top w:val="none" w:sz="0" w:space="0" w:color="auto"/>
        <w:left w:val="none" w:sz="0" w:space="0" w:color="auto"/>
        <w:bottom w:val="none" w:sz="0" w:space="0" w:color="auto"/>
        <w:right w:val="none" w:sz="0" w:space="0" w:color="auto"/>
      </w:divBdr>
    </w:div>
    <w:div w:id="862787259">
      <w:bodyDiv w:val="1"/>
      <w:marLeft w:val="0"/>
      <w:marRight w:val="0"/>
      <w:marTop w:val="0"/>
      <w:marBottom w:val="0"/>
      <w:divBdr>
        <w:top w:val="none" w:sz="0" w:space="0" w:color="auto"/>
        <w:left w:val="none" w:sz="0" w:space="0" w:color="auto"/>
        <w:bottom w:val="none" w:sz="0" w:space="0" w:color="auto"/>
        <w:right w:val="none" w:sz="0" w:space="0" w:color="auto"/>
      </w:divBdr>
    </w:div>
    <w:div w:id="864713460">
      <w:bodyDiv w:val="1"/>
      <w:marLeft w:val="0"/>
      <w:marRight w:val="0"/>
      <w:marTop w:val="0"/>
      <w:marBottom w:val="0"/>
      <w:divBdr>
        <w:top w:val="none" w:sz="0" w:space="0" w:color="auto"/>
        <w:left w:val="none" w:sz="0" w:space="0" w:color="auto"/>
        <w:bottom w:val="none" w:sz="0" w:space="0" w:color="auto"/>
        <w:right w:val="none" w:sz="0" w:space="0" w:color="auto"/>
      </w:divBdr>
    </w:div>
    <w:div w:id="865947078">
      <w:bodyDiv w:val="1"/>
      <w:marLeft w:val="0"/>
      <w:marRight w:val="0"/>
      <w:marTop w:val="0"/>
      <w:marBottom w:val="0"/>
      <w:divBdr>
        <w:top w:val="none" w:sz="0" w:space="0" w:color="auto"/>
        <w:left w:val="none" w:sz="0" w:space="0" w:color="auto"/>
        <w:bottom w:val="none" w:sz="0" w:space="0" w:color="auto"/>
        <w:right w:val="none" w:sz="0" w:space="0" w:color="auto"/>
      </w:divBdr>
    </w:div>
    <w:div w:id="869925333">
      <w:bodyDiv w:val="1"/>
      <w:marLeft w:val="0"/>
      <w:marRight w:val="0"/>
      <w:marTop w:val="0"/>
      <w:marBottom w:val="0"/>
      <w:divBdr>
        <w:top w:val="none" w:sz="0" w:space="0" w:color="auto"/>
        <w:left w:val="none" w:sz="0" w:space="0" w:color="auto"/>
        <w:bottom w:val="none" w:sz="0" w:space="0" w:color="auto"/>
        <w:right w:val="none" w:sz="0" w:space="0" w:color="auto"/>
      </w:divBdr>
    </w:div>
    <w:div w:id="869996654">
      <w:bodyDiv w:val="1"/>
      <w:marLeft w:val="0"/>
      <w:marRight w:val="0"/>
      <w:marTop w:val="0"/>
      <w:marBottom w:val="0"/>
      <w:divBdr>
        <w:top w:val="none" w:sz="0" w:space="0" w:color="auto"/>
        <w:left w:val="none" w:sz="0" w:space="0" w:color="auto"/>
        <w:bottom w:val="none" w:sz="0" w:space="0" w:color="auto"/>
        <w:right w:val="none" w:sz="0" w:space="0" w:color="auto"/>
      </w:divBdr>
    </w:div>
    <w:div w:id="874973558">
      <w:bodyDiv w:val="1"/>
      <w:marLeft w:val="0"/>
      <w:marRight w:val="0"/>
      <w:marTop w:val="0"/>
      <w:marBottom w:val="0"/>
      <w:divBdr>
        <w:top w:val="none" w:sz="0" w:space="0" w:color="auto"/>
        <w:left w:val="none" w:sz="0" w:space="0" w:color="auto"/>
        <w:bottom w:val="none" w:sz="0" w:space="0" w:color="auto"/>
        <w:right w:val="none" w:sz="0" w:space="0" w:color="auto"/>
      </w:divBdr>
    </w:div>
    <w:div w:id="878132009">
      <w:bodyDiv w:val="1"/>
      <w:marLeft w:val="0"/>
      <w:marRight w:val="0"/>
      <w:marTop w:val="0"/>
      <w:marBottom w:val="0"/>
      <w:divBdr>
        <w:top w:val="none" w:sz="0" w:space="0" w:color="auto"/>
        <w:left w:val="none" w:sz="0" w:space="0" w:color="auto"/>
        <w:bottom w:val="none" w:sz="0" w:space="0" w:color="auto"/>
        <w:right w:val="none" w:sz="0" w:space="0" w:color="auto"/>
      </w:divBdr>
    </w:div>
    <w:div w:id="889656726">
      <w:bodyDiv w:val="1"/>
      <w:marLeft w:val="0"/>
      <w:marRight w:val="0"/>
      <w:marTop w:val="0"/>
      <w:marBottom w:val="0"/>
      <w:divBdr>
        <w:top w:val="none" w:sz="0" w:space="0" w:color="auto"/>
        <w:left w:val="none" w:sz="0" w:space="0" w:color="auto"/>
        <w:bottom w:val="none" w:sz="0" w:space="0" w:color="auto"/>
        <w:right w:val="none" w:sz="0" w:space="0" w:color="auto"/>
      </w:divBdr>
    </w:div>
    <w:div w:id="892617356">
      <w:bodyDiv w:val="1"/>
      <w:marLeft w:val="0"/>
      <w:marRight w:val="0"/>
      <w:marTop w:val="0"/>
      <w:marBottom w:val="0"/>
      <w:divBdr>
        <w:top w:val="none" w:sz="0" w:space="0" w:color="auto"/>
        <w:left w:val="none" w:sz="0" w:space="0" w:color="auto"/>
        <w:bottom w:val="none" w:sz="0" w:space="0" w:color="auto"/>
        <w:right w:val="none" w:sz="0" w:space="0" w:color="auto"/>
      </w:divBdr>
    </w:div>
    <w:div w:id="895512990">
      <w:bodyDiv w:val="1"/>
      <w:marLeft w:val="0"/>
      <w:marRight w:val="0"/>
      <w:marTop w:val="0"/>
      <w:marBottom w:val="0"/>
      <w:divBdr>
        <w:top w:val="none" w:sz="0" w:space="0" w:color="auto"/>
        <w:left w:val="none" w:sz="0" w:space="0" w:color="auto"/>
        <w:bottom w:val="none" w:sz="0" w:space="0" w:color="auto"/>
        <w:right w:val="none" w:sz="0" w:space="0" w:color="auto"/>
      </w:divBdr>
    </w:div>
    <w:div w:id="895823943">
      <w:bodyDiv w:val="1"/>
      <w:marLeft w:val="0"/>
      <w:marRight w:val="0"/>
      <w:marTop w:val="0"/>
      <w:marBottom w:val="0"/>
      <w:divBdr>
        <w:top w:val="none" w:sz="0" w:space="0" w:color="auto"/>
        <w:left w:val="none" w:sz="0" w:space="0" w:color="auto"/>
        <w:bottom w:val="none" w:sz="0" w:space="0" w:color="auto"/>
        <w:right w:val="none" w:sz="0" w:space="0" w:color="auto"/>
      </w:divBdr>
    </w:div>
    <w:div w:id="896089035">
      <w:bodyDiv w:val="1"/>
      <w:marLeft w:val="0"/>
      <w:marRight w:val="0"/>
      <w:marTop w:val="0"/>
      <w:marBottom w:val="0"/>
      <w:divBdr>
        <w:top w:val="none" w:sz="0" w:space="0" w:color="auto"/>
        <w:left w:val="none" w:sz="0" w:space="0" w:color="auto"/>
        <w:bottom w:val="none" w:sz="0" w:space="0" w:color="auto"/>
        <w:right w:val="none" w:sz="0" w:space="0" w:color="auto"/>
      </w:divBdr>
    </w:div>
    <w:div w:id="897517878">
      <w:bodyDiv w:val="1"/>
      <w:marLeft w:val="0"/>
      <w:marRight w:val="0"/>
      <w:marTop w:val="0"/>
      <w:marBottom w:val="0"/>
      <w:divBdr>
        <w:top w:val="none" w:sz="0" w:space="0" w:color="auto"/>
        <w:left w:val="none" w:sz="0" w:space="0" w:color="auto"/>
        <w:bottom w:val="none" w:sz="0" w:space="0" w:color="auto"/>
        <w:right w:val="none" w:sz="0" w:space="0" w:color="auto"/>
      </w:divBdr>
    </w:div>
    <w:div w:id="901140091">
      <w:bodyDiv w:val="1"/>
      <w:marLeft w:val="0"/>
      <w:marRight w:val="0"/>
      <w:marTop w:val="0"/>
      <w:marBottom w:val="0"/>
      <w:divBdr>
        <w:top w:val="none" w:sz="0" w:space="0" w:color="auto"/>
        <w:left w:val="none" w:sz="0" w:space="0" w:color="auto"/>
        <w:bottom w:val="none" w:sz="0" w:space="0" w:color="auto"/>
        <w:right w:val="none" w:sz="0" w:space="0" w:color="auto"/>
      </w:divBdr>
    </w:div>
    <w:div w:id="906457271">
      <w:bodyDiv w:val="1"/>
      <w:marLeft w:val="0"/>
      <w:marRight w:val="0"/>
      <w:marTop w:val="0"/>
      <w:marBottom w:val="0"/>
      <w:divBdr>
        <w:top w:val="none" w:sz="0" w:space="0" w:color="auto"/>
        <w:left w:val="none" w:sz="0" w:space="0" w:color="auto"/>
        <w:bottom w:val="none" w:sz="0" w:space="0" w:color="auto"/>
        <w:right w:val="none" w:sz="0" w:space="0" w:color="auto"/>
      </w:divBdr>
    </w:div>
    <w:div w:id="907110977">
      <w:bodyDiv w:val="1"/>
      <w:marLeft w:val="0"/>
      <w:marRight w:val="0"/>
      <w:marTop w:val="0"/>
      <w:marBottom w:val="0"/>
      <w:divBdr>
        <w:top w:val="none" w:sz="0" w:space="0" w:color="auto"/>
        <w:left w:val="none" w:sz="0" w:space="0" w:color="auto"/>
        <w:bottom w:val="none" w:sz="0" w:space="0" w:color="auto"/>
        <w:right w:val="none" w:sz="0" w:space="0" w:color="auto"/>
      </w:divBdr>
    </w:div>
    <w:div w:id="907619293">
      <w:bodyDiv w:val="1"/>
      <w:marLeft w:val="0"/>
      <w:marRight w:val="0"/>
      <w:marTop w:val="0"/>
      <w:marBottom w:val="0"/>
      <w:divBdr>
        <w:top w:val="none" w:sz="0" w:space="0" w:color="auto"/>
        <w:left w:val="none" w:sz="0" w:space="0" w:color="auto"/>
        <w:bottom w:val="none" w:sz="0" w:space="0" w:color="auto"/>
        <w:right w:val="none" w:sz="0" w:space="0" w:color="auto"/>
      </w:divBdr>
    </w:div>
    <w:div w:id="908540097">
      <w:bodyDiv w:val="1"/>
      <w:marLeft w:val="0"/>
      <w:marRight w:val="0"/>
      <w:marTop w:val="0"/>
      <w:marBottom w:val="0"/>
      <w:divBdr>
        <w:top w:val="none" w:sz="0" w:space="0" w:color="auto"/>
        <w:left w:val="none" w:sz="0" w:space="0" w:color="auto"/>
        <w:bottom w:val="none" w:sz="0" w:space="0" w:color="auto"/>
        <w:right w:val="none" w:sz="0" w:space="0" w:color="auto"/>
      </w:divBdr>
    </w:div>
    <w:div w:id="909581389">
      <w:bodyDiv w:val="1"/>
      <w:marLeft w:val="0"/>
      <w:marRight w:val="0"/>
      <w:marTop w:val="0"/>
      <w:marBottom w:val="0"/>
      <w:divBdr>
        <w:top w:val="none" w:sz="0" w:space="0" w:color="auto"/>
        <w:left w:val="none" w:sz="0" w:space="0" w:color="auto"/>
        <w:bottom w:val="none" w:sz="0" w:space="0" w:color="auto"/>
        <w:right w:val="none" w:sz="0" w:space="0" w:color="auto"/>
      </w:divBdr>
    </w:div>
    <w:div w:id="924647690">
      <w:bodyDiv w:val="1"/>
      <w:marLeft w:val="0"/>
      <w:marRight w:val="0"/>
      <w:marTop w:val="0"/>
      <w:marBottom w:val="0"/>
      <w:divBdr>
        <w:top w:val="none" w:sz="0" w:space="0" w:color="auto"/>
        <w:left w:val="none" w:sz="0" w:space="0" w:color="auto"/>
        <w:bottom w:val="none" w:sz="0" w:space="0" w:color="auto"/>
        <w:right w:val="none" w:sz="0" w:space="0" w:color="auto"/>
      </w:divBdr>
    </w:div>
    <w:div w:id="927882939">
      <w:bodyDiv w:val="1"/>
      <w:marLeft w:val="0"/>
      <w:marRight w:val="0"/>
      <w:marTop w:val="0"/>
      <w:marBottom w:val="0"/>
      <w:divBdr>
        <w:top w:val="none" w:sz="0" w:space="0" w:color="auto"/>
        <w:left w:val="none" w:sz="0" w:space="0" w:color="auto"/>
        <w:bottom w:val="none" w:sz="0" w:space="0" w:color="auto"/>
        <w:right w:val="none" w:sz="0" w:space="0" w:color="auto"/>
      </w:divBdr>
    </w:div>
    <w:div w:id="931931213">
      <w:bodyDiv w:val="1"/>
      <w:marLeft w:val="0"/>
      <w:marRight w:val="0"/>
      <w:marTop w:val="0"/>
      <w:marBottom w:val="0"/>
      <w:divBdr>
        <w:top w:val="none" w:sz="0" w:space="0" w:color="auto"/>
        <w:left w:val="none" w:sz="0" w:space="0" w:color="auto"/>
        <w:bottom w:val="none" w:sz="0" w:space="0" w:color="auto"/>
        <w:right w:val="none" w:sz="0" w:space="0" w:color="auto"/>
      </w:divBdr>
    </w:div>
    <w:div w:id="932318818">
      <w:bodyDiv w:val="1"/>
      <w:marLeft w:val="0"/>
      <w:marRight w:val="0"/>
      <w:marTop w:val="0"/>
      <w:marBottom w:val="0"/>
      <w:divBdr>
        <w:top w:val="none" w:sz="0" w:space="0" w:color="auto"/>
        <w:left w:val="none" w:sz="0" w:space="0" w:color="auto"/>
        <w:bottom w:val="none" w:sz="0" w:space="0" w:color="auto"/>
        <w:right w:val="none" w:sz="0" w:space="0" w:color="auto"/>
      </w:divBdr>
    </w:div>
    <w:div w:id="933170849">
      <w:bodyDiv w:val="1"/>
      <w:marLeft w:val="0"/>
      <w:marRight w:val="0"/>
      <w:marTop w:val="0"/>
      <w:marBottom w:val="0"/>
      <w:divBdr>
        <w:top w:val="none" w:sz="0" w:space="0" w:color="auto"/>
        <w:left w:val="none" w:sz="0" w:space="0" w:color="auto"/>
        <w:bottom w:val="none" w:sz="0" w:space="0" w:color="auto"/>
        <w:right w:val="none" w:sz="0" w:space="0" w:color="auto"/>
      </w:divBdr>
    </w:div>
    <w:div w:id="937370063">
      <w:bodyDiv w:val="1"/>
      <w:marLeft w:val="0"/>
      <w:marRight w:val="0"/>
      <w:marTop w:val="0"/>
      <w:marBottom w:val="0"/>
      <w:divBdr>
        <w:top w:val="none" w:sz="0" w:space="0" w:color="auto"/>
        <w:left w:val="none" w:sz="0" w:space="0" w:color="auto"/>
        <w:bottom w:val="none" w:sz="0" w:space="0" w:color="auto"/>
        <w:right w:val="none" w:sz="0" w:space="0" w:color="auto"/>
      </w:divBdr>
    </w:div>
    <w:div w:id="942415046">
      <w:bodyDiv w:val="1"/>
      <w:marLeft w:val="0"/>
      <w:marRight w:val="0"/>
      <w:marTop w:val="0"/>
      <w:marBottom w:val="0"/>
      <w:divBdr>
        <w:top w:val="none" w:sz="0" w:space="0" w:color="auto"/>
        <w:left w:val="none" w:sz="0" w:space="0" w:color="auto"/>
        <w:bottom w:val="none" w:sz="0" w:space="0" w:color="auto"/>
        <w:right w:val="none" w:sz="0" w:space="0" w:color="auto"/>
      </w:divBdr>
    </w:div>
    <w:div w:id="947196248">
      <w:bodyDiv w:val="1"/>
      <w:marLeft w:val="0"/>
      <w:marRight w:val="0"/>
      <w:marTop w:val="0"/>
      <w:marBottom w:val="0"/>
      <w:divBdr>
        <w:top w:val="none" w:sz="0" w:space="0" w:color="auto"/>
        <w:left w:val="none" w:sz="0" w:space="0" w:color="auto"/>
        <w:bottom w:val="none" w:sz="0" w:space="0" w:color="auto"/>
        <w:right w:val="none" w:sz="0" w:space="0" w:color="auto"/>
      </w:divBdr>
    </w:div>
    <w:div w:id="949123017">
      <w:bodyDiv w:val="1"/>
      <w:marLeft w:val="0"/>
      <w:marRight w:val="0"/>
      <w:marTop w:val="0"/>
      <w:marBottom w:val="0"/>
      <w:divBdr>
        <w:top w:val="none" w:sz="0" w:space="0" w:color="auto"/>
        <w:left w:val="none" w:sz="0" w:space="0" w:color="auto"/>
        <w:bottom w:val="none" w:sz="0" w:space="0" w:color="auto"/>
        <w:right w:val="none" w:sz="0" w:space="0" w:color="auto"/>
      </w:divBdr>
    </w:div>
    <w:div w:id="954364479">
      <w:bodyDiv w:val="1"/>
      <w:marLeft w:val="0"/>
      <w:marRight w:val="0"/>
      <w:marTop w:val="0"/>
      <w:marBottom w:val="0"/>
      <w:divBdr>
        <w:top w:val="none" w:sz="0" w:space="0" w:color="auto"/>
        <w:left w:val="none" w:sz="0" w:space="0" w:color="auto"/>
        <w:bottom w:val="none" w:sz="0" w:space="0" w:color="auto"/>
        <w:right w:val="none" w:sz="0" w:space="0" w:color="auto"/>
      </w:divBdr>
    </w:div>
    <w:div w:id="955333718">
      <w:bodyDiv w:val="1"/>
      <w:marLeft w:val="0"/>
      <w:marRight w:val="0"/>
      <w:marTop w:val="0"/>
      <w:marBottom w:val="0"/>
      <w:divBdr>
        <w:top w:val="none" w:sz="0" w:space="0" w:color="auto"/>
        <w:left w:val="none" w:sz="0" w:space="0" w:color="auto"/>
        <w:bottom w:val="none" w:sz="0" w:space="0" w:color="auto"/>
        <w:right w:val="none" w:sz="0" w:space="0" w:color="auto"/>
      </w:divBdr>
    </w:div>
    <w:div w:id="955866652">
      <w:bodyDiv w:val="1"/>
      <w:marLeft w:val="0"/>
      <w:marRight w:val="0"/>
      <w:marTop w:val="0"/>
      <w:marBottom w:val="0"/>
      <w:divBdr>
        <w:top w:val="none" w:sz="0" w:space="0" w:color="auto"/>
        <w:left w:val="none" w:sz="0" w:space="0" w:color="auto"/>
        <w:bottom w:val="none" w:sz="0" w:space="0" w:color="auto"/>
        <w:right w:val="none" w:sz="0" w:space="0" w:color="auto"/>
      </w:divBdr>
    </w:div>
    <w:div w:id="956718889">
      <w:bodyDiv w:val="1"/>
      <w:marLeft w:val="0"/>
      <w:marRight w:val="0"/>
      <w:marTop w:val="0"/>
      <w:marBottom w:val="0"/>
      <w:divBdr>
        <w:top w:val="none" w:sz="0" w:space="0" w:color="auto"/>
        <w:left w:val="none" w:sz="0" w:space="0" w:color="auto"/>
        <w:bottom w:val="none" w:sz="0" w:space="0" w:color="auto"/>
        <w:right w:val="none" w:sz="0" w:space="0" w:color="auto"/>
      </w:divBdr>
    </w:div>
    <w:div w:id="957250497">
      <w:bodyDiv w:val="1"/>
      <w:marLeft w:val="0"/>
      <w:marRight w:val="0"/>
      <w:marTop w:val="0"/>
      <w:marBottom w:val="0"/>
      <w:divBdr>
        <w:top w:val="none" w:sz="0" w:space="0" w:color="auto"/>
        <w:left w:val="none" w:sz="0" w:space="0" w:color="auto"/>
        <w:bottom w:val="none" w:sz="0" w:space="0" w:color="auto"/>
        <w:right w:val="none" w:sz="0" w:space="0" w:color="auto"/>
      </w:divBdr>
    </w:div>
    <w:div w:id="96358615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497911">
      <w:bodyDiv w:val="1"/>
      <w:marLeft w:val="0"/>
      <w:marRight w:val="0"/>
      <w:marTop w:val="0"/>
      <w:marBottom w:val="0"/>
      <w:divBdr>
        <w:top w:val="none" w:sz="0" w:space="0" w:color="auto"/>
        <w:left w:val="none" w:sz="0" w:space="0" w:color="auto"/>
        <w:bottom w:val="none" w:sz="0" w:space="0" w:color="auto"/>
        <w:right w:val="none" w:sz="0" w:space="0" w:color="auto"/>
      </w:divBdr>
    </w:div>
    <w:div w:id="981009358">
      <w:bodyDiv w:val="1"/>
      <w:marLeft w:val="0"/>
      <w:marRight w:val="0"/>
      <w:marTop w:val="0"/>
      <w:marBottom w:val="0"/>
      <w:divBdr>
        <w:top w:val="none" w:sz="0" w:space="0" w:color="auto"/>
        <w:left w:val="none" w:sz="0" w:space="0" w:color="auto"/>
        <w:bottom w:val="none" w:sz="0" w:space="0" w:color="auto"/>
        <w:right w:val="none" w:sz="0" w:space="0" w:color="auto"/>
      </w:divBdr>
    </w:div>
    <w:div w:id="986934685">
      <w:bodyDiv w:val="1"/>
      <w:marLeft w:val="0"/>
      <w:marRight w:val="0"/>
      <w:marTop w:val="0"/>
      <w:marBottom w:val="0"/>
      <w:divBdr>
        <w:top w:val="none" w:sz="0" w:space="0" w:color="auto"/>
        <w:left w:val="none" w:sz="0" w:space="0" w:color="auto"/>
        <w:bottom w:val="none" w:sz="0" w:space="0" w:color="auto"/>
        <w:right w:val="none" w:sz="0" w:space="0" w:color="auto"/>
      </w:divBdr>
    </w:div>
    <w:div w:id="988286702">
      <w:bodyDiv w:val="1"/>
      <w:marLeft w:val="0"/>
      <w:marRight w:val="0"/>
      <w:marTop w:val="0"/>
      <w:marBottom w:val="0"/>
      <w:divBdr>
        <w:top w:val="none" w:sz="0" w:space="0" w:color="auto"/>
        <w:left w:val="none" w:sz="0" w:space="0" w:color="auto"/>
        <w:bottom w:val="none" w:sz="0" w:space="0" w:color="auto"/>
        <w:right w:val="none" w:sz="0" w:space="0" w:color="auto"/>
      </w:divBdr>
    </w:div>
    <w:div w:id="990138668">
      <w:bodyDiv w:val="1"/>
      <w:marLeft w:val="0"/>
      <w:marRight w:val="0"/>
      <w:marTop w:val="0"/>
      <w:marBottom w:val="0"/>
      <w:divBdr>
        <w:top w:val="none" w:sz="0" w:space="0" w:color="auto"/>
        <w:left w:val="none" w:sz="0" w:space="0" w:color="auto"/>
        <w:bottom w:val="none" w:sz="0" w:space="0" w:color="auto"/>
        <w:right w:val="none" w:sz="0" w:space="0" w:color="auto"/>
      </w:divBdr>
    </w:div>
    <w:div w:id="993025065">
      <w:bodyDiv w:val="1"/>
      <w:marLeft w:val="0"/>
      <w:marRight w:val="0"/>
      <w:marTop w:val="0"/>
      <w:marBottom w:val="0"/>
      <w:divBdr>
        <w:top w:val="none" w:sz="0" w:space="0" w:color="auto"/>
        <w:left w:val="none" w:sz="0" w:space="0" w:color="auto"/>
        <w:bottom w:val="none" w:sz="0" w:space="0" w:color="auto"/>
        <w:right w:val="none" w:sz="0" w:space="0" w:color="auto"/>
      </w:divBdr>
    </w:div>
    <w:div w:id="993410150">
      <w:bodyDiv w:val="1"/>
      <w:marLeft w:val="0"/>
      <w:marRight w:val="0"/>
      <w:marTop w:val="0"/>
      <w:marBottom w:val="0"/>
      <w:divBdr>
        <w:top w:val="none" w:sz="0" w:space="0" w:color="auto"/>
        <w:left w:val="none" w:sz="0" w:space="0" w:color="auto"/>
        <w:bottom w:val="none" w:sz="0" w:space="0" w:color="auto"/>
        <w:right w:val="none" w:sz="0" w:space="0" w:color="auto"/>
      </w:divBdr>
    </w:div>
    <w:div w:id="993684685">
      <w:bodyDiv w:val="1"/>
      <w:marLeft w:val="0"/>
      <w:marRight w:val="0"/>
      <w:marTop w:val="0"/>
      <w:marBottom w:val="0"/>
      <w:divBdr>
        <w:top w:val="none" w:sz="0" w:space="0" w:color="auto"/>
        <w:left w:val="none" w:sz="0" w:space="0" w:color="auto"/>
        <w:bottom w:val="none" w:sz="0" w:space="0" w:color="auto"/>
        <w:right w:val="none" w:sz="0" w:space="0" w:color="auto"/>
      </w:divBdr>
    </w:div>
    <w:div w:id="993802562">
      <w:bodyDiv w:val="1"/>
      <w:marLeft w:val="0"/>
      <w:marRight w:val="0"/>
      <w:marTop w:val="0"/>
      <w:marBottom w:val="0"/>
      <w:divBdr>
        <w:top w:val="none" w:sz="0" w:space="0" w:color="auto"/>
        <w:left w:val="none" w:sz="0" w:space="0" w:color="auto"/>
        <w:bottom w:val="none" w:sz="0" w:space="0" w:color="auto"/>
        <w:right w:val="none" w:sz="0" w:space="0" w:color="auto"/>
      </w:divBdr>
    </w:div>
    <w:div w:id="1006129529">
      <w:bodyDiv w:val="1"/>
      <w:marLeft w:val="0"/>
      <w:marRight w:val="0"/>
      <w:marTop w:val="0"/>
      <w:marBottom w:val="0"/>
      <w:divBdr>
        <w:top w:val="none" w:sz="0" w:space="0" w:color="auto"/>
        <w:left w:val="none" w:sz="0" w:space="0" w:color="auto"/>
        <w:bottom w:val="none" w:sz="0" w:space="0" w:color="auto"/>
        <w:right w:val="none" w:sz="0" w:space="0" w:color="auto"/>
      </w:divBdr>
    </w:div>
    <w:div w:id="1009674336">
      <w:bodyDiv w:val="1"/>
      <w:marLeft w:val="0"/>
      <w:marRight w:val="0"/>
      <w:marTop w:val="0"/>
      <w:marBottom w:val="0"/>
      <w:divBdr>
        <w:top w:val="none" w:sz="0" w:space="0" w:color="auto"/>
        <w:left w:val="none" w:sz="0" w:space="0" w:color="auto"/>
        <w:bottom w:val="none" w:sz="0" w:space="0" w:color="auto"/>
        <w:right w:val="none" w:sz="0" w:space="0" w:color="auto"/>
      </w:divBdr>
    </w:div>
    <w:div w:id="1013604963">
      <w:bodyDiv w:val="1"/>
      <w:marLeft w:val="0"/>
      <w:marRight w:val="0"/>
      <w:marTop w:val="0"/>
      <w:marBottom w:val="0"/>
      <w:divBdr>
        <w:top w:val="none" w:sz="0" w:space="0" w:color="auto"/>
        <w:left w:val="none" w:sz="0" w:space="0" w:color="auto"/>
        <w:bottom w:val="none" w:sz="0" w:space="0" w:color="auto"/>
        <w:right w:val="none" w:sz="0" w:space="0" w:color="auto"/>
      </w:divBdr>
    </w:div>
    <w:div w:id="1014841447">
      <w:bodyDiv w:val="1"/>
      <w:marLeft w:val="0"/>
      <w:marRight w:val="0"/>
      <w:marTop w:val="0"/>
      <w:marBottom w:val="0"/>
      <w:divBdr>
        <w:top w:val="none" w:sz="0" w:space="0" w:color="auto"/>
        <w:left w:val="none" w:sz="0" w:space="0" w:color="auto"/>
        <w:bottom w:val="none" w:sz="0" w:space="0" w:color="auto"/>
        <w:right w:val="none" w:sz="0" w:space="0" w:color="auto"/>
      </w:divBdr>
    </w:div>
    <w:div w:id="1016351200">
      <w:bodyDiv w:val="1"/>
      <w:marLeft w:val="0"/>
      <w:marRight w:val="0"/>
      <w:marTop w:val="0"/>
      <w:marBottom w:val="0"/>
      <w:divBdr>
        <w:top w:val="none" w:sz="0" w:space="0" w:color="auto"/>
        <w:left w:val="none" w:sz="0" w:space="0" w:color="auto"/>
        <w:bottom w:val="none" w:sz="0" w:space="0" w:color="auto"/>
        <w:right w:val="none" w:sz="0" w:space="0" w:color="auto"/>
      </w:divBdr>
    </w:div>
    <w:div w:id="1016692713">
      <w:bodyDiv w:val="1"/>
      <w:marLeft w:val="0"/>
      <w:marRight w:val="0"/>
      <w:marTop w:val="0"/>
      <w:marBottom w:val="0"/>
      <w:divBdr>
        <w:top w:val="none" w:sz="0" w:space="0" w:color="auto"/>
        <w:left w:val="none" w:sz="0" w:space="0" w:color="auto"/>
        <w:bottom w:val="none" w:sz="0" w:space="0" w:color="auto"/>
        <w:right w:val="none" w:sz="0" w:space="0" w:color="auto"/>
      </w:divBdr>
    </w:div>
    <w:div w:id="1023484687">
      <w:bodyDiv w:val="1"/>
      <w:marLeft w:val="0"/>
      <w:marRight w:val="0"/>
      <w:marTop w:val="0"/>
      <w:marBottom w:val="0"/>
      <w:divBdr>
        <w:top w:val="none" w:sz="0" w:space="0" w:color="auto"/>
        <w:left w:val="none" w:sz="0" w:space="0" w:color="auto"/>
        <w:bottom w:val="none" w:sz="0" w:space="0" w:color="auto"/>
        <w:right w:val="none" w:sz="0" w:space="0" w:color="auto"/>
      </w:divBdr>
    </w:div>
    <w:div w:id="1023899937">
      <w:bodyDiv w:val="1"/>
      <w:marLeft w:val="0"/>
      <w:marRight w:val="0"/>
      <w:marTop w:val="0"/>
      <w:marBottom w:val="0"/>
      <w:divBdr>
        <w:top w:val="none" w:sz="0" w:space="0" w:color="auto"/>
        <w:left w:val="none" w:sz="0" w:space="0" w:color="auto"/>
        <w:bottom w:val="none" w:sz="0" w:space="0" w:color="auto"/>
        <w:right w:val="none" w:sz="0" w:space="0" w:color="auto"/>
      </w:divBdr>
    </w:div>
    <w:div w:id="1027171295">
      <w:bodyDiv w:val="1"/>
      <w:marLeft w:val="0"/>
      <w:marRight w:val="0"/>
      <w:marTop w:val="0"/>
      <w:marBottom w:val="0"/>
      <w:divBdr>
        <w:top w:val="none" w:sz="0" w:space="0" w:color="auto"/>
        <w:left w:val="none" w:sz="0" w:space="0" w:color="auto"/>
        <w:bottom w:val="none" w:sz="0" w:space="0" w:color="auto"/>
        <w:right w:val="none" w:sz="0" w:space="0" w:color="auto"/>
      </w:divBdr>
    </w:div>
    <w:div w:id="1032264508">
      <w:bodyDiv w:val="1"/>
      <w:marLeft w:val="0"/>
      <w:marRight w:val="0"/>
      <w:marTop w:val="0"/>
      <w:marBottom w:val="0"/>
      <w:divBdr>
        <w:top w:val="none" w:sz="0" w:space="0" w:color="auto"/>
        <w:left w:val="none" w:sz="0" w:space="0" w:color="auto"/>
        <w:bottom w:val="none" w:sz="0" w:space="0" w:color="auto"/>
        <w:right w:val="none" w:sz="0" w:space="0" w:color="auto"/>
      </w:divBdr>
    </w:div>
    <w:div w:id="1033261327">
      <w:bodyDiv w:val="1"/>
      <w:marLeft w:val="0"/>
      <w:marRight w:val="0"/>
      <w:marTop w:val="0"/>
      <w:marBottom w:val="0"/>
      <w:divBdr>
        <w:top w:val="none" w:sz="0" w:space="0" w:color="auto"/>
        <w:left w:val="none" w:sz="0" w:space="0" w:color="auto"/>
        <w:bottom w:val="none" w:sz="0" w:space="0" w:color="auto"/>
        <w:right w:val="none" w:sz="0" w:space="0" w:color="auto"/>
      </w:divBdr>
    </w:div>
    <w:div w:id="1040201094">
      <w:bodyDiv w:val="1"/>
      <w:marLeft w:val="0"/>
      <w:marRight w:val="0"/>
      <w:marTop w:val="0"/>
      <w:marBottom w:val="0"/>
      <w:divBdr>
        <w:top w:val="none" w:sz="0" w:space="0" w:color="auto"/>
        <w:left w:val="none" w:sz="0" w:space="0" w:color="auto"/>
        <w:bottom w:val="none" w:sz="0" w:space="0" w:color="auto"/>
        <w:right w:val="none" w:sz="0" w:space="0" w:color="auto"/>
      </w:divBdr>
    </w:div>
    <w:div w:id="1041905780">
      <w:bodyDiv w:val="1"/>
      <w:marLeft w:val="0"/>
      <w:marRight w:val="0"/>
      <w:marTop w:val="0"/>
      <w:marBottom w:val="0"/>
      <w:divBdr>
        <w:top w:val="none" w:sz="0" w:space="0" w:color="auto"/>
        <w:left w:val="none" w:sz="0" w:space="0" w:color="auto"/>
        <w:bottom w:val="none" w:sz="0" w:space="0" w:color="auto"/>
        <w:right w:val="none" w:sz="0" w:space="0" w:color="auto"/>
      </w:divBdr>
    </w:div>
    <w:div w:id="1042754790">
      <w:bodyDiv w:val="1"/>
      <w:marLeft w:val="0"/>
      <w:marRight w:val="0"/>
      <w:marTop w:val="0"/>
      <w:marBottom w:val="0"/>
      <w:divBdr>
        <w:top w:val="none" w:sz="0" w:space="0" w:color="auto"/>
        <w:left w:val="none" w:sz="0" w:space="0" w:color="auto"/>
        <w:bottom w:val="none" w:sz="0" w:space="0" w:color="auto"/>
        <w:right w:val="none" w:sz="0" w:space="0" w:color="auto"/>
      </w:divBdr>
    </w:div>
    <w:div w:id="1049836612">
      <w:bodyDiv w:val="1"/>
      <w:marLeft w:val="0"/>
      <w:marRight w:val="0"/>
      <w:marTop w:val="0"/>
      <w:marBottom w:val="0"/>
      <w:divBdr>
        <w:top w:val="none" w:sz="0" w:space="0" w:color="auto"/>
        <w:left w:val="none" w:sz="0" w:space="0" w:color="auto"/>
        <w:bottom w:val="none" w:sz="0" w:space="0" w:color="auto"/>
        <w:right w:val="none" w:sz="0" w:space="0" w:color="auto"/>
      </w:divBdr>
    </w:div>
    <w:div w:id="1051029179">
      <w:bodyDiv w:val="1"/>
      <w:marLeft w:val="0"/>
      <w:marRight w:val="0"/>
      <w:marTop w:val="0"/>
      <w:marBottom w:val="0"/>
      <w:divBdr>
        <w:top w:val="none" w:sz="0" w:space="0" w:color="auto"/>
        <w:left w:val="none" w:sz="0" w:space="0" w:color="auto"/>
        <w:bottom w:val="none" w:sz="0" w:space="0" w:color="auto"/>
        <w:right w:val="none" w:sz="0" w:space="0" w:color="auto"/>
      </w:divBdr>
    </w:div>
    <w:div w:id="1054962432">
      <w:bodyDiv w:val="1"/>
      <w:marLeft w:val="0"/>
      <w:marRight w:val="0"/>
      <w:marTop w:val="0"/>
      <w:marBottom w:val="0"/>
      <w:divBdr>
        <w:top w:val="none" w:sz="0" w:space="0" w:color="auto"/>
        <w:left w:val="none" w:sz="0" w:space="0" w:color="auto"/>
        <w:bottom w:val="none" w:sz="0" w:space="0" w:color="auto"/>
        <w:right w:val="none" w:sz="0" w:space="0" w:color="auto"/>
      </w:divBdr>
    </w:div>
    <w:div w:id="1055003152">
      <w:bodyDiv w:val="1"/>
      <w:marLeft w:val="0"/>
      <w:marRight w:val="0"/>
      <w:marTop w:val="0"/>
      <w:marBottom w:val="0"/>
      <w:divBdr>
        <w:top w:val="none" w:sz="0" w:space="0" w:color="auto"/>
        <w:left w:val="none" w:sz="0" w:space="0" w:color="auto"/>
        <w:bottom w:val="none" w:sz="0" w:space="0" w:color="auto"/>
        <w:right w:val="none" w:sz="0" w:space="0" w:color="auto"/>
      </w:divBdr>
    </w:div>
    <w:div w:id="1059982264">
      <w:bodyDiv w:val="1"/>
      <w:marLeft w:val="0"/>
      <w:marRight w:val="0"/>
      <w:marTop w:val="0"/>
      <w:marBottom w:val="0"/>
      <w:divBdr>
        <w:top w:val="none" w:sz="0" w:space="0" w:color="auto"/>
        <w:left w:val="none" w:sz="0" w:space="0" w:color="auto"/>
        <w:bottom w:val="none" w:sz="0" w:space="0" w:color="auto"/>
        <w:right w:val="none" w:sz="0" w:space="0" w:color="auto"/>
      </w:divBdr>
    </w:div>
    <w:div w:id="1062410085">
      <w:bodyDiv w:val="1"/>
      <w:marLeft w:val="0"/>
      <w:marRight w:val="0"/>
      <w:marTop w:val="0"/>
      <w:marBottom w:val="0"/>
      <w:divBdr>
        <w:top w:val="none" w:sz="0" w:space="0" w:color="auto"/>
        <w:left w:val="none" w:sz="0" w:space="0" w:color="auto"/>
        <w:bottom w:val="none" w:sz="0" w:space="0" w:color="auto"/>
        <w:right w:val="none" w:sz="0" w:space="0" w:color="auto"/>
      </w:divBdr>
    </w:div>
    <w:div w:id="1069377139">
      <w:bodyDiv w:val="1"/>
      <w:marLeft w:val="0"/>
      <w:marRight w:val="0"/>
      <w:marTop w:val="0"/>
      <w:marBottom w:val="0"/>
      <w:divBdr>
        <w:top w:val="none" w:sz="0" w:space="0" w:color="auto"/>
        <w:left w:val="none" w:sz="0" w:space="0" w:color="auto"/>
        <w:bottom w:val="none" w:sz="0" w:space="0" w:color="auto"/>
        <w:right w:val="none" w:sz="0" w:space="0" w:color="auto"/>
      </w:divBdr>
    </w:div>
    <w:div w:id="1071854069">
      <w:bodyDiv w:val="1"/>
      <w:marLeft w:val="0"/>
      <w:marRight w:val="0"/>
      <w:marTop w:val="0"/>
      <w:marBottom w:val="0"/>
      <w:divBdr>
        <w:top w:val="none" w:sz="0" w:space="0" w:color="auto"/>
        <w:left w:val="none" w:sz="0" w:space="0" w:color="auto"/>
        <w:bottom w:val="none" w:sz="0" w:space="0" w:color="auto"/>
        <w:right w:val="none" w:sz="0" w:space="0" w:color="auto"/>
      </w:divBdr>
    </w:div>
    <w:div w:id="1073430690">
      <w:bodyDiv w:val="1"/>
      <w:marLeft w:val="0"/>
      <w:marRight w:val="0"/>
      <w:marTop w:val="0"/>
      <w:marBottom w:val="0"/>
      <w:divBdr>
        <w:top w:val="none" w:sz="0" w:space="0" w:color="auto"/>
        <w:left w:val="none" w:sz="0" w:space="0" w:color="auto"/>
        <w:bottom w:val="none" w:sz="0" w:space="0" w:color="auto"/>
        <w:right w:val="none" w:sz="0" w:space="0" w:color="auto"/>
      </w:divBdr>
    </w:div>
    <w:div w:id="1077747914">
      <w:bodyDiv w:val="1"/>
      <w:marLeft w:val="0"/>
      <w:marRight w:val="0"/>
      <w:marTop w:val="0"/>
      <w:marBottom w:val="0"/>
      <w:divBdr>
        <w:top w:val="none" w:sz="0" w:space="0" w:color="auto"/>
        <w:left w:val="none" w:sz="0" w:space="0" w:color="auto"/>
        <w:bottom w:val="none" w:sz="0" w:space="0" w:color="auto"/>
        <w:right w:val="none" w:sz="0" w:space="0" w:color="auto"/>
      </w:divBdr>
    </w:div>
    <w:div w:id="1078407037">
      <w:bodyDiv w:val="1"/>
      <w:marLeft w:val="0"/>
      <w:marRight w:val="0"/>
      <w:marTop w:val="0"/>
      <w:marBottom w:val="0"/>
      <w:divBdr>
        <w:top w:val="none" w:sz="0" w:space="0" w:color="auto"/>
        <w:left w:val="none" w:sz="0" w:space="0" w:color="auto"/>
        <w:bottom w:val="none" w:sz="0" w:space="0" w:color="auto"/>
        <w:right w:val="none" w:sz="0" w:space="0" w:color="auto"/>
      </w:divBdr>
    </w:div>
    <w:div w:id="1080103665">
      <w:bodyDiv w:val="1"/>
      <w:marLeft w:val="0"/>
      <w:marRight w:val="0"/>
      <w:marTop w:val="0"/>
      <w:marBottom w:val="0"/>
      <w:divBdr>
        <w:top w:val="none" w:sz="0" w:space="0" w:color="auto"/>
        <w:left w:val="none" w:sz="0" w:space="0" w:color="auto"/>
        <w:bottom w:val="none" w:sz="0" w:space="0" w:color="auto"/>
        <w:right w:val="none" w:sz="0" w:space="0" w:color="auto"/>
      </w:divBdr>
    </w:div>
    <w:div w:id="1080756352">
      <w:bodyDiv w:val="1"/>
      <w:marLeft w:val="0"/>
      <w:marRight w:val="0"/>
      <w:marTop w:val="0"/>
      <w:marBottom w:val="0"/>
      <w:divBdr>
        <w:top w:val="none" w:sz="0" w:space="0" w:color="auto"/>
        <w:left w:val="none" w:sz="0" w:space="0" w:color="auto"/>
        <w:bottom w:val="none" w:sz="0" w:space="0" w:color="auto"/>
        <w:right w:val="none" w:sz="0" w:space="0" w:color="auto"/>
      </w:divBdr>
    </w:div>
    <w:div w:id="1095830139">
      <w:bodyDiv w:val="1"/>
      <w:marLeft w:val="0"/>
      <w:marRight w:val="0"/>
      <w:marTop w:val="0"/>
      <w:marBottom w:val="0"/>
      <w:divBdr>
        <w:top w:val="none" w:sz="0" w:space="0" w:color="auto"/>
        <w:left w:val="none" w:sz="0" w:space="0" w:color="auto"/>
        <w:bottom w:val="none" w:sz="0" w:space="0" w:color="auto"/>
        <w:right w:val="none" w:sz="0" w:space="0" w:color="auto"/>
      </w:divBdr>
    </w:div>
    <w:div w:id="1096443824">
      <w:bodyDiv w:val="1"/>
      <w:marLeft w:val="0"/>
      <w:marRight w:val="0"/>
      <w:marTop w:val="0"/>
      <w:marBottom w:val="0"/>
      <w:divBdr>
        <w:top w:val="none" w:sz="0" w:space="0" w:color="auto"/>
        <w:left w:val="none" w:sz="0" w:space="0" w:color="auto"/>
        <w:bottom w:val="none" w:sz="0" w:space="0" w:color="auto"/>
        <w:right w:val="none" w:sz="0" w:space="0" w:color="auto"/>
      </w:divBdr>
    </w:div>
    <w:div w:id="1097168507">
      <w:bodyDiv w:val="1"/>
      <w:marLeft w:val="0"/>
      <w:marRight w:val="0"/>
      <w:marTop w:val="0"/>
      <w:marBottom w:val="0"/>
      <w:divBdr>
        <w:top w:val="none" w:sz="0" w:space="0" w:color="auto"/>
        <w:left w:val="none" w:sz="0" w:space="0" w:color="auto"/>
        <w:bottom w:val="none" w:sz="0" w:space="0" w:color="auto"/>
        <w:right w:val="none" w:sz="0" w:space="0" w:color="auto"/>
      </w:divBdr>
    </w:div>
    <w:div w:id="1098909709">
      <w:bodyDiv w:val="1"/>
      <w:marLeft w:val="0"/>
      <w:marRight w:val="0"/>
      <w:marTop w:val="0"/>
      <w:marBottom w:val="0"/>
      <w:divBdr>
        <w:top w:val="none" w:sz="0" w:space="0" w:color="auto"/>
        <w:left w:val="none" w:sz="0" w:space="0" w:color="auto"/>
        <w:bottom w:val="none" w:sz="0" w:space="0" w:color="auto"/>
        <w:right w:val="none" w:sz="0" w:space="0" w:color="auto"/>
      </w:divBdr>
    </w:div>
    <w:div w:id="1101604324">
      <w:bodyDiv w:val="1"/>
      <w:marLeft w:val="0"/>
      <w:marRight w:val="0"/>
      <w:marTop w:val="0"/>
      <w:marBottom w:val="0"/>
      <w:divBdr>
        <w:top w:val="none" w:sz="0" w:space="0" w:color="auto"/>
        <w:left w:val="none" w:sz="0" w:space="0" w:color="auto"/>
        <w:bottom w:val="none" w:sz="0" w:space="0" w:color="auto"/>
        <w:right w:val="none" w:sz="0" w:space="0" w:color="auto"/>
      </w:divBdr>
    </w:div>
    <w:div w:id="1103186544">
      <w:bodyDiv w:val="1"/>
      <w:marLeft w:val="0"/>
      <w:marRight w:val="0"/>
      <w:marTop w:val="0"/>
      <w:marBottom w:val="0"/>
      <w:divBdr>
        <w:top w:val="none" w:sz="0" w:space="0" w:color="auto"/>
        <w:left w:val="none" w:sz="0" w:space="0" w:color="auto"/>
        <w:bottom w:val="none" w:sz="0" w:space="0" w:color="auto"/>
        <w:right w:val="none" w:sz="0" w:space="0" w:color="auto"/>
      </w:divBdr>
    </w:div>
    <w:div w:id="1115444142">
      <w:bodyDiv w:val="1"/>
      <w:marLeft w:val="0"/>
      <w:marRight w:val="0"/>
      <w:marTop w:val="0"/>
      <w:marBottom w:val="0"/>
      <w:divBdr>
        <w:top w:val="none" w:sz="0" w:space="0" w:color="auto"/>
        <w:left w:val="none" w:sz="0" w:space="0" w:color="auto"/>
        <w:bottom w:val="none" w:sz="0" w:space="0" w:color="auto"/>
        <w:right w:val="none" w:sz="0" w:space="0" w:color="auto"/>
      </w:divBdr>
    </w:div>
    <w:div w:id="1123227398">
      <w:bodyDiv w:val="1"/>
      <w:marLeft w:val="0"/>
      <w:marRight w:val="0"/>
      <w:marTop w:val="0"/>
      <w:marBottom w:val="0"/>
      <w:divBdr>
        <w:top w:val="none" w:sz="0" w:space="0" w:color="auto"/>
        <w:left w:val="none" w:sz="0" w:space="0" w:color="auto"/>
        <w:bottom w:val="none" w:sz="0" w:space="0" w:color="auto"/>
        <w:right w:val="none" w:sz="0" w:space="0" w:color="auto"/>
      </w:divBdr>
    </w:div>
    <w:div w:id="1123384615">
      <w:bodyDiv w:val="1"/>
      <w:marLeft w:val="0"/>
      <w:marRight w:val="0"/>
      <w:marTop w:val="0"/>
      <w:marBottom w:val="0"/>
      <w:divBdr>
        <w:top w:val="none" w:sz="0" w:space="0" w:color="auto"/>
        <w:left w:val="none" w:sz="0" w:space="0" w:color="auto"/>
        <w:bottom w:val="none" w:sz="0" w:space="0" w:color="auto"/>
        <w:right w:val="none" w:sz="0" w:space="0" w:color="auto"/>
      </w:divBdr>
    </w:div>
    <w:div w:id="1126050325">
      <w:bodyDiv w:val="1"/>
      <w:marLeft w:val="0"/>
      <w:marRight w:val="0"/>
      <w:marTop w:val="0"/>
      <w:marBottom w:val="0"/>
      <w:divBdr>
        <w:top w:val="none" w:sz="0" w:space="0" w:color="auto"/>
        <w:left w:val="none" w:sz="0" w:space="0" w:color="auto"/>
        <w:bottom w:val="none" w:sz="0" w:space="0" w:color="auto"/>
        <w:right w:val="none" w:sz="0" w:space="0" w:color="auto"/>
      </w:divBdr>
    </w:div>
    <w:div w:id="1131051477">
      <w:bodyDiv w:val="1"/>
      <w:marLeft w:val="0"/>
      <w:marRight w:val="0"/>
      <w:marTop w:val="0"/>
      <w:marBottom w:val="0"/>
      <w:divBdr>
        <w:top w:val="none" w:sz="0" w:space="0" w:color="auto"/>
        <w:left w:val="none" w:sz="0" w:space="0" w:color="auto"/>
        <w:bottom w:val="none" w:sz="0" w:space="0" w:color="auto"/>
        <w:right w:val="none" w:sz="0" w:space="0" w:color="auto"/>
      </w:divBdr>
    </w:div>
    <w:div w:id="1131745388">
      <w:bodyDiv w:val="1"/>
      <w:marLeft w:val="0"/>
      <w:marRight w:val="0"/>
      <w:marTop w:val="0"/>
      <w:marBottom w:val="0"/>
      <w:divBdr>
        <w:top w:val="none" w:sz="0" w:space="0" w:color="auto"/>
        <w:left w:val="none" w:sz="0" w:space="0" w:color="auto"/>
        <w:bottom w:val="none" w:sz="0" w:space="0" w:color="auto"/>
        <w:right w:val="none" w:sz="0" w:space="0" w:color="auto"/>
      </w:divBdr>
    </w:div>
    <w:div w:id="113491018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066439">
      <w:bodyDiv w:val="1"/>
      <w:marLeft w:val="0"/>
      <w:marRight w:val="0"/>
      <w:marTop w:val="0"/>
      <w:marBottom w:val="0"/>
      <w:divBdr>
        <w:top w:val="none" w:sz="0" w:space="0" w:color="auto"/>
        <w:left w:val="none" w:sz="0" w:space="0" w:color="auto"/>
        <w:bottom w:val="none" w:sz="0" w:space="0" w:color="auto"/>
        <w:right w:val="none" w:sz="0" w:space="0" w:color="auto"/>
      </w:divBdr>
    </w:div>
    <w:div w:id="1139153892">
      <w:bodyDiv w:val="1"/>
      <w:marLeft w:val="0"/>
      <w:marRight w:val="0"/>
      <w:marTop w:val="0"/>
      <w:marBottom w:val="0"/>
      <w:divBdr>
        <w:top w:val="none" w:sz="0" w:space="0" w:color="auto"/>
        <w:left w:val="none" w:sz="0" w:space="0" w:color="auto"/>
        <w:bottom w:val="none" w:sz="0" w:space="0" w:color="auto"/>
        <w:right w:val="none" w:sz="0" w:space="0" w:color="auto"/>
      </w:divBdr>
    </w:div>
    <w:div w:id="1140418502">
      <w:bodyDiv w:val="1"/>
      <w:marLeft w:val="0"/>
      <w:marRight w:val="0"/>
      <w:marTop w:val="0"/>
      <w:marBottom w:val="0"/>
      <w:divBdr>
        <w:top w:val="none" w:sz="0" w:space="0" w:color="auto"/>
        <w:left w:val="none" w:sz="0" w:space="0" w:color="auto"/>
        <w:bottom w:val="none" w:sz="0" w:space="0" w:color="auto"/>
        <w:right w:val="none" w:sz="0" w:space="0" w:color="auto"/>
      </w:divBdr>
    </w:div>
    <w:div w:id="1140612468">
      <w:bodyDiv w:val="1"/>
      <w:marLeft w:val="0"/>
      <w:marRight w:val="0"/>
      <w:marTop w:val="0"/>
      <w:marBottom w:val="0"/>
      <w:divBdr>
        <w:top w:val="none" w:sz="0" w:space="0" w:color="auto"/>
        <w:left w:val="none" w:sz="0" w:space="0" w:color="auto"/>
        <w:bottom w:val="none" w:sz="0" w:space="0" w:color="auto"/>
        <w:right w:val="none" w:sz="0" w:space="0" w:color="auto"/>
      </w:divBdr>
    </w:div>
    <w:div w:id="1146511349">
      <w:bodyDiv w:val="1"/>
      <w:marLeft w:val="0"/>
      <w:marRight w:val="0"/>
      <w:marTop w:val="0"/>
      <w:marBottom w:val="0"/>
      <w:divBdr>
        <w:top w:val="none" w:sz="0" w:space="0" w:color="auto"/>
        <w:left w:val="none" w:sz="0" w:space="0" w:color="auto"/>
        <w:bottom w:val="none" w:sz="0" w:space="0" w:color="auto"/>
        <w:right w:val="none" w:sz="0" w:space="0" w:color="auto"/>
      </w:divBdr>
    </w:div>
    <w:div w:id="1147278214">
      <w:bodyDiv w:val="1"/>
      <w:marLeft w:val="0"/>
      <w:marRight w:val="0"/>
      <w:marTop w:val="0"/>
      <w:marBottom w:val="0"/>
      <w:divBdr>
        <w:top w:val="none" w:sz="0" w:space="0" w:color="auto"/>
        <w:left w:val="none" w:sz="0" w:space="0" w:color="auto"/>
        <w:bottom w:val="none" w:sz="0" w:space="0" w:color="auto"/>
        <w:right w:val="none" w:sz="0" w:space="0" w:color="auto"/>
      </w:divBdr>
    </w:div>
    <w:div w:id="1149401898">
      <w:bodyDiv w:val="1"/>
      <w:marLeft w:val="0"/>
      <w:marRight w:val="0"/>
      <w:marTop w:val="0"/>
      <w:marBottom w:val="0"/>
      <w:divBdr>
        <w:top w:val="none" w:sz="0" w:space="0" w:color="auto"/>
        <w:left w:val="none" w:sz="0" w:space="0" w:color="auto"/>
        <w:bottom w:val="none" w:sz="0" w:space="0" w:color="auto"/>
        <w:right w:val="none" w:sz="0" w:space="0" w:color="auto"/>
      </w:divBdr>
    </w:div>
    <w:div w:id="1150246874">
      <w:bodyDiv w:val="1"/>
      <w:marLeft w:val="0"/>
      <w:marRight w:val="0"/>
      <w:marTop w:val="0"/>
      <w:marBottom w:val="0"/>
      <w:divBdr>
        <w:top w:val="none" w:sz="0" w:space="0" w:color="auto"/>
        <w:left w:val="none" w:sz="0" w:space="0" w:color="auto"/>
        <w:bottom w:val="none" w:sz="0" w:space="0" w:color="auto"/>
        <w:right w:val="none" w:sz="0" w:space="0" w:color="auto"/>
      </w:divBdr>
    </w:div>
    <w:div w:id="1151872467">
      <w:bodyDiv w:val="1"/>
      <w:marLeft w:val="0"/>
      <w:marRight w:val="0"/>
      <w:marTop w:val="0"/>
      <w:marBottom w:val="0"/>
      <w:divBdr>
        <w:top w:val="none" w:sz="0" w:space="0" w:color="auto"/>
        <w:left w:val="none" w:sz="0" w:space="0" w:color="auto"/>
        <w:bottom w:val="none" w:sz="0" w:space="0" w:color="auto"/>
        <w:right w:val="none" w:sz="0" w:space="0" w:color="auto"/>
      </w:divBdr>
    </w:div>
    <w:div w:id="1155292639">
      <w:bodyDiv w:val="1"/>
      <w:marLeft w:val="0"/>
      <w:marRight w:val="0"/>
      <w:marTop w:val="0"/>
      <w:marBottom w:val="0"/>
      <w:divBdr>
        <w:top w:val="none" w:sz="0" w:space="0" w:color="auto"/>
        <w:left w:val="none" w:sz="0" w:space="0" w:color="auto"/>
        <w:bottom w:val="none" w:sz="0" w:space="0" w:color="auto"/>
        <w:right w:val="none" w:sz="0" w:space="0" w:color="auto"/>
      </w:divBdr>
    </w:div>
    <w:div w:id="1163819145">
      <w:bodyDiv w:val="1"/>
      <w:marLeft w:val="0"/>
      <w:marRight w:val="0"/>
      <w:marTop w:val="0"/>
      <w:marBottom w:val="0"/>
      <w:divBdr>
        <w:top w:val="none" w:sz="0" w:space="0" w:color="auto"/>
        <w:left w:val="none" w:sz="0" w:space="0" w:color="auto"/>
        <w:bottom w:val="none" w:sz="0" w:space="0" w:color="auto"/>
        <w:right w:val="none" w:sz="0" w:space="0" w:color="auto"/>
      </w:divBdr>
    </w:div>
    <w:div w:id="1169322163">
      <w:bodyDiv w:val="1"/>
      <w:marLeft w:val="0"/>
      <w:marRight w:val="0"/>
      <w:marTop w:val="0"/>
      <w:marBottom w:val="0"/>
      <w:divBdr>
        <w:top w:val="none" w:sz="0" w:space="0" w:color="auto"/>
        <w:left w:val="none" w:sz="0" w:space="0" w:color="auto"/>
        <w:bottom w:val="none" w:sz="0" w:space="0" w:color="auto"/>
        <w:right w:val="none" w:sz="0" w:space="0" w:color="auto"/>
      </w:divBdr>
    </w:div>
    <w:div w:id="1174874842">
      <w:bodyDiv w:val="1"/>
      <w:marLeft w:val="0"/>
      <w:marRight w:val="0"/>
      <w:marTop w:val="0"/>
      <w:marBottom w:val="0"/>
      <w:divBdr>
        <w:top w:val="none" w:sz="0" w:space="0" w:color="auto"/>
        <w:left w:val="none" w:sz="0" w:space="0" w:color="auto"/>
        <w:bottom w:val="none" w:sz="0" w:space="0" w:color="auto"/>
        <w:right w:val="none" w:sz="0" w:space="0" w:color="auto"/>
      </w:divBdr>
    </w:div>
    <w:div w:id="1179732959">
      <w:bodyDiv w:val="1"/>
      <w:marLeft w:val="0"/>
      <w:marRight w:val="0"/>
      <w:marTop w:val="0"/>
      <w:marBottom w:val="0"/>
      <w:divBdr>
        <w:top w:val="none" w:sz="0" w:space="0" w:color="auto"/>
        <w:left w:val="none" w:sz="0" w:space="0" w:color="auto"/>
        <w:bottom w:val="none" w:sz="0" w:space="0" w:color="auto"/>
        <w:right w:val="none" w:sz="0" w:space="0" w:color="auto"/>
      </w:divBdr>
    </w:div>
    <w:div w:id="1182091977">
      <w:bodyDiv w:val="1"/>
      <w:marLeft w:val="0"/>
      <w:marRight w:val="0"/>
      <w:marTop w:val="0"/>
      <w:marBottom w:val="0"/>
      <w:divBdr>
        <w:top w:val="none" w:sz="0" w:space="0" w:color="auto"/>
        <w:left w:val="none" w:sz="0" w:space="0" w:color="auto"/>
        <w:bottom w:val="none" w:sz="0" w:space="0" w:color="auto"/>
        <w:right w:val="none" w:sz="0" w:space="0" w:color="auto"/>
      </w:divBdr>
    </w:div>
    <w:div w:id="1182403455">
      <w:bodyDiv w:val="1"/>
      <w:marLeft w:val="0"/>
      <w:marRight w:val="0"/>
      <w:marTop w:val="0"/>
      <w:marBottom w:val="0"/>
      <w:divBdr>
        <w:top w:val="none" w:sz="0" w:space="0" w:color="auto"/>
        <w:left w:val="none" w:sz="0" w:space="0" w:color="auto"/>
        <w:bottom w:val="none" w:sz="0" w:space="0" w:color="auto"/>
        <w:right w:val="none" w:sz="0" w:space="0" w:color="auto"/>
      </w:divBdr>
    </w:div>
    <w:div w:id="1184318680">
      <w:bodyDiv w:val="1"/>
      <w:marLeft w:val="0"/>
      <w:marRight w:val="0"/>
      <w:marTop w:val="0"/>
      <w:marBottom w:val="0"/>
      <w:divBdr>
        <w:top w:val="none" w:sz="0" w:space="0" w:color="auto"/>
        <w:left w:val="none" w:sz="0" w:space="0" w:color="auto"/>
        <w:bottom w:val="none" w:sz="0" w:space="0" w:color="auto"/>
        <w:right w:val="none" w:sz="0" w:space="0" w:color="auto"/>
      </w:divBdr>
    </w:div>
    <w:div w:id="1186094862">
      <w:bodyDiv w:val="1"/>
      <w:marLeft w:val="0"/>
      <w:marRight w:val="0"/>
      <w:marTop w:val="0"/>
      <w:marBottom w:val="0"/>
      <w:divBdr>
        <w:top w:val="none" w:sz="0" w:space="0" w:color="auto"/>
        <w:left w:val="none" w:sz="0" w:space="0" w:color="auto"/>
        <w:bottom w:val="none" w:sz="0" w:space="0" w:color="auto"/>
        <w:right w:val="none" w:sz="0" w:space="0" w:color="auto"/>
      </w:divBdr>
    </w:div>
    <w:div w:id="1191259065">
      <w:bodyDiv w:val="1"/>
      <w:marLeft w:val="0"/>
      <w:marRight w:val="0"/>
      <w:marTop w:val="0"/>
      <w:marBottom w:val="0"/>
      <w:divBdr>
        <w:top w:val="none" w:sz="0" w:space="0" w:color="auto"/>
        <w:left w:val="none" w:sz="0" w:space="0" w:color="auto"/>
        <w:bottom w:val="none" w:sz="0" w:space="0" w:color="auto"/>
        <w:right w:val="none" w:sz="0" w:space="0" w:color="auto"/>
      </w:divBdr>
    </w:div>
    <w:div w:id="1194852399">
      <w:bodyDiv w:val="1"/>
      <w:marLeft w:val="0"/>
      <w:marRight w:val="0"/>
      <w:marTop w:val="0"/>
      <w:marBottom w:val="0"/>
      <w:divBdr>
        <w:top w:val="none" w:sz="0" w:space="0" w:color="auto"/>
        <w:left w:val="none" w:sz="0" w:space="0" w:color="auto"/>
        <w:bottom w:val="none" w:sz="0" w:space="0" w:color="auto"/>
        <w:right w:val="none" w:sz="0" w:space="0" w:color="auto"/>
      </w:divBdr>
    </w:div>
    <w:div w:id="1196772718">
      <w:bodyDiv w:val="1"/>
      <w:marLeft w:val="0"/>
      <w:marRight w:val="0"/>
      <w:marTop w:val="0"/>
      <w:marBottom w:val="0"/>
      <w:divBdr>
        <w:top w:val="none" w:sz="0" w:space="0" w:color="auto"/>
        <w:left w:val="none" w:sz="0" w:space="0" w:color="auto"/>
        <w:bottom w:val="none" w:sz="0" w:space="0" w:color="auto"/>
        <w:right w:val="none" w:sz="0" w:space="0" w:color="auto"/>
      </w:divBdr>
    </w:div>
    <w:div w:id="1199124673">
      <w:bodyDiv w:val="1"/>
      <w:marLeft w:val="0"/>
      <w:marRight w:val="0"/>
      <w:marTop w:val="0"/>
      <w:marBottom w:val="0"/>
      <w:divBdr>
        <w:top w:val="none" w:sz="0" w:space="0" w:color="auto"/>
        <w:left w:val="none" w:sz="0" w:space="0" w:color="auto"/>
        <w:bottom w:val="none" w:sz="0" w:space="0" w:color="auto"/>
        <w:right w:val="none" w:sz="0" w:space="0" w:color="auto"/>
      </w:divBdr>
    </w:div>
    <w:div w:id="1201864937">
      <w:bodyDiv w:val="1"/>
      <w:marLeft w:val="0"/>
      <w:marRight w:val="0"/>
      <w:marTop w:val="0"/>
      <w:marBottom w:val="0"/>
      <w:divBdr>
        <w:top w:val="none" w:sz="0" w:space="0" w:color="auto"/>
        <w:left w:val="none" w:sz="0" w:space="0" w:color="auto"/>
        <w:bottom w:val="none" w:sz="0" w:space="0" w:color="auto"/>
        <w:right w:val="none" w:sz="0" w:space="0" w:color="auto"/>
      </w:divBdr>
    </w:div>
    <w:div w:id="1204754309">
      <w:bodyDiv w:val="1"/>
      <w:marLeft w:val="0"/>
      <w:marRight w:val="0"/>
      <w:marTop w:val="0"/>
      <w:marBottom w:val="0"/>
      <w:divBdr>
        <w:top w:val="none" w:sz="0" w:space="0" w:color="auto"/>
        <w:left w:val="none" w:sz="0" w:space="0" w:color="auto"/>
        <w:bottom w:val="none" w:sz="0" w:space="0" w:color="auto"/>
        <w:right w:val="none" w:sz="0" w:space="0" w:color="auto"/>
      </w:divBdr>
    </w:div>
    <w:div w:id="1204824067">
      <w:bodyDiv w:val="1"/>
      <w:marLeft w:val="0"/>
      <w:marRight w:val="0"/>
      <w:marTop w:val="0"/>
      <w:marBottom w:val="0"/>
      <w:divBdr>
        <w:top w:val="none" w:sz="0" w:space="0" w:color="auto"/>
        <w:left w:val="none" w:sz="0" w:space="0" w:color="auto"/>
        <w:bottom w:val="none" w:sz="0" w:space="0" w:color="auto"/>
        <w:right w:val="none" w:sz="0" w:space="0" w:color="auto"/>
      </w:divBdr>
    </w:div>
    <w:div w:id="1206528772">
      <w:bodyDiv w:val="1"/>
      <w:marLeft w:val="0"/>
      <w:marRight w:val="0"/>
      <w:marTop w:val="0"/>
      <w:marBottom w:val="0"/>
      <w:divBdr>
        <w:top w:val="none" w:sz="0" w:space="0" w:color="auto"/>
        <w:left w:val="none" w:sz="0" w:space="0" w:color="auto"/>
        <w:bottom w:val="none" w:sz="0" w:space="0" w:color="auto"/>
        <w:right w:val="none" w:sz="0" w:space="0" w:color="auto"/>
      </w:divBdr>
    </w:div>
    <w:div w:id="1207915861">
      <w:bodyDiv w:val="1"/>
      <w:marLeft w:val="0"/>
      <w:marRight w:val="0"/>
      <w:marTop w:val="0"/>
      <w:marBottom w:val="0"/>
      <w:divBdr>
        <w:top w:val="none" w:sz="0" w:space="0" w:color="auto"/>
        <w:left w:val="none" w:sz="0" w:space="0" w:color="auto"/>
        <w:bottom w:val="none" w:sz="0" w:space="0" w:color="auto"/>
        <w:right w:val="none" w:sz="0" w:space="0" w:color="auto"/>
      </w:divBdr>
    </w:div>
    <w:div w:id="1207986470">
      <w:bodyDiv w:val="1"/>
      <w:marLeft w:val="0"/>
      <w:marRight w:val="0"/>
      <w:marTop w:val="0"/>
      <w:marBottom w:val="0"/>
      <w:divBdr>
        <w:top w:val="none" w:sz="0" w:space="0" w:color="auto"/>
        <w:left w:val="none" w:sz="0" w:space="0" w:color="auto"/>
        <w:bottom w:val="none" w:sz="0" w:space="0" w:color="auto"/>
        <w:right w:val="none" w:sz="0" w:space="0" w:color="auto"/>
      </w:divBdr>
    </w:div>
    <w:div w:id="1208840358">
      <w:bodyDiv w:val="1"/>
      <w:marLeft w:val="0"/>
      <w:marRight w:val="0"/>
      <w:marTop w:val="0"/>
      <w:marBottom w:val="0"/>
      <w:divBdr>
        <w:top w:val="none" w:sz="0" w:space="0" w:color="auto"/>
        <w:left w:val="none" w:sz="0" w:space="0" w:color="auto"/>
        <w:bottom w:val="none" w:sz="0" w:space="0" w:color="auto"/>
        <w:right w:val="none" w:sz="0" w:space="0" w:color="auto"/>
      </w:divBdr>
    </w:div>
    <w:div w:id="1211763350">
      <w:bodyDiv w:val="1"/>
      <w:marLeft w:val="0"/>
      <w:marRight w:val="0"/>
      <w:marTop w:val="0"/>
      <w:marBottom w:val="0"/>
      <w:divBdr>
        <w:top w:val="none" w:sz="0" w:space="0" w:color="auto"/>
        <w:left w:val="none" w:sz="0" w:space="0" w:color="auto"/>
        <w:bottom w:val="none" w:sz="0" w:space="0" w:color="auto"/>
        <w:right w:val="none" w:sz="0" w:space="0" w:color="auto"/>
      </w:divBdr>
    </w:div>
    <w:div w:id="1222670279">
      <w:bodyDiv w:val="1"/>
      <w:marLeft w:val="0"/>
      <w:marRight w:val="0"/>
      <w:marTop w:val="0"/>
      <w:marBottom w:val="0"/>
      <w:divBdr>
        <w:top w:val="none" w:sz="0" w:space="0" w:color="auto"/>
        <w:left w:val="none" w:sz="0" w:space="0" w:color="auto"/>
        <w:bottom w:val="none" w:sz="0" w:space="0" w:color="auto"/>
        <w:right w:val="none" w:sz="0" w:space="0" w:color="auto"/>
      </w:divBdr>
      <w:divsChild>
        <w:div w:id="1468275312">
          <w:marLeft w:val="0"/>
          <w:marRight w:val="0"/>
          <w:marTop w:val="0"/>
          <w:marBottom w:val="0"/>
          <w:divBdr>
            <w:top w:val="none" w:sz="0" w:space="0" w:color="auto"/>
            <w:left w:val="none" w:sz="0" w:space="0" w:color="auto"/>
            <w:bottom w:val="none" w:sz="0" w:space="0" w:color="auto"/>
            <w:right w:val="none" w:sz="0" w:space="0" w:color="auto"/>
          </w:divBdr>
        </w:div>
      </w:divsChild>
    </w:div>
    <w:div w:id="1222790206">
      <w:bodyDiv w:val="1"/>
      <w:marLeft w:val="0"/>
      <w:marRight w:val="0"/>
      <w:marTop w:val="0"/>
      <w:marBottom w:val="0"/>
      <w:divBdr>
        <w:top w:val="none" w:sz="0" w:space="0" w:color="auto"/>
        <w:left w:val="none" w:sz="0" w:space="0" w:color="auto"/>
        <w:bottom w:val="none" w:sz="0" w:space="0" w:color="auto"/>
        <w:right w:val="none" w:sz="0" w:space="0" w:color="auto"/>
      </w:divBdr>
    </w:div>
    <w:div w:id="1225917195">
      <w:bodyDiv w:val="1"/>
      <w:marLeft w:val="0"/>
      <w:marRight w:val="0"/>
      <w:marTop w:val="0"/>
      <w:marBottom w:val="0"/>
      <w:divBdr>
        <w:top w:val="none" w:sz="0" w:space="0" w:color="auto"/>
        <w:left w:val="none" w:sz="0" w:space="0" w:color="auto"/>
        <w:bottom w:val="none" w:sz="0" w:space="0" w:color="auto"/>
        <w:right w:val="none" w:sz="0" w:space="0" w:color="auto"/>
      </w:divBdr>
    </w:div>
    <w:div w:id="1226144215">
      <w:bodyDiv w:val="1"/>
      <w:marLeft w:val="0"/>
      <w:marRight w:val="0"/>
      <w:marTop w:val="0"/>
      <w:marBottom w:val="0"/>
      <w:divBdr>
        <w:top w:val="none" w:sz="0" w:space="0" w:color="auto"/>
        <w:left w:val="none" w:sz="0" w:space="0" w:color="auto"/>
        <w:bottom w:val="none" w:sz="0" w:space="0" w:color="auto"/>
        <w:right w:val="none" w:sz="0" w:space="0" w:color="auto"/>
      </w:divBdr>
    </w:div>
    <w:div w:id="1232082619">
      <w:bodyDiv w:val="1"/>
      <w:marLeft w:val="0"/>
      <w:marRight w:val="0"/>
      <w:marTop w:val="0"/>
      <w:marBottom w:val="0"/>
      <w:divBdr>
        <w:top w:val="none" w:sz="0" w:space="0" w:color="auto"/>
        <w:left w:val="none" w:sz="0" w:space="0" w:color="auto"/>
        <w:bottom w:val="none" w:sz="0" w:space="0" w:color="auto"/>
        <w:right w:val="none" w:sz="0" w:space="0" w:color="auto"/>
      </w:divBdr>
    </w:div>
    <w:div w:id="1235705550">
      <w:bodyDiv w:val="1"/>
      <w:marLeft w:val="0"/>
      <w:marRight w:val="0"/>
      <w:marTop w:val="0"/>
      <w:marBottom w:val="0"/>
      <w:divBdr>
        <w:top w:val="none" w:sz="0" w:space="0" w:color="auto"/>
        <w:left w:val="none" w:sz="0" w:space="0" w:color="auto"/>
        <w:bottom w:val="none" w:sz="0" w:space="0" w:color="auto"/>
        <w:right w:val="none" w:sz="0" w:space="0" w:color="auto"/>
      </w:divBdr>
    </w:div>
    <w:div w:id="1236739760">
      <w:bodyDiv w:val="1"/>
      <w:marLeft w:val="0"/>
      <w:marRight w:val="0"/>
      <w:marTop w:val="0"/>
      <w:marBottom w:val="0"/>
      <w:divBdr>
        <w:top w:val="none" w:sz="0" w:space="0" w:color="auto"/>
        <w:left w:val="none" w:sz="0" w:space="0" w:color="auto"/>
        <w:bottom w:val="none" w:sz="0" w:space="0" w:color="auto"/>
        <w:right w:val="none" w:sz="0" w:space="0" w:color="auto"/>
      </w:divBdr>
    </w:div>
    <w:div w:id="1238827927">
      <w:bodyDiv w:val="1"/>
      <w:marLeft w:val="0"/>
      <w:marRight w:val="0"/>
      <w:marTop w:val="0"/>
      <w:marBottom w:val="0"/>
      <w:divBdr>
        <w:top w:val="none" w:sz="0" w:space="0" w:color="auto"/>
        <w:left w:val="none" w:sz="0" w:space="0" w:color="auto"/>
        <w:bottom w:val="none" w:sz="0" w:space="0" w:color="auto"/>
        <w:right w:val="none" w:sz="0" w:space="0" w:color="auto"/>
      </w:divBdr>
    </w:div>
    <w:div w:id="1239486642">
      <w:bodyDiv w:val="1"/>
      <w:marLeft w:val="0"/>
      <w:marRight w:val="0"/>
      <w:marTop w:val="0"/>
      <w:marBottom w:val="0"/>
      <w:divBdr>
        <w:top w:val="none" w:sz="0" w:space="0" w:color="auto"/>
        <w:left w:val="none" w:sz="0" w:space="0" w:color="auto"/>
        <w:bottom w:val="none" w:sz="0" w:space="0" w:color="auto"/>
        <w:right w:val="none" w:sz="0" w:space="0" w:color="auto"/>
      </w:divBdr>
    </w:div>
    <w:div w:id="1250115052">
      <w:bodyDiv w:val="1"/>
      <w:marLeft w:val="0"/>
      <w:marRight w:val="0"/>
      <w:marTop w:val="0"/>
      <w:marBottom w:val="0"/>
      <w:divBdr>
        <w:top w:val="none" w:sz="0" w:space="0" w:color="auto"/>
        <w:left w:val="none" w:sz="0" w:space="0" w:color="auto"/>
        <w:bottom w:val="none" w:sz="0" w:space="0" w:color="auto"/>
        <w:right w:val="none" w:sz="0" w:space="0" w:color="auto"/>
      </w:divBdr>
    </w:div>
    <w:div w:id="1253586261">
      <w:bodyDiv w:val="1"/>
      <w:marLeft w:val="0"/>
      <w:marRight w:val="0"/>
      <w:marTop w:val="0"/>
      <w:marBottom w:val="0"/>
      <w:divBdr>
        <w:top w:val="none" w:sz="0" w:space="0" w:color="auto"/>
        <w:left w:val="none" w:sz="0" w:space="0" w:color="auto"/>
        <w:bottom w:val="none" w:sz="0" w:space="0" w:color="auto"/>
        <w:right w:val="none" w:sz="0" w:space="0" w:color="auto"/>
      </w:divBdr>
    </w:div>
    <w:div w:id="1263604812">
      <w:bodyDiv w:val="1"/>
      <w:marLeft w:val="0"/>
      <w:marRight w:val="0"/>
      <w:marTop w:val="0"/>
      <w:marBottom w:val="0"/>
      <w:divBdr>
        <w:top w:val="none" w:sz="0" w:space="0" w:color="auto"/>
        <w:left w:val="none" w:sz="0" w:space="0" w:color="auto"/>
        <w:bottom w:val="none" w:sz="0" w:space="0" w:color="auto"/>
        <w:right w:val="none" w:sz="0" w:space="0" w:color="auto"/>
      </w:divBdr>
    </w:div>
    <w:div w:id="1267343878">
      <w:bodyDiv w:val="1"/>
      <w:marLeft w:val="0"/>
      <w:marRight w:val="0"/>
      <w:marTop w:val="0"/>
      <w:marBottom w:val="0"/>
      <w:divBdr>
        <w:top w:val="none" w:sz="0" w:space="0" w:color="auto"/>
        <w:left w:val="none" w:sz="0" w:space="0" w:color="auto"/>
        <w:bottom w:val="none" w:sz="0" w:space="0" w:color="auto"/>
        <w:right w:val="none" w:sz="0" w:space="0" w:color="auto"/>
      </w:divBdr>
    </w:div>
    <w:div w:id="1268462343">
      <w:bodyDiv w:val="1"/>
      <w:marLeft w:val="0"/>
      <w:marRight w:val="0"/>
      <w:marTop w:val="0"/>
      <w:marBottom w:val="0"/>
      <w:divBdr>
        <w:top w:val="none" w:sz="0" w:space="0" w:color="auto"/>
        <w:left w:val="none" w:sz="0" w:space="0" w:color="auto"/>
        <w:bottom w:val="none" w:sz="0" w:space="0" w:color="auto"/>
        <w:right w:val="none" w:sz="0" w:space="0" w:color="auto"/>
      </w:divBdr>
    </w:div>
    <w:div w:id="1268924220">
      <w:bodyDiv w:val="1"/>
      <w:marLeft w:val="0"/>
      <w:marRight w:val="0"/>
      <w:marTop w:val="0"/>
      <w:marBottom w:val="0"/>
      <w:divBdr>
        <w:top w:val="none" w:sz="0" w:space="0" w:color="auto"/>
        <w:left w:val="none" w:sz="0" w:space="0" w:color="auto"/>
        <w:bottom w:val="none" w:sz="0" w:space="0" w:color="auto"/>
        <w:right w:val="none" w:sz="0" w:space="0" w:color="auto"/>
      </w:divBdr>
    </w:div>
    <w:div w:id="1269392009">
      <w:bodyDiv w:val="1"/>
      <w:marLeft w:val="0"/>
      <w:marRight w:val="0"/>
      <w:marTop w:val="0"/>
      <w:marBottom w:val="0"/>
      <w:divBdr>
        <w:top w:val="none" w:sz="0" w:space="0" w:color="auto"/>
        <w:left w:val="none" w:sz="0" w:space="0" w:color="auto"/>
        <w:bottom w:val="none" w:sz="0" w:space="0" w:color="auto"/>
        <w:right w:val="none" w:sz="0" w:space="0" w:color="auto"/>
      </w:divBdr>
    </w:div>
    <w:div w:id="1272130085">
      <w:bodyDiv w:val="1"/>
      <w:marLeft w:val="0"/>
      <w:marRight w:val="0"/>
      <w:marTop w:val="0"/>
      <w:marBottom w:val="0"/>
      <w:divBdr>
        <w:top w:val="none" w:sz="0" w:space="0" w:color="auto"/>
        <w:left w:val="none" w:sz="0" w:space="0" w:color="auto"/>
        <w:bottom w:val="none" w:sz="0" w:space="0" w:color="auto"/>
        <w:right w:val="none" w:sz="0" w:space="0" w:color="auto"/>
      </w:divBdr>
    </w:div>
    <w:div w:id="1273247675">
      <w:bodyDiv w:val="1"/>
      <w:marLeft w:val="0"/>
      <w:marRight w:val="0"/>
      <w:marTop w:val="0"/>
      <w:marBottom w:val="0"/>
      <w:divBdr>
        <w:top w:val="none" w:sz="0" w:space="0" w:color="auto"/>
        <w:left w:val="none" w:sz="0" w:space="0" w:color="auto"/>
        <w:bottom w:val="none" w:sz="0" w:space="0" w:color="auto"/>
        <w:right w:val="none" w:sz="0" w:space="0" w:color="auto"/>
      </w:divBdr>
    </w:div>
    <w:div w:id="1276134866">
      <w:bodyDiv w:val="1"/>
      <w:marLeft w:val="0"/>
      <w:marRight w:val="0"/>
      <w:marTop w:val="0"/>
      <w:marBottom w:val="0"/>
      <w:divBdr>
        <w:top w:val="none" w:sz="0" w:space="0" w:color="auto"/>
        <w:left w:val="none" w:sz="0" w:space="0" w:color="auto"/>
        <w:bottom w:val="none" w:sz="0" w:space="0" w:color="auto"/>
        <w:right w:val="none" w:sz="0" w:space="0" w:color="auto"/>
      </w:divBdr>
    </w:div>
    <w:div w:id="1282029293">
      <w:bodyDiv w:val="1"/>
      <w:marLeft w:val="0"/>
      <w:marRight w:val="0"/>
      <w:marTop w:val="0"/>
      <w:marBottom w:val="0"/>
      <w:divBdr>
        <w:top w:val="none" w:sz="0" w:space="0" w:color="auto"/>
        <w:left w:val="none" w:sz="0" w:space="0" w:color="auto"/>
        <w:bottom w:val="none" w:sz="0" w:space="0" w:color="auto"/>
        <w:right w:val="none" w:sz="0" w:space="0" w:color="auto"/>
      </w:divBdr>
    </w:div>
    <w:div w:id="1286892936">
      <w:bodyDiv w:val="1"/>
      <w:marLeft w:val="0"/>
      <w:marRight w:val="0"/>
      <w:marTop w:val="0"/>
      <w:marBottom w:val="0"/>
      <w:divBdr>
        <w:top w:val="none" w:sz="0" w:space="0" w:color="auto"/>
        <w:left w:val="none" w:sz="0" w:space="0" w:color="auto"/>
        <w:bottom w:val="none" w:sz="0" w:space="0" w:color="auto"/>
        <w:right w:val="none" w:sz="0" w:space="0" w:color="auto"/>
      </w:divBdr>
    </w:div>
    <w:div w:id="1290479625">
      <w:bodyDiv w:val="1"/>
      <w:marLeft w:val="0"/>
      <w:marRight w:val="0"/>
      <w:marTop w:val="0"/>
      <w:marBottom w:val="0"/>
      <w:divBdr>
        <w:top w:val="none" w:sz="0" w:space="0" w:color="auto"/>
        <w:left w:val="none" w:sz="0" w:space="0" w:color="auto"/>
        <w:bottom w:val="none" w:sz="0" w:space="0" w:color="auto"/>
        <w:right w:val="none" w:sz="0" w:space="0" w:color="auto"/>
      </w:divBdr>
    </w:div>
    <w:div w:id="1291014330">
      <w:bodyDiv w:val="1"/>
      <w:marLeft w:val="0"/>
      <w:marRight w:val="0"/>
      <w:marTop w:val="0"/>
      <w:marBottom w:val="0"/>
      <w:divBdr>
        <w:top w:val="none" w:sz="0" w:space="0" w:color="auto"/>
        <w:left w:val="none" w:sz="0" w:space="0" w:color="auto"/>
        <w:bottom w:val="none" w:sz="0" w:space="0" w:color="auto"/>
        <w:right w:val="none" w:sz="0" w:space="0" w:color="auto"/>
      </w:divBdr>
    </w:div>
    <w:div w:id="1294402822">
      <w:bodyDiv w:val="1"/>
      <w:marLeft w:val="0"/>
      <w:marRight w:val="0"/>
      <w:marTop w:val="0"/>
      <w:marBottom w:val="0"/>
      <w:divBdr>
        <w:top w:val="none" w:sz="0" w:space="0" w:color="auto"/>
        <w:left w:val="none" w:sz="0" w:space="0" w:color="auto"/>
        <w:bottom w:val="none" w:sz="0" w:space="0" w:color="auto"/>
        <w:right w:val="none" w:sz="0" w:space="0" w:color="auto"/>
      </w:divBdr>
    </w:div>
    <w:div w:id="1294756098">
      <w:bodyDiv w:val="1"/>
      <w:marLeft w:val="0"/>
      <w:marRight w:val="0"/>
      <w:marTop w:val="0"/>
      <w:marBottom w:val="0"/>
      <w:divBdr>
        <w:top w:val="none" w:sz="0" w:space="0" w:color="auto"/>
        <w:left w:val="none" w:sz="0" w:space="0" w:color="auto"/>
        <w:bottom w:val="none" w:sz="0" w:space="0" w:color="auto"/>
        <w:right w:val="none" w:sz="0" w:space="0" w:color="auto"/>
      </w:divBdr>
    </w:div>
    <w:div w:id="1301766125">
      <w:bodyDiv w:val="1"/>
      <w:marLeft w:val="0"/>
      <w:marRight w:val="0"/>
      <w:marTop w:val="0"/>
      <w:marBottom w:val="0"/>
      <w:divBdr>
        <w:top w:val="none" w:sz="0" w:space="0" w:color="auto"/>
        <w:left w:val="none" w:sz="0" w:space="0" w:color="auto"/>
        <w:bottom w:val="none" w:sz="0" w:space="0" w:color="auto"/>
        <w:right w:val="none" w:sz="0" w:space="0" w:color="auto"/>
      </w:divBdr>
    </w:div>
    <w:div w:id="1302152810">
      <w:bodyDiv w:val="1"/>
      <w:marLeft w:val="0"/>
      <w:marRight w:val="0"/>
      <w:marTop w:val="0"/>
      <w:marBottom w:val="0"/>
      <w:divBdr>
        <w:top w:val="none" w:sz="0" w:space="0" w:color="auto"/>
        <w:left w:val="none" w:sz="0" w:space="0" w:color="auto"/>
        <w:bottom w:val="none" w:sz="0" w:space="0" w:color="auto"/>
        <w:right w:val="none" w:sz="0" w:space="0" w:color="auto"/>
      </w:divBdr>
    </w:div>
    <w:div w:id="1305547780">
      <w:bodyDiv w:val="1"/>
      <w:marLeft w:val="0"/>
      <w:marRight w:val="0"/>
      <w:marTop w:val="0"/>
      <w:marBottom w:val="0"/>
      <w:divBdr>
        <w:top w:val="none" w:sz="0" w:space="0" w:color="auto"/>
        <w:left w:val="none" w:sz="0" w:space="0" w:color="auto"/>
        <w:bottom w:val="none" w:sz="0" w:space="0" w:color="auto"/>
        <w:right w:val="none" w:sz="0" w:space="0" w:color="auto"/>
      </w:divBdr>
    </w:div>
    <w:div w:id="1307784054">
      <w:bodyDiv w:val="1"/>
      <w:marLeft w:val="0"/>
      <w:marRight w:val="0"/>
      <w:marTop w:val="0"/>
      <w:marBottom w:val="0"/>
      <w:divBdr>
        <w:top w:val="none" w:sz="0" w:space="0" w:color="auto"/>
        <w:left w:val="none" w:sz="0" w:space="0" w:color="auto"/>
        <w:bottom w:val="none" w:sz="0" w:space="0" w:color="auto"/>
        <w:right w:val="none" w:sz="0" w:space="0" w:color="auto"/>
      </w:divBdr>
    </w:div>
    <w:div w:id="1308245109">
      <w:bodyDiv w:val="1"/>
      <w:marLeft w:val="0"/>
      <w:marRight w:val="0"/>
      <w:marTop w:val="0"/>
      <w:marBottom w:val="0"/>
      <w:divBdr>
        <w:top w:val="none" w:sz="0" w:space="0" w:color="auto"/>
        <w:left w:val="none" w:sz="0" w:space="0" w:color="auto"/>
        <w:bottom w:val="none" w:sz="0" w:space="0" w:color="auto"/>
        <w:right w:val="none" w:sz="0" w:space="0" w:color="auto"/>
      </w:divBdr>
    </w:div>
    <w:div w:id="1311249761">
      <w:bodyDiv w:val="1"/>
      <w:marLeft w:val="0"/>
      <w:marRight w:val="0"/>
      <w:marTop w:val="0"/>
      <w:marBottom w:val="0"/>
      <w:divBdr>
        <w:top w:val="none" w:sz="0" w:space="0" w:color="auto"/>
        <w:left w:val="none" w:sz="0" w:space="0" w:color="auto"/>
        <w:bottom w:val="none" w:sz="0" w:space="0" w:color="auto"/>
        <w:right w:val="none" w:sz="0" w:space="0" w:color="auto"/>
      </w:divBdr>
    </w:div>
    <w:div w:id="1311863304">
      <w:bodyDiv w:val="1"/>
      <w:marLeft w:val="0"/>
      <w:marRight w:val="0"/>
      <w:marTop w:val="0"/>
      <w:marBottom w:val="0"/>
      <w:divBdr>
        <w:top w:val="none" w:sz="0" w:space="0" w:color="auto"/>
        <w:left w:val="none" w:sz="0" w:space="0" w:color="auto"/>
        <w:bottom w:val="none" w:sz="0" w:space="0" w:color="auto"/>
        <w:right w:val="none" w:sz="0" w:space="0" w:color="auto"/>
      </w:divBdr>
    </w:div>
    <w:div w:id="1312783915">
      <w:bodyDiv w:val="1"/>
      <w:marLeft w:val="0"/>
      <w:marRight w:val="0"/>
      <w:marTop w:val="0"/>
      <w:marBottom w:val="0"/>
      <w:divBdr>
        <w:top w:val="none" w:sz="0" w:space="0" w:color="auto"/>
        <w:left w:val="none" w:sz="0" w:space="0" w:color="auto"/>
        <w:bottom w:val="none" w:sz="0" w:space="0" w:color="auto"/>
        <w:right w:val="none" w:sz="0" w:space="0" w:color="auto"/>
      </w:divBdr>
    </w:div>
    <w:div w:id="1314094338">
      <w:bodyDiv w:val="1"/>
      <w:marLeft w:val="0"/>
      <w:marRight w:val="0"/>
      <w:marTop w:val="0"/>
      <w:marBottom w:val="0"/>
      <w:divBdr>
        <w:top w:val="none" w:sz="0" w:space="0" w:color="auto"/>
        <w:left w:val="none" w:sz="0" w:space="0" w:color="auto"/>
        <w:bottom w:val="none" w:sz="0" w:space="0" w:color="auto"/>
        <w:right w:val="none" w:sz="0" w:space="0" w:color="auto"/>
      </w:divBdr>
    </w:div>
    <w:div w:id="1317685622">
      <w:bodyDiv w:val="1"/>
      <w:marLeft w:val="0"/>
      <w:marRight w:val="0"/>
      <w:marTop w:val="0"/>
      <w:marBottom w:val="0"/>
      <w:divBdr>
        <w:top w:val="none" w:sz="0" w:space="0" w:color="auto"/>
        <w:left w:val="none" w:sz="0" w:space="0" w:color="auto"/>
        <w:bottom w:val="none" w:sz="0" w:space="0" w:color="auto"/>
        <w:right w:val="none" w:sz="0" w:space="0" w:color="auto"/>
      </w:divBdr>
    </w:div>
    <w:div w:id="1321303727">
      <w:bodyDiv w:val="1"/>
      <w:marLeft w:val="0"/>
      <w:marRight w:val="0"/>
      <w:marTop w:val="0"/>
      <w:marBottom w:val="0"/>
      <w:divBdr>
        <w:top w:val="none" w:sz="0" w:space="0" w:color="auto"/>
        <w:left w:val="none" w:sz="0" w:space="0" w:color="auto"/>
        <w:bottom w:val="none" w:sz="0" w:space="0" w:color="auto"/>
        <w:right w:val="none" w:sz="0" w:space="0" w:color="auto"/>
      </w:divBdr>
    </w:div>
    <w:div w:id="1323584075">
      <w:bodyDiv w:val="1"/>
      <w:marLeft w:val="0"/>
      <w:marRight w:val="0"/>
      <w:marTop w:val="0"/>
      <w:marBottom w:val="0"/>
      <w:divBdr>
        <w:top w:val="none" w:sz="0" w:space="0" w:color="auto"/>
        <w:left w:val="none" w:sz="0" w:space="0" w:color="auto"/>
        <w:bottom w:val="none" w:sz="0" w:space="0" w:color="auto"/>
        <w:right w:val="none" w:sz="0" w:space="0" w:color="auto"/>
      </w:divBdr>
    </w:div>
    <w:div w:id="1323775152">
      <w:bodyDiv w:val="1"/>
      <w:marLeft w:val="0"/>
      <w:marRight w:val="0"/>
      <w:marTop w:val="0"/>
      <w:marBottom w:val="0"/>
      <w:divBdr>
        <w:top w:val="none" w:sz="0" w:space="0" w:color="auto"/>
        <w:left w:val="none" w:sz="0" w:space="0" w:color="auto"/>
        <w:bottom w:val="none" w:sz="0" w:space="0" w:color="auto"/>
        <w:right w:val="none" w:sz="0" w:space="0" w:color="auto"/>
      </w:divBdr>
    </w:div>
    <w:div w:id="1326666186">
      <w:bodyDiv w:val="1"/>
      <w:marLeft w:val="0"/>
      <w:marRight w:val="0"/>
      <w:marTop w:val="0"/>
      <w:marBottom w:val="0"/>
      <w:divBdr>
        <w:top w:val="none" w:sz="0" w:space="0" w:color="auto"/>
        <w:left w:val="none" w:sz="0" w:space="0" w:color="auto"/>
        <w:bottom w:val="none" w:sz="0" w:space="0" w:color="auto"/>
        <w:right w:val="none" w:sz="0" w:space="0" w:color="auto"/>
      </w:divBdr>
    </w:div>
    <w:div w:id="1328050261">
      <w:bodyDiv w:val="1"/>
      <w:marLeft w:val="0"/>
      <w:marRight w:val="0"/>
      <w:marTop w:val="0"/>
      <w:marBottom w:val="0"/>
      <w:divBdr>
        <w:top w:val="none" w:sz="0" w:space="0" w:color="auto"/>
        <w:left w:val="none" w:sz="0" w:space="0" w:color="auto"/>
        <w:bottom w:val="none" w:sz="0" w:space="0" w:color="auto"/>
        <w:right w:val="none" w:sz="0" w:space="0" w:color="auto"/>
      </w:divBdr>
    </w:div>
    <w:div w:id="1331837577">
      <w:bodyDiv w:val="1"/>
      <w:marLeft w:val="0"/>
      <w:marRight w:val="0"/>
      <w:marTop w:val="0"/>
      <w:marBottom w:val="0"/>
      <w:divBdr>
        <w:top w:val="none" w:sz="0" w:space="0" w:color="auto"/>
        <w:left w:val="none" w:sz="0" w:space="0" w:color="auto"/>
        <w:bottom w:val="none" w:sz="0" w:space="0" w:color="auto"/>
        <w:right w:val="none" w:sz="0" w:space="0" w:color="auto"/>
      </w:divBdr>
    </w:div>
    <w:div w:id="1333026636">
      <w:bodyDiv w:val="1"/>
      <w:marLeft w:val="0"/>
      <w:marRight w:val="0"/>
      <w:marTop w:val="0"/>
      <w:marBottom w:val="0"/>
      <w:divBdr>
        <w:top w:val="none" w:sz="0" w:space="0" w:color="auto"/>
        <w:left w:val="none" w:sz="0" w:space="0" w:color="auto"/>
        <w:bottom w:val="none" w:sz="0" w:space="0" w:color="auto"/>
        <w:right w:val="none" w:sz="0" w:space="0" w:color="auto"/>
      </w:divBdr>
    </w:div>
    <w:div w:id="1342703016">
      <w:bodyDiv w:val="1"/>
      <w:marLeft w:val="0"/>
      <w:marRight w:val="0"/>
      <w:marTop w:val="0"/>
      <w:marBottom w:val="0"/>
      <w:divBdr>
        <w:top w:val="none" w:sz="0" w:space="0" w:color="auto"/>
        <w:left w:val="none" w:sz="0" w:space="0" w:color="auto"/>
        <w:bottom w:val="none" w:sz="0" w:space="0" w:color="auto"/>
        <w:right w:val="none" w:sz="0" w:space="0" w:color="auto"/>
      </w:divBdr>
    </w:div>
    <w:div w:id="1342774545">
      <w:bodyDiv w:val="1"/>
      <w:marLeft w:val="0"/>
      <w:marRight w:val="0"/>
      <w:marTop w:val="0"/>
      <w:marBottom w:val="0"/>
      <w:divBdr>
        <w:top w:val="none" w:sz="0" w:space="0" w:color="auto"/>
        <w:left w:val="none" w:sz="0" w:space="0" w:color="auto"/>
        <w:bottom w:val="none" w:sz="0" w:space="0" w:color="auto"/>
        <w:right w:val="none" w:sz="0" w:space="0" w:color="auto"/>
      </w:divBdr>
    </w:div>
    <w:div w:id="1345130409">
      <w:bodyDiv w:val="1"/>
      <w:marLeft w:val="0"/>
      <w:marRight w:val="0"/>
      <w:marTop w:val="0"/>
      <w:marBottom w:val="0"/>
      <w:divBdr>
        <w:top w:val="none" w:sz="0" w:space="0" w:color="auto"/>
        <w:left w:val="none" w:sz="0" w:space="0" w:color="auto"/>
        <w:bottom w:val="none" w:sz="0" w:space="0" w:color="auto"/>
        <w:right w:val="none" w:sz="0" w:space="0" w:color="auto"/>
      </w:divBdr>
    </w:div>
    <w:div w:id="1347095817">
      <w:bodyDiv w:val="1"/>
      <w:marLeft w:val="0"/>
      <w:marRight w:val="0"/>
      <w:marTop w:val="0"/>
      <w:marBottom w:val="0"/>
      <w:divBdr>
        <w:top w:val="none" w:sz="0" w:space="0" w:color="auto"/>
        <w:left w:val="none" w:sz="0" w:space="0" w:color="auto"/>
        <w:bottom w:val="none" w:sz="0" w:space="0" w:color="auto"/>
        <w:right w:val="none" w:sz="0" w:space="0" w:color="auto"/>
      </w:divBdr>
    </w:div>
    <w:div w:id="1348023496">
      <w:bodyDiv w:val="1"/>
      <w:marLeft w:val="0"/>
      <w:marRight w:val="0"/>
      <w:marTop w:val="0"/>
      <w:marBottom w:val="0"/>
      <w:divBdr>
        <w:top w:val="none" w:sz="0" w:space="0" w:color="auto"/>
        <w:left w:val="none" w:sz="0" w:space="0" w:color="auto"/>
        <w:bottom w:val="none" w:sz="0" w:space="0" w:color="auto"/>
        <w:right w:val="none" w:sz="0" w:space="0" w:color="auto"/>
      </w:divBdr>
    </w:div>
    <w:div w:id="1352224215">
      <w:bodyDiv w:val="1"/>
      <w:marLeft w:val="0"/>
      <w:marRight w:val="0"/>
      <w:marTop w:val="0"/>
      <w:marBottom w:val="0"/>
      <w:divBdr>
        <w:top w:val="none" w:sz="0" w:space="0" w:color="auto"/>
        <w:left w:val="none" w:sz="0" w:space="0" w:color="auto"/>
        <w:bottom w:val="none" w:sz="0" w:space="0" w:color="auto"/>
        <w:right w:val="none" w:sz="0" w:space="0" w:color="auto"/>
      </w:divBdr>
    </w:div>
    <w:div w:id="1353147735">
      <w:bodyDiv w:val="1"/>
      <w:marLeft w:val="0"/>
      <w:marRight w:val="0"/>
      <w:marTop w:val="0"/>
      <w:marBottom w:val="0"/>
      <w:divBdr>
        <w:top w:val="none" w:sz="0" w:space="0" w:color="auto"/>
        <w:left w:val="none" w:sz="0" w:space="0" w:color="auto"/>
        <w:bottom w:val="none" w:sz="0" w:space="0" w:color="auto"/>
        <w:right w:val="none" w:sz="0" w:space="0" w:color="auto"/>
      </w:divBdr>
    </w:div>
    <w:div w:id="1359502967">
      <w:bodyDiv w:val="1"/>
      <w:marLeft w:val="0"/>
      <w:marRight w:val="0"/>
      <w:marTop w:val="0"/>
      <w:marBottom w:val="0"/>
      <w:divBdr>
        <w:top w:val="none" w:sz="0" w:space="0" w:color="auto"/>
        <w:left w:val="none" w:sz="0" w:space="0" w:color="auto"/>
        <w:bottom w:val="none" w:sz="0" w:space="0" w:color="auto"/>
        <w:right w:val="none" w:sz="0" w:space="0" w:color="auto"/>
      </w:divBdr>
    </w:div>
    <w:div w:id="1363507554">
      <w:bodyDiv w:val="1"/>
      <w:marLeft w:val="0"/>
      <w:marRight w:val="0"/>
      <w:marTop w:val="0"/>
      <w:marBottom w:val="0"/>
      <w:divBdr>
        <w:top w:val="none" w:sz="0" w:space="0" w:color="auto"/>
        <w:left w:val="none" w:sz="0" w:space="0" w:color="auto"/>
        <w:bottom w:val="none" w:sz="0" w:space="0" w:color="auto"/>
        <w:right w:val="none" w:sz="0" w:space="0" w:color="auto"/>
      </w:divBdr>
    </w:div>
    <w:div w:id="1368067170">
      <w:bodyDiv w:val="1"/>
      <w:marLeft w:val="0"/>
      <w:marRight w:val="0"/>
      <w:marTop w:val="0"/>
      <w:marBottom w:val="0"/>
      <w:divBdr>
        <w:top w:val="none" w:sz="0" w:space="0" w:color="auto"/>
        <w:left w:val="none" w:sz="0" w:space="0" w:color="auto"/>
        <w:bottom w:val="none" w:sz="0" w:space="0" w:color="auto"/>
        <w:right w:val="none" w:sz="0" w:space="0" w:color="auto"/>
      </w:divBdr>
    </w:div>
    <w:div w:id="1376810136">
      <w:bodyDiv w:val="1"/>
      <w:marLeft w:val="0"/>
      <w:marRight w:val="0"/>
      <w:marTop w:val="0"/>
      <w:marBottom w:val="0"/>
      <w:divBdr>
        <w:top w:val="none" w:sz="0" w:space="0" w:color="auto"/>
        <w:left w:val="none" w:sz="0" w:space="0" w:color="auto"/>
        <w:bottom w:val="none" w:sz="0" w:space="0" w:color="auto"/>
        <w:right w:val="none" w:sz="0" w:space="0" w:color="auto"/>
      </w:divBdr>
    </w:div>
    <w:div w:id="1378551196">
      <w:bodyDiv w:val="1"/>
      <w:marLeft w:val="0"/>
      <w:marRight w:val="0"/>
      <w:marTop w:val="0"/>
      <w:marBottom w:val="0"/>
      <w:divBdr>
        <w:top w:val="none" w:sz="0" w:space="0" w:color="auto"/>
        <w:left w:val="none" w:sz="0" w:space="0" w:color="auto"/>
        <w:bottom w:val="none" w:sz="0" w:space="0" w:color="auto"/>
        <w:right w:val="none" w:sz="0" w:space="0" w:color="auto"/>
      </w:divBdr>
    </w:div>
    <w:div w:id="1378897684">
      <w:bodyDiv w:val="1"/>
      <w:marLeft w:val="0"/>
      <w:marRight w:val="0"/>
      <w:marTop w:val="0"/>
      <w:marBottom w:val="0"/>
      <w:divBdr>
        <w:top w:val="none" w:sz="0" w:space="0" w:color="auto"/>
        <w:left w:val="none" w:sz="0" w:space="0" w:color="auto"/>
        <w:bottom w:val="none" w:sz="0" w:space="0" w:color="auto"/>
        <w:right w:val="none" w:sz="0" w:space="0" w:color="auto"/>
      </w:divBdr>
    </w:div>
    <w:div w:id="1379088046">
      <w:bodyDiv w:val="1"/>
      <w:marLeft w:val="0"/>
      <w:marRight w:val="0"/>
      <w:marTop w:val="0"/>
      <w:marBottom w:val="0"/>
      <w:divBdr>
        <w:top w:val="none" w:sz="0" w:space="0" w:color="auto"/>
        <w:left w:val="none" w:sz="0" w:space="0" w:color="auto"/>
        <w:bottom w:val="none" w:sz="0" w:space="0" w:color="auto"/>
        <w:right w:val="none" w:sz="0" w:space="0" w:color="auto"/>
      </w:divBdr>
    </w:div>
    <w:div w:id="1379356430">
      <w:bodyDiv w:val="1"/>
      <w:marLeft w:val="0"/>
      <w:marRight w:val="0"/>
      <w:marTop w:val="0"/>
      <w:marBottom w:val="0"/>
      <w:divBdr>
        <w:top w:val="none" w:sz="0" w:space="0" w:color="auto"/>
        <w:left w:val="none" w:sz="0" w:space="0" w:color="auto"/>
        <w:bottom w:val="none" w:sz="0" w:space="0" w:color="auto"/>
        <w:right w:val="none" w:sz="0" w:space="0" w:color="auto"/>
      </w:divBdr>
    </w:div>
    <w:div w:id="1380545580">
      <w:bodyDiv w:val="1"/>
      <w:marLeft w:val="0"/>
      <w:marRight w:val="0"/>
      <w:marTop w:val="0"/>
      <w:marBottom w:val="0"/>
      <w:divBdr>
        <w:top w:val="none" w:sz="0" w:space="0" w:color="auto"/>
        <w:left w:val="none" w:sz="0" w:space="0" w:color="auto"/>
        <w:bottom w:val="none" w:sz="0" w:space="0" w:color="auto"/>
        <w:right w:val="none" w:sz="0" w:space="0" w:color="auto"/>
      </w:divBdr>
    </w:div>
    <w:div w:id="1381708116">
      <w:bodyDiv w:val="1"/>
      <w:marLeft w:val="0"/>
      <w:marRight w:val="0"/>
      <w:marTop w:val="0"/>
      <w:marBottom w:val="0"/>
      <w:divBdr>
        <w:top w:val="none" w:sz="0" w:space="0" w:color="auto"/>
        <w:left w:val="none" w:sz="0" w:space="0" w:color="auto"/>
        <w:bottom w:val="none" w:sz="0" w:space="0" w:color="auto"/>
        <w:right w:val="none" w:sz="0" w:space="0" w:color="auto"/>
      </w:divBdr>
    </w:div>
    <w:div w:id="1384059119">
      <w:bodyDiv w:val="1"/>
      <w:marLeft w:val="0"/>
      <w:marRight w:val="0"/>
      <w:marTop w:val="0"/>
      <w:marBottom w:val="0"/>
      <w:divBdr>
        <w:top w:val="none" w:sz="0" w:space="0" w:color="auto"/>
        <w:left w:val="none" w:sz="0" w:space="0" w:color="auto"/>
        <w:bottom w:val="none" w:sz="0" w:space="0" w:color="auto"/>
        <w:right w:val="none" w:sz="0" w:space="0" w:color="auto"/>
      </w:divBdr>
    </w:div>
    <w:div w:id="1384327733">
      <w:bodyDiv w:val="1"/>
      <w:marLeft w:val="0"/>
      <w:marRight w:val="0"/>
      <w:marTop w:val="0"/>
      <w:marBottom w:val="0"/>
      <w:divBdr>
        <w:top w:val="none" w:sz="0" w:space="0" w:color="auto"/>
        <w:left w:val="none" w:sz="0" w:space="0" w:color="auto"/>
        <w:bottom w:val="none" w:sz="0" w:space="0" w:color="auto"/>
        <w:right w:val="none" w:sz="0" w:space="0" w:color="auto"/>
      </w:divBdr>
    </w:div>
    <w:div w:id="1385369617">
      <w:bodyDiv w:val="1"/>
      <w:marLeft w:val="0"/>
      <w:marRight w:val="0"/>
      <w:marTop w:val="0"/>
      <w:marBottom w:val="0"/>
      <w:divBdr>
        <w:top w:val="none" w:sz="0" w:space="0" w:color="auto"/>
        <w:left w:val="none" w:sz="0" w:space="0" w:color="auto"/>
        <w:bottom w:val="none" w:sz="0" w:space="0" w:color="auto"/>
        <w:right w:val="none" w:sz="0" w:space="0" w:color="auto"/>
      </w:divBdr>
    </w:div>
    <w:div w:id="1390303020">
      <w:bodyDiv w:val="1"/>
      <w:marLeft w:val="0"/>
      <w:marRight w:val="0"/>
      <w:marTop w:val="0"/>
      <w:marBottom w:val="0"/>
      <w:divBdr>
        <w:top w:val="none" w:sz="0" w:space="0" w:color="auto"/>
        <w:left w:val="none" w:sz="0" w:space="0" w:color="auto"/>
        <w:bottom w:val="none" w:sz="0" w:space="0" w:color="auto"/>
        <w:right w:val="none" w:sz="0" w:space="0" w:color="auto"/>
      </w:divBdr>
    </w:div>
    <w:div w:id="1390686898">
      <w:bodyDiv w:val="1"/>
      <w:marLeft w:val="0"/>
      <w:marRight w:val="0"/>
      <w:marTop w:val="0"/>
      <w:marBottom w:val="0"/>
      <w:divBdr>
        <w:top w:val="none" w:sz="0" w:space="0" w:color="auto"/>
        <w:left w:val="none" w:sz="0" w:space="0" w:color="auto"/>
        <w:bottom w:val="none" w:sz="0" w:space="0" w:color="auto"/>
        <w:right w:val="none" w:sz="0" w:space="0" w:color="auto"/>
      </w:divBdr>
    </w:div>
    <w:div w:id="1393231103">
      <w:bodyDiv w:val="1"/>
      <w:marLeft w:val="0"/>
      <w:marRight w:val="0"/>
      <w:marTop w:val="0"/>
      <w:marBottom w:val="0"/>
      <w:divBdr>
        <w:top w:val="none" w:sz="0" w:space="0" w:color="auto"/>
        <w:left w:val="none" w:sz="0" w:space="0" w:color="auto"/>
        <w:bottom w:val="none" w:sz="0" w:space="0" w:color="auto"/>
        <w:right w:val="none" w:sz="0" w:space="0" w:color="auto"/>
      </w:divBdr>
    </w:div>
    <w:div w:id="1394348005">
      <w:bodyDiv w:val="1"/>
      <w:marLeft w:val="0"/>
      <w:marRight w:val="0"/>
      <w:marTop w:val="0"/>
      <w:marBottom w:val="0"/>
      <w:divBdr>
        <w:top w:val="none" w:sz="0" w:space="0" w:color="auto"/>
        <w:left w:val="none" w:sz="0" w:space="0" w:color="auto"/>
        <w:bottom w:val="none" w:sz="0" w:space="0" w:color="auto"/>
        <w:right w:val="none" w:sz="0" w:space="0" w:color="auto"/>
      </w:divBdr>
    </w:div>
    <w:div w:id="1395163047">
      <w:bodyDiv w:val="1"/>
      <w:marLeft w:val="0"/>
      <w:marRight w:val="0"/>
      <w:marTop w:val="0"/>
      <w:marBottom w:val="0"/>
      <w:divBdr>
        <w:top w:val="none" w:sz="0" w:space="0" w:color="auto"/>
        <w:left w:val="none" w:sz="0" w:space="0" w:color="auto"/>
        <w:bottom w:val="none" w:sz="0" w:space="0" w:color="auto"/>
        <w:right w:val="none" w:sz="0" w:space="0" w:color="auto"/>
      </w:divBdr>
    </w:div>
    <w:div w:id="1405176484">
      <w:bodyDiv w:val="1"/>
      <w:marLeft w:val="0"/>
      <w:marRight w:val="0"/>
      <w:marTop w:val="0"/>
      <w:marBottom w:val="0"/>
      <w:divBdr>
        <w:top w:val="none" w:sz="0" w:space="0" w:color="auto"/>
        <w:left w:val="none" w:sz="0" w:space="0" w:color="auto"/>
        <w:bottom w:val="none" w:sz="0" w:space="0" w:color="auto"/>
        <w:right w:val="none" w:sz="0" w:space="0" w:color="auto"/>
      </w:divBdr>
    </w:div>
    <w:div w:id="1406562229">
      <w:bodyDiv w:val="1"/>
      <w:marLeft w:val="0"/>
      <w:marRight w:val="0"/>
      <w:marTop w:val="0"/>
      <w:marBottom w:val="0"/>
      <w:divBdr>
        <w:top w:val="none" w:sz="0" w:space="0" w:color="auto"/>
        <w:left w:val="none" w:sz="0" w:space="0" w:color="auto"/>
        <w:bottom w:val="none" w:sz="0" w:space="0" w:color="auto"/>
        <w:right w:val="none" w:sz="0" w:space="0" w:color="auto"/>
      </w:divBdr>
    </w:div>
    <w:div w:id="140721702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2510159">
      <w:bodyDiv w:val="1"/>
      <w:marLeft w:val="0"/>
      <w:marRight w:val="0"/>
      <w:marTop w:val="0"/>
      <w:marBottom w:val="0"/>
      <w:divBdr>
        <w:top w:val="none" w:sz="0" w:space="0" w:color="auto"/>
        <w:left w:val="none" w:sz="0" w:space="0" w:color="auto"/>
        <w:bottom w:val="none" w:sz="0" w:space="0" w:color="auto"/>
        <w:right w:val="none" w:sz="0" w:space="0" w:color="auto"/>
      </w:divBdr>
    </w:div>
    <w:div w:id="1417937385">
      <w:bodyDiv w:val="1"/>
      <w:marLeft w:val="0"/>
      <w:marRight w:val="0"/>
      <w:marTop w:val="0"/>
      <w:marBottom w:val="0"/>
      <w:divBdr>
        <w:top w:val="none" w:sz="0" w:space="0" w:color="auto"/>
        <w:left w:val="none" w:sz="0" w:space="0" w:color="auto"/>
        <w:bottom w:val="none" w:sz="0" w:space="0" w:color="auto"/>
        <w:right w:val="none" w:sz="0" w:space="0" w:color="auto"/>
      </w:divBdr>
    </w:div>
    <w:div w:id="1423407784">
      <w:bodyDiv w:val="1"/>
      <w:marLeft w:val="0"/>
      <w:marRight w:val="0"/>
      <w:marTop w:val="0"/>
      <w:marBottom w:val="0"/>
      <w:divBdr>
        <w:top w:val="none" w:sz="0" w:space="0" w:color="auto"/>
        <w:left w:val="none" w:sz="0" w:space="0" w:color="auto"/>
        <w:bottom w:val="none" w:sz="0" w:space="0" w:color="auto"/>
        <w:right w:val="none" w:sz="0" w:space="0" w:color="auto"/>
      </w:divBdr>
    </w:div>
    <w:div w:id="1424954845">
      <w:bodyDiv w:val="1"/>
      <w:marLeft w:val="0"/>
      <w:marRight w:val="0"/>
      <w:marTop w:val="0"/>
      <w:marBottom w:val="0"/>
      <w:divBdr>
        <w:top w:val="none" w:sz="0" w:space="0" w:color="auto"/>
        <w:left w:val="none" w:sz="0" w:space="0" w:color="auto"/>
        <w:bottom w:val="none" w:sz="0" w:space="0" w:color="auto"/>
        <w:right w:val="none" w:sz="0" w:space="0" w:color="auto"/>
      </w:divBdr>
    </w:div>
    <w:div w:id="1425421961">
      <w:bodyDiv w:val="1"/>
      <w:marLeft w:val="0"/>
      <w:marRight w:val="0"/>
      <w:marTop w:val="0"/>
      <w:marBottom w:val="0"/>
      <w:divBdr>
        <w:top w:val="none" w:sz="0" w:space="0" w:color="auto"/>
        <w:left w:val="none" w:sz="0" w:space="0" w:color="auto"/>
        <w:bottom w:val="none" w:sz="0" w:space="0" w:color="auto"/>
        <w:right w:val="none" w:sz="0" w:space="0" w:color="auto"/>
      </w:divBdr>
    </w:div>
    <w:div w:id="1431587383">
      <w:bodyDiv w:val="1"/>
      <w:marLeft w:val="0"/>
      <w:marRight w:val="0"/>
      <w:marTop w:val="0"/>
      <w:marBottom w:val="0"/>
      <w:divBdr>
        <w:top w:val="none" w:sz="0" w:space="0" w:color="auto"/>
        <w:left w:val="none" w:sz="0" w:space="0" w:color="auto"/>
        <w:bottom w:val="none" w:sz="0" w:space="0" w:color="auto"/>
        <w:right w:val="none" w:sz="0" w:space="0" w:color="auto"/>
      </w:divBdr>
    </w:div>
    <w:div w:id="1433621563">
      <w:bodyDiv w:val="1"/>
      <w:marLeft w:val="0"/>
      <w:marRight w:val="0"/>
      <w:marTop w:val="0"/>
      <w:marBottom w:val="0"/>
      <w:divBdr>
        <w:top w:val="none" w:sz="0" w:space="0" w:color="auto"/>
        <w:left w:val="none" w:sz="0" w:space="0" w:color="auto"/>
        <w:bottom w:val="none" w:sz="0" w:space="0" w:color="auto"/>
        <w:right w:val="none" w:sz="0" w:space="0" w:color="auto"/>
      </w:divBdr>
    </w:div>
    <w:div w:id="143832955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78529">
      <w:bodyDiv w:val="1"/>
      <w:marLeft w:val="0"/>
      <w:marRight w:val="0"/>
      <w:marTop w:val="0"/>
      <w:marBottom w:val="0"/>
      <w:divBdr>
        <w:top w:val="none" w:sz="0" w:space="0" w:color="auto"/>
        <w:left w:val="none" w:sz="0" w:space="0" w:color="auto"/>
        <w:bottom w:val="none" w:sz="0" w:space="0" w:color="auto"/>
        <w:right w:val="none" w:sz="0" w:space="0" w:color="auto"/>
      </w:divBdr>
    </w:div>
    <w:div w:id="1441340692">
      <w:bodyDiv w:val="1"/>
      <w:marLeft w:val="0"/>
      <w:marRight w:val="0"/>
      <w:marTop w:val="0"/>
      <w:marBottom w:val="0"/>
      <w:divBdr>
        <w:top w:val="none" w:sz="0" w:space="0" w:color="auto"/>
        <w:left w:val="none" w:sz="0" w:space="0" w:color="auto"/>
        <w:bottom w:val="none" w:sz="0" w:space="0" w:color="auto"/>
        <w:right w:val="none" w:sz="0" w:space="0" w:color="auto"/>
      </w:divBdr>
    </w:div>
    <w:div w:id="1447188870">
      <w:bodyDiv w:val="1"/>
      <w:marLeft w:val="0"/>
      <w:marRight w:val="0"/>
      <w:marTop w:val="0"/>
      <w:marBottom w:val="0"/>
      <w:divBdr>
        <w:top w:val="none" w:sz="0" w:space="0" w:color="auto"/>
        <w:left w:val="none" w:sz="0" w:space="0" w:color="auto"/>
        <w:bottom w:val="none" w:sz="0" w:space="0" w:color="auto"/>
        <w:right w:val="none" w:sz="0" w:space="0" w:color="auto"/>
      </w:divBdr>
    </w:div>
    <w:div w:id="1450054698">
      <w:bodyDiv w:val="1"/>
      <w:marLeft w:val="0"/>
      <w:marRight w:val="0"/>
      <w:marTop w:val="0"/>
      <w:marBottom w:val="0"/>
      <w:divBdr>
        <w:top w:val="none" w:sz="0" w:space="0" w:color="auto"/>
        <w:left w:val="none" w:sz="0" w:space="0" w:color="auto"/>
        <w:bottom w:val="none" w:sz="0" w:space="0" w:color="auto"/>
        <w:right w:val="none" w:sz="0" w:space="0" w:color="auto"/>
      </w:divBdr>
    </w:div>
    <w:div w:id="1451969984">
      <w:bodyDiv w:val="1"/>
      <w:marLeft w:val="0"/>
      <w:marRight w:val="0"/>
      <w:marTop w:val="0"/>
      <w:marBottom w:val="0"/>
      <w:divBdr>
        <w:top w:val="none" w:sz="0" w:space="0" w:color="auto"/>
        <w:left w:val="none" w:sz="0" w:space="0" w:color="auto"/>
        <w:bottom w:val="none" w:sz="0" w:space="0" w:color="auto"/>
        <w:right w:val="none" w:sz="0" w:space="0" w:color="auto"/>
      </w:divBdr>
    </w:div>
    <w:div w:id="1456555680">
      <w:bodyDiv w:val="1"/>
      <w:marLeft w:val="0"/>
      <w:marRight w:val="0"/>
      <w:marTop w:val="0"/>
      <w:marBottom w:val="0"/>
      <w:divBdr>
        <w:top w:val="none" w:sz="0" w:space="0" w:color="auto"/>
        <w:left w:val="none" w:sz="0" w:space="0" w:color="auto"/>
        <w:bottom w:val="none" w:sz="0" w:space="0" w:color="auto"/>
        <w:right w:val="none" w:sz="0" w:space="0" w:color="auto"/>
      </w:divBdr>
    </w:div>
    <w:div w:id="1457525118">
      <w:bodyDiv w:val="1"/>
      <w:marLeft w:val="0"/>
      <w:marRight w:val="0"/>
      <w:marTop w:val="0"/>
      <w:marBottom w:val="0"/>
      <w:divBdr>
        <w:top w:val="none" w:sz="0" w:space="0" w:color="auto"/>
        <w:left w:val="none" w:sz="0" w:space="0" w:color="auto"/>
        <w:bottom w:val="none" w:sz="0" w:space="0" w:color="auto"/>
        <w:right w:val="none" w:sz="0" w:space="0" w:color="auto"/>
      </w:divBdr>
    </w:div>
    <w:div w:id="1457914696">
      <w:bodyDiv w:val="1"/>
      <w:marLeft w:val="0"/>
      <w:marRight w:val="0"/>
      <w:marTop w:val="0"/>
      <w:marBottom w:val="0"/>
      <w:divBdr>
        <w:top w:val="none" w:sz="0" w:space="0" w:color="auto"/>
        <w:left w:val="none" w:sz="0" w:space="0" w:color="auto"/>
        <w:bottom w:val="none" w:sz="0" w:space="0" w:color="auto"/>
        <w:right w:val="none" w:sz="0" w:space="0" w:color="auto"/>
      </w:divBdr>
    </w:div>
    <w:div w:id="1458330000">
      <w:bodyDiv w:val="1"/>
      <w:marLeft w:val="0"/>
      <w:marRight w:val="0"/>
      <w:marTop w:val="0"/>
      <w:marBottom w:val="0"/>
      <w:divBdr>
        <w:top w:val="none" w:sz="0" w:space="0" w:color="auto"/>
        <w:left w:val="none" w:sz="0" w:space="0" w:color="auto"/>
        <w:bottom w:val="none" w:sz="0" w:space="0" w:color="auto"/>
        <w:right w:val="none" w:sz="0" w:space="0" w:color="auto"/>
      </w:divBdr>
    </w:div>
    <w:div w:id="1458917161">
      <w:bodyDiv w:val="1"/>
      <w:marLeft w:val="0"/>
      <w:marRight w:val="0"/>
      <w:marTop w:val="0"/>
      <w:marBottom w:val="0"/>
      <w:divBdr>
        <w:top w:val="none" w:sz="0" w:space="0" w:color="auto"/>
        <w:left w:val="none" w:sz="0" w:space="0" w:color="auto"/>
        <w:bottom w:val="none" w:sz="0" w:space="0" w:color="auto"/>
        <w:right w:val="none" w:sz="0" w:space="0" w:color="auto"/>
      </w:divBdr>
    </w:div>
    <w:div w:id="1462073946">
      <w:bodyDiv w:val="1"/>
      <w:marLeft w:val="0"/>
      <w:marRight w:val="0"/>
      <w:marTop w:val="0"/>
      <w:marBottom w:val="0"/>
      <w:divBdr>
        <w:top w:val="none" w:sz="0" w:space="0" w:color="auto"/>
        <w:left w:val="none" w:sz="0" w:space="0" w:color="auto"/>
        <w:bottom w:val="none" w:sz="0" w:space="0" w:color="auto"/>
        <w:right w:val="none" w:sz="0" w:space="0" w:color="auto"/>
      </w:divBdr>
    </w:div>
    <w:div w:id="1462921565">
      <w:bodyDiv w:val="1"/>
      <w:marLeft w:val="0"/>
      <w:marRight w:val="0"/>
      <w:marTop w:val="0"/>
      <w:marBottom w:val="0"/>
      <w:divBdr>
        <w:top w:val="none" w:sz="0" w:space="0" w:color="auto"/>
        <w:left w:val="none" w:sz="0" w:space="0" w:color="auto"/>
        <w:bottom w:val="none" w:sz="0" w:space="0" w:color="auto"/>
        <w:right w:val="none" w:sz="0" w:space="0" w:color="auto"/>
      </w:divBdr>
    </w:div>
    <w:div w:id="1466391140">
      <w:bodyDiv w:val="1"/>
      <w:marLeft w:val="0"/>
      <w:marRight w:val="0"/>
      <w:marTop w:val="0"/>
      <w:marBottom w:val="0"/>
      <w:divBdr>
        <w:top w:val="none" w:sz="0" w:space="0" w:color="auto"/>
        <w:left w:val="none" w:sz="0" w:space="0" w:color="auto"/>
        <w:bottom w:val="none" w:sz="0" w:space="0" w:color="auto"/>
        <w:right w:val="none" w:sz="0" w:space="0" w:color="auto"/>
      </w:divBdr>
    </w:div>
    <w:div w:id="1470051002">
      <w:bodyDiv w:val="1"/>
      <w:marLeft w:val="0"/>
      <w:marRight w:val="0"/>
      <w:marTop w:val="0"/>
      <w:marBottom w:val="0"/>
      <w:divBdr>
        <w:top w:val="none" w:sz="0" w:space="0" w:color="auto"/>
        <w:left w:val="none" w:sz="0" w:space="0" w:color="auto"/>
        <w:bottom w:val="none" w:sz="0" w:space="0" w:color="auto"/>
        <w:right w:val="none" w:sz="0" w:space="0" w:color="auto"/>
      </w:divBdr>
    </w:div>
    <w:div w:id="1472138918">
      <w:bodyDiv w:val="1"/>
      <w:marLeft w:val="0"/>
      <w:marRight w:val="0"/>
      <w:marTop w:val="0"/>
      <w:marBottom w:val="0"/>
      <w:divBdr>
        <w:top w:val="none" w:sz="0" w:space="0" w:color="auto"/>
        <w:left w:val="none" w:sz="0" w:space="0" w:color="auto"/>
        <w:bottom w:val="none" w:sz="0" w:space="0" w:color="auto"/>
        <w:right w:val="none" w:sz="0" w:space="0" w:color="auto"/>
      </w:divBdr>
    </w:div>
    <w:div w:id="1485201199">
      <w:bodyDiv w:val="1"/>
      <w:marLeft w:val="0"/>
      <w:marRight w:val="0"/>
      <w:marTop w:val="0"/>
      <w:marBottom w:val="0"/>
      <w:divBdr>
        <w:top w:val="none" w:sz="0" w:space="0" w:color="auto"/>
        <w:left w:val="none" w:sz="0" w:space="0" w:color="auto"/>
        <w:bottom w:val="none" w:sz="0" w:space="0" w:color="auto"/>
        <w:right w:val="none" w:sz="0" w:space="0" w:color="auto"/>
      </w:divBdr>
    </w:div>
    <w:div w:id="1485590137">
      <w:bodyDiv w:val="1"/>
      <w:marLeft w:val="0"/>
      <w:marRight w:val="0"/>
      <w:marTop w:val="0"/>
      <w:marBottom w:val="0"/>
      <w:divBdr>
        <w:top w:val="none" w:sz="0" w:space="0" w:color="auto"/>
        <w:left w:val="none" w:sz="0" w:space="0" w:color="auto"/>
        <w:bottom w:val="none" w:sz="0" w:space="0" w:color="auto"/>
        <w:right w:val="none" w:sz="0" w:space="0" w:color="auto"/>
      </w:divBdr>
    </w:div>
    <w:div w:id="1489245266">
      <w:bodyDiv w:val="1"/>
      <w:marLeft w:val="0"/>
      <w:marRight w:val="0"/>
      <w:marTop w:val="0"/>
      <w:marBottom w:val="0"/>
      <w:divBdr>
        <w:top w:val="none" w:sz="0" w:space="0" w:color="auto"/>
        <w:left w:val="none" w:sz="0" w:space="0" w:color="auto"/>
        <w:bottom w:val="none" w:sz="0" w:space="0" w:color="auto"/>
        <w:right w:val="none" w:sz="0" w:space="0" w:color="auto"/>
      </w:divBdr>
    </w:div>
    <w:div w:id="1492478222">
      <w:bodyDiv w:val="1"/>
      <w:marLeft w:val="0"/>
      <w:marRight w:val="0"/>
      <w:marTop w:val="0"/>
      <w:marBottom w:val="0"/>
      <w:divBdr>
        <w:top w:val="none" w:sz="0" w:space="0" w:color="auto"/>
        <w:left w:val="none" w:sz="0" w:space="0" w:color="auto"/>
        <w:bottom w:val="none" w:sz="0" w:space="0" w:color="auto"/>
        <w:right w:val="none" w:sz="0" w:space="0" w:color="auto"/>
      </w:divBdr>
    </w:div>
    <w:div w:id="1493527245">
      <w:bodyDiv w:val="1"/>
      <w:marLeft w:val="0"/>
      <w:marRight w:val="0"/>
      <w:marTop w:val="0"/>
      <w:marBottom w:val="0"/>
      <w:divBdr>
        <w:top w:val="none" w:sz="0" w:space="0" w:color="auto"/>
        <w:left w:val="none" w:sz="0" w:space="0" w:color="auto"/>
        <w:bottom w:val="none" w:sz="0" w:space="0" w:color="auto"/>
        <w:right w:val="none" w:sz="0" w:space="0" w:color="auto"/>
      </w:divBdr>
    </w:div>
    <w:div w:id="1498573962">
      <w:bodyDiv w:val="1"/>
      <w:marLeft w:val="0"/>
      <w:marRight w:val="0"/>
      <w:marTop w:val="0"/>
      <w:marBottom w:val="0"/>
      <w:divBdr>
        <w:top w:val="none" w:sz="0" w:space="0" w:color="auto"/>
        <w:left w:val="none" w:sz="0" w:space="0" w:color="auto"/>
        <w:bottom w:val="none" w:sz="0" w:space="0" w:color="auto"/>
        <w:right w:val="none" w:sz="0" w:space="0" w:color="auto"/>
      </w:divBdr>
    </w:div>
    <w:div w:id="1502309431">
      <w:bodyDiv w:val="1"/>
      <w:marLeft w:val="0"/>
      <w:marRight w:val="0"/>
      <w:marTop w:val="0"/>
      <w:marBottom w:val="0"/>
      <w:divBdr>
        <w:top w:val="none" w:sz="0" w:space="0" w:color="auto"/>
        <w:left w:val="none" w:sz="0" w:space="0" w:color="auto"/>
        <w:bottom w:val="none" w:sz="0" w:space="0" w:color="auto"/>
        <w:right w:val="none" w:sz="0" w:space="0" w:color="auto"/>
      </w:divBdr>
    </w:div>
    <w:div w:id="1509053825">
      <w:bodyDiv w:val="1"/>
      <w:marLeft w:val="0"/>
      <w:marRight w:val="0"/>
      <w:marTop w:val="0"/>
      <w:marBottom w:val="0"/>
      <w:divBdr>
        <w:top w:val="none" w:sz="0" w:space="0" w:color="auto"/>
        <w:left w:val="none" w:sz="0" w:space="0" w:color="auto"/>
        <w:bottom w:val="none" w:sz="0" w:space="0" w:color="auto"/>
        <w:right w:val="none" w:sz="0" w:space="0" w:color="auto"/>
      </w:divBdr>
    </w:div>
    <w:div w:id="1509517866">
      <w:bodyDiv w:val="1"/>
      <w:marLeft w:val="0"/>
      <w:marRight w:val="0"/>
      <w:marTop w:val="0"/>
      <w:marBottom w:val="0"/>
      <w:divBdr>
        <w:top w:val="none" w:sz="0" w:space="0" w:color="auto"/>
        <w:left w:val="none" w:sz="0" w:space="0" w:color="auto"/>
        <w:bottom w:val="none" w:sz="0" w:space="0" w:color="auto"/>
        <w:right w:val="none" w:sz="0" w:space="0" w:color="auto"/>
      </w:divBdr>
    </w:div>
    <w:div w:id="1513716878">
      <w:bodyDiv w:val="1"/>
      <w:marLeft w:val="0"/>
      <w:marRight w:val="0"/>
      <w:marTop w:val="0"/>
      <w:marBottom w:val="0"/>
      <w:divBdr>
        <w:top w:val="none" w:sz="0" w:space="0" w:color="auto"/>
        <w:left w:val="none" w:sz="0" w:space="0" w:color="auto"/>
        <w:bottom w:val="none" w:sz="0" w:space="0" w:color="auto"/>
        <w:right w:val="none" w:sz="0" w:space="0" w:color="auto"/>
      </w:divBdr>
    </w:div>
    <w:div w:id="1515605781">
      <w:bodyDiv w:val="1"/>
      <w:marLeft w:val="0"/>
      <w:marRight w:val="0"/>
      <w:marTop w:val="0"/>
      <w:marBottom w:val="0"/>
      <w:divBdr>
        <w:top w:val="none" w:sz="0" w:space="0" w:color="auto"/>
        <w:left w:val="none" w:sz="0" w:space="0" w:color="auto"/>
        <w:bottom w:val="none" w:sz="0" w:space="0" w:color="auto"/>
        <w:right w:val="none" w:sz="0" w:space="0" w:color="auto"/>
      </w:divBdr>
    </w:div>
    <w:div w:id="1515805835">
      <w:bodyDiv w:val="1"/>
      <w:marLeft w:val="0"/>
      <w:marRight w:val="0"/>
      <w:marTop w:val="0"/>
      <w:marBottom w:val="0"/>
      <w:divBdr>
        <w:top w:val="none" w:sz="0" w:space="0" w:color="auto"/>
        <w:left w:val="none" w:sz="0" w:space="0" w:color="auto"/>
        <w:bottom w:val="none" w:sz="0" w:space="0" w:color="auto"/>
        <w:right w:val="none" w:sz="0" w:space="0" w:color="auto"/>
      </w:divBdr>
    </w:div>
    <w:div w:id="1518038920">
      <w:bodyDiv w:val="1"/>
      <w:marLeft w:val="0"/>
      <w:marRight w:val="0"/>
      <w:marTop w:val="0"/>
      <w:marBottom w:val="0"/>
      <w:divBdr>
        <w:top w:val="none" w:sz="0" w:space="0" w:color="auto"/>
        <w:left w:val="none" w:sz="0" w:space="0" w:color="auto"/>
        <w:bottom w:val="none" w:sz="0" w:space="0" w:color="auto"/>
        <w:right w:val="none" w:sz="0" w:space="0" w:color="auto"/>
      </w:divBdr>
    </w:div>
    <w:div w:id="1521429519">
      <w:bodyDiv w:val="1"/>
      <w:marLeft w:val="0"/>
      <w:marRight w:val="0"/>
      <w:marTop w:val="0"/>
      <w:marBottom w:val="0"/>
      <w:divBdr>
        <w:top w:val="none" w:sz="0" w:space="0" w:color="auto"/>
        <w:left w:val="none" w:sz="0" w:space="0" w:color="auto"/>
        <w:bottom w:val="none" w:sz="0" w:space="0" w:color="auto"/>
        <w:right w:val="none" w:sz="0" w:space="0" w:color="auto"/>
      </w:divBdr>
    </w:div>
    <w:div w:id="1528837932">
      <w:bodyDiv w:val="1"/>
      <w:marLeft w:val="0"/>
      <w:marRight w:val="0"/>
      <w:marTop w:val="0"/>
      <w:marBottom w:val="0"/>
      <w:divBdr>
        <w:top w:val="none" w:sz="0" w:space="0" w:color="auto"/>
        <w:left w:val="none" w:sz="0" w:space="0" w:color="auto"/>
        <w:bottom w:val="none" w:sz="0" w:space="0" w:color="auto"/>
        <w:right w:val="none" w:sz="0" w:space="0" w:color="auto"/>
      </w:divBdr>
    </w:div>
    <w:div w:id="1530294261">
      <w:bodyDiv w:val="1"/>
      <w:marLeft w:val="0"/>
      <w:marRight w:val="0"/>
      <w:marTop w:val="0"/>
      <w:marBottom w:val="0"/>
      <w:divBdr>
        <w:top w:val="none" w:sz="0" w:space="0" w:color="auto"/>
        <w:left w:val="none" w:sz="0" w:space="0" w:color="auto"/>
        <w:bottom w:val="none" w:sz="0" w:space="0" w:color="auto"/>
        <w:right w:val="none" w:sz="0" w:space="0" w:color="auto"/>
      </w:divBdr>
    </w:div>
    <w:div w:id="1530485767">
      <w:bodyDiv w:val="1"/>
      <w:marLeft w:val="0"/>
      <w:marRight w:val="0"/>
      <w:marTop w:val="0"/>
      <w:marBottom w:val="0"/>
      <w:divBdr>
        <w:top w:val="none" w:sz="0" w:space="0" w:color="auto"/>
        <w:left w:val="none" w:sz="0" w:space="0" w:color="auto"/>
        <w:bottom w:val="none" w:sz="0" w:space="0" w:color="auto"/>
        <w:right w:val="none" w:sz="0" w:space="0" w:color="auto"/>
      </w:divBdr>
    </w:div>
    <w:div w:id="1538854150">
      <w:bodyDiv w:val="1"/>
      <w:marLeft w:val="0"/>
      <w:marRight w:val="0"/>
      <w:marTop w:val="0"/>
      <w:marBottom w:val="0"/>
      <w:divBdr>
        <w:top w:val="none" w:sz="0" w:space="0" w:color="auto"/>
        <w:left w:val="none" w:sz="0" w:space="0" w:color="auto"/>
        <w:bottom w:val="none" w:sz="0" w:space="0" w:color="auto"/>
        <w:right w:val="none" w:sz="0" w:space="0" w:color="auto"/>
      </w:divBdr>
    </w:div>
    <w:div w:id="1540707740">
      <w:bodyDiv w:val="1"/>
      <w:marLeft w:val="0"/>
      <w:marRight w:val="0"/>
      <w:marTop w:val="0"/>
      <w:marBottom w:val="0"/>
      <w:divBdr>
        <w:top w:val="none" w:sz="0" w:space="0" w:color="auto"/>
        <w:left w:val="none" w:sz="0" w:space="0" w:color="auto"/>
        <w:bottom w:val="none" w:sz="0" w:space="0" w:color="auto"/>
        <w:right w:val="none" w:sz="0" w:space="0" w:color="auto"/>
      </w:divBdr>
    </w:div>
    <w:div w:id="1542093096">
      <w:bodyDiv w:val="1"/>
      <w:marLeft w:val="0"/>
      <w:marRight w:val="0"/>
      <w:marTop w:val="0"/>
      <w:marBottom w:val="0"/>
      <w:divBdr>
        <w:top w:val="none" w:sz="0" w:space="0" w:color="auto"/>
        <w:left w:val="none" w:sz="0" w:space="0" w:color="auto"/>
        <w:bottom w:val="none" w:sz="0" w:space="0" w:color="auto"/>
        <w:right w:val="none" w:sz="0" w:space="0" w:color="auto"/>
      </w:divBdr>
    </w:div>
    <w:div w:id="1542324266">
      <w:bodyDiv w:val="1"/>
      <w:marLeft w:val="0"/>
      <w:marRight w:val="0"/>
      <w:marTop w:val="0"/>
      <w:marBottom w:val="0"/>
      <w:divBdr>
        <w:top w:val="none" w:sz="0" w:space="0" w:color="auto"/>
        <w:left w:val="none" w:sz="0" w:space="0" w:color="auto"/>
        <w:bottom w:val="none" w:sz="0" w:space="0" w:color="auto"/>
        <w:right w:val="none" w:sz="0" w:space="0" w:color="auto"/>
      </w:divBdr>
    </w:div>
    <w:div w:id="1544367448">
      <w:bodyDiv w:val="1"/>
      <w:marLeft w:val="0"/>
      <w:marRight w:val="0"/>
      <w:marTop w:val="0"/>
      <w:marBottom w:val="0"/>
      <w:divBdr>
        <w:top w:val="none" w:sz="0" w:space="0" w:color="auto"/>
        <w:left w:val="none" w:sz="0" w:space="0" w:color="auto"/>
        <w:bottom w:val="none" w:sz="0" w:space="0" w:color="auto"/>
        <w:right w:val="none" w:sz="0" w:space="0" w:color="auto"/>
      </w:divBdr>
    </w:div>
    <w:div w:id="1544634071">
      <w:bodyDiv w:val="1"/>
      <w:marLeft w:val="0"/>
      <w:marRight w:val="0"/>
      <w:marTop w:val="0"/>
      <w:marBottom w:val="0"/>
      <w:divBdr>
        <w:top w:val="none" w:sz="0" w:space="0" w:color="auto"/>
        <w:left w:val="none" w:sz="0" w:space="0" w:color="auto"/>
        <w:bottom w:val="none" w:sz="0" w:space="0" w:color="auto"/>
        <w:right w:val="none" w:sz="0" w:space="0" w:color="auto"/>
      </w:divBdr>
    </w:div>
    <w:div w:id="1545562605">
      <w:bodyDiv w:val="1"/>
      <w:marLeft w:val="0"/>
      <w:marRight w:val="0"/>
      <w:marTop w:val="0"/>
      <w:marBottom w:val="0"/>
      <w:divBdr>
        <w:top w:val="none" w:sz="0" w:space="0" w:color="auto"/>
        <w:left w:val="none" w:sz="0" w:space="0" w:color="auto"/>
        <w:bottom w:val="none" w:sz="0" w:space="0" w:color="auto"/>
        <w:right w:val="none" w:sz="0" w:space="0" w:color="auto"/>
      </w:divBdr>
    </w:div>
    <w:div w:id="1546213027">
      <w:bodyDiv w:val="1"/>
      <w:marLeft w:val="0"/>
      <w:marRight w:val="0"/>
      <w:marTop w:val="0"/>
      <w:marBottom w:val="0"/>
      <w:divBdr>
        <w:top w:val="none" w:sz="0" w:space="0" w:color="auto"/>
        <w:left w:val="none" w:sz="0" w:space="0" w:color="auto"/>
        <w:bottom w:val="none" w:sz="0" w:space="0" w:color="auto"/>
        <w:right w:val="none" w:sz="0" w:space="0" w:color="auto"/>
      </w:divBdr>
    </w:div>
    <w:div w:id="1553542756">
      <w:bodyDiv w:val="1"/>
      <w:marLeft w:val="0"/>
      <w:marRight w:val="0"/>
      <w:marTop w:val="0"/>
      <w:marBottom w:val="0"/>
      <w:divBdr>
        <w:top w:val="none" w:sz="0" w:space="0" w:color="auto"/>
        <w:left w:val="none" w:sz="0" w:space="0" w:color="auto"/>
        <w:bottom w:val="none" w:sz="0" w:space="0" w:color="auto"/>
        <w:right w:val="none" w:sz="0" w:space="0" w:color="auto"/>
      </w:divBdr>
    </w:div>
    <w:div w:id="1554846391">
      <w:bodyDiv w:val="1"/>
      <w:marLeft w:val="0"/>
      <w:marRight w:val="0"/>
      <w:marTop w:val="0"/>
      <w:marBottom w:val="0"/>
      <w:divBdr>
        <w:top w:val="none" w:sz="0" w:space="0" w:color="auto"/>
        <w:left w:val="none" w:sz="0" w:space="0" w:color="auto"/>
        <w:bottom w:val="none" w:sz="0" w:space="0" w:color="auto"/>
        <w:right w:val="none" w:sz="0" w:space="0" w:color="auto"/>
      </w:divBdr>
    </w:div>
    <w:div w:id="1555389713">
      <w:bodyDiv w:val="1"/>
      <w:marLeft w:val="0"/>
      <w:marRight w:val="0"/>
      <w:marTop w:val="0"/>
      <w:marBottom w:val="0"/>
      <w:divBdr>
        <w:top w:val="none" w:sz="0" w:space="0" w:color="auto"/>
        <w:left w:val="none" w:sz="0" w:space="0" w:color="auto"/>
        <w:bottom w:val="none" w:sz="0" w:space="0" w:color="auto"/>
        <w:right w:val="none" w:sz="0" w:space="0" w:color="auto"/>
      </w:divBdr>
    </w:div>
    <w:div w:id="1555697144">
      <w:bodyDiv w:val="1"/>
      <w:marLeft w:val="0"/>
      <w:marRight w:val="0"/>
      <w:marTop w:val="0"/>
      <w:marBottom w:val="0"/>
      <w:divBdr>
        <w:top w:val="none" w:sz="0" w:space="0" w:color="auto"/>
        <w:left w:val="none" w:sz="0" w:space="0" w:color="auto"/>
        <w:bottom w:val="none" w:sz="0" w:space="0" w:color="auto"/>
        <w:right w:val="none" w:sz="0" w:space="0" w:color="auto"/>
      </w:divBdr>
    </w:div>
    <w:div w:id="1556046326">
      <w:bodyDiv w:val="1"/>
      <w:marLeft w:val="0"/>
      <w:marRight w:val="0"/>
      <w:marTop w:val="0"/>
      <w:marBottom w:val="0"/>
      <w:divBdr>
        <w:top w:val="none" w:sz="0" w:space="0" w:color="auto"/>
        <w:left w:val="none" w:sz="0" w:space="0" w:color="auto"/>
        <w:bottom w:val="none" w:sz="0" w:space="0" w:color="auto"/>
        <w:right w:val="none" w:sz="0" w:space="0" w:color="auto"/>
      </w:divBdr>
    </w:div>
    <w:div w:id="1558935604">
      <w:bodyDiv w:val="1"/>
      <w:marLeft w:val="0"/>
      <w:marRight w:val="0"/>
      <w:marTop w:val="0"/>
      <w:marBottom w:val="0"/>
      <w:divBdr>
        <w:top w:val="none" w:sz="0" w:space="0" w:color="auto"/>
        <w:left w:val="none" w:sz="0" w:space="0" w:color="auto"/>
        <w:bottom w:val="none" w:sz="0" w:space="0" w:color="auto"/>
        <w:right w:val="none" w:sz="0" w:space="0" w:color="auto"/>
      </w:divBdr>
    </w:div>
    <w:div w:id="1564098332">
      <w:bodyDiv w:val="1"/>
      <w:marLeft w:val="0"/>
      <w:marRight w:val="0"/>
      <w:marTop w:val="0"/>
      <w:marBottom w:val="0"/>
      <w:divBdr>
        <w:top w:val="none" w:sz="0" w:space="0" w:color="auto"/>
        <w:left w:val="none" w:sz="0" w:space="0" w:color="auto"/>
        <w:bottom w:val="none" w:sz="0" w:space="0" w:color="auto"/>
        <w:right w:val="none" w:sz="0" w:space="0" w:color="auto"/>
      </w:divBdr>
    </w:div>
    <w:div w:id="1568027440">
      <w:bodyDiv w:val="1"/>
      <w:marLeft w:val="0"/>
      <w:marRight w:val="0"/>
      <w:marTop w:val="0"/>
      <w:marBottom w:val="0"/>
      <w:divBdr>
        <w:top w:val="none" w:sz="0" w:space="0" w:color="auto"/>
        <w:left w:val="none" w:sz="0" w:space="0" w:color="auto"/>
        <w:bottom w:val="none" w:sz="0" w:space="0" w:color="auto"/>
        <w:right w:val="none" w:sz="0" w:space="0" w:color="auto"/>
      </w:divBdr>
    </w:div>
    <w:div w:id="1569146447">
      <w:bodyDiv w:val="1"/>
      <w:marLeft w:val="0"/>
      <w:marRight w:val="0"/>
      <w:marTop w:val="0"/>
      <w:marBottom w:val="0"/>
      <w:divBdr>
        <w:top w:val="none" w:sz="0" w:space="0" w:color="auto"/>
        <w:left w:val="none" w:sz="0" w:space="0" w:color="auto"/>
        <w:bottom w:val="none" w:sz="0" w:space="0" w:color="auto"/>
        <w:right w:val="none" w:sz="0" w:space="0" w:color="auto"/>
      </w:divBdr>
    </w:div>
    <w:div w:id="1569806948">
      <w:bodyDiv w:val="1"/>
      <w:marLeft w:val="0"/>
      <w:marRight w:val="0"/>
      <w:marTop w:val="0"/>
      <w:marBottom w:val="0"/>
      <w:divBdr>
        <w:top w:val="none" w:sz="0" w:space="0" w:color="auto"/>
        <w:left w:val="none" w:sz="0" w:space="0" w:color="auto"/>
        <w:bottom w:val="none" w:sz="0" w:space="0" w:color="auto"/>
        <w:right w:val="none" w:sz="0" w:space="0" w:color="auto"/>
      </w:divBdr>
    </w:div>
    <w:div w:id="1570191608">
      <w:bodyDiv w:val="1"/>
      <w:marLeft w:val="0"/>
      <w:marRight w:val="0"/>
      <w:marTop w:val="0"/>
      <w:marBottom w:val="0"/>
      <w:divBdr>
        <w:top w:val="none" w:sz="0" w:space="0" w:color="auto"/>
        <w:left w:val="none" w:sz="0" w:space="0" w:color="auto"/>
        <w:bottom w:val="none" w:sz="0" w:space="0" w:color="auto"/>
        <w:right w:val="none" w:sz="0" w:space="0" w:color="auto"/>
      </w:divBdr>
    </w:div>
    <w:div w:id="1571621753">
      <w:bodyDiv w:val="1"/>
      <w:marLeft w:val="0"/>
      <w:marRight w:val="0"/>
      <w:marTop w:val="0"/>
      <w:marBottom w:val="0"/>
      <w:divBdr>
        <w:top w:val="none" w:sz="0" w:space="0" w:color="auto"/>
        <w:left w:val="none" w:sz="0" w:space="0" w:color="auto"/>
        <w:bottom w:val="none" w:sz="0" w:space="0" w:color="auto"/>
        <w:right w:val="none" w:sz="0" w:space="0" w:color="auto"/>
      </w:divBdr>
    </w:div>
    <w:div w:id="1573394574">
      <w:bodyDiv w:val="1"/>
      <w:marLeft w:val="0"/>
      <w:marRight w:val="0"/>
      <w:marTop w:val="0"/>
      <w:marBottom w:val="0"/>
      <w:divBdr>
        <w:top w:val="none" w:sz="0" w:space="0" w:color="auto"/>
        <w:left w:val="none" w:sz="0" w:space="0" w:color="auto"/>
        <w:bottom w:val="none" w:sz="0" w:space="0" w:color="auto"/>
        <w:right w:val="none" w:sz="0" w:space="0" w:color="auto"/>
      </w:divBdr>
    </w:div>
    <w:div w:id="1574510942">
      <w:bodyDiv w:val="1"/>
      <w:marLeft w:val="0"/>
      <w:marRight w:val="0"/>
      <w:marTop w:val="0"/>
      <w:marBottom w:val="0"/>
      <w:divBdr>
        <w:top w:val="none" w:sz="0" w:space="0" w:color="auto"/>
        <w:left w:val="none" w:sz="0" w:space="0" w:color="auto"/>
        <w:bottom w:val="none" w:sz="0" w:space="0" w:color="auto"/>
        <w:right w:val="none" w:sz="0" w:space="0" w:color="auto"/>
      </w:divBdr>
    </w:div>
    <w:div w:id="1574660750">
      <w:bodyDiv w:val="1"/>
      <w:marLeft w:val="0"/>
      <w:marRight w:val="0"/>
      <w:marTop w:val="0"/>
      <w:marBottom w:val="0"/>
      <w:divBdr>
        <w:top w:val="none" w:sz="0" w:space="0" w:color="auto"/>
        <w:left w:val="none" w:sz="0" w:space="0" w:color="auto"/>
        <w:bottom w:val="none" w:sz="0" w:space="0" w:color="auto"/>
        <w:right w:val="none" w:sz="0" w:space="0" w:color="auto"/>
      </w:divBdr>
    </w:div>
    <w:div w:id="1575776571">
      <w:bodyDiv w:val="1"/>
      <w:marLeft w:val="0"/>
      <w:marRight w:val="0"/>
      <w:marTop w:val="0"/>
      <w:marBottom w:val="0"/>
      <w:divBdr>
        <w:top w:val="none" w:sz="0" w:space="0" w:color="auto"/>
        <w:left w:val="none" w:sz="0" w:space="0" w:color="auto"/>
        <w:bottom w:val="none" w:sz="0" w:space="0" w:color="auto"/>
        <w:right w:val="none" w:sz="0" w:space="0" w:color="auto"/>
      </w:divBdr>
    </w:div>
    <w:div w:id="1577207758">
      <w:bodyDiv w:val="1"/>
      <w:marLeft w:val="0"/>
      <w:marRight w:val="0"/>
      <w:marTop w:val="0"/>
      <w:marBottom w:val="0"/>
      <w:divBdr>
        <w:top w:val="none" w:sz="0" w:space="0" w:color="auto"/>
        <w:left w:val="none" w:sz="0" w:space="0" w:color="auto"/>
        <w:bottom w:val="none" w:sz="0" w:space="0" w:color="auto"/>
        <w:right w:val="none" w:sz="0" w:space="0" w:color="auto"/>
      </w:divBdr>
    </w:div>
    <w:div w:id="1583177032">
      <w:bodyDiv w:val="1"/>
      <w:marLeft w:val="0"/>
      <w:marRight w:val="0"/>
      <w:marTop w:val="0"/>
      <w:marBottom w:val="0"/>
      <w:divBdr>
        <w:top w:val="none" w:sz="0" w:space="0" w:color="auto"/>
        <w:left w:val="none" w:sz="0" w:space="0" w:color="auto"/>
        <w:bottom w:val="none" w:sz="0" w:space="0" w:color="auto"/>
        <w:right w:val="none" w:sz="0" w:space="0" w:color="auto"/>
      </w:divBdr>
    </w:div>
    <w:div w:id="1597209169">
      <w:bodyDiv w:val="1"/>
      <w:marLeft w:val="0"/>
      <w:marRight w:val="0"/>
      <w:marTop w:val="0"/>
      <w:marBottom w:val="0"/>
      <w:divBdr>
        <w:top w:val="none" w:sz="0" w:space="0" w:color="auto"/>
        <w:left w:val="none" w:sz="0" w:space="0" w:color="auto"/>
        <w:bottom w:val="none" w:sz="0" w:space="0" w:color="auto"/>
        <w:right w:val="none" w:sz="0" w:space="0" w:color="auto"/>
      </w:divBdr>
    </w:div>
    <w:div w:id="1597442327">
      <w:bodyDiv w:val="1"/>
      <w:marLeft w:val="0"/>
      <w:marRight w:val="0"/>
      <w:marTop w:val="0"/>
      <w:marBottom w:val="0"/>
      <w:divBdr>
        <w:top w:val="none" w:sz="0" w:space="0" w:color="auto"/>
        <w:left w:val="none" w:sz="0" w:space="0" w:color="auto"/>
        <w:bottom w:val="none" w:sz="0" w:space="0" w:color="auto"/>
        <w:right w:val="none" w:sz="0" w:space="0" w:color="auto"/>
      </w:divBdr>
    </w:div>
    <w:div w:id="1602569435">
      <w:bodyDiv w:val="1"/>
      <w:marLeft w:val="0"/>
      <w:marRight w:val="0"/>
      <w:marTop w:val="0"/>
      <w:marBottom w:val="0"/>
      <w:divBdr>
        <w:top w:val="none" w:sz="0" w:space="0" w:color="auto"/>
        <w:left w:val="none" w:sz="0" w:space="0" w:color="auto"/>
        <w:bottom w:val="none" w:sz="0" w:space="0" w:color="auto"/>
        <w:right w:val="none" w:sz="0" w:space="0" w:color="auto"/>
      </w:divBdr>
    </w:div>
    <w:div w:id="1603761322">
      <w:bodyDiv w:val="1"/>
      <w:marLeft w:val="0"/>
      <w:marRight w:val="0"/>
      <w:marTop w:val="0"/>
      <w:marBottom w:val="0"/>
      <w:divBdr>
        <w:top w:val="none" w:sz="0" w:space="0" w:color="auto"/>
        <w:left w:val="none" w:sz="0" w:space="0" w:color="auto"/>
        <w:bottom w:val="none" w:sz="0" w:space="0" w:color="auto"/>
        <w:right w:val="none" w:sz="0" w:space="0" w:color="auto"/>
      </w:divBdr>
    </w:div>
    <w:div w:id="1604336780">
      <w:bodyDiv w:val="1"/>
      <w:marLeft w:val="0"/>
      <w:marRight w:val="0"/>
      <w:marTop w:val="0"/>
      <w:marBottom w:val="0"/>
      <w:divBdr>
        <w:top w:val="none" w:sz="0" w:space="0" w:color="auto"/>
        <w:left w:val="none" w:sz="0" w:space="0" w:color="auto"/>
        <w:bottom w:val="none" w:sz="0" w:space="0" w:color="auto"/>
        <w:right w:val="none" w:sz="0" w:space="0" w:color="auto"/>
      </w:divBdr>
    </w:div>
    <w:div w:id="1610891863">
      <w:bodyDiv w:val="1"/>
      <w:marLeft w:val="0"/>
      <w:marRight w:val="0"/>
      <w:marTop w:val="0"/>
      <w:marBottom w:val="0"/>
      <w:divBdr>
        <w:top w:val="none" w:sz="0" w:space="0" w:color="auto"/>
        <w:left w:val="none" w:sz="0" w:space="0" w:color="auto"/>
        <w:bottom w:val="none" w:sz="0" w:space="0" w:color="auto"/>
        <w:right w:val="none" w:sz="0" w:space="0" w:color="auto"/>
      </w:divBdr>
    </w:div>
    <w:div w:id="1611551863">
      <w:bodyDiv w:val="1"/>
      <w:marLeft w:val="0"/>
      <w:marRight w:val="0"/>
      <w:marTop w:val="0"/>
      <w:marBottom w:val="0"/>
      <w:divBdr>
        <w:top w:val="none" w:sz="0" w:space="0" w:color="auto"/>
        <w:left w:val="none" w:sz="0" w:space="0" w:color="auto"/>
        <w:bottom w:val="none" w:sz="0" w:space="0" w:color="auto"/>
        <w:right w:val="none" w:sz="0" w:space="0" w:color="auto"/>
      </w:divBdr>
    </w:div>
    <w:div w:id="1615360999">
      <w:bodyDiv w:val="1"/>
      <w:marLeft w:val="0"/>
      <w:marRight w:val="0"/>
      <w:marTop w:val="0"/>
      <w:marBottom w:val="0"/>
      <w:divBdr>
        <w:top w:val="none" w:sz="0" w:space="0" w:color="auto"/>
        <w:left w:val="none" w:sz="0" w:space="0" w:color="auto"/>
        <w:bottom w:val="none" w:sz="0" w:space="0" w:color="auto"/>
        <w:right w:val="none" w:sz="0" w:space="0" w:color="auto"/>
      </w:divBdr>
    </w:div>
    <w:div w:id="1615945306">
      <w:bodyDiv w:val="1"/>
      <w:marLeft w:val="0"/>
      <w:marRight w:val="0"/>
      <w:marTop w:val="0"/>
      <w:marBottom w:val="0"/>
      <w:divBdr>
        <w:top w:val="none" w:sz="0" w:space="0" w:color="auto"/>
        <w:left w:val="none" w:sz="0" w:space="0" w:color="auto"/>
        <w:bottom w:val="none" w:sz="0" w:space="0" w:color="auto"/>
        <w:right w:val="none" w:sz="0" w:space="0" w:color="auto"/>
      </w:divBdr>
    </w:div>
    <w:div w:id="1616446322">
      <w:bodyDiv w:val="1"/>
      <w:marLeft w:val="0"/>
      <w:marRight w:val="0"/>
      <w:marTop w:val="0"/>
      <w:marBottom w:val="0"/>
      <w:divBdr>
        <w:top w:val="none" w:sz="0" w:space="0" w:color="auto"/>
        <w:left w:val="none" w:sz="0" w:space="0" w:color="auto"/>
        <w:bottom w:val="none" w:sz="0" w:space="0" w:color="auto"/>
        <w:right w:val="none" w:sz="0" w:space="0" w:color="auto"/>
      </w:divBdr>
    </w:div>
    <w:div w:id="1618102534">
      <w:bodyDiv w:val="1"/>
      <w:marLeft w:val="0"/>
      <w:marRight w:val="0"/>
      <w:marTop w:val="0"/>
      <w:marBottom w:val="0"/>
      <w:divBdr>
        <w:top w:val="none" w:sz="0" w:space="0" w:color="auto"/>
        <w:left w:val="none" w:sz="0" w:space="0" w:color="auto"/>
        <w:bottom w:val="none" w:sz="0" w:space="0" w:color="auto"/>
        <w:right w:val="none" w:sz="0" w:space="0" w:color="auto"/>
      </w:divBdr>
    </w:div>
    <w:div w:id="1618220615">
      <w:bodyDiv w:val="1"/>
      <w:marLeft w:val="0"/>
      <w:marRight w:val="0"/>
      <w:marTop w:val="0"/>
      <w:marBottom w:val="0"/>
      <w:divBdr>
        <w:top w:val="none" w:sz="0" w:space="0" w:color="auto"/>
        <w:left w:val="none" w:sz="0" w:space="0" w:color="auto"/>
        <w:bottom w:val="none" w:sz="0" w:space="0" w:color="auto"/>
        <w:right w:val="none" w:sz="0" w:space="0" w:color="auto"/>
      </w:divBdr>
    </w:div>
    <w:div w:id="1619337047">
      <w:bodyDiv w:val="1"/>
      <w:marLeft w:val="0"/>
      <w:marRight w:val="0"/>
      <w:marTop w:val="0"/>
      <w:marBottom w:val="0"/>
      <w:divBdr>
        <w:top w:val="none" w:sz="0" w:space="0" w:color="auto"/>
        <w:left w:val="none" w:sz="0" w:space="0" w:color="auto"/>
        <w:bottom w:val="none" w:sz="0" w:space="0" w:color="auto"/>
        <w:right w:val="none" w:sz="0" w:space="0" w:color="auto"/>
      </w:divBdr>
    </w:div>
    <w:div w:id="1620721732">
      <w:bodyDiv w:val="1"/>
      <w:marLeft w:val="0"/>
      <w:marRight w:val="0"/>
      <w:marTop w:val="0"/>
      <w:marBottom w:val="0"/>
      <w:divBdr>
        <w:top w:val="none" w:sz="0" w:space="0" w:color="auto"/>
        <w:left w:val="none" w:sz="0" w:space="0" w:color="auto"/>
        <w:bottom w:val="none" w:sz="0" w:space="0" w:color="auto"/>
        <w:right w:val="none" w:sz="0" w:space="0" w:color="auto"/>
      </w:divBdr>
    </w:div>
    <w:div w:id="1621719481">
      <w:bodyDiv w:val="1"/>
      <w:marLeft w:val="0"/>
      <w:marRight w:val="0"/>
      <w:marTop w:val="0"/>
      <w:marBottom w:val="0"/>
      <w:divBdr>
        <w:top w:val="none" w:sz="0" w:space="0" w:color="auto"/>
        <w:left w:val="none" w:sz="0" w:space="0" w:color="auto"/>
        <w:bottom w:val="none" w:sz="0" w:space="0" w:color="auto"/>
        <w:right w:val="none" w:sz="0" w:space="0" w:color="auto"/>
      </w:divBdr>
    </w:div>
    <w:div w:id="1621762097">
      <w:bodyDiv w:val="1"/>
      <w:marLeft w:val="0"/>
      <w:marRight w:val="0"/>
      <w:marTop w:val="0"/>
      <w:marBottom w:val="0"/>
      <w:divBdr>
        <w:top w:val="none" w:sz="0" w:space="0" w:color="auto"/>
        <w:left w:val="none" w:sz="0" w:space="0" w:color="auto"/>
        <w:bottom w:val="none" w:sz="0" w:space="0" w:color="auto"/>
        <w:right w:val="none" w:sz="0" w:space="0" w:color="auto"/>
      </w:divBdr>
    </w:div>
    <w:div w:id="1623075009">
      <w:bodyDiv w:val="1"/>
      <w:marLeft w:val="0"/>
      <w:marRight w:val="0"/>
      <w:marTop w:val="0"/>
      <w:marBottom w:val="0"/>
      <w:divBdr>
        <w:top w:val="none" w:sz="0" w:space="0" w:color="auto"/>
        <w:left w:val="none" w:sz="0" w:space="0" w:color="auto"/>
        <w:bottom w:val="none" w:sz="0" w:space="0" w:color="auto"/>
        <w:right w:val="none" w:sz="0" w:space="0" w:color="auto"/>
      </w:divBdr>
    </w:div>
    <w:div w:id="1624923011">
      <w:bodyDiv w:val="1"/>
      <w:marLeft w:val="0"/>
      <w:marRight w:val="0"/>
      <w:marTop w:val="0"/>
      <w:marBottom w:val="0"/>
      <w:divBdr>
        <w:top w:val="none" w:sz="0" w:space="0" w:color="auto"/>
        <w:left w:val="none" w:sz="0" w:space="0" w:color="auto"/>
        <w:bottom w:val="none" w:sz="0" w:space="0" w:color="auto"/>
        <w:right w:val="none" w:sz="0" w:space="0" w:color="auto"/>
      </w:divBdr>
    </w:div>
    <w:div w:id="162719468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0695172">
      <w:bodyDiv w:val="1"/>
      <w:marLeft w:val="0"/>
      <w:marRight w:val="0"/>
      <w:marTop w:val="0"/>
      <w:marBottom w:val="0"/>
      <w:divBdr>
        <w:top w:val="none" w:sz="0" w:space="0" w:color="auto"/>
        <w:left w:val="none" w:sz="0" w:space="0" w:color="auto"/>
        <w:bottom w:val="none" w:sz="0" w:space="0" w:color="auto"/>
        <w:right w:val="none" w:sz="0" w:space="0" w:color="auto"/>
      </w:divBdr>
    </w:div>
    <w:div w:id="1644458439">
      <w:bodyDiv w:val="1"/>
      <w:marLeft w:val="0"/>
      <w:marRight w:val="0"/>
      <w:marTop w:val="0"/>
      <w:marBottom w:val="0"/>
      <w:divBdr>
        <w:top w:val="none" w:sz="0" w:space="0" w:color="auto"/>
        <w:left w:val="none" w:sz="0" w:space="0" w:color="auto"/>
        <w:bottom w:val="none" w:sz="0" w:space="0" w:color="auto"/>
        <w:right w:val="none" w:sz="0" w:space="0" w:color="auto"/>
      </w:divBdr>
    </w:div>
    <w:div w:id="1646399734">
      <w:bodyDiv w:val="1"/>
      <w:marLeft w:val="0"/>
      <w:marRight w:val="0"/>
      <w:marTop w:val="0"/>
      <w:marBottom w:val="0"/>
      <w:divBdr>
        <w:top w:val="none" w:sz="0" w:space="0" w:color="auto"/>
        <w:left w:val="none" w:sz="0" w:space="0" w:color="auto"/>
        <w:bottom w:val="none" w:sz="0" w:space="0" w:color="auto"/>
        <w:right w:val="none" w:sz="0" w:space="0" w:color="auto"/>
      </w:divBdr>
    </w:div>
    <w:div w:id="1651328808">
      <w:bodyDiv w:val="1"/>
      <w:marLeft w:val="0"/>
      <w:marRight w:val="0"/>
      <w:marTop w:val="0"/>
      <w:marBottom w:val="0"/>
      <w:divBdr>
        <w:top w:val="none" w:sz="0" w:space="0" w:color="auto"/>
        <w:left w:val="none" w:sz="0" w:space="0" w:color="auto"/>
        <w:bottom w:val="none" w:sz="0" w:space="0" w:color="auto"/>
        <w:right w:val="none" w:sz="0" w:space="0" w:color="auto"/>
      </w:divBdr>
    </w:div>
    <w:div w:id="1652490371">
      <w:bodyDiv w:val="1"/>
      <w:marLeft w:val="0"/>
      <w:marRight w:val="0"/>
      <w:marTop w:val="0"/>
      <w:marBottom w:val="0"/>
      <w:divBdr>
        <w:top w:val="none" w:sz="0" w:space="0" w:color="auto"/>
        <w:left w:val="none" w:sz="0" w:space="0" w:color="auto"/>
        <w:bottom w:val="none" w:sz="0" w:space="0" w:color="auto"/>
        <w:right w:val="none" w:sz="0" w:space="0" w:color="auto"/>
      </w:divBdr>
    </w:div>
    <w:div w:id="1655987167">
      <w:bodyDiv w:val="1"/>
      <w:marLeft w:val="0"/>
      <w:marRight w:val="0"/>
      <w:marTop w:val="0"/>
      <w:marBottom w:val="0"/>
      <w:divBdr>
        <w:top w:val="none" w:sz="0" w:space="0" w:color="auto"/>
        <w:left w:val="none" w:sz="0" w:space="0" w:color="auto"/>
        <w:bottom w:val="none" w:sz="0" w:space="0" w:color="auto"/>
        <w:right w:val="none" w:sz="0" w:space="0" w:color="auto"/>
      </w:divBdr>
    </w:div>
    <w:div w:id="1666543629">
      <w:bodyDiv w:val="1"/>
      <w:marLeft w:val="0"/>
      <w:marRight w:val="0"/>
      <w:marTop w:val="0"/>
      <w:marBottom w:val="0"/>
      <w:divBdr>
        <w:top w:val="none" w:sz="0" w:space="0" w:color="auto"/>
        <w:left w:val="none" w:sz="0" w:space="0" w:color="auto"/>
        <w:bottom w:val="none" w:sz="0" w:space="0" w:color="auto"/>
        <w:right w:val="none" w:sz="0" w:space="0" w:color="auto"/>
      </w:divBdr>
    </w:div>
    <w:div w:id="1671561896">
      <w:bodyDiv w:val="1"/>
      <w:marLeft w:val="0"/>
      <w:marRight w:val="0"/>
      <w:marTop w:val="0"/>
      <w:marBottom w:val="0"/>
      <w:divBdr>
        <w:top w:val="none" w:sz="0" w:space="0" w:color="auto"/>
        <w:left w:val="none" w:sz="0" w:space="0" w:color="auto"/>
        <w:bottom w:val="none" w:sz="0" w:space="0" w:color="auto"/>
        <w:right w:val="none" w:sz="0" w:space="0" w:color="auto"/>
      </w:divBdr>
    </w:div>
    <w:div w:id="1675378681">
      <w:bodyDiv w:val="1"/>
      <w:marLeft w:val="0"/>
      <w:marRight w:val="0"/>
      <w:marTop w:val="0"/>
      <w:marBottom w:val="0"/>
      <w:divBdr>
        <w:top w:val="none" w:sz="0" w:space="0" w:color="auto"/>
        <w:left w:val="none" w:sz="0" w:space="0" w:color="auto"/>
        <w:bottom w:val="none" w:sz="0" w:space="0" w:color="auto"/>
        <w:right w:val="none" w:sz="0" w:space="0" w:color="auto"/>
      </w:divBdr>
    </w:div>
    <w:div w:id="1676686259">
      <w:bodyDiv w:val="1"/>
      <w:marLeft w:val="0"/>
      <w:marRight w:val="0"/>
      <w:marTop w:val="0"/>
      <w:marBottom w:val="0"/>
      <w:divBdr>
        <w:top w:val="none" w:sz="0" w:space="0" w:color="auto"/>
        <w:left w:val="none" w:sz="0" w:space="0" w:color="auto"/>
        <w:bottom w:val="none" w:sz="0" w:space="0" w:color="auto"/>
        <w:right w:val="none" w:sz="0" w:space="0" w:color="auto"/>
      </w:divBdr>
    </w:div>
    <w:div w:id="1677537950">
      <w:bodyDiv w:val="1"/>
      <w:marLeft w:val="0"/>
      <w:marRight w:val="0"/>
      <w:marTop w:val="0"/>
      <w:marBottom w:val="0"/>
      <w:divBdr>
        <w:top w:val="none" w:sz="0" w:space="0" w:color="auto"/>
        <w:left w:val="none" w:sz="0" w:space="0" w:color="auto"/>
        <w:bottom w:val="none" w:sz="0" w:space="0" w:color="auto"/>
        <w:right w:val="none" w:sz="0" w:space="0" w:color="auto"/>
      </w:divBdr>
    </w:div>
    <w:div w:id="1678146125">
      <w:bodyDiv w:val="1"/>
      <w:marLeft w:val="0"/>
      <w:marRight w:val="0"/>
      <w:marTop w:val="0"/>
      <w:marBottom w:val="0"/>
      <w:divBdr>
        <w:top w:val="none" w:sz="0" w:space="0" w:color="auto"/>
        <w:left w:val="none" w:sz="0" w:space="0" w:color="auto"/>
        <w:bottom w:val="none" w:sz="0" w:space="0" w:color="auto"/>
        <w:right w:val="none" w:sz="0" w:space="0" w:color="auto"/>
      </w:divBdr>
    </w:div>
    <w:div w:id="1681811200">
      <w:bodyDiv w:val="1"/>
      <w:marLeft w:val="0"/>
      <w:marRight w:val="0"/>
      <w:marTop w:val="0"/>
      <w:marBottom w:val="0"/>
      <w:divBdr>
        <w:top w:val="none" w:sz="0" w:space="0" w:color="auto"/>
        <w:left w:val="none" w:sz="0" w:space="0" w:color="auto"/>
        <w:bottom w:val="none" w:sz="0" w:space="0" w:color="auto"/>
        <w:right w:val="none" w:sz="0" w:space="0" w:color="auto"/>
      </w:divBdr>
    </w:div>
    <w:div w:id="1683388890">
      <w:bodyDiv w:val="1"/>
      <w:marLeft w:val="0"/>
      <w:marRight w:val="0"/>
      <w:marTop w:val="0"/>
      <w:marBottom w:val="0"/>
      <w:divBdr>
        <w:top w:val="none" w:sz="0" w:space="0" w:color="auto"/>
        <w:left w:val="none" w:sz="0" w:space="0" w:color="auto"/>
        <w:bottom w:val="none" w:sz="0" w:space="0" w:color="auto"/>
        <w:right w:val="none" w:sz="0" w:space="0" w:color="auto"/>
      </w:divBdr>
    </w:div>
    <w:div w:id="1683892244">
      <w:bodyDiv w:val="1"/>
      <w:marLeft w:val="0"/>
      <w:marRight w:val="0"/>
      <w:marTop w:val="0"/>
      <w:marBottom w:val="0"/>
      <w:divBdr>
        <w:top w:val="none" w:sz="0" w:space="0" w:color="auto"/>
        <w:left w:val="none" w:sz="0" w:space="0" w:color="auto"/>
        <w:bottom w:val="none" w:sz="0" w:space="0" w:color="auto"/>
        <w:right w:val="none" w:sz="0" w:space="0" w:color="auto"/>
      </w:divBdr>
    </w:div>
    <w:div w:id="1684745523">
      <w:bodyDiv w:val="1"/>
      <w:marLeft w:val="0"/>
      <w:marRight w:val="0"/>
      <w:marTop w:val="0"/>
      <w:marBottom w:val="0"/>
      <w:divBdr>
        <w:top w:val="none" w:sz="0" w:space="0" w:color="auto"/>
        <w:left w:val="none" w:sz="0" w:space="0" w:color="auto"/>
        <w:bottom w:val="none" w:sz="0" w:space="0" w:color="auto"/>
        <w:right w:val="none" w:sz="0" w:space="0" w:color="auto"/>
      </w:divBdr>
    </w:div>
    <w:div w:id="1685084449">
      <w:bodyDiv w:val="1"/>
      <w:marLeft w:val="0"/>
      <w:marRight w:val="0"/>
      <w:marTop w:val="0"/>
      <w:marBottom w:val="0"/>
      <w:divBdr>
        <w:top w:val="none" w:sz="0" w:space="0" w:color="auto"/>
        <w:left w:val="none" w:sz="0" w:space="0" w:color="auto"/>
        <w:bottom w:val="none" w:sz="0" w:space="0" w:color="auto"/>
        <w:right w:val="none" w:sz="0" w:space="0" w:color="auto"/>
      </w:divBdr>
    </w:div>
    <w:div w:id="1689941373">
      <w:bodyDiv w:val="1"/>
      <w:marLeft w:val="0"/>
      <w:marRight w:val="0"/>
      <w:marTop w:val="0"/>
      <w:marBottom w:val="0"/>
      <w:divBdr>
        <w:top w:val="none" w:sz="0" w:space="0" w:color="auto"/>
        <w:left w:val="none" w:sz="0" w:space="0" w:color="auto"/>
        <w:bottom w:val="none" w:sz="0" w:space="0" w:color="auto"/>
        <w:right w:val="none" w:sz="0" w:space="0" w:color="auto"/>
      </w:divBdr>
    </w:div>
    <w:div w:id="1691369989">
      <w:bodyDiv w:val="1"/>
      <w:marLeft w:val="0"/>
      <w:marRight w:val="0"/>
      <w:marTop w:val="0"/>
      <w:marBottom w:val="0"/>
      <w:divBdr>
        <w:top w:val="none" w:sz="0" w:space="0" w:color="auto"/>
        <w:left w:val="none" w:sz="0" w:space="0" w:color="auto"/>
        <w:bottom w:val="none" w:sz="0" w:space="0" w:color="auto"/>
        <w:right w:val="none" w:sz="0" w:space="0" w:color="auto"/>
      </w:divBdr>
    </w:div>
    <w:div w:id="1702900464">
      <w:bodyDiv w:val="1"/>
      <w:marLeft w:val="0"/>
      <w:marRight w:val="0"/>
      <w:marTop w:val="0"/>
      <w:marBottom w:val="0"/>
      <w:divBdr>
        <w:top w:val="none" w:sz="0" w:space="0" w:color="auto"/>
        <w:left w:val="none" w:sz="0" w:space="0" w:color="auto"/>
        <w:bottom w:val="none" w:sz="0" w:space="0" w:color="auto"/>
        <w:right w:val="none" w:sz="0" w:space="0" w:color="auto"/>
      </w:divBdr>
    </w:div>
    <w:div w:id="1708068731">
      <w:bodyDiv w:val="1"/>
      <w:marLeft w:val="0"/>
      <w:marRight w:val="0"/>
      <w:marTop w:val="0"/>
      <w:marBottom w:val="0"/>
      <w:divBdr>
        <w:top w:val="none" w:sz="0" w:space="0" w:color="auto"/>
        <w:left w:val="none" w:sz="0" w:space="0" w:color="auto"/>
        <w:bottom w:val="none" w:sz="0" w:space="0" w:color="auto"/>
        <w:right w:val="none" w:sz="0" w:space="0" w:color="auto"/>
      </w:divBdr>
    </w:div>
    <w:div w:id="1721241866">
      <w:bodyDiv w:val="1"/>
      <w:marLeft w:val="0"/>
      <w:marRight w:val="0"/>
      <w:marTop w:val="0"/>
      <w:marBottom w:val="0"/>
      <w:divBdr>
        <w:top w:val="none" w:sz="0" w:space="0" w:color="auto"/>
        <w:left w:val="none" w:sz="0" w:space="0" w:color="auto"/>
        <w:bottom w:val="none" w:sz="0" w:space="0" w:color="auto"/>
        <w:right w:val="none" w:sz="0" w:space="0" w:color="auto"/>
      </w:divBdr>
    </w:div>
    <w:div w:id="1722052732">
      <w:bodyDiv w:val="1"/>
      <w:marLeft w:val="0"/>
      <w:marRight w:val="0"/>
      <w:marTop w:val="0"/>
      <w:marBottom w:val="0"/>
      <w:divBdr>
        <w:top w:val="none" w:sz="0" w:space="0" w:color="auto"/>
        <w:left w:val="none" w:sz="0" w:space="0" w:color="auto"/>
        <w:bottom w:val="none" w:sz="0" w:space="0" w:color="auto"/>
        <w:right w:val="none" w:sz="0" w:space="0" w:color="auto"/>
      </w:divBdr>
    </w:div>
    <w:div w:id="1725788010">
      <w:bodyDiv w:val="1"/>
      <w:marLeft w:val="0"/>
      <w:marRight w:val="0"/>
      <w:marTop w:val="0"/>
      <w:marBottom w:val="0"/>
      <w:divBdr>
        <w:top w:val="none" w:sz="0" w:space="0" w:color="auto"/>
        <w:left w:val="none" w:sz="0" w:space="0" w:color="auto"/>
        <w:bottom w:val="none" w:sz="0" w:space="0" w:color="auto"/>
        <w:right w:val="none" w:sz="0" w:space="0" w:color="auto"/>
      </w:divBdr>
    </w:div>
    <w:div w:id="1728407548">
      <w:bodyDiv w:val="1"/>
      <w:marLeft w:val="0"/>
      <w:marRight w:val="0"/>
      <w:marTop w:val="0"/>
      <w:marBottom w:val="0"/>
      <w:divBdr>
        <w:top w:val="none" w:sz="0" w:space="0" w:color="auto"/>
        <w:left w:val="none" w:sz="0" w:space="0" w:color="auto"/>
        <w:bottom w:val="none" w:sz="0" w:space="0" w:color="auto"/>
        <w:right w:val="none" w:sz="0" w:space="0" w:color="auto"/>
      </w:divBdr>
    </w:div>
    <w:div w:id="1729569209">
      <w:bodyDiv w:val="1"/>
      <w:marLeft w:val="0"/>
      <w:marRight w:val="0"/>
      <w:marTop w:val="0"/>
      <w:marBottom w:val="0"/>
      <w:divBdr>
        <w:top w:val="none" w:sz="0" w:space="0" w:color="auto"/>
        <w:left w:val="none" w:sz="0" w:space="0" w:color="auto"/>
        <w:bottom w:val="none" w:sz="0" w:space="0" w:color="auto"/>
        <w:right w:val="none" w:sz="0" w:space="0" w:color="auto"/>
      </w:divBdr>
    </w:div>
    <w:div w:id="1729915040">
      <w:bodyDiv w:val="1"/>
      <w:marLeft w:val="0"/>
      <w:marRight w:val="0"/>
      <w:marTop w:val="0"/>
      <w:marBottom w:val="0"/>
      <w:divBdr>
        <w:top w:val="none" w:sz="0" w:space="0" w:color="auto"/>
        <w:left w:val="none" w:sz="0" w:space="0" w:color="auto"/>
        <w:bottom w:val="none" w:sz="0" w:space="0" w:color="auto"/>
        <w:right w:val="none" w:sz="0" w:space="0" w:color="auto"/>
      </w:divBdr>
    </w:div>
    <w:div w:id="1732727930">
      <w:bodyDiv w:val="1"/>
      <w:marLeft w:val="0"/>
      <w:marRight w:val="0"/>
      <w:marTop w:val="0"/>
      <w:marBottom w:val="0"/>
      <w:divBdr>
        <w:top w:val="none" w:sz="0" w:space="0" w:color="auto"/>
        <w:left w:val="none" w:sz="0" w:space="0" w:color="auto"/>
        <w:bottom w:val="none" w:sz="0" w:space="0" w:color="auto"/>
        <w:right w:val="none" w:sz="0" w:space="0" w:color="auto"/>
      </w:divBdr>
    </w:div>
    <w:div w:id="1734231810">
      <w:bodyDiv w:val="1"/>
      <w:marLeft w:val="0"/>
      <w:marRight w:val="0"/>
      <w:marTop w:val="0"/>
      <w:marBottom w:val="0"/>
      <w:divBdr>
        <w:top w:val="none" w:sz="0" w:space="0" w:color="auto"/>
        <w:left w:val="none" w:sz="0" w:space="0" w:color="auto"/>
        <w:bottom w:val="none" w:sz="0" w:space="0" w:color="auto"/>
        <w:right w:val="none" w:sz="0" w:space="0" w:color="auto"/>
      </w:divBdr>
    </w:div>
    <w:div w:id="1734767360">
      <w:bodyDiv w:val="1"/>
      <w:marLeft w:val="0"/>
      <w:marRight w:val="0"/>
      <w:marTop w:val="0"/>
      <w:marBottom w:val="0"/>
      <w:divBdr>
        <w:top w:val="none" w:sz="0" w:space="0" w:color="auto"/>
        <w:left w:val="none" w:sz="0" w:space="0" w:color="auto"/>
        <w:bottom w:val="none" w:sz="0" w:space="0" w:color="auto"/>
        <w:right w:val="none" w:sz="0" w:space="0" w:color="auto"/>
      </w:divBdr>
    </w:div>
    <w:div w:id="1734814896">
      <w:bodyDiv w:val="1"/>
      <w:marLeft w:val="0"/>
      <w:marRight w:val="0"/>
      <w:marTop w:val="0"/>
      <w:marBottom w:val="0"/>
      <w:divBdr>
        <w:top w:val="none" w:sz="0" w:space="0" w:color="auto"/>
        <w:left w:val="none" w:sz="0" w:space="0" w:color="auto"/>
        <w:bottom w:val="none" w:sz="0" w:space="0" w:color="auto"/>
        <w:right w:val="none" w:sz="0" w:space="0" w:color="auto"/>
      </w:divBdr>
    </w:div>
    <w:div w:id="1735617490">
      <w:bodyDiv w:val="1"/>
      <w:marLeft w:val="0"/>
      <w:marRight w:val="0"/>
      <w:marTop w:val="0"/>
      <w:marBottom w:val="0"/>
      <w:divBdr>
        <w:top w:val="none" w:sz="0" w:space="0" w:color="auto"/>
        <w:left w:val="none" w:sz="0" w:space="0" w:color="auto"/>
        <w:bottom w:val="none" w:sz="0" w:space="0" w:color="auto"/>
        <w:right w:val="none" w:sz="0" w:space="0" w:color="auto"/>
      </w:divBdr>
    </w:div>
    <w:div w:id="1738015034">
      <w:bodyDiv w:val="1"/>
      <w:marLeft w:val="0"/>
      <w:marRight w:val="0"/>
      <w:marTop w:val="0"/>
      <w:marBottom w:val="0"/>
      <w:divBdr>
        <w:top w:val="none" w:sz="0" w:space="0" w:color="auto"/>
        <w:left w:val="none" w:sz="0" w:space="0" w:color="auto"/>
        <w:bottom w:val="none" w:sz="0" w:space="0" w:color="auto"/>
        <w:right w:val="none" w:sz="0" w:space="0" w:color="auto"/>
      </w:divBdr>
    </w:div>
    <w:div w:id="1740128106">
      <w:bodyDiv w:val="1"/>
      <w:marLeft w:val="0"/>
      <w:marRight w:val="0"/>
      <w:marTop w:val="0"/>
      <w:marBottom w:val="0"/>
      <w:divBdr>
        <w:top w:val="none" w:sz="0" w:space="0" w:color="auto"/>
        <w:left w:val="none" w:sz="0" w:space="0" w:color="auto"/>
        <w:bottom w:val="none" w:sz="0" w:space="0" w:color="auto"/>
        <w:right w:val="none" w:sz="0" w:space="0" w:color="auto"/>
      </w:divBdr>
    </w:div>
    <w:div w:id="1745451308">
      <w:bodyDiv w:val="1"/>
      <w:marLeft w:val="0"/>
      <w:marRight w:val="0"/>
      <w:marTop w:val="0"/>
      <w:marBottom w:val="0"/>
      <w:divBdr>
        <w:top w:val="none" w:sz="0" w:space="0" w:color="auto"/>
        <w:left w:val="none" w:sz="0" w:space="0" w:color="auto"/>
        <w:bottom w:val="none" w:sz="0" w:space="0" w:color="auto"/>
        <w:right w:val="none" w:sz="0" w:space="0" w:color="auto"/>
      </w:divBdr>
    </w:div>
    <w:div w:id="1750225219">
      <w:bodyDiv w:val="1"/>
      <w:marLeft w:val="0"/>
      <w:marRight w:val="0"/>
      <w:marTop w:val="0"/>
      <w:marBottom w:val="0"/>
      <w:divBdr>
        <w:top w:val="none" w:sz="0" w:space="0" w:color="auto"/>
        <w:left w:val="none" w:sz="0" w:space="0" w:color="auto"/>
        <w:bottom w:val="none" w:sz="0" w:space="0" w:color="auto"/>
        <w:right w:val="none" w:sz="0" w:space="0" w:color="auto"/>
      </w:divBdr>
    </w:div>
    <w:div w:id="1752316064">
      <w:bodyDiv w:val="1"/>
      <w:marLeft w:val="0"/>
      <w:marRight w:val="0"/>
      <w:marTop w:val="0"/>
      <w:marBottom w:val="0"/>
      <w:divBdr>
        <w:top w:val="none" w:sz="0" w:space="0" w:color="auto"/>
        <w:left w:val="none" w:sz="0" w:space="0" w:color="auto"/>
        <w:bottom w:val="none" w:sz="0" w:space="0" w:color="auto"/>
        <w:right w:val="none" w:sz="0" w:space="0" w:color="auto"/>
      </w:divBdr>
    </w:div>
    <w:div w:id="1752578379">
      <w:bodyDiv w:val="1"/>
      <w:marLeft w:val="0"/>
      <w:marRight w:val="0"/>
      <w:marTop w:val="0"/>
      <w:marBottom w:val="0"/>
      <w:divBdr>
        <w:top w:val="none" w:sz="0" w:space="0" w:color="auto"/>
        <w:left w:val="none" w:sz="0" w:space="0" w:color="auto"/>
        <w:bottom w:val="none" w:sz="0" w:space="0" w:color="auto"/>
        <w:right w:val="none" w:sz="0" w:space="0" w:color="auto"/>
      </w:divBdr>
    </w:div>
    <w:div w:id="1753701313">
      <w:bodyDiv w:val="1"/>
      <w:marLeft w:val="0"/>
      <w:marRight w:val="0"/>
      <w:marTop w:val="0"/>
      <w:marBottom w:val="0"/>
      <w:divBdr>
        <w:top w:val="none" w:sz="0" w:space="0" w:color="auto"/>
        <w:left w:val="none" w:sz="0" w:space="0" w:color="auto"/>
        <w:bottom w:val="none" w:sz="0" w:space="0" w:color="auto"/>
        <w:right w:val="none" w:sz="0" w:space="0" w:color="auto"/>
      </w:divBdr>
    </w:div>
    <w:div w:id="1754470528">
      <w:bodyDiv w:val="1"/>
      <w:marLeft w:val="0"/>
      <w:marRight w:val="0"/>
      <w:marTop w:val="0"/>
      <w:marBottom w:val="0"/>
      <w:divBdr>
        <w:top w:val="none" w:sz="0" w:space="0" w:color="auto"/>
        <w:left w:val="none" w:sz="0" w:space="0" w:color="auto"/>
        <w:bottom w:val="none" w:sz="0" w:space="0" w:color="auto"/>
        <w:right w:val="none" w:sz="0" w:space="0" w:color="auto"/>
      </w:divBdr>
    </w:div>
    <w:div w:id="1759327339">
      <w:bodyDiv w:val="1"/>
      <w:marLeft w:val="0"/>
      <w:marRight w:val="0"/>
      <w:marTop w:val="0"/>
      <w:marBottom w:val="0"/>
      <w:divBdr>
        <w:top w:val="none" w:sz="0" w:space="0" w:color="auto"/>
        <w:left w:val="none" w:sz="0" w:space="0" w:color="auto"/>
        <w:bottom w:val="none" w:sz="0" w:space="0" w:color="auto"/>
        <w:right w:val="none" w:sz="0" w:space="0" w:color="auto"/>
      </w:divBdr>
    </w:div>
    <w:div w:id="1762487472">
      <w:bodyDiv w:val="1"/>
      <w:marLeft w:val="0"/>
      <w:marRight w:val="0"/>
      <w:marTop w:val="0"/>
      <w:marBottom w:val="0"/>
      <w:divBdr>
        <w:top w:val="none" w:sz="0" w:space="0" w:color="auto"/>
        <w:left w:val="none" w:sz="0" w:space="0" w:color="auto"/>
        <w:bottom w:val="none" w:sz="0" w:space="0" w:color="auto"/>
        <w:right w:val="none" w:sz="0" w:space="0" w:color="auto"/>
      </w:divBdr>
    </w:div>
    <w:div w:id="1763531951">
      <w:bodyDiv w:val="1"/>
      <w:marLeft w:val="0"/>
      <w:marRight w:val="0"/>
      <w:marTop w:val="0"/>
      <w:marBottom w:val="0"/>
      <w:divBdr>
        <w:top w:val="none" w:sz="0" w:space="0" w:color="auto"/>
        <w:left w:val="none" w:sz="0" w:space="0" w:color="auto"/>
        <w:bottom w:val="none" w:sz="0" w:space="0" w:color="auto"/>
        <w:right w:val="none" w:sz="0" w:space="0" w:color="auto"/>
      </w:divBdr>
    </w:div>
    <w:div w:id="1763724138">
      <w:bodyDiv w:val="1"/>
      <w:marLeft w:val="0"/>
      <w:marRight w:val="0"/>
      <w:marTop w:val="0"/>
      <w:marBottom w:val="0"/>
      <w:divBdr>
        <w:top w:val="none" w:sz="0" w:space="0" w:color="auto"/>
        <w:left w:val="none" w:sz="0" w:space="0" w:color="auto"/>
        <w:bottom w:val="none" w:sz="0" w:space="0" w:color="auto"/>
        <w:right w:val="none" w:sz="0" w:space="0" w:color="auto"/>
      </w:divBdr>
    </w:div>
    <w:div w:id="1771007385">
      <w:bodyDiv w:val="1"/>
      <w:marLeft w:val="0"/>
      <w:marRight w:val="0"/>
      <w:marTop w:val="0"/>
      <w:marBottom w:val="0"/>
      <w:divBdr>
        <w:top w:val="none" w:sz="0" w:space="0" w:color="auto"/>
        <w:left w:val="none" w:sz="0" w:space="0" w:color="auto"/>
        <w:bottom w:val="none" w:sz="0" w:space="0" w:color="auto"/>
        <w:right w:val="none" w:sz="0" w:space="0" w:color="auto"/>
      </w:divBdr>
    </w:div>
    <w:div w:id="1778983756">
      <w:bodyDiv w:val="1"/>
      <w:marLeft w:val="0"/>
      <w:marRight w:val="0"/>
      <w:marTop w:val="0"/>
      <w:marBottom w:val="0"/>
      <w:divBdr>
        <w:top w:val="none" w:sz="0" w:space="0" w:color="auto"/>
        <w:left w:val="none" w:sz="0" w:space="0" w:color="auto"/>
        <w:bottom w:val="none" w:sz="0" w:space="0" w:color="auto"/>
        <w:right w:val="none" w:sz="0" w:space="0" w:color="auto"/>
      </w:divBdr>
    </w:div>
    <w:div w:id="1781414798">
      <w:bodyDiv w:val="1"/>
      <w:marLeft w:val="0"/>
      <w:marRight w:val="0"/>
      <w:marTop w:val="0"/>
      <w:marBottom w:val="0"/>
      <w:divBdr>
        <w:top w:val="none" w:sz="0" w:space="0" w:color="auto"/>
        <w:left w:val="none" w:sz="0" w:space="0" w:color="auto"/>
        <w:bottom w:val="none" w:sz="0" w:space="0" w:color="auto"/>
        <w:right w:val="none" w:sz="0" w:space="0" w:color="auto"/>
      </w:divBdr>
    </w:div>
    <w:div w:id="1782990140">
      <w:bodyDiv w:val="1"/>
      <w:marLeft w:val="0"/>
      <w:marRight w:val="0"/>
      <w:marTop w:val="0"/>
      <w:marBottom w:val="0"/>
      <w:divBdr>
        <w:top w:val="none" w:sz="0" w:space="0" w:color="auto"/>
        <w:left w:val="none" w:sz="0" w:space="0" w:color="auto"/>
        <w:bottom w:val="none" w:sz="0" w:space="0" w:color="auto"/>
        <w:right w:val="none" w:sz="0" w:space="0" w:color="auto"/>
      </w:divBdr>
    </w:div>
    <w:div w:id="1790272178">
      <w:bodyDiv w:val="1"/>
      <w:marLeft w:val="0"/>
      <w:marRight w:val="0"/>
      <w:marTop w:val="0"/>
      <w:marBottom w:val="0"/>
      <w:divBdr>
        <w:top w:val="none" w:sz="0" w:space="0" w:color="auto"/>
        <w:left w:val="none" w:sz="0" w:space="0" w:color="auto"/>
        <w:bottom w:val="none" w:sz="0" w:space="0" w:color="auto"/>
        <w:right w:val="none" w:sz="0" w:space="0" w:color="auto"/>
      </w:divBdr>
    </w:div>
    <w:div w:id="1791633384">
      <w:bodyDiv w:val="1"/>
      <w:marLeft w:val="0"/>
      <w:marRight w:val="0"/>
      <w:marTop w:val="0"/>
      <w:marBottom w:val="0"/>
      <w:divBdr>
        <w:top w:val="none" w:sz="0" w:space="0" w:color="auto"/>
        <w:left w:val="none" w:sz="0" w:space="0" w:color="auto"/>
        <w:bottom w:val="none" w:sz="0" w:space="0" w:color="auto"/>
        <w:right w:val="none" w:sz="0" w:space="0" w:color="auto"/>
      </w:divBdr>
    </w:div>
    <w:div w:id="1794669033">
      <w:bodyDiv w:val="1"/>
      <w:marLeft w:val="0"/>
      <w:marRight w:val="0"/>
      <w:marTop w:val="0"/>
      <w:marBottom w:val="0"/>
      <w:divBdr>
        <w:top w:val="none" w:sz="0" w:space="0" w:color="auto"/>
        <w:left w:val="none" w:sz="0" w:space="0" w:color="auto"/>
        <w:bottom w:val="none" w:sz="0" w:space="0" w:color="auto"/>
        <w:right w:val="none" w:sz="0" w:space="0" w:color="auto"/>
      </w:divBdr>
    </w:div>
    <w:div w:id="1798451988">
      <w:bodyDiv w:val="1"/>
      <w:marLeft w:val="0"/>
      <w:marRight w:val="0"/>
      <w:marTop w:val="0"/>
      <w:marBottom w:val="0"/>
      <w:divBdr>
        <w:top w:val="none" w:sz="0" w:space="0" w:color="auto"/>
        <w:left w:val="none" w:sz="0" w:space="0" w:color="auto"/>
        <w:bottom w:val="none" w:sz="0" w:space="0" w:color="auto"/>
        <w:right w:val="none" w:sz="0" w:space="0" w:color="auto"/>
      </w:divBdr>
    </w:div>
    <w:div w:id="180291587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844842">
      <w:bodyDiv w:val="1"/>
      <w:marLeft w:val="0"/>
      <w:marRight w:val="0"/>
      <w:marTop w:val="0"/>
      <w:marBottom w:val="0"/>
      <w:divBdr>
        <w:top w:val="none" w:sz="0" w:space="0" w:color="auto"/>
        <w:left w:val="none" w:sz="0" w:space="0" w:color="auto"/>
        <w:bottom w:val="none" w:sz="0" w:space="0" w:color="auto"/>
        <w:right w:val="none" w:sz="0" w:space="0" w:color="auto"/>
      </w:divBdr>
    </w:div>
    <w:div w:id="1818960519">
      <w:bodyDiv w:val="1"/>
      <w:marLeft w:val="0"/>
      <w:marRight w:val="0"/>
      <w:marTop w:val="0"/>
      <w:marBottom w:val="0"/>
      <w:divBdr>
        <w:top w:val="none" w:sz="0" w:space="0" w:color="auto"/>
        <w:left w:val="none" w:sz="0" w:space="0" w:color="auto"/>
        <w:bottom w:val="none" w:sz="0" w:space="0" w:color="auto"/>
        <w:right w:val="none" w:sz="0" w:space="0" w:color="auto"/>
      </w:divBdr>
    </w:div>
    <w:div w:id="1819567574">
      <w:bodyDiv w:val="1"/>
      <w:marLeft w:val="0"/>
      <w:marRight w:val="0"/>
      <w:marTop w:val="0"/>
      <w:marBottom w:val="0"/>
      <w:divBdr>
        <w:top w:val="none" w:sz="0" w:space="0" w:color="auto"/>
        <w:left w:val="none" w:sz="0" w:space="0" w:color="auto"/>
        <w:bottom w:val="none" w:sz="0" w:space="0" w:color="auto"/>
        <w:right w:val="none" w:sz="0" w:space="0" w:color="auto"/>
      </w:divBdr>
    </w:div>
    <w:div w:id="182111807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96301">
      <w:bodyDiv w:val="1"/>
      <w:marLeft w:val="0"/>
      <w:marRight w:val="0"/>
      <w:marTop w:val="0"/>
      <w:marBottom w:val="0"/>
      <w:divBdr>
        <w:top w:val="none" w:sz="0" w:space="0" w:color="auto"/>
        <w:left w:val="none" w:sz="0" w:space="0" w:color="auto"/>
        <w:bottom w:val="none" w:sz="0" w:space="0" w:color="auto"/>
        <w:right w:val="none" w:sz="0" w:space="0" w:color="auto"/>
      </w:divBdr>
    </w:div>
    <w:div w:id="1824463106">
      <w:bodyDiv w:val="1"/>
      <w:marLeft w:val="0"/>
      <w:marRight w:val="0"/>
      <w:marTop w:val="0"/>
      <w:marBottom w:val="0"/>
      <w:divBdr>
        <w:top w:val="none" w:sz="0" w:space="0" w:color="auto"/>
        <w:left w:val="none" w:sz="0" w:space="0" w:color="auto"/>
        <w:bottom w:val="none" w:sz="0" w:space="0" w:color="auto"/>
        <w:right w:val="none" w:sz="0" w:space="0" w:color="auto"/>
      </w:divBdr>
    </w:div>
    <w:div w:id="1826972865">
      <w:bodyDiv w:val="1"/>
      <w:marLeft w:val="0"/>
      <w:marRight w:val="0"/>
      <w:marTop w:val="0"/>
      <w:marBottom w:val="0"/>
      <w:divBdr>
        <w:top w:val="none" w:sz="0" w:space="0" w:color="auto"/>
        <w:left w:val="none" w:sz="0" w:space="0" w:color="auto"/>
        <w:bottom w:val="none" w:sz="0" w:space="0" w:color="auto"/>
        <w:right w:val="none" w:sz="0" w:space="0" w:color="auto"/>
      </w:divBdr>
    </w:div>
    <w:div w:id="1827697132">
      <w:bodyDiv w:val="1"/>
      <w:marLeft w:val="0"/>
      <w:marRight w:val="0"/>
      <w:marTop w:val="0"/>
      <w:marBottom w:val="0"/>
      <w:divBdr>
        <w:top w:val="none" w:sz="0" w:space="0" w:color="auto"/>
        <w:left w:val="none" w:sz="0" w:space="0" w:color="auto"/>
        <w:bottom w:val="none" w:sz="0" w:space="0" w:color="auto"/>
        <w:right w:val="none" w:sz="0" w:space="0" w:color="auto"/>
      </w:divBdr>
    </w:div>
    <w:div w:id="1830710809">
      <w:bodyDiv w:val="1"/>
      <w:marLeft w:val="0"/>
      <w:marRight w:val="0"/>
      <w:marTop w:val="0"/>
      <w:marBottom w:val="0"/>
      <w:divBdr>
        <w:top w:val="none" w:sz="0" w:space="0" w:color="auto"/>
        <w:left w:val="none" w:sz="0" w:space="0" w:color="auto"/>
        <w:bottom w:val="none" w:sz="0" w:space="0" w:color="auto"/>
        <w:right w:val="none" w:sz="0" w:space="0" w:color="auto"/>
      </w:divBdr>
    </w:div>
    <w:div w:id="1831824065">
      <w:bodyDiv w:val="1"/>
      <w:marLeft w:val="0"/>
      <w:marRight w:val="0"/>
      <w:marTop w:val="0"/>
      <w:marBottom w:val="0"/>
      <w:divBdr>
        <w:top w:val="none" w:sz="0" w:space="0" w:color="auto"/>
        <w:left w:val="none" w:sz="0" w:space="0" w:color="auto"/>
        <w:bottom w:val="none" w:sz="0" w:space="0" w:color="auto"/>
        <w:right w:val="none" w:sz="0" w:space="0" w:color="auto"/>
      </w:divBdr>
    </w:div>
    <w:div w:id="1834637749">
      <w:bodyDiv w:val="1"/>
      <w:marLeft w:val="0"/>
      <w:marRight w:val="0"/>
      <w:marTop w:val="0"/>
      <w:marBottom w:val="0"/>
      <w:divBdr>
        <w:top w:val="none" w:sz="0" w:space="0" w:color="auto"/>
        <w:left w:val="none" w:sz="0" w:space="0" w:color="auto"/>
        <w:bottom w:val="none" w:sz="0" w:space="0" w:color="auto"/>
        <w:right w:val="none" w:sz="0" w:space="0" w:color="auto"/>
      </w:divBdr>
    </w:div>
    <w:div w:id="1834949883">
      <w:bodyDiv w:val="1"/>
      <w:marLeft w:val="0"/>
      <w:marRight w:val="0"/>
      <w:marTop w:val="0"/>
      <w:marBottom w:val="0"/>
      <w:divBdr>
        <w:top w:val="none" w:sz="0" w:space="0" w:color="auto"/>
        <w:left w:val="none" w:sz="0" w:space="0" w:color="auto"/>
        <w:bottom w:val="none" w:sz="0" w:space="0" w:color="auto"/>
        <w:right w:val="none" w:sz="0" w:space="0" w:color="auto"/>
      </w:divBdr>
    </w:div>
    <w:div w:id="1836459162">
      <w:bodyDiv w:val="1"/>
      <w:marLeft w:val="0"/>
      <w:marRight w:val="0"/>
      <w:marTop w:val="0"/>
      <w:marBottom w:val="0"/>
      <w:divBdr>
        <w:top w:val="none" w:sz="0" w:space="0" w:color="auto"/>
        <w:left w:val="none" w:sz="0" w:space="0" w:color="auto"/>
        <w:bottom w:val="none" w:sz="0" w:space="0" w:color="auto"/>
        <w:right w:val="none" w:sz="0" w:space="0" w:color="auto"/>
      </w:divBdr>
    </w:div>
    <w:div w:id="1836728659">
      <w:bodyDiv w:val="1"/>
      <w:marLeft w:val="0"/>
      <w:marRight w:val="0"/>
      <w:marTop w:val="0"/>
      <w:marBottom w:val="0"/>
      <w:divBdr>
        <w:top w:val="none" w:sz="0" w:space="0" w:color="auto"/>
        <w:left w:val="none" w:sz="0" w:space="0" w:color="auto"/>
        <w:bottom w:val="none" w:sz="0" w:space="0" w:color="auto"/>
        <w:right w:val="none" w:sz="0" w:space="0" w:color="auto"/>
      </w:divBdr>
    </w:div>
    <w:div w:id="1844078432">
      <w:bodyDiv w:val="1"/>
      <w:marLeft w:val="0"/>
      <w:marRight w:val="0"/>
      <w:marTop w:val="0"/>
      <w:marBottom w:val="0"/>
      <w:divBdr>
        <w:top w:val="none" w:sz="0" w:space="0" w:color="auto"/>
        <w:left w:val="none" w:sz="0" w:space="0" w:color="auto"/>
        <w:bottom w:val="none" w:sz="0" w:space="0" w:color="auto"/>
        <w:right w:val="none" w:sz="0" w:space="0" w:color="auto"/>
      </w:divBdr>
    </w:div>
    <w:div w:id="1846170169">
      <w:bodyDiv w:val="1"/>
      <w:marLeft w:val="0"/>
      <w:marRight w:val="0"/>
      <w:marTop w:val="0"/>
      <w:marBottom w:val="0"/>
      <w:divBdr>
        <w:top w:val="none" w:sz="0" w:space="0" w:color="auto"/>
        <w:left w:val="none" w:sz="0" w:space="0" w:color="auto"/>
        <w:bottom w:val="none" w:sz="0" w:space="0" w:color="auto"/>
        <w:right w:val="none" w:sz="0" w:space="0" w:color="auto"/>
      </w:divBdr>
    </w:div>
    <w:div w:id="1847790181">
      <w:bodyDiv w:val="1"/>
      <w:marLeft w:val="0"/>
      <w:marRight w:val="0"/>
      <w:marTop w:val="0"/>
      <w:marBottom w:val="0"/>
      <w:divBdr>
        <w:top w:val="none" w:sz="0" w:space="0" w:color="auto"/>
        <w:left w:val="none" w:sz="0" w:space="0" w:color="auto"/>
        <w:bottom w:val="none" w:sz="0" w:space="0" w:color="auto"/>
        <w:right w:val="none" w:sz="0" w:space="0" w:color="auto"/>
      </w:divBdr>
    </w:div>
    <w:div w:id="1849709295">
      <w:bodyDiv w:val="1"/>
      <w:marLeft w:val="0"/>
      <w:marRight w:val="0"/>
      <w:marTop w:val="0"/>
      <w:marBottom w:val="0"/>
      <w:divBdr>
        <w:top w:val="none" w:sz="0" w:space="0" w:color="auto"/>
        <w:left w:val="none" w:sz="0" w:space="0" w:color="auto"/>
        <w:bottom w:val="none" w:sz="0" w:space="0" w:color="auto"/>
        <w:right w:val="none" w:sz="0" w:space="0" w:color="auto"/>
      </w:divBdr>
    </w:div>
    <w:div w:id="1856264710">
      <w:bodyDiv w:val="1"/>
      <w:marLeft w:val="0"/>
      <w:marRight w:val="0"/>
      <w:marTop w:val="0"/>
      <w:marBottom w:val="0"/>
      <w:divBdr>
        <w:top w:val="none" w:sz="0" w:space="0" w:color="auto"/>
        <w:left w:val="none" w:sz="0" w:space="0" w:color="auto"/>
        <w:bottom w:val="none" w:sz="0" w:space="0" w:color="auto"/>
        <w:right w:val="none" w:sz="0" w:space="0" w:color="auto"/>
      </w:divBdr>
    </w:div>
    <w:div w:id="1857957062">
      <w:bodyDiv w:val="1"/>
      <w:marLeft w:val="0"/>
      <w:marRight w:val="0"/>
      <w:marTop w:val="0"/>
      <w:marBottom w:val="0"/>
      <w:divBdr>
        <w:top w:val="none" w:sz="0" w:space="0" w:color="auto"/>
        <w:left w:val="none" w:sz="0" w:space="0" w:color="auto"/>
        <w:bottom w:val="none" w:sz="0" w:space="0" w:color="auto"/>
        <w:right w:val="none" w:sz="0" w:space="0" w:color="auto"/>
      </w:divBdr>
    </w:div>
    <w:div w:id="1862814301">
      <w:bodyDiv w:val="1"/>
      <w:marLeft w:val="0"/>
      <w:marRight w:val="0"/>
      <w:marTop w:val="0"/>
      <w:marBottom w:val="0"/>
      <w:divBdr>
        <w:top w:val="none" w:sz="0" w:space="0" w:color="auto"/>
        <w:left w:val="none" w:sz="0" w:space="0" w:color="auto"/>
        <w:bottom w:val="none" w:sz="0" w:space="0" w:color="auto"/>
        <w:right w:val="none" w:sz="0" w:space="0" w:color="auto"/>
      </w:divBdr>
    </w:div>
    <w:div w:id="1864783502">
      <w:bodyDiv w:val="1"/>
      <w:marLeft w:val="0"/>
      <w:marRight w:val="0"/>
      <w:marTop w:val="0"/>
      <w:marBottom w:val="0"/>
      <w:divBdr>
        <w:top w:val="none" w:sz="0" w:space="0" w:color="auto"/>
        <w:left w:val="none" w:sz="0" w:space="0" w:color="auto"/>
        <w:bottom w:val="none" w:sz="0" w:space="0" w:color="auto"/>
        <w:right w:val="none" w:sz="0" w:space="0" w:color="auto"/>
      </w:divBdr>
    </w:div>
    <w:div w:id="1865514361">
      <w:bodyDiv w:val="1"/>
      <w:marLeft w:val="0"/>
      <w:marRight w:val="0"/>
      <w:marTop w:val="0"/>
      <w:marBottom w:val="0"/>
      <w:divBdr>
        <w:top w:val="none" w:sz="0" w:space="0" w:color="auto"/>
        <w:left w:val="none" w:sz="0" w:space="0" w:color="auto"/>
        <w:bottom w:val="none" w:sz="0" w:space="0" w:color="auto"/>
        <w:right w:val="none" w:sz="0" w:space="0" w:color="auto"/>
      </w:divBdr>
    </w:div>
    <w:div w:id="1866210426">
      <w:bodyDiv w:val="1"/>
      <w:marLeft w:val="0"/>
      <w:marRight w:val="0"/>
      <w:marTop w:val="0"/>
      <w:marBottom w:val="0"/>
      <w:divBdr>
        <w:top w:val="none" w:sz="0" w:space="0" w:color="auto"/>
        <w:left w:val="none" w:sz="0" w:space="0" w:color="auto"/>
        <w:bottom w:val="none" w:sz="0" w:space="0" w:color="auto"/>
        <w:right w:val="none" w:sz="0" w:space="0" w:color="auto"/>
      </w:divBdr>
    </w:div>
    <w:div w:id="1866676844">
      <w:bodyDiv w:val="1"/>
      <w:marLeft w:val="0"/>
      <w:marRight w:val="0"/>
      <w:marTop w:val="0"/>
      <w:marBottom w:val="0"/>
      <w:divBdr>
        <w:top w:val="none" w:sz="0" w:space="0" w:color="auto"/>
        <w:left w:val="none" w:sz="0" w:space="0" w:color="auto"/>
        <w:bottom w:val="none" w:sz="0" w:space="0" w:color="auto"/>
        <w:right w:val="none" w:sz="0" w:space="0" w:color="auto"/>
      </w:divBdr>
    </w:div>
    <w:div w:id="1870408619">
      <w:bodyDiv w:val="1"/>
      <w:marLeft w:val="0"/>
      <w:marRight w:val="0"/>
      <w:marTop w:val="0"/>
      <w:marBottom w:val="0"/>
      <w:divBdr>
        <w:top w:val="none" w:sz="0" w:space="0" w:color="auto"/>
        <w:left w:val="none" w:sz="0" w:space="0" w:color="auto"/>
        <w:bottom w:val="none" w:sz="0" w:space="0" w:color="auto"/>
        <w:right w:val="none" w:sz="0" w:space="0" w:color="auto"/>
      </w:divBdr>
    </w:div>
    <w:div w:id="1871456139">
      <w:bodyDiv w:val="1"/>
      <w:marLeft w:val="0"/>
      <w:marRight w:val="0"/>
      <w:marTop w:val="0"/>
      <w:marBottom w:val="0"/>
      <w:divBdr>
        <w:top w:val="none" w:sz="0" w:space="0" w:color="auto"/>
        <w:left w:val="none" w:sz="0" w:space="0" w:color="auto"/>
        <w:bottom w:val="none" w:sz="0" w:space="0" w:color="auto"/>
        <w:right w:val="none" w:sz="0" w:space="0" w:color="auto"/>
      </w:divBdr>
    </w:div>
    <w:div w:id="1875844323">
      <w:bodyDiv w:val="1"/>
      <w:marLeft w:val="0"/>
      <w:marRight w:val="0"/>
      <w:marTop w:val="0"/>
      <w:marBottom w:val="0"/>
      <w:divBdr>
        <w:top w:val="none" w:sz="0" w:space="0" w:color="auto"/>
        <w:left w:val="none" w:sz="0" w:space="0" w:color="auto"/>
        <w:bottom w:val="none" w:sz="0" w:space="0" w:color="auto"/>
        <w:right w:val="none" w:sz="0" w:space="0" w:color="auto"/>
      </w:divBdr>
    </w:div>
    <w:div w:id="1876189427">
      <w:bodyDiv w:val="1"/>
      <w:marLeft w:val="0"/>
      <w:marRight w:val="0"/>
      <w:marTop w:val="0"/>
      <w:marBottom w:val="0"/>
      <w:divBdr>
        <w:top w:val="none" w:sz="0" w:space="0" w:color="auto"/>
        <w:left w:val="none" w:sz="0" w:space="0" w:color="auto"/>
        <w:bottom w:val="none" w:sz="0" w:space="0" w:color="auto"/>
        <w:right w:val="none" w:sz="0" w:space="0" w:color="auto"/>
      </w:divBdr>
    </w:div>
    <w:div w:id="1877162391">
      <w:bodyDiv w:val="1"/>
      <w:marLeft w:val="0"/>
      <w:marRight w:val="0"/>
      <w:marTop w:val="0"/>
      <w:marBottom w:val="0"/>
      <w:divBdr>
        <w:top w:val="none" w:sz="0" w:space="0" w:color="auto"/>
        <w:left w:val="none" w:sz="0" w:space="0" w:color="auto"/>
        <w:bottom w:val="none" w:sz="0" w:space="0" w:color="auto"/>
        <w:right w:val="none" w:sz="0" w:space="0" w:color="auto"/>
      </w:divBdr>
    </w:div>
    <w:div w:id="1878545346">
      <w:bodyDiv w:val="1"/>
      <w:marLeft w:val="0"/>
      <w:marRight w:val="0"/>
      <w:marTop w:val="0"/>
      <w:marBottom w:val="0"/>
      <w:divBdr>
        <w:top w:val="none" w:sz="0" w:space="0" w:color="auto"/>
        <w:left w:val="none" w:sz="0" w:space="0" w:color="auto"/>
        <w:bottom w:val="none" w:sz="0" w:space="0" w:color="auto"/>
        <w:right w:val="none" w:sz="0" w:space="0" w:color="auto"/>
      </w:divBdr>
    </w:div>
    <w:div w:id="1881165406">
      <w:bodyDiv w:val="1"/>
      <w:marLeft w:val="0"/>
      <w:marRight w:val="0"/>
      <w:marTop w:val="0"/>
      <w:marBottom w:val="0"/>
      <w:divBdr>
        <w:top w:val="none" w:sz="0" w:space="0" w:color="auto"/>
        <w:left w:val="none" w:sz="0" w:space="0" w:color="auto"/>
        <w:bottom w:val="none" w:sz="0" w:space="0" w:color="auto"/>
        <w:right w:val="none" w:sz="0" w:space="0" w:color="auto"/>
      </w:divBdr>
    </w:div>
    <w:div w:id="1894807539">
      <w:bodyDiv w:val="1"/>
      <w:marLeft w:val="0"/>
      <w:marRight w:val="0"/>
      <w:marTop w:val="0"/>
      <w:marBottom w:val="0"/>
      <w:divBdr>
        <w:top w:val="none" w:sz="0" w:space="0" w:color="auto"/>
        <w:left w:val="none" w:sz="0" w:space="0" w:color="auto"/>
        <w:bottom w:val="none" w:sz="0" w:space="0" w:color="auto"/>
        <w:right w:val="none" w:sz="0" w:space="0" w:color="auto"/>
      </w:divBdr>
    </w:div>
    <w:div w:id="1901206153">
      <w:bodyDiv w:val="1"/>
      <w:marLeft w:val="0"/>
      <w:marRight w:val="0"/>
      <w:marTop w:val="0"/>
      <w:marBottom w:val="0"/>
      <w:divBdr>
        <w:top w:val="none" w:sz="0" w:space="0" w:color="auto"/>
        <w:left w:val="none" w:sz="0" w:space="0" w:color="auto"/>
        <w:bottom w:val="none" w:sz="0" w:space="0" w:color="auto"/>
        <w:right w:val="none" w:sz="0" w:space="0" w:color="auto"/>
      </w:divBdr>
    </w:div>
    <w:div w:id="1901936679">
      <w:bodyDiv w:val="1"/>
      <w:marLeft w:val="0"/>
      <w:marRight w:val="0"/>
      <w:marTop w:val="0"/>
      <w:marBottom w:val="0"/>
      <w:divBdr>
        <w:top w:val="none" w:sz="0" w:space="0" w:color="auto"/>
        <w:left w:val="none" w:sz="0" w:space="0" w:color="auto"/>
        <w:bottom w:val="none" w:sz="0" w:space="0" w:color="auto"/>
        <w:right w:val="none" w:sz="0" w:space="0" w:color="auto"/>
      </w:divBdr>
    </w:div>
    <w:div w:id="1908881831">
      <w:bodyDiv w:val="1"/>
      <w:marLeft w:val="0"/>
      <w:marRight w:val="0"/>
      <w:marTop w:val="0"/>
      <w:marBottom w:val="0"/>
      <w:divBdr>
        <w:top w:val="none" w:sz="0" w:space="0" w:color="auto"/>
        <w:left w:val="none" w:sz="0" w:space="0" w:color="auto"/>
        <w:bottom w:val="none" w:sz="0" w:space="0" w:color="auto"/>
        <w:right w:val="none" w:sz="0" w:space="0" w:color="auto"/>
      </w:divBdr>
    </w:div>
    <w:div w:id="1924947545">
      <w:bodyDiv w:val="1"/>
      <w:marLeft w:val="0"/>
      <w:marRight w:val="0"/>
      <w:marTop w:val="0"/>
      <w:marBottom w:val="0"/>
      <w:divBdr>
        <w:top w:val="none" w:sz="0" w:space="0" w:color="auto"/>
        <w:left w:val="none" w:sz="0" w:space="0" w:color="auto"/>
        <w:bottom w:val="none" w:sz="0" w:space="0" w:color="auto"/>
        <w:right w:val="none" w:sz="0" w:space="0" w:color="auto"/>
      </w:divBdr>
    </w:div>
    <w:div w:id="1924949178">
      <w:bodyDiv w:val="1"/>
      <w:marLeft w:val="0"/>
      <w:marRight w:val="0"/>
      <w:marTop w:val="0"/>
      <w:marBottom w:val="0"/>
      <w:divBdr>
        <w:top w:val="none" w:sz="0" w:space="0" w:color="auto"/>
        <w:left w:val="none" w:sz="0" w:space="0" w:color="auto"/>
        <w:bottom w:val="none" w:sz="0" w:space="0" w:color="auto"/>
        <w:right w:val="none" w:sz="0" w:space="0" w:color="auto"/>
      </w:divBdr>
    </w:div>
    <w:div w:id="1927569629">
      <w:bodyDiv w:val="1"/>
      <w:marLeft w:val="0"/>
      <w:marRight w:val="0"/>
      <w:marTop w:val="0"/>
      <w:marBottom w:val="0"/>
      <w:divBdr>
        <w:top w:val="none" w:sz="0" w:space="0" w:color="auto"/>
        <w:left w:val="none" w:sz="0" w:space="0" w:color="auto"/>
        <w:bottom w:val="none" w:sz="0" w:space="0" w:color="auto"/>
        <w:right w:val="none" w:sz="0" w:space="0" w:color="auto"/>
      </w:divBdr>
    </w:div>
    <w:div w:id="1929996407">
      <w:bodyDiv w:val="1"/>
      <w:marLeft w:val="0"/>
      <w:marRight w:val="0"/>
      <w:marTop w:val="0"/>
      <w:marBottom w:val="0"/>
      <w:divBdr>
        <w:top w:val="none" w:sz="0" w:space="0" w:color="auto"/>
        <w:left w:val="none" w:sz="0" w:space="0" w:color="auto"/>
        <w:bottom w:val="none" w:sz="0" w:space="0" w:color="auto"/>
        <w:right w:val="none" w:sz="0" w:space="0" w:color="auto"/>
      </w:divBdr>
    </w:div>
    <w:div w:id="1930964959">
      <w:bodyDiv w:val="1"/>
      <w:marLeft w:val="0"/>
      <w:marRight w:val="0"/>
      <w:marTop w:val="0"/>
      <w:marBottom w:val="0"/>
      <w:divBdr>
        <w:top w:val="none" w:sz="0" w:space="0" w:color="auto"/>
        <w:left w:val="none" w:sz="0" w:space="0" w:color="auto"/>
        <w:bottom w:val="none" w:sz="0" w:space="0" w:color="auto"/>
        <w:right w:val="none" w:sz="0" w:space="0" w:color="auto"/>
      </w:divBdr>
    </w:div>
    <w:div w:id="1932662742">
      <w:bodyDiv w:val="1"/>
      <w:marLeft w:val="0"/>
      <w:marRight w:val="0"/>
      <w:marTop w:val="0"/>
      <w:marBottom w:val="0"/>
      <w:divBdr>
        <w:top w:val="none" w:sz="0" w:space="0" w:color="auto"/>
        <w:left w:val="none" w:sz="0" w:space="0" w:color="auto"/>
        <w:bottom w:val="none" w:sz="0" w:space="0" w:color="auto"/>
        <w:right w:val="none" w:sz="0" w:space="0" w:color="auto"/>
      </w:divBdr>
    </w:div>
    <w:div w:id="1936280337">
      <w:bodyDiv w:val="1"/>
      <w:marLeft w:val="0"/>
      <w:marRight w:val="0"/>
      <w:marTop w:val="0"/>
      <w:marBottom w:val="0"/>
      <w:divBdr>
        <w:top w:val="none" w:sz="0" w:space="0" w:color="auto"/>
        <w:left w:val="none" w:sz="0" w:space="0" w:color="auto"/>
        <w:bottom w:val="none" w:sz="0" w:space="0" w:color="auto"/>
        <w:right w:val="none" w:sz="0" w:space="0" w:color="auto"/>
      </w:divBdr>
    </w:div>
    <w:div w:id="1936788804">
      <w:bodyDiv w:val="1"/>
      <w:marLeft w:val="0"/>
      <w:marRight w:val="0"/>
      <w:marTop w:val="0"/>
      <w:marBottom w:val="0"/>
      <w:divBdr>
        <w:top w:val="none" w:sz="0" w:space="0" w:color="auto"/>
        <w:left w:val="none" w:sz="0" w:space="0" w:color="auto"/>
        <w:bottom w:val="none" w:sz="0" w:space="0" w:color="auto"/>
        <w:right w:val="none" w:sz="0" w:space="0" w:color="auto"/>
      </w:divBdr>
    </w:div>
    <w:div w:id="1938443032">
      <w:bodyDiv w:val="1"/>
      <w:marLeft w:val="0"/>
      <w:marRight w:val="0"/>
      <w:marTop w:val="0"/>
      <w:marBottom w:val="0"/>
      <w:divBdr>
        <w:top w:val="none" w:sz="0" w:space="0" w:color="auto"/>
        <w:left w:val="none" w:sz="0" w:space="0" w:color="auto"/>
        <w:bottom w:val="none" w:sz="0" w:space="0" w:color="auto"/>
        <w:right w:val="none" w:sz="0" w:space="0" w:color="auto"/>
      </w:divBdr>
    </w:div>
    <w:div w:id="1939173401">
      <w:bodyDiv w:val="1"/>
      <w:marLeft w:val="0"/>
      <w:marRight w:val="0"/>
      <w:marTop w:val="0"/>
      <w:marBottom w:val="0"/>
      <w:divBdr>
        <w:top w:val="none" w:sz="0" w:space="0" w:color="auto"/>
        <w:left w:val="none" w:sz="0" w:space="0" w:color="auto"/>
        <w:bottom w:val="none" w:sz="0" w:space="0" w:color="auto"/>
        <w:right w:val="none" w:sz="0" w:space="0" w:color="auto"/>
      </w:divBdr>
    </w:div>
    <w:div w:id="1943563367">
      <w:bodyDiv w:val="1"/>
      <w:marLeft w:val="0"/>
      <w:marRight w:val="0"/>
      <w:marTop w:val="0"/>
      <w:marBottom w:val="0"/>
      <w:divBdr>
        <w:top w:val="none" w:sz="0" w:space="0" w:color="auto"/>
        <w:left w:val="none" w:sz="0" w:space="0" w:color="auto"/>
        <w:bottom w:val="none" w:sz="0" w:space="0" w:color="auto"/>
        <w:right w:val="none" w:sz="0" w:space="0" w:color="auto"/>
      </w:divBdr>
    </w:div>
    <w:div w:id="1951622374">
      <w:bodyDiv w:val="1"/>
      <w:marLeft w:val="0"/>
      <w:marRight w:val="0"/>
      <w:marTop w:val="0"/>
      <w:marBottom w:val="0"/>
      <w:divBdr>
        <w:top w:val="none" w:sz="0" w:space="0" w:color="auto"/>
        <w:left w:val="none" w:sz="0" w:space="0" w:color="auto"/>
        <w:bottom w:val="none" w:sz="0" w:space="0" w:color="auto"/>
        <w:right w:val="none" w:sz="0" w:space="0" w:color="auto"/>
      </w:divBdr>
    </w:div>
    <w:div w:id="1953977643">
      <w:bodyDiv w:val="1"/>
      <w:marLeft w:val="0"/>
      <w:marRight w:val="0"/>
      <w:marTop w:val="0"/>
      <w:marBottom w:val="0"/>
      <w:divBdr>
        <w:top w:val="none" w:sz="0" w:space="0" w:color="auto"/>
        <w:left w:val="none" w:sz="0" w:space="0" w:color="auto"/>
        <w:bottom w:val="none" w:sz="0" w:space="0" w:color="auto"/>
        <w:right w:val="none" w:sz="0" w:space="0" w:color="auto"/>
      </w:divBdr>
    </w:div>
    <w:div w:id="1959943097">
      <w:bodyDiv w:val="1"/>
      <w:marLeft w:val="0"/>
      <w:marRight w:val="0"/>
      <w:marTop w:val="0"/>
      <w:marBottom w:val="0"/>
      <w:divBdr>
        <w:top w:val="none" w:sz="0" w:space="0" w:color="auto"/>
        <w:left w:val="none" w:sz="0" w:space="0" w:color="auto"/>
        <w:bottom w:val="none" w:sz="0" w:space="0" w:color="auto"/>
        <w:right w:val="none" w:sz="0" w:space="0" w:color="auto"/>
      </w:divBdr>
    </w:div>
    <w:div w:id="1960992741">
      <w:bodyDiv w:val="1"/>
      <w:marLeft w:val="0"/>
      <w:marRight w:val="0"/>
      <w:marTop w:val="0"/>
      <w:marBottom w:val="0"/>
      <w:divBdr>
        <w:top w:val="none" w:sz="0" w:space="0" w:color="auto"/>
        <w:left w:val="none" w:sz="0" w:space="0" w:color="auto"/>
        <w:bottom w:val="none" w:sz="0" w:space="0" w:color="auto"/>
        <w:right w:val="none" w:sz="0" w:space="0" w:color="auto"/>
      </w:divBdr>
    </w:div>
    <w:div w:id="1967009284">
      <w:bodyDiv w:val="1"/>
      <w:marLeft w:val="0"/>
      <w:marRight w:val="0"/>
      <w:marTop w:val="0"/>
      <w:marBottom w:val="0"/>
      <w:divBdr>
        <w:top w:val="none" w:sz="0" w:space="0" w:color="auto"/>
        <w:left w:val="none" w:sz="0" w:space="0" w:color="auto"/>
        <w:bottom w:val="none" w:sz="0" w:space="0" w:color="auto"/>
        <w:right w:val="none" w:sz="0" w:space="0" w:color="auto"/>
      </w:divBdr>
    </w:div>
    <w:div w:id="1975793586">
      <w:bodyDiv w:val="1"/>
      <w:marLeft w:val="0"/>
      <w:marRight w:val="0"/>
      <w:marTop w:val="0"/>
      <w:marBottom w:val="0"/>
      <w:divBdr>
        <w:top w:val="none" w:sz="0" w:space="0" w:color="auto"/>
        <w:left w:val="none" w:sz="0" w:space="0" w:color="auto"/>
        <w:bottom w:val="none" w:sz="0" w:space="0" w:color="auto"/>
        <w:right w:val="none" w:sz="0" w:space="0" w:color="auto"/>
      </w:divBdr>
    </w:div>
    <w:div w:id="1977222036">
      <w:bodyDiv w:val="1"/>
      <w:marLeft w:val="0"/>
      <w:marRight w:val="0"/>
      <w:marTop w:val="0"/>
      <w:marBottom w:val="0"/>
      <w:divBdr>
        <w:top w:val="none" w:sz="0" w:space="0" w:color="auto"/>
        <w:left w:val="none" w:sz="0" w:space="0" w:color="auto"/>
        <w:bottom w:val="none" w:sz="0" w:space="0" w:color="auto"/>
        <w:right w:val="none" w:sz="0" w:space="0" w:color="auto"/>
      </w:divBdr>
    </w:div>
    <w:div w:id="1979339498">
      <w:bodyDiv w:val="1"/>
      <w:marLeft w:val="0"/>
      <w:marRight w:val="0"/>
      <w:marTop w:val="0"/>
      <w:marBottom w:val="0"/>
      <w:divBdr>
        <w:top w:val="none" w:sz="0" w:space="0" w:color="auto"/>
        <w:left w:val="none" w:sz="0" w:space="0" w:color="auto"/>
        <w:bottom w:val="none" w:sz="0" w:space="0" w:color="auto"/>
        <w:right w:val="none" w:sz="0" w:space="0" w:color="auto"/>
      </w:divBdr>
    </w:div>
    <w:div w:id="1982538879">
      <w:bodyDiv w:val="1"/>
      <w:marLeft w:val="0"/>
      <w:marRight w:val="0"/>
      <w:marTop w:val="0"/>
      <w:marBottom w:val="0"/>
      <w:divBdr>
        <w:top w:val="none" w:sz="0" w:space="0" w:color="auto"/>
        <w:left w:val="none" w:sz="0" w:space="0" w:color="auto"/>
        <w:bottom w:val="none" w:sz="0" w:space="0" w:color="auto"/>
        <w:right w:val="none" w:sz="0" w:space="0" w:color="auto"/>
      </w:divBdr>
    </w:div>
    <w:div w:id="1984503014">
      <w:bodyDiv w:val="1"/>
      <w:marLeft w:val="0"/>
      <w:marRight w:val="0"/>
      <w:marTop w:val="0"/>
      <w:marBottom w:val="0"/>
      <w:divBdr>
        <w:top w:val="none" w:sz="0" w:space="0" w:color="auto"/>
        <w:left w:val="none" w:sz="0" w:space="0" w:color="auto"/>
        <w:bottom w:val="none" w:sz="0" w:space="0" w:color="auto"/>
        <w:right w:val="none" w:sz="0" w:space="0" w:color="auto"/>
      </w:divBdr>
    </w:div>
    <w:div w:id="1984701790">
      <w:bodyDiv w:val="1"/>
      <w:marLeft w:val="0"/>
      <w:marRight w:val="0"/>
      <w:marTop w:val="0"/>
      <w:marBottom w:val="0"/>
      <w:divBdr>
        <w:top w:val="none" w:sz="0" w:space="0" w:color="auto"/>
        <w:left w:val="none" w:sz="0" w:space="0" w:color="auto"/>
        <w:bottom w:val="none" w:sz="0" w:space="0" w:color="auto"/>
        <w:right w:val="none" w:sz="0" w:space="0" w:color="auto"/>
      </w:divBdr>
    </w:div>
    <w:div w:id="1988706784">
      <w:bodyDiv w:val="1"/>
      <w:marLeft w:val="0"/>
      <w:marRight w:val="0"/>
      <w:marTop w:val="0"/>
      <w:marBottom w:val="0"/>
      <w:divBdr>
        <w:top w:val="none" w:sz="0" w:space="0" w:color="auto"/>
        <w:left w:val="none" w:sz="0" w:space="0" w:color="auto"/>
        <w:bottom w:val="none" w:sz="0" w:space="0" w:color="auto"/>
        <w:right w:val="none" w:sz="0" w:space="0" w:color="auto"/>
      </w:divBdr>
    </w:div>
    <w:div w:id="2001228185">
      <w:bodyDiv w:val="1"/>
      <w:marLeft w:val="0"/>
      <w:marRight w:val="0"/>
      <w:marTop w:val="0"/>
      <w:marBottom w:val="0"/>
      <w:divBdr>
        <w:top w:val="none" w:sz="0" w:space="0" w:color="auto"/>
        <w:left w:val="none" w:sz="0" w:space="0" w:color="auto"/>
        <w:bottom w:val="none" w:sz="0" w:space="0" w:color="auto"/>
        <w:right w:val="none" w:sz="0" w:space="0" w:color="auto"/>
      </w:divBdr>
    </w:div>
    <w:div w:id="2007123991">
      <w:bodyDiv w:val="1"/>
      <w:marLeft w:val="0"/>
      <w:marRight w:val="0"/>
      <w:marTop w:val="0"/>
      <w:marBottom w:val="0"/>
      <w:divBdr>
        <w:top w:val="none" w:sz="0" w:space="0" w:color="auto"/>
        <w:left w:val="none" w:sz="0" w:space="0" w:color="auto"/>
        <w:bottom w:val="none" w:sz="0" w:space="0" w:color="auto"/>
        <w:right w:val="none" w:sz="0" w:space="0" w:color="auto"/>
      </w:divBdr>
    </w:div>
    <w:div w:id="2007707954">
      <w:bodyDiv w:val="1"/>
      <w:marLeft w:val="0"/>
      <w:marRight w:val="0"/>
      <w:marTop w:val="0"/>
      <w:marBottom w:val="0"/>
      <w:divBdr>
        <w:top w:val="none" w:sz="0" w:space="0" w:color="auto"/>
        <w:left w:val="none" w:sz="0" w:space="0" w:color="auto"/>
        <w:bottom w:val="none" w:sz="0" w:space="0" w:color="auto"/>
        <w:right w:val="none" w:sz="0" w:space="0" w:color="auto"/>
      </w:divBdr>
    </w:div>
    <w:div w:id="2009550139">
      <w:bodyDiv w:val="1"/>
      <w:marLeft w:val="0"/>
      <w:marRight w:val="0"/>
      <w:marTop w:val="0"/>
      <w:marBottom w:val="0"/>
      <w:divBdr>
        <w:top w:val="none" w:sz="0" w:space="0" w:color="auto"/>
        <w:left w:val="none" w:sz="0" w:space="0" w:color="auto"/>
        <w:bottom w:val="none" w:sz="0" w:space="0" w:color="auto"/>
        <w:right w:val="none" w:sz="0" w:space="0" w:color="auto"/>
      </w:divBdr>
    </w:div>
    <w:div w:id="2016957123">
      <w:bodyDiv w:val="1"/>
      <w:marLeft w:val="0"/>
      <w:marRight w:val="0"/>
      <w:marTop w:val="0"/>
      <w:marBottom w:val="0"/>
      <w:divBdr>
        <w:top w:val="none" w:sz="0" w:space="0" w:color="auto"/>
        <w:left w:val="none" w:sz="0" w:space="0" w:color="auto"/>
        <w:bottom w:val="none" w:sz="0" w:space="0" w:color="auto"/>
        <w:right w:val="none" w:sz="0" w:space="0" w:color="auto"/>
      </w:divBdr>
    </w:div>
    <w:div w:id="2018653050">
      <w:bodyDiv w:val="1"/>
      <w:marLeft w:val="0"/>
      <w:marRight w:val="0"/>
      <w:marTop w:val="0"/>
      <w:marBottom w:val="0"/>
      <w:divBdr>
        <w:top w:val="none" w:sz="0" w:space="0" w:color="auto"/>
        <w:left w:val="none" w:sz="0" w:space="0" w:color="auto"/>
        <w:bottom w:val="none" w:sz="0" w:space="0" w:color="auto"/>
        <w:right w:val="none" w:sz="0" w:space="0" w:color="auto"/>
      </w:divBdr>
    </w:div>
    <w:div w:id="2021812976">
      <w:bodyDiv w:val="1"/>
      <w:marLeft w:val="0"/>
      <w:marRight w:val="0"/>
      <w:marTop w:val="0"/>
      <w:marBottom w:val="0"/>
      <w:divBdr>
        <w:top w:val="none" w:sz="0" w:space="0" w:color="auto"/>
        <w:left w:val="none" w:sz="0" w:space="0" w:color="auto"/>
        <w:bottom w:val="none" w:sz="0" w:space="0" w:color="auto"/>
        <w:right w:val="none" w:sz="0" w:space="0" w:color="auto"/>
      </w:divBdr>
    </w:div>
    <w:div w:id="2025015902">
      <w:bodyDiv w:val="1"/>
      <w:marLeft w:val="0"/>
      <w:marRight w:val="0"/>
      <w:marTop w:val="0"/>
      <w:marBottom w:val="0"/>
      <w:divBdr>
        <w:top w:val="none" w:sz="0" w:space="0" w:color="auto"/>
        <w:left w:val="none" w:sz="0" w:space="0" w:color="auto"/>
        <w:bottom w:val="none" w:sz="0" w:space="0" w:color="auto"/>
        <w:right w:val="none" w:sz="0" w:space="0" w:color="auto"/>
      </w:divBdr>
    </w:div>
    <w:div w:id="2025936154">
      <w:bodyDiv w:val="1"/>
      <w:marLeft w:val="0"/>
      <w:marRight w:val="0"/>
      <w:marTop w:val="0"/>
      <w:marBottom w:val="0"/>
      <w:divBdr>
        <w:top w:val="none" w:sz="0" w:space="0" w:color="auto"/>
        <w:left w:val="none" w:sz="0" w:space="0" w:color="auto"/>
        <w:bottom w:val="none" w:sz="0" w:space="0" w:color="auto"/>
        <w:right w:val="none" w:sz="0" w:space="0" w:color="auto"/>
      </w:divBdr>
    </w:div>
    <w:div w:id="2029402225">
      <w:bodyDiv w:val="1"/>
      <w:marLeft w:val="0"/>
      <w:marRight w:val="0"/>
      <w:marTop w:val="0"/>
      <w:marBottom w:val="0"/>
      <w:divBdr>
        <w:top w:val="none" w:sz="0" w:space="0" w:color="auto"/>
        <w:left w:val="none" w:sz="0" w:space="0" w:color="auto"/>
        <w:bottom w:val="none" w:sz="0" w:space="0" w:color="auto"/>
        <w:right w:val="none" w:sz="0" w:space="0" w:color="auto"/>
      </w:divBdr>
    </w:div>
    <w:div w:id="2029720806">
      <w:bodyDiv w:val="1"/>
      <w:marLeft w:val="0"/>
      <w:marRight w:val="0"/>
      <w:marTop w:val="0"/>
      <w:marBottom w:val="0"/>
      <w:divBdr>
        <w:top w:val="none" w:sz="0" w:space="0" w:color="auto"/>
        <w:left w:val="none" w:sz="0" w:space="0" w:color="auto"/>
        <w:bottom w:val="none" w:sz="0" w:space="0" w:color="auto"/>
        <w:right w:val="none" w:sz="0" w:space="0" w:color="auto"/>
      </w:divBdr>
    </w:div>
    <w:div w:id="2031758360">
      <w:bodyDiv w:val="1"/>
      <w:marLeft w:val="0"/>
      <w:marRight w:val="0"/>
      <w:marTop w:val="0"/>
      <w:marBottom w:val="0"/>
      <w:divBdr>
        <w:top w:val="none" w:sz="0" w:space="0" w:color="auto"/>
        <w:left w:val="none" w:sz="0" w:space="0" w:color="auto"/>
        <w:bottom w:val="none" w:sz="0" w:space="0" w:color="auto"/>
        <w:right w:val="none" w:sz="0" w:space="0" w:color="auto"/>
      </w:divBdr>
    </w:div>
    <w:div w:id="2040427488">
      <w:bodyDiv w:val="1"/>
      <w:marLeft w:val="0"/>
      <w:marRight w:val="0"/>
      <w:marTop w:val="0"/>
      <w:marBottom w:val="0"/>
      <w:divBdr>
        <w:top w:val="none" w:sz="0" w:space="0" w:color="auto"/>
        <w:left w:val="none" w:sz="0" w:space="0" w:color="auto"/>
        <w:bottom w:val="none" w:sz="0" w:space="0" w:color="auto"/>
        <w:right w:val="none" w:sz="0" w:space="0" w:color="auto"/>
      </w:divBdr>
    </w:div>
    <w:div w:id="2044473452">
      <w:bodyDiv w:val="1"/>
      <w:marLeft w:val="0"/>
      <w:marRight w:val="0"/>
      <w:marTop w:val="0"/>
      <w:marBottom w:val="0"/>
      <w:divBdr>
        <w:top w:val="none" w:sz="0" w:space="0" w:color="auto"/>
        <w:left w:val="none" w:sz="0" w:space="0" w:color="auto"/>
        <w:bottom w:val="none" w:sz="0" w:space="0" w:color="auto"/>
        <w:right w:val="none" w:sz="0" w:space="0" w:color="auto"/>
      </w:divBdr>
    </w:div>
    <w:div w:id="2045864634">
      <w:bodyDiv w:val="1"/>
      <w:marLeft w:val="0"/>
      <w:marRight w:val="0"/>
      <w:marTop w:val="0"/>
      <w:marBottom w:val="0"/>
      <w:divBdr>
        <w:top w:val="none" w:sz="0" w:space="0" w:color="auto"/>
        <w:left w:val="none" w:sz="0" w:space="0" w:color="auto"/>
        <w:bottom w:val="none" w:sz="0" w:space="0" w:color="auto"/>
        <w:right w:val="none" w:sz="0" w:space="0" w:color="auto"/>
      </w:divBdr>
    </w:div>
    <w:div w:id="2050228409">
      <w:bodyDiv w:val="1"/>
      <w:marLeft w:val="0"/>
      <w:marRight w:val="0"/>
      <w:marTop w:val="0"/>
      <w:marBottom w:val="0"/>
      <w:divBdr>
        <w:top w:val="none" w:sz="0" w:space="0" w:color="auto"/>
        <w:left w:val="none" w:sz="0" w:space="0" w:color="auto"/>
        <w:bottom w:val="none" w:sz="0" w:space="0" w:color="auto"/>
        <w:right w:val="none" w:sz="0" w:space="0" w:color="auto"/>
      </w:divBdr>
    </w:div>
    <w:div w:id="2050454625">
      <w:bodyDiv w:val="1"/>
      <w:marLeft w:val="0"/>
      <w:marRight w:val="0"/>
      <w:marTop w:val="0"/>
      <w:marBottom w:val="0"/>
      <w:divBdr>
        <w:top w:val="none" w:sz="0" w:space="0" w:color="auto"/>
        <w:left w:val="none" w:sz="0" w:space="0" w:color="auto"/>
        <w:bottom w:val="none" w:sz="0" w:space="0" w:color="auto"/>
        <w:right w:val="none" w:sz="0" w:space="0" w:color="auto"/>
      </w:divBdr>
    </w:div>
    <w:div w:id="2053335792">
      <w:bodyDiv w:val="1"/>
      <w:marLeft w:val="0"/>
      <w:marRight w:val="0"/>
      <w:marTop w:val="0"/>
      <w:marBottom w:val="0"/>
      <w:divBdr>
        <w:top w:val="none" w:sz="0" w:space="0" w:color="auto"/>
        <w:left w:val="none" w:sz="0" w:space="0" w:color="auto"/>
        <w:bottom w:val="none" w:sz="0" w:space="0" w:color="auto"/>
        <w:right w:val="none" w:sz="0" w:space="0" w:color="auto"/>
      </w:divBdr>
    </w:div>
    <w:div w:id="2054110675">
      <w:bodyDiv w:val="1"/>
      <w:marLeft w:val="0"/>
      <w:marRight w:val="0"/>
      <w:marTop w:val="0"/>
      <w:marBottom w:val="0"/>
      <w:divBdr>
        <w:top w:val="none" w:sz="0" w:space="0" w:color="auto"/>
        <w:left w:val="none" w:sz="0" w:space="0" w:color="auto"/>
        <w:bottom w:val="none" w:sz="0" w:space="0" w:color="auto"/>
        <w:right w:val="none" w:sz="0" w:space="0" w:color="auto"/>
      </w:divBdr>
    </w:div>
    <w:div w:id="2058510456">
      <w:bodyDiv w:val="1"/>
      <w:marLeft w:val="0"/>
      <w:marRight w:val="0"/>
      <w:marTop w:val="0"/>
      <w:marBottom w:val="0"/>
      <w:divBdr>
        <w:top w:val="none" w:sz="0" w:space="0" w:color="auto"/>
        <w:left w:val="none" w:sz="0" w:space="0" w:color="auto"/>
        <w:bottom w:val="none" w:sz="0" w:space="0" w:color="auto"/>
        <w:right w:val="none" w:sz="0" w:space="0" w:color="auto"/>
      </w:divBdr>
    </w:div>
    <w:div w:id="2059284554">
      <w:bodyDiv w:val="1"/>
      <w:marLeft w:val="0"/>
      <w:marRight w:val="0"/>
      <w:marTop w:val="0"/>
      <w:marBottom w:val="0"/>
      <w:divBdr>
        <w:top w:val="none" w:sz="0" w:space="0" w:color="auto"/>
        <w:left w:val="none" w:sz="0" w:space="0" w:color="auto"/>
        <w:bottom w:val="none" w:sz="0" w:space="0" w:color="auto"/>
        <w:right w:val="none" w:sz="0" w:space="0" w:color="auto"/>
      </w:divBdr>
    </w:div>
    <w:div w:id="2066247158">
      <w:bodyDiv w:val="1"/>
      <w:marLeft w:val="0"/>
      <w:marRight w:val="0"/>
      <w:marTop w:val="0"/>
      <w:marBottom w:val="0"/>
      <w:divBdr>
        <w:top w:val="none" w:sz="0" w:space="0" w:color="auto"/>
        <w:left w:val="none" w:sz="0" w:space="0" w:color="auto"/>
        <w:bottom w:val="none" w:sz="0" w:space="0" w:color="auto"/>
        <w:right w:val="none" w:sz="0" w:space="0" w:color="auto"/>
      </w:divBdr>
    </w:div>
    <w:div w:id="2068260189">
      <w:bodyDiv w:val="1"/>
      <w:marLeft w:val="0"/>
      <w:marRight w:val="0"/>
      <w:marTop w:val="0"/>
      <w:marBottom w:val="0"/>
      <w:divBdr>
        <w:top w:val="none" w:sz="0" w:space="0" w:color="auto"/>
        <w:left w:val="none" w:sz="0" w:space="0" w:color="auto"/>
        <w:bottom w:val="none" w:sz="0" w:space="0" w:color="auto"/>
        <w:right w:val="none" w:sz="0" w:space="0" w:color="auto"/>
      </w:divBdr>
    </w:div>
    <w:div w:id="2073892682">
      <w:bodyDiv w:val="1"/>
      <w:marLeft w:val="0"/>
      <w:marRight w:val="0"/>
      <w:marTop w:val="0"/>
      <w:marBottom w:val="0"/>
      <w:divBdr>
        <w:top w:val="none" w:sz="0" w:space="0" w:color="auto"/>
        <w:left w:val="none" w:sz="0" w:space="0" w:color="auto"/>
        <w:bottom w:val="none" w:sz="0" w:space="0" w:color="auto"/>
        <w:right w:val="none" w:sz="0" w:space="0" w:color="auto"/>
      </w:divBdr>
    </w:div>
    <w:div w:id="2075161377">
      <w:bodyDiv w:val="1"/>
      <w:marLeft w:val="0"/>
      <w:marRight w:val="0"/>
      <w:marTop w:val="0"/>
      <w:marBottom w:val="0"/>
      <w:divBdr>
        <w:top w:val="none" w:sz="0" w:space="0" w:color="auto"/>
        <w:left w:val="none" w:sz="0" w:space="0" w:color="auto"/>
        <w:bottom w:val="none" w:sz="0" w:space="0" w:color="auto"/>
        <w:right w:val="none" w:sz="0" w:space="0" w:color="auto"/>
      </w:divBdr>
    </w:div>
    <w:div w:id="2077777636">
      <w:bodyDiv w:val="1"/>
      <w:marLeft w:val="0"/>
      <w:marRight w:val="0"/>
      <w:marTop w:val="0"/>
      <w:marBottom w:val="0"/>
      <w:divBdr>
        <w:top w:val="none" w:sz="0" w:space="0" w:color="auto"/>
        <w:left w:val="none" w:sz="0" w:space="0" w:color="auto"/>
        <w:bottom w:val="none" w:sz="0" w:space="0" w:color="auto"/>
        <w:right w:val="none" w:sz="0" w:space="0" w:color="auto"/>
      </w:divBdr>
    </w:div>
    <w:div w:id="2082680884">
      <w:bodyDiv w:val="1"/>
      <w:marLeft w:val="0"/>
      <w:marRight w:val="0"/>
      <w:marTop w:val="0"/>
      <w:marBottom w:val="0"/>
      <w:divBdr>
        <w:top w:val="none" w:sz="0" w:space="0" w:color="auto"/>
        <w:left w:val="none" w:sz="0" w:space="0" w:color="auto"/>
        <w:bottom w:val="none" w:sz="0" w:space="0" w:color="auto"/>
        <w:right w:val="none" w:sz="0" w:space="0" w:color="auto"/>
      </w:divBdr>
    </w:div>
    <w:div w:id="208367696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962761">
      <w:bodyDiv w:val="1"/>
      <w:marLeft w:val="0"/>
      <w:marRight w:val="0"/>
      <w:marTop w:val="0"/>
      <w:marBottom w:val="0"/>
      <w:divBdr>
        <w:top w:val="none" w:sz="0" w:space="0" w:color="auto"/>
        <w:left w:val="none" w:sz="0" w:space="0" w:color="auto"/>
        <w:bottom w:val="none" w:sz="0" w:space="0" w:color="auto"/>
        <w:right w:val="none" w:sz="0" w:space="0" w:color="auto"/>
      </w:divBdr>
    </w:div>
    <w:div w:id="2089232019">
      <w:bodyDiv w:val="1"/>
      <w:marLeft w:val="0"/>
      <w:marRight w:val="0"/>
      <w:marTop w:val="0"/>
      <w:marBottom w:val="0"/>
      <w:divBdr>
        <w:top w:val="none" w:sz="0" w:space="0" w:color="auto"/>
        <w:left w:val="none" w:sz="0" w:space="0" w:color="auto"/>
        <w:bottom w:val="none" w:sz="0" w:space="0" w:color="auto"/>
        <w:right w:val="none" w:sz="0" w:space="0" w:color="auto"/>
      </w:divBdr>
    </w:div>
    <w:div w:id="2098209068">
      <w:bodyDiv w:val="1"/>
      <w:marLeft w:val="0"/>
      <w:marRight w:val="0"/>
      <w:marTop w:val="0"/>
      <w:marBottom w:val="0"/>
      <w:divBdr>
        <w:top w:val="none" w:sz="0" w:space="0" w:color="auto"/>
        <w:left w:val="none" w:sz="0" w:space="0" w:color="auto"/>
        <w:bottom w:val="none" w:sz="0" w:space="0" w:color="auto"/>
        <w:right w:val="none" w:sz="0" w:space="0" w:color="auto"/>
      </w:divBdr>
    </w:div>
    <w:div w:id="2099131993">
      <w:bodyDiv w:val="1"/>
      <w:marLeft w:val="0"/>
      <w:marRight w:val="0"/>
      <w:marTop w:val="0"/>
      <w:marBottom w:val="0"/>
      <w:divBdr>
        <w:top w:val="none" w:sz="0" w:space="0" w:color="auto"/>
        <w:left w:val="none" w:sz="0" w:space="0" w:color="auto"/>
        <w:bottom w:val="none" w:sz="0" w:space="0" w:color="auto"/>
        <w:right w:val="none" w:sz="0" w:space="0" w:color="auto"/>
      </w:divBdr>
    </w:div>
    <w:div w:id="2102020978">
      <w:bodyDiv w:val="1"/>
      <w:marLeft w:val="0"/>
      <w:marRight w:val="0"/>
      <w:marTop w:val="0"/>
      <w:marBottom w:val="0"/>
      <w:divBdr>
        <w:top w:val="none" w:sz="0" w:space="0" w:color="auto"/>
        <w:left w:val="none" w:sz="0" w:space="0" w:color="auto"/>
        <w:bottom w:val="none" w:sz="0" w:space="0" w:color="auto"/>
        <w:right w:val="none" w:sz="0" w:space="0" w:color="auto"/>
      </w:divBdr>
    </w:div>
    <w:div w:id="210954286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7096762">
      <w:bodyDiv w:val="1"/>
      <w:marLeft w:val="0"/>
      <w:marRight w:val="0"/>
      <w:marTop w:val="0"/>
      <w:marBottom w:val="0"/>
      <w:divBdr>
        <w:top w:val="none" w:sz="0" w:space="0" w:color="auto"/>
        <w:left w:val="none" w:sz="0" w:space="0" w:color="auto"/>
        <w:bottom w:val="none" w:sz="0" w:space="0" w:color="auto"/>
        <w:right w:val="none" w:sz="0" w:space="0" w:color="auto"/>
      </w:divBdr>
    </w:div>
    <w:div w:id="2118480483">
      <w:bodyDiv w:val="1"/>
      <w:marLeft w:val="0"/>
      <w:marRight w:val="0"/>
      <w:marTop w:val="0"/>
      <w:marBottom w:val="0"/>
      <w:divBdr>
        <w:top w:val="none" w:sz="0" w:space="0" w:color="auto"/>
        <w:left w:val="none" w:sz="0" w:space="0" w:color="auto"/>
        <w:bottom w:val="none" w:sz="0" w:space="0" w:color="auto"/>
        <w:right w:val="none" w:sz="0" w:space="0" w:color="auto"/>
      </w:divBdr>
    </w:div>
    <w:div w:id="2122021216">
      <w:bodyDiv w:val="1"/>
      <w:marLeft w:val="0"/>
      <w:marRight w:val="0"/>
      <w:marTop w:val="0"/>
      <w:marBottom w:val="0"/>
      <w:divBdr>
        <w:top w:val="none" w:sz="0" w:space="0" w:color="auto"/>
        <w:left w:val="none" w:sz="0" w:space="0" w:color="auto"/>
        <w:bottom w:val="none" w:sz="0" w:space="0" w:color="auto"/>
        <w:right w:val="none" w:sz="0" w:space="0" w:color="auto"/>
      </w:divBdr>
    </w:div>
    <w:div w:id="2124840249">
      <w:bodyDiv w:val="1"/>
      <w:marLeft w:val="0"/>
      <w:marRight w:val="0"/>
      <w:marTop w:val="0"/>
      <w:marBottom w:val="0"/>
      <w:divBdr>
        <w:top w:val="none" w:sz="0" w:space="0" w:color="auto"/>
        <w:left w:val="none" w:sz="0" w:space="0" w:color="auto"/>
        <w:bottom w:val="none" w:sz="0" w:space="0" w:color="auto"/>
        <w:right w:val="none" w:sz="0" w:space="0" w:color="auto"/>
      </w:divBdr>
    </w:div>
    <w:div w:id="2126462212">
      <w:bodyDiv w:val="1"/>
      <w:marLeft w:val="0"/>
      <w:marRight w:val="0"/>
      <w:marTop w:val="0"/>
      <w:marBottom w:val="0"/>
      <w:divBdr>
        <w:top w:val="none" w:sz="0" w:space="0" w:color="auto"/>
        <w:left w:val="none" w:sz="0" w:space="0" w:color="auto"/>
        <w:bottom w:val="none" w:sz="0" w:space="0" w:color="auto"/>
        <w:right w:val="none" w:sz="0" w:space="0" w:color="auto"/>
      </w:divBdr>
    </w:div>
    <w:div w:id="2126728186">
      <w:bodyDiv w:val="1"/>
      <w:marLeft w:val="0"/>
      <w:marRight w:val="0"/>
      <w:marTop w:val="0"/>
      <w:marBottom w:val="0"/>
      <w:divBdr>
        <w:top w:val="none" w:sz="0" w:space="0" w:color="auto"/>
        <w:left w:val="none" w:sz="0" w:space="0" w:color="auto"/>
        <w:bottom w:val="none" w:sz="0" w:space="0" w:color="auto"/>
        <w:right w:val="none" w:sz="0" w:space="0" w:color="auto"/>
      </w:divBdr>
    </w:div>
    <w:div w:id="2129231269">
      <w:bodyDiv w:val="1"/>
      <w:marLeft w:val="0"/>
      <w:marRight w:val="0"/>
      <w:marTop w:val="0"/>
      <w:marBottom w:val="0"/>
      <w:divBdr>
        <w:top w:val="none" w:sz="0" w:space="0" w:color="auto"/>
        <w:left w:val="none" w:sz="0" w:space="0" w:color="auto"/>
        <w:bottom w:val="none" w:sz="0" w:space="0" w:color="auto"/>
        <w:right w:val="none" w:sz="0" w:space="0" w:color="auto"/>
      </w:divBdr>
    </w:div>
    <w:div w:id="2129856830">
      <w:bodyDiv w:val="1"/>
      <w:marLeft w:val="0"/>
      <w:marRight w:val="0"/>
      <w:marTop w:val="0"/>
      <w:marBottom w:val="0"/>
      <w:divBdr>
        <w:top w:val="none" w:sz="0" w:space="0" w:color="auto"/>
        <w:left w:val="none" w:sz="0" w:space="0" w:color="auto"/>
        <w:bottom w:val="none" w:sz="0" w:space="0" w:color="auto"/>
        <w:right w:val="none" w:sz="0" w:space="0" w:color="auto"/>
      </w:divBdr>
    </w:div>
    <w:div w:id="2134982142">
      <w:bodyDiv w:val="1"/>
      <w:marLeft w:val="0"/>
      <w:marRight w:val="0"/>
      <w:marTop w:val="0"/>
      <w:marBottom w:val="0"/>
      <w:divBdr>
        <w:top w:val="none" w:sz="0" w:space="0" w:color="auto"/>
        <w:left w:val="none" w:sz="0" w:space="0" w:color="auto"/>
        <w:bottom w:val="none" w:sz="0" w:space="0" w:color="auto"/>
        <w:right w:val="none" w:sz="0" w:space="0" w:color="auto"/>
      </w:divBdr>
    </w:div>
    <w:div w:id="213636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9" Type="http://schemas.openxmlformats.org/officeDocument/2006/relationships/hyperlink" Target="https://www.orr.gov.uk/media/10723" TargetMode="External"/><Relationship Id="rId21" Type="http://schemas.openxmlformats.org/officeDocument/2006/relationships/header" Target="header4.xml"/><Relationship Id="rId34" Type="http://schemas.openxmlformats.org/officeDocument/2006/relationships/hyperlink" Target="https://www.hse.gov.uk/foi/internalops/ocs/100-199/130_8.htm" TargetMode="External"/><Relationship Id="rId42" Type="http://schemas.openxmlformats.org/officeDocument/2006/relationships/hyperlink" Target="https://prodonrgov.sharepoint.com/sites/HOW2Hub" TargetMode="External"/><Relationship Id="rId47" Type="http://schemas.openxmlformats.org/officeDocument/2006/relationships/hyperlink" Target="https://www.onr.org.uk/working-with-others/agreements-with-others/agency-agreements" TargetMode="External"/><Relationship Id="rId50" Type="http://schemas.openxmlformats.org/officeDocument/2006/relationships/header" Target="header7.xm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header" Target="header1.xml"/><Relationship Id="rId29" Type="http://schemas.openxmlformats.org/officeDocument/2006/relationships/image" Target="media/image3.jpeg"/><Relationship Id="rId11" Type="http://schemas.openxmlformats.org/officeDocument/2006/relationships/settings" Target="settings.xml"/><Relationship Id="rId24" Type="http://schemas.openxmlformats.org/officeDocument/2006/relationships/header" Target="header5.xml"/><Relationship Id="rId32" Type="http://schemas.openxmlformats.org/officeDocument/2006/relationships/hyperlink" Target="http://www.copfs.gov.uk/images/Documents/Prosecution_Policy_Guidance/Prosecution20Code20_Final20180412__1.pdf" TargetMode="External"/><Relationship Id="rId37" Type="http://schemas.openxmlformats.org/officeDocument/2006/relationships/hyperlink" Target="http://www.copfs.gov.uk/images/Documents/Prosecution_Policy_Guidance/Prosecution20Code20_Final20180412__1.pdf" TargetMode="External"/><Relationship Id="rId40" Type="http://schemas.openxmlformats.org/officeDocument/2006/relationships/hyperlink" Target="https://view.officeapps.live.com/op/view.aspx?src=https%3A%2F%2Fwww.onr.org.uk%2Fmedia%2Fmtrbcsv3%2Fonr-enf-pol-001-onr-enforcement-policy-statement-1.docx&amp;wdOrigin=BROWSELINK" TargetMode="External"/><Relationship Id="rId45" Type="http://schemas.openxmlformats.org/officeDocument/2006/relationships/hyperlink" Target="https://prodonrgov.sharepoint.com/sites/HOW2Hub" TargetMode="External"/><Relationship Id="rId53" Type="http://schemas.openxmlformats.org/officeDocument/2006/relationships/glossaryDocument" Target="glossary/document.xml"/><Relationship Id="rId5" Type="http://schemas.openxmlformats.org/officeDocument/2006/relationships/customXml" Target="../customXml/item4.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hyperlink" Target="https://www.cps.gov.uk/publications/docs/code_2013_accessible_english.pdf" TargetMode="External"/><Relationship Id="rId44" Type="http://schemas.openxmlformats.org/officeDocument/2006/relationships/hyperlink" Target="https://www.hse.gov.uk/foi/internalops/ocs/100-199/130_14.htm" TargetMode="External"/><Relationship Id="rId52"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image" Target="media/image2.png"/><Relationship Id="rId30" Type="http://schemas.openxmlformats.org/officeDocument/2006/relationships/image" Target="cid:image004.jpg@01DC4A6C.3F72BE00" TargetMode="External"/><Relationship Id="rId35" Type="http://schemas.openxmlformats.org/officeDocument/2006/relationships/hyperlink" Target="https://prodonrgov.sharepoint.com/:w:/r/sites/HOW2Hub/_layouts/15/Doc.aspx?sourcedoc=%7B09C79EB8-4FD9-FF16-53A8-125ED3C332ED%7D&amp;file=ONR-POL-GD-001%20-%20Accessing%20public%20and%20criminal%20law%20legal%20advice.docx&amp;action=default&amp;mobileredirect=true&amp;DefaultItemOpen=1" TargetMode="External"/><Relationship Id="rId43" Type="http://schemas.openxmlformats.org/officeDocument/2006/relationships/hyperlink" Target="https://prodonrgov.sharepoint.com/sites/HOW2Hub" TargetMode="External"/><Relationship Id="rId48" Type="http://schemas.openxmlformats.org/officeDocument/2006/relationships/hyperlink" Target="https://prodonrgov.sharepoint.com/sites/HOW2Hub" TargetMode="External"/><Relationship Id="rId8" Type="http://schemas.openxmlformats.org/officeDocument/2006/relationships/customXml" Target="../customXml/item7.xml"/><Relationship Id="rId51" Type="http://schemas.openxmlformats.org/officeDocument/2006/relationships/hyperlink" Target="https://prodonrgov.sharepoint.com/sites/HOW2Hub/_layouts/15/DocIdRedir.aspx?ID=ONRHH-822789359-20664" TargetMode="External"/><Relationship Id="rId3" Type="http://schemas.openxmlformats.org/officeDocument/2006/relationships/customXml" Target="../customXml/item2.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yperlink" Target="https://www.onr.org.uk/working-with-others/agreements-with-others/agency-agreements" TargetMode="External"/><Relationship Id="rId38" Type="http://schemas.openxmlformats.org/officeDocument/2006/relationships/hyperlink" Target="https://www.hse.gov.uk/enforce/enforcement-management-model.htm" TargetMode="External"/><Relationship Id="rId46" Type="http://schemas.openxmlformats.org/officeDocument/2006/relationships/hyperlink" Target="https://www.hse.gov.uk/foi/internalops/og/ogprocedures/notices/appeal.htm" TargetMode="External"/><Relationship Id="rId20" Type="http://schemas.openxmlformats.org/officeDocument/2006/relationships/header" Target="header3.xml"/><Relationship Id="rId41" Type="http://schemas.openxmlformats.org/officeDocument/2006/relationships/hyperlink" Target="http://www.hse.gov.uk/enforce/wrdp/" TargetMode="External"/><Relationship Id="rId54"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hyperlink" Target="https://prodonrgov.sharepoint.com/:w:/r/sites/HOW2Hub/_layouts/15/Doc.aspx?sourcedoc=%7B422CCCB1-F54C-2D7E-1561-17D243311B84%7D&amp;file=NS-INSP-GD-051%20-%20Dealing%20with%20Matters%20of%20Evident%20Concern%20and%20Potential%20Major%20Concern.docx&amp;action=default&amp;mobileredirect=true&amp;DefaultItemOpen=1" TargetMode="External"/><Relationship Id="rId36" Type="http://schemas.openxmlformats.org/officeDocument/2006/relationships/hyperlink" Target="https://www.cps.gov.uk/publication/code-crown-prosecutors" TargetMode="External"/><Relationship Id="rId49" Type="http://schemas.openxmlformats.org/officeDocument/2006/relationships/hyperlink" Target="https://prodonrgov.sharepoint.com/sites/HOW2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A39D0BB54F824391B9DEBC5165932BBE"/>
        <w:category>
          <w:name w:val="General"/>
          <w:gallery w:val="placeholder"/>
        </w:category>
        <w:types>
          <w:type w:val="bbPlcHdr"/>
        </w:types>
        <w:behaviors>
          <w:behavior w:val="content"/>
        </w:behaviors>
        <w:guid w:val="{17929945-C406-4CAE-A74A-D5FBE1F67DCC}"/>
      </w:docPartPr>
      <w:docPartBody>
        <w:p w:rsidR="008B2C0E" w:rsidRDefault="00596803" w:rsidP="00596803">
          <w:pPr>
            <w:pStyle w:val="A39D0BB54F824391B9DEBC5165932BBE"/>
          </w:pPr>
          <w:r w:rsidRPr="00561874">
            <w:rPr>
              <w:rStyle w:val="PlaceholderText"/>
            </w:rPr>
            <w:t>[Title]</w:t>
          </w:r>
        </w:p>
      </w:docPartBody>
    </w:docPart>
    <w:docPart>
      <w:docPartPr>
        <w:name w:val="BB59213F2EAD4611ACFFDA8D3A011C80"/>
        <w:category>
          <w:name w:val="General"/>
          <w:gallery w:val="placeholder"/>
        </w:category>
        <w:types>
          <w:type w:val="bbPlcHdr"/>
        </w:types>
        <w:behaviors>
          <w:behavior w:val="content"/>
        </w:behaviors>
        <w:guid w:val="{9732B509-B367-42CA-BE90-06B45DCC113C}"/>
      </w:docPartPr>
      <w:docPartBody>
        <w:p w:rsidR="008B2C0E" w:rsidRDefault="00596803" w:rsidP="00596803">
          <w:pPr>
            <w:pStyle w:val="BB59213F2EAD4611ACFFDA8D3A011C80"/>
          </w:pPr>
          <w:r w:rsidRPr="00D1240B">
            <w:rPr>
              <w:rStyle w:val="PlaceholderText"/>
            </w:rPr>
            <w:t>[Status]</w:t>
          </w:r>
        </w:p>
      </w:docPartBody>
    </w:docPart>
    <w:docPart>
      <w:docPartPr>
        <w:name w:val="296F1CB66ADE4832A9D850676435F19A"/>
        <w:category>
          <w:name w:val="General"/>
          <w:gallery w:val="placeholder"/>
        </w:category>
        <w:types>
          <w:type w:val="bbPlcHdr"/>
        </w:types>
        <w:behaviors>
          <w:behavior w:val="content"/>
        </w:behaviors>
        <w:guid w:val="{EC2674D4-BDCD-4E06-97F0-23588887B134}"/>
      </w:docPartPr>
      <w:docPartBody>
        <w:p w:rsidR="000D4C0B" w:rsidRDefault="000D4C0B" w:rsidP="000D4C0B">
          <w:pPr>
            <w:pStyle w:val="296F1CB66ADE4832A9D850676435F19A"/>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KRSTL+Arial-Bold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6605"/>
    <w:rsid w:val="000A5DC7"/>
    <w:rsid w:val="000B6F3E"/>
    <w:rsid w:val="000D4C0B"/>
    <w:rsid w:val="00114167"/>
    <w:rsid w:val="00141B69"/>
    <w:rsid w:val="00177171"/>
    <w:rsid w:val="00183F29"/>
    <w:rsid w:val="001E3981"/>
    <w:rsid w:val="001E78E4"/>
    <w:rsid w:val="002550FD"/>
    <w:rsid w:val="002A0C9C"/>
    <w:rsid w:val="002E15A8"/>
    <w:rsid w:val="00333F8E"/>
    <w:rsid w:val="00347215"/>
    <w:rsid w:val="00350199"/>
    <w:rsid w:val="003A5187"/>
    <w:rsid w:val="003F7FE5"/>
    <w:rsid w:val="004970FA"/>
    <w:rsid w:val="004A661D"/>
    <w:rsid w:val="004C4BBB"/>
    <w:rsid w:val="004E15A7"/>
    <w:rsid w:val="00534881"/>
    <w:rsid w:val="00540924"/>
    <w:rsid w:val="0059466C"/>
    <w:rsid w:val="00596803"/>
    <w:rsid w:val="005D74F6"/>
    <w:rsid w:val="006102BF"/>
    <w:rsid w:val="0067617F"/>
    <w:rsid w:val="00691CB7"/>
    <w:rsid w:val="00694265"/>
    <w:rsid w:val="007154C5"/>
    <w:rsid w:val="00754430"/>
    <w:rsid w:val="00761406"/>
    <w:rsid w:val="008162A7"/>
    <w:rsid w:val="00835E07"/>
    <w:rsid w:val="008B2C0E"/>
    <w:rsid w:val="008E5A86"/>
    <w:rsid w:val="00916EEE"/>
    <w:rsid w:val="009351AD"/>
    <w:rsid w:val="00943881"/>
    <w:rsid w:val="0096113F"/>
    <w:rsid w:val="009675DE"/>
    <w:rsid w:val="009D008C"/>
    <w:rsid w:val="009E7521"/>
    <w:rsid w:val="00A154CD"/>
    <w:rsid w:val="00A24D40"/>
    <w:rsid w:val="00A26B59"/>
    <w:rsid w:val="00A5572A"/>
    <w:rsid w:val="00A852CC"/>
    <w:rsid w:val="00BB4A55"/>
    <w:rsid w:val="00BD0A6F"/>
    <w:rsid w:val="00BF7D2A"/>
    <w:rsid w:val="00C26478"/>
    <w:rsid w:val="00C41BCC"/>
    <w:rsid w:val="00C44478"/>
    <w:rsid w:val="00C65193"/>
    <w:rsid w:val="00D0489D"/>
    <w:rsid w:val="00D06369"/>
    <w:rsid w:val="00D5542C"/>
    <w:rsid w:val="00D64810"/>
    <w:rsid w:val="00DD372A"/>
    <w:rsid w:val="00DD7BA4"/>
    <w:rsid w:val="00DE3E07"/>
    <w:rsid w:val="00DF32A5"/>
    <w:rsid w:val="00E00359"/>
    <w:rsid w:val="00E318CE"/>
    <w:rsid w:val="00E646E1"/>
    <w:rsid w:val="00E94386"/>
    <w:rsid w:val="00EA1AB1"/>
    <w:rsid w:val="00EE0C42"/>
    <w:rsid w:val="00F07F7D"/>
    <w:rsid w:val="00F724DE"/>
    <w:rsid w:val="00F76648"/>
    <w:rsid w:val="00F93872"/>
    <w:rsid w:val="00FB096C"/>
    <w:rsid w:val="00FC77BE"/>
    <w:rsid w:val="00FD743C"/>
    <w:rsid w:val="00FF6C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4C0B"/>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A39D0BB54F824391B9DEBC5165932BBE">
    <w:name w:val="A39D0BB54F824391B9DEBC5165932BBE"/>
    <w:rsid w:val="00596803"/>
    <w:pPr>
      <w:spacing w:line="278" w:lineRule="auto"/>
    </w:pPr>
    <w:rPr>
      <w:kern w:val="2"/>
      <w:sz w:val="24"/>
      <w:szCs w:val="24"/>
      <w14:ligatures w14:val="standardContextual"/>
    </w:rPr>
  </w:style>
  <w:style w:type="paragraph" w:customStyle="1" w:styleId="BB59213F2EAD4611ACFFDA8D3A011C80">
    <w:name w:val="BB59213F2EAD4611ACFFDA8D3A011C80"/>
    <w:rsid w:val="00596803"/>
    <w:pPr>
      <w:spacing w:line="278" w:lineRule="auto"/>
    </w:pPr>
    <w:rPr>
      <w:kern w:val="2"/>
      <w:sz w:val="24"/>
      <w:szCs w:val="24"/>
      <w14:ligatures w14:val="standardContextual"/>
    </w:rPr>
  </w:style>
  <w:style w:type="paragraph" w:customStyle="1" w:styleId="296F1CB66ADE4832A9D850676435F19A">
    <w:name w:val="296F1CB66ADE4832A9D850676435F19A"/>
    <w:rsid w:val="000D4C0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b:Source>
    <b:Tag>ONR187</b:Tag>
    <b:SourceType>ElectronicSource</b:SourceType>
    <b:Guid>{29D4FEB3-F405-424D-8F7F-6B6FB6B55A23}</b:Guid>
    <b:Author>
      <b:Author>
        <b:Corporate>ONR</b:Corporate>
      </b:Author>
    </b:Author>
    <b:Title>ONR-INSP-GD-064 - General Inspection Guide</b:Title>
    <b:RefOrder>2</b:RefOrder>
  </b:Source>
  <b:Source>
    <b:Tag>HSE11</b:Tag>
    <b:SourceType>DocumentFromInternetSite</b:SourceType>
    <b:Guid>{A16A1F82-C315-42D9-9C27-66FDC8911CC6}</b:Guid>
    <b:Title>Enforcement Management Model (EMM) (Version 3.2)</b:Title>
    <b:Author>
      <b:Author>
        <b:Corporate>HSE</b:Corporate>
      </b:Author>
    </b:Author>
    <b:URL>https://www.hse.gov.uk/enforce/emm.pdf</b:URL>
    <b:RefOrder>9</b:RefOrder>
  </b:Source>
  <b:Source>
    <b:Tag>ONR344</b:Tag>
    <b:SourceType>ElectronicSource</b:SourceType>
    <b:Guid>{76B8B9F4-EE8D-4803-9DED-17390A5470AF}</b:Guid>
    <b:Title>NS-PER-GD-001 - Nuclear Safety Permissioning</b:Title>
    <b:Author>
      <b:Author>
        <b:Corporate>ONR</b:Corporate>
      </b:Author>
    </b:Author>
    <b:RefOrder>13</b:RefOrder>
  </b:Source>
  <b:Source>
    <b:Tag>HSE55</b:Tag>
    <b:SourceType>InternetSite</b:SourceType>
    <b:Guid>{6662A5CE-877A-4C18-B4DE-F8B9966711CD}</b:Guid>
    <b:Title>Operational guidance</b:Title>
    <b:URL>https://www.hse.gov.uk/foi/internalops/index.htm</b:URL>
    <b:Author>
      <b:Author>
        <b:Corporate>HSE</b:Corporate>
      </b:Author>
    </b:Author>
    <b:RefOrder>10</b:RefOrder>
  </b:Source>
  <b:Source>
    <b:Tag>Placeholder1</b:Tag>
    <b:SourceType>ElectronicSource</b:SourceType>
    <b:Guid>{EBFABE1C-434F-437D-922D-6231A1393A57}</b:Guid>
    <b:Title>ONR-RIO-PROC-002 - Process for Notifying Incidents to ONR</b:Title>
    <b:Author>
      <b:Author>
        <b:Corporate>ONR</b:Corporate>
      </b:Author>
    </b:Author>
    <b:RefOrder>17</b:RefOrder>
  </b:Source>
  <b:Source>
    <b:Tag>ONR1811</b:Tag>
    <b:SourceType>DocumentFromInternetSite</b:SourceType>
    <b:Guid>{3C7BF040-719D-4596-93BC-CC3B99526626}</b:Guid>
    <b:Author>
      <b:Author>
        <b:Corporate>ONR</b:Corporate>
      </b:Author>
    </b:Author>
    <b:Title>A guide to enabling regulation</b:Title>
    <b:Year>2020</b:Year>
    <b:URL>https://www.onr.org.uk/documents/2020/a-guide-to-enabling-regulation-2020.pdf</b:URL>
    <b:RefOrder>27</b:RefOrder>
  </b:Source>
  <b:Source>
    <b:Tag>ONR439</b:Tag>
    <b:SourceType>ElectronicSource</b:SourceType>
    <b:Guid>{C385D105-F17A-4242-B24E-AB0F831EBD50}</b:Guid>
    <b:Author>
      <b:Author>
        <b:Corporate>ONR</b:Corporate>
      </b:Author>
    </b:Author>
    <b:Title>NS-INSP-PROC-001 - Resolving Differences of Regulatory Opinion</b:Title>
    <b:RefOrder>20</b:RefOrder>
  </b:Source>
  <b:Source>
    <b:Tag>ONR177</b:Tag>
    <b:SourceType>ElectronicSource</b:SourceType>
    <b:Guid>{EEAA8A75-EB72-41A1-A419-DC48F4EFFDAA}</b:Guid>
    <b:Author>
      <b:Author>
        <b:Corporate>ONR</b:Corporate>
      </b:Author>
    </b:Author>
    <b:Title>ONR-GEN-GD-013 - Guidance on the assignment on Dutyholder attention levels</b:Title>
    <b:RefOrder>19</b:RefOrder>
  </b:Source>
  <b:Source>
    <b:Tag>The</b:Tag>
    <b:SourceType>ElectronicSource</b:SourceType>
    <b:Guid>{9C3304B2-3A8A-4CA9-B2B7-24E43A1B1625}</b:Guid>
    <b:Title>The Control of Major Accident Hazards Regulations 2015 (https://www.legislation.gov.uk/uksi/2015/483/contents)</b:Title>
    <b:RefOrder>15</b:RefOrder>
  </b:Source>
  <b:Source>
    <b:Tag>ONR14</b:Tag>
    <b:SourceType>DocumentFromInternetSite</b:SourceType>
    <b:Guid>{11CB6CA8-C8FB-45E1-BE8C-018C20ACD72A}</b:Guid>
    <b:Author>
      <b:Author>
        <b:Corporate>ONR</b:Corporate>
      </b:Author>
    </b:Author>
    <b:Title>ONR-ENF-POL-001 - Enforcement Policy Statement</b:Title>
    <b:URL>https://www.onr.org.uk/our-work/how-we-regulate/enforcement/</b:URL>
    <b:RefOrder>1</b:RefOrder>
  </b:Source>
  <b:Source>
    <b:Tag>Inv</b:Tag>
    <b:SourceType>ElectronicSource</b:SourceType>
    <b:Guid>{74EBACD1-FF9C-4E3F-BBEA-75D7A3DC0B54}</b:Guid>
    <b:Title>ONR-DOC-TEMP-171 - Investigation and Prosecution Record Template </b:Title>
    <b:Author>
      <b:Author>
        <b:Corporate>ONR</b:Corporate>
      </b:Author>
    </b:Author>
    <b:RefOrder>4</b:RefOrder>
  </b:Source>
  <b:Source>
    <b:Tag>ONR31</b:Tag>
    <b:SourceType>ElectronicSource</b:SourceType>
    <b:Guid>{01216E01-054B-4DA0-BBDC-FF1B9D1A063A}</b:Guid>
    <b:Author>
      <b:Author>
        <b:Corporate>ONR</b:Corporate>
      </b:Author>
    </b:Author>
    <b:Title>ONR-ENF-GD-005 - Conducting Investigations</b:Title>
    <b:RefOrder>3</b:RefOrder>
  </b:Source>
  <b:Source>
    <b:Tag>Hea</b:Tag>
    <b:SourceType>InternetSite</b:SourceType>
    <b:Guid>{A1AB9A4A-BB26-4B9B-9D37-385F4B32B359}</b:Guid>
    <b:Title>Health and Safety at Work etc. Act 1974</b:Title>
    <b:Year>1974</b:Year>
    <b:Author>
      <b:Author>
        <b:Corporate>HMG</b:Corporate>
      </b:Author>
    </b:Author>
    <b:URL>ttps://www.legislation.gov.uk/ukpga/1974/37/contents</b:URL>
    <b:RefOrder>5</b:RefOrder>
  </b:Source>
  <b:Source>
    <b:Tag>Gov</b:Tag>
    <b:SourceType>InternetSite</b:SourceType>
    <b:Guid>{0E1E2864-EFD4-48B7-B866-49A1CF2FEC01}</b:Guid>
    <b:Author>
      <b:Author>
        <b:Corporate>HMG</b:Corporate>
      </b:Author>
    </b:Author>
    <b:Title>The Energy Act 2013</b:Title>
    <b:Year>2013</b:Year>
    <b:URL>https://www.legislation.gov.uk/ukpga/2013/32/contents</b:URL>
    <b:RefOrder>6</b:RefOrder>
  </b:Source>
  <b:Source>
    <b:Tag>HMG186</b:Tag>
    <b:SourceType>InternetSite</b:SourceType>
    <b:Guid>{A737A0A2-2C5C-4E2C-9C3F-63FBE3F32270}</b:Guid>
    <b:Title>Judge over your shoulder (6th edition)</b:Title>
    <b:Year>2022</b:Year>
    <b:URL>https://www.gov.uk/government/publications/judge-over-your-shoulder</b:URL>
    <b:Author>
      <b:Author>
        <b:Corporate>HMG</b:Corporate>
      </b:Author>
    </b:Author>
    <b:RefOrder>7</b:RefOrder>
  </b:Source>
  <b:Source>
    <b:Tag>HMG143</b:Tag>
    <b:SourceType>InternetSite</b:SourceType>
    <b:Guid>{1594BDCC-67C9-466E-9EAD-2B691A31D297}</b:Guid>
    <b:Title>Regulators Code</b:Title>
    <b:Year>2014</b:Year>
    <b:URL>https://www.gov.uk/government/publications/regulators-code</b:URL>
    <b:Author>
      <b:Author>
        <b:Corporate>HMG</b:Corporate>
      </b:Author>
    </b:Author>
    <b:RefOrder>8</b:RefOrder>
  </b:Source>
  <b:Source>
    <b:Tag>ONR379</b:Tag>
    <b:SourceType>ElectronicSource</b:SourceType>
    <b:Guid>{5C4FB191-3F07-4ABF-907A-45015D57488A}</b:Guid>
    <b:Author>
      <b:Author>
        <b:Corporate>ONR</b:Corporate>
      </b:Author>
    </b:Author>
    <b:Title>ONR-DOC-TEMP-128 - Enforcement Decision Record (EDR)</b:Title>
    <b:RefOrder>11</b:RefOrder>
  </b:Source>
  <b:Source>
    <b:Tag>ONR557</b:Tag>
    <b:SourceType>ElectronicSource</b:SourceType>
    <b:Guid>{0BCC8C56-16BA-4971-9FC1-6393740567A0}</b:Guid>
    <b:Title>ONR-DOC-TEMP-381 - CDG09 Enforcement Decision Record (CDGEDR) Template</b:Title>
    <b:Author>
      <b:Author>
        <b:Corporate>ONR</b:Corporate>
      </b:Author>
    </b:Author>
    <b:RefOrder>12</b:RefOrder>
  </b:Source>
  <b:Source>
    <b:Tag>ONR12</b:Tag>
    <b:SourceType>DocumentFromInternetSite</b:SourceType>
    <b:Guid>{983C8A30-E5F9-484A-95D3-9346EFBD21FA}</b:Guid>
    <b:Author>
      <b:Author>
        <b:Corporate>ONR</b:Corporate>
      </b:Author>
    </b:Author>
    <b:Title>Memorandum of Understanding on the implemenation on the Control of Major Accident Hazards (COMAH) Regulations</b:Title>
    <b:URL>https://www.onr.org.uk/media/z1moinc4/mou-comah.pdf</b:URL>
    <b:RefOrder>14</b:RefOrder>
  </b:Source>
  <b:Source>
    <b:Tag>ONR100</b:Tag>
    <b:SourceType>InternetSite</b:SourceType>
    <b:Guid>{F935F997-5DCA-4F04-8664-DE93D187090C}</b:Guid>
    <b:Author>
      <b:Author>
        <b:Corporate>ONR</b:Corporate>
      </b:Author>
    </b:Author>
    <b:Title>NS-TAST-GD-005 - Regulating duties to reduce risks to ALARP</b:Title>
    <b:RefOrder>16</b:RefOrder>
  </b:Source>
  <b:Source>
    <b:Tag>ONR</b:Tag>
    <b:SourceType>ElectronicSource</b:SourceType>
    <b:Guid>{E300DCA8-56B5-4CD2-8523-B60E54627929}</b:Guid>
    <b:Author>
      <b:Author>
        <b:Corporate>ONR</b:Corporate>
      </b:Author>
    </b:Author>
    <b:Title>ONR-RD-FW-001 - Risk Informed Regulatory Decision Making (RIRDM)</b:Title>
    <b:RefOrder>18</b:RefOrder>
  </b:Source>
  <b:Source>
    <b:Tag>ONR179</b:Tag>
    <b:SourceType>ElectronicSource</b:SourceType>
    <b:Guid>{9050A908-4EBC-4AE5-A0CB-F30F9D8894F0}</b:Guid>
    <b:Author>
      <b:Author>
        <b:Corporate>ONR</b:Corporate>
      </b:Author>
    </b:Author>
    <b:Title>ONR-RIO-PROC-001 - Management of Regulatory Issues</b:Title>
    <b:RefOrder>21</b:RefOrder>
  </b:Source>
  <b:Source>
    <b:Tag>Reg</b:Tag>
    <b:SourceType>ElectronicSource</b:SourceType>
    <b:Guid>{760729FA-4131-411C-B139-081F2A351425}</b:Guid>
    <b:Title>NS-INSP-GD-056 - Regulation of Great Britain’s Defence Nuclear Programme</b:Title>
    <b:Author>
      <b:Author>
        <b:Corporate>ONR</b:Corporate>
      </b:Author>
    </b:Author>
    <b:RefOrder>22</b:RefOrder>
  </b:Source>
  <b:Source>
    <b:Tag>HMG032</b:Tag>
    <b:SourceType>InternetSite</b:SourceType>
    <b:Guid>{4FB713B5-C24A-46A8-89DA-C6C53ED02F27}</b:Guid>
    <b:Author>
      <b:Author>
        <b:Corporate>HMG</b:Corporate>
      </b:Author>
    </b:Author>
    <b:Title>The Nuclear Industries Security Regulations 2003 (NISR) (UK Statutory Instruments 2003 No. 403)</b:Title>
    <b:Year>2003</b:Year>
    <b:URL>https://www.legislation.gov.uk/uksi/2003/403/contents/made</b:URL>
    <b:RefOrder>23</b:RefOrder>
  </b:Source>
  <b:Source>
    <b:Tag>ONR1</b:Tag>
    <b:SourceType>DocumentFromInternetSite</b:SourceType>
    <b:Guid>{E179F69D-C362-41BC-9AD1-25A8B6CCA327}</b:Guid>
    <b:Author>
      <b:Author>
        <b:Corporate>ONR</b:Corporate>
      </b:Author>
    </b:Author>
    <b:Title>Licence Condition Handbook</b:Title>
    <b:URL>https://www.onr.org.uk/media/gixbe2br/licence-condition-handbook.pdf</b:URL>
    <b:RefOrder>24</b:RefOrder>
  </b:Source>
  <b:Source>
    <b:Tag>HMG1712</b:Tag>
    <b:SourceType>InternetSite</b:SourceType>
    <b:Guid>{809A747B-A40F-478E-8C13-50C3305AB776}</b:Guid>
    <b:Author>
      <b:Author>
        <b:Corporate>HMG</b:Corporate>
      </b:Author>
    </b:Author>
    <b:Title>The Ionising Radiations Regulations 2017</b:Title>
    <b:Year>2017</b:Year>
    <b:URL>https://www.legislation.gov.uk/uksi/2017/1075/contents</b:URL>
    <b:RefOrder>25</b:RefOrder>
  </b:Source>
  <b:Source>
    <b:Tag>HMG6</b:Tag>
    <b:SourceType>InternetSite</b:SourceType>
    <b:Guid>{96AA2B8B-5E53-4DEF-9677-43DAAB942D43}</b:Guid>
    <b:Title>The Nuclear Safeguards (EU Exit) Regulations 2019</b:Title>
    <b:Author>
      <b:Author>
        <b:Corporate>HMG</b:Corporate>
      </b:Author>
    </b:Author>
    <b:Year>2019</b:Year>
    <b:URL>https://www.legislation.gov.uk/uksi/2019/196/contents</b:URL>
    <b:RefOrder>26</b:RefOrder>
  </b:Source>
</b:Source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98d39b6e1658d9aacee7a177cd0a3472">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54e8bfbde86df188824f5bfe20fe19cc"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Regulator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Development of Regulations and Guides"/>
              <xsd:enumeration value="HoR - Emergency Preparedness and Response"/>
              <xsd:enumeration value="HoR - Research and Development"/>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R - Regulatory Development"/>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Legal Cell Lead"/>
              <xsd:enumeration value="Regulatory Capability Lead"/>
              <xsd:enumeration value="Regulatory Intelligence Lead"/>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0FB49F-C39D-4AD6-B6B6-68858A6A5C2A}">
  <ds:schemaRefs>
    <ds:schemaRef ds:uri="http://schemas.microsoft.com/sharepoint/v3/contenttype/forms"/>
  </ds:schemaRefs>
</ds:datastoreItem>
</file>

<file path=customXml/itemProps3.xml><?xml version="1.0" encoding="utf-8"?>
<ds:datastoreItem xmlns:ds="http://schemas.openxmlformats.org/officeDocument/2006/customXml" ds:itemID="{8480F0A6-79D0-416B-B9BE-565399263CC0}">
  <ds:schemaRefs>
    <ds:schemaRef ds:uri="http://schemas.openxmlformats.org/officeDocument/2006/bibliography"/>
  </ds:schemaRefs>
</ds:datastoreItem>
</file>

<file path=customXml/itemProps4.xml><?xml version="1.0" encoding="utf-8"?>
<ds:datastoreItem xmlns:ds="http://schemas.openxmlformats.org/officeDocument/2006/customXml" ds:itemID="{A5232442-8F93-46A5-B28D-9ED1E20DF984}">
  <ds:schemaRefs>
    <ds:schemaRef ds:uri="Microsoft.SharePoint.Taxonomy.ContentTypeSync"/>
  </ds:schemaRefs>
</ds:datastoreItem>
</file>

<file path=customXml/itemProps5.xml><?xml version="1.0" encoding="utf-8"?>
<ds:datastoreItem xmlns:ds="http://schemas.openxmlformats.org/officeDocument/2006/customXml" ds:itemID="{D641FA0E-E9B4-4AA2-A126-314400E864C2}">
  <ds:schemaRef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fbd4c4c3-96d4-4265-b68e-6a383a5dca66"/>
    <ds:schemaRef ds:uri="http://purl.org/dc/elements/1.1/"/>
    <ds:schemaRef ds:uri="05350e14-297a-489c-ad04-faf6563b232c"/>
    <ds:schemaRef ds:uri="8c4e2855-9588-4bc9-9890-af639bd565eb"/>
    <ds:schemaRef ds:uri="http://www.w3.org/XML/1998/namespace"/>
  </ds:schemaRefs>
</ds:datastoreItem>
</file>

<file path=customXml/itemProps6.xml><?xml version="1.0" encoding="utf-8"?>
<ds:datastoreItem xmlns:ds="http://schemas.openxmlformats.org/officeDocument/2006/customXml" ds:itemID="{9EAE5929-0027-4FEA-9922-8C805BFF00E7}">
  <ds:schemaRefs>
    <ds:schemaRef ds:uri="http://schemas.microsoft.com/sharepoint/events"/>
  </ds:schemaRefs>
</ds:datastoreItem>
</file>

<file path=customXml/itemProps7.xml><?xml version="1.0" encoding="utf-8"?>
<ds:datastoreItem xmlns:ds="http://schemas.openxmlformats.org/officeDocument/2006/customXml" ds:itemID="{E6A0AE5C-93FC-46B1-880E-ED3579E6C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53</Pages>
  <Words>15229</Words>
  <Characters>83003</Characters>
  <Application>Microsoft Office Word</Application>
  <DocSecurity>0</DocSecurity>
  <Lines>3192</Lines>
  <Paragraphs>2090</Paragraphs>
  <ScaleCrop>false</ScaleCrop>
  <HeadingPairs>
    <vt:vector size="2" baseType="variant">
      <vt:variant>
        <vt:lpstr>Title</vt:lpstr>
      </vt:variant>
      <vt:variant>
        <vt:i4>1</vt:i4>
      </vt:variant>
    </vt:vector>
  </HeadingPairs>
  <TitlesOfParts>
    <vt:vector size="1" baseType="lpstr">
      <vt:lpstr>Enforcement Management Model (EMM)</vt:lpstr>
    </vt:vector>
  </TitlesOfParts>
  <Manager>Office for Nuclear Regulation</Manager>
  <Company>Office for Nuclear Regulation</Company>
  <LinksUpToDate>false</LinksUpToDate>
  <CharactersWithSpaces>96142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Enforcement Management Model (EMM)</dc:title>
  <dc:subject>[Subtitle or description]</dc:subject>
  <cp:keywords>[Key words separated by commas]</cp:keywords>
  <dc:description/>
  <cp:revision>3</cp:revision>
  <cp:lastPrinted>2016-11-28T11:35:00Z</cp:lastPrinted>
  <dcterms:created xsi:type="dcterms:W3CDTF">2026-01-20T15:28:00Z</dcterms:created>
  <dcterms:modified xsi:type="dcterms:W3CDTF">2026-01-20T15:28:00Z</dcterms:modified>
  <cp:contentStatus>5.6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