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9B38A80" w:rsidR="00595C8C" w:rsidRPr="00595C8C" w:rsidRDefault="00595C8C" w:rsidP="00595C8C">
            <w:pPr>
              <w:pStyle w:val="InnerCoverTitle"/>
              <w:rPr>
                <w:sz w:val="36"/>
                <w:szCs w:val="36"/>
              </w:rPr>
            </w:pPr>
            <w:r w:rsidRPr="00595C8C">
              <w:rPr>
                <w:sz w:val="36"/>
                <w:szCs w:val="36"/>
              </w:rPr>
              <w:t xml:space="preserve">ONR </w:t>
            </w:r>
            <w:r w:rsidR="00B16BE5">
              <w:rPr>
                <w:sz w:val="36"/>
                <w:szCs w:val="36"/>
              </w:rPr>
              <w:t>Guidance Document</w:t>
            </w:r>
          </w:p>
          <w:sdt>
            <w:sdtPr>
              <w:rPr>
                <w:sz w:val="72"/>
                <w:szCs w:val="72"/>
              </w:rPr>
              <w:id w:val="1228188510"/>
              <w:placeholder>
                <w:docPart w:val="DefaultPlaceholder_-1854013440"/>
              </w:placeholder>
            </w:sdtPr>
            <w:sdtContent>
              <w:p w14:paraId="7C4EA414" w14:textId="325DC925"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A5278D">
                      <w:rPr>
                        <w:sz w:val="72"/>
                        <w:szCs w:val="72"/>
                      </w:rPr>
                      <w:t>Nuclear Safety Permissioning</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5A8D9436" w14:textId="77777777" w:rsidR="00977CDB" w:rsidRPr="00595C8C" w:rsidRDefault="00977CDB" w:rsidP="00977CDB">
      <w:pPr>
        <w:pStyle w:val="InnerCoverTitle"/>
        <w:rPr>
          <w:sz w:val="36"/>
          <w:szCs w:val="36"/>
        </w:rPr>
      </w:pPr>
      <w:r w:rsidRPr="00595C8C">
        <w:rPr>
          <w:sz w:val="36"/>
          <w:szCs w:val="36"/>
        </w:rPr>
        <w:lastRenderedPageBreak/>
        <w:t xml:space="preserve">ONR </w:t>
      </w:r>
      <w:r>
        <w:rPr>
          <w:sz w:val="36"/>
          <w:szCs w:val="36"/>
        </w:rPr>
        <w:t>Guidance Document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3FE248F0" w:rsidR="00004C16" w:rsidRDefault="00A5278D" w:rsidP="00004C16">
          <w:r>
            <w:rPr>
              <w:rStyle w:val="Style2"/>
            </w:rPr>
            <w:t>Nuclear Safety Permissioning</w:t>
          </w:r>
        </w:p>
      </w:sdtContent>
    </w:sdt>
    <w:p w14:paraId="0E0AF322" w14:textId="17314DB6" w:rsidR="004D3BA2" w:rsidRDefault="004D3BA2" w:rsidP="004D3BA2">
      <w:pPr>
        <w:rPr>
          <w:sz w:val="28"/>
          <w:szCs w:val="28"/>
        </w:rPr>
      </w:pPr>
      <w:r w:rsidRPr="004D3BA2">
        <w:rPr>
          <w:b/>
          <w:bCs/>
          <w:sz w:val="28"/>
          <w:szCs w:val="28"/>
        </w:rPr>
        <w:t>Process Owner</w:t>
      </w:r>
      <w:r>
        <w:rPr>
          <w:sz w:val="28"/>
          <w:szCs w:val="28"/>
        </w:rPr>
        <w:t xml:space="preserve"> – Professional Lead – Operational Inspection</w:t>
      </w:r>
    </w:p>
    <w:p w14:paraId="211DC867" w14:textId="77777777" w:rsidR="00B57B70" w:rsidRDefault="00B57B70" w:rsidP="00004C16">
      <w:pPr>
        <w:rPr>
          <w:szCs w:val="24"/>
        </w:rPr>
      </w:pPr>
    </w:p>
    <w:p w14:paraId="4D99E381" w14:textId="63943919" w:rsidR="00004C16" w:rsidRPr="004D3BA2" w:rsidRDefault="00EA4AD4" w:rsidP="00004C16">
      <w:pPr>
        <w:rPr>
          <w:szCs w:val="24"/>
        </w:rPr>
      </w:pPr>
      <w:r w:rsidRPr="00B57B70">
        <w:rPr>
          <w:b/>
          <w:bCs/>
          <w:szCs w:val="24"/>
        </w:rPr>
        <w:t>Updated</w:t>
      </w:r>
      <w:r w:rsidR="00004C16" w:rsidRPr="00B57B70">
        <w:rPr>
          <w:b/>
          <w:bCs/>
          <w:szCs w:val="24"/>
        </w:rPr>
        <w:t xml:space="preserve"> by</w:t>
      </w:r>
      <w:r w:rsidR="00004C16" w:rsidRPr="004D3BA2">
        <w:rPr>
          <w:szCs w:val="24"/>
        </w:rPr>
        <w:t xml:space="preserve"> –</w:t>
      </w:r>
      <w:r w:rsidR="00ED59A3" w:rsidRPr="004D3BA2">
        <w:rPr>
          <w:szCs w:val="24"/>
        </w:rPr>
        <w:t xml:space="preserve"> Principal Nuclear Safety Inspector</w:t>
      </w:r>
    </w:p>
    <w:p w14:paraId="23B9A867" w14:textId="0C87B98A" w:rsidR="00004C16" w:rsidRPr="004D3BA2" w:rsidRDefault="00004C16" w:rsidP="00004C16">
      <w:pPr>
        <w:rPr>
          <w:szCs w:val="24"/>
        </w:rPr>
      </w:pPr>
      <w:r w:rsidRPr="00B57B70">
        <w:rPr>
          <w:b/>
          <w:bCs/>
          <w:szCs w:val="24"/>
        </w:rPr>
        <w:t>Approved by</w:t>
      </w:r>
      <w:r w:rsidRPr="004D3BA2">
        <w:rPr>
          <w:szCs w:val="24"/>
        </w:rPr>
        <w:t xml:space="preserve"> –</w:t>
      </w:r>
      <w:r w:rsidR="00ED59A3" w:rsidRPr="004D3BA2">
        <w:rPr>
          <w:szCs w:val="24"/>
        </w:rPr>
        <w:t xml:space="preserve"> Professional Lead – Operational Inspection</w:t>
      </w:r>
    </w:p>
    <w:p w14:paraId="247E3769" w14:textId="30261BDB" w:rsidR="00004C16" w:rsidRPr="004D3BA2" w:rsidRDefault="00004C16" w:rsidP="00004C16">
      <w:pPr>
        <w:rPr>
          <w:szCs w:val="24"/>
        </w:rPr>
      </w:pPr>
      <w:r w:rsidRPr="00B57B70">
        <w:rPr>
          <w:b/>
          <w:bCs/>
          <w:szCs w:val="24"/>
        </w:rPr>
        <w:t>Issue No</w:t>
      </w:r>
      <w:r w:rsidRPr="004D3BA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5276E2" w:rsidRPr="004D3BA2">
            <w:rPr>
              <w:szCs w:val="24"/>
            </w:rPr>
            <w:t>7</w:t>
          </w:r>
        </w:sdtContent>
      </w:sdt>
    </w:p>
    <w:p w14:paraId="19206F45" w14:textId="46AE1423" w:rsidR="00004C16" w:rsidRPr="004D3BA2" w:rsidRDefault="00004C16" w:rsidP="00004C16">
      <w:pPr>
        <w:rPr>
          <w:szCs w:val="24"/>
        </w:rPr>
      </w:pPr>
      <w:r w:rsidRPr="00B57B70">
        <w:rPr>
          <w:b/>
          <w:bCs/>
          <w:szCs w:val="24"/>
        </w:rPr>
        <w:t>Publication Date</w:t>
      </w:r>
      <w:r w:rsidRPr="004D3BA2">
        <w:rPr>
          <w:szCs w:val="24"/>
        </w:rPr>
        <w:t xml:space="preserve">: </w:t>
      </w:r>
      <w:r w:rsidR="004D3BA2">
        <w:rPr>
          <w:szCs w:val="24"/>
        </w:rPr>
        <w:t>Oct</w:t>
      </w:r>
      <w:r w:rsidR="00EA4AD4" w:rsidRPr="004D3BA2">
        <w:rPr>
          <w:szCs w:val="24"/>
        </w:rPr>
        <w:t>-202</w:t>
      </w:r>
      <w:r w:rsidR="007218E4" w:rsidRPr="004D3BA2">
        <w:rPr>
          <w:szCs w:val="24"/>
        </w:rPr>
        <w:t>3</w:t>
      </w:r>
    </w:p>
    <w:p w14:paraId="22297511" w14:textId="35A8FB34" w:rsidR="005C1E52" w:rsidRPr="004D3BA2" w:rsidRDefault="005C1E52" w:rsidP="00004C16">
      <w:pPr>
        <w:rPr>
          <w:szCs w:val="24"/>
        </w:rPr>
      </w:pPr>
      <w:r w:rsidRPr="00B57B70">
        <w:rPr>
          <w:b/>
          <w:bCs/>
          <w:szCs w:val="24"/>
        </w:rPr>
        <w:t>Next Major Review Date</w:t>
      </w:r>
      <w:r w:rsidRPr="004D3BA2">
        <w:rPr>
          <w:szCs w:val="24"/>
        </w:rPr>
        <w:t xml:space="preserve">: </w:t>
      </w:r>
      <w:r w:rsidR="004D3BA2">
        <w:rPr>
          <w:szCs w:val="24"/>
        </w:rPr>
        <w:t>Oct</w:t>
      </w:r>
      <w:r w:rsidR="00EA4AD4" w:rsidRPr="004D3BA2">
        <w:rPr>
          <w:szCs w:val="24"/>
        </w:rPr>
        <w:t>-202</w:t>
      </w:r>
      <w:r w:rsidR="007218E4" w:rsidRPr="004D3BA2">
        <w:rPr>
          <w:szCs w:val="24"/>
        </w:rPr>
        <w:t>8</w:t>
      </w:r>
    </w:p>
    <w:p w14:paraId="48A3F547" w14:textId="454D2587" w:rsidR="00004C16" w:rsidRPr="009B6659" w:rsidRDefault="00004C16" w:rsidP="00004C16">
      <w:pPr>
        <w:rPr>
          <w:szCs w:val="24"/>
          <w:lang w:val="it-IT"/>
        </w:rPr>
      </w:pPr>
      <w:r w:rsidRPr="009B6659">
        <w:rPr>
          <w:b/>
          <w:bCs/>
          <w:szCs w:val="24"/>
          <w:lang w:val="it-IT"/>
        </w:rPr>
        <w:t>Doc. Ref. No.</w:t>
      </w:r>
      <w:r w:rsidRPr="009B6659">
        <w:rPr>
          <w:szCs w:val="24"/>
          <w:lang w:val="it-IT"/>
        </w:rPr>
        <w:t xml:space="preserve">: </w:t>
      </w:r>
      <w:r w:rsidR="00ED59A3" w:rsidRPr="009B6659">
        <w:rPr>
          <w:szCs w:val="24"/>
          <w:lang w:val="it-IT"/>
        </w:rPr>
        <w:t>NS-PER-GD-</w:t>
      </w:r>
      <w:r w:rsidR="00355F3D" w:rsidRPr="009B6659">
        <w:rPr>
          <w:szCs w:val="24"/>
          <w:lang w:val="it-IT"/>
        </w:rPr>
        <w:t xml:space="preserve">001 </w:t>
      </w:r>
    </w:p>
    <w:p w14:paraId="55057C62" w14:textId="071BFD9E" w:rsidR="00004C16" w:rsidRPr="004D3BA2" w:rsidRDefault="00004C16" w:rsidP="00004C16">
      <w:pPr>
        <w:rPr>
          <w:szCs w:val="24"/>
        </w:rPr>
      </w:pPr>
      <w:r w:rsidRPr="00B57B70">
        <w:rPr>
          <w:szCs w:val="24"/>
        </w:rPr>
        <w:t>Record Ref. No</w:t>
      </w:r>
      <w:r w:rsidRPr="004D3BA2">
        <w:rPr>
          <w:szCs w:val="24"/>
        </w:rPr>
        <w:t xml:space="preserve">.: </w:t>
      </w:r>
      <w:r w:rsidR="004D3BA2" w:rsidRPr="004D3BA2">
        <w:rPr>
          <w:szCs w:val="24"/>
        </w:rPr>
        <w:t>2021/32823</w:t>
      </w:r>
    </w:p>
    <w:p w14:paraId="39BC0EA4" w14:textId="77777777" w:rsidR="00420A11" w:rsidRDefault="00420A11" w:rsidP="00323E71"/>
    <w:p w14:paraId="63B2CFF7" w14:textId="233126C8" w:rsidR="00825275" w:rsidRDefault="00825275" w:rsidP="00B9135E">
      <w:pPr>
        <w:pStyle w:val="Caption"/>
        <w:jc w:val="left"/>
      </w:pPr>
      <w:r>
        <w:t xml:space="preserve">Table </w:t>
      </w:r>
      <w:fldSimple w:instr=" SEQ Table \* ARABIC ">
        <w:r>
          <w:rPr>
            <w:noProof/>
          </w:rPr>
          <w:t>1</w:t>
        </w:r>
      </w:fldSimple>
      <w:r>
        <w:t xml:space="preserve"> - Revision commentary</w:t>
      </w:r>
    </w:p>
    <w:tbl>
      <w:tblPr>
        <w:tblStyle w:val="ONRTable1"/>
        <w:tblW w:w="0" w:type="auto"/>
        <w:tblInd w:w="10" w:type="dxa"/>
        <w:tblLook w:val="04A0" w:firstRow="1" w:lastRow="0" w:firstColumn="1" w:lastColumn="0" w:noHBand="0" w:noVBand="1"/>
      </w:tblPr>
      <w:tblGrid>
        <w:gridCol w:w="1266"/>
        <w:gridCol w:w="7750"/>
      </w:tblGrid>
      <w:tr w:rsidR="00595C8C" w:rsidRPr="00825275" w14:paraId="116B87DF" w14:textId="77777777" w:rsidTr="00B9135E">
        <w:trPr>
          <w:cnfStyle w:val="100000000000" w:firstRow="1" w:lastRow="0" w:firstColumn="0" w:lastColumn="0" w:oddVBand="0" w:evenVBand="0" w:oddHBand="0" w:evenHBand="0" w:firstRowFirstColumn="0" w:firstRowLastColumn="0" w:lastRowFirstColumn="0" w:lastRowLastColumn="0"/>
        </w:trPr>
        <w:tc>
          <w:tcPr>
            <w:tcW w:w="1266" w:type="dxa"/>
          </w:tcPr>
          <w:p w14:paraId="72366D01" w14:textId="5285E8FF" w:rsidR="00595C8C" w:rsidRPr="00825275" w:rsidRDefault="00595C8C" w:rsidP="00595C8C">
            <w:pPr>
              <w:spacing w:before="60" w:after="60"/>
              <w:rPr>
                <w:b w:val="0"/>
                <w:bCs/>
              </w:rPr>
            </w:pPr>
            <w:r w:rsidRPr="00825275">
              <w:rPr>
                <w:b w:val="0"/>
                <w:bCs/>
              </w:rPr>
              <w:t>Issue</w:t>
            </w:r>
            <w:r w:rsidR="004E3932" w:rsidRPr="00825275">
              <w:rPr>
                <w:b w:val="0"/>
                <w:bCs/>
              </w:rPr>
              <w:t xml:space="preserve"> No.</w:t>
            </w:r>
          </w:p>
        </w:tc>
        <w:tc>
          <w:tcPr>
            <w:tcW w:w="7750" w:type="dxa"/>
          </w:tcPr>
          <w:p w14:paraId="2D00C3FD" w14:textId="26176D05" w:rsidR="00595C8C" w:rsidRPr="00825275" w:rsidRDefault="00595C8C" w:rsidP="00595C8C">
            <w:pPr>
              <w:spacing w:before="60" w:after="60"/>
              <w:rPr>
                <w:b w:val="0"/>
                <w:bCs/>
              </w:rPr>
            </w:pPr>
            <w:r w:rsidRPr="00825275">
              <w:rPr>
                <w:b w:val="0"/>
                <w:bCs/>
              </w:rPr>
              <w:t>Description of Update(s)</w:t>
            </w:r>
          </w:p>
        </w:tc>
      </w:tr>
      <w:tr w:rsidR="00B9135E" w:rsidRPr="00825275" w14:paraId="40581CE7" w14:textId="77777777" w:rsidTr="00B9135E">
        <w:tc>
          <w:tcPr>
            <w:tcW w:w="1266" w:type="dxa"/>
          </w:tcPr>
          <w:p w14:paraId="442BD295" w14:textId="1EFD49F8" w:rsidR="00B9135E" w:rsidRPr="00825275" w:rsidRDefault="00B9135E" w:rsidP="00595C8C">
            <w:pPr>
              <w:spacing w:before="60" w:after="60"/>
              <w:rPr>
                <w:bCs/>
              </w:rPr>
            </w:pPr>
            <w:r>
              <w:rPr>
                <w:bCs/>
              </w:rPr>
              <w:t>1-4</w:t>
            </w:r>
          </w:p>
        </w:tc>
        <w:tc>
          <w:tcPr>
            <w:tcW w:w="7750" w:type="dxa"/>
          </w:tcPr>
          <w:p w14:paraId="603A86F4" w14:textId="39C11ADB" w:rsidR="00B9135E" w:rsidRPr="00825275" w:rsidRDefault="00B9135E" w:rsidP="00595C8C">
            <w:pPr>
              <w:spacing w:before="60" w:after="60"/>
              <w:rPr>
                <w:bCs/>
              </w:rPr>
            </w:pPr>
            <w:r>
              <w:rPr>
                <w:bCs/>
              </w:rPr>
              <w:t>Refer to previous issues for their respective revision commentaries.</w:t>
            </w:r>
          </w:p>
        </w:tc>
      </w:tr>
      <w:tr w:rsidR="00355F3D" w14:paraId="345BC787" w14:textId="77777777" w:rsidTr="00B9135E">
        <w:tc>
          <w:tcPr>
            <w:tcW w:w="1266" w:type="dxa"/>
          </w:tcPr>
          <w:p w14:paraId="358134E6" w14:textId="3F5E9FA3" w:rsidR="00355F3D" w:rsidRDefault="00355F3D" w:rsidP="00355F3D">
            <w:pPr>
              <w:spacing w:before="60" w:after="60"/>
              <w:rPr>
                <w:sz w:val="28"/>
                <w:szCs w:val="28"/>
              </w:rPr>
            </w:pPr>
            <w:r>
              <w:t>5</w:t>
            </w:r>
          </w:p>
        </w:tc>
        <w:tc>
          <w:tcPr>
            <w:tcW w:w="7750" w:type="dxa"/>
          </w:tcPr>
          <w:p w14:paraId="38D73D69" w14:textId="2C1F0077" w:rsidR="00355F3D" w:rsidRDefault="00355F3D" w:rsidP="00355F3D">
            <w:pPr>
              <w:spacing w:before="60" w:after="60"/>
            </w:pPr>
            <w:r w:rsidRPr="00ED59A3">
              <w:t>Revised to incorporate legal advice on the ability to modify, revise or withdraw primary power instruments.</w:t>
            </w:r>
            <w:r>
              <w:t xml:space="preserve"> </w:t>
            </w:r>
          </w:p>
        </w:tc>
      </w:tr>
      <w:tr w:rsidR="00355F3D" w14:paraId="2ACBCFB8" w14:textId="77777777" w:rsidTr="00B9135E">
        <w:tc>
          <w:tcPr>
            <w:tcW w:w="1266" w:type="dxa"/>
          </w:tcPr>
          <w:p w14:paraId="3434C555" w14:textId="3C619D50" w:rsidR="00355F3D" w:rsidRDefault="00355F3D" w:rsidP="00355F3D">
            <w:pPr>
              <w:spacing w:before="60" w:after="60"/>
              <w:rPr>
                <w:sz w:val="28"/>
                <w:szCs w:val="28"/>
              </w:rPr>
            </w:pPr>
            <w:r>
              <w:t>6</w:t>
            </w:r>
          </w:p>
        </w:tc>
        <w:tc>
          <w:tcPr>
            <w:tcW w:w="7750" w:type="dxa"/>
          </w:tcPr>
          <w:p w14:paraId="07DCD5DD" w14:textId="77777777" w:rsidR="00355F3D" w:rsidRPr="006D065A" w:rsidRDefault="00355F3D" w:rsidP="006D065A">
            <w:pPr>
              <w:spacing w:before="60" w:after="60"/>
            </w:pPr>
            <w:r w:rsidRPr="006D065A">
              <w:t>Updated document into new ONR Guidance Document template.</w:t>
            </w:r>
          </w:p>
          <w:p w14:paraId="3E0543EB" w14:textId="77777777" w:rsidR="00355F3D" w:rsidRPr="006D065A" w:rsidRDefault="00355F3D" w:rsidP="006D065A">
            <w:pPr>
              <w:spacing w:before="60" w:after="60"/>
            </w:pPr>
            <w:r w:rsidRPr="006D065A">
              <w:t>Rationalised sections 1-4 into one section titled ‘Introduction’ and sections 5-8 into one section titled ‘Types of Permissioning’.</w:t>
            </w:r>
          </w:p>
          <w:p w14:paraId="6B0B76E5" w14:textId="20690AB8" w:rsidR="00355F3D" w:rsidRPr="006D065A" w:rsidRDefault="00355F3D" w:rsidP="006D065A">
            <w:pPr>
              <w:spacing w:before="60" w:after="60"/>
            </w:pPr>
            <w:r w:rsidRPr="006D065A">
              <w:t>Reference documents updated throughout, into the new IEEE format and removed references to withdrawn documents, where applicable</w:t>
            </w:r>
            <w:r w:rsidR="006D065A">
              <w:t>.</w:t>
            </w:r>
          </w:p>
          <w:p w14:paraId="6783150F" w14:textId="31DD17F1" w:rsidR="00355F3D" w:rsidRDefault="00355F3D" w:rsidP="00355F3D">
            <w:pPr>
              <w:spacing w:before="60" w:after="60"/>
            </w:pPr>
            <w:r>
              <w:t>Content updated to include references to WIReD, where applicable.</w:t>
            </w:r>
          </w:p>
        </w:tc>
      </w:tr>
      <w:tr w:rsidR="00595C8C" w14:paraId="0B4E4E42" w14:textId="77777777" w:rsidTr="00B9135E">
        <w:tc>
          <w:tcPr>
            <w:tcW w:w="1266" w:type="dxa"/>
          </w:tcPr>
          <w:p w14:paraId="65482A03" w14:textId="3BA592FF" w:rsidR="00595C8C" w:rsidRDefault="00000000" w:rsidP="00595C8C">
            <w:pPr>
              <w:spacing w:before="60" w:after="60"/>
            </w:pPr>
            <w:sdt>
              <w:sdtPr>
                <w:rPr>
                  <w:sz w:val="28"/>
                  <w:szCs w:val="28"/>
                </w:rPr>
                <w:alias w:val="Issue No."/>
                <w:tag w:val=""/>
                <w:id w:val="-191295955"/>
                <w:placeholder>
                  <w:docPart w:val="5241D9644DE940ACAF0E596BE529EF1D"/>
                </w:placeholder>
                <w:dataBinding w:prefixMappings="xmlns:ns0='http://purl.org/dc/elements/1.1/' xmlns:ns1='http://schemas.openxmlformats.org/package/2006/metadata/core-properties' " w:xpath="/ns1:coreProperties[1]/ns1:contentStatus[1]" w:storeItemID="{6C3C8BC8-F283-45AE-878A-BAB7291924A1}"/>
                <w:text/>
              </w:sdtPr>
              <w:sdtContent>
                <w:r w:rsidR="005276E2">
                  <w:rPr>
                    <w:sz w:val="28"/>
                    <w:szCs w:val="28"/>
                  </w:rPr>
                  <w:t>7</w:t>
                </w:r>
              </w:sdtContent>
            </w:sdt>
          </w:p>
        </w:tc>
        <w:tc>
          <w:tcPr>
            <w:tcW w:w="7750" w:type="dxa"/>
          </w:tcPr>
          <w:p w14:paraId="28B38066" w14:textId="0A49AAE8" w:rsidR="00595C8C" w:rsidRDefault="005276E2" w:rsidP="00595C8C">
            <w:pPr>
              <w:spacing w:before="60" w:after="60"/>
            </w:pPr>
            <w:r>
              <w:t xml:space="preserve">Major revision </w:t>
            </w:r>
            <w:r w:rsidR="009D12DD">
              <w:t xml:space="preserve">to </w:t>
            </w:r>
            <w:r w:rsidR="00C95DA0">
              <w:t xml:space="preserve">split </w:t>
            </w:r>
            <w:r w:rsidR="009D12DD">
              <w:t xml:space="preserve">nuclear safety specific guidance </w:t>
            </w:r>
            <w:r w:rsidR="00C95DA0">
              <w:t xml:space="preserve">from </w:t>
            </w:r>
            <w:r w:rsidR="009D12DD">
              <w:t xml:space="preserve">the </w:t>
            </w:r>
            <w:r w:rsidR="00C95DA0">
              <w:t>overarching ONR permissioning document</w:t>
            </w:r>
            <w:r w:rsidR="006D065A">
              <w:t xml:space="preserve"> (ONR-PER-PROC-001)</w:t>
            </w:r>
            <w:r w:rsidR="00ED59A3" w:rsidRPr="00ED59A3">
              <w:t>.</w:t>
            </w:r>
            <w:r w:rsidR="00150EB2">
              <w:t xml:space="preserve"> </w:t>
            </w:r>
          </w:p>
          <w:p w14:paraId="1C80912E" w14:textId="3DF34898" w:rsidR="00355F3D" w:rsidRDefault="00355F3D" w:rsidP="00595C8C">
            <w:pPr>
              <w:spacing w:before="60" w:after="60"/>
            </w:pPr>
            <w:r>
              <w:t>Document retitled to reflect change in purpose and scope.</w:t>
            </w:r>
          </w:p>
        </w:tc>
      </w:tr>
    </w:tbl>
    <w:p w14:paraId="1FDB4B56" w14:textId="6C10B266" w:rsidR="00595C8C" w:rsidRDefault="00595C8C" w:rsidP="00323E71">
      <w:pPr>
        <w:sectPr w:rsidR="00595C8C" w:rsidSect="001759BC">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0096CFCF" w14:textId="4E646E10" w:rsidR="00850F86" w:rsidRDefault="00850F86">
      <w:pPr>
        <w:pStyle w:val="TOC1"/>
        <w:tabs>
          <w:tab w:val="left" w:pos="720"/>
        </w:tabs>
        <w:rPr>
          <w:rFonts w:asciiTheme="minorHAnsi" w:eastAsiaTheme="minorEastAsia" w:hAnsiTheme="minorHAnsi" w:cstheme="minorBidi"/>
          <w:sz w:val="22"/>
          <w:lang w:eastAsia="en-GB" w:bidi="ar-SA"/>
        </w:rPr>
      </w:pPr>
      <w:r>
        <w:fldChar w:fldCharType="begin"/>
      </w:r>
      <w:r>
        <w:instrText xml:space="preserve"> TOC \o "1-2" \h \z \u </w:instrText>
      </w:r>
      <w:r>
        <w:fldChar w:fldCharType="separate"/>
      </w:r>
      <w:hyperlink w:anchor="_Toc146888178" w:history="1">
        <w:r w:rsidRPr="0000396F">
          <w:rPr>
            <w:rStyle w:val="Hyperlink"/>
          </w:rPr>
          <w:t>1.</w:t>
        </w:r>
        <w:r>
          <w:rPr>
            <w:rFonts w:asciiTheme="minorHAnsi" w:eastAsiaTheme="minorEastAsia" w:hAnsiTheme="minorHAnsi" w:cstheme="minorBidi"/>
            <w:sz w:val="22"/>
            <w:lang w:eastAsia="en-GB" w:bidi="ar-SA"/>
          </w:rPr>
          <w:tab/>
        </w:r>
        <w:r w:rsidRPr="0000396F">
          <w:rPr>
            <w:rStyle w:val="Hyperlink"/>
          </w:rPr>
          <w:t>Introduction</w:t>
        </w:r>
        <w:r>
          <w:rPr>
            <w:webHidden/>
          </w:rPr>
          <w:tab/>
        </w:r>
        <w:r>
          <w:rPr>
            <w:webHidden/>
          </w:rPr>
          <w:fldChar w:fldCharType="begin"/>
        </w:r>
        <w:r>
          <w:rPr>
            <w:webHidden/>
          </w:rPr>
          <w:instrText xml:space="preserve"> PAGEREF _Toc146888178 \h </w:instrText>
        </w:r>
        <w:r>
          <w:rPr>
            <w:webHidden/>
          </w:rPr>
        </w:r>
        <w:r>
          <w:rPr>
            <w:webHidden/>
          </w:rPr>
          <w:fldChar w:fldCharType="separate"/>
        </w:r>
        <w:r w:rsidR="000C4B12">
          <w:rPr>
            <w:webHidden/>
          </w:rPr>
          <w:t>4</w:t>
        </w:r>
        <w:r>
          <w:rPr>
            <w:webHidden/>
          </w:rPr>
          <w:fldChar w:fldCharType="end"/>
        </w:r>
      </w:hyperlink>
    </w:p>
    <w:p w14:paraId="34AEDAD1" w14:textId="72D00B08" w:rsidR="00850F86" w:rsidRDefault="00000000">
      <w:pPr>
        <w:pStyle w:val="TOC2"/>
        <w:tabs>
          <w:tab w:val="left" w:pos="1100"/>
        </w:tabs>
        <w:rPr>
          <w:rFonts w:asciiTheme="minorHAnsi" w:eastAsiaTheme="minorEastAsia" w:hAnsiTheme="minorHAnsi" w:cstheme="minorBidi"/>
          <w:sz w:val="22"/>
          <w:lang w:eastAsia="en-GB" w:bidi="ar-SA"/>
        </w:rPr>
      </w:pPr>
      <w:hyperlink w:anchor="_Toc146888179" w:history="1">
        <w:r w:rsidR="00850F86" w:rsidRPr="0000396F">
          <w:rPr>
            <w:rStyle w:val="Hyperlink"/>
          </w:rPr>
          <w:t>1.1.</w:t>
        </w:r>
        <w:r w:rsidR="00850F86">
          <w:rPr>
            <w:rFonts w:asciiTheme="minorHAnsi" w:eastAsiaTheme="minorEastAsia" w:hAnsiTheme="minorHAnsi" w:cstheme="minorBidi"/>
            <w:sz w:val="22"/>
            <w:lang w:eastAsia="en-GB" w:bidi="ar-SA"/>
          </w:rPr>
          <w:tab/>
        </w:r>
        <w:r w:rsidR="00850F86" w:rsidRPr="0000396F">
          <w:rPr>
            <w:rStyle w:val="Hyperlink"/>
          </w:rPr>
          <w:t>Purpose</w:t>
        </w:r>
        <w:r w:rsidR="00850F86">
          <w:rPr>
            <w:webHidden/>
          </w:rPr>
          <w:tab/>
        </w:r>
        <w:r w:rsidR="00850F86">
          <w:rPr>
            <w:webHidden/>
          </w:rPr>
          <w:fldChar w:fldCharType="begin"/>
        </w:r>
        <w:r w:rsidR="00850F86">
          <w:rPr>
            <w:webHidden/>
          </w:rPr>
          <w:instrText xml:space="preserve"> PAGEREF _Toc146888179 \h </w:instrText>
        </w:r>
        <w:r w:rsidR="00850F86">
          <w:rPr>
            <w:webHidden/>
          </w:rPr>
        </w:r>
        <w:r w:rsidR="00850F86">
          <w:rPr>
            <w:webHidden/>
          </w:rPr>
          <w:fldChar w:fldCharType="separate"/>
        </w:r>
        <w:r w:rsidR="000C4B12">
          <w:rPr>
            <w:webHidden/>
          </w:rPr>
          <w:t>4</w:t>
        </w:r>
        <w:r w:rsidR="00850F86">
          <w:rPr>
            <w:webHidden/>
          </w:rPr>
          <w:fldChar w:fldCharType="end"/>
        </w:r>
      </w:hyperlink>
    </w:p>
    <w:p w14:paraId="330D5A9F" w14:textId="00B621EB" w:rsidR="00850F86" w:rsidRDefault="00000000">
      <w:pPr>
        <w:pStyle w:val="TOC2"/>
        <w:tabs>
          <w:tab w:val="left" w:pos="1100"/>
        </w:tabs>
        <w:rPr>
          <w:rFonts w:asciiTheme="minorHAnsi" w:eastAsiaTheme="minorEastAsia" w:hAnsiTheme="minorHAnsi" w:cstheme="minorBidi"/>
          <w:sz w:val="22"/>
          <w:lang w:eastAsia="en-GB" w:bidi="ar-SA"/>
        </w:rPr>
      </w:pPr>
      <w:hyperlink w:anchor="_Toc146888180" w:history="1">
        <w:r w:rsidR="00850F86" w:rsidRPr="0000396F">
          <w:rPr>
            <w:rStyle w:val="Hyperlink"/>
          </w:rPr>
          <w:t>1.2.</w:t>
        </w:r>
        <w:r w:rsidR="00850F86">
          <w:rPr>
            <w:rFonts w:asciiTheme="minorHAnsi" w:eastAsiaTheme="minorEastAsia" w:hAnsiTheme="minorHAnsi" w:cstheme="minorBidi"/>
            <w:sz w:val="22"/>
            <w:lang w:eastAsia="en-GB" w:bidi="ar-SA"/>
          </w:rPr>
          <w:tab/>
        </w:r>
        <w:r w:rsidR="00850F86" w:rsidRPr="0000396F">
          <w:rPr>
            <w:rStyle w:val="Hyperlink"/>
          </w:rPr>
          <w:t>Scope</w:t>
        </w:r>
        <w:r w:rsidR="00850F86">
          <w:rPr>
            <w:webHidden/>
          </w:rPr>
          <w:tab/>
        </w:r>
        <w:r w:rsidR="00850F86">
          <w:rPr>
            <w:webHidden/>
          </w:rPr>
          <w:fldChar w:fldCharType="begin"/>
        </w:r>
        <w:r w:rsidR="00850F86">
          <w:rPr>
            <w:webHidden/>
          </w:rPr>
          <w:instrText xml:space="preserve"> PAGEREF _Toc146888180 \h </w:instrText>
        </w:r>
        <w:r w:rsidR="00850F86">
          <w:rPr>
            <w:webHidden/>
          </w:rPr>
        </w:r>
        <w:r w:rsidR="00850F86">
          <w:rPr>
            <w:webHidden/>
          </w:rPr>
          <w:fldChar w:fldCharType="separate"/>
        </w:r>
        <w:r w:rsidR="000C4B12">
          <w:rPr>
            <w:webHidden/>
          </w:rPr>
          <w:t>4</w:t>
        </w:r>
        <w:r w:rsidR="00850F86">
          <w:rPr>
            <w:webHidden/>
          </w:rPr>
          <w:fldChar w:fldCharType="end"/>
        </w:r>
      </w:hyperlink>
    </w:p>
    <w:p w14:paraId="225A4ACF" w14:textId="5C2BCD43" w:rsidR="00850F86" w:rsidRDefault="00000000">
      <w:pPr>
        <w:pStyle w:val="TOC1"/>
        <w:tabs>
          <w:tab w:val="left" w:pos="720"/>
        </w:tabs>
        <w:rPr>
          <w:rFonts w:asciiTheme="minorHAnsi" w:eastAsiaTheme="minorEastAsia" w:hAnsiTheme="minorHAnsi" w:cstheme="minorBidi"/>
          <w:sz w:val="22"/>
          <w:lang w:eastAsia="en-GB" w:bidi="ar-SA"/>
        </w:rPr>
      </w:pPr>
      <w:hyperlink w:anchor="_Toc146888181" w:history="1">
        <w:r w:rsidR="00850F86" w:rsidRPr="0000396F">
          <w:rPr>
            <w:rStyle w:val="Hyperlink"/>
          </w:rPr>
          <w:t>2.</w:t>
        </w:r>
        <w:r w:rsidR="00850F86">
          <w:rPr>
            <w:rFonts w:asciiTheme="minorHAnsi" w:eastAsiaTheme="minorEastAsia" w:hAnsiTheme="minorHAnsi" w:cstheme="minorBidi"/>
            <w:sz w:val="22"/>
            <w:lang w:eastAsia="en-GB" w:bidi="ar-SA"/>
          </w:rPr>
          <w:tab/>
        </w:r>
        <w:r w:rsidR="00850F86" w:rsidRPr="0000396F">
          <w:rPr>
            <w:rStyle w:val="Hyperlink"/>
          </w:rPr>
          <w:t>Types of Permissioning</w:t>
        </w:r>
        <w:r w:rsidR="00850F86">
          <w:rPr>
            <w:webHidden/>
          </w:rPr>
          <w:tab/>
        </w:r>
        <w:r w:rsidR="00850F86">
          <w:rPr>
            <w:webHidden/>
          </w:rPr>
          <w:fldChar w:fldCharType="begin"/>
        </w:r>
        <w:r w:rsidR="00850F86">
          <w:rPr>
            <w:webHidden/>
          </w:rPr>
          <w:instrText xml:space="preserve"> PAGEREF _Toc146888181 \h </w:instrText>
        </w:r>
        <w:r w:rsidR="00850F86">
          <w:rPr>
            <w:webHidden/>
          </w:rPr>
        </w:r>
        <w:r w:rsidR="00850F86">
          <w:rPr>
            <w:webHidden/>
          </w:rPr>
          <w:fldChar w:fldCharType="separate"/>
        </w:r>
        <w:r w:rsidR="000C4B12">
          <w:rPr>
            <w:webHidden/>
          </w:rPr>
          <w:t>5</w:t>
        </w:r>
        <w:r w:rsidR="00850F86">
          <w:rPr>
            <w:webHidden/>
          </w:rPr>
          <w:fldChar w:fldCharType="end"/>
        </w:r>
      </w:hyperlink>
    </w:p>
    <w:p w14:paraId="7CF4BC80" w14:textId="57E4A2CF" w:rsidR="00850F86" w:rsidRDefault="00000000">
      <w:pPr>
        <w:pStyle w:val="TOC2"/>
        <w:tabs>
          <w:tab w:val="left" w:pos="1100"/>
        </w:tabs>
        <w:rPr>
          <w:rFonts w:asciiTheme="minorHAnsi" w:eastAsiaTheme="minorEastAsia" w:hAnsiTheme="minorHAnsi" w:cstheme="minorBidi"/>
          <w:sz w:val="22"/>
          <w:lang w:eastAsia="en-GB" w:bidi="ar-SA"/>
        </w:rPr>
      </w:pPr>
      <w:hyperlink w:anchor="_Toc146888182" w:history="1">
        <w:r w:rsidR="00850F86" w:rsidRPr="0000396F">
          <w:rPr>
            <w:rStyle w:val="Hyperlink"/>
          </w:rPr>
          <w:t>2.1.</w:t>
        </w:r>
        <w:r w:rsidR="00850F86">
          <w:rPr>
            <w:rFonts w:asciiTheme="minorHAnsi" w:eastAsiaTheme="minorEastAsia" w:hAnsiTheme="minorHAnsi" w:cstheme="minorBidi"/>
            <w:sz w:val="22"/>
            <w:lang w:eastAsia="en-GB" w:bidi="ar-SA"/>
          </w:rPr>
          <w:tab/>
        </w:r>
        <w:r w:rsidR="00850F86" w:rsidRPr="0000396F">
          <w:rPr>
            <w:rStyle w:val="Hyperlink"/>
          </w:rPr>
          <w:t>Primary Powers</w:t>
        </w:r>
        <w:r w:rsidR="00850F86">
          <w:rPr>
            <w:webHidden/>
          </w:rPr>
          <w:tab/>
        </w:r>
        <w:r w:rsidR="00850F86">
          <w:rPr>
            <w:webHidden/>
          </w:rPr>
          <w:fldChar w:fldCharType="begin"/>
        </w:r>
        <w:r w:rsidR="00850F86">
          <w:rPr>
            <w:webHidden/>
          </w:rPr>
          <w:instrText xml:space="preserve"> PAGEREF _Toc146888182 \h </w:instrText>
        </w:r>
        <w:r w:rsidR="00850F86">
          <w:rPr>
            <w:webHidden/>
          </w:rPr>
        </w:r>
        <w:r w:rsidR="00850F86">
          <w:rPr>
            <w:webHidden/>
          </w:rPr>
          <w:fldChar w:fldCharType="separate"/>
        </w:r>
        <w:r w:rsidR="000C4B12">
          <w:rPr>
            <w:webHidden/>
          </w:rPr>
          <w:t>5</w:t>
        </w:r>
        <w:r w:rsidR="00850F86">
          <w:rPr>
            <w:webHidden/>
          </w:rPr>
          <w:fldChar w:fldCharType="end"/>
        </w:r>
      </w:hyperlink>
    </w:p>
    <w:p w14:paraId="53F08621" w14:textId="318A5C27" w:rsidR="00850F86" w:rsidRDefault="00000000">
      <w:pPr>
        <w:pStyle w:val="TOC2"/>
        <w:tabs>
          <w:tab w:val="left" w:pos="1100"/>
        </w:tabs>
        <w:rPr>
          <w:rFonts w:asciiTheme="minorHAnsi" w:eastAsiaTheme="minorEastAsia" w:hAnsiTheme="minorHAnsi" w:cstheme="minorBidi"/>
          <w:sz w:val="22"/>
          <w:lang w:eastAsia="en-GB" w:bidi="ar-SA"/>
        </w:rPr>
      </w:pPr>
      <w:hyperlink w:anchor="_Toc146888183" w:history="1">
        <w:r w:rsidR="00850F86" w:rsidRPr="0000396F">
          <w:rPr>
            <w:rStyle w:val="Hyperlink"/>
          </w:rPr>
          <w:t>2.2.</w:t>
        </w:r>
        <w:r w:rsidR="00850F86">
          <w:rPr>
            <w:rFonts w:asciiTheme="minorHAnsi" w:eastAsiaTheme="minorEastAsia" w:hAnsiTheme="minorHAnsi" w:cstheme="minorBidi"/>
            <w:sz w:val="22"/>
            <w:lang w:eastAsia="en-GB" w:bidi="ar-SA"/>
          </w:rPr>
          <w:tab/>
        </w:r>
        <w:r w:rsidR="00850F86" w:rsidRPr="0000396F">
          <w:rPr>
            <w:rStyle w:val="Hyperlink"/>
          </w:rPr>
          <w:t>Derived Powers</w:t>
        </w:r>
        <w:r w:rsidR="00850F86">
          <w:rPr>
            <w:webHidden/>
          </w:rPr>
          <w:tab/>
        </w:r>
        <w:r w:rsidR="00850F86">
          <w:rPr>
            <w:webHidden/>
          </w:rPr>
          <w:fldChar w:fldCharType="begin"/>
        </w:r>
        <w:r w:rsidR="00850F86">
          <w:rPr>
            <w:webHidden/>
          </w:rPr>
          <w:instrText xml:space="preserve"> PAGEREF _Toc146888183 \h </w:instrText>
        </w:r>
        <w:r w:rsidR="00850F86">
          <w:rPr>
            <w:webHidden/>
          </w:rPr>
        </w:r>
        <w:r w:rsidR="00850F86">
          <w:rPr>
            <w:webHidden/>
          </w:rPr>
          <w:fldChar w:fldCharType="separate"/>
        </w:r>
        <w:r w:rsidR="000C4B12">
          <w:rPr>
            <w:webHidden/>
          </w:rPr>
          <w:t>6</w:t>
        </w:r>
        <w:r w:rsidR="00850F86">
          <w:rPr>
            <w:webHidden/>
          </w:rPr>
          <w:fldChar w:fldCharType="end"/>
        </w:r>
      </w:hyperlink>
    </w:p>
    <w:p w14:paraId="4D567961" w14:textId="56F4E9AD" w:rsidR="00850F86" w:rsidRDefault="00000000">
      <w:pPr>
        <w:pStyle w:val="TOC2"/>
        <w:tabs>
          <w:tab w:val="left" w:pos="1100"/>
        </w:tabs>
        <w:rPr>
          <w:rFonts w:asciiTheme="minorHAnsi" w:eastAsiaTheme="minorEastAsia" w:hAnsiTheme="minorHAnsi" w:cstheme="minorBidi"/>
          <w:sz w:val="22"/>
          <w:lang w:eastAsia="en-GB" w:bidi="ar-SA"/>
        </w:rPr>
      </w:pPr>
      <w:hyperlink w:anchor="_Toc146888184" w:history="1">
        <w:r w:rsidR="00850F86" w:rsidRPr="0000396F">
          <w:rPr>
            <w:rStyle w:val="Hyperlink"/>
          </w:rPr>
          <w:t>2.3.</w:t>
        </w:r>
        <w:r w:rsidR="00850F86">
          <w:rPr>
            <w:rFonts w:asciiTheme="minorHAnsi" w:eastAsiaTheme="minorEastAsia" w:hAnsiTheme="minorHAnsi" w:cstheme="minorBidi"/>
            <w:sz w:val="22"/>
            <w:lang w:eastAsia="en-GB" w:bidi="ar-SA"/>
          </w:rPr>
          <w:tab/>
        </w:r>
        <w:r w:rsidR="00850F86" w:rsidRPr="0000396F">
          <w:rPr>
            <w:rStyle w:val="Hyperlink"/>
          </w:rPr>
          <w:t>Legal Status of Permissioning</w:t>
        </w:r>
        <w:r w:rsidR="00850F86">
          <w:rPr>
            <w:webHidden/>
          </w:rPr>
          <w:tab/>
        </w:r>
        <w:r w:rsidR="00850F86">
          <w:rPr>
            <w:webHidden/>
          </w:rPr>
          <w:fldChar w:fldCharType="begin"/>
        </w:r>
        <w:r w:rsidR="00850F86">
          <w:rPr>
            <w:webHidden/>
          </w:rPr>
          <w:instrText xml:space="preserve"> PAGEREF _Toc146888184 \h </w:instrText>
        </w:r>
        <w:r w:rsidR="00850F86">
          <w:rPr>
            <w:webHidden/>
          </w:rPr>
        </w:r>
        <w:r w:rsidR="00850F86">
          <w:rPr>
            <w:webHidden/>
          </w:rPr>
          <w:fldChar w:fldCharType="separate"/>
        </w:r>
        <w:r w:rsidR="000C4B12">
          <w:rPr>
            <w:webHidden/>
          </w:rPr>
          <w:t>9</w:t>
        </w:r>
        <w:r w:rsidR="00850F86">
          <w:rPr>
            <w:webHidden/>
          </w:rPr>
          <w:fldChar w:fldCharType="end"/>
        </w:r>
      </w:hyperlink>
    </w:p>
    <w:p w14:paraId="097B4C78" w14:textId="1F24D2CC" w:rsidR="00850F86" w:rsidRDefault="00000000">
      <w:pPr>
        <w:pStyle w:val="TOC1"/>
        <w:tabs>
          <w:tab w:val="left" w:pos="720"/>
        </w:tabs>
        <w:rPr>
          <w:rFonts w:asciiTheme="minorHAnsi" w:eastAsiaTheme="minorEastAsia" w:hAnsiTheme="minorHAnsi" w:cstheme="minorBidi"/>
          <w:sz w:val="22"/>
          <w:lang w:eastAsia="en-GB" w:bidi="ar-SA"/>
        </w:rPr>
      </w:pPr>
      <w:hyperlink w:anchor="_Toc146888185" w:history="1">
        <w:r w:rsidR="00850F86" w:rsidRPr="0000396F">
          <w:rPr>
            <w:rStyle w:val="Hyperlink"/>
          </w:rPr>
          <w:t>3.</w:t>
        </w:r>
        <w:r w:rsidR="00850F86">
          <w:rPr>
            <w:rFonts w:asciiTheme="minorHAnsi" w:eastAsiaTheme="minorEastAsia" w:hAnsiTheme="minorHAnsi" w:cstheme="minorBidi"/>
            <w:sz w:val="22"/>
            <w:lang w:eastAsia="en-GB" w:bidi="ar-SA"/>
          </w:rPr>
          <w:tab/>
        </w:r>
        <w:r w:rsidR="00850F86" w:rsidRPr="0000396F">
          <w:rPr>
            <w:rStyle w:val="Hyperlink"/>
          </w:rPr>
          <w:t>Guidance for Inspectors on Permissioning</w:t>
        </w:r>
        <w:r w:rsidR="00850F86">
          <w:rPr>
            <w:webHidden/>
          </w:rPr>
          <w:tab/>
        </w:r>
        <w:r w:rsidR="00850F86">
          <w:rPr>
            <w:webHidden/>
          </w:rPr>
          <w:fldChar w:fldCharType="begin"/>
        </w:r>
        <w:r w:rsidR="00850F86">
          <w:rPr>
            <w:webHidden/>
          </w:rPr>
          <w:instrText xml:space="preserve"> PAGEREF _Toc146888185 \h </w:instrText>
        </w:r>
        <w:r w:rsidR="00850F86">
          <w:rPr>
            <w:webHidden/>
          </w:rPr>
        </w:r>
        <w:r w:rsidR="00850F86">
          <w:rPr>
            <w:webHidden/>
          </w:rPr>
          <w:fldChar w:fldCharType="separate"/>
        </w:r>
        <w:r w:rsidR="000C4B12">
          <w:rPr>
            <w:webHidden/>
          </w:rPr>
          <w:t>11</w:t>
        </w:r>
        <w:r w:rsidR="00850F86">
          <w:rPr>
            <w:webHidden/>
          </w:rPr>
          <w:fldChar w:fldCharType="end"/>
        </w:r>
      </w:hyperlink>
    </w:p>
    <w:p w14:paraId="5A313CFB" w14:textId="38128413" w:rsidR="00850F86" w:rsidRDefault="00000000">
      <w:pPr>
        <w:pStyle w:val="TOC2"/>
        <w:tabs>
          <w:tab w:val="left" w:pos="1100"/>
        </w:tabs>
        <w:rPr>
          <w:rFonts w:asciiTheme="minorHAnsi" w:eastAsiaTheme="minorEastAsia" w:hAnsiTheme="minorHAnsi" w:cstheme="minorBidi"/>
          <w:sz w:val="22"/>
          <w:lang w:eastAsia="en-GB" w:bidi="ar-SA"/>
        </w:rPr>
      </w:pPr>
      <w:hyperlink w:anchor="_Toc146888186" w:history="1">
        <w:r w:rsidR="00850F86" w:rsidRPr="0000396F">
          <w:rPr>
            <w:rStyle w:val="Hyperlink"/>
          </w:rPr>
          <w:t>3.1.</w:t>
        </w:r>
        <w:r w:rsidR="00850F86">
          <w:rPr>
            <w:rFonts w:asciiTheme="minorHAnsi" w:eastAsiaTheme="minorEastAsia" w:hAnsiTheme="minorHAnsi" w:cstheme="minorBidi"/>
            <w:sz w:val="22"/>
            <w:lang w:eastAsia="en-GB" w:bidi="ar-SA"/>
          </w:rPr>
          <w:tab/>
        </w:r>
        <w:r w:rsidR="00850F86" w:rsidRPr="0000396F">
          <w:rPr>
            <w:rStyle w:val="Hyperlink"/>
          </w:rPr>
          <w:t>Understanding the Request</w:t>
        </w:r>
        <w:r w:rsidR="00850F86">
          <w:rPr>
            <w:webHidden/>
          </w:rPr>
          <w:tab/>
        </w:r>
        <w:r w:rsidR="00850F86">
          <w:rPr>
            <w:webHidden/>
          </w:rPr>
          <w:fldChar w:fldCharType="begin"/>
        </w:r>
        <w:r w:rsidR="00850F86">
          <w:rPr>
            <w:webHidden/>
          </w:rPr>
          <w:instrText xml:space="preserve"> PAGEREF _Toc146888186 \h </w:instrText>
        </w:r>
        <w:r w:rsidR="00850F86">
          <w:rPr>
            <w:webHidden/>
          </w:rPr>
        </w:r>
        <w:r w:rsidR="00850F86">
          <w:rPr>
            <w:webHidden/>
          </w:rPr>
          <w:fldChar w:fldCharType="separate"/>
        </w:r>
        <w:r w:rsidR="000C4B12">
          <w:rPr>
            <w:webHidden/>
          </w:rPr>
          <w:t>11</w:t>
        </w:r>
        <w:r w:rsidR="00850F86">
          <w:rPr>
            <w:webHidden/>
          </w:rPr>
          <w:fldChar w:fldCharType="end"/>
        </w:r>
      </w:hyperlink>
    </w:p>
    <w:p w14:paraId="2DFD5B87" w14:textId="287D5ECA" w:rsidR="00850F86" w:rsidRDefault="00000000">
      <w:pPr>
        <w:pStyle w:val="TOC2"/>
        <w:tabs>
          <w:tab w:val="left" w:pos="1100"/>
        </w:tabs>
        <w:rPr>
          <w:rFonts w:asciiTheme="minorHAnsi" w:eastAsiaTheme="minorEastAsia" w:hAnsiTheme="minorHAnsi" w:cstheme="minorBidi"/>
          <w:sz w:val="22"/>
          <w:lang w:eastAsia="en-GB" w:bidi="ar-SA"/>
        </w:rPr>
      </w:pPr>
      <w:hyperlink w:anchor="_Toc146888187" w:history="1">
        <w:r w:rsidR="00850F86" w:rsidRPr="0000396F">
          <w:rPr>
            <w:rStyle w:val="Hyperlink"/>
          </w:rPr>
          <w:t>3.2.</w:t>
        </w:r>
        <w:r w:rsidR="00850F86">
          <w:rPr>
            <w:rFonts w:asciiTheme="minorHAnsi" w:eastAsiaTheme="minorEastAsia" w:hAnsiTheme="minorHAnsi" w:cstheme="minorBidi"/>
            <w:sz w:val="22"/>
            <w:lang w:eastAsia="en-GB" w:bidi="ar-SA"/>
          </w:rPr>
          <w:tab/>
        </w:r>
        <w:r w:rsidR="00850F86" w:rsidRPr="0000396F">
          <w:rPr>
            <w:rStyle w:val="Hyperlink"/>
          </w:rPr>
          <w:t>Early Engagement</w:t>
        </w:r>
        <w:r w:rsidR="00850F86">
          <w:rPr>
            <w:webHidden/>
          </w:rPr>
          <w:tab/>
        </w:r>
        <w:r w:rsidR="00850F86">
          <w:rPr>
            <w:webHidden/>
          </w:rPr>
          <w:fldChar w:fldCharType="begin"/>
        </w:r>
        <w:r w:rsidR="00850F86">
          <w:rPr>
            <w:webHidden/>
          </w:rPr>
          <w:instrText xml:space="preserve"> PAGEREF _Toc146888187 \h </w:instrText>
        </w:r>
        <w:r w:rsidR="00850F86">
          <w:rPr>
            <w:webHidden/>
          </w:rPr>
        </w:r>
        <w:r w:rsidR="00850F86">
          <w:rPr>
            <w:webHidden/>
          </w:rPr>
          <w:fldChar w:fldCharType="separate"/>
        </w:r>
        <w:r w:rsidR="000C4B12">
          <w:rPr>
            <w:webHidden/>
          </w:rPr>
          <w:t>12</w:t>
        </w:r>
        <w:r w:rsidR="00850F86">
          <w:rPr>
            <w:webHidden/>
          </w:rPr>
          <w:fldChar w:fldCharType="end"/>
        </w:r>
      </w:hyperlink>
    </w:p>
    <w:p w14:paraId="6BAD048F" w14:textId="68A291C4" w:rsidR="00850F86" w:rsidRDefault="00000000">
      <w:pPr>
        <w:pStyle w:val="TOC2"/>
        <w:tabs>
          <w:tab w:val="left" w:pos="1100"/>
        </w:tabs>
        <w:rPr>
          <w:rFonts w:asciiTheme="minorHAnsi" w:eastAsiaTheme="minorEastAsia" w:hAnsiTheme="minorHAnsi" w:cstheme="minorBidi"/>
          <w:sz w:val="22"/>
          <w:lang w:eastAsia="en-GB" w:bidi="ar-SA"/>
        </w:rPr>
      </w:pPr>
      <w:hyperlink w:anchor="_Toc146888188" w:history="1">
        <w:r w:rsidR="00850F86" w:rsidRPr="0000396F">
          <w:rPr>
            <w:rStyle w:val="Hyperlink"/>
          </w:rPr>
          <w:t>3.3.</w:t>
        </w:r>
        <w:r w:rsidR="00850F86">
          <w:rPr>
            <w:rFonts w:asciiTheme="minorHAnsi" w:eastAsiaTheme="minorEastAsia" w:hAnsiTheme="minorHAnsi" w:cstheme="minorBidi"/>
            <w:sz w:val="22"/>
            <w:lang w:eastAsia="en-GB" w:bidi="ar-SA"/>
          </w:rPr>
          <w:tab/>
        </w:r>
        <w:r w:rsidR="00850F86" w:rsidRPr="0000396F">
          <w:rPr>
            <w:rStyle w:val="Hyperlink"/>
          </w:rPr>
          <w:t>Developing a Permissioning Plan</w:t>
        </w:r>
        <w:r w:rsidR="00850F86">
          <w:rPr>
            <w:webHidden/>
          </w:rPr>
          <w:tab/>
        </w:r>
        <w:r w:rsidR="00850F86">
          <w:rPr>
            <w:webHidden/>
          </w:rPr>
          <w:fldChar w:fldCharType="begin"/>
        </w:r>
        <w:r w:rsidR="00850F86">
          <w:rPr>
            <w:webHidden/>
          </w:rPr>
          <w:instrText xml:space="preserve"> PAGEREF _Toc146888188 \h </w:instrText>
        </w:r>
        <w:r w:rsidR="00850F86">
          <w:rPr>
            <w:webHidden/>
          </w:rPr>
        </w:r>
        <w:r w:rsidR="00850F86">
          <w:rPr>
            <w:webHidden/>
          </w:rPr>
          <w:fldChar w:fldCharType="separate"/>
        </w:r>
        <w:r w:rsidR="000C4B12">
          <w:rPr>
            <w:webHidden/>
          </w:rPr>
          <w:t>13</w:t>
        </w:r>
        <w:r w:rsidR="00850F86">
          <w:rPr>
            <w:webHidden/>
          </w:rPr>
          <w:fldChar w:fldCharType="end"/>
        </w:r>
      </w:hyperlink>
    </w:p>
    <w:p w14:paraId="6794DCD4" w14:textId="561A70AC" w:rsidR="00850F86" w:rsidRDefault="00000000">
      <w:pPr>
        <w:pStyle w:val="TOC2"/>
        <w:tabs>
          <w:tab w:val="left" w:pos="1100"/>
        </w:tabs>
        <w:rPr>
          <w:rFonts w:asciiTheme="minorHAnsi" w:eastAsiaTheme="minorEastAsia" w:hAnsiTheme="minorHAnsi" w:cstheme="minorBidi"/>
          <w:sz w:val="22"/>
          <w:lang w:eastAsia="en-GB" w:bidi="ar-SA"/>
        </w:rPr>
      </w:pPr>
      <w:hyperlink w:anchor="_Toc146888189" w:history="1">
        <w:r w:rsidR="00850F86" w:rsidRPr="0000396F">
          <w:rPr>
            <w:rStyle w:val="Hyperlink"/>
          </w:rPr>
          <w:t>3.4.</w:t>
        </w:r>
        <w:r w:rsidR="00850F86">
          <w:rPr>
            <w:rFonts w:asciiTheme="minorHAnsi" w:eastAsiaTheme="minorEastAsia" w:hAnsiTheme="minorHAnsi" w:cstheme="minorBidi"/>
            <w:sz w:val="22"/>
            <w:lang w:eastAsia="en-GB" w:bidi="ar-SA"/>
          </w:rPr>
          <w:tab/>
        </w:r>
        <w:r w:rsidR="00850F86" w:rsidRPr="0000396F">
          <w:rPr>
            <w:rStyle w:val="Hyperlink"/>
          </w:rPr>
          <w:t>Delivery</w:t>
        </w:r>
        <w:r w:rsidR="00850F86">
          <w:rPr>
            <w:webHidden/>
          </w:rPr>
          <w:tab/>
        </w:r>
        <w:r w:rsidR="00850F86">
          <w:rPr>
            <w:webHidden/>
          </w:rPr>
          <w:fldChar w:fldCharType="begin"/>
        </w:r>
        <w:r w:rsidR="00850F86">
          <w:rPr>
            <w:webHidden/>
          </w:rPr>
          <w:instrText xml:space="preserve"> PAGEREF _Toc146888189 \h </w:instrText>
        </w:r>
        <w:r w:rsidR="00850F86">
          <w:rPr>
            <w:webHidden/>
          </w:rPr>
        </w:r>
        <w:r w:rsidR="00850F86">
          <w:rPr>
            <w:webHidden/>
          </w:rPr>
          <w:fldChar w:fldCharType="separate"/>
        </w:r>
        <w:r w:rsidR="000C4B12">
          <w:rPr>
            <w:webHidden/>
          </w:rPr>
          <w:t>15</w:t>
        </w:r>
        <w:r w:rsidR="00850F86">
          <w:rPr>
            <w:webHidden/>
          </w:rPr>
          <w:fldChar w:fldCharType="end"/>
        </w:r>
      </w:hyperlink>
    </w:p>
    <w:p w14:paraId="54E8AD05" w14:textId="2B11D779" w:rsidR="00850F86" w:rsidRDefault="00000000">
      <w:pPr>
        <w:pStyle w:val="TOC1"/>
        <w:tabs>
          <w:tab w:val="left" w:pos="720"/>
        </w:tabs>
        <w:rPr>
          <w:rFonts w:asciiTheme="minorHAnsi" w:eastAsiaTheme="minorEastAsia" w:hAnsiTheme="minorHAnsi" w:cstheme="minorBidi"/>
          <w:sz w:val="22"/>
          <w:lang w:eastAsia="en-GB" w:bidi="ar-SA"/>
        </w:rPr>
      </w:pPr>
      <w:hyperlink w:anchor="_Toc146888190" w:history="1">
        <w:r w:rsidR="00850F86" w:rsidRPr="0000396F">
          <w:rPr>
            <w:rStyle w:val="Hyperlink"/>
          </w:rPr>
          <w:t>4.</w:t>
        </w:r>
        <w:r w:rsidR="00850F86">
          <w:rPr>
            <w:rFonts w:asciiTheme="minorHAnsi" w:eastAsiaTheme="minorEastAsia" w:hAnsiTheme="minorHAnsi" w:cstheme="minorBidi"/>
            <w:sz w:val="22"/>
            <w:lang w:eastAsia="en-GB" w:bidi="ar-SA"/>
          </w:rPr>
          <w:tab/>
        </w:r>
        <w:r w:rsidR="00850F86" w:rsidRPr="0000396F">
          <w:rPr>
            <w:rStyle w:val="Hyperlink"/>
          </w:rPr>
          <w:t>Guidance for Inspectors on Aspects of Licensee’ Arrangements for Permissioning</w:t>
        </w:r>
        <w:r w:rsidR="00850F86">
          <w:rPr>
            <w:webHidden/>
          </w:rPr>
          <w:tab/>
        </w:r>
        <w:r w:rsidR="00850F86">
          <w:rPr>
            <w:webHidden/>
          </w:rPr>
          <w:fldChar w:fldCharType="begin"/>
        </w:r>
        <w:r w:rsidR="00850F86">
          <w:rPr>
            <w:webHidden/>
          </w:rPr>
          <w:instrText xml:space="preserve"> PAGEREF _Toc146888190 \h </w:instrText>
        </w:r>
        <w:r w:rsidR="00850F86">
          <w:rPr>
            <w:webHidden/>
          </w:rPr>
        </w:r>
        <w:r w:rsidR="00850F86">
          <w:rPr>
            <w:webHidden/>
          </w:rPr>
          <w:fldChar w:fldCharType="separate"/>
        </w:r>
        <w:r w:rsidR="000C4B12">
          <w:rPr>
            <w:webHidden/>
          </w:rPr>
          <w:t>16</w:t>
        </w:r>
        <w:r w:rsidR="00850F86">
          <w:rPr>
            <w:webHidden/>
          </w:rPr>
          <w:fldChar w:fldCharType="end"/>
        </w:r>
      </w:hyperlink>
    </w:p>
    <w:p w14:paraId="7D428A41" w14:textId="3CB82C5F" w:rsidR="00850F86" w:rsidRDefault="00000000">
      <w:pPr>
        <w:pStyle w:val="TOC1"/>
        <w:rPr>
          <w:rFonts w:asciiTheme="minorHAnsi" w:eastAsiaTheme="minorEastAsia" w:hAnsiTheme="minorHAnsi" w:cstheme="minorBidi"/>
          <w:sz w:val="22"/>
          <w:lang w:eastAsia="en-GB" w:bidi="ar-SA"/>
        </w:rPr>
      </w:pPr>
      <w:hyperlink w:anchor="_Toc146888191" w:history="1">
        <w:r w:rsidR="00850F86" w:rsidRPr="0000396F">
          <w:rPr>
            <w:rStyle w:val="Hyperlink"/>
          </w:rPr>
          <w:t>References</w:t>
        </w:r>
        <w:r w:rsidR="00850F86">
          <w:rPr>
            <w:webHidden/>
          </w:rPr>
          <w:tab/>
        </w:r>
        <w:r w:rsidR="00850F86">
          <w:rPr>
            <w:webHidden/>
          </w:rPr>
          <w:fldChar w:fldCharType="begin"/>
        </w:r>
        <w:r w:rsidR="00850F86">
          <w:rPr>
            <w:webHidden/>
          </w:rPr>
          <w:instrText xml:space="preserve"> PAGEREF _Toc146888191 \h </w:instrText>
        </w:r>
        <w:r w:rsidR="00850F86">
          <w:rPr>
            <w:webHidden/>
          </w:rPr>
        </w:r>
        <w:r w:rsidR="00850F86">
          <w:rPr>
            <w:webHidden/>
          </w:rPr>
          <w:fldChar w:fldCharType="separate"/>
        </w:r>
        <w:r w:rsidR="000C4B12">
          <w:rPr>
            <w:webHidden/>
          </w:rPr>
          <w:t>18</w:t>
        </w:r>
        <w:r w:rsidR="00850F86">
          <w:rPr>
            <w:webHidden/>
          </w:rPr>
          <w:fldChar w:fldCharType="end"/>
        </w:r>
      </w:hyperlink>
    </w:p>
    <w:p w14:paraId="7CBEDFF6" w14:textId="34B861CF" w:rsidR="00850F86" w:rsidRDefault="00000000">
      <w:pPr>
        <w:pStyle w:val="TOC1"/>
        <w:rPr>
          <w:rFonts w:asciiTheme="minorHAnsi" w:eastAsiaTheme="minorEastAsia" w:hAnsiTheme="minorHAnsi" w:cstheme="minorBidi"/>
          <w:sz w:val="22"/>
          <w:lang w:eastAsia="en-GB" w:bidi="ar-SA"/>
        </w:rPr>
      </w:pPr>
      <w:hyperlink w:anchor="_Toc146888192" w:history="1">
        <w:r w:rsidR="00850F86" w:rsidRPr="0000396F">
          <w:rPr>
            <w:rStyle w:val="Hyperlink"/>
          </w:rPr>
          <w:t>Appendix A – Enhanced Decision-Making Process</w:t>
        </w:r>
        <w:r w:rsidR="00850F86">
          <w:rPr>
            <w:webHidden/>
          </w:rPr>
          <w:tab/>
        </w:r>
        <w:r w:rsidR="00850F86">
          <w:rPr>
            <w:webHidden/>
          </w:rPr>
          <w:fldChar w:fldCharType="begin"/>
        </w:r>
        <w:r w:rsidR="00850F86">
          <w:rPr>
            <w:webHidden/>
          </w:rPr>
          <w:instrText xml:space="preserve"> PAGEREF _Toc146888192 \h </w:instrText>
        </w:r>
        <w:r w:rsidR="00850F86">
          <w:rPr>
            <w:webHidden/>
          </w:rPr>
        </w:r>
        <w:r w:rsidR="00850F86">
          <w:rPr>
            <w:webHidden/>
          </w:rPr>
          <w:fldChar w:fldCharType="separate"/>
        </w:r>
        <w:r w:rsidR="000C4B12">
          <w:rPr>
            <w:webHidden/>
          </w:rPr>
          <w:t>19</w:t>
        </w:r>
        <w:r w:rsidR="00850F86">
          <w:rPr>
            <w:webHidden/>
          </w:rPr>
          <w:fldChar w:fldCharType="end"/>
        </w:r>
      </w:hyperlink>
    </w:p>
    <w:p w14:paraId="0CC4B54A" w14:textId="41A2E66A" w:rsidR="00267815" w:rsidRDefault="00850F86"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1759BC">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p>
    <w:p w14:paraId="43A875A4" w14:textId="7F61F835" w:rsidR="008D49A5" w:rsidRDefault="008D49A5" w:rsidP="00223090">
      <w:pPr>
        <w:pStyle w:val="Heading1"/>
      </w:pPr>
      <w:bookmarkStart w:id="1" w:name="_Toc146888178"/>
      <w:bookmarkEnd w:id="0"/>
      <w:r w:rsidRPr="00C95DA0">
        <w:lastRenderedPageBreak/>
        <w:t>Introduction</w:t>
      </w:r>
      <w:bookmarkEnd w:id="1"/>
    </w:p>
    <w:p w14:paraId="7146BA33" w14:textId="06D523F8" w:rsidR="006E2B65" w:rsidRPr="006E2B65" w:rsidRDefault="00D44239" w:rsidP="006E2B65">
      <w:r>
        <w:t>P</w:t>
      </w:r>
      <w:r w:rsidR="001A0DAA">
        <w:t>ermissioning is undertaken by ONR across its core purposes of nuclear safety</w:t>
      </w:r>
      <w:r w:rsidR="003A2160">
        <w:t>, s</w:t>
      </w:r>
      <w:r w:rsidR="001A0DAA">
        <w:t xml:space="preserve">ecurity, transport and </w:t>
      </w:r>
      <w:r w:rsidR="001A0DAA" w:rsidRPr="006F0205">
        <w:t>conventional health and safety</w:t>
      </w:r>
      <w:r w:rsidR="009A1527" w:rsidRPr="006F0205">
        <w:t xml:space="preserve">. </w:t>
      </w:r>
      <w:r w:rsidR="00B83691" w:rsidRPr="006F0205">
        <w:t>The</w:t>
      </w:r>
      <w:r w:rsidR="008967AC" w:rsidRPr="006F0205">
        <w:t xml:space="preserve"> </w:t>
      </w:r>
      <w:r w:rsidR="00FC37B2" w:rsidRPr="006F0205">
        <w:t xml:space="preserve">type of </w:t>
      </w:r>
      <w:r w:rsidR="00314EC2" w:rsidRPr="006F0205">
        <w:t>permission</w:t>
      </w:r>
      <w:r w:rsidR="00FC37B2" w:rsidRPr="006F0205">
        <w:t>ing</w:t>
      </w:r>
      <w:r w:rsidR="00314EC2" w:rsidRPr="006F0205">
        <w:t xml:space="preserve"> undertaken </w:t>
      </w:r>
      <w:r w:rsidR="00433768" w:rsidRPr="006F0205">
        <w:t xml:space="preserve">by these purposes </w:t>
      </w:r>
      <w:r w:rsidR="00314EC2" w:rsidRPr="006F0205">
        <w:t xml:space="preserve">and the </w:t>
      </w:r>
      <w:r w:rsidR="006A4DEB" w:rsidRPr="006F0205">
        <w:t>leg</w:t>
      </w:r>
      <w:r w:rsidR="009A223F" w:rsidRPr="006F0205">
        <w:t xml:space="preserve">islation </w:t>
      </w:r>
      <w:r w:rsidR="00761183" w:rsidRPr="006F0205">
        <w:t>upon wh</w:t>
      </w:r>
      <w:r w:rsidR="00DD2A0E" w:rsidRPr="006F0205">
        <w:t xml:space="preserve">ich they are </w:t>
      </w:r>
      <w:r w:rsidR="00FC37B2" w:rsidRPr="006F0205">
        <w:t xml:space="preserve">based </w:t>
      </w:r>
      <w:r w:rsidR="00E821D6" w:rsidRPr="006F0205">
        <w:t>is d</w:t>
      </w:r>
      <w:r w:rsidR="008967AC" w:rsidRPr="006F0205">
        <w:t xml:space="preserve">etailed in an </w:t>
      </w:r>
      <w:r w:rsidR="00E821D6" w:rsidRPr="006F0205">
        <w:t xml:space="preserve">overarching </w:t>
      </w:r>
      <w:r w:rsidR="006A4DEB" w:rsidRPr="006F0205">
        <w:t xml:space="preserve">document </w:t>
      </w:r>
      <w:r w:rsidR="00E86B50" w:rsidRPr="00C620CA">
        <w:t>[ref.</w:t>
      </w:r>
      <w:r w:rsidR="00E86B50">
        <w:t xml:space="preserve"> </w:t>
      </w:r>
      <w:sdt>
        <w:sdtPr>
          <w:id w:val="-89789442"/>
          <w:citation/>
        </w:sdtPr>
        <w:sdtContent>
          <w:r w:rsidR="002511A2" w:rsidRPr="006F0205">
            <w:fldChar w:fldCharType="begin"/>
          </w:r>
          <w:r w:rsidR="002511A2" w:rsidRPr="006F0205">
            <w:instrText xml:space="preserve"> CITATION ONR2 \l 2057 </w:instrText>
          </w:r>
          <w:r w:rsidR="002511A2" w:rsidRPr="006F0205">
            <w:fldChar w:fldCharType="separate"/>
          </w:r>
          <w:r w:rsidR="006F0205" w:rsidRPr="006F0205">
            <w:rPr>
              <w:noProof/>
            </w:rPr>
            <w:t>[1]</w:t>
          </w:r>
          <w:r w:rsidR="002511A2" w:rsidRPr="006F0205">
            <w:fldChar w:fldCharType="end"/>
          </w:r>
        </w:sdtContent>
      </w:sdt>
      <w:r w:rsidR="00E86B50">
        <w:t>]</w:t>
      </w:r>
      <w:r w:rsidR="00DD2A0E" w:rsidRPr="006F0205">
        <w:t xml:space="preserve">. Supporting this overarching document is a </w:t>
      </w:r>
      <w:r w:rsidR="009F6663" w:rsidRPr="006F0205">
        <w:t xml:space="preserve">suite of </w:t>
      </w:r>
      <w:r w:rsidR="006A4DEB" w:rsidRPr="006F0205">
        <w:t xml:space="preserve">subordinate </w:t>
      </w:r>
      <w:r w:rsidR="0074434C" w:rsidRPr="006F0205">
        <w:t>document</w:t>
      </w:r>
      <w:r w:rsidR="0011500E" w:rsidRPr="006F0205">
        <w:t xml:space="preserve">s </w:t>
      </w:r>
      <w:r w:rsidR="00CD5E71" w:rsidRPr="006F0205">
        <w:t xml:space="preserve">detailing how </w:t>
      </w:r>
      <w:r w:rsidR="00B42567" w:rsidRPr="006F0205">
        <w:t xml:space="preserve">permissioning is undertaken </w:t>
      </w:r>
      <w:r w:rsidR="00AA1033" w:rsidRPr="006F0205">
        <w:t xml:space="preserve">for </w:t>
      </w:r>
      <w:r w:rsidR="00B42567" w:rsidRPr="006F0205">
        <w:t xml:space="preserve">each purpose. </w:t>
      </w:r>
      <w:r w:rsidR="00AA1033" w:rsidRPr="006F0205">
        <w:t xml:space="preserve">This document </w:t>
      </w:r>
      <w:r w:rsidR="0099395E" w:rsidRPr="006F0205">
        <w:t xml:space="preserve">provides </w:t>
      </w:r>
      <w:r w:rsidR="009869D4" w:rsidRPr="006F0205">
        <w:t>guidance</w:t>
      </w:r>
      <w:r w:rsidR="009869D4">
        <w:t xml:space="preserve"> on how </w:t>
      </w:r>
      <w:r w:rsidR="00D86634">
        <w:t xml:space="preserve">permissioning is undertaken </w:t>
      </w:r>
      <w:r w:rsidR="00E91826">
        <w:t xml:space="preserve">for </w:t>
      </w:r>
      <w:r w:rsidR="00AD6F64">
        <w:t>nuclear safety.</w:t>
      </w:r>
    </w:p>
    <w:p w14:paraId="368734C3" w14:textId="5361706C" w:rsidR="00EA4AD4" w:rsidRPr="001759BC" w:rsidRDefault="00EA4AD4" w:rsidP="001759BC">
      <w:pPr>
        <w:pStyle w:val="Heading2"/>
      </w:pPr>
      <w:bookmarkStart w:id="2" w:name="_Toc146888179"/>
      <w:bookmarkStart w:id="3" w:name="_Hlk64448648"/>
      <w:r w:rsidRPr="001759BC">
        <w:t>Purpose</w:t>
      </w:r>
      <w:bookmarkEnd w:id="2"/>
      <w:r w:rsidR="00057940" w:rsidRPr="001759BC">
        <w:t xml:space="preserve"> </w:t>
      </w:r>
    </w:p>
    <w:p w14:paraId="25F75B94" w14:textId="12E6DE34" w:rsidR="009D7922" w:rsidRPr="00D93848" w:rsidRDefault="009D7922" w:rsidP="009D7922">
      <w:r w:rsidRPr="000A17DD">
        <w:t xml:space="preserve">The purpose of this document is to provide guidance to inspectors on the role and use of permissioning in regulating </w:t>
      </w:r>
      <w:r w:rsidR="00395DF6" w:rsidRPr="000A17DD">
        <w:t xml:space="preserve">nuclear </w:t>
      </w:r>
      <w:r w:rsidRPr="000A17DD">
        <w:t>safety on a nuclear licensed site.</w:t>
      </w:r>
      <w:r w:rsidR="00E71FFD" w:rsidRPr="000A17DD">
        <w:t xml:space="preserve"> It </w:t>
      </w:r>
      <w:r w:rsidRPr="000A17DD">
        <w:t xml:space="preserve">sets out the principles that inspectors should apply when permissioning </w:t>
      </w:r>
      <w:r w:rsidR="00CC780A">
        <w:t xml:space="preserve">dutyholder </w:t>
      </w:r>
      <w:r w:rsidRPr="000A17DD">
        <w:t>undertakings</w:t>
      </w:r>
      <w:r w:rsidR="00B317AE">
        <w:t xml:space="preserve"> (with dutyholder hereon referred to as the licensee)</w:t>
      </w:r>
      <w:r w:rsidRPr="000A17DD">
        <w:t xml:space="preserve">. </w:t>
      </w:r>
      <w:r w:rsidR="008D6FA1" w:rsidRPr="000A17DD">
        <w:t>It</w:t>
      </w:r>
      <w:r w:rsidRPr="000A17DD">
        <w:t xml:space="preserve"> is intended </w:t>
      </w:r>
      <w:r w:rsidRPr="00D93848">
        <w:t>to inform and promote a consistent and enabling approach to permissioning given the predominantly non-prescriptive nuclear safety regulatory regime operated by ONR.</w:t>
      </w:r>
    </w:p>
    <w:p w14:paraId="062E1042" w14:textId="69686BD5" w:rsidR="007E21C1" w:rsidRPr="00D93848" w:rsidRDefault="00EA4AD4" w:rsidP="001759BC">
      <w:pPr>
        <w:pStyle w:val="Heading2"/>
      </w:pPr>
      <w:bookmarkStart w:id="4" w:name="_Toc146888180"/>
      <w:bookmarkEnd w:id="3"/>
      <w:r w:rsidRPr="00D93848">
        <w:t>Scope</w:t>
      </w:r>
      <w:bookmarkEnd w:id="4"/>
    </w:p>
    <w:p w14:paraId="696D84AB" w14:textId="77777777" w:rsidR="007E3FBC" w:rsidRDefault="00D93848" w:rsidP="009D7922">
      <w:r w:rsidRPr="00D93848">
        <w:t xml:space="preserve">For nuclear safety, the Nuclear Installations Act 1965 (NIA65) and, </w:t>
      </w:r>
      <w:r w:rsidR="0047696D">
        <w:t xml:space="preserve">the </w:t>
      </w:r>
      <w:r w:rsidRPr="00D93848">
        <w:t>nuclear site licence and attached Licence Conditions (LCs) issued under it provide the principal legal basis for regulation by ONR of safety on nuclear licensed sites.</w:t>
      </w:r>
      <w:r w:rsidR="0047696D">
        <w:t xml:space="preserve"> </w:t>
      </w:r>
    </w:p>
    <w:p w14:paraId="43F09434" w14:textId="3DE731C7" w:rsidR="00EA4AD4" w:rsidRDefault="0047696D" w:rsidP="009D7922">
      <w:pPr>
        <w:sectPr w:rsidR="00EA4AD4" w:rsidSect="001759BC">
          <w:headerReference w:type="even" r:id="rId21"/>
          <w:headerReference w:type="default" r:id="rId22"/>
          <w:footerReference w:type="even" r:id="rId23"/>
          <w:pgSz w:w="11906" w:h="16838" w:code="9"/>
          <w:pgMar w:top="1440" w:right="1440" w:bottom="1440" w:left="1440" w:header="397" w:footer="397" w:gutter="0"/>
          <w:cols w:space="312"/>
          <w:docGrid w:linePitch="360"/>
        </w:sectPr>
      </w:pPr>
      <w:r>
        <w:t>Th</w:t>
      </w:r>
      <w:r w:rsidR="00C32509">
        <w:t xml:space="preserve">e scope of this document </w:t>
      </w:r>
      <w:r w:rsidR="00800BD7">
        <w:t>is limited to</w:t>
      </w:r>
      <w:r>
        <w:t xml:space="preserve"> how ONR </w:t>
      </w:r>
      <w:r w:rsidR="00800BD7">
        <w:t>should</w:t>
      </w:r>
      <w:r w:rsidR="007227C6">
        <w:t xml:space="preserve"> regulate permissioning </w:t>
      </w:r>
      <w:r w:rsidR="00800BD7">
        <w:t>under this legislation</w:t>
      </w:r>
      <w:r w:rsidR="00E71FFD" w:rsidRPr="00E71FFD">
        <w:t>.</w:t>
      </w:r>
    </w:p>
    <w:p w14:paraId="2ACDE641" w14:textId="77777777" w:rsidR="007E21C1" w:rsidRDefault="007E21C1" w:rsidP="00EA4AD4">
      <w:pPr>
        <w:pStyle w:val="Heading1"/>
      </w:pPr>
      <w:bookmarkStart w:id="5" w:name="_Toc146888181"/>
      <w:r>
        <w:lastRenderedPageBreak/>
        <w:t>Types of Permissioning</w:t>
      </w:r>
      <w:bookmarkEnd w:id="5"/>
    </w:p>
    <w:p w14:paraId="24A90769" w14:textId="16AC4FC5" w:rsidR="007E21C1" w:rsidRDefault="007E21C1" w:rsidP="007E21C1">
      <w:r w:rsidRPr="001C5FF5">
        <w:t xml:space="preserve">Permissioning should always be proportionate to the hazard/risk associated with the proposed activities. </w:t>
      </w:r>
      <w:r w:rsidR="004A5DF3" w:rsidRPr="001C5FF5">
        <w:t xml:space="preserve">Licensee </w:t>
      </w:r>
      <w:r w:rsidR="008B0D4C" w:rsidRPr="001C5FF5">
        <w:t xml:space="preserve">activities </w:t>
      </w:r>
      <w:r w:rsidRPr="001C5FF5">
        <w:t xml:space="preserve">of highest hazard/where risks may be least well controlled </w:t>
      </w:r>
      <w:r w:rsidR="006C5411" w:rsidRPr="001C5FF5">
        <w:t xml:space="preserve">should </w:t>
      </w:r>
      <w:r w:rsidRPr="001C5FF5">
        <w:t>always attract a greater degree of regulatory interest than low consequence, routine activities. In recognition of this ONR takes a flexible approach to permissioning and utilises several tools to support this.</w:t>
      </w:r>
      <w:r w:rsidR="00150EB2">
        <w:t xml:space="preserve"> </w:t>
      </w:r>
    </w:p>
    <w:p w14:paraId="38883359" w14:textId="77777777" w:rsidR="00E86B50" w:rsidRDefault="007E21C1" w:rsidP="007E21C1">
      <w:r>
        <w:t xml:space="preserve">Permissioning can be </w:t>
      </w:r>
      <w:r w:rsidR="00487E74">
        <w:t>undertaken using two approaches</w:t>
      </w:r>
      <w:r>
        <w:t xml:space="preserve">: </w:t>
      </w:r>
    </w:p>
    <w:p w14:paraId="556D57B9" w14:textId="5ECB377C" w:rsidR="00E86B50" w:rsidRDefault="007E21C1" w:rsidP="00E86B50">
      <w:pPr>
        <w:pStyle w:val="Bulletlist1"/>
      </w:pPr>
      <w:r w:rsidRPr="00BD71FF">
        <w:rPr>
          <w:b/>
          <w:bCs/>
        </w:rPr>
        <w:t>Primary Power</w:t>
      </w:r>
      <w:r w:rsidR="00E86B50">
        <w:rPr>
          <w:b/>
          <w:bCs/>
        </w:rPr>
        <w:t>;</w:t>
      </w:r>
      <w:r>
        <w:t xml:space="preserve"> and</w:t>
      </w:r>
      <w:r w:rsidR="000559FC">
        <w:t>/or</w:t>
      </w:r>
      <w:r>
        <w:t xml:space="preserve"> </w:t>
      </w:r>
    </w:p>
    <w:p w14:paraId="45F7F2D7" w14:textId="77777777" w:rsidR="00E86B50" w:rsidRDefault="007E21C1" w:rsidP="00E86B50">
      <w:pPr>
        <w:pStyle w:val="Bulletlist1"/>
      </w:pPr>
      <w:r w:rsidRPr="00BD71FF">
        <w:rPr>
          <w:b/>
          <w:bCs/>
        </w:rPr>
        <w:t>Derived Power</w:t>
      </w:r>
      <w:r w:rsidR="00487E74">
        <w:rPr>
          <w:b/>
          <w:bCs/>
        </w:rPr>
        <w:t xml:space="preserve"> </w:t>
      </w:r>
      <w:r w:rsidR="00FE1EB8">
        <w:t>hold points</w:t>
      </w:r>
      <w:r w:rsidR="004D0B3F">
        <w:t xml:space="preserve">, </w:t>
      </w:r>
      <w:r w:rsidR="000152B6">
        <w:t xml:space="preserve">where a hold point defines a </w:t>
      </w:r>
      <w:r w:rsidR="000152B6" w:rsidRPr="009817E4">
        <w:t>point in a proposed activity</w:t>
      </w:r>
      <w:r w:rsidR="00051DC5">
        <w:t>, change</w:t>
      </w:r>
      <w:r w:rsidR="000152B6" w:rsidRPr="009817E4">
        <w:t xml:space="preserve"> or stage in a project beyond which the licensee shall not proceed until released by ONR</w:t>
      </w:r>
      <w:r>
        <w:t xml:space="preserve">. </w:t>
      </w:r>
    </w:p>
    <w:p w14:paraId="038DFB73" w14:textId="34A55699" w:rsidR="007E21C1" w:rsidRDefault="007E21C1" w:rsidP="00E86B50">
      <w:r>
        <w:t>These</w:t>
      </w:r>
      <w:r w:rsidR="000152B6">
        <w:t xml:space="preserve"> powers</w:t>
      </w:r>
      <w:r>
        <w:t xml:space="preserve"> can be used in isolation or in combination with one another to establish the necessary regulatory control.</w:t>
      </w:r>
      <w:r w:rsidR="00150EB2">
        <w:t xml:space="preserve"> </w:t>
      </w:r>
    </w:p>
    <w:p w14:paraId="58376AB3" w14:textId="768C5AD4" w:rsidR="007E21C1" w:rsidRDefault="007E21C1" w:rsidP="001759BC">
      <w:pPr>
        <w:pStyle w:val="Heading2"/>
      </w:pPr>
      <w:bookmarkStart w:id="6" w:name="_Toc146888182"/>
      <w:r>
        <w:t>Primary Powers</w:t>
      </w:r>
      <w:bookmarkEnd w:id="6"/>
    </w:p>
    <w:p w14:paraId="415C1F08" w14:textId="0422465D" w:rsidR="004F4CFB" w:rsidRDefault="00711DC5" w:rsidP="007E21C1">
      <w:r>
        <w:t xml:space="preserve">The LCs </w:t>
      </w:r>
      <w:r w:rsidR="00CF61F1">
        <w:t xml:space="preserve">include </w:t>
      </w:r>
      <w:r w:rsidR="00CF61F1" w:rsidRPr="00CF61F1">
        <w:t xml:space="preserve">powers which may be used by ONR to intervene and control </w:t>
      </w:r>
      <w:r w:rsidR="007B0C96">
        <w:t xml:space="preserve">licensee </w:t>
      </w:r>
      <w:r w:rsidR="00CF61F1" w:rsidRPr="00CF61F1">
        <w:t xml:space="preserve">arrangements and </w:t>
      </w:r>
      <w:r w:rsidR="00415F23">
        <w:t xml:space="preserve">activities </w:t>
      </w:r>
      <w:r w:rsidR="00CF61F1" w:rsidRPr="00CF61F1">
        <w:t>in the interests of safety</w:t>
      </w:r>
      <w:r w:rsidR="00D47D3C">
        <w:t xml:space="preserve">. </w:t>
      </w:r>
      <w:r w:rsidR="00BB41AF" w:rsidRPr="00BB41AF">
        <w:t>These powers are known as “primary” powers as they are provided to ONR through the N</w:t>
      </w:r>
      <w:r w:rsidR="00370017">
        <w:t>IA</w:t>
      </w:r>
      <w:r w:rsidR="00BB41AF" w:rsidRPr="00BB41AF">
        <w:t>65, Section 4 – “Attachment of conditions to the licences”.</w:t>
      </w:r>
      <w:r w:rsidR="007E21C1">
        <w:t xml:space="preserve"> The six primary powers (Specification, Approval, Consent, Direction, Agreement and Notification) are explicit in the wording of the standard 36 LCs and are therefore legally binding on all licensees.</w:t>
      </w:r>
      <w:r w:rsidR="00984A46">
        <w:t xml:space="preserve"> </w:t>
      </w:r>
      <w:r w:rsidR="007570A6" w:rsidRPr="007570A6">
        <w:t xml:space="preserve">Using primary powers to control arrangements and </w:t>
      </w:r>
      <w:r w:rsidR="00185757">
        <w:t xml:space="preserve">activities </w:t>
      </w:r>
      <w:r w:rsidR="007570A6" w:rsidRPr="007570A6">
        <w:t>on a nuclear licensed site provides ONR with the ability to apply a “permissioning regime”.</w:t>
      </w:r>
    </w:p>
    <w:p w14:paraId="42DDEABD" w14:textId="68A71D27" w:rsidR="008E3EC9" w:rsidRDefault="00401ECC" w:rsidP="007E21C1">
      <w:r>
        <w:t>H</w:t>
      </w:r>
      <w:r w:rsidR="00F73D02">
        <w:t xml:space="preserve">old points </w:t>
      </w:r>
      <w:r>
        <w:t xml:space="preserve">of this type </w:t>
      </w:r>
      <w:r w:rsidR="00F73D02">
        <w:t>can be summarised as r</w:t>
      </w:r>
      <w:r w:rsidR="009817E4" w:rsidRPr="009817E4">
        <w:t xml:space="preserve">egulatory hold-points instituted </w:t>
      </w:r>
      <w:r w:rsidR="009A012D" w:rsidRPr="009817E4">
        <w:t>using</w:t>
      </w:r>
      <w:r w:rsidR="009817E4" w:rsidRPr="009817E4">
        <w:t xml:space="preserve"> primary powers where ONR has identified the need to Specify (</w:t>
      </w:r>
      <w:r w:rsidR="00E86B50">
        <w:t xml:space="preserve">for example, </w:t>
      </w:r>
      <w:r w:rsidR="009817E4" w:rsidRPr="009817E4">
        <w:t>LC 22(4)), Notify (</w:t>
      </w:r>
      <w:r w:rsidR="00E86B50">
        <w:t xml:space="preserve">for example, </w:t>
      </w:r>
      <w:r w:rsidR="009817E4" w:rsidRPr="009817E4">
        <w:t>LC 21 (8)) or Direct (</w:t>
      </w:r>
      <w:r w:rsidR="00E86B50">
        <w:t xml:space="preserve">for example, </w:t>
      </w:r>
      <w:r w:rsidR="009817E4" w:rsidRPr="009817E4">
        <w:t>LC 22 (5)) the licensee not to continue with an activity</w:t>
      </w:r>
      <w:r w:rsidR="009817E4" w:rsidRPr="009817E4">
        <w:rPr>
          <w:vertAlign w:val="superscript"/>
        </w:rPr>
        <w:footnoteReference w:id="2"/>
      </w:r>
      <w:r w:rsidR="009817E4" w:rsidRPr="009817E4">
        <w:t>. The hold-point is only released using a primary power’s Consent L</w:t>
      </w:r>
      <w:r w:rsidR="00973DA3">
        <w:t xml:space="preserve">icence </w:t>
      </w:r>
      <w:r w:rsidR="009817E4" w:rsidRPr="009817E4">
        <w:t>I</w:t>
      </w:r>
      <w:r w:rsidR="00973DA3">
        <w:t>nstrument (LI)</w:t>
      </w:r>
      <w:r w:rsidR="009817E4" w:rsidRPr="009817E4">
        <w:t xml:space="preserve"> issued by ONR. The modification, </w:t>
      </w:r>
      <w:r w:rsidR="00204359" w:rsidRPr="009817E4">
        <w:t>revision,</w:t>
      </w:r>
      <w:r w:rsidR="009817E4" w:rsidRPr="009817E4">
        <w:t xml:space="preserve"> or withdrawal of a primary power in accordance with LC 1 (3)</w:t>
      </w:r>
      <w:r w:rsidR="009817E4" w:rsidRPr="009817E4">
        <w:rPr>
          <w:vertAlign w:val="superscript"/>
        </w:rPr>
        <w:footnoteReference w:id="3"/>
      </w:r>
      <w:r w:rsidR="009817E4" w:rsidRPr="009817E4">
        <w:t xml:space="preserve"> sh</w:t>
      </w:r>
      <w:r w:rsidR="00221F5D">
        <w:t>ould</w:t>
      </w:r>
      <w:r w:rsidR="009817E4" w:rsidRPr="009817E4">
        <w:t xml:space="preserve"> be processed in a similar manner to its issue. If only a part of a previously issued LI is changed the new LI </w:t>
      </w:r>
      <w:r w:rsidR="00A07D97">
        <w:t>shall</w:t>
      </w:r>
      <w:r w:rsidR="000D25F0">
        <w:t xml:space="preserve"> </w:t>
      </w:r>
      <w:r w:rsidR="009817E4" w:rsidRPr="009817E4">
        <w:t>clearly identify which part of the preceding one remains in force and which part is superseded.</w:t>
      </w:r>
      <w:r w:rsidR="003E2F76">
        <w:t xml:space="preserve"> Primary Power LIs </w:t>
      </w:r>
      <w:r w:rsidR="00DE5429">
        <w:t xml:space="preserve">are generally accompanied by a supporting letter. </w:t>
      </w:r>
    </w:p>
    <w:p w14:paraId="4BF1630C" w14:textId="1E3E3222" w:rsidR="007E21C1" w:rsidRDefault="007E21C1" w:rsidP="007E21C1">
      <w:r>
        <w:lastRenderedPageBreak/>
        <w:t xml:space="preserve">Due to the legal status of primary powers, the situations in which they can be used, the requirements for placing, and the mechanism for releasing </w:t>
      </w:r>
      <w:r w:rsidR="005A788E">
        <w:t>can be</w:t>
      </w:r>
      <w:r>
        <w:t xml:space="preserve"> inflexible and often </w:t>
      </w:r>
      <w:r w:rsidR="00634FE5">
        <w:t>unnecessary</w:t>
      </w:r>
      <w:r>
        <w:t xml:space="preserve"> for controlling activities. </w:t>
      </w:r>
      <w:r w:rsidR="00942464" w:rsidRPr="00C620CA">
        <w:t xml:space="preserve">When considering if it is appropriate to exercise regulatory control using a primary power, persons having delegated authority for making primary power decisions </w:t>
      </w:r>
      <w:r w:rsidR="0088624A" w:rsidRPr="00C620CA">
        <w:t xml:space="preserve">[ref. </w:t>
      </w:r>
      <w:sdt>
        <w:sdtPr>
          <w:id w:val="-240104350"/>
          <w:citation/>
        </w:sdtPr>
        <w:sdtContent>
          <w:r w:rsidR="003258C2">
            <w:fldChar w:fldCharType="begin"/>
          </w:r>
          <w:r w:rsidR="00983EA4">
            <w:instrText xml:space="preserve">CITATION ONR181 \l 2057 </w:instrText>
          </w:r>
          <w:r w:rsidR="003258C2">
            <w:fldChar w:fldCharType="separate"/>
          </w:r>
          <w:r w:rsidR="00983EA4" w:rsidRPr="00983EA4">
            <w:rPr>
              <w:noProof/>
            </w:rPr>
            <w:t>[2]</w:t>
          </w:r>
          <w:r w:rsidR="003258C2">
            <w:fldChar w:fldCharType="end"/>
          </w:r>
        </w:sdtContent>
      </w:sdt>
      <w:r w:rsidR="0088624A" w:rsidRPr="00C620CA">
        <w:t xml:space="preserve">] </w:t>
      </w:r>
      <w:r w:rsidR="00942464" w:rsidRPr="00C620CA">
        <w:t>should</w:t>
      </w:r>
      <w:r w:rsidR="00942464" w:rsidRPr="00942464">
        <w:t xml:space="preserve"> be consulted.</w:t>
      </w:r>
    </w:p>
    <w:p w14:paraId="01856B75" w14:textId="7FE9BBFE" w:rsidR="007E21C1" w:rsidRDefault="007E21C1" w:rsidP="001759BC">
      <w:pPr>
        <w:pStyle w:val="Heading2"/>
      </w:pPr>
      <w:bookmarkStart w:id="7" w:name="_Toc146888183"/>
      <w:r>
        <w:t>Derived Powers</w:t>
      </w:r>
      <w:bookmarkEnd w:id="7"/>
    </w:p>
    <w:p w14:paraId="53C4A1DA" w14:textId="77777777" w:rsidR="00445118" w:rsidRPr="00445118" w:rsidRDefault="001C4622" w:rsidP="001C4622">
      <w:r w:rsidRPr="00445118">
        <w:t xml:space="preserve">ONR has found that it is not always necessary to use primary powers to put into effect regulatory control of an </w:t>
      </w:r>
      <w:r w:rsidR="00AD0E46" w:rsidRPr="00445118">
        <w:t>activity</w:t>
      </w:r>
      <w:r w:rsidRPr="00445118">
        <w:t>. Nevertheless, it remains desirable in the interests of safety for ONR to</w:t>
      </w:r>
      <w:r w:rsidR="009928B4" w:rsidRPr="00445118">
        <w:t xml:space="preserve"> have</w:t>
      </w:r>
      <w:r w:rsidRPr="00445118">
        <w:t xml:space="preserve"> control</w:t>
      </w:r>
      <w:r w:rsidR="009928B4" w:rsidRPr="00445118">
        <w:t xml:space="preserve">. </w:t>
      </w:r>
      <w:r w:rsidRPr="00445118">
        <w:t xml:space="preserve">In these cases, regulatory control and oversight may be achieved using a flexible permissioning regime via powers provided from the licensees’ arrangements for complying with the LCs. </w:t>
      </w:r>
    </w:p>
    <w:p w14:paraId="65BA5C43" w14:textId="09F69527" w:rsidR="007E21C1" w:rsidRDefault="007E21C1" w:rsidP="001C4622">
      <w:r w:rsidRPr="00445118">
        <w:t>The licensee is required to make and implement arrangements under many LCs. Through some of these LC arrangements, the licensee can choose to provide administrative ‘powers’ to ONR through which ONR derives the ability to</w:t>
      </w:r>
      <w:r>
        <w:t xml:space="preserve"> permission selected activities on the licensed site. Such powers provided by the licensee </w:t>
      </w:r>
      <w:r w:rsidR="00C03551">
        <w:t>to</w:t>
      </w:r>
      <w:r>
        <w:t xml:space="preserve"> ONR are </w:t>
      </w:r>
      <w:r w:rsidR="003861C4">
        <w:t xml:space="preserve">referred to as </w:t>
      </w:r>
      <w:r>
        <w:t>“derived powers”.</w:t>
      </w:r>
    </w:p>
    <w:p w14:paraId="3972672F" w14:textId="6AB6641B" w:rsidR="007E21C1" w:rsidRDefault="00204359" w:rsidP="007E21C1">
      <w:r>
        <w:t>Specifically,</w:t>
      </w:r>
      <w:r w:rsidR="00244DF8">
        <w:t xml:space="preserve"> </w:t>
      </w:r>
      <w:r w:rsidR="007E21C1">
        <w:t xml:space="preserve">this is to control operations using arrangements made under LCs 19-22, 35 and 36, which may include the licensee implementing a particular proposal, undertaking an activity, or progressing from one stage of a project to the next. </w:t>
      </w:r>
    </w:p>
    <w:p w14:paraId="74ED3EAD" w14:textId="67863A84" w:rsidR="007E21C1" w:rsidRDefault="007E21C1" w:rsidP="007E21C1">
      <w:r>
        <w:t xml:space="preserve">Construction, </w:t>
      </w:r>
      <w:r w:rsidR="00C84EE5">
        <w:t>installation</w:t>
      </w:r>
      <w:r w:rsidR="00C03551">
        <w:t>,</w:t>
      </w:r>
      <w:r>
        <w:t xml:space="preserve"> and inactive commissioning may not pose an immediate nuclear safety </w:t>
      </w:r>
      <w:r w:rsidR="00A42233">
        <w:t xml:space="preserve">or radiological </w:t>
      </w:r>
      <w:r>
        <w:t xml:space="preserve">hazard. ONR may, however, choose to permission these phases of a facility’s lifecycle to get regulatory control in the development of plant operations </w:t>
      </w:r>
      <w:r w:rsidR="000633ED">
        <w:t xml:space="preserve">and processes </w:t>
      </w:r>
      <w:r>
        <w:t>(</w:t>
      </w:r>
      <w:r w:rsidR="00E86B50">
        <w:t xml:space="preserve">for example, </w:t>
      </w:r>
      <w:r>
        <w:t>to prevent the foreclosure of options).</w:t>
      </w:r>
      <w:r w:rsidR="00150EB2">
        <w:t xml:space="preserve"> </w:t>
      </w:r>
      <w:r>
        <w:t xml:space="preserve">This approach </w:t>
      </w:r>
      <w:r w:rsidR="006B07C8">
        <w:t xml:space="preserve">allows early judgements on whether </w:t>
      </w:r>
      <w:r>
        <w:t xml:space="preserve">the licensee </w:t>
      </w:r>
      <w:r w:rsidR="0041349B">
        <w:t xml:space="preserve">will have </w:t>
      </w:r>
      <w:r>
        <w:t>reduced risks so far as is reasonably practicable at the point the hazard could be realised</w:t>
      </w:r>
      <w:r w:rsidR="001449B3">
        <w:t xml:space="preserve"> and mitigates ‘n</w:t>
      </w:r>
      <w:r w:rsidR="006762AE">
        <w:t xml:space="preserve">egative’ or ‘reverse’ </w:t>
      </w:r>
      <w:r w:rsidR="00204359">
        <w:t xml:space="preserve">risk </w:t>
      </w:r>
      <w:r w:rsidR="006762AE">
        <w:t>arguments</w:t>
      </w:r>
      <w:r>
        <w:t xml:space="preserve">. </w:t>
      </w:r>
    </w:p>
    <w:p w14:paraId="4C8A736D" w14:textId="27C48839" w:rsidR="007E21C1" w:rsidRDefault="007E21C1" w:rsidP="007E21C1">
      <w:r>
        <w:t xml:space="preserve">Use of derived powers </w:t>
      </w:r>
      <w:r w:rsidRPr="002E08DE">
        <w:t>provide</w:t>
      </w:r>
      <w:r>
        <w:t>s</w:t>
      </w:r>
      <w:r w:rsidRPr="002E08DE">
        <w:t xml:space="preserve"> ONR </w:t>
      </w:r>
      <w:r>
        <w:t xml:space="preserve">with </w:t>
      </w:r>
      <w:r w:rsidRPr="002E08DE">
        <w:t xml:space="preserve">the flexibility to exercise proportionate regulatory control and </w:t>
      </w:r>
      <w:r>
        <w:t xml:space="preserve">to </w:t>
      </w:r>
      <w:r w:rsidRPr="002E08DE">
        <w:t>discharge this control in a</w:t>
      </w:r>
      <w:r>
        <w:t>n</w:t>
      </w:r>
      <w:r w:rsidRPr="002E08DE">
        <w:t xml:space="preserve"> efficient and effective manner. In addition, it allows the licensee (</w:t>
      </w:r>
      <w:r>
        <w:t xml:space="preserve">following consultation </w:t>
      </w:r>
      <w:r w:rsidRPr="002E08DE">
        <w:t xml:space="preserve">with ONR) the flexibility </w:t>
      </w:r>
      <w:r>
        <w:t xml:space="preserve">of updating the powers as circumstances change and encourages effective self-regulation. </w:t>
      </w:r>
      <w:r w:rsidR="00754676">
        <w:t xml:space="preserve">Regulatory hold points established through derived powers </w:t>
      </w:r>
      <w:r w:rsidR="007979D3">
        <w:t xml:space="preserve">are summarised as follows. </w:t>
      </w:r>
    </w:p>
    <w:p w14:paraId="1090E03F" w14:textId="54D9BBB8" w:rsidR="007E21C1" w:rsidRPr="007E21C1" w:rsidRDefault="007E21C1" w:rsidP="001759BC">
      <w:pPr>
        <w:pStyle w:val="Heading3"/>
      </w:pPr>
      <w:r>
        <w:t>Licence Instruments (LIs)</w:t>
      </w:r>
    </w:p>
    <w:p w14:paraId="767AEABF" w14:textId="5D3A4071" w:rsidR="007E21C1" w:rsidRDefault="007E21C1" w:rsidP="007E21C1">
      <w:r>
        <w:rPr>
          <w:bCs/>
        </w:rPr>
        <w:t>L</w:t>
      </w:r>
      <w:r w:rsidRPr="001F78F3">
        <w:rPr>
          <w:bCs/>
        </w:rPr>
        <w:t>icensees’</w:t>
      </w:r>
      <w:r w:rsidRPr="001378CE">
        <w:t xml:space="preserve"> arrangements generally differ, and the derived powers conferred under them may also differ. </w:t>
      </w:r>
      <w:r>
        <w:t>In response to a licensee’s request, the permissioning of activities on a licensed site using derived powers is often done by ONR issuing derived power LIs, by persons with delegated authority</w:t>
      </w:r>
      <w:r w:rsidR="00B0089F">
        <w:t xml:space="preserve"> [ref. </w:t>
      </w:r>
      <w:sdt>
        <w:sdtPr>
          <w:id w:val="-1286350640"/>
          <w:citation/>
        </w:sdtPr>
        <w:sdtContent>
          <w:r w:rsidR="0037056B">
            <w:fldChar w:fldCharType="begin"/>
          </w:r>
          <w:r w:rsidR="00983EA4">
            <w:instrText xml:space="preserve">CITATION ONR181 \l 2057 </w:instrText>
          </w:r>
          <w:r w:rsidR="0037056B">
            <w:fldChar w:fldCharType="separate"/>
          </w:r>
          <w:r w:rsidR="00983EA4" w:rsidRPr="00983EA4">
            <w:rPr>
              <w:noProof/>
            </w:rPr>
            <w:t>[2]</w:t>
          </w:r>
          <w:r w:rsidR="0037056B">
            <w:fldChar w:fldCharType="end"/>
          </w:r>
        </w:sdtContent>
      </w:sdt>
      <w:r w:rsidR="00B0089F">
        <w:t>]</w:t>
      </w:r>
      <w:r>
        <w:t>. The activities most likely to require permissioning by exercise of derived power LIs are those</w:t>
      </w:r>
      <w:r w:rsidR="00F6556F">
        <w:t xml:space="preserve"> </w:t>
      </w:r>
      <w:r w:rsidR="0045385A">
        <w:t>ge</w:t>
      </w:r>
      <w:r w:rsidR="003539DB">
        <w:t xml:space="preserve">nerally </w:t>
      </w:r>
      <w:r w:rsidR="00F6556F">
        <w:t>deemed to be</w:t>
      </w:r>
      <w:r>
        <w:t xml:space="preserve"> of greater safety significance.</w:t>
      </w:r>
    </w:p>
    <w:p w14:paraId="648C8C88" w14:textId="185064D4" w:rsidR="007E21C1" w:rsidRDefault="007E21C1" w:rsidP="007E21C1">
      <w:r>
        <w:lastRenderedPageBreak/>
        <w:t xml:space="preserve">This level of regulatory control requires a formal </w:t>
      </w:r>
      <w:r w:rsidR="004154FA">
        <w:t xml:space="preserve">response </w:t>
      </w:r>
      <w:r>
        <w:t xml:space="preserve">from ONR (i.e., </w:t>
      </w:r>
      <w:r w:rsidR="00905646">
        <w:t xml:space="preserve">a </w:t>
      </w:r>
      <w:r>
        <w:t>LI letter). Agreements are the most frequently used derived power LIs with Acknowledgements and Notifications rarely used, but all types of derived power LIs are set out below</w:t>
      </w:r>
      <w:r w:rsidR="00905646">
        <w:t>:</w:t>
      </w:r>
    </w:p>
    <w:p w14:paraId="7EF83404" w14:textId="6B13FC06" w:rsidR="007E21C1" w:rsidRDefault="007E21C1" w:rsidP="007E21C1">
      <w:pPr>
        <w:pStyle w:val="Bulletlist1"/>
      </w:pPr>
      <w:r w:rsidRPr="007E21C1">
        <w:rPr>
          <w:b/>
          <w:bCs/>
          <w:iCs/>
        </w:rPr>
        <w:t>Agreement</w:t>
      </w:r>
      <w:r w:rsidRPr="008737F8">
        <w:rPr>
          <w:i/>
        </w:rPr>
        <w:t xml:space="preserve"> </w:t>
      </w:r>
      <w:r>
        <w:t>- may be used, for example, to enable the ONR by LI to Agree</w:t>
      </w:r>
      <w:r>
        <w:rPr>
          <w:rStyle w:val="FootnoteReference"/>
        </w:rPr>
        <w:footnoteReference w:id="4"/>
      </w:r>
      <w:r>
        <w:t xml:space="preserve"> to the commencement of an on-site activity. This activity will be justified by the licensee through the production of a safety justification, which will be subject to ONR assessment, the level of which will be determined by the risk and potential consequence.</w:t>
      </w:r>
      <w:r w:rsidR="00150EB2">
        <w:t xml:space="preserve"> </w:t>
      </w:r>
    </w:p>
    <w:p w14:paraId="2C682681" w14:textId="77777777" w:rsidR="007E21C1" w:rsidRDefault="007E21C1" w:rsidP="00251517">
      <w:pPr>
        <w:pStyle w:val="Bulletlist1"/>
      </w:pPr>
      <w:r w:rsidRPr="007E21C1">
        <w:rPr>
          <w:b/>
          <w:bCs/>
          <w:iCs/>
        </w:rPr>
        <w:t>Acknowledgement</w:t>
      </w:r>
      <w:r w:rsidRPr="008737F8">
        <w:rPr>
          <w:i/>
        </w:rPr>
        <w:t xml:space="preserve"> </w:t>
      </w:r>
      <w:r>
        <w:t>- may be used, for example, to enable the ONR by LI to Acknowledge receipt of a licensee’s proposal to implement a specified activity (and so by implication the licensee can proceed).</w:t>
      </w:r>
    </w:p>
    <w:p w14:paraId="5769839B" w14:textId="258499CA" w:rsidR="007E21C1" w:rsidRDefault="007E21C1" w:rsidP="007E21C1">
      <w:pPr>
        <w:pStyle w:val="Bulletlist1"/>
      </w:pPr>
      <w:r w:rsidRPr="007E21C1">
        <w:rPr>
          <w:b/>
          <w:bCs/>
          <w:iCs/>
        </w:rPr>
        <w:t>Specification</w:t>
      </w:r>
      <w:r>
        <w:t xml:space="preserve"> - may be used, for example, to enable the ONR by LI to Specify an activity for its Agreement or identify other regulatory hold-points within a proposal. </w:t>
      </w:r>
      <w:r w:rsidR="00AB0FFC">
        <w:br/>
      </w:r>
      <w:r>
        <w:t xml:space="preserve">If regulatory hold-points are specified, ONR </w:t>
      </w:r>
      <w:r w:rsidR="00221F5D">
        <w:t>should</w:t>
      </w:r>
      <w:r>
        <w:t xml:space="preserve"> agree the release criteria for a hold-point, and the method of release of the hold-point. This power could be used, for example, if the safety significance or categorisation of the licensee’s proposal </w:t>
      </w:r>
      <w:r w:rsidR="009A61D4">
        <w:t xml:space="preserve">in its arrangments </w:t>
      </w:r>
      <w:r>
        <w:t xml:space="preserve">did not require seeking ONR permission before proceeding, but that in any event ONR considers that the matter is of such potential safety significance that intervention is justified. </w:t>
      </w:r>
    </w:p>
    <w:p w14:paraId="190D6773" w14:textId="70D200AE" w:rsidR="007E21C1" w:rsidRPr="007128F5" w:rsidRDefault="007E21C1" w:rsidP="007E21C1">
      <w:pPr>
        <w:pStyle w:val="Bulletlist1"/>
      </w:pPr>
      <w:r w:rsidRPr="007E21C1">
        <w:rPr>
          <w:b/>
          <w:bCs/>
          <w:iCs/>
        </w:rPr>
        <w:t>Notification</w:t>
      </w:r>
      <w:r w:rsidRPr="00170575">
        <w:t xml:space="preserve"> - may be used for example, to enable the ONR by LI to Notify the licensee that ONR has received a safety case submission with the option of indicating that either: (a) ONR intends to take no formal action on the proposal and that by implication the licensee may proceed, or (b) ONR intends to assess the licensee’s proposal in the interests of safety. In the latter case the licensee’s arrangements </w:t>
      </w:r>
      <w:r w:rsidR="00221F5D">
        <w:t>should</w:t>
      </w:r>
      <w:r w:rsidRPr="00170575">
        <w:t xml:space="preserve"> require that the on-site activity does not commence until ONR indicates that it is content. In addition</w:t>
      </w:r>
      <w:r>
        <w:t>,</w:t>
      </w:r>
      <w:r w:rsidRPr="00170575">
        <w:t xml:space="preserve"> the licensee’s arrangements may provide for the ONR to </w:t>
      </w:r>
      <w:r w:rsidRPr="007128F5">
        <w:t>notify the licensee under the arrangements of a need to take action or provide information in relation to matters affecting safety on the site.</w:t>
      </w:r>
    </w:p>
    <w:p w14:paraId="1CED2C5B" w14:textId="3628A861" w:rsidR="008B66F0" w:rsidRDefault="007E21C1" w:rsidP="007E21C1">
      <w:r w:rsidRPr="007128F5">
        <w:t>The ONR management system contains standard LI templates agreed by the Legal Advisory Team for the types of derived (and primary) power LIs most frequently employed by ONR and referred to above. Where it is intended to issue a LI in exercising a derived power not covered by a standard template, advice</w:t>
      </w:r>
      <w:r w:rsidR="00221F5D">
        <w:t xml:space="preserve"> should</w:t>
      </w:r>
      <w:r w:rsidRPr="007128F5">
        <w:t xml:space="preserve"> be sought from the Legal Advisory Team before it is issued.</w:t>
      </w:r>
      <w:r w:rsidR="00B5522B" w:rsidRPr="00B5522B">
        <w:t xml:space="preserve"> </w:t>
      </w:r>
    </w:p>
    <w:p w14:paraId="5F1BEDB6" w14:textId="7DE9CB3A" w:rsidR="00E408E6" w:rsidRPr="001A0E4D" w:rsidRDefault="00B5522B" w:rsidP="007E21C1">
      <w:r w:rsidRPr="00B5522B">
        <w:t xml:space="preserve">Regulatory decisions </w:t>
      </w:r>
      <w:r w:rsidRPr="001A0E4D">
        <w:t>communicated via a LI should be justified and accepted within a Project Assessment Report (PAR)</w:t>
      </w:r>
      <w:r w:rsidR="00D93E8A">
        <w:t xml:space="preserve">. These are </w:t>
      </w:r>
      <w:r w:rsidR="00D53083">
        <w:t xml:space="preserve">accessed from </w:t>
      </w:r>
      <w:r w:rsidR="00D93E8A">
        <w:t>the WIReD project record</w:t>
      </w:r>
      <w:r w:rsidRPr="001A0E4D">
        <w:t>.</w:t>
      </w:r>
      <w:r w:rsidR="00F53AFF" w:rsidRPr="001A0E4D">
        <w:t xml:space="preserve"> The lead inspector is also responsible for ensuring </w:t>
      </w:r>
      <w:r w:rsidR="008B66F0" w:rsidRPr="001A0E4D">
        <w:t>that the LI is correct</w:t>
      </w:r>
      <w:r w:rsidR="001A0E4D" w:rsidRPr="001A0E4D">
        <w:t xml:space="preserve">, including </w:t>
      </w:r>
      <w:r w:rsidR="008B0D47" w:rsidRPr="001A0E4D">
        <w:t>consideration that:</w:t>
      </w:r>
    </w:p>
    <w:p w14:paraId="7E6FA284" w14:textId="77777777" w:rsidR="000F45EE" w:rsidRDefault="00E408E6" w:rsidP="007F2DBB">
      <w:pPr>
        <w:pStyle w:val="Bulletlist1"/>
      </w:pPr>
      <w:r>
        <w:lastRenderedPageBreak/>
        <w:t>The Project Assessment Report or Decision Record has been accepted</w:t>
      </w:r>
      <w:r w:rsidR="000F45EE">
        <w:t xml:space="preserve">. </w:t>
      </w:r>
    </w:p>
    <w:p w14:paraId="714B99B8" w14:textId="3DF1383A" w:rsidR="00F9210A" w:rsidRDefault="00E408E6" w:rsidP="007F2DBB">
      <w:pPr>
        <w:pStyle w:val="Bulletlist1"/>
      </w:pPr>
      <w:r>
        <w:t>Liaison with other regulatory functions in ONR and OGDs, as required, is complete</w:t>
      </w:r>
      <w:r w:rsidR="00833A2E">
        <w:t xml:space="preserve"> and referenced as appropriate within the PAR</w:t>
      </w:r>
      <w:r w:rsidR="000F45EE">
        <w:t>.</w:t>
      </w:r>
    </w:p>
    <w:p w14:paraId="654BDEE6" w14:textId="44E7451C" w:rsidR="00E408E6" w:rsidRDefault="00E408E6" w:rsidP="000F45EE">
      <w:pPr>
        <w:pStyle w:val="Bulletlist1"/>
      </w:pPr>
      <w:r>
        <w:t xml:space="preserve">Internal, and external, factual accuracy checks of the decision, as required, are complete. In doing so, </w:t>
      </w:r>
      <w:r w:rsidR="00AF5F4E">
        <w:t xml:space="preserve">ensuring </w:t>
      </w:r>
      <w:r>
        <w:t>that the:</w:t>
      </w:r>
    </w:p>
    <w:p w14:paraId="2AB2FE70" w14:textId="7753149E" w:rsidR="00E408E6" w:rsidRDefault="00E408E6" w:rsidP="000F45EE">
      <w:pPr>
        <w:pStyle w:val="Bulletlist2"/>
      </w:pPr>
      <w:r>
        <w:t>Licence instrument satisfies requirements of licence condition and/or licensees' arrangements</w:t>
      </w:r>
      <w:r w:rsidR="00AF5F4E">
        <w:t>.</w:t>
      </w:r>
    </w:p>
    <w:p w14:paraId="2FD7E335" w14:textId="494ADC3F" w:rsidR="00E408E6" w:rsidRDefault="00E408E6" w:rsidP="000F45EE">
      <w:pPr>
        <w:pStyle w:val="Bulletlist2"/>
      </w:pPr>
      <w:r>
        <w:t>Licence and licence condition numbers, text and references in text are correct</w:t>
      </w:r>
      <w:r w:rsidR="00AF5F4E">
        <w:t>.</w:t>
      </w:r>
    </w:p>
    <w:p w14:paraId="08343DE7" w14:textId="57F037A0" w:rsidR="00E408E6" w:rsidRDefault="00E408E6" w:rsidP="000F45EE">
      <w:pPr>
        <w:pStyle w:val="Bulletlist2"/>
      </w:pPr>
      <w:r>
        <w:t>Document references in licence instrument are the same as those on licensee request/submission</w:t>
      </w:r>
      <w:r w:rsidR="00AF5F4E">
        <w:t>.</w:t>
      </w:r>
    </w:p>
    <w:p w14:paraId="1007A9D8" w14:textId="57376BA2" w:rsidR="00E408E6" w:rsidRPr="000F45EE" w:rsidRDefault="00E408E6" w:rsidP="000F45EE">
      <w:pPr>
        <w:pStyle w:val="Bulletlist1"/>
      </w:pPr>
      <w:r>
        <w:t>The technical/legal content of the Decision is soundly based, free from errors and consistent with the relevant template (as appropriate).</w:t>
      </w:r>
    </w:p>
    <w:p w14:paraId="32466EDC" w14:textId="44A51B31" w:rsidR="007E21C1" w:rsidRPr="007128F5" w:rsidRDefault="00225132" w:rsidP="007E21C1">
      <w:r>
        <w:t xml:space="preserve">There is no requirement for the lead inspector to formally confirm </w:t>
      </w:r>
      <w:r w:rsidR="00CA1F28">
        <w:t xml:space="preserve">that </w:t>
      </w:r>
      <w:r>
        <w:t>the above has been done</w:t>
      </w:r>
      <w:r w:rsidR="00A3109A">
        <w:t>. H</w:t>
      </w:r>
      <w:r w:rsidR="00D15A8E">
        <w:t>owever,</w:t>
      </w:r>
      <w:r>
        <w:t xml:space="preserve"> by </w:t>
      </w:r>
      <w:r w:rsidR="0079458B">
        <w:t xml:space="preserve">the lead inspector </w:t>
      </w:r>
      <w:r>
        <w:t xml:space="preserve">sending </w:t>
      </w:r>
      <w:r w:rsidR="00A3109A">
        <w:t xml:space="preserve">it </w:t>
      </w:r>
      <w:r w:rsidR="008B04DB">
        <w:t xml:space="preserve">for </w:t>
      </w:r>
      <w:r w:rsidR="002A1DB0">
        <w:t>a</w:t>
      </w:r>
      <w:r w:rsidR="001223E1">
        <w:t xml:space="preserve"> mandatory </w:t>
      </w:r>
      <w:r w:rsidR="002A1DB0">
        <w:t xml:space="preserve">independent </w:t>
      </w:r>
      <w:r w:rsidR="00E057E0">
        <w:t>check within the WIReD process, it assumes th</w:t>
      </w:r>
      <w:r w:rsidR="0079458B">
        <w:t>at</w:t>
      </w:r>
      <w:r w:rsidR="00E057E0">
        <w:t xml:space="preserve"> this has been done. </w:t>
      </w:r>
      <w:r w:rsidR="00EE4653">
        <w:t>As part of this process, an independent inspector will also check and confirm the above bullets</w:t>
      </w:r>
      <w:r w:rsidR="0079458B">
        <w:t xml:space="preserve"> within WIReD</w:t>
      </w:r>
      <w:r w:rsidR="00EE4653">
        <w:t xml:space="preserve">. </w:t>
      </w:r>
      <w:r w:rsidR="002A1DB0">
        <w:t xml:space="preserve"> </w:t>
      </w:r>
    </w:p>
    <w:p w14:paraId="372A9DBB" w14:textId="03A1DAB5" w:rsidR="00905646" w:rsidRPr="00905646" w:rsidRDefault="007E21C1" w:rsidP="001759BC">
      <w:pPr>
        <w:pStyle w:val="Heading3"/>
      </w:pPr>
      <w:r>
        <w:t xml:space="preserve">Enhanced </w:t>
      </w:r>
      <w:r w:rsidR="00905646">
        <w:t>I</w:t>
      </w:r>
      <w:r>
        <w:t>mplementation</w:t>
      </w:r>
      <w:r w:rsidR="00DD3C6E">
        <w:t xml:space="preserve"> Management</w:t>
      </w:r>
      <w:r>
        <w:t xml:space="preserve"> and </w:t>
      </w:r>
      <w:r w:rsidR="00905646">
        <w:t>C</w:t>
      </w:r>
      <w:r>
        <w:t>ontrol (EIM&amp;C)</w:t>
      </w:r>
    </w:p>
    <w:p w14:paraId="5317BDB8" w14:textId="0988112E" w:rsidR="007E21C1" w:rsidRDefault="007E21C1" w:rsidP="00905646">
      <w:r>
        <w:t>In addition to LI’s, t</w:t>
      </w:r>
      <w:r w:rsidRPr="006B42A0">
        <w:t xml:space="preserve">he permissioning of activities on a licensed site </w:t>
      </w:r>
      <w:r>
        <w:t>can also</w:t>
      </w:r>
      <w:r w:rsidRPr="006B42A0">
        <w:t xml:space="preserve"> </w:t>
      </w:r>
      <w:r>
        <w:t xml:space="preserve">be </w:t>
      </w:r>
      <w:r w:rsidRPr="006B42A0">
        <w:t>done by</w:t>
      </w:r>
      <w:r>
        <w:t xml:space="preserve"> EIM&amp;C. This is a term referred to within ONR that is generally employed where:</w:t>
      </w:r>
    </w:p>
    <w:p w14:paraId="50D626D7" w14:textId="56F8203D" w:rsidR="007E21C1" w:rsidRDefault="007E21C1" w:rsidP="00905646">
      <w:pPr>
        <w:pStyle w:val="Bulletlist1"/>
      </w:pPr>
      <w:r>
        <w:t>A LI is not deemed proportionate to control lower safety significant proposals. EIM&amp;C may be used to permission and/or ensure that the implementation of the proposal complies with their extant arrangements;</w:t>
      </w:r>
      <w:r w:rsidR="00905646">
        <w:t xml:space="preserve"> or,</w:t>
      </w:r>
    </w:p>
    <w:p w14:paraId="197B7F3E" w14:textId="77777777" w:rsidR="007E21C1" w:rsidRDefault="007E21C1" w:rsidP="00905646">
      <w:pPr>
        <w:pStyle w:val="Bulletlist1"/>
      </w:pPr>
      <w:r>
        <w:t>A LI has been issued to initially permission an activity following assessment of the proposal and the ONR inspector determines that it should also be subject to EIM&amp;C to ensure that the licensee’s arrangements are controlling its implementation.</w:t>
      </w:r>
    </w:p>
    <w:p w14:paraId="24F6DF70" w14:textId="65E825CA" w:rsidR="0055184F" w:rsidRPr="00243DAF" w:rsidRDefault="007E21C1" w:rsidP="0055184F">
      <w:r>
        <w:t xml:space="preserve">The mechanism for doing this is by defining regulatory hold points. </w:t>
      </w:r>
      <w:r w:rsidR="00B93CD1">
        <w:t>How these hold points are established and released should be identified within the licensee’s arrangements and considered adequate by ONR</w:t>
      </w:r>
      <w:r w:rsidR="0055184F">
        <w:t xml:space="preserve"> </w:t>
      </w:r>
      <w:r w:rsidR="00CC0399">
        <w:t xml:space="preserve">and </w:t>
      </w:r>
      <w:r w:rsidR="0055184F" w:rsidRPr="00243DAF">
        <w:t>may take the form of:</w:t>
      </w:r>
    </w:p>
    <w:p w14:paraId="2DE6A022" w14:textId="2ADB6DC0" w:rsidR="0055184F" w:rsidRPr="00243DAF" w:rsidRDefault="00F82294" w:rsidP="0055184F">
      <w:pPr>
        <w:pStyle w:val="Bulletlist1"/>
      </w:pPr>
      <w:r>
        <w:t>E-mails, l</w:t>
      </w:r>
      <w:r w:rsidR="0055184F" w:rsidRPr="00243DAF">
        <w:t>etters (not being LIs), or other written communications;</w:t>
      </w:r>
    </w:p>
    <w:p w14:paraId="039A0708" w14:textId="77777777" w:rsidR="0055184F" w:rsidRPr="00243DAF" w:rsidRDefault="0055184F" w:rsidP="0055184F">
      <w:pPr>
        <w:pStyle w:val="Bulletlist1"/>
      </w:pPr>
      <w:r w:rsidRPr="00243DAF">
        <w:t>Minutes of a quorate regulatory interface meeting(s) with appropriate terms of reference (and recorded in the associated ONR Contact Record);</w:t>
      </w:r>
    </w:p>
    <w:p w14:paraId="26ADBE37" w14:textId="4540E45E" w:rsidR="004854CA" w:rsidRDefault="0055184F" w:rsidP="001A1A58">
      <w:pPr>
        <w:pStyle w:val="Bulletlist1"/>
      </w:pPr>
      <w:r w:rsidRPr="00243DAF">
        <w:t>Information recorded in an ONR report, which is accepted for issue</w:t>
      </w:r>
      <w:r>
        <w:t>.</w:t>
      </w:r>
      <w:r w:rsidR="00B93CD1">
        <w:t xml:space="preserve"> </w:t>
      </w:r>
    </w:p>
    <w:p w14:paraId="221E85E8" w14:textId="6903978D" w:rsidR="00B93CD1" w:rsidRDefault="00BA6893" w:rsidP="00F62826">
      <w:r>
        <w:lastRenderedPageBreak/>
        <w:t xml:space="preserve">Regulatory </w:t>
      </w:r>
      <w:r w:rsidRPr="00054613">
        <w:t xml:space="preserve">decisions made </w:t>
      </w:r>
      <w:r w:rsidR="003F3257">
        <w:t xml:space="preserve">for </w:t>
      </w:r>
      <w:r w:rsidRPr="00054613">
        <w:t xml:space="preserve">EIM&amp;C hold points </w:t>
      </w:r>
      <w:r w:rsidR="00A23515" w:rsidRPr="00054613">
        <w:t>should be justified and accepted within a</w:t>
      </w:r>
      <w:r w:rsidRPr="00054613">
        <w:t xml:space="preserve"> </w:t>
      </w:r>
      <w:r w:rsidR="00F123E3">
        <w:t>P</w:t>
      </w:r>
      <w:r w:rsidR="004854CA" w:rsidRPr="00054613">
        <w:t>ermissioning Decision Record</w:t>
      </w:r>
      <w:r w:rsidR="003F3257">
        <w:t>, which is accessed from the WIReD pro</w:t>
      </w:r>
      <w:r w:rsidR="00D93E8A">
        <w:t>ject record</w:t>
      </w:r>
      <w:r w:rsidR="004854CA" w:rsidRPr="00054613">
        <w:t>. As a minimum, Permissioning Decision Records can refer out to other relevant documentation that justifies the decision (</w:t>
      </w:r>
      <w:r w:rsidR="00E86B50">
        <w:t xml:space="preserve">for example, </w:t>
      </w:r>
      <w:r w:rsidR="004854CA" w:rsidRPr="00054613">
        <w:t>Intervention Record). The regulatory decision (once accepted by the delivery lead) should also be communicated to the licensee</w:t>
      </w:r>
      <w:r w:rsidR="00054613" w:rsidRPr="00054613">
        <w:t xml:space="preserve"> by the agreed mechanism </w:t>
      </w:r>
      <w:r w:rsidR="004854CA" w:rsidRPr="00054613">
        <w:t xml:space="preserve">identified </w:t>
      </w:r>
      <w:r w:rsidR="00054613" w:rsidRPr="00054613">
        <w:t>with</w:t>
      </w:r>
      <w:r w:rsidR="004854CA" w:rsidRPr="00054613">
        <w:t>in its arrangements</w:t>
      </w:r>
      <w:r w:rsidR="00054613" w:rsidRPr="00054613">
        <w:t>.</w:t>
      </w:r>
      <w:r w:rsidR="00054613">
        <w:t xml:space="preserve"> </w:t>
      </w:r>
    </w:p>
    <w:p w14:paraId="46EA8BE5" w14:textId="2CFB7CF2" w:rsidR="00AB34C6" w:rsidRDefault="00E86B50" w:rsidP="00F62826">
      <w:r>
        <w:fldChar w:fldCharType="begin"/>
      </w:r>
      <w:r>
        <w:instrText xml:space="preserve"> REF _Ref146887918 \h </w:instrText>
      </w:r>
      <w:r>
        <w:fldChar w:fldCharType="separate"/>
      </w:r>
      <w:r w:rsidRPr="00E86B50">
        <w:t>Figure 1</w:t>
      </w:r>
      <w:r>
        <w:fldChar w:fldCharType="end"/>
      </w:r>
      <w:r>
        <w:t xml:space="preserve"> </w:t>
      </w:r>
      <w:r w:rsidR="001A1ACA">
        <w:t xml:space="preserve">provides </w:t>
      </w:r>
      <w:r w:rsidR="00494D5E">
        <w:t xml:space="preserve">a summary of the various permission approaches described above </w:t>
      </w:r>
      <w:r w:rsidR="00917049">
        <w:t xml:space="preserve">and when they are applicable. Those </w:t>
      </w:r>
      <w:r w:rsidR="00230899">
        <w:t>circle</w:t>
      </w:r>
      <w:r w:rsidR="00B825B5">
        <w:t>d</w:t>
      </w:r>
      <w:r w:rsidR="00D65A35">
        <w:t xml:space="preserve"> are </w:t>
      </w:r>
      <w:r w:rsidR="00B16198">
        <w:t>‘</w:t>
      </w:r>
      <w:r w:rsidR="00D65A35">
        <w:t xml:space="preserve">flexible permissioning’. </w:t>
      </w:r>
    </w:p>
    <w:p w14:paraId="66423AE6" w14:textId="77777777" w:rsidR="00E86B50" w:rsidRDefault="00840398" w:rsidP="00E86B50">
      <w:pPr>
        <w:keepNext/>
      </w:pPr>
      <w:r>
        <w:rPr>
          <w:noProof/>
        </w:rPr>
        <mc:AlternateContent>
          <mc:Choice Requires="wps">
            <w:drawing>
              <wp:anchor distT="0" distB="0" distL="114300" distR="114300" simplePos="0" relativeHeight="251662336" behindDoc="0" locked="0" layoutInCell="1" allowOverlap="1" wp14:anchorId="5EC68A09" wp14:editId="18C3386F">
                <wp:simplePos x="0" y="0"/>
                <wp:positionH relativeFrom="column">
                  <wp:posOffset>1743075</wp:posOffset>
                </wp:positionH>
                <wp:positionV relativeFrom="paragraph">
                  <wp:posOffset>2255520</wp:posOffset>
                </wp:positionV>
                <wp:extent cx="2333625" cy="1304925"/>
                <wp:effectExtent l="0" t="0" r="28575" b="28575"/>
                <wp:wrapNone/>
                <wp:docPr id="2" name="Oval 2"/>
                <wp:cNvGraphicFramePr/>
                <a:graphic xmlns:a="http://schemas.openxmlformats.org/drawingml/2006/main">
                  <a:graphicData uri="http://schemas.microsoft.com/office/word/2010/wordprocessingShape">
                    <wps:wsp>
                      <wps:cNvSpPr/>
                      <wps:spPr>
                        <a:xfrm>
                          <a:off x="0" y="0"/>
                          <a:ext cx="2333625" cy="13049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83BDB85" id="Oval 2" o:spid="_x0000_s1026" style="position:absolute;margin-left:137.25pt;margin-top:177.6pt;width:183.75pt;height:102.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" filled="f" strokecolor="black [3213]" strokeweight="1pt">
                <v:stroke joinstyle="miter"/>
              </v:oval>
            </w:pict>
          </mc:Fallback>
        </mc:AlternateContent>
      </w:r>
      <w:r w:rsidR="003267A0">
        <w:rPr>
          <w:noProof/>
        </w:rPr>
        <w:drawing>
          <wp:inline distT="0" distB="0" distL="0" distR="0" wp14:anchorId="4E6F9E86" wp14:editId="148543C2">
            <wp:extent cx="5774400" cy="3654000"/>
            <wp:effectExtent l="0" t="0" r="0" b="3810"/>
            <wp:docPr id="3" name="Picture 3" descr="Graphical illustration of the different types of permissi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illustration of the different types of permission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4400" cy="3654000"/>
                    </a:xfrm>
                    <a:prstGeom prst="rect">
                      <a:avLst/>
                    </a:prstGeom>
                    <a:noFill/>
                  </pic:spPr>
                </pic:pic>
              </a:graphicData>
            </a:graphic>
          </wp:inline>
        </w:drawing>
      </w:r>
    </w:p>
    <w:p w14:paraId="1250E0A0" w14:textId="2E569740" w:rsidR="00347F9B" w:rsidRPr="00E86B50" w:rsidRDefault="00E86B50" w:rsidP="00E86B50">
      <w:pPr>
        <w:pStyle w:val="Caption"/>
      </w:pPr>
      <w:bookmarkStart w:id="8" w:name="_Ref146887918"/>
      <w:r w:rsidRPr="00E86B50">
        <w:t xml:space="preserve">Figure </w:t>
      </w:r>
      <w:fldSimple w:instr=" SEQ Figure \* ARABIC ">
        <w:r w:rsidRPr="00E86B50">
          <w:t>1</w:t>
        </w:r>
      </w:fldSimple>
      <w:bookmarkEnd w:id="8"/>
      <w:r w:rsidRPr="00E86B50">
        <w:t xml:space="preserve"> - Overview of permissioning approaches.</w:t>
      </w:r>
    </w:p>
    <w:p w14:paraId="35CA2E96" w14:textId="44AF9CC4" w:rsidR="00905646" w:rsidRDefault="00905646" w:rsidP="001759BC">
      <w:pPr>
        <w:pStyle w:val="Heading2"/>
      </w:pPr>
      <w:bookmarkStart w:id="9" w:name="_Toc36019492"/>
      <w:bookmarkStart w:id="10" w:name="_Toc146888184"/>
      <w:r>
        <w:t>Legal Status of Permissioning</w:t>
      </w:r>
      <w:bookmarkEnd w:id="9"/>
      <w:bookmarkEnd w:id="10"/>
      <w:r>
        <w:t xml:space="preserve"> </w:t>
      </w:r>
    </w:p>
    <w:p w14:paraId="460B69D6" w14:textId="7BE82F60" w:rsidR="00B94AEB" w:rsidRDefault="00B94AEB" w:rsidP="00B94AEB">
      <w:r>
        <w:t xml:space="preserve">Use of primary powers represents ONR invoking legally recognised mechanisms for the permissioning of nuclear safety significant activities on the licensed site. Licensees are required by law to comply with the conditions attached to the site’s </w:t>
      </w:r>
      <w:r w:rsidR="00F55C4C">
        <w:t>l</w:t>
      </w:r>
      <w:r>
        <w:t>icence. Failure to comply with a primary power is an offence under the NIA65.</w:t>
      </w:r>
    </w:p>
    <w:p w14:paraId="059FC1A0" w14:textId="77777777" w:rsidR="00905646" w:rsidRDefault="00905646" w:rsidP="00905646">
      <w:r>
        <w:t>The use of derived powers provided by licensees’ arrangements has no statutory basis. They are working level administrative arrangements which are put in place by a licensee as part of its LC compliance. The inclusion, or use, of derived powers in LC compliance arrangements does not limit or prevent ONR using the primary powers available to it by the wording of the LCs.</w:t>
      </w:r>
    </w:p>
    <w:p w14:paraId="77184D09" w14:textId="6F86E1F5" w:rsidR="00905646" w:rsidRDefault="00905646" w:rsidP="00905646">
      <w:pPr>
        <w:sectPr w:rsidR="00905646" w:rsidSect="001759BC">
          <w:pgSz w:w="11906" w:h="16838" w:code="9"/>
          <w:pgMar w:top="1440" w:right="1440" w:bottom="1440" w:left="1440" w:header="397" w:footer="397" w:gutter="0"/>
          <w:cols w:space="312"/>
          <w:docGrid w:linePitch="360"/>
        </w:sectPr>
      </w:pPr>
      <w:r>
        <w:t xml:space="preserve">If the licensee does not comply with the requirements of decisions made under derived powers, or they do not provide an appropriate level of control, the ONR will </w:t>
      </w:r>
      <w:r>
        <w:lastRenderedPageBreak/>
        <w:t>consider whether action should be taken under the primary powers to ensure compliance with the LC. ONR should also consider whether it is appropriate to take other enforcement action in proportion to the safety significance of the non-compliance through application of ONR’s enforcement management model (EMM)</w:t>
      </w:r>
      <w:r w:rsidR="00933304">
        <w:t xml:space="preserve"> [ref.</w:t>
      </w:r>
      <w:r w:rsidR="009049B5">
        <w:t xml:space="preserve"> </w:t>
      </w:r>
      <w:sdt>
        <w:sdtPr>
          <w:id w:val="225416982"/>
          <w:citation/>
        </w:sdtPr>
        <w:sdtContent>
          <w:r w:rsidR="00356C70">
            <w:fldChar w:fldCharType="begin"/>
          </w:r>
          <w:r w:rsidR="00356C70">
            <w:instrText xml:space="preserve"> CITATION ONR27 \l 2057 </w:instrText>
          </w:r>
          <w:r w:rsidR="00356C70">
            <w:fldChar w:fldCharType="separate"/>
          </w:r>
          <w:r w:rsidR="006F0205" w:rsidRPr="006F0205">
            <w:rPr>
              <w:noProof/>
            </w:rPr>
            <w:t>[3]</w:t>
          </w:r>
          <w:r w:rsidR="00356C70">
            <w:fldChar w:fldCharType="end"/>
          </w:r>
        </w:sdtContent>
      </w:sdt>
      <w:r w:rsidR="00933304">
        <w:t>]</w:t>
      </w:r>
      <w:r>
        <w:t>.</w:t>
      </w:r>
    </w:p>
    <w:p w14:paraId="5A22088F" w14:textId="741963E7" w:rsidR="00EF3D07" w:rsidRDefault="00905646" w:rsidP="00854455">
      <w:pPr>
        <w:pStyle w:val="Heading1"/>
      </w:pPr>
      <w:bookmarkStart w:id="11" w:name="_Toc36019493"/>
      <w:bookmarkStart w:id="12" w:name="_Toc146888185"/>
      <w:r>
        <w:lastRenderedPageBreak/>
        <w:t>Guidance for Inspectors on Permissioning</w:t>
      </w:r>
      <w:bookmarkEnd w:id="11"/>
      <w:bookmarkEnd w:id="12"/>
    </w:p>
    <w:p w14:paraId="0B026A55" w14:textId="6819FBD7" w:rsidR="00325CE6" w:rsidRDefault="00F2525D" w:rsidP="001759BC">
      <w:pPr>
        <w:pStyle w:val="Heading2"/>
      </w:pPr>
      <w:bookmarkStart w:id="13" w:name="_Toc146888186"/>
      <w:r>
        <w:t>Understanding the Request</w:t>
      </w:r>
      <w:bookmarkEnd w:id="13"/>
    </w:p>
    <w:p w14:paraId="29EED670" w14:textId="05070800" w:rsidR="001040DA" w:rsidRDefault="00383B62" w:rsidP="001040DA">
      <w:r w:rsidRPr="00383B62">
        <w:t xml:space="preserve">Once </w:t>
      </w:r>
      <w:r w:rsidR="00B604EA">
        <w:t>ONR is made aware of a</w:t>
      </w:r>
      <w:r w:rsidR="006913E8">
        <w:t xml:space="preserve"> </w:t>
      </w:r>
      <w:r w:rsidR="00B604EA">
        <w:t>licensee</w:t>
      </w:r>
      <w:r w:rsidR="006913E8">
        <w:t xml:space="preserve">’s intention to </w:t>
      </w:r>
      <w:r w:rsidR="00F43878">
        <w:t xml:space="preserve">submit a request </w:t>
      </w:r>
      <w:r w:rsidR="006913E8">
        <w:t>to commence a particular activity</w:t>
      </w:r>
      <w:r w:rsidR="00B604EA">
        <w:t xml:space="preserve"> </w:t>
      </w:r>
      <w:r w:rsidRPr="00383B62">
        <w:t>the</w:t>
      </w:r>
      <w:r w:rsidR="00F43878">
        <w:t xml:space="preserve"> lead </w:t>
      </w:r>
      <w:r w:rsidRPr="00383B62">
        <w:t xml:space="preserve">inspector should create a </w:t>
      </w:r>
      <w:r w:rsidR="00585D55">
        <w:t xml:space="preserve">corresponding </w:t>
      </w:r>
      <w:r w:rsidRPr="00383B62">
        <w:t xml:space="preserve">project record in </w:t>
      </w:r>
      <w:r w:rsidRPr="00686137">
        <w:t>WIReD</w:t>
      </w:r>
      <w:r w:rsidR="00585D55" w:rsidRPr="00686137">
        <w:t xml:space="preserve">. </w:t>
      </w:r>
      <w:r w:rsidR="001040DA" w:rsidRPr="00686137">
        <w:t xml:space="preserve">Licensees may opt to convey permissioning requests via </w:t>
      </w:r>
      <w:r w:rsidR="004F507F" w:rsidRPr="00686137">
        <w:t xml:space="preserve">regulatory interface meetings and/or </w:t>
      </w:r>
      <w:r w:rsidR="001040DA" w:rsidRPr="00686137">
        <w:t xml:space="preserve">a site wide permissioning schedule (sometimes referred to as a hold point control plan or document) to identify all forthcoming regulatory hold points. This can be used to aid discussions between the licensee and ONR and agree the permissioning requirements for each </w:t>
      </w:r>
      <w:r w:rsidR="00565DF4">
        <w:t xml:space="preserve">proposed </w:t>
      </w:r>
      <w:r w:rsidR="001040DA" w:rsidRPr="00686137">
        <w:t>regulatory hold point and align resources.</w:t>
      </w:r>
      <w:r w:rsidR="001040DA">
        <w:t xml:space="preserve"> </w:t>
      </w:r>
    </w:p>
    <w:p w14:paraId="548F5CD0" w14:textId="696788F9" w:rsidR="00036405" w:rsidRDefault="001040DA" w:rsidP="001040DA">
      <w:r>
        <w:t>Where permissioning is being used to control stages of a project (</w:t>
      </w:r>
      <w:r w:rsidR="00E86B50">
        <w:t xml:space="preserve">for example, </w:t>
      </w:r>
      <w:r>
        <w:t xml:space="preserve">construction, commissioning, </w:t>
      </w:r>
      <w:proofErr w:type="gramStart"/>
      <w:r>
        <w:t>modifications</w:t>
      </w:r>
      <w:proofErr w:type="gramEnd"/>
      <w:r>
        <w:t xml:space="preserve"> and decommissioning activities), any candidate hold-points can be identified in advance and recorded in an appropriate document such as an overarching strategy or logic diagram by the licensee, which is made available to ONR. The document should summarise the basis for the engagement with ONR, other regulators and stakeholders as appropriate, and the licensee, and should be reviewed and revised as necessary to ensure the agreed approach provides an appropriate level of regulatory control for the duration of the project or programme. Under these arrangements the transparency and management of the regulatory hold-points can be monitored through established regulatory interface meetings.</w:t>
      </w:r>
    </w:p>
    <w:p w14:paraId="2BE06333" w14:textId="1E58190F" w:rsidR="007316AC" w:rsidRDefault="00EF3D07" w:rsidP="00581EEA">
      <w:r w:rsidRPr="00847E4A">
        <w:t>In advance of receiving a formal permission request/submission</w:t>
      </w:r>
      <w:r w:rsidR="00CB1FA5">
        <w:t xml:space="preserve"> from a licensee</w:t>
      </w:r>
      <w:r w:rsidRPr="00847E4A">
        <w:t xml:space="preserve">, </w:t>
      </w:r>
      <w:r w:rsidR="00943820">
        <w:t>t</w:t>
      </w:r>
      <w:r w:rsidR="0026302C" w:rsidRPr="0026302C">
        <w:t xml:space="preserve">he </w:t>
      </w:r>
      <w:r w:rsidR="00943820">
        <w:t>lead</w:t>
      </w:r>
      <w:r w:rsidR="0026302C" w:rsidRPr="0026302C">
        <w:t xml:space="preserve"> inspector should engage with the licensee at regulatory interface meetings at the working level (</w:t>
      </w:r>
      <w:r w:rsidR="00E86B50">
        <w:t xml:space="preserve">for example, </w:t>
      </w:r>
      <w:r w:rsidR="0026302C" w:rsidRPr="0026302C">
        <w:t xml:space="preserve">Level 4) to </w:t>
      </w:r>
      <w:r w:rsidR="0055501F" w:rsidRPr="0055501F">
        <w:t xml:space="preserve">ensure </w:t>
      </w:r>
      <w:r w:rsidR="00F93C72">
        <w:t>th</w:t>
      </w:r>
      <w:r w:rsidR="00C03853">
        <w:t>at th</w:t>
      </w:r>
      <w:r w:rsidR="00F93C72">
        <w:t xml:space="preserve">e </w:t>
      </w:r>
      <w:r w:rsidR="00F93C72" w:rsidRPr="00F93C72">
        <w:t>proposed request is sufficiently understood</w:t>
      </w:r>
      <w:r w:rsidR="00210A0F">
        <w:t xml:space="preserve"> (</w:t>
      </w:r>
      <w:r w:rsidR="00A12C2D">
        <w:t>colloquially referred to as ‘early engagement’)</w:t>
      </w:r>
      <w:r w:rsidR="00F93C72">
        <w:t xml:space="preserve">. </w:t>
      </w:r>
      <w:r w:rsidR="009530B7">
        <w:t>Th</w:t>
      </w:r>
      <w:r w:rsidR="009727DF">
        <w:t xml:space="preserve">e purpose of which is to establish a </w:t>
      </w:r>
      <w:r w:rsidR="0055501F" w:rsidRPr="0055501F">
        <w:t>clear understanding of the</w:t>
      </w:r>
      <w:r w:rsidR="007316AC">
        <w:t>:</w:t>
      </w:r>
    </w:p>
    <w:p w14:paraId="0DE75A2C" w14:textId="67DE0092" w:rsidR="0046253B" w:rsidRDefault="0055501F" w:rsidP="0046253B">
      <w:pPr>
        <w:pStyle w:val="Bulletlist1"/>
      </w:pPr>
      <w:r w:rsidRPr="0055501F">
        <w:t>proposed activity being requested</w:t>
      </w:r>
      <w:r w:rsidR="00DD7FC7">
        <w:t xml:space="preserve"> and its scope</w:t>
      </w:r>
      <w:r w:rsidR="000C0E1C">
        <w:t>.</w:t>
      </w:r>
    </w:p>
    <w:p w14:paraId="2C6122C5" w14:textId="32B17505" w:rsidR="00C94BB8" w:rsidRDefault="007C67F8" w:rsidP="006F20F6">
      <w:pPr>
        <w:pStyle w:val="Bulletlist1"/>
      </w:pPr>
      <w:r>
        <w:t>princip</w:t>
      </w:r>
      <w:r w:rsidR="00C75D30">
        <w:t xml:space="preserve">al </w:t>
      </w:r>
      <w:r w:rsidR="005A1436">
        <w:t>hazard</w:t>
      </w:r>
      <w:r w:rsidR="001F5181">
        <w:t>s</w:t>
      </w:r>
      <w:r w:rsidR="00F01E11">
        <w:t xml:space="preserve">, </w:t>
      </w:r>
      <w:r w:rsidR="0055501F" w:rsidRPr="0055501F">
        <w:t>risks</w:t>
      </w:r>
      <w:r w:rsidR="00C50C36">
        <w:t xml:space="preserve"> and </w:t>
      </w:r>
      <w:r w:rsidR="00DC4355">
        <w:t xml:space="preserve">associated </w:t>
      </w:r>
      <w:r>
        <w:t>safety measures</w:t>
      </w:r>
      <w:r w:rsidR="000C0E1C">
        <w:t>.</w:t>
      </w:r>
      <w:r w:rsidR="0055501F" w:rsidRPr="0055501F">
        <w:t xml:space="preserve"> </w:t>
      </w:r>
    </w:p>
    <w:p w14:paraId="73DA7DCC" w14:textId="2FF39530" w:rsidR="003100D1" w:rsidRDefault="007D1CF0" w:rsidP="0046253B">
      <w:pPr>
        <w:pStyle w:val="Bulletlist1"/>
      </w:pPr>
      <w:r>
        <w:t>evidence (</w:t>
      </w:r>
      <w:r w:rsidR="00E86B50">
        <w:t xml:space="preserve">for example, </w:t>
      </w:r>
      <w:r w:rsidR="0055501F" w:rsidRPr="0055501F">
        <w:t>supporting documents and practices</w:t>
      </w:r>
      <w:r w:rsidR="00534F33">
        <w:t>)</w:t>
      </w:r>
      <w:r w:rsidR="0055501F" w:rsidRPr="0055501F">
        <w:t xml:space="preserve"> </w:t>
      </w:r>
      <w:r w:rsidR="003100D1">
        <w:t xml:space="preserve">being produced </w:t>
      </w:r>
      <w:r w:rsidR="0055501F" w:rsidRPr="0055501F">
        <w:t>to</w:t>
      </w:r>
      <w:r w:rsidR="00534F33" w:rsidRPr="00534F33">
        <w:t xml:space="preserve"> demonstrate that the risk</w:t>
      </w:r>
      <w:r w:rsidR="00A1332F">
        <w:t>s</w:t>
      </w:r>
      <w:r w:rsidR="00534F33" w:rsidRPr="00534F33">
        <w:t xml:space="preserve"> ha</w:t>
      </w:r>
      <w:r w:rsidR="00A1332F">
        <w:t>ve</w:t>
      </w:r>
      <w:r w:rsidR="00534F33" w:rsidRPr="00534F33">
        <w:t xml:space="preserve"> adequately been assessed and justified</w:t>
      </w:r>
      <w:r w:rsidR="00A47AB9">
        <w:t xml:space="preserve"> to As Low As Reasonably Practicable (ALARP) [ref. </w:t>
      </w:r>
      <w:sdt>
        <w:sdtPr>
          <w:id w:val="1592038734"/>
          <w:citation/>
        </w:sdtPr>
        <w:sdtContent>
          <w:r w:rsidR="00CB5EE3">
            <w:fldChar w:fldCharType="begin"/>
          </w:r>
          <w:r w:rsidR="00F23F4D">
            <w:instrText xml:space="preserve">CITATION ONR100 \l 2057 </w:instrText>
          </w:r>
          <w:r w:rsidR="00CB5EE3">
            <w:fldChar w:fldCharType="separate"/>
          </w:r>
          <w:r w:rsidR="006F0205" w:rsidRPr="006F0205">
            <w:t>[4]</w:t>
          </w:r>
          <w:r w:rsidR="00CB5EE3">
            <w:fldChar w:fldCharType="end"/>
          </w:r>
        </w:sdtContent>
      </w:sdt>
      <w:r w:rsidR="00A47AB9">
        <w:t xml:space="preserve">]. </w:t>
      </w:r>
      <w:r w:rsidR="00F76904">
        <w:t xml:space="preserve"> </w:t>
      </w:r>
    </w:p>
    <w:p w14:paraId="5EF5567C" w14:textId="4BD40DD7" w:rsidR="00AE33BA" w:rsidRDefault="003100D1" w:rsidP="0046253B">
      <w:pPr>
        <w:pStyle w:val="Bulletlist1"/>
      </w:pPr>
      <w:r>
        <w:t>T</w:t>
      </w:r>
      <w:r w:rsidR="0026302C" w:rsidRPr="0026302C">
        <w:t>ype, scope and timing of the</w:t>
      </w:r>
      <w:r>
        <w:t xml:space="preserve"> request </w:t>
      </w:r>
      <w:r w:rsidR="0044318A">
        <w:t xml:space="preserve">and </w:t>
      </w:r>
      <w:r w:rsidR="0026302C" w:rsidRPr="0026302C">
        <w:t>hold-point</w:t>
      </w:r>
      <w:r w:rsidR="0044318A">
        <w:t xml:space="preserve"> release (for planning purposes ONR </w:t>
      </w:r>
      <w:r w:rsidR="00DF6E8A">
        <w:t xml:space="preserve">typically </w:t>
      </w:r>
      <w:r w:rsidR="0044318A">
        <w:t xml:space="preserve">advises a 3-month permissioning period although this is subject to </w:t>
      </w:r>
      <w:r w:rsidR="00AE33BA">
        <w:t xml:space="preserve">the </w:t>
      </w:r>
      <w:r w:rsidR="00A9641A">
        <w:t xml:space="preserve">scope, </w:t>
      </w:r>
      <w:r w:rsidR="00AE33BA">
        <w:t>timing and adequacy of the submission and interactions)</w:t>
      </w:r>
      <w:r w:rsidR="000C0E1C">
        <w:t>.</w:t>
      </w:r>
    </w:p>
    <w:p w14:paraId="660C5B10" w14:textId="7859A2FE" w:rsidR="009B688F" w:rsidRDefault="000C0E1C" w:rsidP="0046253B">
      <w:pPr>
        <w:pStyle w:val="Bulletlist1"/>
      </w:pPr>
      <w:r>
        <w:t>Points of contact, communication framework and protocol.</w:t>
      </w:r>
    </w:p>
    <w:p w14:paraId="4561F0AC" w14:textId="10091F91" w:rsidR="008D26E0" w:rsidRDefault="00DC4355" w:rsidP="007D3D8D">
      <w:pPr>
        <w:pStyle w:val="Bulletlist1"/>
        <w:numPr>
          <w:ilvl w:val="0"/>
          <w:numId w:val="0"/>
        </w:numPr>
      </w:pPr>
      <w:r>
        <w:lastRenderedPageBreak/>
        <w:t xml:space="preserve">The </w:t>
      </w:r>
      <w:r w:rsidR="00073737">
        <w:t xml:space="preserve">lead inspector should obtain sufficient information to </w:t>
      </w:r>
      <w:r w:rsidR="007D3D8D">
        <w:t xml:space="preserve">inform </w:t>
      </w:r>
      <w:r w:rsidR="006E051C">
        <w:t xml:space="preserve">a </w:t>
      </w:r>
      <w:r w:rsidR="007D3D8D">
        <w:t>decision on</w:t>
      </w:r>
      <w:r w:rsidR="006E051C">
        <w:t xml:space="preserve"> whether a regualtory hold point is required and if so, </w:t>
      </w:r>
      <w:r w:rsidR="007D3D8D">
        <w:t>the specialist inspector(s’) advice to be sought</w:t>
      </w:r>
      <w:r w:rsidR="006E051C">
        <w:t>.</w:t>
      </w:r>
      <w:r w:rsidR="007D3D8D" w:rsidRPr="0026302C">
        <w:t xml:space="preserve"> </w:t>
      </w:r>
      <w:r w:rsidR="0026302C" w:rsidRPr="0026302C">
        <w:t xml:space="preserve">Consideration should also be given to the involvement and role of </w:t>
      </w:r>
      <w:r w:rsidR="00184899">
        <w:t>specialists</w:t>
      </w:r>
      <w:r w:rsidR="00AB2AF6">
        <w:t xml:space="preserve"> from other regualtory purposes (security, safeguards, transport and </w:t>
      </w:r>
      <w:r w:rsidR="00F234D1">
        <w:t xml:space="preserve">nuclear site </w:t>
      </w:r>
      <w:r w:rsidR="00AB2AF6">
        <w:t>health and safety</w:t>
      </w:r>
      <w:r w:rsidR="00B41E80">
        <w:t>) and that of</w:t>
      </w:r>
      <w:r w:rsidR="00AB2AF6">
        <w:t xml:space="preserve"> </w:t>
      </w:r>
      <w:r w:rsidR="0026302C" w:rsidRPr="0026302C">
        <w:t>other regulators (</w:t>
      </w:r>
      <w:r w:rsidR="00E86B50">
        <w:t xml:space="preserve">for example, </w:t>
      </w:r>
      <w:r w:rsidR="0026302C" w:rsidRPr="0026302C">
        <w:t>Defence Nuclear Safety Regulator, Environmental Agencies</w:t>
      </w:r>
      <w:r w:rsidR="00C03853">
        <w:t>)</w:t>
      </w:r>
      <w:r w:rsidR="0026302C" w:rsidRPr="0026302C">
        <w:t xml:space="preserve"> and/or the licensee’s internal regulator in accordance with formal agency agreements.</w:t>
      </w:r>
    </w:p>
    <w:p w14:paraId="10C6F8E8" w14:textId="77777777" w:rsidR="00F2525D" w:rsidRPr="00211C44" w:rsidRDefault="00F2525D" w:rsidP="001759BC">
      <w:pPr>
        <w:pStyle w:val="Heading2"/>
      </w:pPr>
      <w:bookmarkStart w:id="14" w:name="_Toc146888187"/>
      <w:r w:rsidRPr="00211C44">
        <w:t>Early Engagement</w:t>
      </w:r>
      <w:bookmarkEnd w:id="14"/>
    </w:p>
    <w:p w14:paraId="3494DFB5" w14:textId="05376AE4" w:rsidR="00A0492D" w:rsidRDefault="00555EE4" w:rsidP="0088474E">
      <w:r w:rsidRPr="00F735FC">
        <w:t>Early engagement</w:t>
      </w:r>
      <w:r w:rsidR="00B41048" w:rsidRPr="00F735FC">
        <w:t xml:space="preserve"> </w:t>
      </w:r>
      <w:r w:rsidR="00AC680A" w:rsidRPr="00F735FC">
        <w:t xml:space="preserve">can be described as </w:t>
      </w:r>
      <w:r w:rsidR="009F7CE1" w:rsidRPr="00F735FC">
        <w:t>the</w:t>
      </w:r>
      <w:r w:rsidR="00183E87" w:rsidRPr="00F735FC">
        <w:t xml:space="preserve"> interaction between regulators and the licensee </w:t>
      </w:r>
      <w:r w:rsidR="0015366F" w:rsidRPr="00F735FC">
        <w:t xml:space="preserve">in advance of receiving a request for </w:t>
      </w:r>
      <w:r w:rsidR="00183E87" w:rsidRPr="00F735FC">
        <w:t>a new plant construction/modification on existing plant</w:t>
      </w:r>
      <w:r w:rsidR="007C539F" w:rsidRPr="00F735FC">
        <w:t xml:space="preserve">. </w:t>
      </w:r>
      <w:r w:rsidR="00362DD9" w:rsidRPr="00F735FC">
        <w:t>The tim</w:t>
      </w:r>
      <w:r w:rsidR="00D14149">
        <w:t>ing</w:t>
      </w:r>
      <w:r w:rsidR="00362DD9" w:rsidRPr="00F735FC">
        <w:t xml:space="preserve"> </w:t>
      </w:r>
      <w:r w:rsidR="00D14149">
        <w:t xml:space="preserve">and extent of any </w:t>
      </w:r>
      <w:r w:rsidR="00BB643B" w:rsidRPr="00F735FC">
        <w:t xml:space="preserve">early engagement is influenced by various factors </w:t>
      </w:r>
      <w:r w:rsidR="00E0508F" w:rsidRPr="00F735FC">
        <w:t>associated with the proposed activity (</w:t>
      </w:r>
      <w:r w:rsidR="00E86B50">
        <w:t xml:space="preserve">for example, </w:t>
      </w:r>
      <w:r w:rsidR="00F67C73" w:rsidRPr="00F735FC">
        <w:t xml:space="preserve">its </w:t>
      </w:r>
      <w:r w:rsidR="00E0508F" w:rsidRPr="00F735FC">
        <w:t>size</w:t>
      </w:r>
      <w:r w:rsidR="00123DC1" w:rsidRPr="00F735FC">
        <w:t>/</w:t>
      </w:r>
      <w:r w:rsidR="00E0508F" w:rsidRPr="00F735FC">
        <w:t>complexity</w:t>
      </w:r>
      <w:r w:rsidR="00123DC1" w:rsidRPr="00F735FC">
        <w:t>/</w:t>
      </w:r>
      <w:r w:rsidR="00E0508F" w:rsidRPr="00F735FC">
        <w:t xml:space="preserve">novelty, </w:t>
      </w:r>
      <w:r w:rsidR="00126E53">
        <w:t xml:space="preserve">risk/hazard posed, </w:t>
      </w:r>
      <w:r w:rsidR="00E0508F" w:rsidRPr="00F735FC">
        <w:t>previous regulatory history</w:t>
      </w:r>
      <w:r w:rsidR="00F67C73" w:rsidRPr="00F735FC">
        <w:t xml:space="preserve">). </w:t>
      </w:r>
      <w:r w:rsidR="0099765C" w:rsidRPr="00F735FC">
        <w:t xml:space="preserve">Early engagement </w:t>
      </w:r>
      <w:r w:rsidR="00B41048" w:rsidRPr="00F735FC">
        <w:t xml:space="preserve">is necessary </w:t>
      </w:r>
      <w:r w:rsidR="00D14149">
        <w:t xml:space="preserve">for the lead inspector </w:t>
      </w:r>
      <w:r w:rsidR="00B41048" w:rsidRPr="00F735FC">
        <w:t>to understand</w:t>
      </w:r>
      <w:r w:rsidR="007C539F" w:rsidRPr="00F735FC">
        <w:t xml:space="preserve"> </w:t>
      </w:r>
      <w:r w:rsidR="00A90488" w:rsidRPr="00F735FC">
        <w:t>a forthcoming</w:t>
      </w:r>
      <w:r w:rsidR="00C12FD6" w:rsidRPr="00F735FC">
        <w:t xml:space="preserve"> </w:t>
      </w:r>
      <w:r w:rsidR="00800086" w:rsidRPr="00F735FC">
        <w:t>request</w:t>
      </w:r>
      <w:r w:rsidR="0092205B">
        <w:t xml:space="preserve"> (as discussed in the </w:t>
      </w:r>
      <w:r w:rsidR="00A3120E">
        <w:t>previous section)</w:t>
      </w:r>
      <w:r w:rsidR="005A44AE">
        <w:t xml:space="preserve">. It can </w:t>
      </w:r>
      <w:r w:rsidR="00EC238B">
        <w:t xml:space="preserve">also be useful </w:t>
      </w:r>
      <w:r w:rsidR="00FF6B75">
        <w:t>to</w:t>
      </w:r>
      <w:r w:rsidR="00A0492D">
        <w:t>:</w:t>
      </w:r>
    </w:p>
    <w:p w14:paraId="3F392108" w14:textId="77777777" w:rsidR="00833BC9" w:rsidRDefault="00EE7F64" w:rsidP="0049543F">
      <w:pPr>
        <w:pStyle w:val="Bulletlist1"/>
      </w:pPr>
      <w:r>
        <w:t>Gain confidence</w:t>
      </w:r>
      <w:r w:rsidR="00EC238B">
        <w:t xml:space="preserve"> </w:t>
      </w:r>
      <w:r w:rsidR="00502A2D">
        <w:t xml:space="preserve">(or otherwise) </w:t>
      </w:r>
      <w:r w:rsidR="00EC238B">
        <w:t xml:space="preserve">that the proposed </w:t>
      </w:r>
      <w:r w:rsidR="000C7446">
        <w:t>activity will meet regulatory expectations</w:t>
      </w:r>
      <w:r w:rsidR="00D14A6F">
        <w:t xml:space="preserve"> and identify areas that may not. </w:t>
      </w:r>
    </w:p>
    <w:p w14:paraId="1B8F852F" w14:textId="10DB95B5" w:rsidR="00356FD0" w:rsidRPr="00AC04A9" w:rsidRDefault="00833BC9" w:rsidP="00356FD0">
      <w:pPr>
        <w:pStyle w:val="Bulletlist1"/>
      </w:pPr>
      <w:r>
        <w:t>M</w:t>
      </w:r>
      <w:r w:rsidR="00CE711E">
        <w:t xml:space="preserve">aximise influence </w:t>
      </w:r>
      <w:r w:rsidR="00356FD0">
        <w:t xml:space="preserve">through the provision of advice and guidance </w:t>
      </w:r>
      <w:r w:rsidR="00356FD0" w:rsidRPr="00AC04A9">
        <w:t>on regulatory requirements</w:t>
      </w:r>
      <w:r w:rsidR="00FA0737">
        <w:t>/expectations</w:t>
      </w:r>
      <w:r w:rsidR="00B22DCC">
        <w:t xml:space="preserve"> (note</w:t>
      </w:r>
      <w:r w:rsidR="00685F65">
        <w:t xml:space="preserve"> that this can be formally captured and </w:t>
      </w:r>
      <w:r w:rsidR="006F5BE3">
        <w:t xml:space="preserve">made visible to the licensee via </w:t>
      </w:r>
      <w:r w:rsidR="00685F65">
        <w:t>the Progress tab of a WIReD permissioning record)</w:t>
      </w:r>
      <w:r w:rsidR="00356FD0" w:rsidRPr="00AC04A9">
        <w:t>. This is specifically relevant where</w:t>
      </w:r>
      <w:r w:rsidR="00325DAB">
        <w:t xml:space="preserve"> </w:t>
      </w:r>
      <w:r w:rsidR="00A9453C">
        <w:t>there is the suspected (or know</w:t>
      </w:r>
      <w:r w:rsidR="00C04C95">
        <w:t>n</w:t>
      </w:r>
      <w:r w:rsidR="00A9453C">
        <w:t>) intent</w:t>
      </w:r>
      <w:r w:rsidR="00C04C95">
        <w:t xml:space="preserve"> of the licensee to</w:t>
      </w:r>
      <w:r w:rsidR="00356FD0" w:rsidRPr="00AC04A9">
        <w:t>:</w:t>
      </w:r>
    </w:p>
    <w:p w14:paraId="6BF5105F" w14:textId="7AEA556E" w:rsidR="00356FD0" w:rsidRPr="00AC04A9" w:rsidRDefault="00C04C95" w:rsidP="00356FD0">
      <w:pPr>
        <w:pStyle w:val="Bulletlist2"/>
      </w:pPr>
      <w:r>
        <w:t>F</w:t>
      </w:r>
      <w:r w:rsidR="00356FD0" w:rsidRPr="00AC04A9">
        <w:t>oreclos</w:t>
      </w:r>
      <w:r>
        <w:t xml:space="preserve">e </w:t>
      </w:r>
      <w:r w:rsidR="00356FD0" w:rsidRPr="00AC04A9">
        <w:t>options t</w:t>
      </w:r>
      <w:r w:rsidR="00EC57AA">
        <w:t xml:space="preserve">hat </w:t>
      </w:r>
      <w:r w:rsidR="003A57D8">
        <w:t xml:space="preserve">could </w:t>
      </w:r>
      <w:r w:rsidR="00EC57AA">
        <w:t xml:space="preserve">prevent </w:t>
      </w:r>
      <w:r w:rsidR="00356FD0" w:rsidRPr="00AC04A9">
        <w:t xml:space="preserve">risks </w:t>
      </w:r>
      <w:r w:rsidR="00EC57AA">
        <w:t xml:space="preserve">being reduced </w:t>
      </w:r>
      <w:r w:rsidR="00356FD0" w:rsidRPr="00AC04A9">
        <w:t xml:space="preserve">to ALARP at a later date. </w:t>
      </w:r>
    </w:p>
    <w:p w14:paraId="33820479" w14:textId="37DEE5BB" w:rsidR="00356FD0" w:rsidRPr="00AC04A9" w:rsidRDefault="00FA0737" w:rsidP="00356FD0">
      <w:pPr>
        <w:pStyle w:val="Bulletlist2"/>
      </w:pPr>
      <w:r>
        <w:t>D</w:t>
      </w:r>
      <w:r w:rsidR="00356FD0" w:rsidRPr="00AC04A9">
        <w:t>eviate from relevant good practice (RGP)</w:t>
      </w:r>
      <w:r w:rsidR="00356FD0">
        <w:t>.</w:t>
      </w:r>
      <w:r w:rsidR="00356FD0" w:rsidRPr="00AC04A9">
        <w:t xml:space="preserve"> </w:t>
      </w:r>
    </w:p>
    <w:p w14:paraId="0B8FB6E7" w14:textId="1DF26875" w:rsidR="00D364C8" w:rsidRDefault="00356FD0" w:rsidP="00356FD0">
      <w:pPr>
        <w:pStyle w:val="Bulletlist2"/>
      </w:pPr>
      <w:r w:rsidRPr="00AC04A9">
        <w:t>Adopt a new or novel approach</w:t>
      </w:r>
    </w:p>
    <w:p w14:paraId="7491DAAB" w14:textId="5EF478EF" w:rsidR="00CC47B0" w:rsidRDefault="00CC47B0" w:rsidP="00356FD0">
      <w:pPr>
        <w:pStyle w:val="Bulletlist2"/>
      </w:pPr>
      <w:r>
        <w:t xml:space="preserve">Not undertaking suitable and sufficent optioneering to underpin </w:t>
      </w:r>
      <w:r w:rsidR="00B2727D">
        <w:t>its proposed approach</w:t>
      </w:r>
      <w:r w:rsidR="000E7FEC">
        <w:t xml:space="preserve">, particulary for the circumstances </w:t>
      </w:r>
      <w:r w:rsidR="00001EE0">
        <w:t>listed in the above bullets</w:t>
      </w:r>
      <w:r w:rsidR="00B2727D">
        <w:t xml:space="preserve">. </w:t>
      </w:r>
    </w:p>
    <w:p w14:paraId="015C2190" w14:textId="77777777" w:rsidR="00DB64A2" w:rsidRDefault="000A0C9A" w:rsidP="005933C3">
      <w:pPr>
        <w:pStyle w:val="Bulletlist1"/>
      </w:pPr>
      <w:r>
        <w:t xml:space="preserve">Provide early familirisation </w:t>
      </w:r>
      <w:r w:rsidR="005F2370">
        <w:t xml:space="preserve">for specialists </w:t>
      </w:r>
      <w:r w:rsidR="00905634">
        <w:t xml:space="preserve">and inform assessment </w:t>
      </w:r>
      <w:r w:rsidR="004E55E0">
        <w:t xml:space="preserve">scope and </w:t>
      </w:r>
      <w:r w:rsidR="00905634">
        <w:t>sample</w:t>
      </w:r>
      <w:r w:rsidR="004E55E0">
        <w:t>(</w:t>
      </w:r>
      <w:r w:rsidR="00905634">
        <w:t>s</w:t>
      </w:r>
      <w:r w:rsidR="004E55E0">
        <w:t>)</w:t>
      </w:r>
      <w:r w:rsidR="00DA087E">
        <w:t>, specifcally f</w:t>
      </w:r>
      <w:r w:rsidR="003A7289">
        <w:t>or larger/complex proposals</w:t>
      </w:r>
      <w:r w:rsidR="00DA087E">
        <w:t xml:space="preserve">. </w:t>
      </w:r>
      <w:r w:rsidR="00CD369A">
        <w:t>For these type of projects</w:t>
      </w:r>
      <w:r w:rsidR="003A7289">
        <w:t xml:space="preserve"> this may include a walkdown o</w:t>
      </w:r>
      <w:r w:rsidR="00D04433">
        <w:t>f the rel</w:t>
      </w:r>
      <w:r w:rsidR="00A5253C">
        <w:t xml:space="preserve">evant site area / </w:t>
      </w:r>
      <w:r w:rsidR="00A3120E">
        <w:t>place of manufacture</w:t>
      </w:r>
      <w:r w:rsidR="007E10F5">
        <w:t xml:space="preserve"> or </w:t>
      </w:r>
      <w:r w:rsidR="0061586D">
        <w:t>viewing</w:t>
      </w:r>
      <w:r w:rsidR="00902458">
        <w:t xml:space="preserve"> </w:t>
      </w:r>
      <w:r w:rsidR="009E13EE">
        <w:t xml:space="preserve">off-site testing </w:t>
      </w:r>
      <w:r w:rsidR="00902458">
        <w:t>or inactive trial</w:t>
      </w:r>
      <w:r w:rsidR="0061586D">
        <w:t xml:space="preserve"> facilitie</w:t>
      </w:r>
      <w:r w:rsidR="00902458">
        <w:t>s</w:t>
      </w:r>
      <w:r w:rsidR="009E13EE">
        <w:t xml:space="preserve">. </w:t>
      </w:r>
    </w:p>
    <w:p w14:paraId="16139900" w14:textId="6F5E132D" w:rsidR="004A2A64" w:rsidRPr="00AC04A9" w:rsidRDefault="00EC3D9D" w:rsidP="00CC47B0">
      <w:pPr>
        <w:pStyle w:val="Bulletlist1"/>
      </w:pPr>
      <w:r>
        <w:t xml:space="preserve">Identify </w:t>
      </w:r>
      <w:r w:rsidR="008D2369">
        <w:t xml:space="preserve">and de-risk potential conflicting requirements </w:t>
      </w:r>
      <w:r w:rsidR="00882851">
        <w:t>between ONR’s purposes.</w:t>
      </w:r>
    </w:p>
    <w:p w14:paraId="5F73557C" w14:textId="059CA8DF" w:rsidR="00C1064B" w:rsidRPr="00C1064B" w:rsidRDefault="00C50101" w:rsidP="0088474E">
      <w:r>
        <w:t xml:space="preserve">The </w:t>
      </w:r>
      <w:r w:rsidRPr="00C1064B">
        <w:t xml:space="preserve">extent to which early engagement </w:t>
      </w:r>
      <w:r w:rsidR="00220C62" w:rsidRPr="00C1064B">
        <w:t>should be employed requires careful consideration</w:t>
      </w:r>
      <w:r w:rsidR="00722BE9" w:rsidRPr="00C1064B">
        <w:t xml:space="preserve"> on a case-by-case basis and will vary by project</w:t>
      </w:r>
      <w:r w:rsidR="00220C62" w:rsidRPr="00C1064B">
        <w:t>.</w:t>
      </w:r>
      <w:r w:rsidR="00275AD2" w:rsidRPr="00C1064B">
        <w:t xml:space="preserve"> Engaging too early</w:t>
      </w:r>
      <w:r w:rsidR="00901E68" w:rsidRPr="00C1064B">
        <w:t xml:space="preserve">, too </w:t>
      </w:r>
      <w:r w:rsidR="00EE4DA1" w:rsidRPr="00C1064B">
        <w:t xml:space="preserve">often or </w:t>
      </w:r>
      <w:r w:rsidR="00901E68" w:rsidRPr="00C1064B">
        <w:t xml:space="preserve">routinely </w:t>
      </w:r>
      <w:r w:rsidR="00EE4DA1" w:rsidRPr="00C1064B">
        <w:t xml:space="preserve">in </w:t>
      </w:r>
      <w:r w:rsidR="00AF0A8B">
        <w:t xml:space="preserve">numbers </w:t>
      </w:r>
      <w:r w:rsidR="00EE4DA1" w:rsidRPr="00C1064B">
        <w:t xml:space="preserve">can </w:t>
      </w:r>
      <w:r w:rsidR="00901E68" w:rsidRPr="00C1064B">
        <w:t>be</w:t>
      </w:r>
      <w:r w:rsidR="00C23104" w:rsidRPr="00C1064B">
        <w:t xml:space="preserve"> ineffective</w:t>
      </w:r>
      <w:r w:rsidR="005659A0" w:rsidRPr="00C1064B">
        <w:t xml:space="preserve"> and </w:t>
      </w:r>
      <w:r w:rsidR="00C23104" w:rsidRPr="00C1064B">
        <w:t>inefficient as it can be</w:t>
      </w:r>
      <w:r w:rsidR="00901E68" w:rsidRPr="00C1064B">
        <w:t>come a diversion/distraction for the licensee</w:t>
      </w:r>
      <w:r w:rsidR="005659A0" w:rsidRPr="00C1064B">
        <w:t>. It can also</w:t>
      </w:r>
      <w:r w:rsidR="00C1064B" w:rsidRPr="00C1064B">
        <w:t>:</w:t>
      </w:r>
    </w:p>
    <w:p w14:paraId="374C3BEB" w14:textId="6CBBE28B" w:rsidR="00C1064B" w:rsidRDefault="00C1064B" w:rsidP="00C1064B">
      <w:pPr>
        <w:pStyle w:val="Bulletlist1"/>
      </w:pPr>
      <w:r>
        <w:lastRenderedPageBreak/>
        <w:t>N</w:t>
      </w:r>
      <w:r w:rsidR="005659A0" w:rsidRPr="00C1064B">
        <w:t>egatively i</w:t>
      </w:r>
      <w:r w:rsidR="002A0EC0" w:rsidRPr="00C1064B">
        <w:t xml:space="preserve">nfluence </w:t>
      </w:r>
      <w:r w:rsidR="00152B07" w:rsidRPr="00C1064B">
        <w:t xml:space="preserve">licensees’ </w:t>
      </w:r>
      <w:r w:rsidR="00112289" w:rsidRPr="00C1064B">
        <w:t>internal</w:t>
      </w:r>
      <w:r w:rsidR="00152B07" w:rsidRPr="00C1064B">
        <w:t xml:space="preserve"> processes</w:t>
      </w:r>
      <w:r w:rsidR="009F0B08">
        <w:t>,</w:t>
      </w:r>
    </w:p>
    <w:p w14:paraId="575478D3" w14:textId="63ED2078" w:rsidR="00C1064B" w:rsidRDefault="00C1064B" w:rsidP="00C1064B">
      <w:pPr>
        <w:pStyle w:val="Bulletlist1"/>
      </w:pPr>
      <w:r>
        <w:t>I</w:t>
      </w:r>
      <w:r w:rsidR="005659A0" w:rsidRPr="00C1064B">
        <w:t>mpact ONR’s independence</w:t>
      </w:r>
      <w:r w:rsidR="006A6A0F">
        <w:t>,</w:t>
      </w:r>
      <w:r w:rsidR="009F0B08">
        <w:t xml:space="preserve"> and</w:t>
      </w:r>
    </w:p>
    <w:p w14:paraId="6DD195CA" w14:textId="77777777" w:rsidR="00557EE7" w:rsidRDefault="00557EE7" w:rsidP="00C1064B">
      <w:pPr>
        <w:pStyle w:val="Bulletlist1"/>
      </w:pPr>
      <w:r>
        <w:t>R</w:t>
      </w:r>
      <w:r w:rsidR="001E07CB" w:rsidRPr="00C1064B">
        <w:t xml:space="preserve">esult in licensees incorrectly assuming </w:t>
      </w:r>
      <w:r w:rsidR="00E65DBF" w:rsidRPr="00C1064B">
        <w:t xml:space="preserve">ONRs acceptance of draft/immature proposals. </w:t>
      </w:r>
    </w:p>
    <w:p w14:paraId="21990308" w14:textId="59EAFA4D" w:rsidR="0088474E" w:rsidRPr="00C1064B" w:rsidRDefault="00644E2E" w:rsidP="00557EE7">
      <w:r>
        <w:t>U</w:t>
      </w:r>
      <w:r w:rsidR="00A51789" w:rsidRPr="00C1064B">
        <w:t xml:space="preserve">nfocussed meetings should </w:t>
      </w:r>
      <w:r>
        <w:t xml:space="preserve">therefore </w:t>
      </w:r>
      <w:r w:rsidR="00A51789" w:rsidRPr="00C1064B">
        <w:t>be avoided</w:t>
      </w:r>
      <w:r w:rsidR="002E176F">
        <w:t xml:space="preserve"> and </w:t>
      </w:r>
      <w:r w:rsidR="00A51789" w:rsidRPr="00C1064B">
        <w:t xml:space="preserve">instead focus on specific </w:t>
      </w:r>
      <w:r w:rsidR="00821E10" w:rsidRPr="00C1064B">
        <w:t xml:space="preserve">pre-agreed </w:t>
      </w:r>
      <w:r w:rsidR="00A51789" w:rsidRPr="00C1064B">
        <w:t xml:space="preserve">outcomes. </w:t>
      </w:r>
      <w:r w:rsidR="001E07CB" w:rsidRPr="00C1064B">
        <w:t xml:space="preserve"> </w:t>
      </w:r>
      <w:r w:rsidR="005659A0" w:rsidRPr="00C1064B">
        <w:t xml:space="preserve"> </w:t>
      </w:r>
      <w:r w:rsidR="00C23104" w:rsidRPr="00C1064B">
        <w:t xml:space="preserve"> </w:t>
      </w:r>
      <w:r w:rsidR="00901E68" w:rsidRPr="00C1064B">
        <w:t xml:space="preserve"> </w:t>
      </w:r>
      <w:r w:rsidR="00722BE9" w:rsidRPr="00C1064B">
        <w:t xml:space="preserve"> </w:t>
      </w:r>
      <w:r w:rsidR="00220C62" w:rsidRPr="00C1064B">
        <w:t xml:space="preserve"> </w:t>
      </w:r>
    </w:p>
    <w:p w14:paraId="0C31D91F" w14:textId="5E70A4BB" w:rsidR="00C203DE" w:rsidRDefault="00F83146" w:rsidP="0088474E">
      <w:r w:rsidRPr="005D7FB7">
        <w:t xml:space="preserve">Licensee </w:t>
      </w:r>
      <w:r w:rsidR="0088474E" w:rsidRPr="005D7FB7">
        <w:t>arrangements sh</w:t>
      </w:r>
      <w:r w:rsidR="00221F5D">
        <w:t>ould</w:t>
      </w:r>
      <w:r w:rsidR="007B0DF5">
        <w:t xml:space="preserve"> </w:t>
      </w:r>
      <w:r w:rsidR="003E44B0" w:rsidRPr="005D7FB7">
        <w:t xml:space="preserve">require that </w:t>
      </w:r>
      <w:r w:rsidR="00B075F4" w:rsidRPr="005D7FB7">
        <w:t xml:space="preserve">safety case submissions supporting a request </w:t>
      </w:r>
      <w:r w:rsidR="009A20C3" w:rsidRPr="005D7FB7">
        <w:t xml:space="preserve">to implement an activity </w:t>
      </w:r>
      <w:r w:rsidR="00B075F4" w:rsidRPr="005D7FB7">
        <w:t xml:space="preserve">are </w:t>
      </w:r>
      <w:r w:rsidR="0088474E" w:rsidRPr="005D7FB7">
        <w:t xml:space="preserve">be made to the regulator once sanctioned by </w:t>
      </w:r>
      <w:r w:rsidR="009A20C3" w:rsidRPr="005D7FB7">
        <w:t xml:space="preserve">its final </w:t>
      </w:r>
      <w:r w:rsidR="00F322AF" w:rsidRPr="005D7FB7">
        <w:t xml:space="preserve">internal </w:t>
      </w:r>
      <w:r w:rsidR="009A20C3" w:rsidRPr="005D7FB7">
        <w:t>governance committee</w:t>
      </w:r>
      <w:r w:rsidR="002569C6" w:rsidRPr="005D7FB7">
        <w:t xml:space="preserve">. </w:t>
      </w:r>
      <w:r w:rsidR="00DE7067" w:rsidRPr="005D7FB7">
        <w:t xml:space="preserve">This should </w:t>
      </w:r>
      <w:r w:rsidR="00937C81" w:rsidRPr="005D7FB7">
        <w:t xml:space="preserve">be adopted as a </w:t>
      </w:r>
      <w:r w:rsidR="00DE7067" w:rsidRPr="005D7FB7">
        <w:t xml:space="preserve">planning assumption for </w:t>
      </w:r>
      <w:r w:rsidR="00F4220A" w:rsidRPr="005D7FB7">
        <w:t xml:space="preserve">licensee delivery </w:t>
      </w:r>
      <w:r w:rsidR="00937C81" w:rsidRPr="005D7FB7">
        <w:t>schedul</w:t>
      </w:r>
      <w:r w:rsidR="00F4220A" w:rsidRPr="005D7FB7">
        <w:t>es</w:t>
      </w:r>
      <w:r w:rsidR="00C00F08" w:rsidRPr="005D7FB7">
        <w:t xml:space="preserve">, where licensees should </w:t>
      </w:r>
      <w:r w:rsidR="00953342">
        <w:t xml:space="preserve">plan to </w:t>
      </w:r>
      <w:r w:rsidR="00C00F08" w:rsidRPr="005D7FB7">
        <w:t xml:space="preserve">issue the submission </w:t>
      </w:r>
      <w:r w:rsidR="0085176F">
        <w:t>to</w:t>
      </w:r>
      <w:r w:rsidR="005D7FB7" w:rsidRPr="005D7FB7">
        <w:t xml:space="preserve"> avoid ONR being on the critical path </w:t>
      </w:r>
      <w:r w:rsidR="00953342">
        <w:t xml:space="preserve">(as far </w:t>
      </w:r>
      <w:r w:rsidR="005D7FB7" w:rsidRPr="005D7FB7">
        <w:t xml:space="preserve">as </w:t>
      </w:r>
      <w:r w:rsidR="002B1D07">
        <w:t xml:space="preserve">reasonably </w:t>
      </w:r>
      <w:r w:rsidR="005D7FB7" w:rsidRPr="005D7FB7">
        <w:t>possible</w:t>
      </w:r>
      <w:r w:rsidR="002B1D07">
        <w:t>)</w:t>
      </w:r>
      <w:r w:rsidR="00C00F08" w:rsidRPr="005D7FB7">
        <w:t xml:space="preserve">. </w:t>
      </w:r>
    </w:p>
    <w:p w14:paraId="48615CAD" w14:textId="53D4B678" w:rsidR="006E607D" w:rsidRDefault="0088474E" w:rsidP="0088474E">
      <w:r w:rsidRPr="003E3AD0">
        <w:t xml:space="preserve">Where programmes are time critical ONR may, on a case-by-case basis take </w:t>
      </w:r>
      <w:r w:rsidR="007F220D">
        <w:t xml:space="preserve">draft </w:t>
      </w:r>
      <w:r w:rsidR="0085176F" w:rsidRPr="003E3AD0">
        <w:t xml:space="preserve">mature </w:t>
      </w:r>
      <w:r w:rsidRPr="003E3AD0">
        <w:t>copies (</w:t>
      </w:r>
      <w:r w:rsidR="00E86B50">
        <w:t>for example,</w:t>
      </w:r>
      <w:r w:rsidRPr="003E3AD0">
        <w:t xml:space="preserve"> N</w:t>
      </w:r>
      <w:r w:rsidR="001650BD">
        <w:t>uclear Safety Committee (NSC)</w:t>
      </w:r>
      <w:r w:rsidR="00565C04">
        <w:t xml:space="preserve"> </w:t>
      </w:r>
      <w:r w:rsidR="0085176F" w:rsidRPr="003E3AD0">
        <w:t>issued versions)</w:t>
      </w:r>
      <w:r w:rsidRPr="003E3AD0">
        <w:t xml:space="preserve"> to allow early familiarisation</w:t>
      </w:r>
      <w:r w:rsidR="00190BD8" w:rsidRPr="003E3AD0">
        <w:t>. H</w:t>
      </w:r>
      <w:r w:rsidRPr="003E3AD0">
        <w:t xml:space="preserve">owever, </w:t>
      </w:r>
      <w:r w:rsidR="00522E7D">
        <w:t xml:space="preserve">this should not be the ‘norm’ and licensees should understand this if </w:t>
      </w:r>
      <w:r w:rsidR="00303908">
        <w:t>adopting this approach</w:t>
      </w:r>
      <w:r w:rsidR="00522E7D">
        <w:t xml:space="preserve">. </w:t>
      </w:r>
      <w:r w:rsidR="00035A65">
        <w:t xml:space="preserve">If draft copies are </w:t>
      </w:r>
      <w:r w:rsidR="00565C04">
        <w:t>taken,</w:t>
      </w:r>
      <w:r w:rsidR="00035A65">
        <w:t xml:space="preserve"> </w:t>
      </w:r>
      <w:r w:rsidRPr="003E3AD0">
        <w:t xml:space="preserve">no formal engagement or feedback </w:t>
      </w:r>
      <w:r w:rsidR="002F4D31" w:rsidRPr="003E3AD0">
        <w:t xml:space="preserve">on the submission should </w:t>
      </w:r>
      <w:r w:rsidRPr="003E3AD0">
        <w:t xml:space="preserve">be provided until </w:t>
      </w:r>
      <w:r w:rsidR="00DC12D6" w:rsidRPr="003E3AD0">
        <w:t xml:space="preserve">it is received formally </w:t>
      </w:r>
      <w:r w:rsidRPr="003E3AD0">
        <w:t xml:space="preserve">to ensure ONR remains independent and doesn’t influence/undermine </w:t>
      </w:r>
      <w:r w:rsidR="00DC12D6" w:rsidRPr="003E3AD0">
        <w:t xml:space="preserve">the licensees </w:t>
      </w:r>
      <w:r w:rsidRPr="003E3AD0">
        <w:t xml:space="preserve">internal process(es). </w:t>
      </w:r>
      <w:r w:rsidR="00BA030C">
        <w:t>C</w:t>
      </w:r>
      <w:r w:rsidR="00AD0E22">
        <w:t xml:space="preserve">aution should be exercised </w:t>
      </w:r>
      <w:r w:rsidR="000F76D4">
        <w:t xml:space="preserve">when </w:t>
      </w:r>
      <w:r w:rsidR="00B97B57">
        <w:t xml:space="preserve">taking immature versions of documents as this may introduce </w:t>
      </w:r>
      <w:r w:rsidR="00FF06ED">
        <w:t xml:space="preserve">nugatory work </w:t>
      </w:r>
      <w:r w:rsidR="00B14378">
        <w:t xml:space="preserve">on information </w:t>
      </w:r>
      <w:r w:rsidR="00332C12">
        <w:t>that may likely change</w:t>
      </w:r>
      <w:r w:rsidR="00FF06ED">
        <w:t xml:space="preserve">. </w:t>
      </w:r>
      <w:r w:rsidRPr="003E3AD0">
        <w:t xml:space="preserve">The decision to take early copies will be influenced by several internal and external factors including </w:t>
      </w:r>
      <w:r w:rsidR="00C55D67" w:rsidRPr="003E3AD0">
        <w:t xml:space="preserve">resource availability and </w:t>
      </w:r>
      <w:r w:rsidRPr="003E3AD0">
        <w:t>prioritisation.</w:t>
      </w:r>
      <w:r w:rsidR="001716C5">
        <w:t xml:space="preserve"> </w:t>
      </w:r>
    </w:p>
    <w:p w14:paraId="56B8F3ED" w14:textId="3F557A10" w:rsidR="00C0668B" w:rsidRDefault="00325CE6" w:rsidP="001759BC">
      <w:pPr>
        <w:pStyle w:val="Heading2"/>
      </w:pPr>
      <w:bookmarkStart w:id="15" w:name="_Toc146888188"/>
      <w:r>
        <w:t>Developing a Permissioning Plan</w:t>
      </w:r>
      <w:bookmarkEnd w:id="15"/>
    </w:p>
    <w:p w14:paraId="6CA34934" w14:textId="75F50EDC" w:rsidR="00EF3D07" w:rsidRDefault="00913B71" w:rsidP="00581EEA">
      <w:r w:rsidRPr="00913B71">
        <w:t xml:space="preserve">Licensees’ arrangements may provide ONR the flexibility to determine </w:t>
      </w:r>
      <w:r w:rsidR="00EF3D07">
        <w:t xml:space="preserve">the most </w:t>
      </w:r>
      <w:r w:rsidR="00EE0068">
        <w:t xml:space="preserve">effective </w:t>
      </w:r>
      <w:r w:rsidR="00EF3D07">
        <w:t>permissioning approach (</w:t>
      </w:r>
      <w:r w:rsidR="00581EEA">
        <w:t>i.e.,</w:t>
      </w:r>
      <w:r w:rsidR="00EF3D07">
        <w:t xml:space="preserve"> derived power LI</w:t>
      </w:r>
      <w:r w:rsidR="00F91C67">
        <w:t xml:space="preserve">, </w:t>
      </w:r>
      <w:r w:rsidR="00EF3D07">
        <w:t>EIM&amp;</w:t>
      </w:r>
      <w:proofErr w:type="gramStart"/>
      <w:r w:rsidR="00EF3D07">
        <w:t>C</w:t>
      </w:r>
      <w:proofErr w:type="gramEnd"/>
      <w:r w:rsidR="00F91C67">
        <w:t xml:space="preserve"> or information only</w:t>
      </w:r>
      <w:r w:rsidR="00EF3D07">
        <w:t>)</w:t>
      </w:r>
      <w:r w:rsidR="00416999">
        <w:t>. In these circumstances</w:t>
      </w:r>
      <w:r w:rsidR="00700872">
        <w:t xml:space="preserve">, the selected approach </w:t>
      </w:r>
      <w:r w:rsidR="00576E1E">
        <w:t>should be</w:t>
      </w:r>
      <w:r w:rsidR="00EC675F">
        <w:t xml:space="preserve"> </w:t>
      </w:r>
      <w:r w:rsidR="006D068C">
        <w:t>i</w:t>
      </w:r>
      <w:r w:rsidR="00EF3D07">
        <w:t xml:space="preserve">n accordance with the principles of the </w:t>
      </w:r>
      <w:r w:rsidR="00EF3D07" w:rsidRPr="004A1488">
        <w:t>ONR Enforcement Policy Statement</w:t>
      </w:r>
      <w:r w:rsidR="004A1488">
        <w:t xml:space="preserve"> [ref. </w:t>
      </w:r>
      <w:sdt>
        <w:sdtPr>
          <w:id w:val="1885603658"/>
          <w:citation/>
        </w:sdtPr>
        <w:sdtContent>
          <w:r w:rsidR="00C62388">
            <w:fldChar w:fldCharType="begin"/>
          </w:r>
          <w:r w:rsidR="00983EA4">
            <w:instrText xml:space="preserve">CITATION ONR \l 2057 </w:instrText>
          </w:r>
          <w:r w:rsidR="00C62388">
            <w:fldChar w:fldCharType="separate"/>
          </w:r>
          <w:r w:rsidR="00983EA4" w:rsidRPr="00983EA4">
            <w:rPr>
              <w:noProof/>
            </w:rPr>
            <w:t>[5]</w:t>
          </w:r>
          <w:r w:rsidR="00C62388">
            <w:fldChar w:fldCharType="end"/>
          </w:r>
        </w:sdtContent>
      </w:sdt>
      <w:r w:rsidR="004A1488">
        <w:t>].</w:t>
      </w:r>
      <w:r w:rsidR="00EF3D07">
        <w:t xml:space="preserve"> </w:t>
      </w:r>
      <w:r w:rsidR="00885097">
        <w:t xml:space="preserve">For the proposed activity, the lead inspector’s </w:t>
      </w:r>
      <w:r w:rsidR="000D529A">
        <w:t xml:space="preserve">permissioning </w:t>
      </w:r>
      <w:r w:rsidR="00652700">
        <w:t xml:space="preserve">approach </w:t>
      </w:r>
      <w:r w:rsidR="00885097">
        <w:t xml:space="preserve">should be informed by due consideration of </w:t>
      </w:r>
      <w:r w:rsidR="00EF3D07">
        <w:t>the:</w:t>
      </w:r>
    </w:p>
    <w:p w14:paraId="4F3C44B4" w14:textId="77777777" w:rsidR="00EF3D07" w:rsidRDefault="00EF3D07" w:rsidP="00581EEA">
      <w:pPr>
        <w:pStyle w:val="Bulletlist1"/>
      </w:pPr>
      <w:r>
        <w:t>Risk and hazard potential</w:t>
      </w:r>
    </w:p>
    <w:p w14:paraId="56248E1F" w14:textId="77777777" w:rsidR="00EF3D07" w:rsidRDefault="00EF3D07" w:rsidP="00581EEA">
      <w:pPr>
        <w:pStyle w:val="Bulletlist1"/>
      </w:pPr>
      <w:r>
        <w:t>Complexity</w:t>
      </w:r>
    </w:p>
    <w:p w14:paraId="536D2835" w14:textId="77777777" w:rsidR="00EF3D07" w:rsidRDefault="00EF3D07" w:rsidP="00581EEA">
      <w:pPr>
        <w:pStyle w:val="Bulletlist1"/>
      </w:pPr>
      <w:r>
        <w:t>Novelty</w:t>
      </w:r>
    </w:p>
    <w:p w14:paraId="1DAC5724" w14:textId="77777777" w:rsidR="00EF3D07" w:rsidRDefault="00EF3D07" w:rsidP="00581EEA">
      <w:pPr>
        <w:pStyle w:val="Bulletlist1"/>
      </w:pPr>
      <w:r>
        <w:t xml:space="preserve">Margins of safety </w:t>
      </w:r>
    </w:p>
    <w:p w14:paraId="7797CA67" w14:textId="77777777" w:rsidR="00EF3D07" w:rsidRDefault="00EF3D07" w:rsidP="00581EEA">
      <w:pPr>
        <w:pStyle w:val="Bulletlist1"/>
      </w:pPr>
      <w:r>
        <w:t>Capability of the equipment</w:t>
      </w:r>
    </w:p>
    <w:p w14:paraId="153CD8D1" w14:textId="77777777" w:rsidR="00EF3D07" w:rsidRDefault="00EF3D07" w:rsidP="00581EEA">
      <w:pPr>
        <w:pStyle w:val="Bulletlist1"/>
      </w:pPr>
      <w:r>
        <w:t>Effect on any principal/significant systems, structures or components</w:t>
      </w:r>
    </w:p>
    <w:p w14:paraId="243507EC" w14:textId="7CB4DB1D" w:rsidR="008A6F07" w:rsidRDefault="00F05BFC" w:rsidP="00581EEA">
      <w:pPr>
        <w:pStyle w:val="Bulletlist1"/>
      </w:pPr>
      <w:r>
        <w:t xml:space="preserve">Claims being made on human </w:t>
      </w:r>
      <w:r w:rsidR="00F2525D">
        <w:t>performance/response</w:t>
      </w:r>
    </w:p>
    <w:p w14:paraId="5A568618" w14:textId="77777777" w:rsidR="00EF3D07" w:rsidRDefault="00EF3D07" w:rsidP="00581EEA">
      <w:pPr>
        <w:pStyle w:val="Bulletlist1"/>
      </w:pPr>
      <w:r>
        <w:lastRenderedPageBreak/>
        <w:t>Previous regulatory history</w:t>
      </w:r>
    </w:p>
    <w:p w14:paraId="44631B17" w14:textId="5DD96195" w:rsidR="00EF3D07" w:rsidRDefault="00D40D1A" w:rsidP="00581EEA">
      <w:r>
        <w:t>At</w:t>
      </w:r>
      <w:r w:rsidR="00376173" w:rsidRPr="00376173">
        <w:t xml:space="preserve"> an appropriate time</w:t>
      </w:r>
      <w:r>
        <w:t>, and once sufficient information is known the lead inspector should</w:t>
      </w:r>
      <w:r w:rsidR="00376173" w:rsidRPr="00376173">
        <w:t xml:space="preserve"> determine an appropriate permissioning plan</w:t>
      </w:r>
      <w:r w:rsidR="00EE6408">
        <w:t xml:space="preserve"> within the WIReD project record</w:t>
      </w:r>
      <w:r w:rsidR="00EF3D07" w:rsidRPr="00EC7DA3">
        <w:t xml:space="preserve">. For larger projects with multiple hold points this may be complemented by an overarching </w:t>
      </w:r>
      <w:r w:rsidR="00C35DAA">
        <w:t xml:space="preserve">internal/external </w:t>
      </w:r>
      <w:r w:rsidR="00EF3D07" w:rsidRPr="00EC7DA3">
        <w:t xml:space="preserve">permissioning strategy document </w:t>
      </w:r>
      <w:r w:rsidR="00581EEA" w:rsidRPr="00EC7DA3">
        <w:t xml:space="preserve">(ref. </w:t>
      </w:r>
      <w:sdt>
        <w:sdtPr>
          <w:rPr>
            <w:highlight w:val="yellow"/>
          </w:rPr>
          <w:id w:val="-1404142407"/>
          <w:citation/>
        </w:sdtPr>
        <w:sdtContent>
          <w:r w:rsidR="00581EEA" w:rsidRPr="00EC7DA3">
            <w:fldChar w:fldCharType="begin"/>
          </w:r>
          <w:r w:rsidR="00F23F4D">
            <w:instrText xml:space="preserve">CITATION ONR270 \l 2057 </w:instrText>
          </w:r>
          <w:r w:rsidR="00581EEA" w:rsidRPr="00EC7DA3">
            <w:fldChar w:fldCharType="separate"/>
          </w:r>
          <w:r w:rsidR="006F0205" w:rsidRPr="006F0205">
            <w:rPr>
              <w:noProof/>
            </w:rPr>
            <w:t>[6]</w:t>
          </w:r>
          <w:r w:rsidR="00581EEA" w:rsidRPr="00EC7DA3">
            <w:fldChar w:fldCharType="end"/>
          </w:r>
        </w:sdtContent>
      </w:sdt>
      <w:r w:rsidR="00581EEA" w:rsidRPr="00EC7DA3">
        <w:t>)</w:t>
      </w:r>
      <w:r w:rsidR="00EF3D07" w:rsidRPr="00EC7DA3">
        <w:t>.</w:t>
      </w:r>
      <w:r w:rsidR="00EF3D07">
        <w:t xml:space="preserve"> </w:t>
      </w:r>
    </w:p>
    <w:p w14:paraId="4FCF907D" w14:textId="396727CC" w:rsidR="00EE1807" w:rsidRDefault="00EF3D07" w:rsidP="00581EEA">
      <w:r w:rsidRPr="00D31B35">
        <w:t xml:space="preserve">Permissioning </w:t>
      </w:r>
      <w:r w:rsidR="00C35DAA">
        <w:t>plans</w:t>
      </w:r>
      <w:r w:rsidRPr="00D31B35">
        <w:t xml:space="preserve"> </w:t>
      </w:r>
      <w:r w:rsidR="007747FA">
        <w:t xml:space="preserve">can </w:t>
      </w:r>
      <w:r w:rsidRPr="00D31B35">
        <w:t>be determined in advance of</w:t>
      </w:r>
      <w:r w:rsidR="007747FA">
        <w:t>, or post</w:t>
      </w:r>
      <w:r w:rsidRPr="00D31B35">
        <w:t xml:space="preserve"> receiving the formal submission </w:t>
      </w:r>
      <w:r w:rsidR="007747FA">
        <w:t xml:space="preserve">(depending on time) </w:t>
      </w:r>
      <w:r w:rsidRPr="00D31B35">
        <w:t xml:space="preserve">and include: the scope of the activity; the selected release mechanism of any identified regulatory hold-point; and the specialist advice being sought by assessment/inspection to inform the permissioning decision (but </w:t>
      </w:r>
      <w:r w:rsidR="007C106C">
        <w:t xml:space="preserve">should </w:t>
      </w:r>
      <w:r w:rsidRPr="00D31B35">
        <w:t xml:space="preserve">not identify the detailed sample or format of any specialist advice being sought). </w:t>
      </w:r>
      <w:r w:rsidR="00E71042">
        <w:t xml:space="preserve">Careful consideration should also be given </w:t>
      </w:r>
      <w:r w:rsidR="00BF6FF5">
        <w:t xml:space="preserve">to any specialist inspector advice that may be required to inform </w:t>
      </w:r>
      <w:r w:rsidR="00C11E1B">
        <w:t xml:space="preserve">the regulatory decision </w:t>
      </w:r>
      <w:r w:rsidR="00D34E5C">
        <w:t>from the other regulatory purposes (security, safeguards, transport and nuclear site health and safety)</w:t>
      </w:r>
      <w:r w:rsidR="00947A29">
        <w:t>.</w:t>
      </w:r>
    </w:p>
    <w:p w14:paraId="5A4F7E22" w14:textId="57851E60" w:rsidR="00EF3D07" w:rsidRPr="00D31B35" w:rsidRDefault="00EF3D07" w:rsidP="00B23603">
      <w:r w:rsidRPr="00D31B35">
        <w:t xml:space="preserve">In addition to specialist inspector assessment advice, the </w:t>
      </w:r>
      <w:r w:rsidR="00A44C36">
        <w:t>lead</w:t>
      </w:r>
      <w:r w:rsidRPr="00D31B35">
        <w:t xml:space="preserve"> inspector may also judge it necessary to undertake a readiness inspection to assess implementation of a licensee’s LC arrangements</w:t>
      </w:r>
      <w:r w:rsidR="004E4DC0">
        <w:t xml:space="preserve"> and </w:t>
      </w:r>
      <w:r w:rsidR="00FE3E4B">
        <w:t>compliance with relevant st</w:t>
      </w:r>
      <w:r w:rsidR="00C76EDD">
        <w:t>atutory provisions</w:t>
      </w:r>
      <w:r w:rsidRPr="00D31B35">
        <w:t xml:space="preserve"> to inform the permissioning decision</w:t>
      </w:r>
      <w:r w:rsidR="00B23603" w:rsidRPr="00D31B35">
        <w:t xml:space="preserve"> </w:t>
      </w:r>
      <w:r w:rsidR="00B66EBC">
        <w:t>[</w:t>
      </w:r>
      <w:r w:rsidR="00B23603" w:rsidRPr="00D31B35">
        <w:t xml:space="preserve">ref. </w:t>
      </w:r>
      <w:sdt>
        <w:sdtPr>
          <w:id w:val="-17010075"/>
          <w:citation/>
        </w:sdtPr>
        <w:sdtContent>
          <w:r w:rsidR="00B23603" w:rsidRPr="00D31B35">
            <w:fldChar w:fldCharType="begin"/>
          </w:r>
          <w:r w:rsidR="00F4786B">
            <w:instrText xml:space="preserve">CITATION ONR113 \l 2057 </w:instrText>
          </w:r>
          <w:r w:rsidR="00B23603" w:rsidRPr="00D31B35">
            <w:fldChar w:fldCharType="separate"/>
          </w:r>
          <w:r w:rsidR="006F0205" w:rsidRPr="006F0205">
            <w:rPr>
              <w:noProof/>
            </w:rPr>
            <w:t>[7]</w:t>
          </w:r>
          <w:r w:rsidR="00B23603" w:rsidRPr="00D31B35">
            <w:fldChar w:fldCharType="end"/>
          </w:r>
        </w:sdtContent>
      </w:sdt>
      <w:r w:rsidR="00E86B50">
        <w:t>]</w:t>
      </w:r>
      <w:r w:rsidR="00B23603" w:rsidRPr="00D31B35">
        <w:t>.</w:t>
      </w:r>
      <w:r w:rsidR="008D2AAB" w:rsidRPr="00D31B35">
        <w:t xml:space="preserve"> </w:t>
      </w:r>
      <w:r w:rsidRPr="00D31B35">
        <w:t xml:space="preserve">When permissioning via EIM&amp;C it may be most effective to </w:t>
      </w:r>
      <w:r w:rsidR="00924A02">
        <w:t xml:space="preserve">use inspection </w:t>
      </w:r>
      <w:r w:rsidR="00607D0B">
        <w:t xml:space="preserve">alone </w:t>
      </w:r>
      <w:r w:rsidR="00924A02">
        <w:t xml:space="preserve">to inform the permissioning decision </w:t>
      </w:r>
      <w:r w:rsidRPr="00D31B35">
        <w:t xml:space="preserve">permission; however, this should </w:t>
      </w:r>
      <w:r w:rsidR="00607D0B">
        <w:t xml:space="preserve">generally </w:t>
      </w:r>
      <w:r w:rsidRPr="00D31B35">
        <w:t xml:space="preserve">be considered in certain circumstances where the proposed activity: </w:t>
      </w:r>
    </w:p>
    <w:p w14:paraId="3EEB5BAA" w14:textId="77777777" w:rsidR="005F2410" w:rsidRDefault="00EF3D07" w:rsidP="005F2410">
      <w:pPr>
        <w:pStyle w:val="Bulletlist1"/>
      </w:pPr>
      <w:r w:rsidRPr="00D31B35">
        <w:t>Is largely based on compliance with existing (or similar) arrangements;</w:t>
      </w:r>
    </w:p>
    <w:p w14:paraId="5F5FCA17" w14:textId="012F5EDD" w:rsidR="00277774" w:rsidRPr="00D31B35" w:rsidRDefault="005F2410" w:rsidP="005F2410">
      <w:pPr>
        <w:pStyle w:val="Bulletlist1"/>
      </w:pPr>
      <w:r>
        <w:t xml:space="preserve">Is largely based on </w:t>
      </w:r>
      <w:r w:rsidR="00B0236A">
        <w:t xml:space="preserve">operators and </w:t>
      </w:r>
      <w:r w:rsidR="000973C5">
        <w:t xml:space="preserve">adminstrative </w:t>
      </w:r>
      <w:r w:rsidR="00DD695D">
        <w:t xml:space="preserve">(i.e. non-engineered) </w:t>
      </w:r>
      <w:r w:rsidR="000973C5">
        <w:t>safe</w:t>
      </w:r>
      <w:r w:rsidR="00B0236A">
        <w:t>t</w:t>
      </w:r>
      <w:r w:rsidR="000973C5">
        <w:t>y measures</w:t>
      </w:r>
      <w:r w:rsidR="00DD695D">
        <w:t xml:space="preserve"> </w:t>
      </w:r>
      <w:r w:rsidR="00B0236A">
        <w:t>(</w:t>
      </w:r>
      <w:r w:rsidR="00137125">
        <w:t xml:space="preserve">e.g. </w:t>
      </w:r>
      <w:r w:rsidR="000C58E3">
        <w:t xml:space="preserve">decommissioning operations); </w:t>
      </w:r>
      <w:r w:rsidR="00DD695D">
        <w:t xml:space="preserve"> </w:t>
      </w:r>
      <w:r w:rsidR="000973C5">
        <w:t xml:space="preserve"> </w:t>
      </w:r>
      <w:r w:rsidR="00150EB2" w:rsidRPr="00D31B35">
        <w:t xml:space="preserve"> </w:t>
      </w:r>
    </w:p>
    <w:p w14:paraId="34DE0282" w14:textId="77777777" w:rsidR="00EF3D07" w:rsidRPr="00D31B35" w:rsidRDefault="00EF3D07" w:rsidP="00B23603">
      <w:pPr>
        <w:pStyle w:val="Bulletlist1"/>
      </w:pPr>
      <w:r w:rsidRPr="00D31B35">
        <w:t>Does not contain novel/complex aspects or result in high risk/hazard consequences;</w:t>
      </w:r>
    </w:p>
    <w:p w14:paraId="44130939" w14:textId="77777777" w:rsidR="00EF3D07" w:rsidRPr="00D31B35" w:rsidRDefault="00EF3D07" w:rsidP="00B23603">
      <w:pPr>
        <w:pStyle w:val="Bulletlist1"/>
      </w:pPr>
      <w:r w:rsidRPr="00D31B35">
        <w:t>Is part of a series of previously granted permissions such that it is proportionate for an inspection to cover the delta; or,</w:t>
      </w:r>
    </w:p>
    <w:p w14:paraId="29559AF0" w14:textId="77777777" w:rsidR="00EF3D07" w:rsidRPr="00D31B35" w:rsidRDefault="00EF3D07" w:rsidP="00B23603">
      <w:pPr>
        <w:pStyle w:val="Bulletlist1"/>
      </w:pPr>
      <w:r w:rsidRPr="00D31B35">
        <w:t>Is judged to be required urgently by ONR.</w:t>
      </w:r>
    </w:p>
    <w:p w14:paraId="5C857C8B" w14:textId="2268F41C" w:rsidR="00C142DB" w:rsidRDefault="00EF3D07" w:rsidP="00C142DB">
      <w:r w:rsidRPr="007A0F4D">
        <w:t xml:space="preserve">One option is to receive a licensee’s safety submission for ‘information only’ </w:t>
      </w:r>
      <w:r w:rsidR="00E86B50">
        <w:br/>
      </w:r>
      <w:r w:rsidRPr="007A0F4D">
        <w:t>(</w:t>
      </w:r>
      <w:r w:rsidR="00B23603" w:rsidRPr="007A0F4D">
        <w:t>i.e.,</w:t>
      </w:r>
      <w:r w:rsidRPr="007A0F4D">
        <w:t xml:space="preserve"> ONR intends to take no formal action on the proposal and therefore by implication the licensee may proceed under its own arrangements). Where an inspector judges that this is the most effective approach </w:t>
      </w:r>
      <w:r w:rsidR="0074574E">
        <w:t xml:space="preserve">and </w:t>
      </w:r>
      <w:r w:rsidRPr="007A0F4D">
        <w:t xml:space="preserve">once accepted in the </w:t>
      </w:r>
      <w:r w:rsidR="00661025">
        <w:t xml:space="preserve">plan in </w:t>
      </w:r>
      <w:r w:rsidRPr="007A0F4D">
        <w:t>WIReD, no further action is required</w:t>
      </w:r>
      <w:r w:rsidR="00394998">
        <w:t xml:space="preserve"> other than to communicate this to the licensee</w:t>
      </w:r>
      <w:r w:rsidRPr="007A0F4D">
        <w:t>.</w:t>
      </w:r>
      <w:r w:rsidR="00A05DB1">
        <w:t xml:space="preserve"> It is advised th</w:t>
      </w:r>
      <w:r w:rsidR="00C97E20">
        <w:t>at th</w:t>
      </w:r>
      <w:r w:rsidR="00A05DB1">
        <w:t>is is done via e-mail</w:t>
      </w:r>
      <w:r w:rsidR="007704B7">
        <w:t xml:space="preserve"> through the timeline</w:t>
      </w:r>
      <w:r w:rsidR="00ED7C20">
        <w:t xml:space="preserve"> tab of the WIReD project record </w:t>
      </w:r>
      <w:r w:rsidR="008E5A0E">
        <w:t>to automatically create a linked e-mail for</w:t>
      </w:r>
      <w:r w:rsidR="003702D3">
        <w:t xml:space="preserve"> </w:t>
      </w:r>
      <w:r w:rsidR="008E5A0E">
        <w:t>future reference</w:t>
      </w:r>
      <w:r w:rsidR="0010105F">
        <w:t>/audit</w:t>
      </w:r>
      <w:r w:rsidR="008E5A0E">
        <w:t xml:space="preserve"> purposes. </w:t>
      </w:r>
      <w:r w:rsidR="00ED7C20">
        <w:t xml:space="preserve"> </w:t>
      </w:r>
    </w:p>
    <w:p w14:paraId="2E95039C" w14:textId="14F2ABAC" w:rsidR="00C142DB" w:rsidRDefault="00754AAC" w:rsidP="001759BC">
      <w:pPr>
        <w:pStyle w:val="Heading2"/>
      </w:pPr>
      <w:bookmarkStart w:id="16" w:name="_Toc146888189"/>
      <w:r>
        <w:lastRenderedPageBreak/>
        <w:t>Delivery</w:t>
      </w:r>
      <w:bookmarkEnd w:id="16"/>
    </w:p>
    <w:p w14:paraId="0107C1FD" w14:textId="09359E19" w:rsidR="00967E79" w:rsidRDefault="00CF6C53" w:rsidP="00967E79">
      <w:r>
        <w:t xml:space="preserve">Once a permissioning plan has been approved and the </w:t>
      </w:r>
      <w:r w:rsidR="002D0062">
        <w:t>formal request received</w:t>
      </w:r>
      <w:r>
        <w:t>, the lead inspector is responsible for implementing the permissioning plan in accordance with regulatory processes [refs.</w:t>
      </w:r>
      <w:r w:rsidR="008A48B3">
        <w:t xml:space="preserve"> </w:t>
      </w:r>
      <w:sdt>
        <w:sdtPr>
          <w:id w:val="828629856"/>
          <w:citation/>
        </w:sdtPr>
        <w:sdtContent>
          <w:r w:rsidR="009D090F">
            <w:fldChar w:fldCharType="begin"/>
          </w:r>
          <w:r w:rsidR="009D090F">
            <w:instrText xml:space="preserve"> CITATION ONR1 \l 2057 </w:instrText>
          </w:r>
          <w:r w:rsidR="009D090F">
            <w:fldChar w:fldCharType="separate"/>
          </w:r>
          <w:r w:rsidR="006F0205" w:rsidRPr="006F0205">
            <w:rPr>
              <w:noProof/>
            </w:rPr>
            <w:t>[8]</w:t>
          </w:r>
          <w:r w:rsidR="009D090F">
            <w:fldChar w:fldCharType="end"/>
          </w:r>
        </w:sdtContent>
      </w:sdt>
      <w:r w:rsidR="00256901">
        <w:t xml:space="preserve">, </w:t>
      </w:r>
      <w:sdt>
        <w:sdtPr>
          <w:id w:val="812602050"/>
          <w:citation/>
        </w:sdtPr>
        <w:sdtContent>
          <w:r w:rsidR="008A48B3">
            <w:fldChar w:fldCharType="begin"/>
          </w:r>
          <w:r w:rsidR="00F23F4D">
            <w:instrText xml:space="preserve">CITATION ONR29 \l 2057 </w:instrText>
          </w:r>
          <w:r w:rsidR="008A48B3">
            <w:fldChar w:fldCharType="separate"/>
          </w:r>
          <w:r w:rsidR="006F0205" w:rsidRPr="006F0205">
            <w:rPr>
              <w:noProof/>
            </w:rPr>
            <w:t>[9]</w:t>
          </w:r>
          <w:r w:rsidR="008A48B3">
            <w:fldChar w:fldCharType="end"/>
          </w:r>
        </w:sdtContent>
      </w:sdt>
      <w:r>
        <w:t xml:space="preserve"> </w:t>
      </w:r>
      <w:r w:rsidR="00E86B50">
        <w:t>and</w:t>
      </w:r>
      <w:r>
        <w:t xml:space="preserve"> </w:t>
      </w:r>
      <w:sdt>
        <w:sdtPr>
          <w:id w:val="-1745028141"/>
          <w:citation/>
        </w:sdtPr>
        <w:sdtContent>
          <w:r w:rsidR="008A48B3">
            <w:fldChar w:fldCharType="begin"/>
          </w:r>
          <w:r w:rsidR="008A48B3">
            <w:instrText xml:space="preserve"> CITATION ONR187 \l 2057 </w:instrText>
          </w:r>
          <w:r w:rsidR="008A48B3">
            <w:fldChar w:fldCharType="separate"/>
          </w:r>
          <w:r w:rsidR="006F0205" w:rsidRPr="006F0205">
            <w:rPr>
              <w:noProof/>
            </w:rPr>
            <w:t>[10]</w:t>
          </w:r>
          <w:r w:rsidR="008A48B3">
            <w:fldChar w:fldCharType="end"/>
          </w:r>
        </w:sdtContent>
      </w:sdt>
      <w:r>
        <w:t>] with specialist(s) consultation as appropriate.</w:t>
      </w:r>
      <w:r w:rsidR="00D9492B">
        <w:t xml:space="preserve"> </w:t>
      </w:r>
      <w:r w:rsidR="00A07941" w:rsidRPr="00A07941">
        <w:t xml:space="preserve">This involves gathering evidence typically in the form of advice from specialist </w:t>
      </w:r>
      <w:r w:rsidR="00B40869" w:rsidRPr="00A07941">
        <w:t>discipline specific</w:t>
      </w:r>
      <w:r w:rsidR="00A07941" w:rsidRPr="00A07941">
        <w:t xml:space="preserve"> ONR inspectors via assessment</w:t>
      </w:r>
      <w:r w:rsidR="00A07941">
        <w:t>/</w:t>
      </w:r>
      <w:r w:rsidR="00A07941" w:rsidRPr="00A07941">
        <w:t xml:space="preserve">inspection but may include other considerations, such as those described in the ONR guidance document on the demonstration of As Low as Reasonably Practicable (ALARP) </w:t>
      </w:r>
      <w:r w:rsidR="00E86B50">
        <w:br/>
        <w:t>[</w:t>
      </w:r>
      <w:r w:rsidR="00A07941" w:rsidRPr="00A07941">
        <w:t xml:space="preserve">ref. </w:t>
      </w:r>
      <w:sdt>
        <w:sdtPr>
          <w:id w:val="1067003840"/>
          <w:citation/>
        </w:sdtPr>
        <w:sdtContent>
          <w:r w:rsidR="00D8412E">
            <w:fldChar w:fldCharType="begin"/>
          </w:r>
          <w:r w:rsidR="00D8412E">
            <w:instrText xml:space="preserve"> CITATION ONR100 \l 2057 </w:instrText>
          </w:r>
          <w:r w:rsidR="00D8412E">
            <w:fldChar w:fldCharType="separate"/>
          </w:r>
          <w:r w:rsidR="006F0205" w:rsidRPr="006F0205">
            <w:rPr>
              <w:noProof/>
            </w:rPr>
            <w:t>[4]</w:t>
          </w:r>
          <w:r w:rsidR="00D8412E">
            <w:fldChar w:fldCharType="end"/>
          </w:r>
        </w:sdtContent>
      </w:sdt>
      <w:r w:rsidR="00E86B50">
        <w:t>]</w:t>
      </w:r>
      <w:r w:rsidR="00A07941" w:rsidRPr="00A07941">
        <w:t xml:space="preserve">. </w:t>
      </w:r>
      <w:r w:rsidR="00967E79">
        <w:t>The lead inspector should hold internal and external meetings as appropriate to progress the project and identify and resolve emerging issues/</w:t>
      </w:r>
      <w:r w:rsidR="00967E79" w:rsidRPr="00CA4C25">
        <w:t xml:space="preserve">themes. Further guidance for implementation of this phase of the project can be found at </w:t>
      </w:r>
      <w:r w:rsidR="00E86B50">
        <w:br/>
        <w:t xml:space="preserve">ref. </w:t>
      </w:r>
      <w:sdt>
        <w:sdtPr>
          <w:id w:val="1750542933"/>
          <w:citation/>
        </w:sdtPr>
        <w:sdtContent>
          <w:r w:rsidR="00967E79" w:rsidRPr="00CA4C25">
            <w:fldChar w:fldCharType="begin"/>
          </w:r>
          <w:r w:rsidR="00967E79" w:rsidRPr="00CA4C25">
            <w:instrText xml:space="preserve"> CITATION ONR270 \l 2057 </w:instrText>
          </w:r>
          <w:r w:rsidR="00967E79" w:rsidRPr="00CA4C25">
            <w:fldChar w:fldCharType="separate"/>
          </w:r>
          <w:r w:rsidR="00967E79" w:rsidRPr="006F0205">
            <w:rPr>
              <w:noProof/>
            </w:rPr>
            <w:t>[6]</w:t>
          </w:r>
          <w:r w:rsidR="00967E79" w:rsidRPr="00CA4C25">
            <w:fldChar w:fldCharType="end"/>
          </w:r>
        </w:sdtContent>
      </w:sdt>
      <w:r w:rsidR="00967E79" w:rsidRPr="00CA4C25">
        <w:t>.</w:t>
      </w:r>
      <w:r w:rsidR="00967E79">
        <w:t xml:space="preserve"> </w:t>
      </w:r>
    </w:p>
    <w:p w14:paraId="0061DC43" w14:textId="05C399F0" w:rsidR="0087533C" w:rsidRDefault="0087533C" w:rsidP="00C142DB">
      <w:r>
        <w:t xml:space="preserve">Upon receipt of a request, the lead inspector should ensure that </w:t>
      </w:r>
      <w:r w:rsidR="008B7AAE">
        <w:t xml:space="preserve">the submission </w:t>
      </w:r>
      <w:r>
        <w:t xml:space="preserve">has completed the </w:t>
      </w:r>
      <w:r w:rsidR="00CA5E79">
        <w:t>licensee</w:t>
      </w:r>
      <w:r>
        <w:t xml:space="preserve">’s required </w:t>
      </w:r>
      <w:r w:rsidR="001D6A25">
        <w:t xml:space="preserve">governance </w:t>
      </w:r>
      <w:r>
        <w:t xml:space="preserve">process (and </w:t>
      </w:r>
      <w:r w:rsidR="0094422D">
        <w:t xml:space="preserve">that </w:t>
      </w:r>
      <w:r>
        <w:t xml:space="preserve">any advice provided </w:t>
      </w:r>
      <w:r w:rsidR="0094422D">
        <w:t xml:space="preserve">has been </w:t>
      </w:r>
      <w:r>
        <w:t>responded to</w:t>
      </w:r>
      <w:r w:rsidR="0094422D">
        <w:t xml:space="preserve"> accordingly</w:t>
      </w:r>
      <w:r>
        <w:t xml:space="preserve">) before </w:t>
      </w:r>
      <w:r w:rsidR="001D6A25">
        <w:t xml:space="preserve">commencing </w:t>
      </w:r>
      <w:r w:rsidR="00BB3C56">
        <w:t xml:space="preserve">formal </w:t>
      </w:r>
      <w:r w:rsidR="0036711D">
        <w:t xml:space="preserve">regulatory </w:t>
      </w:r>
      <w:r w:rsidR="00BB3C56">
        <w:t xml:space="preserve">engagement. Reference </w:t>
      </w:r>
      <w:r w:rsidR="007A082C">
        <w:t>t</w:t>
      </w:r>
      <w:r w:rsidR="00A6167A">
        <w:t xml:space="preserve">o </w:t>
      </w:r>
      <w:r w:rsidR="00AD69E0">
        <w:t xml:space="preserve">consideration </w:t>
      </w:r>
      <w:r w:rsidR="0036711D">
        <w:t xml:space="preserve">of the submission </w:t>
      </w:r>
      <w:r w:rsidR="00B1410C">
        <w:t xml:space="preserve">at </w:t>
      </w:r>
      <w:r w:rsidR="00A6167A">
        <w:t xml:space="preserve">the </w:t>
      </w:r>
      <w:r w:rsidR="00CA5E79">
        <w:t>licensee</w:t>
      </w:r>
      <w:r w:rsidR="00AD69E0">
        <w:t xml:space="preserve">’s highest governance committee </w:t>
      </w:r>
      <w:r w:rsidR="00B1410C">
        <w:t>(</w:t>
      </w:r>
      <w:r w:rsidR="00E86B50">
        <w:t xml:space="preserve">for example, </w:t>
      </w:r>
      <w:r w:rsidR="00B1410C">
        <w:t>Nuclear Safety Committee) should be made</w:t>
      </w:r>
      <w:r w:rsidR="0036711D">
        <w:t xml:space="preserve"> </w:t>
      </w:r>
      <w:r w:rsidR="00B1410C">
        <w:t>within the PAR.</w:t>
      </w:r>
    </w:p>
    <w:p w14:paraId="7D717986" w14:textId="0934D8A5" w:rsidR="0093140B" w:rsidRDefault="0093140B" w:rsidP="0093140B">
      <w:bookmarkStart w:id="17" w:name="_Toc36019494"/>
      <w:r>
        <w:t>The permissioning process informs a decision on whether to grant a permission/</w:t>
      </w:r>
      <w:r w:rsidR="00E86B50">
        <w:t xml:space="preserve"> </w:t>
      </w:r>
      <w:r>
        <w:t xml:space="preserve">approval. Permissioning decisions should be made in accordance with regulatory guidance and include </w:t>
      </w:r>
      <w:r w:rsidR="00F75402">
        <w:t>consideration</w:t>
      </w:r>
      <w:r>
        <w:t xml:space="preserve"> of advice from the </w:t>
      </w:r>
      <w:r w:rsidR="00CA5E79">
        <w:t>licensee</w:t>
      </w:r>
      <w:r>
        <w:t>’s review committees (for example, licensee’s Nuclear Safety Committee or other suitable body advising on safety) and views of other regulators, ONR functions and internal regulatory</w:t>
      </w:r>
      <w:r w:rsidR="001654F3">
        <w:t xml:space="preserve"> </w:t>
      </w:r>
      <w:r w:rsidR="00CA5E79">
        <w:t>licensee</w:t>
      </w:r>
      <w:r>
        <w:t>’s independent oversight functions as appropriate.</w:t>
      </w:r>
      <w:r w:rsidR="004F64BB">
        <w:t xml:space="preserve"> </w:t>
      </w:r>
    </w:p>
    <w:p w14:paraId="0F51F90C" w14:textId="5F176ACF" w:rsidR="006410D8" w:rsidRDefault="006410D8" w:rsidP="00C142DB">
      <w:r w:rsidRPr="006410D8">
        <w:t xml:space="preserve">In exceptional circumstances the division/sub-division may decide to subject a permissioning decision to the enhanced decision-making process in accordance with </w:t>
      </w:r>
      <w:hyperlink w:anchor="_Appendix_A_–" w:history="1">
        <w:r w:rsidRPr="00E86B50">
          <w:rPr>
            <w:rStyle w:val="Hyperlink"/>
          </w:rPr>
          <w:t xml:space="preserve">Appendix </w:t>
        </w:r>
        <w:r w:rsidR="00C11441" w:rsidRPr="00E86B50">
          <w:rPr>
            <w:rStyle w:val="Hyperlink"/>
          </w:rPr>
          <w:t>A</w:t>
        </w:r>
      </w:hyperlink>
      <w:r w:rsidRPr="006410D8">
        <w:t xml:space="preserve">.  </w:t>
      </w:r>
    </w:p>
    <w:p w14:paraId="61CA6877" w14:textId="77777777" w:rsidR="00C142DB" w:rsidRDefault="00C142DB" w:rsidP="00C142DB"/>
    <w:p w14:paraId="4148A285" w14:textId="53C904CF" w:rsidR="00C142DB" w:rsidRPr="00C142DB" w:rsidRDefault="00C142DB" w:rsidP="00C142DB">
      <w:pPr>
        <w:sectPr w:rsidR="00C142DB" w:rsidRPr="00C142DB" w:rsidSect="001759BC">
          <w:pgSz w:w="11906" w:h="16838" w:code="9"/>
          <w:pgMar w:top="1440" w:right="1440" w:bottom="1440" w:left="1440" w:header="397" w:footer="397" w:gutter="0"/>
          <w:cols w:space="312"/>
          <w:docGrid w:linePitch="360"/>
        </w:sectPr>
      </w:pPr>
    </w:p>
    <w:p w14:paraId="03B8ED11" w14:textId="2D6FAD68" w:rsidR="00EF3D07" w:rsidRDefault="00B23603" w:rsidP="00B23603">
      <w:pPr>
        <w:pStyle w:val="Heading1"/>
      </w:pPr>
      <w:bookmarkStart w:id="18" w:name="_Toc146888190"/>
      <w:r>
        <w:lastRenderedPageBreak/>
        <w:t>Guidance for Inspectors on Aspects of Licen</w:t>
      </w:r>
      <w:r w:rsidR="00C55869">
        <w:t>see’ Arrangements for Permissioning</w:t>
      </w:r>
      <w:bookmarkEnd w:id="18"/>
      <w:r w:rsidR="00EF3D07">
        <w:t xml:space="preserve"> </w:t>
      </w:r>
      <w:bookmarkEnd w:id="17"/>
    </w:p>
    <w:p w14:paraId="686B47B7" w14:textId="346124DA" w:rsidR="00EF3D07" w:rsidRDefault="00EF3D07" w:rsidP="00C55869">
      <w:r>
        <w:t xml:space="preserve">Exercising a flexible approach to permissioning activities is with the agreement of the licensee and at the discretion of ONR. Both ONR and the licensee </w:t>
      </w:r>
      <w:r w:rsidR="00221F5D">
        <w:t>should</w:t>
      </w:r>
      <w:r>
        <w:t xml:space="preserve"> be content with the powers derived in the licensee’s LC compliance arrangements, and the arrangements made by the licensee to manage and respond to interventions made by ONR as part of the accepted process.</w:t>
      </w:r>
    </w:p>
    <w:p w14:paraId="76AB2D90" w14:textId="2B22B6DC" w:rsidR="00EF3D07" w:rsidRDefault="00EF3D07" w:rsidP="00C55869">
      <w:r>
        <w:t>Licensees’ arrangements for the provision of permissioning should be clearly described in documents, which are acceptable to ONR for the purpose of facilitating regulatory control using these powers. This should include the use of LIs and may allow for ONR to exercise EIM&amp;C. ONR inspectors engaged in permissioning should ensure they are familiar with the licensee’s arrangements</w:t>
      </w:r>
      <w:r w:rsidR="00FD2553">
        <w:t xml:space="preserve"> noting the below guidance could be contained across a suite of arrangements relating to several LCs</w:t>
      </w:r>
      <w:r>
        <w:t>.</w:t>
      </w:r>
      <w:r w:rsidR="00150EB2">
        <w:t xml:space="preserve"> </w:t>
      </w:r>
    </w:p>
    <w:p w14:paraId="1FFFF7B5" w14:textId="77777777" w:rsidR="00EF3D07" w:rsidRDefault="00EF3D07" w:rsidP="00C55869">
      <w:r>
        <w:t>It is good practice for these arrangements to include:</w:t>
      </w:r>
    </w:p>
    <w:p w14:paraId="39CEA11D" w14:textId="5627072A" w:rsidR="00EF3D07" w:rsidRDefault="00EF3D07" w:rsidP="00C55869">
      <w:pPr>
        <w:pStyle w:val="Bulletlist1"/>
      </w:pPr>
      <w:r>
        <w:t xml:space="preserve">A procedure for categorising modifications, experiments or change proposals according to their safety significance. Generally, ONR should </w:t>
      </w:r>
      <w:r w:rsidR="00065F55">
        <w:t>target</w:t>
      </w:r>
      <w:r>
        <w:t xml:space="preserve"> the highest safety category change proposals prior to implementation. </w:t>
      </w:r>
    </w:p>
    <w:p w14:paraId="49D1426A" w14:textId="7C21C1A7" w:rsidR="00B63497" w:rsidRDefault="00EF3D07" w:rsidP="00C55869">
      <w:pPr>
        <w:pStyle w:val="Bulletlist1"/>
      </w:pPr>
      <w:r>
        <w:t>The flexibility for ONR to have the opportunity to permission proposals of lower safety significance, which ONR may decide to utilise should it be considered necessary</w:t>
      </w:r>
      <w:r w:rsidR="006551D9">
        <w:t xml:space="preserve"> to intervene</w:t>
      </w:r>
      <w:r>
        <w:t xml:space="preserve">. </w:t>
      </w:r>
      <w:r w:rsidR="009F5F91" w:rsidRPr="009F5F91">
        <w:t>In most cases, licensees are permitted to proceed with the lowest classification proposals under their extant arrangements, without specific intervention by the ONR under these derived powers.</w:t>
      </w:r>
      <w:r w:rsidR="009F5F91">
        <w:t xml:space="preserve"> However, t</w:t>
      </w:r>
      <w:r w:rsidR="00AB5AAC">
        <w:t>his may be appropriate when</w:t>
      </w:r>
      <w:r w:rsidR="00CF4608">
        <w:t>:</w:t>
      </w:r>
    </w:p>
    <w:p w14:paraId="65CE622F" w14:textId="55920069" w:rsidR="00B63497" w:rsidRDefault="00915929" w:rsidP="00B63497">
      <w:pPr>
        <w:pStyle w:val="Bulletlist2"/>
      </w:pPr>
      <w:r>
        <w:t xml:space="preserve">Activities </w:t>
      </w:r>
      <w:r w:rsidR="0003098F">
        <w:t xml:space="preserve">could be </w:t>
      </w:r>
      <w:r w:rsidR="00735B80">
        <w:t>under</w:t>
      </w:r>
      <w:r w:rsidR="0003098F">
        <w:t>-</w:t>
      </w:r>
      <w:r w:rsidR="00735B80">
        <w:t>categorised</w:t>
      </w:r>
      <w:r w:rsidR="00A71D5D">
        <w:t>.</w:t>
      </w:r>
    </w:p>
    <w:p w14:paraId="24C18774" w14:textId="18B7ED9E" w:rsidR="00CF4608" w:rsidRDefault="00915929" w:rsidP="00B63497">
      <w:pPr>
        <w:pStyle w:val="Bulletlist2"/>
      </w:pPr>
      <w:r>
        <w:t xml:space="preserve">Activities </w:t>
      </w:r>
      <w:r w:rsidR="00D42421">
        <w:t xml:space="preserve">implementing early </w:t>
      </w:r>
      <w:r w:rsidR="007B02A1">
        <w:t xml:space="preserve">low-risk </w:t>
      </w:r>
      <w:r w:rsidR="0003098F">
        <w:t xml:space="preserve">enabling works could </w:t>
      </w:r>
      <w:r w:rsidR="006D410E">
        <w:t xml:space="preserve">foreseeably </w:t>
      </w:r>
      <w:r w:rsidR="00735B80">
        <w:t>foreclose</w:t>
      </w:r>
      <w:r w:rsidR="005A5A6B">
        <w:t xml:space="preserve"> risks being reduced to ALARP</w:t>
      </w:r>
      <w:r w:rsidR="00735B80">
        <w:t xml:space="preserve"> </w:t>
      </w:r>
      <w:r w:rsidR="00D42421">
        <w:t xml:space="preserve">at a later date. </w:t>
      </w:r>
    </w:p>
    <w:p w14:paraId="27DD65E5" w14:textId="070D7474" w:rsidR="00D83F0F" w:rsidRDefault="00B63497" w:rsidP="00B63497">
      <w:pPr>
        <w:pStyle w:val="Bulletlist2"/>
      </w:pPr>
      <w:r>
        <w:t>P</w:t>
      </w:r>
      <w:r w:rsidR="0060464B">
        <w:t>rojects are dividied into multiple lower category proposals</w:t>
      </w:r>
      <w:r w:rsidR="00224FB7">
        <w:t xml:space="preserve">, which have the </w:t>
      </w:r>
      <w:r>
        <w:t xml:space="preserve">potential to </w:t>
      </w:r>
      <w:r w:rsidR="003C7470">
        <w:t>att</w:t>
      </w:r>
      <w:r w:rsidR="00224FB7">
        <w:t>ract a higher</w:t>
      </w:r>
      <w:r w:rsidR="003C7470">
        <w:t xml:space="preserve"> cumulative </w:t>
      </w:r>
      <w:r w:rsidR="00224FB7">
        <w:t xml:space="preserve">categorisation. </w:t>
      </w:r>
      <w:r w:rsidR="003D3A94" w:rsidRPr="003D3A94">
        <w:t xml:space="preserve">For large/multi-staged projects it </w:t>
      </w:r>
      <w:r w:rsidR="00CC64C7">
        <w:t>c</w:t>
      </w:r>
      <w:r w:rsidR="003D3A94" w:rsidRPr="003D3A94">
        <w:t xml:space="preserve">an be useful to </w:t>
      </w:r>
      <w:r w:rsidR="00CC64C7">
        <w:t xml:space="preserve">occasionally </w:t>
      </w:r>
      <w:r w:rsidR="003D3A94" w:rsidRPr="003D3A94">
        <w:t>sample implementation of the categorisation arrangements for lower categor</w:t>
      </w:r>
      <w:r w:rsidR="00CC64C7">
        <w:t xml:space="preserve">y </w:t>
      </w:r>
      <w:r w:rsidR="003D3A94" w:rsidRPr="003D3A94">
        <w:t>activities.</w:t>
      </w:r>
    </w:p>
    <w:p w14:paraId="60642ADA" w14:textId="77777777" w:rsidR="00EF3D07" w:rsidRDefault="00EF3D07" w:rsidP="00C55869">
      <w:pPr>
        <w:pStyle w:val="Bulletlist1"/>
      </w:pPr>
      <w:r>
        <w:t xml:space="preserve">A requirement for the provision of adequate documentation to justify the safety of the proposed modification, experiment, or other change. </w:t>
      </w:r>
    </w:p>
    <w:p w14:paraId="15A26CA0" w14:textId="77777777" w:rsidR="00E86B50" w:rsidRDefault="00E86B50" w:rsidP="00C55869">
      <w:pPr>
        <w:pStyle w:val="Bulletlist1"/>
        <w:sectPr w:rsidR="00E86B50" w:rsidSect="001759BC">
          <w:pgSz w:w="11906" w:h="16838" w:code="9"/>
          <w:pgMar w:top="1440" w:right="1440" w:bottom="1440" w:left="1440" w:header="397" w:footer="397" w:gutter="0"/>
          <w:cols w:space="312"/>
          <w:docGrid w:linePitch="360"/>
        </w:sectPr>
      </w:pPr>
    </w:p>
    <w:p w14:paraId="35A302EE" w14:textId="49143483" w:rsidR="00EF3D07" w:rsidRDefault="00EF3D07" w:rsidP="00C55869">
      <w:pPr>
        <w:pStyle w:val="Bulletlist1"/>
      </w:pPr>
      <w:r>
        <w:lastRenderedPageBreak/>
        <w:t>A procedure to enable the identification, number and type of hold-points needed to ensure the safety of a project or activity, which may include the proposal of ‘candidate’ regulatory hold-points by the licensee for ONR’s consideration and acceptance. The procedure should also include the mechanism for release of hold-points.</w:t>
      </w:r>
    </w:p>
    <w:p w14:paraId="23EC1475" w14:textId="77777777" w:rsidR="00EF3D07" w:rsidRDefault="00EF3D07" w:rsidP="00C55869">
      <w:pPr>
        <w:pStyle w:val="Bulletlist1"/>
      </w:pPr>
      <w:r>
        <w:t xml:space="preserve">A requirement to define the scope of an activity covered by a hold-point and produce supporting documentation to ONR to enable release of each hold-point. The licensee should be responsible for producing the documents defining the evidence to be furnished to ONR. </w:t>
      </w:r>
    </w:p>
    <w:p w14:paraId="5D3D8FC9" w14:textId="77777777" w:rsidR="00EF3D07" w:rsidRDefault="00EF3D07" w:rsidP="00C55869">
      <w:pPr>
        <w:pStyle w:val="Bulletlist1"/>
      </w:pPr>
      <w:r>
        <w:t xml:space="preserve">A requirement for the identification of hold-points where permissioning requires the involvement of another regulator (e.g. Defence Nuclear Safety Regulator, Environmental Agencies and/or the licensee’s internal regulator). </w:t>
      </w:r>
    </w:p>
    <w:p w14:paraId="350ED6BF" w14:textId="0B655255" w:rsidR="00EF3D07" w:rsidRDefault="00EF3D07" w:rsidP="00C55869">
      <w:pPr>
        <w:pStyle w:val="Bulletlist1"/>
      </w:pPr>
      <w:r>
        <w:t>A procedure for the licensee’s governance of the change proposal. This may include the requirement to submit to a Nuclear Safety Committee (NSC) established under LC 13(1), or other suitable body advising on safety (</w:t>
      </w:r>
      <w:r w:rsidR="00E86B50">
        <w:t>for example,</w:t>
      </w:r>
      <w:r>
        <w:t xml:space="preserve"> Independent Nuclear Safety Assessment).</w:t>
      </w:r>
    </w:p>
    <w:p w14:paraId="68B1F2E0" w14:textId="17404E13" w:rsidR="00EF3D07" w:rsidRDefault="00EF3D07" w:rsidP="00C55869">
      <w:pPr>
        <w:pStyle w:val="Bulletlist1"/>
      </w:pPr>
      <w:r>
        <w:t xml:space="preserve">A requirement for a site-wide permissioning schedule describing the proposed regulatory hold-points across a particular site (specifically where sites are multi-facility). </w:t>
      </w:r>
      <w:r w:rsidRPr="00F9073D">
        <w:t xml:space="preserve">The schedule should cover the licensee’s </w:t>
      </w:r>
      <w:r>
        <w:t xml:space="preserve">safety significant </w:t>
      </w:r>
      <w:r w:rsidRPr="00F9073D">
        <w:t xml:space="preserve">activities, </w:t>
      </w:r>
      <w:r>
        <w:t xml:space="preserve">accountable person, </w:t>
      </w:r>
      <w:r w:rsidRPr="00F9073D">
        <w:t>submission</w:t>
      </w:r>
      <w:r>
        <w:t xml:space="preserve"> status, issue and target release</w:t>
      </w:r>
      <w:r w:rsidRPr="00F9073D">
        <w:t xml:space="preserve"> dates</w:t>
      </w:r>
      <w:r>
        <w:t>,</w:t>
      </w:r>
      <w:r w:rsidRPr="00F9073D">
        <w:t xml:space="preserve"> and </w:t>
      </w:r>
      <w:r>
        <w:t xml:space="preserve">documentation </w:t>
      </w:r>
      <w:r w:rsidRPr="00F9073D">
        <w:t xml:space="preserve">to be furnished </w:t>
      </w:r>
      <w:r>
        <w:t xml:space="preserve">to ONR. It </w:t>
      </w:r>
      <w:r w:rsidR="00221F5D">
        <w:t xml:space="preserve">should </w:t>
      </w:r>
      <w:r>
        <w:t xml:space="preserve">also </w:t>
      </w:r>
      <w:r w:rsidRPr="00F9073D">
        <w:t>be consistent with the licensee’s permissioning arrangements.</w:t>
      </w:r>
      <w:r>
        <w:t xml:space="preserve"> Separate, more specific summary documents may also be required for large or complex projects. </w:t>
      </w:r>
    </w:p>
    <w:p w14:paraId="058A59D9" w14:textId="0A0058B9" w:rsidR="00C009BC" w:rsidRDefault="00C009BC" w:rsidP="00C009BC"/>
    <w:p w14:paraId="5C2AEECA" w14:textId="1EAC55B6" w:rsidR="00A46970" w:rsidRDefault="00A46970" w:rsidP="007E21C1">
      <w:pPr>
        <w:sectPr w:rsidR="00A46970" w:rsidSect="001759BC">
          <w:pgSz w:w="11906" w:h="16838" w:code="9"/>
          <w:pgMar w:top="1440" w:right="1440" w:bottom="1440" w:left="1440" w:header="397" w:footer="397" w:gutter="0"/>
          <w:cols w:space="312"/>
          <w:docGrid w:linePitch="360"/>
        </w:sectPr>
      </w:pPr>
    </w:p>
    <w:bookmarkStart w:id="19" w:name="_Toc146888191" w:displacedByCustomXml="next"/>
    <w:sdt>
      <w:sdtPr>
        <w:rPr>
          <w:color w:val="auto"/>
          <w:sz w:val="24"/>
        </w:rPr>
        <w:id w:val="-1405216941"/>
        <w:docPartObj>
          <w:docPartGallery w:val="Bibliographies"/>
          <w:docPartUnique/>
        </w:docPartObj>
      </w:sdtPr>
      <w:sdtContent>
        <w:p w14:paraId="53204ED0" w14:textId="23A39888" w:rsidR="00E90331" w:rsidRDefault="00E90331" w:rsidP="00AA2E08">
          <w:pPr>
            <w:pStyle w:val="Heading1"/>
            <w:numPr>
              <w:ilvl w:val="0"/>
              <w:numId w:val="0"/>
            </w:numPr>
            <w:ind w:left="851" w:hanging="851"/>
          </w:pPr>
          <w:r>
            <w:t>References</w:t>
          </w:r>
          <w:bookmarkEnd w:id="19"/>
        </w:p>
        <w:sdt>
          <w:sdtPr>
            <w:id w:val="520830650"/>
            <w:bibliography/>
          </w:sdtPr>
          <w:sdtContent>
            <w:p w14:paraId="23400E84" w14:textId="77777777" w:rsidR="00983EA4" w:rsidRDefault="00E90331">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983EA4" w14:paraId="03E9DFB8" w14:textId="77777777">
                <w:trPr>
                  <w:divId w:val="2088989017"/>
                  <w:tblCellSpacing w:w="15" w:type="dxa"/>
                </w:trPr>
                <w:tc>
                  <w:tcPr>
                    <w:tcW w:w="50" w:type="pct"/>
                    <w:hideMark/>
                  </w:tcPr>
                  <w:p w14:paraId="198F8B14" w14:textId="2D474C1F" w:rsidR="00983EA4" w:rsidRDefault="00983EA4">
                    <w:pPr>
                      <w:pStyle w:val="Bibliography"/>
                      <w:rPr>
                        <w:noProof/>
                        <w:szCs w:val="24"/>
                      </w:rPr>
                    </w:pPr>
                    <w:r>
                      <w:rPr>
                        <w:noProof/>
                      </w:rPr>
                      <w:t xml:space="preserve">[1] </w:t>
                    </w:r>
                  </w:p>
                </w:tc>
                <w:tc>
                  <w:tcPr>
                    <w:tcW w:w="0" w:type="auto"/>
                    <w:hideMark/>
                  </w:tcPr>
                  <w:p w14:paraId="32D72D19" w14:textId="77777777" w:rsidR="00983EA4" w:rsidRDefault="00983EA4">
                    <w:pPr>
                      <w:pStyle w:val="Bibliography"/>
                      <w:rPr>
                        <w:noProof/>
                      </w:rPr>
                    </w:pPr>
                    <w:r>
                      <w:rPr>
                        <w:noProof/>
                      </w:rPr>
                      <w:t>ONR, “ONR-PER-PROC-001 - Regulatory Permissioning”.</w:t>
                    </w:r>
                  </w:p>
                </w:tc>
              </w:tr>
              <w:tr w:rsidR="00983EA4" w14:paraId="02D333F1" w14:textId="77777777">
                <w:trPr>
                  <w:divId w:val="2088989017"/>
                  <w:tblCellSpacing w:w="15" w:type="dxa"/>
                </w:trPr>
                <w:tc>
                  <w:tcPr>
                    <w:tcW w:w="50" w:type="pct"/>
                    <w:hideMark/>
                  </w:tcPr>
                  <w:p w14:paraId="3E383BD5" w14:textId="77777777" w:rsidR="00983EA4" w:rsidRDefault="00983EA4">
                    <w:pPr>
                      <w:pStyle w:val="Bibliography"/>
                      <w:rPr>
                        <w:noProof/>
                      </w:rPr>
                    </w:pPr>
                    <w:r>
                      <w:rPr>
                        <w:noProof/>
                      </w:rPr>
                      <w:t xml:space="preserve">[2] </w:t>
                    </w:r>
                  </w:p>
                </w:tc>
                <w:tc>
                  <w:tcPr>
                    <w:tcW w:w="0" w:type="auto"/>
                    <w:hideMark/>
                  </w:tcPr>
                  <w:p w14:paraId="0E5C37BE" w14:textId="77777777" w:rsidR="00983EA4" w:rsidRDefault="00983EA4">
                    <w:pPr>
                      <w:pStyle w:val="Bibliography"/>
                      <w:rPr>
                        <w:noProof/>
                      </w:rPr>
                    </w:pPr>
                    <w:r>
                      <w:rPr>
                        <w:noProof/>
                      </w:rPr>
                      <w:t>ONR, “ONR-GOV-FW-002 - Scheme of Delegation”.</w:t>
                    </w:r>
                  </w:p>
                </w:tc>
              </w:tr>
              <w:tr w:rsidR="00983EA4" w:rsidRPr="009B6659" w14:paraId="0D2519C4" w14:textId="77777777">
                <w:trPr>
                  <w:divId w:val="2088989017"/>
                  <w:tblCellSpacing w:w="15" w:type="dxa"/>
                </w:trPr>
                <w:tc>
                  <w:tcPr>
                    <w:tcW w:w="50" w:type="pct"/>
                    <w:hideMark/>
                  </w:tcPr>
                  <w:p w14:paraId="7B7C55B3" w14:textId="77777777" w:rsidR="00983EA4" w:rsidRDefault="00983EA4">
                    <w:pPr>
                      <w:pStyle w:val="Bibliography"/>
                      <w:rPr>
                        <w:noProof/>
                      </w:rPr>
                    </w:pPr>
                    <w:r>
                      <w:rPr>
                        <w:noProof/>
                      </w:rPr>
                      <w:t xml:space="preserve">[3] </w:t>
                    </w:r>
                  </w:p>
                </w:tc>
                <w:tc>
                  <w:tcPr>
                    <w:tcW w:w="0" w:type="auto"/>
                    <w:hideMark/>
                  </w:tcPr>
                  <w:p w14:paraId="6BF0BA39" w14:textId="77777777" w:rsidR="00983EA4" w:rsidRPr="009B6659" w:rsidRDefault="00983EA4">
                    <w:pPr>
                      <w:pStyle w:val="Bibliography"/>
                      <w:rPr>
                        <w:noProof/>
                        <w:lang w:val="fr-FR"/>
                      </w:rPr>
                    </w:pPr>
                    <w:r w:rsidRPr="009B6659">
                      <w:rPr>
                        <w:noProof/>
                        <w:lang w:val="fr-FR"/>
                      </w:rPr>
                      <w:t>ONR, “ONR-ENF-GD-006 - Enforcement Management Model”.</w:t>
                    </w:r>
                  </w:p>
                </w:tc>
              </w:tr>
              <w:tr w:rsidR="00983EA4" w14:paraId="3A491587" w14:textId="77777777">
                <w:trPr>
                  <w:divId w:val="2088989017"/>
                  <w:tblCellSpacing w:w="15" w:type="dxa"/>
                </w:trPr>
                <w:tc>
                  <w:tcPr>
                    <w:tcW w:w="50" w:type="pct"/>
                    <w:hideMark/>
                  </w:tcPr>
                  <w:p w14:paraId="635A2DD2" w14:textId="77777777" w:rsidR="00983EA4" w:rsidRDefault="00983EA4">
                    <w:pPr>
                      <w:pStyle w:val="Bibliography"/>
                      <w:rPr>
                        <w:noProof/>
                      </w:rPr>
                    </w:pPr>
                    <w:r>
                      <w:rPr>
                        <w:noProof/>
                      </w:rPr>
                      <w:t xml:space="preserve">[4] </w:t>
                    </w:r>
                  </w:p>
                </w:tc>
                <w:tc>
                  <w:tcPr>
                    <w:tcW w:w="0" w:type="auto"/>
                    <w:hideMark/>
                  </w:tcPr>
                  <w:p w14:paraId="159CC548" w14:textId="77777777" w:rsidR="00983EA4" w:rsidRDefault="00983EA4">
                    <w:pPr>
                      <w:pStyle w:val="Bibliography"/>
                      <w:rPr>
                        <w:noProof/>
                      </w:rPr>
                    </w:pPr>
                    <w:r>
                      <w:rPr>
                        <w:noProof/>
                      </w:rPr>
                      <w:t>ONR, “NS-TAST-GD-005 - Guidance on the Demonstration of ALARP”.</w:t>
                    </w:r>
                  </w:p>
                </w:tc>
              </w:tr>
              <w:tr w:rsidR="00983EA4" w14:paraId="63FBE76B" w14:textId="77777777">
                <w:trPr>
                  <w:divId w:val="2088989017"/>
                  <w:tblCellSpacing w:w="15" w:type="dxa"/>
                </w:trPr>
                <w:tc>
                  <w:tcPr>
                    <w:tcW w:w="50" w:type="pct"/>
                    <w:hideMark/>
                  </w:tcPr>
                  <w:p w14:paraId="20CBA2A1" w14:textId="77777777" w:rsidR="00983EA4" w:rsidRDefault="00983EA4">
                    <w:pPr>
                      <w:pStyle w:val="Bibliography"/>
                      <w:rPr>
                        <w:noProof/>
                      </w:rPr>
                    </w:pPr>
                    <w:r>
                      <w:rPr>
                        <w:noProof/>
                      </w:rPr>
                      <w:t xml:space="preserve">[5] </w:t>
                    </w:r>
                  </w:p>
                </w:tc>
                <w:tc>
                  <w:tcPr>
                    <w:tcW w:w="0" w:type="auto"/>
                    <w:hideMark/>
                  </w:tcPr>
                  <w:p w14:paraId="3F2AB203" w14:textId="77777777" w:rsidR="00983EA4" w:rsidRDefault="00983EA4">
                    <w:pPr>
                      <w:pStyle w:val="Bibliography"/>
                      <w:rPr>
                        <w:noProof/>
                      </w:rPr>
                    </w:pPr>
                    <w:r>
                      <w:rPr>
                        <w:noProof/>
                      </w:rPr>
                      <w:t>ONR, “ONR-ENF-POL-001 - Enforcement Policy Statement”.</w:t>
                    </w:r>
                  </w:p>
                </w:tc>
              </w:tr>
              <w:tr w:rsidR="00983EA4" w14:paraId="26782447" w14:textId="77777777">
                <w:trPr>
                  <w:divId w:val="2088989017"/>
                  <w:tblCellSpacing w:w="15" w:type="dxa"/>
                </w:trPr>
                <w:tc>
                  <w:tcPr>
                    <w:tcW w:w="50" w:type="pct"/>
                    <w:hideMark/>
                  </w:tcPr>
                  <w:p w14:paraId="51E9D4E7" w14:textId="77777777" w:rsidR="00983EA4" w:rsidRDefault="00983EA4">
                    <w:pPr>
                      <w:pStyle w:val="Bibliography"/>
                      <w:rPr>
                        <w:noProof/>
                      </w:rPr>
                    </w:pPr>
                    <w:r>
                      <w:rPr>
                        <w:noProof/>
                      </w:rPr>
                      <w:t xml:space="preserve">[6] </w:t>
                    </w:r>
                  </w:p>
                </w:tc>
                <w:tc>
                  <w:tcPr>
                    <w:tcW w:w="0" w:type="auto"/>
                    <w:hideMark/>
                  </w:tcPr>
                  <w:p w14:paraId="12998460" w14:textId="77777777" w:rsidR="00983EA4" w:rsidRDefault="00983EA4">
                    <w:pPr>
                      <w:pStyle w:val="Bibliography"/>
                      <w:rPr>
                        <w:noProof/>
                      </w:rPr>
                    </w:pPr>
                    <w:r>
                      <w:rPr>
                        <w:noProof/>
                      </w:rPr>
                      <w:t>ONR, “ONR-INSP-GD-060 - Project Inspection in ONR”.</w:t>
                    </w:r>
                  </w:p>
                </w:tc>
              </w:tr>
              <w:tr w:rsidR="00983EA4" w14:paraId="13EE2585" w14:textId="77777777">
                <w:trPr>
                  <w:divId w:val="2088989017"/>
                  <w:tblCellSpacing w:w="15" w:type="dxa"/>
                </w:trPr>
                <w:tc>
                  <w:tcPr>
                    <w:tcW w:w="50" w:type="pct"/>
                    <w:hideMark/>
                  </w:tcPr>
                  <w:p w14:paraId="6A14839E" w14:textId="77777777" w:rsidR="00983EA4" w:rsidRDefault="00983EA4">
                    <w:pPr>
                      <w:pStyle w:val="Bibliography"/>
                      <w:rPr>
                        <w:noProof/>
                      </w:rPr>
                    </w:pPr>
                    <w:r>
                      <w:rPr>
                        <w:noProof/>
                      </w:rPr>
                      <w:t xml:space="preserve">[7] </w:t>
                    </w:r>
                  </w:p>
                </w:tc>
                <w:tc>
                  <w:tcPr>
                    <w:tcW w:w="0" w:type="auto"/>
                    <w:hideMark/>
                  </w:tcPr>
                  <w:p w14:paraId="300A3DB5" w14:textId="77777777" w:rsidR="00983EA4" w:rsidRDefault="00983EA4">
                    <w:pPr>
                      <w:pStyle w:val="Bibliography"/>
                      <w:rPr>
                        <w:noProof/>
                      </w:rPr>
                    </w:pPr>
                    <w:r>
                      <w:rPr>
                        <w:noProof/>
                      </w:rPr>
                      <w:t>ONR, “ONR-INSP-GD-059 - Guidance for Inspection Strategy Planning and Recording”.</w:t>
                    </w:r>
                  </w:p>
                </w:tc>
              </w:tr>
              <w:tr w:rsidR="00983EA4" w14:paraId="68C2E07A" w14:textId="77777777">
                <w:trPr>
                  <w:divId w:val="2088989017"/>
                  <w:tblCellSpacing w:w="15" w:type="dxa"/>
                </w:trPr>
                <w:tc>
                  <w:tcPr>
                    <w:tcW w:w="50" w:type="pct"/>
                    <w:hideMark/>
                  </w:tcPr>
                  <w:p w14:paraId="32220DD9" w14:textId="77777777" w:rsidR="00983EA4" w:rsidRDefault="00983EA4">
                    <w:pPr>
                      <w:pStyle w:val="Bibliography"/>
                      <w:rPr>
                        <w:noProof/>
                      </w:rPr>
                    </w:pPr>
                    <w:r>
                      <w:rPr>
                        <w:noProof/>
                      </w:rPr>
                      <w:t xml:space="preserve">[8] </w:t>
                    </w:r>
                  </w:p>
                </w:tc>
                <w:tc>
                  <w:tcPr>
                    <w:tcW w:w="0" w:type="auto"/>
                    <w:hideMark/>
                  </w:tcPr>
                  <w:p w14:paraId="5F7A0FF4" w14:textId="77777777" w:rsidR="00983EA4" w:rsidRDefault="00983EA4">
                    <w:pPr>
                      <w:pStyle w:val="Bibliography"/>
                      <w:rPr>
                        <w:noProof/>
                      </w:rPr>
                    </w:pPr>
                    <w:r>
                      <w:rPr>
                        <w:noProof/>
                      </w:rPr>
                      <w:t>ONR, “NS-TAST-GD-108 - Guidance on Production of Reports for Permissioning and Assessment”.</w:t>
                    </w:r>
                  </w:p>
                </w:tc>
              </w:tr>
              <w:tr w:rsidR="00983EA4" w14:paraId="73512F1C" w14:textId="77777777">
                <w:trPr>
                  <w:divId w:val="2088989017"/>
                  <w:tblCellSpacing w:w="15" w:type="dxa"/>
                </w:trPr>
                <w:tc>
                  <w:tcPr>
                    <w:tcW w:w="50" w:type="pct"/>
                    <w:hideMark/>
                  </w:tcPr>
                  <w:p w14:paraId="172A842F" w14:textId="77777777" w:rsidR="00983EA4" w:rsidRDefault="00983EA4">
                    <w:pPr>
                      <w:pStyle w:val="Bibliography"/>
                      <w:rPr>
                        <w:noProof/>
                      </w:rPr>
                    </w:pPr>
                    <w:r>
                      <w:rPr>
                        <w:noProof/>
                      </w:rPr>
                      <w:t xml:space="preserve">[9] </w:t>
                    </w:r>
                  </w:p>
                </w:tc>
                <w:tc>
                  <w:tcPr>
                    <w:tcW w:w="0" w:type="auto"/>
                    <w:hideMark/>
                  </w:tcPr>
                  <w:p w14:paraId="551DCD13" w14:textId="77777777" w:rsidR="00983EA4" w:rsidRDefault="00983EA4">
                    <w:pPr>
                      <w:pStyle w:val="Bibliography"/>
                      <w:rPr>
                        <w:noProof/>
                      </w:rPr>
                    </w:pPr>
                    <w:r>
                      <w:rPr>
                        <w:noProof/>
                      </w:rPr>
                      <w:t>ONR, “NS-TAST-GD-096 - Guidance on Mechanics of Assessment”.</w:t>
                    </w:r>
                  </w:p>
                </w:tc>
              </w:tr>
              <w:tr w:rsidR="00983EA4" w14:paraId="0AF67F4F" w14:textId="77777777">
                <w:trPr>
                  <w:divId w:val="2088989017"/>
                  <w:tblCellSpacing w:w="15" w:type="dxa"/>
                </w:trPr>
                <w:tc>
                  <w:tcPr>
                    <w:tcW w:w="50" w:type="pct"/>
                    <w:hideMark/>
                  </w:tcPr>
                  <w:p w14:paraId="0C8943E1" w14:textId="77777777" w:rsidR="00983EA4" w:rsidRDefault="00983EA4">
                    <w:pPr>
                      <w:pStyle w:val="Bibliography"/>
                      <w:rPr>
                        <w:noProof/>
                      </w:rPr>
                    </w:pPr>
                    <w:r>
                      <w:rPr>
                        <w:noProof/>
                      </w:rPr>
                      <w:t xml:space="preserve">[10] </w:t>
                    </w:r>
                  </w:p>
                </w:tc>
                <w:tc>
                  <w:tcPr>
                    <w:tcW w:w="0" w:type="auto"/>
                    <w:hideMark/>
                  </w:tcPr>
                  <w:p w14:paraId="08FDC836" w14:textId="77777777" w:rsidR="00983EA4" w:rsidRDefault="00983EA4">
                    <w:pPr>
                      <w:pStyle w:val="Bibliography"/>
                      <w:rPr>
                        <w:noProof/>
                      </w:rPr>
                    </w:pPr>
                    <w:r>
                      <w:rPr>
                        <w:noProof/>
                      </w:rPr>
                      <w:t>ONR, “ONR-INSP-GD-064 - General Inspection Guide”.</w:t>
                    </w:r>
                  </w:p>
                </w:tc>
              </w:tr>
            </w:tbl>
            <w:p w14:paraId="2D7EBC50" w14:textId="77777777" w:rsidR="00983EA4" w:rsidRDefault="00983EA4">
              <w:pPr>
                <w:divId w:val="2088989017"/>
                <w:rPr>
                  <w:rFonts w:eastAsia="Times New Roman"/>
                  <w:noProof/>
                </w:rPr>
              </w:pPr>
            </w:p>
            <w:p w14:paraId="197C557C" w14:textId="60226C5A" w:rsidR="00E90331" w:rsidRDefault="00E90331">
              <w:r>
                <w:rPr>
                  <w:b/>
                  <w:bCs/>
                  <w:noProof/>
                </w:rPr>
                <w:fldChar w:fldCharType="end"/>
              </w:r>
            </w:p>
          </w:sdtContent>
        </w:sdt>
      </w:sdtContent>
    </w:sdt>
    <w:p w14:paraId="6AF98391" w14:textId="77777777" w:rsidR="00E90331" w:rsidRDefault="00E90331" w:rsidP="0077202F">
      <w:pPr>
        <w:pStyle w:val="Heading1"/>
        <w:sectPr w:rsidR="00E90331" w:rsidSect="001759BC">
          <w:pgSz w:w="11906" w:h="16838" w:code="9"/>
          <w:pgMar w:top="1440" w:right="1440" w:bottom="1440" w:left="1440" w:header="397" w:footer="397" w:gutter="0"/>
          <w:cols w:space="312"/>
          <w:docGrid w:linePitch="360"/>
        </w:sectPr>
      </w:pPr>
    </w:p>
    <w:p w14:paraId="6E712D03" w14:textId="74C90A56" w:rsidR="009E0E52" w:rsidRDefault="00E90331" w:rsidP="00E90331">
      <w:pPr>
        <w:pStyle w:val="Heading1"/>
        <w:numPr>
          <w:ilvl w:val="0"/>
          <w:numId w:val="0"/>
        </w:numPr>
      </w:pPr>
      <w:bookmarkStart w:id="20" w:name="_Appendix_A_–"/>
      <w:bookmarkStart w:id="21" w:name="_Toc146888192"/>
      <w:bookmarkEnd w:id="20"/>
      <w:r>
        <w:lastRenderedPageBreak/>
        <w:t>Appendix A –</w:t>
      </w:r>
      <w:r w:rsidR="00DD3B56">
        <w:t xml:space="preserve"> </w:t>
      </w:r>
      <w:r>
        <w:t>Enhanced Decision-Making Process</w:t>
      </w:r>
      <w:bookmarkEnd w:id="21"/>
    </w:p>
    <w:p w14:paraId="42308268" w14:textId="6E04A360" w:rsidR="00D12B39" w:rsidRDefault="00D12B39" w:rsidP="00D12B39">
      <w:r>
        <w:t>T</w:t>
      </w:r>
      <w:r w:rsidRPr="00EB56EC">
        <w:t>he hazard</w:t>
      </w:r>
      <w:r>
        <w:t xml:space="preserve">s and risks posed by duty holders’ proposed activities vary </w:t>
      </w:r>
      <w:r w:rsidRPr="00EB56EC">
        <w:t>widely a</w:t>
      </w:r>
      <w:r>
        <w:t>cross the areas in which ONR regulates. Many nuclear licensed sites and operations are complex with a range of interlinked factors that could challenge nuclear safety/</w:t>
      </w:r>
      <w:r w:rsidR="00E86B50">
        <w:t xml:space="preserve"> </w:t>
      </w:r>
      <w:r>
        <w:t xml:space="preserve">security if ill-conceived or executed. This has </w:t>
      </w:r>
      <w:r w:rsidRPr="00EB56EC">
        <w:t xml:space="preserve">implications for </w:t>
      </w:r>
      <w:r>
        <w:t xml:space="preserve">ONR’s permissioning </w:t>
      </w:r>
      <w:r w:rsidRPr="00EB56EC">
        <w:t xml:space="preserve">decisions </w:t>
      </w:r>
      <w:r>
        <w:t>as in man</w:t>
      </w:r>
      <w:r w:rsidRPr="00EB56EC">
        <w:t xml:space="preserve">y cases there is a degree of uncertainty in the information </w:t>
      </w:r>
      <w:r>
        <w:t xml:space="preserve">being taken into consideration. </w:t>
      </w:r>
      <w:r w:rsidRPr="00EB56EC">
        <w:t>O</w:t>
      </w:r>
      <w:r>
        <w:t xml:space="preserve">NR’s </w:t>
      </w:r>
      <w:r w:rsidRPr="00EB56EC">
        <w:t>decision making takes account of uncertainty by, where</w:t>
      </w:r>
      <w:r>
        <w:t xml:space="preserve"> </w:t>
      </w:r>
      <w:r w:rsidRPr="00EB56EC">
        <w:t xml:space="preserve">possible, </w:t>
      </w:r>
      <w:r>
        <w:t>u</w:t>
      </w:r>
      <w:r w:rsidRPr="00EB56EC">
        <w:t xml:space="preserve">nderstanding its origin, magnitude, what can be done to reduce it and </w:t>
      </w:r>
      <w:r>
        <w:t xml:space="preserve">its potential </w:t>
      </w:r>
      <w:r w:rsidRPr="00EB56EC">
        <w:t>affect</w:t>
      </w:r>
      <w:r>
        <w:t xml:space="preserve">. </w:t>
      </w:r>
    </w:p>
    <w:p w14:paraId="5A079490" w14:textId="77777777" w:rsidR="00D12B39" w:rsidRPr="0021611D" w:rsidRDefault="00D12B39" w:rsidP="00D12B39">
      <w:r>
        <w:t>As a result, t</w:t>
      </w:r>
      <w:r w:rsidRPr="00BD07F3">
        <w:t>here may be situations</w:t>
      </w:r>
      <w:r>
        <w:t xml:space="preserve"> where r</w:t>
      </w:r>
      <w:r w:rsidRPr="0021611D">
        <w:t xml:space="preserve">egulatory decisions </w:t>
      </w:r>
      <w:r>
        <w:t xml:space="preserve">are </w:t>
      </w:r>
      <w:r w:rsidRPr="001472F6">
        <w:t>multi-faceted</w:t>
      </w:r>
      <w:r>
        <w:t>, potentially contentious</w:t>
      </w:r>
      <w:r w:rsidRPr="001472F6">
        <w:t xml:space="preserve"> </w:t>
      </w:r>
      <w:r>
        <w:t xml:space="preserve">and/or </w:t>
      </w:r>
      <w:r w:rsidRPr="001472F6">
        <w:t>deemed to be of the highest significance</w:t>
      </w:r>
      <w:r>
        <w:t xml:space="preserve"> with several strategic factors to consider. In these circumstances the </w:t>
      </w:r>
      <w:r w:rsidRPr="0021611D">
        <w:t xml:space="preserve">enhanced </w:t>
      </w:r>
      <w:r>
        <w:t>decision-making process may be employed to provide an additional level of assurance</w:t>
      </w:r>
      <w:r w:rsidRPr="0021611D">
        <w:t xml:space="preserve">. This process </w:t>
      </w:r>
      <w:r>
        <w:t xml:space="preserve">should be used in </w:t>
      </w:r>
      <w:r w:rsidRPr="0021611D">
        <w:t>ex</w:t>
      </w:r>
      <w:r>
        <w:t xml:space="preserve">ceptional circumstances, where </w:t>
      </w:r>
      <w:r w:rsidRPr="0021611D">
        <w:t>regulatory decisions:</w:t>
      </w:r>
    </w:p>
    <w:p w14:paraId="6FDB4EC6" w14:textId="77777777" w:rsidR="00D12B39" w:rsidRPr="00E32DFA" w:rsidRDefault="00D12B39" w:rsidP="00D12B39">
      <w:pPr>
        <w:pStyle w:val="Bulletlist1"/>
      </w:pPr>
      <w:r w:rsidRPr="00E32DFA">
        <w:t>Could result in an increase in risk (albeit temporarily), in order to achieve long-term risk reduction/elimination;</w:t>
      </w:r>
    </w:p>
    <w:p w14:paraId="4B69E270" w14:textId="77777777" w:rsidR="00D12B39" w:rsidRPr="00E32DFA" w:rsidRDefault="00D12B39" w:rsidP="00D12B39">
      <w:pPr>
        <w:pStyle w:val="Bulletlist1"/>
      </w:pPr>
      <w:r w:rsidRPr="00E32DFA">
        <w:t>Rely significantly on EMM Strategic Factors;</w:t>
      </w:r>
    </w:p>
    <w:p w14:paraId="3820BABB" w14:textId="77777777" w:rsidR="00D12B39" w:rsidRPr="00E32DFA" w:rsidRDefault="00D12B39" w:rsidP="00D12B39">
      <w:pPr>
        <w:pStyle w:val="Bulletlist1"/>
      </w:pPr>
      <w:r w:rsidRPr="00E32DFA">
        <w:t>Are likely to attract external scrutiny, media coverage;</w:t>
      </w:r>
      <w:r>
        <w:t xml:space="preserve"> or</w:t>
      </w:r>
    </w:p>
    <w:p w14:paraId="5AA85BD1" w14:textId="77777777" w:rsidR="00D12B39" w:rsidRPr="00E32DFA" w:rsidRDefault="00D12B39" w:rsidP="00D12B39">
      <w:pPr>
        <w:pStyle w:val="Bulletlist1"/>
      </w:pPr>
      <w:r w:rsidRPr="00E32DFA">
        <w:t xml:space="preserve">Are likely to be subject to significant challenge by the licensee. </w:t>
      </w:r>
    </w:p>
    <w:p w14:paraId="07D7507F" w14:textId="6FDDC0F1" w:rsidR="00D12B39" w:rsidRDefault="00D12B39" w:rsidP="00D12B39">
      <w:r w:rsidRPr="0021611D">
        <w:t>This process may be invoked by either the</w:t>
      </w:r>
      <w:r>
        <w:t xml:space="preserve"> d</w:t>
      </w:r>
      <w:r w:rsidRPr="0021611D">
        <w:t xml:space="preserve">ecision maker </w:t>
      </w:r>
      <w:r>
        <w:t xml:space="preserve">(nominally </w:t>
      </w:r>
      <w:r w:rsidRPr="0021611D">
        <w:t xml:space="preserve">the </w:t>
      </w:r>
      <w:r>
        <w:t>superintending inspector/d</w:t>
      </w:r>
      <w:r w:rsidRPr="0021611D">
        <w:t xml:space="preserve">elivery </w:t>
      </w:r>
      <w:r>
        <w:t>l</w:t>
      </w:r>
      <w:r w:rsidRPr="0021611D">
        <w:t>ead with delegated authority for the regulatory decision</w:t>
      </w:r>
      <w:r>
        <w:t>/</w:t>
      </w:r>
      <w:r w:rsidR="00E86B50">
        <w:t xml:space="preserve"> </w:t>
      </w:r>
      <w:r>
        <w:t>PAR acceptance review</w:t>
      </w:r>
      <w:proofErr w:type="gramStart"/>
      <w:r>
        <w:t>);</w:t>
      </w:r>
      <w:proofErr w:type="gramEnd"/>
      <w:r>
        <w:t xml:space="preserve"> or the d</w:t>
      </w:r>
      <w:r w:rsidRPr="0021611D">
        <w:t xml:space="preserve">ivision </w:t>
      </w:r>
      <w:r>
        <w:t>d</w:t>
      </w:r>
      <w:r w:rsidRPr="0021611D">
        <w:t>irector</w:t>
      </w:r>
      <w:r>
        <w:t xml:space="preserve">. The decision to invoke the process can be taken anytime throughout the permissioning assessment process but should be made prior to formal signed acceptance of the PAR. Invoking the process does not impact the permissioning assessment process, which should be implemented in accordance with the extant process. </w:t>
      </w:r>
    </w:p>
    <w:p w14:paraId="6A37DD5E" w14:textId="42FC9B47" w:rsidR="00D12B39" w:rsidRPr="0021611D" w:rsidRDefault="00D12B39" w:rsidP="00D12B39">
      <w:r>
        <w:t xml:space="preserve">Once invoked, the decision maker should identify appropriate consultees. </w:t>
      </w:r>
      <w:r w:rsidR="00E86B50">
        <w:br/>
      </w:r>
      <w:r>
        <w:t>These should typically include another superintending inspector a</w:t>
      </w:r>
      <w:r w:rsidRPr="0021611D">
        <w:t xml:space="preserve">nd an independent </w:t>
      </w:r>
      <w:r>
        <w:t xml:space="preserve">inspector as agreed with </w:t>
      </w:r>
      <w:r w:rsidRPr="0021611D">
        <w:t xml:space="preserve">the </w:t>
      </w:r>
      <w:r>
        <w:t>d</w:t>
      </w:r>
      <w:r w:rsidRPr="0021611D">
        <w:t xml:space="preserve">ivision </w:t>
      </w:r>
      <w:r>
        <w:t>d</w:t>
      </w:r>
      <w:r w:rsidRPr="0021611D">
        <w:t>irector (</w:t>
      </w:r>
      <w:r>
        <w:t>nominally the most relevant professional l</w:t>
      </w:r>
      <w:r w:rsidRPr="0021611D">
        <w:t>ead o</w:t>
      </w:r>
      <w:r>
        <w:t>r other superintending inspector).</w:t>
      </w:r>
      <w:r w:rsidRPr="0021611D">
        <w:t xml:space="preserve"> </w:t>
      </w:r>
    </w:p>
    <w:p w14:paraId="7C34590E" w14:textId="77777777" w:rsidR="00D12B39" w:rsidRDefault="00D12B39" w:rsidP="00D12B39">
      <w:r>
        <w:t>Once the d</w:t>
      </w:r>
      <w:r w:rsidRPr="0021611D">
        <w:t xml:space="preserve">ecision maker is in a position where </w:t>
      </w:r>
      <w:r>
        <w:t xml:space="preserve">they have completed their acceptance review and are ready to formally accept the PAR, then they should </w:t>
      </w:r>
      <w:r w:rsidRPr="0021611D">
        <w:t>circulate</w:t>
      </w:r>
      <w:r>
        <w:t xml:space="preserve"> it</w:t>
      </w:r>
      <w:r w:rsidRPr="0021611D">
        <w:t xml:space="preserve"> </w:t>
      </w:r>
      <w:r>
        <w:t xml:space="preserve">(unsigned) via e-mail </w:t>
      </w:r>
      <w:r w:rsidRPr="0021611D">
        <w:t>to the consultees</w:t>
      </w:r>
      <w:r>
        <w:t>. The covering e-mail should:</w:t>
      </w:r>
    </w:p>
    <w:p w14:paraId="7F495C3A" w14:textId="77777777" w:rsidR="00D12B39" w:rsidRDefault="00D12B39" w:rsidP="00D12B39">
      <w:pPr>
        <w:pStyle w:val="Bulletlist1"/>
      </w:pPr>
      <w:r>
        <w:t>E</w:t>
      </w:r>
      <w:r w:rsidRPr="00354F61">
        <w:t>xplain why the enhanced decision-making process has been invoked</w:t>
      </w:r>
      <w:r>
        <w:t>;</w:t>
      </w:r>
    </w:p>
    <w:p w14:paraId="3C641DDF" w14:textId="77777777" w:rsidR="00D12B39" w:rsidRDefault="00D12B39" w:rsidP="00D12B39">
      <w:pPr>
        <w:pStyle w:val="Bulletlist1"/>
      </w:pPr>
      <w:r>
        <w:t xml:space="preserve">Explain any specific/relevant rational for </w:t>
      </w:r>
      <w:r w:rsidRPr="00354F61">
        <w:t>selecting the consultees</w:t>
      </w:r>
      <w:r>
        <w:t>;</w:t>
      </w:r>
    </w:p>
    <w:p w14:paraId="67DAD724" w14:textId="77777777" w:rsidR="00D12B39" w:rsidRDefault="00D12B39" w:rsidP="00D12B39">
      <w:pPr>
        <w:pStyle w:val="Bulletlist1"/>
      </w:pPr>
      <w:r>
        <w:lastRenderedPageBreak/>
        <w:t xml:space="preserve">Request </w:t>
      </w:r>
      <w:r w:rsidRPr="00354F61">
        <w:t xml:space="preserve">a written response within </w:t>
      </w:r>
      <w:r>
        <w:t>agreed timescales (nominally five working days)</w:t>
      </w:r>
      <w:r w:rsidRPr="00354F61">
        <w:t xml:space="preserve">. </w:t>
      </w:r>
    </w:p>
    <w:p w14:paraId="517C65D4" w14:textId="293FC8B3" w:rsidR="00D12B39" w:rsidRDefault="00D12B39" w:rsidP="00D12B39">
      <w:r w:rsidRPr="00BD568F">
        <w:t>The consultee</w:t>
      </w:r>
      <w:r>
        <w:t>s</w:t>
      </w:r>
      <w:r w:rsidRPr="00BD568F">
        <w:t xml:space="preserve"> should provide a</w:t>
      </w:r>
      <w:r>
        <w:t xml:space="preserve"> written </w:t>
      </w:r>
      <w:r w:rsidRPr="00BD568F">
        <w:t>unambiguous view on whether the proposed decision is supported or not, plus any associated reasoning.</w:t>
      </w:r>
      <w:r>
        <w:t xml:space="preserve"> </w:t>
      </w:r>
      <w:r>
        <w:rPr>
          <w:b/>
        </w:rPr>
        <w:t xml:space="preserve">The process is not an additional acceptance review of the PAR; it is only a view on the decision. </w:t>
      </w:r>
      <w:r w:rsidR="00E86B50">
        <w:rPr>
          <w:b/>
        </w:rPr>
        <w:br/>
      </w:r>
      <w:r w:rsidRPr="0021611D">
        <w:t xml:space="preserve">In the interests of independence and </w:t>
      </w:r>
      <w:r>
        <w:t xml:space="preserve">to </w:t>
      </w:r>
      <w:r w:rsidRPr="0021611D">
        <w:t>avoid “</w:t>
      </w:r>
      <w:proofErr w:type="gramStart"/>
      <w:r w:rsidRPr="0021611D">
        <w:t>group-think</w:t>
      </w:r>
      <w:proofErr w:type="gramEnd"/>
      <w:r w:rsidRPr="0021611D">
        <w:t xml:space="preserve">”, the consultees should not </w:t>
      </w:r>
      <w:r>
        <w:t xml:space="preserve">confer or </w:t>
      </w:r>
      <w:r w:rsidRPr="0021611D">
        <w:t xml:space="preserve">share their </w:t>
      </w:r>
      <w:r>
        <w:t xml:space="preserve">response </w:t>
      </w:r>
      <w:r w:rsidRPr="0021611D">
        <w:t>with one another until the last response has been sent</w:t>
      </w:r>
      <w:r>
        <w:t xml:space="preserve"> to the decision maker</w:t>
      </w:r>
      <w:r w:rsidRPr="0021611D">
        <w:t>.</w:t>
      </w:r>
      <w:r>
        <w:t xml:space="preserve"> </w:t>
      </w:r>
    </w:p>
    <w:p w14:paraId="2C5B697B" w14:textId="77777777" w:rsidR="00D12B39" w:rsidRPr="00DD79AE" w:rsidRDefault="00D12B39" w:rsidP="00D12B39">
      <w:r w:rsidRPr="0021611D">
        <w:t xml:space="preserve">The </w:t>
      </w:r>
      <w:r>
        <w:t>d</w:t>
      </w:r>
      <w:r w:rsidRPr="0021611D">
        <w:t xml:space="preserve">ecision maker </w:t>
      </w:r>
      <w:r>
        <w:t xml:space="preserve">should </w:t>
      </w:r>
      <w:r w:rsidRPr="0021611D">
        <w:t>use</w:t>
      </w:r>
      <w:r>
        <w:t xml:space="preserve"> the responses </w:t>
      </w:r>
      <w:r w:rsidRPr="0021611D">
        <w:t xml:space="preserve">to inform their </w:t>
      </w:r>
      <w:r>
        <w:t>a</w:t>
      </w:r>
      <w:r w:rsidRPr="0021611D">
        <w:t>cceptance review decision</w:t>
      </w:r>
      <w:r>
        <w:t xml:space="preserve">. </w:t>
      </w:r>
      <w:r w:rsidRPr="0021611D">
        <w:t xml:space="preserve">The minimum level for endorsement of the decision is a </w:t>
      </w:r>
      <w:r w:rsidRPr="00DD79AE">
        <w:t>positive response from each of the consultees. Any difference of opinion should be resolved by auditable means. The division director should be advised if no agreement can be reached and may decide to convene a review panel to discuss the areas of differing opinion. This could include an oral briefing to the consultees from the relevant contributors of the topic area</w:t>
      </w:r>
      <w:r>
        <w:t>(</w:t>
      </w:r>
      <w:r w:rsidRPr="00DD79AE">
        <w:t>s</w:t>
      </w:r>
      <w:r>
        <w:t>)</w:t>
      </w:r>
      <w:r w:rsidRPr="00DD79AE">
        <w:t xml:space="preserve"> in question. This will provide the panel with the opportunity to discuss and understand the work done/conclusions reached and resolve differences to form an aligned view.</w:t>
      </w:r>
    </w:p>
    <w:p w14:paraId="49EA6A00" w14:textId="77777777" w:rsidR="00D12B39" w:rsidRDefault="00D12B39" w:rsidP="00D12B39">
      <w:r w:rsidRPr="00DD79AE">
        <w:t>The decision maker either signs-off the PAR as acceptance reviewer or rejects the PAR if the decision is not endorsed and commissions further work as required</w:t>
      </w:r>
      <w:r>
        <w:t xml:space="preserve"> by either ONR/licensee</w:t>
      </w:r>
      <w:r w:rsidRPr="000E407E">
        <w:t xml:space="preserve">. </w:t>
      </w:r>
      <w:r>
        <w:t xml:space="preserve">Use of the enhanced decision-making process and its outputs should be referenced within the acceptance review and uploaded to/sent via the WIReD project record. </w:t>
      </w:r>
    </w:p>
    <w:p w14:paraId="526CB27A" w14:textId="47E89F35" w:rsidR="00E90331" w:rsidRDefault="00E90331" w:rsidP="00D12B39"/>
    <w:sectPr w:rsidR="00E90331" w:rsidSect="001759BC">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B9F1C" w14:textId="77777777" w:rsidR="00B406A2" w:rsidRDefault="00B406A2" w:rsidP="007D199A">
      <w:pPr>
        <w:spacing w:after="0"/>
      </w:pPr>
      <w:r>
        <w:separator/>
      </w:r>
    </w:p>
    <w:p w14:paraId="6553BFF3" w14:textId="77777777" w:rsidR="00B406A2" w:rsidRDefault="00B406A2"/>
  </w:endnote>
  <w:endnote w:type="continuationSeparator" w:id="0">
    <w:p w14:paraId="316B2935" w14:textId="77777777" w:rsidR="00B406A2" w:rsidRDefault="00B406A2" w:rsidP="007D199A">
      <w:pPr>
        <w:spacing w:after="0"/>
      </w:pPr>
      <w:r>
        <w:continuationSeparator/>
      </w:r>
    </w:p>
    <w:p w14:paraId="7718A5E6" w14:textId="77777777" w:rsidR="00B406A2" w:rsidRDefault="00B40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BEEB" w14:textId="77777777" w:rsidR="00C620CA" w:rsidRDefault="00C62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EF2DF89" w:rsidR="007C3C1D" w:rsidRPr="006A525B" w:rsidRDefault="006A525B" w:rsidP="007C3C1D">
    <w:pPr>
      <w:pStyle w:val="Footer"/>
      <w:jc w:val="left"/>
      <w:rPr>
        <w:szCs w:val="24"/>
      </w:rPr>
    </w:pPr>
    <w:r w:rsidRPr="006A525B">
      <w:rPr>
        <w:szCs w:val="24"/>
      </w:rPr>
      <w:t>ONR-DOC-TEMP-18</w:t>
    </w:r>
    <w:r w:rsidR="000817D4">
      <w:rPr>
        <w:szCs w:val="24"/>
      </w:rPr>
      <w:t>1</w:t>
    </w:r>
    <w:r w:rsidRPr="006A525B">
      <w:rPr>
        <w:szCs w:val="24"/>
      </w:rPr>
      <w:t xml:space="preserve"> (Issue </w:t>
    </w:r>
    <w:r w:rsidR="000817D4">
      <w:rPr>
        <w:szCs w:val="24"/>
      </w:rPr>
      <w:t>2</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3233" w14:textId="77777777" w:rsidR="00C620CA" w:rsidRDefault="00C620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4CEB2377" w:rsidR="00CE6198" w:rsidRPr="006F5296" w:rsidRDefault="006F5296" w:rsidP="006F5296">
    <w:pPr>
      <w:pStyle w:val="Footer"/>
      <w:rPr>
        <w:rStyle w:val="PageNumber"/>
        <w:color w:val="22413A"/>
        <w:sz w:val="24"/>
      </w:rPr>
    </w:pPr>
    <w:r w:rsidRPr="006F5296">
      <w:rPr>
        <w:rStyle w:val="PageNumber"/>
        <w:color w:val="22413A"/>
        <w:sz w:val="24"/>
      </w:rPr>
      <w:t xml:space="preserve">Page | </w:t>
    </w:r>
    <w:r w:rsidRPr="006F5296">
      <w:rPr>
        <w:rStyle w:val="PageNumber"/>
        <w:color w:val="22413A"/>
        <w:sz w:val="24"/>
      </w:rPr>
      <w:fldChar w:fldCharType="begin"/>
    </w:r>
    <w:r w:rsidRPr="006F5296">
      <w:rPr>
        <w:rStyle w:val="PageNumber"/>
        <w:color w:val="22413A"/>
        <w:sz w:val="24"/>
      </w:rPr>
      <w:instrText xml:space="preserve"> PAGE   \* MERGEFORMAT </w:instrText>
    </w:r>
    <w:r w:rsidRPr="006F5296">
      <w:rPr>
        <w:rStyle w:val="PageNumber"/>
        <w:color w:val="22413A"/>
        <w:sz w:val="24"/>
      </w:rPr>
      <w:fldChar w:fldCharType="separate"/>
    </w:r>
    <w:r w:rsidRPr="006F5296">
      <w:rPr>
        <w:rStyle w:val="PageNumber"/>
        <w:noProof/>
        <w:color w:val="22413A"/>
        <w:sz w:val="24"/>
      </w:rPr>
      <w:t>1</w:t>
    </w:r>
    <w:r w:rsidRPr="006F5296">
      <w:rPr>
        <w:rStyle w:val="PageNumber"/>
        <w:noProof/>
        <w:color w:val="22413A"/>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C9538" w14:textId="77777777" w:rsidR="00B406A2" w:rsidRPr="005E0344" w:rsidRDefault="00B406A2" w:rsidP="005E0344">
      <w:pPr>
        <w:spacing w:after="120"/>
        <w:rPr>
          <w:color w:val="000000" w:themeColor="text2"/>
        </w:rPr>
      </w:pPr>
      <w:r w:rsidRPr="005E0344">
        <w:rPr>
          <w:color w:val="000000" w:themeColor="text2"/>
        </w:rPr>
        <w:separator/>
      </w:r>
    </w:p>
  </w:footnote>
  <w:footnote w:type="continuationSeparator" w:id="0">
    <w:p w14:paraId="3BDC7DCF" w14:textId="77777777" w:rsidR="00B406A2" w:rsidRPr="005E0344" w:rsidRDefault="00B406A2" w:rsidP="0090581D">
      <w:pPr>
        <w:spacing w:after="120"/>
        <w:rPr>
          <w:color w:val="000000" w:themeColor="text2"/>
        </w:rPr>
      </w:pPr>
      <w:r w:rsidRPr="005E0344">
        <w:rPr>
          <w:color w:val="000000" w:themeColor="text2"/>
        </w:rPr>
        <w:continuationSeparator/>
      </w:r>
    </w:p>
    <w:p w14:paraId="14D33024" w14:textId="77777777" w:rsidR="00B406A2" w:rsidRDefault="00B406A2"/>
  </w:footnote>
  <w:footnote w:type="continuationNotice" w:id="1">
    <w:p w14:paraId="339F8B9B" w14:textId="77777777" w:rsidR="00B406A2" w:rsidRDefault="00B406A2">
      <w:pPr>
        <w:spacing w:after="0"/>
      </w:pPr>
    </w:p>
    <w:p w14:paraId="0ABB831E" w14:textId="77777777" w:rsidR="00B406A2" w:rsidRDefault="00B406A2"/>
  </w:footnote>
  <w:footnote w:id="2">
    <w:p w14:paraId="4B42DEF1" w14:textId="76E1B03D" w:rsidR="009817E4" w:rsidRDefault="009817E4" w:rsidP="00DA59A6">
      <w:pPr>
        <w:pStyle w:val="FootnoteText"/>
        <w:ind w:left="0" w:firstLine="0"/>
      </w:pPr>
      <w:r>
        <w:rPr>
          <w:rStyle w:val="FootnoteReference"/>
        </w:rPr>
        <w:footnoteRef/>
      </w:r>
      <w:r>
        <w:t xml:space="preserve"> </w:t>
      </w:r>
      <w:r w:rsidRPr="007128F5">
        <w:t>Out with standard permissioning regimes, ONR will also issue a LI where it identifies the need to do so under other LCs or there is a legal requirement (</w:t>
      </w:r>
      <w:r w:rsidR="00E86B50">
        <w:t xml:space="preserve">for example, </w:t>
      </w:r>
      <w:r w:rsidRPr="007128F5">
        <w:t>Approval under LC 13(2)).</w:t>
      </w:r>
    </w:p>
  </w:footnote>
  <w:footnote w:id="3">
    <w:p w14:paraId="5F6F92AC" w14:textId="5DA8D7B1" w:rsidR="009817E4" w:rsidRDefault="009817E4" w:rsidP="00DA59A6">
      <w:pPr>
        <w:pStyle w:val="FootnoteText"/>
        <w:ind w:left="0" w:firstLine="0"/>
      </w:pPr>
      <w:r w:rsidRPr="00DA59A6">
        <w:footnoteRef/>
      </w:r>
      <w:r>
        <w:t xml:space="preserve"> Legal advice (Ref. 2021/29069) has confirmed that modification, revision</w:t>
      </w:r>
      <w:r w:rsidR="00182AB8">
        <w:t>,</w:t>
      </w:r>
      <w:r>
        <w:t xml:space="preserve"> or withdrawal is applicable to all primary powers and not just those explicitly listed in LC 1 (3) a). </w:t>
      </w:r>
    </w:p>
  </w:footnote>
  <w:footnote w:id="4">
    <w:p w14:paraId="5AE66597" w14:textId="77777777" w:rsidR="007E21C1" w:rsidRDefault="007E21C1" w:rsidP="007E21C1">
      <w:pPr>
        <w:pStyle w:val="FootnoteText"/>
        <w:ind w:left="0" w:firstLine="0"/>
      </w:pPr>
      <w:r>
        <w:rPr>
          <w:rStyle w:val="FootnoteReference"/>
        </w:rPr>
        <w:footnoteRef/>
      </w:r>
      <w:r>
        <w:t xml:space="preserve"> This is different to ‘Agree’ under primary powers where ONR may agree to concede to a certain course of action described under LC 23(6), LC 28(7) or LC 30(2).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15B5C" w14:textId="77777777" w:rsidR="00C620CA" w:rsidRDefault="00C62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635B2" w14:textId="77777777" w:rsidR="00C620CA" w:rsidRDefault="00C620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56E2B9B" w:rsidR="00177666" w:rsidRPr="009E0E52" w:rsidRDefault="00000000" w:rsidP="009E0E52">
    <w:pPr>
      <w:pStyle w:val="Header"/>
    </w:pPr>
    <w:sdt>
      <w:sdt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A5278D">
          <w:t>Nuclear Safety Permissioning</w:t>
        </w:r>
      </w:sdtContent>
    </w:sdt>
    <w:r w:rsidR="004E3932">
      <w:t xml:space="preserve"> | Issue No.: </w:t>
    </w:r>
    <w:sdt>
      <w:sdt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5276E2">
          <w:t>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199A8DC8"/>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2E02492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7D40BE"/>
    <w:multiLevelType w:val="hybridMultilevel"/>
    <w:tmpl w:val="97422304"/>
    <w:lvl w:ilvl="0" w:tplc="DC566B8E">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072540A"/>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5764386">
    <w:abstractNumId w:val="9"/>
  </w:num>
  <w:num w:numId="2" w16cid:durableId="306977097">
    <w:abstractNumId w:val="7"/>
  </w:num>
  <w:num w:numId="3" w16cid:durableId="192614130">
    <w:abstractNumId w:val="6"/>
  </w:num>
  <w:num w:numId="4" w16cid:durableId="711460647">
    <w:abstractNumId w:val="5"/>
  </w:num>
  <w:num w:numId="5" w16cid:durableId="743725369">
    <w:abstractNumId w:val="4"/>
  </w:num>
  <w:num w:numId="6" w16cid:durableId="2016296834">
    <w:abstractNumId w:val="8"/>
  </w:num>
  <w:num w:numId="7" w16cid:durableId="1457681958">
    <w:abstractNumId w:val="3"/>
  </w:num>
  <w:num w:numId="8" w16cid:durableId="466239504">
    <w:abstractNumId w:val="2"/>
  </w:num>
  <w:num w:numId="9" w16cid:durableId="2064408895">
    <w:abstractNumId w:val="1"/>
  </w:num>
  <w:num w:numId="10" w16cid:durableId="1602446530">
    <w:abstractNumId w:val="0"/>
  </w:num>
  <w:num w:numId="11" w16cid:durableId="1524393857">
    <w:abstractNumId w:val="10"/>
  </w:num>
  <w:num w:numId="12" w16cid:durableId="1050687724">
    <w:abstractNumId w:val="21"/>
  </w:num>
  <w:num w:numId="13" w16cid:durableId="40054282">
    <w:abstractNumId w:val="15"/>
  </w:num>
  <w:num w:numId="14" w16cid:durableId="714356932">
    <w:abstractNumId w:val="11"/>
  </w:num>
  <w:num w:numId="15" w16cid:durableId="1814903763">
    <w:abstractNumId w:val="21"/>
    <w:lvlOverride w:ilvl="0">
      <w:startOverride w:val="1"/>
    </w:lvlOverride>
  </w:num>
  <w:num w:numId="16" w16cid:durableId="1862473216">
    <w:abstractNumId w:val="15"/>
    <w:lvlOverride w:ilvl="0">
      <w:startOverride w:val="1"/>
    </w:lvlOverride>
  </w:num>
  <w:num w:numId="17" w16cid:durableId="512383548">
    <w:abstractNumId w:val="11"/>
    <w:lvlOverride w:ilvl="0">
      <w:startOverride w:val="1"/>
    </w:lvlOverride>
  </w:num>
  <w:num w:numId="18" w16cid:durableId="310017656">
    <w:abstractNumId w:val="20"/>
  </w:num>
  <w:num w:numId="19" w16cid:durableId="1167017541">
    <w:abstractNumId w:val="16"/>
  </w:num>
  <w:num w:numId="20" w16cid:durableId="2033219140">
    <w:abstractNumId w:val="14"/>
  </w:num>
  <w:num w:numId="21" w16cid:durableId="154614904">
    <w:abstractNumId w:val="17"/>
  </w:num>
  <w:num w:numId="22" w16cid:durableId="1258901537">
    <w:abstractNumId w:val="13"/>
  </w:num>
  <w:num w:numId="23" w16cid:durableId="31268038">
    <w:abstractNumId w:val="12"/>
  </w:num>
  <w:num w:numId="24" w16cid:durableId="219441906">
    <w:abstractNumId w:val="19"/>
  </w:num>
  <w:num w:numId="25" w16cid:durableId="684096576">
    <w:abstractNumId w:val="18"/>
  </w:num>
  <w:num w:numId="26" w16cid:durableId="2044279965">
    <w:abstractNumId w:val="21"/>
  </w:num>
  <w:num w:numId="27" w16cid:durableId="224069080">
    <w:abstractNumId w:val="21"/>
  </w:num>
  <w:num w:numId="28" w16cid:durableId="1207067789">
    <w:abstractNumId w:val="14"/>
  </w:num>
  <w:num w:numId="29" w16cid:durableId="366370305">
    <w:abstractNumId w:val="14"/>
  </w:num>
  <w:num w:numId="30" w16cid:durableId="1035665571">
    <w:abstractNumId w:val="14"/>
  </w:num>
  <w:num w:numId="31" w16cid:durableId="832455431">
    <w:abstractNumId w:val="14"/>
  </w:num>
  <w:num w:numId="32" w16cid:durableId="259216877">
    <w:abstractNumId w:val="14"/>
  </w:num>
  <w:num w:numId="33" w16cid:durableId="3187693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87C"/>
    <w:rsid w:val="00001EE0"/>
    <w:rsid w:val="00002F03"/>
    <w:rsid w:val="00004C16"/>
    <w:rsid w:val="00011177"/>
    <w:rsid w:val="000134F7"/>
    <w:rsid w:val="00013E5D"/>
    <w:rsid w:val="00014814"/>
    <w:rsid w:val="000152B6"/>
    <w:rsid w:val="00024522"/>
    <w:rsid w:val="00024B2E"/>
    <w:rsid w:val="00024C20"/>
    <w:rsid w:val="00027F4F"/>
    <w:rsid w:val="00030430"/>
    <w:rsid w:val="0003078E"/>
    <w:rsid w:val="00030939"/>
    <w:rsid w:val="0003098F"/>
    <w:rsid w:val="00031B89"/>
    <w:rsid w:val="000339B6"/>
    <w:rsid w:val="000343AA"/>
    <w:rsid w:val="00035A65"/>
    <w:rsid w:val="00036321"/>
    <w:rsid w:val="00036405"/>
    <w:rsid w:val="0003693D"/>
    <w:rsid w:val="00041C7B"/>
    <w:rsid w:val="0004440F"/>
    <w:rsid w:val="00045A0E"/>
    <w:rsid w:val="00051DC5"/>
    <w:rsid w:val="00052C8A"/>
    <w:rsid w:val="00054613"/>
    <w:rsid w:val="000548C8"/>
    <w:rsid w:val="000559FC"/>
    <w:rsid w:val="00057940"/>
    <w:rsid w:val="000633ED"/>
    <w:rsid w:val="0006476A"/>
    <w:rsid w:val="00065F55"/>
    <w:rsid w:val="00072981"/>
    <w:rsid w:val="00073737"/>
    <w:rsid w:val="00075605"/>
    <w:rsid w:val="00075C66"/>
    <w:rsid w:val="00077484"/>
    <w:rsid w:val="00080871"/>
    <w:rsid w:val="000817D4"/>
    <w:rsid w:val="00082879"/>
    <w:rsid w:val="0008490C"/>
    <w:rsid w:val="00086676"/>
    <w:rsid w:val="00086AEC"/>
    <w:rsid w:val="00091EEA"/>
    <w:rsid w:val="00091F7C"/>
    <w:rsid w:val="00092767"/>
    <w:rsid w:val="00096B45"/>
    <w:rsid w:val="00096CC8"/>
    <w:rsid w:val="00096FE6"/>
    <w:rsid w:val="000973C5"/>
    <w:rsid w:val="000A0C9A"/>
    <w:rsid w:val="000A105C"/>
    <w:rsid w:val="000A17DD"/>
    <w:rsid w:val="000A7AE2"/>
    <w:rsid w:val="000B2940"/>
    <w:rsid w:val="000B355B"/>
    <w:rsid w:val="000B7E07"/>
    <w:rsid w:val="000C08E6"/>
    <w:rsid w:val="000C0E1C"/>
    <w:rsid w:val="000C2DDC"/>
    <w:rsid w:val="000C47A5"/>
    <w:rsid w:val="000C4B12"/>
    <w:rsid w:val="000C58E3"/>
    <w:rsid w:val="000C7446"/>
    <w:rsid w:val="000D25F0"/>
    <w:rsid w:val="000D2FD4"/>
    <w:rsid w:val="000D529A"/>
    <w:rsid w:val="000E1A20"/>
    <w:rsid w:val="000E30B7"/>
    <w:rsid w:val="000E3AE2"/>
    <w:rsid w:val="000E5D40"/>
    <w:rsid w:val="000E7806"/>
    <w:rsid w:val="000E7FEC"/>
    <w:rsid w:val="000F1B7B"/>
    <w:rsid w:val="000F2ED4"/>
    <w:rsid w:val="000F45EE"/>
    <w:rsid w:val="000F76D4"/>
    <w:rsid w:val="0010105F"/>
    <w:rsid w:val="001028E8"/>
    <w:rsid w:val="001040DA"/>
    <w:rsid w:val="00110C22"/>
    <w:rsid w:val="00111C6D"/>
    <w:rsid w:val="0011204C"/>
    <w:rsid w:val="0011210A"/>
    <w:rsid w:val="00112289"/>
    <w:rsid w:val="0011500E"/>
    <w:rsid w:val="001151A5"/>
    <w:rsid w:val="001211A6"/>
    <w:rsid w:val="001223E1"/>
    <w:rsid w:val="00122FCC"/>
    <w:rsid w:val="00123DC1"/>
    <w:rsid w:val="00124C2B"/>
    <w:rsid w:val="00126752"/>
    <w:rsid w:val="00126E53"/>
    <w:rsid w:val="00130B30"/>
    <w:rsid w:val="00134940"/>
    <w:rsid w:val="00137125"/>
    <w:rsid w:val="00140E1C"/>
    <w:rsid w:val="001449B3"/>
    <w:rsid w:val="00147AE4"/>
    <w:rsid w:val="00150EB2"/>
    <w:rsid w:val="00152B07"/>
    <w:rsid w:val="0015366F"/>
    <w:rsid w:val="00155E3E"/>
    <w:rsid w:val="001571E5"/>
    <w:rsid w:val="001650BD"/>
    <w:rsid w:val="001654F3"/>
    <w:rsid w:val="00166453"/>
    <w:rsid w:val="001716C5"/>
    <w:rsid w:val="001759BC"/>
    <w:rsid w:val="00177666"/>
    <w:rsid w:val="00180BFB"/>
    <w:rsid w:val="00182AB8"/>
    <w:rsid w:val="00183031"/>
    <w:rsid w:val="00183E87"/>
    <w:rsid w:val="00184899"/>
    <w:rsid w:val="001849CA"/>
    <w:rsid w:val="00185410"/>
    <w:rsid w:val="00185757"/>
    <w:rsid w:val="00190BD8"/>
    <w:rsid w:val="00192352"/>
    <w:rsid w:val="001940A6"/>
    <w:rsid w:val="00195A27"/>
    <w:rsid w:val="001A0DAA"/>
    <w:rsid w:val="001A0E4D"/>
    <w:rsid w:val="001A1A58"/>
    <w:rsid w:val="001A1ACA"/>
    <w:rsid w:val="001B7A48"/>
    <w:rsid w:val="001C3E09"/>
    <w:rsid w:val="001C4622"/>
    <w:rsid w:val="001C4D63"/>
    <w:rsid w:val="001C5ECE"/>
    <w:rsid w:val="001C5FF5"/>
    <w:rsid w:val="001D0DE0"/>
    <w:rsid w:val="001D42DE"/>
    <w:rsid w:val="001D5AFF"/>
    <w:rsid w:val="001D6A25"/>
    <w:rsid w:val="001D74B4"/>
    <w:rsid w:val="001E03E1"/>
    <w:rsid w:val="001E07CB"/>
    <w:rsid w:val="001E4A5D"/>
    <w:rsid w:val="001F059F"/>
    <w:rsid w:val="001F3455"/>
    <w:rsid w:val="001F5181"/>
    <w:rsid w:val="00200811"/>
    <w:rsid w:val="00200CA1"/>
    <w:rsid w:val="00202FF8"/>
    <w:rsid w:val="00204359"/>
    <w:rsid w:val="00210A0F"/>
    <w:rsid w:val="002115D0"/>
    <w:rsid w:val="00211C44"/>
    <w:rsid w:val="0021338D"/>
    <w:rsid w:val="00214D43"/>
    <w:rsid w:val="00220C62"/>
    <w:rsid w:val="00221F5D"/>
    <w:rsid w:val="00223090"/>
    <w:rsid w:val="002238B4"/>
    <w:rsid w:val="00223B24"/>
    <w:rsid w:val="002240C5"/>
    <w:rsid w:val="00224FB7"/>
    <w:rsid w:val="00225132"/>
    <w:rsid w:val="00225D79"/>
    <w:rsid w:val="00227EF9"/>
    <w:rsid w:val="00230899"/>
    <w:rsid w:val="002319AB"/>
    <w:rsid w:val="002319AC"/>
    <w:rsid w:val="00233EBE"/>
    <w:rsid w:val="00234342"/>
    <w:rsid w:val="00234B27"/>
    <w:rsid w:val="00235B5B"/>
    <w:rsid w:val="0024040D"/>
    <w:rsid w:val="00243DAF"/>
    <w:rsid w:val="002440F1"/>
    <w:rsid w:val="00244DF8"/>
    <w:rsid w:val="002458EF"/>
    <w:rsid w:val="002511A2"/>
    <w:rsid w:val="00251517"/>
    <w:rsid w:val="00251CD7"/>
    <w:rsid w:val="00252177"/>
    <w:rsid w:val="002550C7"/>
    <w:rsid w:val="00255FA3"/>
    <w:rsid w:val="00256901"/>
    <w:rsid w:val="002569C6"/>
    <w:rsid w:val="00257288"/>
    <w:rsid w:val="00261FB6"/>
    <w:rsid w:val="002629F8"/>
    <w:rsid w:val="0026302C"/>
    <w:rsid w:val="00263396"/>
    <w:rsid w:val="00263EBB"/>
    <w:rsid w:val="002659FA"/>
    <w:rsid w:val="002671BF"/>
    <w:rsid w:val="00267815"/>
    <w:rsid w:val="00271130"/>
    <w:rsid w:val="00274C54"/>
    <w:rsid w:val="00275AD2"/>
    <w:rsid w:val="00277774"/>
    <w:rsid w:val="00280DDF"/>
    <w:rsid w:val="00286B4A"/>
    <w:rsid w:val="00290142"/>
    <w:rsid w:val="002917FF"/>
    <w:rsid w:val="00292ADF"/>
    <w:rsid w:val="002946AB"/>
    <w:rsid w:val="00294EE1"/>
    <w:rsid w:val="002A0C4F"/>
    <w:rsid w:val="002A0DEC"/>
    <w:rsid w:val="002A0EC0"/>
    <w:rsid w:val="002A1DB0"/>
    <w:rsid w:val="002A6B7F"/>
    <w:rsid w:val="002B0FE5"/>
    <w:rsid w:val="002B1C53"/>
    <w:rsid w:val="002B1D07"/>
    <w:rsid w:val="002B4874"/>
    <w:rsid w:val="002C111B"/>
    <w:rsid w:val="002C487F"/>
    <w:rsid w:val="002D0062"/>
    <w:rsid w:val="002E0BE4"/>
    <w:rsid w:val="002E176F"/>
    <w:rsid w:val="002E3B58"/>
    <w:rsid w:val="002E3E8A"/>
    <w:rsid w:val="002E4BD8"/>
    <w:rsid w:val="002E6A6A"/>
    <w:rsid w:val="002F3397"/>
    <w:rsid w:val="002F3FC0"/>
    <w:rsid w:val="002F4D31"/>
    <w:rsid w:val="0030380D"/>
    <w:rsid w:val="00303908"/>
    <w:rsid w:val="003100D1"/>
    <w:rsid w:val="00312411"/>
    <w:rsid w:val="00314EC2"/>
    <w:rsid w:val="00323E71"/>
    <w:rsid w:val="003258C2"/>
    <w:rsid w:val="00325CE6"/>
    <w:rsid w:val="00325DAB"/>
    <w:rsid w:val="003267A0"/>
    <w:rsid w:val="00326F77"/>
    <w:rsid w:val="00332C12"/>
    <w:rsid w:val="003401B0"/>
    <w:rsid w:val="00346C8E"/>
    <w:rsid w:val="00347F9B"/>
    <w:rsid w:val="0035150B"/>
    <w:rsid w:val="003539DB"/>
    <w:rsid w:val="00355F3D"/>
    <w:rsid w:val="00356C70"/>
    <w:rsid w:val="00356FD0"/>
    <w:rsid w:val="003627FA"/>
    <w:rsid w:val="00362DD9"/>
    <w:rsid w:val="003666AA"/>
    <w:rsid w:val="0036711D"/>
    <w:rsid w:val="00367BD5"/>
    <w:rsid w:val="00370017"/>
    <w:rsid w:val="003702D3"/>
    <w:rsid w:val="0037056B"/>
    <w:rsid w:val="00376173"/>
    <w:rsid w:val="00383B62"/>
    <w:rsid w:val="00383D99"/>
    <w:rsid w:val="0038482A"/>
    <w:rsid w:val="003861C4"/>
    <w:rsid w:val="00390327"/>
    <w:rsid w:val="00393B78"/>
    <w:rsid w:val="00394998"/>
    <w:rsid w:val="00394B55"/>
    <w:rsid w:val="00395DF6"/>
    <w:rsid w:val="003A01E9"/>
    <w:rsid w:val="003A2160"/>
    <w:rsid w:val="003A57D8"/>
    <w:rsid w:val="003A7289"/>
    <w:rsid w:val="003B4579"/>
    <w:rsid w:val="003B78BE"/>
    <w:rsid w:val="003C0306"/>
    <w:rsid w:val="003C0CAE"/>
    <w:rsid w:val="003C114C"/>
    <w:rsid w:val="003C465D"/>
    <w:rsid w:val="003C7470"/>
    <w:rsid w:val="003D3A94"/>
    <w:rsid w:val="003D44E9"/>
    <w:rsid w:val="003D495D"/>
    <w:rsid w:val="003E098E"/>
    <w:rsid w:val="003E14E0"/>
    <w:rsid w:val="003E2F76"/>
    <w:rsid w:val="003E2FAE"/>
    <w:rsid w:val="003E3AD0"/>
    <w:rsid w:val="003E44B0"/>
    <w:rsid w:val="003E695D"/>
    <w:rsid w:val="003F3257"/>
    <w:rsid w:val="003F6041"/>
    <w:rsid w:val="003F609A"/>
    <w:rsid w:val="00401ECC"/>
    <w:rsid w:val="00402D14"/>
    <w:rsid w:val="00407CF7"/>
    <w:rsid w:val="0041349B"/>
    <w:rsid w:val="004154FA"/>
    <w:rsid w:val="00415ED6"/>
    <w:rsid w:val="00415F23"/>
    <w:rsid w:val="00416999"/>
    <w:rsid w:val="00417CAF"/>
    <w:rsid w:val="00420A11"/>
    <w:rsid w:val="00422265"/>
    <w:rsid w:val="00433768"/>
    <w:rsid w:val="00434CC6"/>
    <w:rsid w:val="004373A7"/>
    <w:rsid w:val="00437D94"/>
    <w:rsid w:val="0044030C"/>
    <w:rsid w:val="0044318A"/>
    <w:rsid w:val="00443E10"/>
    <w:rsid w:val="00445118"/>
    <w:rsid w:val="00447FE7"/>
    <w:rsid w:val="0045385A"/>
    <w:rsid w:val="0046253B"/>
    <w:rsid w:val="004648A4"/>
    <w:rsid w:val="004650BF"/>
    <w:rsid w:val="00467636"/>
    <w:rsid w:val="00470921"/>
    <w:rsid w:val="00471380"/>
    <w:rsid w:val="0047414E"/>
    <w:rsid w:val="0047696D"/>
    <w:rsid w:val="004854CA"/>
    <w:rsid w:val="00487E74"/>
    <w:rsid w:val="00492538"/>
    <w:rsid w:val="00494D5E"/>
    <w:rsid w:val="00494F0D"/>
    <w:rsid w:val="00496BFD"/>
    <w:rsid w:val="004A1488"/>
    <w:rsid w:val="004A2A64"/>
    <w:rsid w:val="004A2CA7"/>
    <w:rsid w:val="004A3DF2"/>
    <w:rsid w:val="004A5DF3"/>
    <w:rsid w:val="004B0866"/>
    <w:rsid w:val="004B170A"/>
    <w:rsid w:val="004B1C05"/>
    <w:rsid w:val="004B3131"/>
    <w:rsid w:val="004B57C6"/>
    <w:rsid w:val="004B588C"/>
    <w:rsid w:val="004C1D00"/>
    <w:rsid w:val="004C361D"/>
    <w:rsid w:val="004C36E5"/>
    <w:rsid w:val="004C4891"/>
    <w:rsid w:val="004D0B3F"/>
    <w:rsid w:val="004D2C89"/>
    <w:rsid w:val="004D3BA2"/>
    <w:rsid w:val="004D58DE"/>
    <w:rsid w:val="004D6FAE"/>
    <w:rsid w:val="004E3932"/>
    <w:rsid w:val="004E4DC0"/>
    <w:rsid w:val="004E55E0"/>
    <w:rsid w:val="004F1E79"/>
    <w:rsid w:val="004F4CFB"/>
    <w:rsid w:val="004F507F"/>
    <w:rsid w:val="004F5F33"/>
    <w:rsid w:val="004F64BB"/>
    <w:rsid w:val="0050103A"/>
    <w:rsid w:val="00502A2D"/>
    <w:rsid w:val="005056A8"/>
    <w:rsid w:val="00511B0F"/>
    <w:rsid w:val="00512D61"/>
    <w:rsid w:val="00512D78"/>
    <w:rsid w:val="00520157"/>
    <w:rsid w:val="00522E7D"/>
    <w:rsid w:val="005276E2"/>
    <w:rsid w:val="005327DF"/>
    <w:rsid w:val="00534F33"/>
    <w:rsid w:val="0053658E"/>
    <w:rsid w:val="00545FA5"/>
    <w:rsid w:val="00546845"/>
    <w:rsid w:val="0055184F"/>
    <w:rsid w:val="005521B9"/>
    <w:rsid w:val="0055388E"/>
    <w:rsid w:val="0055501F"/>
    <w:rsid w:val="00555EE4"/>
    <w:rsid w:val="005564F5"/>
    <w:rsid w:val="00557EE7"/>
    <w:rsid w:val="005659A0"/>
    <w:rsid w:val="00565C04"/>
    <w:rsid w:val="00565DF4"/>
    <w:rsid w:val="0057351D"/>
    <w:rsid w:val="005754AE"/>
    <w:rsid w:val="00576247"/>
    <w:rsid w:val="00576E1E"/>
    <w:rsid w:val="00577FB5"/>
    <w:rsid w:val="00581EEA"/>
    <w:rsid w:val="005852D1"/>
    <w:rsid w:val="00585D55"/>
    <w:rsid w:val="00587614"/>
    <w:rsid w:val="00587A22"/>
    <w:rsid w:val="00591682"/>
    <w:rsid w:val="0059299D"/>
    <w:rsid w:val="005933C3"/>
    <w:rsid w:val="00595C8C"/>
    <w:rsid w:val="00597747"/>
    <w:rsid w:val="005A1436"/>
    <w:rsid w:val="005A44AE"/>
    <w:rsid w:val="005A450B"/>
    <w:rsid w:val="005A4CDD"/>
    <w:rsid w:val="005A5A6B"/>
    <w:rsid w:val="005A788E"/>
    <w:rsid w:val="005B17A1"/>
    <w:rsid w:val="005B2088"/>
    <w:rsid w:val="005B2FEF"/>
    <w:rsid w:val="005B31C6"/>
    <w:rsid w:val="005B57E4"/>
    <w:rsid w:val="005B5ABD"/>
    <w:rsid w:val="005B6959"/>
    <w:rsid w:val="005C140A"/>
    <w:rsid w:val="005C1E52"/>
    <w:rsid w:val="005C5B8A"/>
    <w:rsid w:val="005C6763"/>
    <w:rsid w:val="005C6A0B"/>
    <w:rsid w:val="005D158C"/>
    <w:rsid w:val="005D3164"/>
    <w:rsid w:val="005D7FB7"/>
    <w:rsid w:val="005E0344"/>
    <w:rsid w:val="005E0858"/>
    <w:rsid w:val="005E440B"/>
    <w:rsid w:val="005E7724"/>
    <w:rsid w:val="005F2370"/>
    <w:rsid w:val="005F2410"/>
    <w:rsid w:val="005F2C85"/>
    <w:rsid w:val="005F4075"/>
    <w:rsid w:val="005F4563"/>
    <w:rsid w:val="0060004A"/>
    <w:rsid w:val="00603674"/>
    <w:rsid w:val="0060464B"/>
    <w:rsid w:val="00605ADB"/>
    <w:rsid w:val="00607D0B"/>
    <w:rsid w:val="00611C9F"/>
    <w:rsid w:val="00614DEA"/>
    <w:rsid w:val="0061586D"/>
    <w:rsid w:val="006248DE"/>
    <w:rsid w:val="006266BB"/>
    <w:rsid w:val="00627555"/>
    <w:rsid w:val="006322A0"/>
    <w:rsid w:val="00632529"/>
    <w:rsid w:val="00633519"/>
    <w:rsid w:val="00634FE5"/>
    <w:rsid w:val="006361FD"/>
    <w:rsid w:val="006410D8"/>
    <w:rsid w:val="00641242"/>
    <w:rsid w:val="0064226F"/>
    <w:rsid w:val="00642DDB"/>
    <w:rsid w:val="00644E2E"/>
    <w:rsid w:val="00652700"/>
    <w:rsid w:val="00653298"/>
    <w:rsid w:val="006537DF"/>
    <w:rsid w:val="006551D9"/>
    <w:rsid w:val="00655C04"/>
    <w:rsid w:val="006574F6"/>
    <w:rsid w:val="00661025"/>
    <w:rsid w:val="006639FD"/>
    <w:rsid w:val="00663A7C"/>
    <w:rsid w:val="00667DF2"/>
    <w:rsid w:val="00670DF1"/>
    <w:rsid w:val="00671345"/>
    <w:rsid w:val="00672A9B"/>
    <w:rsid w:val="00675884"/>
    <w:rsid w:val="006762AE"/>
    <w:rsid w:val="006818C2"/>
    <w:rsid w:val="00682D62"/>
    <w:rsid w:val="00683479"/>
    <w:rsid w:val="00685F65"/>
    <w:rsid w:val="00686137"/>
    <w:rsid w:val="006862E0"/>
    <w:rsid w:val="006913E8"/>
    <w:rsid w:val="006957AF"/>
    <w:rsid w:val="00695A52"/>
    <w:rsid w:val="00696EE0"/>
    <w:rsid w:val="00697980"/>
    <w:rsid w:val="006A0A0A"/>
    <w:rsid w:val="006A19EF"/>
    <w:rsid w:val="006A2D64"/>
    <w:rsid w:val="006A43D5"/>
    <w:rsid w:val="006A4DEB"/>
    <w:rsid w:val="006A525B"/>
    <w:rsid w:val="006A6A0F"/>
    <w:rsid w:val="006B07C8"/>
    <w:rsid w:val="006B6AA7"/>
    <w:rsid w:val="006C045F"/>
    <w:rsid w:val="006C16DA"/>
    <w:rsid w:val="006C4196"/>
    <w:rsid w:val="006C5411"/>
    <w:rsid w:val="006C63B0"/>
    <w:rsid w:val="006C76A2"/>
    <w:rsid w:val="006C792E"/>
    <w:rsid w:val="006D065A"/>
    <w:rsid w:val="006D068C"/>
    <w:rsid w:val="006D0826"/>
    <w:rsid w:val="006D116C"/>
    <w:rsid w:val="006D410E"/>
    <w:rsid w:val="006D4623"/>
    <w:rsid w:val="006E051C"/>
    <w:rsid w:val="006E2B65"/>
    <w:rsid w:val="006E3FAB"/>
    <w:rsid w:val="006E4EA0"/>
    <w:rsid w:val="006E607D"/>
    <w:rsid w:val="006E7C42"/>
    <w:rsid w:val="006F00C2"/>
    <w:rsid w:val="006F0205"/>
    <w:rsid w:val="006F168A"/>
    <w:rsid w:val="006F432C"/>
    <w:rsid w:val="006F5076"/>
    <w:rsid w:val="006F5296"/>
    <w:rsid w:val="006F5BE3"/>
    <w:rsid w:val="006F5D4B"/>
    <w:rsid w:val="006F6009"/>
    <w:rsid w:val="006F6B76"/>
    <w:rsid w:val="00700872"/>
    <w:rsid w:val="0070321D"/>
    <w:rsid w:val="007068BA"/>
    <w:rsid w:val="00707C8A"/>
    <w:rsid w:val="00711DC5"/>
    <w:rsid w:val="00716AB1"/>
    <w:rsid w:val="007218E4"/>
    <w:rsid w:val="00721D63"/>
    <w:rsid w:val="007227C6"/>
    <w:rsid w:val="00722BE9"/>
    <w:rsid w:val="007316AC"/>
    <w:rsid w:val="00732C7B"/>
    <w:rsid w:val="00734D2B"/>
    <w:rsid w:val="00735B80"/>
    <w:rsid w:val="00737705"/>
    <w:rsid w:val="007408D4"/>
    <w:rsid w:val="007420AC"/>
    <w:rsid w:val="0074215B"/>
    <w:rsid w:val="00742617"/>
    <w:rsid w:val="00743865"/>
    <w:rsid w:val="0074434C"/>
    <w:rsid w:val="00745018"/>
    <w:rsid w:val="0074574E"/>
    <w:rsid w:val="00751F6E"/>
    <w:rsid w:val="00754676"/>
    <w:rsid w:val="00754AAC"/>
    <w:rsid w:val="0075644B"/>
    <w:rsid w:val="007570A6"/>
    <w:rsid w:val="00761183"/>
    <w:rsid w:val="0076329C"/>
    <w:rsid w:val="007677A3"/>
    <w:rsid w:val="007704B7"/>
    <w:rsid w:val="007747FA"/>
    <w:rsid w:val="00780B0D"/>
    <w:rsid w:val="00781E34"/>
    <w:rsid w:val="00783AFA"/>
    <w:rsid w:val="00785427"/>
    <w:rsid w:val="007867E1"/>
    <w:rsid w:val="00790540"/>
    <w:rsid w:val="007906ED"/>
    <w:rsid w:val="007907CB"/>
    <w:rsid w:val="0079458B"/>
    <w:rsid w:val="00794BAF"/>
    <w:rsid w:val="007968CA"/>
    <w:rsid w:val="0079716E"/>
    <w:rsid w:val="007979D3"/>
    <w:rsid w:val="007A082C"/>
    <w:rsid w:val="007A0F4D"/>
    <w:rsid w:val="007A43FF"/>
    <w:rsid w:val="007A7539"/>
    <w:rsid w:val="007B02A1"/>
    <w:rsid w:val="007B0C96"/>
    <w:rsid w:val="007B0DF5"/>
    <w:rsid w:val="007B3918"/>
    <w:rsid w:val="007B4C81"/>
    <w:rsid w:val="007C0B41"/>
    <w:rsid w:val="007C106C"/>
    <w:rsid w:val="007C3C1D"/>
    <w:rsid w:val="007C539F"/>
    <w:rsid w:val="007C67F8"/>
    <w:rsid w:val="007D199A"/>
    <w:rsid w:val="007D1CF0"/>
    <w:rsid w:val="007D2EBE"/>
    <w:rsid w:val="007D3D8D"/>
    <w:rsid w:val="007D46E5"/>
    <w:rsid w:val="007E10F5"/>
    <w:rsid w:val="007E1C07"/>
    <w:rsid w:val="007E21C1"/>
    <w:rsid w:val="007E3FBC"/>
    <w:rsid w:val="007F220D"/>
    <w:rsid w:val="007F24B6"/>
    <w:rsid w:val="007F74AD"/>
    <w:rsid w:val="00800086"/>
    <w:rsid w:val="00800BD7"/>
    <w:rsid w:val="00803D94"/>
    <w:rsid w:val="008118D4"/>
    <w:rsid w:val="00812360"/>
    <w:rsid w:val="0081536E"/>
    <w:rsid w:val="008164BB"/>
    <w:rsid w:val="00821E10"/>
    <w:rsid w:val="008229BA"/>
    <w:rsid w:val="00824151"/>
    <w:rsid w:val="00825275"/>
    <w:rsid w:val="00833A2E"/>
    <w:rsid w:val="00833BC9"/>
    <w:rsid w:val="008366E3"/>
    <w:rsid w:val="00840398"/>
    <w:rsid w:val="00845023"/>
    <w:rsid w:val="00845390"/>
    <w:rsid w:val="0084601B"/>
    <w:rsid w:val="00847E4A"/>
    <w:rsid w:val="00850F86"/>
    <w:rsid w:val="0085176F"/>
    <w:rsid w:val="00854455"/>
    <w:rsid w:val="008601CF"/>
    <w:rsid w:val="008606F0"/>
    <w:rsid w:val="00863A2A"/>
    <w:rsid w:val="00865489"/>
    <w:rsid w:val="0086553D"/>
    <w:rsid w:val="008704ED"/>
    <w:rsid w:val="00870590"/>
    <w:rsid w:val="00871A4D"/>
    <w:rsid w:val="00871E91"/>
    <w:rsid w:val="00874FEB"/>
    <w:rsid w:val="0087533C"/>
    <w:rsid w:val="00881B6F"/>
    <w:rsid w:val="00882851"/>
    <w:rsid w:val="00882AA4"/>
    <w:rsid w:val="00883E22"/>
    <w:rsid w:val="0088474E"/>
    <w:rsid w:val="00884E43"/>
    <w:rsid w:val="00885097"/>
    <w:rsid w:val="0088624A"/>
    <w:rsid w:val="00887EC6"/>
    <w:rsid w:val="0089084C"/>
    <w:rsid w:val="00893409"/>
    <w:rsid w:val="00893D9F"/>
    <w:rsid w:val="00895AD2"/>
    <w:rsid w:val="008967AC"/>
    <w:rsid w:val="008A2379"/>
    <w:rsid w:val="008A4329"/>
    <w:rsid w:val="008A448F"/>
    <w:rsid w:val="008A48B3"/>
    <w:rsid w:val="008A578E"/>
    <w:rsid w:val="008A6F07"/>
    <w:rsid w:val="008B0215"/>
    <w:rsid w:val="008B04DB"/>
    <w:rsid w:val="008B0B6D"/>
    <w:rsid w:val="008B0D47"/>
    <w:rsid w:val="008B0D4C"/>
    <w:rsid w:val="008B1519"/>
    <w:rsid w:val="008B66F0"/>
    <w:rsid w:val="008B7AAE"/>
    <w:rsid w:val="008B7BCC"/>
    <w:rsid w:val="008C1652"/>
    <w:rsid w:val="008C50C3"/>
    <w:rsid w:val="008C7094"/>
    <w:rsid w:val="008D131C"/>
    <w:rsid w:val="008D2369"/>
    <w:rsid w:val="008D26E0"/>
    <w:rsid w:val="008D2AAB"/>
    <w:rsid w:val="008D2B97"/>
    <w:rsid w:val="008D49A5"/>
    <w:rsid w:val="008D691C"/>
    <w:rsid w:val="008D6C81"/>
    <w:rsid w:val="008D6FA1"/>
    <w:rsid w:val="008E158A"/>
    <w:rsid w:val="008E3EC9"/>
    <w:rsid w:val="008E4B49"/>
    <w:rsid w:val="008E5A0E"/>
    <w:rsid w:val="008E5EF1"/>
    <w:rsid w:val="008E6CF0"/>
    <w:rsid w:val="008F1439"/>
    <w:rsid w:val="008F7051"/>
    <w:rsid w:val="008F7DB6"/>
    <w:rsid w:val="00901E68"/>
    <w:rsid w:val="00902458"/>
    <w:rsid w:val="009033A9"/>
    <w:rsid w:val="00904730"/>
    <w:rsid w:val="009049B5"/>
    <w:rsid w:val="00905634"/>
    <w:rsid w:val="00905646"/>
    <w:rsid w:val="0090581D"/>
    <w:rsid w:val="00907898"/>
    <w:rsid w:val="00907C88"/>
    <w:rsid w:val="00913B71"/>
    <w:rsid w:val="0091439C"/>
    <w:rsid w:val="00915929"/>
    <w:rsid w:val="00917049"/>
    <w:rsid w:val="00920572"/>
    <w:rsid w:val="00920BF2"/>
    <w:rsid w:val="00921F47"/>
    <w:rsid w:val="0092205B"/>
    <w:rsid w:val="00924A02"/>
    <w:rsid w:val="00930335"/>
    <w:rsid w:val="0093140B"/>
    <w:rsid w:val="00933304"/>
    <w:rsid w:val="009349A9"/>
    <w:rsid w:val="00936C52"/>
    <w:rsid w:val="00937C81"/>
    <w:rsid w:val="00942464"/>
    <w:rsid w:val="00943820"/>
    <w:rsid w:val="00943EA4"/>
    <w:rsid w:val="0094422D"/>
    <w:rsid w:val="00947A29"/>
    <w:rsid w:val="009530B7"/>
    <w:rsid w:val="00953342"/>
    <w:rsid w:val="0095489B"/>
    <w:rsid w:val="0096507C"/>
    <w:rsid w:val="00966FB9"/>
    <w:rsid w:val="009671CD"/>
    <w:rsid w:val="00967E79"/>
    <w:rsid w:val="009727DF"/>
    <w:rsid w:val="00973DA3"/>
    <w:rsid w:val="0097462D"/>
    <w:rsid w:val="009751A9"/>
    <w:rsid w:val="00977CDB"/>
    <w:rsid w:val="00980F9C"/>
    <w:rsid w:val="009817E4"/>
    <w:rsid w:val="00983EA4"/>
    <w:rsid w:val="00984A46"/>
    <w:rsid w:val="0098632B"/>
    <w:rsid w:val="009869D4"/>
    <w:rsid w:val="009928B4"/>
    <w:rsid w:val="00992DC0"/>
    <w:rsid w:val="0099395E"/>
    <w:rsid w:val="00995E08"/>
    <w:rsid w:val="0099765C"/>
    <w:rsid w:val="00997BFB"/>
    <w:rsid w:val="009A012D"/>
    <w:rsid w:val="009A0C92"/>
    <w:rsid w:val="009A1527"/>
    <w:rsid w:val="009A16FC"/>
    <w:rsid w:val="009A20C3"/>
    <w:rsid w:val="009A223F"/>
    <w:rsid w:val="009A5856"/>
    <w:rsid w:val="009A61D4"/>
    <w:rsid w:val="009A6358"/>
    <w:rsid w:val="009A7348"/>
    <w:rsid w:val="009B445E"/>
    <w:rsid w:val="009B462C"/>
    <w:rsid w:val="009B6659"/>
    <w:rsid w:val="009B688F"/>
    <w:rsid w:val="009B6CEB"/>
    <w:rsid w:val="009C15F3"/>
    <w:rsid w:val="009C3504"/>
    <w:rsid w:val="009C3689"/>
    <w:rsid w:val="009C38B5"/>
    <w:rsid w:val="009D090F"/>
    <w:rsid w:val="009D12DD"/>
    <w:rsid w:val="009D7922"/>
    <w:rsid w:val="009E07C2"/>
    <w:rsid w:val="009E0E52"/>
    <w:rsid w:val="009E13EE"/>
    <w:rsid w:val="009E2D5C"/>
    <w:rsid w:val="009E79AF"/>
    <w:rsid w:val="009F0050"/>
    <w:rsid w:val="009F0A11"/>
    <w:rsid w:val="009F0B08"/>
    <w:rsid w:val="009F4F21"/>
    <w:rsid w:val="009F5F91"/>
    <w:rsid w:val="009F6166"/>
    <w:rsid w:val="009F6663"/>
    <w:rsid w:val="009F72F9"/>
    <w:rsid w:val="009F7CE1"/>
    <w:rsid w:val="00A00205"/>
    <w:rsid w:val="00A00AF0"/>
    <w:rsid w:val="00A0492D"/>
    <w:rsid w:val="00A05DB1"/>
    <w:rsid w:val="00A069C8"/>
    <w:rsid w:val="00A07941"/>
    <w:rsid w:val="00A07D97"/>
    <w:rsid w:val="00A12C2D"/>
    <w:rsid w:val="00A1332F"/>
    <w:rsid w:val="00A14B5A"/>
    <w:rsid w:val="00A150A4"/>
    <w:rsid w:val="00A23515"/>
    <w:rsid w:val="00A254A6"/>
    <w:rsid w:val="00A3109A"/>
    <w:rsid w:val="00A3120E"/>
    <w:rsid w:val="00A3567F"/>
    <w:rsid w:val="00A37698"/>
    <w:rsid w:val="00A41ED3"/>
    <w:rsid w:val="00A42233"/>
    <w:rsid w:val="00A437FE"/>
    <w:rsid w:val="00A44C36"/>
    <w:rsid w:val="00A46970"/>
    <w:rsid w:val="00A46A62"/>
    <w:rsid w:val="00A47AB9"/>
    <w:rsid w:val="00A50519"/>
    <w:rsid w:val="00A51789"/>
    <w:rsid w:val="00A5253C"/>
    <w:rsid w:val="00A5278D"/>
    <w:rsid w:val="00A6167A"/>
    <w:rsid w:val="00A62811"/>
    <w:rsid w:val="00A66D1D"/>
    <w:rsid w:val="00A66E06"/>
    <w:rsid w:val="00A71D5D"/>
    <w:rsid w:val="00A72784"/>
    <w:rsid w:val="00A81D82"/>
    <w:rsid w:val="00A82083"/>
    <w:rsid w:val="00A8601B"/>
    <w:rsid w:val="00A86C2A"/>
    <w:rsid w:val="00A90488"/>
    <w:rsid w:val="00A9118F"/>
    <w:rsid w:val="00A93E33"/>
    <w:rsid w:val="00A9453C"/>
    <w:rsid w:val="00A9641A"/>
    <w:rsid w:val="00AA1033"/>
    <w:rsid w:val="00AA2E08"/>
    <w:rsid w:val="00AA3872"/>
    <w:rsid w:val="00AB0FFC"/>
    <w:rsid w:val="00AB1C7A"/>
    <w:rsid w:val="00AB2AF6"/>
    <w:rsid w:val="00AB34C6"/>
    <w:rsid w:val="00AB5AAC"/>
    <w:rsid w:val="00AB6970"/>
    <w:rsid w:val="00AC04A9"/>
    <w:rsid w:val="00AC1939"/>
    <w:rsid w:val="00AC53CA"/>
    <w:rsid w:val="00AC680A"/>
    <w:rsid w:val="00AC7B58"/>
    <w:rsid w:val="00AC7C05"/>
    <w:rsid w:val="00AD0786"/>
    <w:rsid w:val="00AD0E22"/>
    <w:rsid w:val="00AD0E46"/>
    <w:rsid w:val="00AD167C"/>
    <w:rsid w:val="00AD17C7"/>
    <w:rsid w:val="00AD2529"/>
    <w:rsid w:val="00AD4041"/>
    <w:rsid w:val="00AD69E0"/>
    <w:rsid w:val="00AD6F64"/>
    <w:rsid w:val="00AE302B"/>
    <w:rsid w:val="00AE33BA"/>
    <w:rsid w:val="00AF0A8B"/>
    <w:rsid w:val="00AF1EA8"/>
    <w:rsid w:val="00AF48DD"/>
    <w:rsid w:val="00AF5F4E"/>
    <w:rsid w:val="00AF6A84"/>
    <w:rsid w:val="00B0089F"/>
    <w:rsid w:val="00B0236A"/>
    <w:rsid w:val="00B03548"/>
    <w:rsid w:val="00B075F4"/>
    <w:rsid w:val="00B1410C"/>
    <w:rsid w:val="00B14378"/>
    <w:rsid w:val="00B1499E"/>
    <w:rsid w:val="00B16198"/>
    <w:rsid w:val="00B164DB"/>
    <w:rsid w:val="00B16BE5"/>
    <w:rsid w:val="00B22DCC"/>
    <w:rsid w:val="00B23133"/>
    <w:rsid w:val="00B23603"/>
    <w:rsid w:val="00B2510E"/>
    <w:rsid w:val="00B259DF"/>
    <w:rsid w:val="00B2727D"/>
    <w:rsid w:val="00B317AE"/>
    <w:rsid w:val="00B33C22"/>
    <w:rsid w:val="00B35C0B"/>
    <w:rsid w:val="00B406A2"/>
    <w:rsid w:val="00B40869"/>
    <w:rsid w:val="00B41048"/>
    <w:rsid w:val="00B41E80"/>
    <w:rsid w:val="00B42567"/>
    <w:rsid w:val="00B44B1F"/>
    <w:rsid w:val="00B524D5"/>
    <w:rsid w:val="00B5522B"/>
    <w:rsid w:val="00B57B70"/>
    <w:rsid w:val="00B604EA"/>
    <w:rsid w:val="00B61CE3"/>
    <w:rsid w:val="00B63497"/>
    <w:rsid w:val="00B64141"/>
    <w:rsid w:val="00B64E72"/>
    <w:rsid w:val="00B66EBC"/>
    <w:rsid w:val="00B752EE"/>
    <w:rsid w:val="00B77913"/>
    <w:rsid w:val="00B81121"/>
    <w:rsid w:val="00B824FB"/>
    <w:rsid w:val="00B825B5"/>
    <w:rsid w:val="00B82646"/>
    <w:rsid w:val="00B83691"/>
    <w:rsid w:val="00B8637B"/>
    <w:rsid w:val="00B9135E"/>
    <w:rsid w:val="00B93C36"/>
    <w:rsid w:val="00B93CD1"/>
    <w:rsid w:val="00B94AEB"/>
    <w:rsid w:val="00B95747"/>
    <w:rsid w:val="00B97359"/>
    <w:rsid w:val="00B97A8F"/>
    <w:rsid w:val="00B97B57"/>
    <w:rsid w:val="00BA030C"/>
    <w:rsid w:val="00BA452B"/>
    <w:rsid w:val="00BA4E58"/>
    <w:rsid w:val="00BA6893"/>
    <w:rsid w:val="00BA7074"/>
    <w:rsid w:val="00BB3C56"/>
    <w:rsid w:val="00BB41AF"/>
    <w:rsid w:val="00BB643B"/>
    <w:rsid w:val="00BB7751"/>
    <w:rsid w:val="00BB7829"/>
    <w:rsid w:val="00BC2BC3"/>
    <w:rsid w:val="00BC2F5C"/>
    <w:rsid w:val="00BD1457"/>
    <w:rsid w:val="00BD4B1C"/>
    <w:rsid w:val="00BD71FF"/>
    <w:rsid w:val="00BE2AD9"/>
    <w:rsid w:val="00BE30C9"/>
    <w:rsid w:val="00BE4B4D"/>
    <w:rsid w:val="00BE52EF"/>
    <w:rsid w:val="00BF27FE"/>
    <w:rsid w:val="00BF6FF5"/>
    <w:rsid w:val="00C009BC"/>
    <w:rsid w:val="00C00F08"/>
    <w:rsid w:val="00C03551"/>
    <w:rsid w:val="00C03853"/>
    <w:rsid w:val="00C043B3"/>
    <w:rsid w:val="00C04C95"/>
    <w:rsid w:val="00C0668B"/>
    <w:rsid w:val="00C079AB"/>
    <w:rsid w:val="00C1064B"/>
    <w:rsid w:val="00C10E61"/>
    <w:rsid w:val="00C11441"/>
    <w:rsid w:val="00C11E1B"/>
    <w:rsid w:val="00C12FD6"/>
    <w:rsid w:val="00C142DB"/>
    <w:rsid w:val="00C14787"/>
    <w:rsid w:val="00C1596D"/>
    <w:rsid w:val="00C15B8D"/>
    <w:rsid w:val="00C17010"/>
    <w:rsid w:val="00C203DE"/>
    <w:rsid w:val="00C20562"/>
    <w:rsid w:val="00C207CA"/>
    <w:rsid w:val="00C20A83"/>
    <w:rsid w:val="00C215C3"/>
    <w:rsid w:val="00C23104"/>
    <w:rsid w:val="00C23A96"/>
    <w:rsid w:val="00C24064"/>
    <w:rsid w:val="00C249C6"/>
    <w:rsid w:val="00C32509"/>
    <w:rsid w:val="00C32CC1"/>
    <w:rsid w:val="00C33DBB"/>
    <w:rsid w:val="00C35DAA"/>
    <w:rsid w:val="00C36ACA"/>
    <w:rsid w:val="00C426EC"/>
    <w:rsid w:val="00C50101"/>
    <w:rsid w:val="00C50C36"/>
    <w:rsid w:val="00C519E2"/>
    <w:rsid w:val="00C5483B"/>
    <w:rsid w:val="00C55869"/>
    <w:rsid w:val="00C55D67"/>
    <w:rsid w:val="00C55F07"/>
    <w:rsid w:val="00C620CA"/>
    <w:rsid w:val="00C62388"/>
    <w:rsid w:val="00C647EE"/>
    <w:rsid w:val="00C6483C"/>
    <w:rsid w:val="00C64AE9"/>
    <w:rsid w:val="00C70CFF"/>
    <w:rsid w:val="00C718FE"/>
    <w:rsid w:val="00C729FF"/>
    <w:rsid w:val="00C75D30"/>
    <w:rsid w:val="00C76EDD"/>
    <w:rsid w:val="00C802A1"/>
    <w:rsid w:val="00C84EE5"/>
    <w:rsid w:val="00C86CEC"/>
    <w:rsid w:val="00C87355"/>
    <w:rsid w:val="00C8773D"/>
    <w:rsid w:val="00C87ABB"/>
    <w:rsid w:val="00C91831"/>
    <w:rsid w:val="00C94BB8"/>
    <w:rsid w:val="00C953DF"/>
    <w:rsid w:val="00C95DA0"/>
    <w:rsid w:val="00C97E20"/>
    <w:rsid w:val="00CA1F28"/>
    <w:rsid w:val="00CA4C25"/>
    <w:rsid w:val="00CA5E79"/>
    <w:rsid w:val="00CB1FA5"/>
    <w:rsid w:val="00CB5162"/>
    <w:rsid w:val="00CB5EE3"/>
    <w:rsid w:val="00CC0399"/>
    <w:rsid w:val="00CC236F"/>
    <w:rsid w:val="00CC38B2"/>
    <w:rsid w:val="00CC47B0"/>
    <w:rsid w:val="00CC64C7"/>
    <w:rsid w:val="00CC780A"/>
    <w:rsid w:val="00CD369A"/>
    <w:rsid w:val="00CD5401"/>
    <w:rsid w:val="00CD5E71"/>
    <w:rsid w:val="00CD679A"/>
    <w:rsid w:val="00CE2709"/>
    <w:rsid w:val="00CE2D64"/>
    <w:rsid w:val="00CE33DE"/>
    <w:rsid w:val="00CE37AA"/>
    <w:rsid w:val="00CE6198"/>
    <w:rsid w:val="00CE711E"/>
    <w:rsid w:val="00CE7BED"/>
    <w:rsid w:val="00CE7F5A"/>
    <w:rsid w:val="00CF4608"/>
    <w:rsid w:val="00CF61F1"/>
    <w:rsid w:val="00CF6230"/>
    <w:rsid w:val="00CF6C53"/>
    <w:rsid w:val="00D017FC"/>
    <w:rsid w:val="00D0226A"/>
    <w:rsid w:val="00D03DA7"/>
    <w:rsid w:val="00D04433"/>
    <w:rsid w:val="00D049E4"/>
    <w:rsid w:val="00D07647"/>
    <w:rsid w:val="00D12B39"/>
    <w:rsid w:val="00D13147"/>
    <w:rsid w:val="00D14149"/>
    <w:rsid w:val="00D14A6F"/>
    <w:rsid w:val="00D15A8E"/>
    <w:rsid w:val="00D219E4"/>
    <w:rsid w:val="00D31B35"/>
    <w:rsid w:val="00D34E5C"/>
    <w:rsid w:val="00D364C8"/>
    <w:rsid w:val="00D3768E"/>
    <w:rsid w:val="00D40D1A"/>
    <w:rsid w:val="00D41EC2"/>
    <w:rsid w:val="00D42421"/>
    <w:rsid w:val="00D44239"/>
    <w:rsid w:val="00D463FF"/>
    <w:rsid w:val="00D47D3C"/>
    <w:rsid w:val="00D504EA"/>
    <w:rsid w:val="00D53083"/>
    <w:rsid w:val="00D5715A"/>
    <w:rsid w:val="00D65A35"/>
    <w:rsid w:val="00D71687"/>
    <w:rsid w:val="00D725BA"/>
    <w:rsid w:val="00D74813"/>
    <w:rsid w:val="00D80646"/>
    <w:rsid w:val="00D81DC4"/>
    <w:rsid w:val="00D83F0F"/>
    <w:rsid w:val="00D8412E"/>
    <w:rsid w:val="00D86634"/>
    <w:rsid w:val="00D93300"/>
    <w:rsid w:val="00D93848"/>
    <w:rsid w:val="00D93E8A"/>
    <w:rsid w:val="00D940F9"/>
    <w:rsid w:val="00D94467"/>
    <w:rsid w:val="00D9492B"/>
    <w:rsid w:val="00D9765B"/>
    <w:rsid w:val="00DA087E"/>
    <w:rsid w:val="00DA30BC"/>
    <w:rsid w:val="00DA3151"/>
    <w:rsid w:val="00DA3C9B"/>
    <w:rsid w:val="00DA552B"/>
    <w:rsid w:val="00DA59A6"/>
    <w:rsid w:val="00DA69C2"/>
    <w:rsid w:val="00DA6D70"/>
    <w:rsid w:val="00DA7507"/>
    <w:rsid w:val="00DB6050"/>
    <w:rsid w:val="00DB64A2"/>
    <w:rsid w:val="00DC12D6"/>
    <w:rsid w:val="00DC2C34"/>
    <w:rsid w:val="00DC3BC9"/>
    <w:rsid w:val="00DC4355"/>
    <w:rsid w:val="00DD02CD"/>
    <w:rsid w:val="00DD1B0F"/>
    <w:rsid w:val="00DD202B"/>
    <w:rsid w:val="00DD2A0E"/>
    <w:rsid w:val="00DD3B56"/>
    <w:rsid w:val="00DD3C6E"/>
    <w:rsid w:val="00DD5ED4"/>
    <w:rsid w:val="00DD695D"/>
    <w:rsid w:val="00DD79A3"/>
    <w:rsid w:val="00DD7FC7"/>
    <w:rsid w:val="00DE0E66"/>
    <w:rsid w:val="00DE2C87"/>
    <w:rsid w:val="00DE459A"/>
    <w:rsid w:val="00DE5429"/>
    <w:rsid w:val="00DE7067"/>
    <w:rsid w:val="00DF27DA"/>
    <w:rsid w:val="00DF3B8B"/>
    <w:rsid w:val="00DF4DBE"/>
    <w:rsid w:val="00DF6E8A"/>
    <w:rsid w:val="00E0001D"/>
    <w:rsid w:val="00E01641"/>
    <w:rsid w:val="00E04D34"/>
    <w:rsid w:val="00E0508F"/>
    <w:rsid w:val="00E057E0"/>
    <w:rsid w:val="00E40820"/>
    <w:rsid w:val="00E408E6"/>
    <w:rsid w:val="00E40BEB"/>
    <w:rsid w:val="00E4658F"/>
    <w:rsid w:val="00E54A67"/>
    <w:rsid w:val="00E61C0D"/>
    <w:rsid w:val="00E63EB4"/>
    <w:rsid w:val="00E65DBF"/>
    <w:rsid w:val="00E66160"/>
    <w:rsid w:val="00E67663"/>
    <w:rsid w:val="00E71042"/>
    <w:rsid w:val="00E71329"/>
    <w:rsid w:val="00E71FFD"/>
    <w:rsid w:val="00E75CF3"/>
    <w:rsid w:val="00E76EBA"/>
    <w:rsid w:val="00E821D6"/>
    <w:rsid w:val="00E8363B"/>
    <w:rsid w:val="00E83F14"/>
    <w:rsid w:val="00E84966"/>
    <w:rsid w:val="00E86B50"/>
    <w:rsid w:val="00E90331"/>
    <w:rsid w:val="00E91826"/>
    <w:rsid w:val="00E92383"/>
    <w:rsid w:val="00E97A07"/>
    <w:rsid w:val="00EA1B3A"/>
    <w:rsid w:val="00EA2109"/>
    <w:rsid w:val="00EA433B"/>
    <w:rsid w:val="00EA4AD4"/>
    <w:rsid w:val="00EB678C"/>
    <w:rsid w:val="00EC238B"/>
    <w:rsid w:val="00EC2D4A"/>
    <w:rsid w:val="00EC3D9D"/>
    <w:rsid w:val="00EC57AA"/>
    <w:rsid w:val="00EC5F29"/>
    <w:rsid w:val="00EC675F"/>
    <w:rsid w:val="00EC7CA1"/>
    <w:rsid w:val="00EC7DA3"/>
    <w:rsid w:val="00ED4D4E"/>
    <w:rsid w:val="00ED59A3"/>
    <w:rsid w:val="00ED783D"/>
    <w:rsid w:val="00ED7C20"/>
    <w:rsid w:val="00EE0068"/>
    <w:rsid w:val="00EE0C77"/>
    <w:rsid w:val="00EE0EC3"/>
    <w:rsid w:val="00EE1807"/>
    <w:rsid w:val="00EE4653"/>
    <w:rsid w:val="00EE4DA1"/>
    <w:rsid w:val="00EE4E54"/>
    <w:rsid w:val="00EE56D7"/>
    <w:rsid w:val="00EE6408"/>
    <w:rsid w:val="00EE7F64"/>
    <w:rsid w:val="00EF3D07"/>
    <w:rsid w:val="00EF4334"/>
    <w:rsid w:val="00F01E11"/>
    <w:rsid w:val="00F05BFC"/>
    <w:rsid w:val="00F074AA"/>
    <w:rsid w:val="00F123E3"/>
    <w:rsid w:val="00F132D3"/>
    <w:rsid w:val="00F14BC5"/>
    <w:rsid w:val="00F234D1"/>
    <w:rsid w:val="00F23F4D"/>
    <w:rsid w:val="00F2525D"/>
    <w:rsid w:val="00F30A71"/>
    <w:rsid w:val="00F322AF"/>
    <w:rsid w:val="00F4133F"/>
    <w:rsid w:val="00F41672"/>
    <w:rsid w:val="00F4220A"/>
    <w:rsid w:val="00F436BB"/>
    <w:rsid w:val="00F43878"/>
    <w:rsid w:val="00F46401"/>
    <w:rsid w:val="00F47145"/>
    <w:rsid w:val="00F4786B"/>
    <w:rsid w:val="00F5208B"/>
    <w:rsid w:val="00F53AFF"/>
    <w:rsid w:val="00F54121"/>
    <w:rsid w:val="00F545BF"/>
    <w:rsid w:val="00F55C4C"/>
    <w:rsid w:val="00F62826"/>
    <w:rsid w:val="00F6556F"/>
    <w:rsid w:val="00F67C73"/>
    <w:rsid w:val="00F700BF"/>
    <w:rsid w:val="00F709D9"/>
    <w:rsid w:val="00F71B56"/>
    <w:rsid w:val="00F735FC"/>
    <w:rsid w:val="00F73D02"/>
    <w:rsid w:val="00F75402"/>
    <w:rsid w:val="00F76904"/>
    <w:rsid w:val="00F82294"/>
    <w:rsid w:val="00F83146"/>
    <w:rsid w:val="00F832C8"/>
    <w:rsid w:val="00F873B3"/>
    <w:rsid w:val="00F91C67"/>
    <w:rsid w:val="00F9210A"/>
    <w:rsid w:val="00F93C72"/>
    <w:rsid w:val="00F95A4E"/>
    <w:rsid w:val="00FA0737"/>
    <w:rsid w:val="00FA0CF7"/>
    <w:rsid w:val="00FA328C"/>
    <w:rsid w:val="00FA32AF"/>
    <w:rsid w:val="00FA33FE"/>
    <w:rsid w:val="00FA42B9"/>
    <w:rsid w:val="00FA755A"/>
    <w:rsid w:val="00FB1A18"/>
    <w:rsid w:val="00FB2B0F"/>
    <w:rsid w:val="00FB378C"/>
    <w:rsid w:val="00FB4F6B"/>
    <w:rsid w:val="00FB5E29"/>
    <w:rsid w:val="00FB5FE1"/>
    <w:rsid w:val="00FC07A5"/>
    <w:rsid w:val="00FC0E8D"/>
    <w:rsid w:val="00FC27E8"/>
    <w:rsid w:val="00FC37B2"/>
    <w:rsid w:val="00FC46CE"/>
    <w:rsid w:val="00FC46EF"/>
    <w:rsid w:val="00FC546C"/>
    <w:rsid w:val="00FD2553"/>
    <w:rsid w:val="00FD31B3"/>
    <w:rsid w:val="00FD3B51"/>
    <w:rsid w:val="00FD4204"/>
    <w:rsid w:val="00FD5ABE"/>
    <w:rsid w:val="00FE0D6B"/>
    <w:rsid w:val="00FE1EB8"/>
    <w:rsid w:val="00FE398F"/>
    <w:rsid w:val="00FE3E4B"/>
    <w:rsid w:val="00FF06ED"/>
    <w:rsid w:val="00FF1C2E"/>
    <w:rsid w:val="00FF3ACA"/>
    <w:rsid w:val="00FF3CCB"/>
    <w:rsid w:val="00FF57B5"/>
    <w:rsid w:val="00FF6B75"/>
    <w:rsid w:val="00FF6F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759BC"/>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ED59A3"/>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ED59A3"/>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ED59A3"/>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759BC"/>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850F86"/>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E86B50"/>
    <w:pPr>
      <w:spacing w:before="120" w:line="240" w:lineRule="auto"/>
      <w:jc w:val="center"/>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customStyle="1" w:styleId="Heading7Char">
    <w:name w:val="Heading 7 Char"/>
    <w:basedOn w:val="DefaultParagraphFont"/>
    <w:link w:val="Heading7"/>
    <w:rsid w:val="00ED59A3"/>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ED59A3"/>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ED59A3"/>
    <w:rPr>
      <w:rFonts w:ascii="Arial" w:eastAsia="Times New Roman" w:hAnsi="Arial"/>
      <w:sz w:val="22"/>
      <w:szCs w:val="22"/>
      <w:lang w:eastAsia="en-US"/>
    </w:rPr>
  </w:style>
  <w:style w:type="paragraph" w:customStyle="1" w:styleId="TSHeadingNumbered1">
    <w:name w:val="TS Heading Numbered 1"/>
    <w:basedOn w:val="Normal"/>
    <w:rsid w:val="00ED59A3"/>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ED59A3"/>
  </w:style>
  <w:style w:type="paragraph" w:customStyle="1" w:styleId="TSHeadingNumbered111">
    <w:name w:val="TS Heading Numbered 1.1.1"/>
    <w:basedOn w:val="TSHeadingNumbered1"/>
    <w:rsid w:val="00ED59A3"/>
  </w:style>
  <w:style w:type="paragraph" w:customStyle="1" w:styleId="TSHeadingNumbered1111">
    <w:name w:val="TS Heading Numbered 1.1.1.1"/>
    <w:basedOn w:val="TSHeadingNumbered1"/>
    <w:rsid w:val="00ED59A3"/>
  </w:style>
  <w:style w:type="paragraph" w:customStyle="1" w:styleId="TSNumberedParagraph11">
    <w:name w:val="TS Numbered Paragraph 1.1"/>
    <w:basedOn w:val="TSHeadingNumbered11"/>
    <w:rsid w:val="00ED59A3"/>
    <w:pPr>
      <w:numPr>
        <w:ilvl w:val="1"/>
      </w:numPr>
      <w:tabs>
        <w:tab w:val="num" w:pos="-31680"/>
      </w:tabs>
      <w:ind w:left="720" w:hanging="720"/>
    </w:pPr>
    <w:rPr>
      <w:rFonts w:ascii="Arial" w:hAnsi="Arial"/>
      <w:b w:val="0"/>
      <w:caps w:val="0"/>
    </w:rPr>
  </w:style>
  <w:style w:type="paragraph" w:customStyle="1" w:styleId="TSBullet1Square">
    <w:name w:val="TS Bullet 1 Square"/>
    <w:basedOn w:val="Normal"/>
    <w:rsid w:val="00ED59A3"/>
    <w:pPr>
      <w:numPr>
        <w:numId w:val="24"/>
      </w:numPr>
      <w:spacing w:line="240" w:lineRule="auto"/>
      <w:contextualSpacing/>
    </w:pPr>
    <w:rPr>
      <w:rFonts w:eastAsia="Times New Roman" w:cs="Times New Roman"/>
      <w:sz w:val="22"/>
      <w:szCs w:val="24"/>
      <w:lang w:bidi="ar-SA"/>
    </w:rPr>
  </w:style>
  <w:style w:type="paragraph" w:styleId="NormalWeb">
    <w:name w:val="Normal (Web)"/>
    <w:basedOn w:val="Normal"/>
    <w:rsid w:val="00E90331"/>
    <w:pPr>
      <w:spacing w:after="120" w:line="240" w:lineRule="auto"/>
    </w:pPr>
    <w:rPr>
      <w:rFonts w:eastAsia="Times New Roman"/>
      <w:sz w:val="22"/>
      <w:lang w:bidi="ar-SA"/>
    </w:rPr>
  </w:style>
  <w:style w:type="character" w:styleId="Strong">
    <w:name w:val="Strong"/>
    <w:qFormat/>
    <w:rsid w:val="00E90331"/>
    <w:rPr>
      <w:rFonts w:ascii="Arial" w:hAnsi="Arial"/>
      <w:b/>
      <w:bCs/>
      <w:sz w:val="22"/>
    </w:rPr>
  </w:style>
  <w:style w:type="paragraph" w:styleId="CommentSubject">
    <w:name w:val="annotation subject"/>
    <w:basedOn w:val="CommentText"/>
    <w:next w:val="CommentText"/>
    <w:link w:val="CommentSubjectChar"/>
    <w:uiPriority w:val="99"/>
    <w:semiHidden/>
    <w:unhideWhenUsed/>
    <w:rsid w:val="00AB0FF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B0FFC"/>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76329C"/>
    <w:rPr>
      <w:color w:val="AA1C76" w:themeColor="followedHyperlink"/>
      <w:u w:val="single"/>
    </w:rPr>
  </w:style>
  <w:style w:type="paragraph" w:styleId="Revision">
    <w:name w:val="Revision"/>
    <w:hidden/>
    <w:uiPriority w:val="99"/>
    <w:semiHidden/>
    <w:rsid w:val="005A788E"/>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4838">
      <w:bodyDiv w:val="1"/>
      <w:marLeft w:val="0"/>
      <w:marRight w:val="0"/>
      <w:marTop w:val="0"/>
      <w:marBottom w:val="0"/>
      <w:divBdr>
        <w:top w:val="none" w:sz="0" w:space="0" w:color="auto"/>
        <w:left w:val="none" w:sz="0" w:space="0" w:color="auto"/>
        <w:bottom w:val="none" w:sz="0" w:space="0" w:color="auto"/>
        <w:right w:val="none" w:sz="0" w:space="0" w:color="auto"/>
      </w:divBdr>
    </w:div>
    <w:div w:id="23136901">
      <w:bodyDiv w:val="1"/>
      <w:marLeft w:val="0"/>
      <w:marRight w:val="0"/>
      <w:marTop w:val="0"/>
      <w:marBottom w:val="0"/>
      <w:divBdr>
        <w:top w:val="none" w:sz="0" w:space="0" w:color="auto"/>
        <w:left w:val="none" w:sz="0" w:space="0" w:color="auto"/>
        <w:bottom w:val="none" w:sz="0" w:space="0" w:color="auto"/>
        <w:right w:val="none" w:sz="0" w:space="0" w:color="auto"/>
      </w:divBdr>
    </w:div>
    <w:div w:id="24453727">
      <w:bodyDiv w:val="1"/>
      <w:marLeft w:val="0"/>
      <w:marRight w:val="0"/>
      <w:marTop w:val="0"/>
      <w:marBottom w:val="0"/>
      <w:divBdr>
        <w:top w:val="none" w:sz="0" w:space="0" w:color="auto"/>
        <w:left w:val="none" w:sz="0" w:space="0" w:color="auto"/>
        <w:bottom w:val="none" w:sz="0" w:space="0" w:color="auto"/>
        <w:right w:val="none" w:sz="0" w:space="0" w:color="auto"/>
      </w:divBdr>
    </w:div>
    <w:div w:id="35198368">
      <w:bodyDiv w:val="1"/>
      <w:marLeft w:val="0"/>
      <w:marRight w:val="0"/>
      <w:marTop w:val="0"/>
      <w:marBottom w:val="0"/>
      <w:divBdr>
        <w:top w:val="none" w:sz="0" w:space="0" w:color="auto"/>
        <w:left w:val="none" w:sz="0" w:space="0" w:color="auto"/>
        <w:bottom w:val="none" w:sz="0" w:space="0" w:color="auto"/>
        <w:right w:val="none" w:sz="0" w:space="0" w:color="auto"/>
      </w:divBdr>
    </w:div>
    <w:div w:id="78331799">
      <w:bodyDiv w:val="1"/>
      <w:marLeft w:val="0"/>
      <w:marRight w:val="0"/>
      <w:marTop w:val="0"/>
      <w:marBottom w:val="0"/>
      <w:divBdr>
        <w:top w:val="none" w:sz="0" w:space="0" w:color="auto"/>
        <w:left w:val="none" w:sz="0" w:space="0" w:color="auto"/>
        <w:bottom w:val="none" w:sz="0" w:space="0" w:color="auto"/>
        <w:right w:val="none" w:sz="0" w:space="0" w:color="auto"/>
      </w:divBdr>
    </w:div>
    <w:div w:id="84618468">
      <w:bodyDiv w:val="1"/>
      <w:marLeft w:val="0"/>
      <w:marRight w:val="0"/>
      <w:marTop w:val="0"/>
      <w:marBottom w:val="0"/>
      <w:divBdr>
        <w:top w:val="none" w:sz="0" w:space="0" w:color="auto"/>
        <w:left w:val="none" w:sz="0" w:space="0" w:color="auto"/>
        <w:bottom w:val="none" w:sz="0" w:space="0" w:color="auto"/>
        <w:right w:val="none" w:sz="0" w:space="0" w:color="auto"/>
      </w:divBdr>
    </w:div>
    <w:div w:id="8889547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476592">
      <w:bodyDiv w:val="1"/>
      <w:marLeft w:val="0"/>
      <w:marRight w:val="0"/>
      <w:marTop w:val="0"/>
      <w:marBottom w:val="0"/>
      <w:divBdr>
        <w:top w:val="none" w:sz="0" w:space="0" w:color="auto"/>
        <w:left w:val="none" w:sz="0" w:space="0" w:color="auto"/>
        <w:bottom w:val="none" w:sz="0" w:space="0" w:color="auto"/>
        <w:right w:val="none" w:sz="0" w:space="0" w:color="auto"/>
      </w:divBdr>
    </w:div>
    <w:div w:id="94450751">
      <w:bodyDiv w:val="1"/>
      <w:marLeft w:val="0"/>
      <w:marRight w:val="0"/>
      <w:marTop w:val="0"/>
      <w:marBottom w:val="0"/>
      <w:divBdr>
        <w:top w:val="none" w:sz="0" w:space="0" w:color="auto"/>
        <w:left w:val="none" w:sz="0" w:space="0" w:color="auto"/>
        <w:bottom w:val="none" w:sz="0" w:space="0" w:color="auto"/>
        <w:right w:val="none" w:sz="0" w:space="0" w:color="auto"/>
      </w:divBdr>
    </w:div>
    <w:div w:id="97912219">
      <w:bodyDiv w:val="1"/>
      <w:marLeft w:val="0"/>
      <w:marRight w:val="0"/>
      <w:marTop w:val="0"/>
      <w:marBottom w:val="0"/>
      <w:divBdr>
        <w:top w:val="none" w:sz="0" w:space="0" w:color="auto"/>
        <w:left w:val="none" w:sz="0" w:space="0" w:color="auto"/>
        <w:bottom w:val="none" w:sz="0" w:space="0" w:color="auto"/>
        <w:right w:val="none" w:sz="0" w:space="0" w:color="auto"/>
      </w:divBdr>
    </w:div>
    <w:div w:id="100882196">
      <w:bodyDiv w:val="1"/>
      <w:marLeft w:val="0"/>
      <w:marRight w:val="0"/>
      <w:marTop w:val="0"/>
      <w:marBottom w:val="0"/>
      <w:divBdr>
        <w:top w:val="none" w:sz="0" w:space="0" w:color="auto"/>
        <w:left w:val="none" w:sz="0" w:space="0" w:color="auto"/>
        <w:bottom w:val="none" w:sz="0" w:space="0" w:color="auto"/>
        <w:right w:val="none" w:sz="0" w:space="0" w:color="auto"/>
      </w:divBdr>
    </w:div>
    <w:div w:id="120657660">
      <w:bodyDiv w:val="1"/>
      <w:marLeft w:val="0"/>
      <w:marRight w:val="0"/>
      <w:marTop w:val="0"/>
      <w:marBottom w:val="0"/>
      <w:divBdr>
        <w:top w:val="none" w:sz="0" w:space="0" w:color="auto"/>
        <w:left w:val="none" w:sz="0" w:space="0" w:color="auto"/>
        <w:bottom w:val="none" w:sz="0" w:space="0" w:color="auto"/>
        <w:right w:val="none" w:sz="0" w:space="0" w:color="auto"/>
      </w:divBdr>
    </w:div>
    <w:div w:id="132136559">
      <w:bodyDiv w:val="1"/>
      <w:marLeft w:val="0"/>
      <w:marRight w:val="0"/>
      <w:marTop w:val="0"/>
      <w:marBottom w:val="0"/>
      <w:divBdr>
        <w:top w:val="none" w:sz="0" w:space="0" w:color="auto"/>
        <w:left w:val="none" w:sz="0" w:space="0" w:color="auto"/>
        <w:bottom w:val="none" w:sz="0" w:space="0" w:color="auto"/>
        <w:right w:val="none" w:sz="0" w:space="0" w:color="auto"/>
      </w:divBdr>
    </w:div>
    <w:div w:id="137037006">
      <w:bodyDiv w:val="1"/>
      <w:marLeft w:val="0"/>
      <w:marRight w:val="0"/>
      <w:marTop w:val="0"/>
      <w:marBottom w:val="0"/>
      <w:divBdr>
        <w:top w:val="none" w:sz="0" w:space="0" w:color="auto"/>
        <w:left w:val="none" w:sz="0" w:space="0" w:color="auto"/>
        <w:bottom w:val="none" w:sz="0" w:space="0" w:color="auto"/>
        <w:right w:val="none" w:sz="0" w:space="0" w:color="auto"/>
      </w:divBdr>
    </w:div>
    <w:div w:id="145705089">
      <w:bodyDiv w:val="1"/>
      <w:marLeft w:val="0"/>
      <w:marRight w:val="0"/>
      <w:marTop w:val="0"/>
      <w:marBottom w:val="0"/>
      <w:divBdr>
        <w:top w:val="none" w:sz="0" w:space="0" w:color="auto"/>
        <w:left w:val="none" w:sz="0" w:space="0" w:color="auto"/>
        <w:bottom w:val="none" w:sz="0" w:space="0" w:color="auto"/>
        <w:right w:val="none" w:sz="0" w:space="0" w:color="auto"/>
      </w:divBdr>
    </w:div>
    <w:div w:id="147788563">
      <w:bodyDiv w:val="1"/>
      <w:marLeft w:val="0"/>
      <w:marRight w:val="0"/>
      <w:marTop w:val="0"/>
      <w:marBottom w:val="0"/>
      <w:divBdr>
        <w:top w:val="none" w:sz="0" w:space="0" w:color="auto"/>
        <w:left w:val="none" w:sz="0" w:space="0" w:color="auto"/>
        <w:bottom w:val="none" w:sz="0" w:space="0" w:color="auto"/>
        <w:right w:val="none" w:sz="0" w:space="0" w:color="auto"/>
      </w:divBdr>
    </w:div>
    <w:div w:id="149055437">
      <w:bodyDiv w:val="1"/>
      <w:marLeft w:val="0"/>
      <w:marRight w:val="0"/>
      <w:marTop w:val="0"/>
      <w:marBottom w:val="0"/>
      <w:divBdr>
        <w:top w:val="none" w:sz="0" w:space="0" w:color="auto"/>
        <w:left w:val="none" w:sz="0" w:space="0" w:color="auto"/>
        <w:bottom w:val="none" w:sz="0" w:space="0" w:color="auto"/>
        <w:right w:val="none" w:sz="0" w:space="0" w:color="auto"/>
      </w:divBdr>
    </w:div>
    <w:div w:id="171799112">
      <w:bodyDiv w:val="1"/>
      <w:marLeft w:val="0"/>
      <w:marRight w:val="0"/>
      <w:marTop w:val="0"/>
      <w:marBottom w:val="0"/>
      <w:divBdr>
        <w:top w:val="none" w:sz="0" w:space="0" w:color="auto"/>
        <w:left w:val="none" w:sz="0" w:space="0" w:color="auto"/>
        <w:bottom w:val="none" w:sz="0" w:space="0" w:color="auto"/>
        <w:right w:val="none" w:sz="0" w:space="0" w:color="auto"/>
      </w:divBdr>
    </w:div>
    <w:div w:id="193617972">
      <w:bodyDiv w:val="1"/>
      <w:marLeft w:val="0"/>
      <w:marRight w:val="0"/>
      <w:marTop w:val="0"/>
      <w:marBottom w:val="0"/>
      <w:divBdr>
        <w:top w:val="none" w:sz="0" w:space="0" w:color="auto"/>
        <w:left w:val="none" w:sz="0" w:space="0" w:color="auto"/>
        <w:bottom w:val="none" w:sz="0" w:space="0" w:color="auto"/>
        <w:right w:val="none" w:sz="0" w:space="0" w:color="auto"/>
      </w:divBdr>
    </w:div>
    <w:div w:id="198323151">
      <w:bodyDiv w:val="1"/>
      <w:marLeft w:val="0"/>
      <w:marRight w:val="0"/>
      <w:marTop w:val="0"/>
      <w:marBottom w:val="0"/>
      <w:divBdr>
        <w:top w:val="none" w:sz="0" w:space="0" w:color="auto"/>
        <w:left w:val="none" w:sz="0" w:space="0" w:color="auto"/>
        <w:bottom w:val="none" w:sz="0" w:space="0" w:color="auto"/>
        <w:right w:val="none" w:sz="0" w:space="0" w:color="auto"/>
      </w:divBdr>
    </w:div>
    <w:div w:id="19951706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1188215">
      <w:bodyDiv w:val="1"/>
      <w:marLeft w:val="0"/>
      <w:marRight w:val="0"/>
      <w:marTop w:val="0"/>
      <w:marBottom w:val="0"/>
      <w:divBdr>
        <w:top w:val="none" w:sz="0" w:space="0" w:color="auto"/>
        <w:left w:val="none" w:sz="0" w:space="0" w:color="auto"/>
        <w:bottom w:val="none" w:sz="0" w:space="0" w:color="auto"/>
        <w:right w:val="none" w:sz="0" w:space="0" w:color="auto"/>
      </w:divBdr>
    </w:div>
    <w:div w:id="229735321">
      <w:bodyDiv w:val="1"/>
      <w:marLeft w:val="0"/>
      <w:marRight w:val="0"/>
      <w:marTop w:val="0"/>
      <w:marBottom w:val="0"/>
      <w:divBdr>
        <w:top w:val="none" w:sz="0" w:space="0" w:color="auto"/>
        <w:left w:val="none" w:sz="0" w:space="0" w:color="auto"/>
        <w:bottom w:val="none" w:sz="0" w:space="0" w:color="auto"/>
        <w:right w:val="none" w:sz="0" w:space="0" w:color="auto"/>
      </w:divBdr>
    </w:div>
    <w:div w:id="231355084">
      <w:bodyDiv w:val="1"/>
      <w:marLeft w:val="0"/>
      <w:marRight w:val="0"/>
      <w:marTop w:val="0"/>
      <w:marBottom w:val="0"/>
      <w:divBdr>
        <w:top w:val="none" w:sz="0" w:space="0" w:color="auto"/>
        <w:left w:val="none" w:sz="0" w:space="0" w:color="auto"/>
        <w:bottom w:val="none" w:sz="0" w:space="0" w:color="auto"/>
        <w:right w:val="none" w:sz="0" w:space="0" w:color="auto"/>
      </w:divBdr>
    </w:div>
    <w:div w:id="241184077">
      <w:bodyDiv w:val="1"/>
      <w:marLeft w:val="0"/>
      <w:marRight w:val="0"/>
      <w:marTop w:val="0"/>
      <w:marBottom w:val="0"/>
      <w:divBdr>
        <w:top w:val="none" w:sz="0" w:space="0" w:color="auto"/>
        <w:left w:val="none" w:sz="0" w:space="0" w:color="auto"/>
        <w:bottom w:val="none" w:sz="0" w:space="0" w:color="auto"/>
        <w:right w:val="none" w:sz="0" w:space="0" w:color="auto"/>
      </w:divBdr>
    </w:div>
    <w:div w:id="254631917">
      <w:bodyDiv w:val="1"/>
      <w:marLeft w:val="0"/>
      <w:marRight w:val="0"/>
      <w:marTop w:val="0"/>
      <w:marBottom w:val="0"/>
      <w:divBdr>
        <w:top w:val="none" w:sz="0" w:space="0" w:color="auto"/>
        <w:left w:val="none" w:sz="0" w:space="0" w:color="auto"/>
        <w:bottom w:val="none" w:sz="0" w:space="0" w:color="auto"/>
        <w:right w:val="none" w:sz="0" w:space="0" w:color="auto"/>
      </w:divBdr>
    </w:div>
    <w:div w:id="294726390">
      <w:bodyDiv w:val="1"/>
      <w:marLeft w:val="0"/>
      <w:marRight w:val="0"/>
      <w:marTop w:val="0"/>
      <w:marBottom w:val="0"/>
      <w:divBdr>
        <w:top w:val="none" w:sz="0" w:space="0" w:color="auto"/>
        <w:left w:val="none" w:sz="0" w:space="0" w:color="auto"/>
        <w:bottom w:val="none" w:sz="0" w:space="0" w:color="auto"/>
        <w:right w:val="none" w:sz="0" w:space="0" w:color="auto"/>
      </w:divBdr>
    </w:div>
    <w:div w:id="309941495">
      <w:bodyDiv w:val="1"/>
      <w:marLeft w:val="0"/>
      <w:marRight w:val="0"/>
      <w:marTop w:val="0"/>
      <w:marBottom w:val="0"/>
      <w:divBdr>
        <w:top w:val="none" w:sz="0" w:space="0" w:color="auto"/>
        <w:left w:val="none" w:sz="0" w:space="0" w:color="auto"/>
        <w:bottom w:val="none" w:sz="0" w:space="0" w:color="auto"/>
        <w:right w:val="none" w:sz="0" w:space="0" w:color="auto"/>
      </w:divBdr>
    </w:div>
    <w:div w:id="32173637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3283927">
      <w:bodyDiv w:val="1"/>
      <w:marLeft w:val="0"/>
      <w:marRight w:val="0"/>
      <w:marTop w:val="0"/>
      <w:marBottom w:val="0"/>
      <w:divBdr>
        <w:top w:val="none" w:sz="0" w:space="0" w:color="auto"/>
        <w:left w:val="none" w:sz="0" w:space="0" w:color="auto"/>
        <w:bottom w:val="none" w:sz="0" w:space="0" w:color="auto"/>
        <w:right w:val="none" w:sz="0" w:space="0" w:color="auto"/>
      </w:divBdr>
    </w:div>
    <w:div w:id="348335453">
      <w:bodyDiv w:val="1"/>
      <w:marLeft w:val="0"/>
      <w:marRight w:val="0"/>
      <w:marTop w:val="0"/>
      <w:marBottom w:val="0"/>
      <w:divBdr>
        <w:top w:val="none" w:sz="0" w:space="0" w:color="auto"/>
        <w:left w:val="none" w:sz="0" w:space="0" w:color="auto"/>
        <w:bottom w:val="none" w:sz="0" w:space="0" w:color="auto"/>
        <w:right w:val="none" w:sz="0" w:space="0" w:color="auto"/>
      </w:divBdr>
    </w:div>
    <w:div w:id="348877496">
      <w:bodyDiv w:val="1"/>
      <w:marLeft w:val="0"/>
      <w:marRight w:val="0"/>
      <w:marTop w:val="0"/>
      <w:marBottom w:val="0"/>
      <w:divBdr>
        <w:top w:val="none" w:sz="0" w:space="0" w:color="auto"/>
        <w:left w:val="none" w:sz="0" w:space="0" w:color="auto"/>
        <w:bottom w:val="none" w:sz="0" w:space="0" w:color="auto"/>
        <w:right w:val="none" w:sz="0" w:space="0" w:color="auto"/>
      </w:divBdr>
    </w:div>
    <w:div w:id="370612919">
      <w:bodyDiv w:val="1"/>
      <w:marLeft w:val="0"/>
      <w:marRight w:val="0"/>
      <w:marTop w:val="0"/>
      <w:marBottom w:val="0"/>
      <w:divBdr>
        <w:top w:val="none" w:sz="0" w:space="0" w:color="auto"/>
        <w:left w:val="none" w:sz="0" w:space="0" w:color="auto"/>
        <w:bottom w:val="none" w:sz="0" w:space="0" w:color="auto"/>
        <w:right w:val="none" w:sz="0" w:space="0" w:color="auto"/>
      </w:divBdr>
    </w:div>
    <w:div w:id="374502900">
      <w:bodyDiv w:val="1"/>
      <w:marLeft w:val="0"/>
      <w:marRight w:val="0"/>
      <w:marTop w:val="0"/>
      <w:marBottom w:val="0"/>
      <w:divBdr>
        <w:top w:val="none" w:sz="0" w:space="0" w:color="auto"/>
        <w:left w:val="none" w:sz="0" w:space="0" w:color="auto"/>
        <w:bottom w:val="none" w:sz="0" w:space="0" w:color="auto"/>
        <w:right w:val="none" w:sz="0" w:space="0" w:color="auto"/>
      </w:divBdr>
    </w:div>
    <w:div w:id="380323548">
      <w:bodyDiv w:val="1"/>
      <w:marLeft w:val="0"/>
      <w:marRight w:val="0"/>
      <w:marTop w:val="0"/>
      <w:marBottom w:val="0"/>
      <w:divBdr>
        <w:top w:val="none" w:sz="0" w:space="0" w:color="auto"/>
        <w:left w:val="none" w:sz="0" w:space="0" w:color="auto"/>
        <w:bottom w:val="none" w:sz="0" w:space="0" w:color="auto"/>
        <w:right w:val="none" w:sz="0" w:space="0" w:color="auto"/>
      </w:divBdr>
    </w:div>
    <w:div w:id="380327156">
      <w:bodyDiv w:val="1"/>
      <w:marLeft w:val="0"/>
      <w:marRight w:val="0"/>
      <w:marTop w:val="0"/>
      <w:marBottom w:val="0"/>
      <w:divBdr>
        <w:top w:val="none" w:sz="0" w:space="0" w:color="auto"/>
        <w:left w:val="none" w:sz="0" w:space="0" w:color="auto"/>
        <w:bottom w:val="none" w:sz="0" w:space="0" w:color="auto"/>
        <w:right w:val="none" w:sz="0" w:space="0" w:color="auto"/>
      </w:divBdr>
    </w:div>
    <w:div w:id="380903791">
      <w:bodyDiv w:val="1"/>
      <w:marLeft w:val="0"/>
      <w:marRight w:val="0"/>
      <w:marTop w:val="0"/>
      <w:marBottom w:val="0"/>
      <w:divBdr>
        <w:top w:val="none" w:sz="0" w:space="0" w:color="auto"/>
        <w:left w:val="none" w:sz="0" w:space="0" w:color="auto"/>
        <w:bottom w:val="none" w:sz="0" w:space="0" w:color="auto"/>
        <w:right w:val="none" w:sz="0" w:space="0" w:color="auto"/>
      </w:divBdr>
    </w:div>
    <w:div w:id="385224174">
      <w:bodyDiv w:val="1"/>
      <w:marLeft w:val="0"/>
      <w:marRight w:val="0"/>
      <w:marTop w:val="0"/>
      <w:marBottom w:val="0"/>
      <w:divBdr>
        <w:top w:val="none" w:sz="0" w:space="0" w:color="auto"/>
        <w:left w:val="none" w:sz="0" w:space="0" w:color="auto"/>
        <w:bottom w:val="none" w:sz="0" w:space="0" w:color="auto"/>
        <w:right w:val="none" w:sz="0" w:space="0" w:color="auto"/>
      </w:divBdr>
    </w:div>
    <w:div w:id="393235460">
      <w:bodyDiv w:val="1"/>
      <w:marLeft w:val="0"/>
      <w:marRight w:val="0"/>
      <w:marTop w:val="0"/>
      <w:marBottom w:val="0"/>
      <w:divBdr>
        <w:top w:val="none" w:sz="0" w:space="0" w:color="auto"/>
        <w:left w:val="none" w:sz="0" w:space="0" w:color="auto"/>
        <w:bottom w:val="none" w:sz="0" w:space="0" w:color="auto"/>
        <w:right w:val="none" w:sz="0" w:space="0" w:color="auto"/>
      </w:divBdr>
    </w:div>
    <w:div w:id="393546715">
      <w:bodyDiv w:val="1"/>
      <w:marLeft w:val="0"/>
      <w:marRight w:val="0"/>
      <w:marTop w:val="0"/>
      <w:marBottom w:val="0"/>
      <w:divBdr>
        <w:top w:val="none" w:sz="0" w:space="0" w:color="auto"/>
        <w:left w:val="none" w:sz="0" w:space="0" w:color="auto"/>
        <w:bottom w:val="none" w:sz="0" w:space="0" w:color="auto"/>
        <w:right w:val="none" w:sz="0" w:space="0" w:color="auto"/>
      </w:divBdr>
    </w:div>
    <w:div w:id="396705840">
      <w:bodyDiv w:val="1"/>
      <w:marLeft w:val="0"/>
      <w:marRight w:val="0"/>
      <w:marTop w:val="0"/>
      <w:marBottom w:val="0"/>
      <w:divBdr>
        <w:top w:val="none" w:sz="0" w:space="0" w:color="auto"/>
        <w:left w:val="none" w:sz="0" w:space="0" w:color="auto"/>
        <w:bottom w:val="none" w:sz="0" w:space="0" w:color="auto"/>
        <w:right w:val="none" w:sz="0" w:space="0" w:color="auto"/>
      </w:divBdr>
    </w:div>
    <w:div w:id="400951635">
      <w:bodyDiv w:val="1"/>
      <w:marLeft w:val="0"/>
      <w:marRight w:val="0"/>
      <w:marTop w:val="0"/>
      <w:marBottom w:val="0"/>
      <w:divBdr>
        <w:top w:val="none" w:sz="0" w:space="0" w:color="auto"/>
        <w:left w:val="none" w:sz="0" w:space="0" w:color="auto"/>
        <w:bottom w:val="none" w:sz="0" w:space="0" w:color="auto"/>
        <w:right w:val="none" w:sz="0" w:space="0" w:color="auto"/>
      </w:divBdr>
    </w:div>
    <w:div w:id="422997874">
      <w:bodyDiv w:val="1"/>
      <w:marLeft w:val="0"/>
      <w:marRight w:val="0"/>
      <w:marTop w:val="0"/>
      <w:marBottom w:val="0"/>
      <w:divBdr>
        <w:top w:val="none" w:sz="0" w:space="0" w:color="auto"/>
        <w:left w:val="none" w:sz="0" w:space="0" w:color="auto"/>
        <w:bottom w:val="none" w:sz="0" w:space="0" w:color="auto"/>
        <w:right w:val="none" w:sz="0" w:space="0" w:color="auto"/>
      </w:divBdr>
    </w:div>
    <w:div w:id="425729038">
      <w:bodyDiv w:val="1"/>
      <w:marLeft w:val="0"/>
      <w:marRight w:val="0"/>
      <w:marTop w:val="0"/>
      <w:marBottom w:val="0"/>
      <w:divBdr>
        <w:top w:val="none" w:sz="0" w:space="0" w:color="auto"/>
        <w:left w:val="none" w:sz="0" w:space="0" w:color="auto"/>
        <w:bottom w:val="none" w:sz="0" w:space="0" w:color="auto"/>
        <w:right w:val="none" w:sz="0" w:space="0" w:color="auto"/>
      </w:divBdr>
    </w:div>
    <w:div w:id="445197921">
      <w:bodyDiv w:val="1"/>
      <w:marLeft w:val="0"/>
      <w:marRight w:val="0"/>
      <w:marTop w:val="0"/>
      <w:marBottom w:val="0"/>
      <w:divBdr>
        <w:top w:val="none" w:sz="0" w:space="0" w:color="auto"/>
        <w:left w:val="none" w:sz="0" w:space="0" w:color="auto"/>
        <w:bottom w:val="none" w:sz="0" w:space="0" w:color="auto"/>
        <w:right w:val="none" w:sz="0" w:space="0" w:color="auto"/>
      </w:divBdr>
    </w:div>
    <w:div w:id="44967137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3354042">
      <w:bodyDiv w:val="1"/>
      <w:marLeft w:val="0"/>
      <w:marRight w:val="0"/>
      <w:marTop w:val="0"/>
      <w:marBottom w:val="0"/>
      <w:divBdr>
        <w:top w:val="none" w:sz="0" w:space="0" w:color="auto"/>
        <w:left w:val="none" w:sz="0" w:space="0" w:color="auto"/>
        <w:bottom w:val="none" w:sz="0" w:space="0" w:color="auto"/>
        <w:right w:val="none" w:sz="0" w:space="0" w:color="auto"/>
      </w:divBdr>
    </w:div>
    <w:div w:id="465709279">
      <w:bodyDiv w:val="1"/>
      <w:marLeft w:val="0"/>
      <w:marRight w:val="0"/>
      <w:marTop w:val="0"/>
      <w:marBottom w:val="0"/>
      <w:divBdr>
        <w:top w:val="none" w:sz="0" w:space="0" w:color="auto"/>
        <w:left w:val="none" w:sz="0" w:space="0" w:color="auto"/>
        <w:bottom w:val="none" w:sz="0" w:space="0" w:color="auto"/>
        <w:right w:val="none" w:sz="0" w:space="0" w:color="auto"/>
      </w:divBdr>
    </w:div>
    <w:div w:id="480849371">
      <w:bodyDiv w:val="1"/>
      <w:marLeft w:val="0"/>
      <w:marRight w:val="0"/>
      <w:marTop w:val="0"/>
      <w:marBottom w:val="0"/>
      <w:divBdr>
        <w:top w:val="none" w:sz="0" w:space="0" w:color="auto"/>
        <w:left w:val="none" w:sz="0" w:space="0" w:color="auto"/>
        <w:bottom w:val="none" w:sz="0" w:space="0" w:color="auto"/>
        <w:right w:val="none" w:sz="0" w:space="0" w:color="auto"/>
      </w:divBdr>
    </w:div>
    <w:div w:id="505095649">
      <w:bodyDiv w:val="1"/>
      <w:marLeft w:val="0"/>
      <w:marRight w:val="0"/>
      <w:marTop w:val="0"/>
      <w:marBottom w:val="0"/>
      <w:divBdr>
        <w:top w:val="none" w:sz="0" w:space="0" w:color="auto"/>
        <w:left w:val="none" w:sz="0" w:space="0" w:color="auto"/>
        <w:bottom w:val="none" w:sz="0" w:space="0" w:color="auto"/>
        <w:right w:val="none" w:sz="0" w:space="0" w:color="auto"/>
      </w:divBdr>
    </w:div>
    <w:div w:id="515923811">
      <w:bodyDiv w:val="1"/>
      <w:marLeft w:val="0"/>
      <w:marRight w:val="0"/>
      <w:marTop w:val="0"/>
      <w:marBottom w:val="0"/>
      <w:divBdr>
        <w:top w:val="none" w:sz="0" w:space="0" w:color="auto"/>
        <w:left w:val="none" w:sz="0" w:space="0" w:color="auto"/>
        <w:bottom w:val="none" w:sz="0" w:space="0" w:color="auto"/>
        <w:right w:val="none" w:sz="0" w:space="0" w:color="auto"/>
      </w:divBdr>
    </w:div>
    <w:div w:id="521557065">
      <w:bodyDiv w:val="1"/>
      <w:marLeft w:val="0"/>
      <w:marRight w:val="0"/>
      <w:marTop w:val="0"/>
      <w:marBottom w:val="0"/>
      <w:divBdr>
        <w:top w:val="none" w:sz="0" w:space="0" w:color="auto"/>
        <w:left w:val="none" w:sz="0" w:space="0" w:color="auto"/>
        <w:bottom w:val="none" w:sz="0" w:space="0" w:color="auto"/>
        <w:right w:val="none" w:sz="0" w:space="0" w:color="auto"/>
      </w:divBdr>
    </w:div>
    <w:div w:id="52926964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0243808">
      <w:bodyDiv w:val="1"/>
      <w:marLeft w:val="0"/>
      <w:marRight w:val="0"/>
      <w:marTop w:val="0"/>
      <w:marBottom w:val="0"/>
      <w:divBdr>
        <w:top w:val="none" w:sz="0" w:space="0" w:color="auto"/>
        <w:left w:val="none" w:sz="0" w:space="0" w:color="auto"/>
        <w:bottom w:val="none" w:sz="0" w:space="0" w:color="auto"/>
        <w:right w:val="none" w:sz="0" w:space="0" w:color="auto"/>
      </w:divBdr>
    </w:div>
    <w:div w:id="541022722">
      <w:bodyDiv w:val="1"/>
      <w:marLeft w:val="0"/>
      <w:marRight w:val="0"/>
      <w:marTop w:val="0"/>
      <w:marBottom w:val="0"/>
      <w:divBdr>
        <w:top w:val="none" w:sz="0" w:space="0" w:color="auto"/>
        <w:left w:val="none" w:sz="0" w:space="0" w:color="auto"/>
        <w:bottom w:val="none" w:sz="0" w:space="0" w:color="auto"/>
        <w:right w:val="none" w:sz="0" w:space="0" w:color="auto"/>
      </w:divBdr>
    </w:div>
    <w:div w:id="559440392">
      <w:bodyDiv w:val="1"/>
      <w:marLeft w:val="0"/>
      <w:marRight w:val="0"/>
      <w:marTop w:val="0"/>
      <w:marBottom w:val="0"/>
      <w:divBdr>
        <w:top w:val="none" w:sz="0" w:space="0" w:color="auto"/>
        <w:left w:val="none" w:sz="0" w:space="0" w:color="auto"/>
        <w:bottom w:val="none" w:sz="0" w:space="0" w:color="auto"/>
        <w:right w:val="none" w:sz="0" w:space="0" w:color="auto"/>
      </w:divBdr>
    </w:div>
    <w:div w:id="570584657">
      <w:bodyDiv w:val="1"/>
      <w:marLeft w:val="0"/>
      <w:marRight w:val="0"/>
      <w:marTop w:val="0"/>
      <w:marBottom w:val="0"/>
      <w:divBdr>
        <w:top w:val="none" w:sz="0" w:space="0" w:color="auto"/>
        <w:left w:val="none" w:sz="0" w:space="0" w:color="auto"/>
        <w:bottom w:val="none" w:sz="0" w:space="0" w:color="auto"/>
        <w:right w:val="none" w:sz="0" w:space="0" w:color="auto"/>
      </w:divBdr>
    </w:div>
    <w:div w:id="575557226">
      <w:bodyDiv w:val="1"/>
      <w:marLeft w:val="0"/>
      <w:marRight w:val="0"/>
      <w:marTop w:val="0"/>
      <w:marBottom w:val="0"/>
      <w:divBdr>
        <w:top w:val="none" w:sz="0" w:space="0" w:color="auto"/>
        <w:left w:val="none" w:sz="0" w:space="0" w:color="auto"/>
        <w:bottom w:val="none" w:sz="0" w:space="0" w:color="auto"/>
        <w:right w:val="none" w:sz="0" w:space="0" w:color="auto"/>
      </w:divBdr>
    </w:div>
    <w:div w:id="576332332">
      <w:bodyDiv w:val="1"/>
      <w:marLeft w:val="0"/>
      <w:marRight w:val="0"/>
      <w:marTop w:val="0"/>
      <w:marBottom w:val="0"/>
      <w:divBdr>
        <w:top w:val="none" w:sz="0" w:space="0" w:color="auto"/>
        <w:left w:val="none" w:sz="0" w:space="0" w:color="auto"/>
        <w:bottom w:val="none" w:sz="0" w:space="0" w:color="auto"/>
        <w:right w:val="none" w:sz="0" w:space="0" w:color="auto"/>
      </w:divBdr>
    </w:div>
    <w:div w:id="592469252">
      <w:bodyDiv w:val="1"/>
      <w:marLeft w:val="0"/>
      <w:marRight w:val="0"/>
      <w:marTop w:val="0"/>
      <w:marBottom w:val="0"/>
      <w:divBdr>
        <w:top w:val="none" w:sz="0" w:space="0" w:color="auto"/>
        <w:left w:val="none" w:sz="0" w:space="0" w:color="auto"/>
        <w:bottom w:val="none" w:sz="0" w:space="0" w:color="auto"/>
        <w:right w:val="none" w:sz="0" w:space="0" w:color="auto"/>
      </w:divBdr>
    </w:div>
    <w:div w:id="604271774">
      <w:bodyDiv w:val="1"/>
      <w:marLeft w:val="0"/>
      <w:marRight w:val="0"/>
      <w:marTop w:val="0"/>
      <w:marBottom w:val="0"/>
      <w:divBdr>
        <w:top w:val="none" w:sz="0" w:space="0" w:color="auto"/>
        <w:left w:val="none" w:sz="0" w:space="0" w:color="auto"/>
        <w:bottom w:val="none" w:sz="0" w:space="0" w:color="auto"/>
        <w:right w:val="none" w:sz="0" w:space="0" w:color="auto"/>
      </w:divBdr>
    </w:div>
    <w:div w:id="613172233">
      <w:bodyDiv w:val="1"/>
      <w:marLeft w:val="0"/>
      <w:marRight w:val="0"/>
      <w:marTop w:val="0"/>
      <w:marBottom w:val="0"/>
      <w:divBdr>
        <w:top w:val="none" w:sz="0" w:space="0" w:color="auto"/>
        <w:left w:val="none" w:sz="0" w:space="0" w:color="auto"/>
        <w:bottom w:val="none" w:sz="0" w:space="0" w:color="auto"/>
        <w:right w:val="none" w:sz="0" w:space="0" w:color="auto"/>
      </w:divBdr>
    </w:div>
    <w:div w:id="617375514">
      <w:bodyDiv w:val="1"/>
      <w:marLeft w:val="0"/>
      <w:marRight w:val="0"/>
      <w:marTop w:val="0"/>
      <w:marBottom w:val="0"/>
      <w:divBdr>
        <w:top w:val="none" w:sz="0" w:space="0" w:color="auto"/>
        <w:left w:val="none" w:sz="0" w:space="0" w:color="auto"/>
        <w:bottom w:val="none" w:sz="0" w:space="0" w:color="auto"/>
        <w:right w:val="none" w:sz="0" w:space="0" w:color="auto"/>
      </w:divBdr>
    </w:div>
    <w:div w:id="619725481">
      <w:bodyDiv w:val="1"/>
      <w:marLeft w:val="0"/>
      <w:marRight w:val="0"/>
      <w:marTop w:val="0"/>
      <w:marBottom w:val="0"/>
      <w:divBdr>
        <w:top w:val="none" w:sz="0" w:space="0" w:color="auto"/>
        <w:left w:val="none" w:sz="0" w:space="0" w:color="auto"/>
        <w:bottom w:val="none" w:sz="0" w:space="0" w:color="auto"/>
        <w:right w:val="none" w:sz="0" w:space="0" w:color="auto"/>
      </w:divBdr>
    </w:div>
    <w:div w:id="641470911">
      <w:bodyDiv w:val="1"/>
      <w:marLeft w:val="0"/>
      <w:marRight w:val="0"/>
      <w:marTop w:val="0"/>
      <w:marBottom w:val="0"/>
      <w:divBdr>
        <w:top w:val="none" w:sz="0" w:space="0" w:color="auto"/>
        <w:left w:val="none" w:sz="0" w:space="0" w:color="auto"/>
        <w:bottom w:val="none" w:sz="0" w:space="0" w:color="auto"/>
        <w:right w:val="none" w:sz="0" w:space="0" w:color="auto"/>
      </w:divBdr>
    </w:div>
    <w:div w:id="642123403">
      <w:bodyDiv w:val="1"/>
      <w:marLeft w:val="0"/>
      <w:marRight w:val="0"/>
      <w:marTop w:val="0"/>
      <w:marBottom w:val="0"/>
      <w:divBdr>
        <w:top w:val="none" w:sz="0" w:space="0" w:color="auto"/>
        <w:left w:val="none" w:sz="0" w:space="0" w:color="auto"/>
        <w:bottom w:val="none" w:sz="0" w:space="0" w:color="auto"/>
        <w:right w:val="none" w:sz="0" w:space="0" w:color="auto"/>
      </w:divBdr>
    </w:div>
    <w:div w:id="660087774">
      <w:bodyDiv w:val="1"/>
      <w:marLeft w:val="0"/>
      <w:marRight w:val="0"/>
      <w:marTop w:val="0"/>
      <w:marBottom w:val="0"/>
      <w:divBdr>
        <w:top w:val="none" w:sz="0" w:space="0" w:color="auto"/>
        <w:left w:val="none" w:sz="0" w:space="0" w:color="auto"/>
        <w:bottom w:val="none" w:sz="0" w:space="0" w:color="auto"/>
        <w:right w:val="none" w:sz="0" w:space="0" w:color="auto"/>
      </w:divBdr>
    </w:div>
    <w:div w:id="662662171">
      <w:bodyDiv w:val="1"/>
      <w:marLeft w:val="0"/>
      <w:marRight w:val="0"/>
      <w:marTop w:val="0"/>
      <w:marBottom w:val="0"/>
      <w:divBdr>
        <w:top w:val="none" w:sz="0" w:space="0" w:color="auto"/>
        <w:left w:val="none" w:sz="0" w:space="0" w:color="auto"/>
        <w:bottom w:val="none" w:sz="0" w:space="0" w:color="auto"/>
        <w:right w:val="none" w:sz="0" w:space="0" w:color="auto"/>
      </w:divBdr>
    </w:div>
    <w:div w:id="666833183">
      <w:bodyDiv w:val="1"/>
      <w:marLeft w:val="0"/>
      <w:marRight w:val="0"/>
      <w:marTop w:val="0"/>
      <w:marBottom w:val="0"/>
      <w:divBdr>
        <w:top w:val="none" w:sz="0" w:space="0" w:color="auto"/>
        <w:left w:val="none" w:sz="0" w:space="0" w:color="auto"/>
        <w:bottom w:val="none" w:sz="0" w:space="0" w:color="auto"/>
        <w:right w:val="none" w:sz="0" w:space="0" w:color="auto"/>
      </w:divBdr>
    </w:div>
    <w:div w:id="681661154">
      <w:bodyDiv w:val="1"/>
      <w:marLeft w:val="0"/>
      <w:marRight w:val="0"/>
      <w:marTop w:val="0"/>
      <w:marBottom w:val="0"/>
      <w:divBdr>
        <w:top w:val="none" w:sz="0" w:space="0" w:color="auto"/>
        <w:left w:val="none" w:sz="0" w:space="0" w:color="auto"/>
        <w:bottom w:val="none" w:sz="0" w:space="0" w:color="auto"/>
        <w:right w:val="none" w:sz="0" w:space="0" w:color="auto"/>
      </w:divBdr>
    </w:div>
    <w:div w:id="685905867">
      <w:bodyDiv w:val="1"/>
      <w:marLeft w:val="0"/>
      <w:marRight w:val="0"/>
      <w:marTop w:val="0"/>
      <w:marBottom w:val="0"/>
      <w:divBdr>
        <w:top w:val="none" w:sz="0" w:space="0" w:color="auto"/>
        <w:left w:val="none" w:sz="0" w:space="0" w:color="auto"/>
        <w:bottom w:val="none" w:sz="0" w:space="0" w:color="auto"/>
        <w:right w:val="none" w:sz="0" w:space="0" w:color="auto"/>
      </w:divBdr>
    </w:div>
    <w:div w:id="692416858">
      <w:bodyDiv w:val="1"/>
      <w:marLeft w:val="0"/>
      <w:marRight w:val="0"/>
      <w:marTop w:val="0"/>
      <w:marBottom w:val="0"/>
      <w:divBdr>
        <w:top w:val="none" w:sz="0" w:space="0" w:color="auto"/>
        <w:left w:val="none" w:sz="0" w:space="0" w:color="auto"/>
        <w:bottom w:val="none" w:sz="0" w:space="0" w:color="auto"/>
        <w:right w:val="none" w:sz="0" w:space="0" w:color="auto"/>
      </w:divBdr>
    </w:div>
    <w:div w:id="703482050">
      <w:bodyDiv w:val="1"/>
      <w:marLeft w:val="0"/>
      <w:marRight w:val="0"/>
      <w:marTop w:val="0"/>
      <w:marBottom w:val="0"/>
      <w:divBdr>
        <w:top w:val="none" w:sz="0" w:space="0" w:color="auto"/>
        <w:left w:val="none" w:sz="0" w:space="0" w:color="auto"/>
        <w:bottom w:val="none" w:sz="0" w:space="0" w:color="auto"/>
        <w:right w:val="none" w:sz="0" w:space="0" w:color="auto"/>
      </w:divBdr>
    </w:div>
    <w:div w:id="744884122">
      <w:bodyDiv w:val="1"/>
      <w:marLeft w:val="0"/>
      <w:marRight w:val="0"/>
      <w:marTop w:val="0"/>
      <w:marBottom w:val="0"/>
      <w:divBdr>
        <w:top w:val="none" w:sz="0" w:space="0" w:color="auto"/>
        <w:left w:val="none" w:sz="0" w:space="0" w:color="auto"/>
        <w:bottom w:val="none" w:sz="0" w:space="0" w:color="auto"/>
        <w:right w:val="none" w:sz="0" w:space="0" w:color="auto"/>
      </w:divBdr>
    </w:div>
    <w:div w:id="766534539">
      <w:bodyDiv w:val="1"/>
      <w:marLeft w:val="0"/>
      <w:marRight w:val="0"/>
      <w:marTop w:val="0"/>
      <w:marBottom w:val="0"/>
      <w:divBdr>
        <w:top w:val="none" w:sz="0" w:space="0" w:color="auto"/>
        <w:left w:val="none" w:sz="0" w:space="0" w:color="auto"/>
        <w:bottom w:val="none" w:sz="0" w:space="0" w:color="auto"/>
        <w:right w:val="none" w:sz="0" w:space="0" w:color="auto"/>
      </w:divBdr>
    </w:div>
    <w:div w:id="786001951">
      <w:bodyDiv w:val="1"/>
      <w:marLeft w:val="0"/>
      <w:marRight w:val="0"/>
      <w:marTop w:val="0"/>
      <w:marBottom w:val="0"/>
      <w:divBdr>
        <w:top w:val="none" w:sz="0" w:space="0" w:color="auto"/>
        <w:left w:val="none" w:sz="0" w:space="0" w:color="auto"/>
        <w:bottom w:val="none" w:sz="0" w:space="0" w:color="auto"/>
        <w:right w:val="none" w:sz="0" w:space="0" w:color="auto"/>
      </w:divBdr>
    </w:div>
    <w:div w:id="786243460">
      <w:bodyDiv w:val="1"/>
      <w:marLeft w:val="0"/>
      <w:marRight w:val="0"/>
      <w:marTop w:val="0"/>
      <w:marBottom w:val="0"/>
      <w:divBdr>
        <w:top w:val="none" w:sz="0" w:space="0" w:color="auto"/>
        <w:left w:val="none" w:sz="0" w:space="0" w:color="auto"/>
        <w:bottom w:val="none" w:sz="0" w:space="0" w:color="auto"/>
        <w:right w:val="none" w:sz="0" w:space="0" w:color="auto"/>
      </w:divBdr>
    </w:div>
    <w:div w:id="800463987">
      <w:bodyDiv w:val="1"/>
      <w:marLeft w:val="0"/>
      <w:marRight w:val="0"/>
      <w:marTop w:val="0"/>
      <w:marBottom w:val="0"/>
      <w:divBdr>
        <w:top w:val="none" w:sz="0" w:space="0" w:color="auto"/>
        <w:left w:val="none" w:sz="0" w:space="0" w:color="auto"/>
        <w:bottom w:val="none" w:sz="0" w:space="0" w:color="auto"/>
        <w:right w:val="none" w:sz="0" w:space="0" w:color="auto"/>
      </w:divBdr>
    </w:div>
    <w:div w:id="804276899">
      <w:bodyDiv w:val="1"/>
      <w:marLeft w:val="0"/>
      <w:marRight w:val="0"/>
      <w:marTop w:val="0"/>
      <w:marBottom w:val="0"/>
      <w:divBdr>
        <w:top w:val="none" w:sz="0" w:space="0" w:color="auto"/>
        <w:left w:val="none" w:sz="0" w:space="0" w:color="auto"/>
        <w:bottom w:val="none" w:sz="0" w:space="0" w:color="auto"/>
        <w:right w:val="none" w:sz="0" w:space="0" w:color="auto"/>
      </w:divBdr>
    </w:div>
    <w:div w:id="805901852">
      <w:bodyDiv w:val="1"/>
      <w:marLeft w:val="0"/>
      <w:marRight w:val="0"/>
      <w:marTop w:val="0"/>
      <w:marBottom w:val="0"/>
      <w:divBdr>
        <w:top w:val="none" w:sz="0" w:space="0" w:color="auto"/>
        <w:left w:val="none" w:sz="0" w:space="0" w:color="auto"/>
        <w:bottom w:val="none" w:sz="0" w:space="0" w:color="auto"/>
        <w:right w:val="none" w:sz="0" w:space="0" w:color="auto"/>
      </w:divBdr>
    </w:div>
    <w:div w:id="817461561">
      <w:bodyDiv w:val="1"/>
      <w:marLeft w:val="0"/>
      <w:marRight w:val="0"/>
      <w:marTop w:val="0"/>
      <w:marBottom w:val="0"/>
      <w:divBdr>
        <w:top w:val="none" w:sz="0" w:space="0" w:color="auto"/>
        <w:left w:val="none" w:sz="0" w:space="0" w:color="auto"/>
        <w:bottom w:val="none" w:sz="0" w:space="0" w:color="auto"/>
        <w:right w:val="none" w:sz="0" w:space="0" w:color="auto"/>
      </w:divBdr>
    </w:div>
    <w:div w:id="828834491">
      <w:bodyDiv w:val="1"/>
      <w:marLeft w:val="0"/>
      <w:marRight w:val="0"/>
      <w:marTop w:val="0"/>
      <w:marBottom w:val="0"/>
      <w:divBdr>
        <w:top w:val="none" w:sz="0" w:space="0" w:color="auto"/>
        <w:left w:val="none" w:sz="0" w:space="0" w:color="auto"/>
        <w:bottom w:val="none" w:sz="0" w:space="0" w:color="auto"/>
        <w:right w:val="none" w:sz="0" w:space="0" w:color="auto"/>
      </w:divBdr>
    </w:div>
    <w:div w:id="829180973">
      <w:bodyDiv w:val="1"/>
      <w:marLeft w:val="0"/>
      <w:marRight w:val="0"/>
      <w:marTop w:val="0"/>
      <w:marBottom w:val="0"/>
      <w:divBdr>
        <w:top w:val="none" w:sz="0" w:space="0" w:color="auto"/>
        <w:left w:val="none" w:sz="0" w:space="0" w:color="auto"/>
        <w:bottom w:val="none" w:sz="0" w:space="0" w:color="auto"/>
        <w:right w:val="none" w:sz="0" w:space="0" w:color="auto"/>
      </w:divBdr>
    </w:div>
    <w:div w:id="829562308">
      <w:bodyDiv w:val="1"/>
      <w:marLeft w:val="0"/>
      <w:marRight w:val="0"/>
      <w:marTop w:val="0"/>
      <w:marBottom w:val="0"/>
      <w:divBdr>
        <w:top w:val="none" w:sz="0" w:space="0" w:color="auto"/>
        <w:left w:val="none" w:sz="0" w:space="0" w:color="auto"/>
        <w:bottom w:val="none" w:sz="0" w:space="0" w:color="auto"/>
        <w:right w:val="none" w:sz="0" w:space="0" w:color="auto"/>
      </w:divBdr>
    </w:div>
    <w:div w:id="841243359">
      <w:bodyDiv w:val="1"/>
      <w:marLeft w:val="0"/>
      <w:marRight w:val="0"/>
      <w:marTop w:val="0"/>
      <w:marBottom w:val="0"/>
      <w:divBdr>
        <w:top w:val="none" w:sz="0" w:space="0" w:color="auto"/>
        <w:left w:val="none" w:sz="0" w:space="0" w:color="auto"/>
        <w:bottom w:val="none" w:sz="0" w:space="0" w:color="auto"/>
        <w:right w:val="none" w:sz="0" w:space="0" w:color="auto"/>
      </w:divBdr>
    </w:div>
    <w:div w:id="883057910">
      <w:bodyDiv w:val="1"/>
      <w:marLeft w:val="0"/>
      <w:marRight w:val="0"/>
      <w:marTop w:val="0"/>
      <w:marBottom w:val="0"/>
      <w:divBdr>
        <w:top w:val="none" w:sz="0" w:space="0" w:color="auto"/>
        <w:left w:val="none" w:sz="0" w:space="0" w:color="auto"/>
        <w:bottom w:val="none" w:sz="0" w:space="0" w:color="auto"/>
        <w:right w:val="none" w:sz="0" w:space="0" w:color="auto"/>
      </w:divBdr>
    </w:div>
    <w:div w:id="926770974">
      <w:bodyDiv w:val="1"/>
      <w:marLeft w:val="0"/>
      <w:marRight w:val="0"/>
      <w:marTop w:val="0"/>
      <w:marBottom w:val="0"/>
      <w:divBdr>
        <w:top w:val="none" w:sz="0" w:space="0" w:color="auto"/>
        <w:left w:val="none" w:sz="0" w:space="0" w:color="auto"/>
        <w:bottom w:val="none" w:sz="0" w:space="0" w:color="auto"/>
        <w:right w:val="none" w:sz="0" w:space="0" w:color="auto"/>
      </w:divBdr>
    </w:div>
    <w:div w:id="928350150">
      <w:bodyDiv w:val="1"/>
      <w:marLeft w:val="0"/>
      <w:marRight w:val="0"/>
      <w:marTop w:val="0"/>
      <w:marBottom w:val="0"/>
      <w:divBdr>
        <w:top w:val="none" w:sz="0" w:space="0" w:color="auto"/>
        <w:left w:val="none" w:sz="0" w:space="0" w:color="auto"/>
        <w:bottom w:val="none" w:sz="0" w:space="0" w:color="auto"/>
        <w:right w:val="none" w:sz="0" w:space="0" w:color="auto"/>
      </w:divBdr>
    </w:div>
    <w:div w:id="941033515">
      <w:bodyDiv w:val="1"/>
      <w:marLeft w:val="0"/>
      <w:marRight w:val="0"/>
      <w:marTop w:val="0"/>
      <w:marBottom w:val="0"/>
      <w:divBdr>
        <w:top w:val="none" w:sz="0" w:space="0" w:color="auto"/>
        <w:left w:val="none" w:sz="0" w:space="0" w:color="auto"/>
        <w:bottom w:val="none" w:sz="0" w:space="0" w:color="auto"/>
        <w:right w:val="none" w:sz="0" w:space="0" w:color="auto"/>
      </w:divBdr>
    </w:div>
    <w:div w:id="952398709">
      <w:bodyDiv w:val="1"/>
      <w:marLeft w:val="0"/>
      <w:marRight w:val="0"/>
      <w:marTop w:val="0"/>
      <w:marBottom w:val="0"/>
      <w:divBdr>
        <w:top w:val="none" w:sz="0" w:space="0" w:color="auto"/>
        <w:left w:val="none" w:sz="0" w:space="0" w:color="auto"/>
        <w:bottom w:val="none" w:sz="0" w:space="0" w:color="auto"/>
        <w:right w:val="none" w:sz="0" w:space="0" w:color="auto"/>
      </w:divBdr>
    </w:div>
    <w:div w:id="954679444">
      <w:bodyDiv w:val="1"/>
      <w:marLeft w:val="0"/>
      <w:marRight w:val="0"/>
      <w:marTop w:val="0"/>
      <w:marBottom w:val="0"/>
      <w:divBdr>
        <w:top w:val="none" w:sz="0" w:space="0" w:color="auto"/>
        <w:left w:val="none" w:sz="0" w:space="0" w:color="auto"/>
        <w:bottom w:val="none" w:sz="0" w:space="0" w:color="auto"/>
        <w:right w:val="none" w:sz="0" w:space="0" w:color="auto"/>
      </w:divBdr>
    </w:div>
    <w:div w:id="957684525">
      <w:bodyDiv w:val="1"/>
      <w:marLeft w:val="0"/>
      <w:marRight w:val="0"/>
      <w:marTop w:val="0"/>
      <w:marBottom w:val="0"/>
      <w:divBdr>
        <w:top w:val="none" w:sz="0" w:space="0" w:color="auto"/>
        <w:left w:val="none" w:sz="0" w:space="0" w:color="auto"/>
        <w:bottom w:val="none" w:sz="0" w:space="0" w:color="auto"/>
        <w:right w:val="none" w:sz="0" w:space="0" w:color="auto"/>
      </w:divBdr>
    </w:div>
    <w:div w:id="97094232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7684304">
      <w:bodyDiv w:val="1"/>
      <w:marLeft w:val="0"/>
      <w:marRight w:val="0"/>
      <w:marTop w:val="0"/>
      <w:marBottom w:val="0"/>
      <w:divBdr>
        <w:top w:val="none" w:sz="0" w:space="0" w:color="auto"/>
        <w:left w:val="none" w:sz="0" w:space="0" w:color="auto"/>
        <w:bottom w:val="none" w:sz="0" w:space="0" w:color="auto"/>
        <w:right w:val="none" w:sz="0" w:space="0" w:color="auto"/>
      </w:divBdr>
    </w:div>
    <w:div w:id="1016420071">
      <w:bodyDiv w:val="1"/>
      <w:marLeft w:val="0"/>
      <w:marRight w:val="0"/>
      <w:marTop w:val="0"/>
      <w:marBottom w:val="0"/>
      <w:divBdr>
        <w:top w:val="none" w:sz="0" w:space="0" w:color="auto"/>
        <w:left w:val="none" w:sz="0" w:space="0" w:color="auto"/>
        <w:bottom w:val="none" w:sz="0" w:space="0" w:color="auto"/>
        <w:right w:val="none" w:sz="0" w:space="0" w:color="auto"/>
      </w:divBdr>
    </w:div>
    <w:div w:id="1025448589">
      <w:bodyDiv w:val="1"/>
      <w:marLeft w:val="0"/>
      <w:marRight w:val="0"/>
      <w:marTop w:val="0"/>
      <w:marBottom w:val="0"/>
      <w:divBdr>
        <w:top w:val="none" w:sz="0" w:space="0" w:color="auto"/>
        <w:left w:val="none" w:sz="0" w:space="0" w:color="auto"/>
        <w:bottom w:val="none" w:sz="0" w:space="0" w:color="auto"/>
        <w:right w:val="none" w:sz="0" w:space="0" w:color="auto"/>
      </w:divBdr>
    </w:div>
    <w:div w:id="1033187453">
      <w:bodyDiv w:val="1"/>
      <w:marLeft w:val="0"/>
      <w:marRight w:val="0"/>
      <w:marTop w:val="0"/>
      <w:marBottom w:val="0"/>
      <w:divBdr>
        <w:top w:val="none" w:sz="0" w:space="0" w:color="auto"/>
        <w:left w:val="none" w:sz="0" w:space="0" w:color="auto"/>
        <w:bottom w:val="none" w:sz="0" w:space="0" w:color="auto"/>
        <w:right w:val="none" w:sz="0" w:space="0" w:color="auto"/>
      </w:divBdr>
    </w:div>
    <w:div w:id="1054044605">
      <w:bodyDiv w:val="1"/>
      <w:marLeft w:val="0"/>
      <w:marRight w:val="0"/>
      <w:marTop w:val="0"/>
      <w:marBottom w:val="0"/>
      <w:divBdr>
        <w:top w:val="none" w:sz="0" w:space="0" w:color="auto"/>
        <w:left w:val="none" w:sz="0" w:space="0" w:color="auto"/>
        <w:bottom w:val="none" w:sz="0" w:space="0" w:color="auto"/>
        <w:right w:val="none" w:sz="0" w:space="0" w:color="auto"/>
      </w:divBdr>
    </w:div>
    <w:div w:id="1083836105">
      <w:bodyDiv w:val="1"/>
      <w:marLeft w:val="0"/>
      <w:marRight w:val="0"/>
      <w:marTop w:val="0"/>
      <w:marBottom w:val="0"/>
      <w:divBdr>
        <w:top w:val="none" w:sz="0" w:space="0" w:color="auto"/>
        <w:left w:val="none" w:sz="0" w:space="0" w:color="auto"/>
        <w:bottom w:val="none" w:sz="0" w:space="0" w:color="auto"/>
        <w:right w:val="none" w:sz="0" w:space="0" w:color="auto"/>
      </w:divBdr>
    </w:div>
    <w:div w:id="109328339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7363158">
      <w:bodyDiv w:val="1"/>
      <w:marLeft w:val="0"/>
      <w:marRight w:val="0"/>
      <w:marTop w:val="0"/>
      <w:marBottom w:val="0"/>
      <w:divBdr>
        <w:top w:val="none" w:sz="0" w:space="0" w:color="auto"/>
        <w:left w:val="none" w:sz="0" w:space="0" w:color="auto"/>
        <w:bottom w:val="none" w:sz="0" w:space="0" w:color="auto"/>
        <w:right w:val="none" w:sz="0" w:space="0" w:color="auto"/>
      </w:divBdr>
    </w:div>
    <w:div w:id="1175994746">
      <w:bodyDiv w:val="1"/>
      <w:marLeft w:val="0"/>
      <w:marRight w:val="0"/>
      <w:marTop w:val="0"/>
      <w:marBottom w:val="0"/>
      <w:divBdr>
        <w:top w:val="none" w:sz="0" w:space="0" w:color="auto"/>
        <w:left w:val="none" w:sz="0" w:space="0" w:color="auto"/>
        <w:bottom w:val="none" w:sz="0" w:space="0" w:color="auto"/>
        <w:right w:val="none" w:sz="0" w:space="0" w:color="auto"/>
      </w:divBdr>
    </w:div>
    <w:div w:id="1204557213">
      <w:bodyDiv w:val="1"/>
      <w:marLeft w:val="0"/>
      <w:marRight w:val="0"/>
      <w:marTop w:val="0"/>
      <w:marBottom w:val="0"/>
      <w:divBdr>
        <w:top w:val="none" w:sz="0" w:space="0" w:color="auto"/>
        <w:left w:val="none" w:sz="0" w:space="0" w:color="auto"/>
        <w:bottom w:val="none" w:sz="0" w:space="0" w:color="auto"/>
        <w:right w:val="none" w:sz="0" w:space="0" w:color="auto"/>
      </w:divBdr>
    </w:div>
    <w:div w:id="1207638803">
      <w:bodyDiv w:val="1"/>
      <w:marLeft w:val="0"/>
      <w:marRight w:val="0"/>
      <w:marTop w:val="0"/>
      <w:marBottom w:val="0"/>
      <w:divBdr>
        <w:top w:val="none" w:sz="0" w:space="0" w:color="auto"/>
        <w:left w:val="none" w:sz="0" w:space="0" w:color="auto"/>
        <w:bottom w:val="none" w:sz="0" w:space="0" w:color="auto"/>
        <w:right w:val="none" w:sz="0" w:space="0" w:color="auto"/>
      </w:divBdr>
    </w:div>
    <w:div w:id="1268079967">
      <w:bodyDiv w:val="1"/>
      <w:marLeft w:val="0"/>
      <w:marRight w:val="0"/>
      <w:marTop w:val="0"/>
      <w:marBottom w:val="0"/>
      <w:divBdr>
        <w:top w:val="none" w:sz="0" w:space="0" w:color="auto"/>
        <w:left w:val="none" w:sz="0" w:space="0" w:color="auto"/>
        <w:bottom w:val="none" w:sz="0" w:space="0" w:color="auto"/>
        <w:right w:val="none" w:sz="0" w:space="0" w:color="auto"/>
      </w:divBdr>
    </w:div>
    <w:div w:id="1278027781">
      <w:bodyDiv w:val="1"/>
      <w:marLeft w:val="0"/>
      <w:marRight w:val="0"/>
      <w:marTop w:val="0"/>
      <w:marBottom w:val="0"/>
      <w:divBdr>
        <w:top w:val="none" w:sz="0" w:space="0" w:color="auto"/>
        <w:left w:val="none" w:sz="0" w:space="0" w:color="auto"/>
        <w:bottom w:val="none" w:sz="0" w:space="0" w:color="auto"/>
        <w:right w:val="none" w:sz="0" w:space="0" w:color="auto"/>
      </w:divBdr>
    </w:div>
    <w:div w:id="1292126481">
      <w:bodyDiv w:val="1"/>
      <w:marLeft w:val="0"/>
      <w:marRight w:val="0"/>
      <w:marTop w:val="0"/>
      <w:marBottom w:val="0"/>
      <w:divBdr>
        <w:top w:val="none" w:sz="0" w:space="0" w:color="auto"/>
        <w:left w:val="none" w:sz="0" w:space="0" w:color="auto"/>
        <w:bottom w:val="none" w:sz="0" w:space="0" w:color="auto"/>
        <w:right w:val="none" w:sz="0" w:space="0" w:color="auto"/>
      </w:divBdr>
    </w:div>
    <w:div w:id="1296062378">
      <w:bodyDiv w:val="1"/>
      <w:marLeft w:val="0"/>
      <w:marRight w:val="0"/>
      <w:marTop w:val="0"/>
      <w:marBottom w:val="0"/>
      <w:divBdr>
        <w:top w:val="none" w:sz="0" w:space="0" w:color="auto"/>
        <w:left w:val="none" w:sz="0" w:space="0" w:color="auto"/>
        <w:bottom w:val="none" w:sz="0" w:space="0" w:color="auto"/>
        <w:right w:val="none" w:sz="0" w:space="0" w:color="auto"/>
      </w:divBdr>
    </w:div>
    <w:div w:id="1296834043">
      <w:bodyDiv w:val="1"/>
      <w:marLeft w:val="0"/>
      <w:marRight w:val="0"/>
      <w:marTop w:val="0"/>
      <w:marBottom w:val="0"/>
      <w:divBdr>
        <w:top w:val="none" w:sz="0" w:space="0" w:color="auto"/>
        <w:left w:val="none" w:sz="0" w:space="0" w:color="auto"/>
        <w:bottom w:val="none" w:sz="0" w:space="0" w:color="auto"/>
        <w:right w:val="none" w:sz="0" w:space="0" w:color="auto"/>
      </w:divBdr>
    </w:div>
    <w:div w:id="1324624055">
      <w:bodyDiv w:val="1"/>
      <w:marLeft w:val="0"/>
      <w:marRight w:val="0"/>
      <w:marTop w:val="0"/>
      <w:marBottom w:val="0"/>
      <w:divBdr>
        <w:top w:val="none" w:sz="0" w:space="0" w:color="auto"/>
        <w:left w:val="none" w:sz="0" w:space="0" w:color="auto"/>
        <w:bottom w:val="none" w:sz="0" w:space="0" w:color="auto"/>
        <w:right w:val="none" w:sz="0" w:space="0" w:color="auto"/>
      </w:divBdr>
    </w:div>
    <w:div w:id="1325426918">
      <w:bodyDiv w:val="1"/>
      <w:marLeft w:val="0"/>
      <w:marRight w:val="0"/>
      <w:marTop w:val="0"/>
      <w:marBottom w:val="0"/>
      <w:divBdr>
        <w:top w:val="none" w:sz="0" w:space="0" w:color="auto"/>
        <w:left w:val="none" w:sz="0" w:space="0" w:color="auto"/>
        <w:bottom w:val="none" w:sz="0" w:space="0" w:color="auto"/>
        <w:right w:val="none" w:sz="0" w:space="0" w:color="auto"/>
      </w:divBdr>
    </w:div>
    <w:div w:id="1334991110">
      <w:bodyDiv w:val="1"/>
      <w:marLeft w:val="0"/>
      <w:marRight w:val="0"/>
      <w:marTop w:val="0"/>
      <w:marBottom w:val="0"/>
      <w:divBdr>
        <w:top w:val="none" w:sz="0" w:space="0" w:color="auto"/>
        <w:left w:val="none" w:sz="0" w:space="0" w:color="auto"/>
        <w:bottom w:val="none" w:sz="0" w:space="0" w:color="auto"/>
        <w:right w:val="none" w:sz="0" w:space="0" w:color="auto"/>
      </w:divBdr>
    </w:div>
    <w:div w:id="1369987016">
      <w:bodyDiv w:val="1"/>
      <w:marLeft w:val="0"/>
      <w:marRight w:val="0"/>
      <w:marTop w:val="0"/>
      <w:marBottom w:val="0"/>
      <w:divBdr>
        <w:top w:val="none" w:sz="0" w:space="0" w:color="auto"/>
        <w:left w:val="none" w:sz="0" w:space="0" w:color="auto"/>
        <w:bottom w:val="none" w:sz="0" w:space="0" w:color="auto"/>
        <w:right w:val="none" w:sz="0" w:space="0" w:color="auto"/>
      </w:divBdr>
    </w:div>
    <w:div w:id="1381242601">
      <w:bodyDiv w:val="1"/>
      <w:marLeft w:val="0"/>
      <w:marRight w:val="0"/>
      <w:marTop w:val="0"/>
      <w:marBottom w:val="0"/>
      <w:divBdr>
        <w:top w:val="none" w:sz="0" w:space="0" w:color="auto"/>
        <w:left w:val="none" w:sz="0" w:space="0" w:color="auto"/>
        <w:bottom w:val="none" w:sz="0" w:space="0" w:color="auto"/>
        <w:right w:val="none" w:sz="0" w:space="0" w:color="auto"/>
      </w:divBdr>
    </w:div>
    <w:div w:id="140090581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2190984">
      <w:bodyDiv w:val="1"/>
      <w:marLeft w:val="0"/>
      <w:marRight w:val="0"/>
      <w:marTop w:val="0"/>
      <w:marBottom w:val="0"/>
      <w:divBdr>
        <w:top w:val="none" w:sz="0" w:space="0" w:color="auto"/>
        <w:left w:val="none" w:sz="0" w:space="0" w:color="auto"/>
        <w:bottom w:val="none" w:sz="0" w:space="0" w:color="auto"/>
        <w:right w:val="none" w:sz="0" w:space="0" w:color="auto"/>
      </w:divBdr>
    </w:div>
    <w:div w:id="1416440149">
      <w:bodyDiv w:val="1"/>
      <w:marLeft w:val="0"/>
      <w:marRight w:val="0"/>
      <w:marTop w:val="0"/>
      <w:marBottom w:val="0"/>
      <w:divBdr>
        <w:top w:val="none" w:sz="0" w:space="0" w:color="auto"/>
        <w:left w:val="none" w:sz="0" w:space="0" w:color="auto"/>
        <w:bottom w:val="none" w:sz="0" w:space="0" w:color="auto"/>
        <w:right w:val="none" w:sz="0" w:space="0" w:color="auto"/>
      </w:divBdr>
    </w:div>
    <w:div w:id="143952594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2623942">
      <w:bodyDiv w:val="1"/>
      <w:marLeft w:val="0"/>
      <w:marRight w:val="0"/>
      <w:marTop w:val="0"/>
      <w:marBottom w:val="0"/>
      <w:divBdr>
        <w:top w:val="none" w:sz="0" w:space="0" w:color="auto"/>
        <w:left w:val="none" w:sz="0" w:space="0" w:color="auto"/>
        <w:bottom w:val="none" w:sz="0" w:space="0" w:color="auto"/>
        <w:right w:val="none" w:sz="0" w:space="0" w:color="auto"/>
      </w:divBdr>
    </w:div>
    <w:div w:id="1458110774">
      <w:bodyDiv w:val="1"/>
      <w:marLeft w:val="0"/>
      <w:marRight w:val="0"/>
      <w:marTop w:val="0"/>
      <w:marBottom w:val="0"/>
      <w:divBdr>
        <w:top w:val="none" w:sz="0" w:space="0" w:color="auto"/>
        <w:left w:val="none" w:sz="0" w:space="0" w:color="auto"/>
        <w:bottom w:val="none" w:sz="0" w:space="0" w:color="auto"/>
        <w:right w:val="none" w:sz="0" w:space="0" w:color="auto"/>
      </w:divBdr>
    </w:div>
    <w:div w:id="1472550605">
      <w:bodyDiv w:val="1"/>
      <w:marLeft w:val="0"/>
      <w:marRight w:val="0"/>
      <w:marTop w:val="0"/>
      <w:marBottom w:val="0"/>
      <w:divBdr>
        <w:top w:val="none" w:sz="0" w:space="0" w:color="auto"/>
        <w:left w:val="none" w:sz="0" w:space="0" w:color="auto"/>
        <w:bottom w:val="none" w:sz="0" w:space="0" w:color="auto"/>
        <w:right w:val="none" w:sz="0" w:space="0" w:color="auto"/>
      </w:divBdr>
    </w:div>
    <w:div w:id="1496646546">
      <w:bodyDiv w:val="1"/>
      <w:marLeft w:val="0"/>
      <w:marRight w:val="0"/>
      <w:marTop w:val="0"/>
      <w:marBottom w:val="0"/>
      <w:divBdr>
        <w:top w:val="none" w:sz="0" w:space="0" w:color="auto"/>
        <w:left w:val="none" w:sz="0" w:space="0" w:color="auto"/>
        <w:bottom w:val="none" w:sz="0" w:space="0" w:color="auto"/>
        <w:right w:val="none" w:sz="0" w:space="0" w:color="auto"/>
      </w:divBdr>
    </w:div>
    <w:div w:id="1522937328">
      <w:bodyDiv w:val="1"/>
      <w:marLeft w:val="0"/>
      <w:marRight w:val="0"/>
      <w:marTop w:val="0"/>
      <w:marBottom w:val="0"/>
      <w:divBdr>
        <w:top w:val="none" w:sz="0" w:space="0" w:color="auto"/>
        <w:left w:val="none" w:sz="0" w:space="0" w:color="auto"/>
        <w:bottom w:val="none" w:sz="0" w:space="0" w:color="auto"/>
        <w:right w:val="none" w:sz="0" w:space="0" w:color="auto"/>
      </w:divBdr>
    </w:div>
    <w:div w:id="1526823619">
      <w:bodyDiv w:val="1"/>
      <w:marLeft w:val="0"/>
      <w:marRight w:val="0"/>
      <w:marTop w:val="0"/>
      <w:marBottom w:val="0"/>
      <w:divBdr>
        <w:top w:val="none" w:sz="0" w:space="0" w:color="auto"/>
        <w:left w:val="none" w:sz="0" w:space="0" w:color="auto"/>
        <w:bottom w:val="none" w:sz="0" w:space="0" w:color="auto"/>
        <w:right w:val="none" w:sz="0" w:space="0" w:color="auto"/>
      </w:divBdr>
    </w:div>
    <w:div w:id="1603535650">
      <w:bodyDiv w:val="1"/>
      <w:marLeft w:val="0"/>
      <w:marRight w:val="0"/>
      <w:marTop w:val="0"/>
      <w:marBottom w:val="0"/>
      <w:divBdr>
        <w:top w:val="none" w:sz="0" w:space="0" w:color="auto"/>
        <w:left w:val="none" w:sz="0" w:space="0" w:color="auto"/>
        <w:bottom w:val="none" w:sz="0" w:space="0" w:color="auto"/>
        <w:right w:val="none" w:sz="0" w:space="0" w:color="auto"/>
      </w:divBdr>
    </w:div>
    <w:div w:id="1605266546">
      <w:bodyDiv w:val="1"/>
      <w:marLeft w:val="0"/>
      <w:marRight w:val="0"/>
      <w:marTop w:val="0"/>
      <w:marBottom w:val="0"/>
      <w:divBdr>
        <w:top w:val="none" w:sz="0" w:space="0" w:color="auto"/>
        <w:left w:val="none" w:sz="0" w:space="0" w:color="auto"/>
        <w:bottom w:val="none" w:sz="0" w:space="0" w:color="auto"/>
        <w:right w:val="none" w:sz="0" w:space="0" w:color="auto"/>
      </w:divBdr>
    </w:div>
    <w:div w:id="1620068308">
      <w:bodyDiv w:val="1"/>
      <w:marLeft w:val="0"/>
      <w:marRight w:val="0"/>
      <w:marTop w:val="0"/>
      <w:marBottom w:val="0"/>
      <w:divBdr>
        <w:top w:val="none" w:sz="0" w:space="0" w:color="auto"/>
        <w:left w:val="none" w:sz="0" w:space="0" w:color="auto"/>
        <w:bottom w:val="none" w:sz="0" w:space="0" w:color="auto"/>
        <w:right w:val="none" w:sz="0" w:space="0" w:color="auto"/>
      </w:divBdr>
    </w:div>
    <w:div w:id="1623264708">
      <w:bodyDiv w:val="1"/>
      <w:marLeft w:val="0"/>
      <w:marRight w:val="0"/>
      <w:marTop w:val="0"/>
      <w:marBottom w:val="0"/>
      <w:divBdr>
        <w:top w:val="none" w:sz="0" w:space="0" w:color="auto"/>
        <w:left w:val="none" w:sz="0" w:space="0" w:color="auto"/>
        <w:bottom w:val="none" w:sz="0" w:space="0" w:color="auto"/>
        <w:right w:val="none" w:sz="0" w:space="0" w:color="auto"/>
      </w:divBdr>
    </w:div>
    <w:div w:id="1624850311">
      <w:bodyDiv w:val="1"/>
      <w:marLeft w:val="0"/>
      <w:marRight w:val="0"/>
      <w:marTop w:val="0"/>
      <w:marBottom w:val="0"/>
      <w:divBdr>
        <w:top w:val="none" w:sz="0" w:space="0" w:color="auto"/>
        <w:left w:val="none" w:sz="0" w:space="0" w:color="auto"/>
        <w:bottom w:val="none" w:sz="0" w:space="0" w:color="auto"/>
        <w:right w:val="none" w:sz="0" w:space="0" w:color="auto"/>
      </w:divBdr>
    </w:div>
    <w:div w:id="162681207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007239">
      <w:bodyDiv w:val="1"/>
      <w:marLeft w:val="0"/>
      <w:marRight w:val="0"/>
      <w:marTop w:val="0"/>
      <w:marBottom w:val="0"/>
      <w:divBdr>
        <w:top w:val="none" w:sz="0" w:space="0" w:color="auto"/>
        <w:left w:val="none" w:sz="0" w:space="0" w:color="auto"/>
        <w:bottom w:val="none" w:sz="0" w:space="0" w:color="auto"/>
        <w:right w:val="none" w:sz="0" w:space="0" w:color="auto"/>
      </w:divBdr>
    </w:div>
    <w:div w:id="1634821686">
      <w:bodyDiv w:val="1"/>
      <w:marLeft w:val="0"/>
      <w:marRight w:val="0"/>
      <w:marTop w:val="0"/>
      <w:marBottom w:val="0"/>
      <w:divBdr>
        <w:top w:val="none" w:sz="0" w:space="0" w:color="auto"/>
        <w:left w:val="none" w:sz="0" w:space="0" w:color="auto"/>
        <w:bottom w:val="none" w:sz="0" w:space="0" w:color="auto"/>
        <w:right w:val="none" w:sz="0" w:space="0" w:color="auto"/>
      </w:divBdr>
    </w:div>
    <w:div w:id="1663392433">
      <w:bodyDiv w:val="1"/>
      <w:marLeft w:val="0"/>
      <w:marRight w:val="0"/>
      <w:marTop w:val="0"/>
      <w:marBottom w:val="0"/>
      <w:divBdr>
        <w:top w:val="none" w:sz="0" w:space="0" w:color="auto"/>
        <w:left w:val="none" w:sz="0" w:space="0" w:color="auto"/>
        <w:bottom w:val="none" w:sz="0" w:space="0" w:color="auto"/>
        <w:right w:val="none" w:sz="0" w:space="0" w:color="auto"/>
      </w:divBdr>
    </w:div>
    <w:div w:id="1665086866">
      <w:bodyDiv w:val="1"/>
      <w:marLeft w:val="0"/>
      <w:marRight w:val="0"/>
      <w:marTop w:val="0"/>
      <w:marBottom w:val="0"/>
      <w:divBdr>
        <w:top w:val="none" w:sz="0" w:space="0" w:color="auto"/>
        <w:left w:val="none" w:sz="0" w:space="0" w:color="auto"/>
        <w:bottom w:val="none" w:sz="0" w:space="0" w:color="auto"/>
        <w:right w:val="none" w:sz="0" w:space="0" w:color="auto"/>
      </w:divBdr>
    </w:div>
    <w:div w:id="1676809717">
      <w:bodyDiv w:val="1"/>
      <w:marLeft w:val="0"/>
      <w:marRight w:val="0"/>
      <w:marTop w:val="0"/>
      <w:marBottom w:val="0"/>
      <w:divBdr>
        <w:top w:val="none" w:sz="0" w:space="0" w:color="auto"/>
        <w:left w:val="none" w:sz="0" w:space="0" w:color="auto"/>
        <w:bottom w:val="none" w:sz="0" w:space="0" w:color="auto"/>
        <w:right w:val="none" w:sz="0" w:space="0" w:color="auto"/>
      </w:divBdr>
    </w:div>
    <w:div w:id="1688018002">
      <w:bodyDiv w:val="1"/>
      <w:marLeft w:val="0"/>
      <w:marRight w:val="0"/>
      <w:marTop w:val="0"/>
      <w:marBottom w:val="0"/>
      <w:divBdr>
        <w:top w:val="none" w:sz="0" w:space="0" w:color="auto"/>
        <w:left w:val="none" w:sz="0" w:space="0" w:color="auto"/>
        <w:bottom w:val="none" w:sz="0" w:space="0" w:color="auto"/>
        <w:right w:val="none" w:sz="0" w:space="0" w:color="auto"/>
      </w:divBdr>
    </w:div>
    <w:div w:id="1711145971">
      <w:bodyDiv w:val="1"/>
      <w:marLeft w:val="0"/>
      <w:marRight w:val="0"/>
      <w:marTop w:val="0"/>
      <w:marBottom w:val="0"/>
      <w:divBdr>
        <w:top w:val="none" w:sz="0" w:space="0" w:color="auto"/>
        <w:left w:val="none" w:sz="0" w:space="0" w:color="auto"/>
        <w:bottom w:val="none" w:sz="0" w:space="0" w:color="auto"/>
        <w:right w:val="none" w:sz="0" w:space="0" w:color="auto"/>
      </w:divBdr>
    </w:div>
    <w:div w:id="1726828455">
      <w:bodyDiv w:val="1"/>
      <w:marLeft w:val="0"/>
      <w:marRight w:val="0"/>
      <w:marTop w:val="0"/>
      <w:marBottom w:val="0"/>
      <w:divBdr>
        <w:top w:val="none" w:sz="0" w:space="0" w:color="auto"/>
        <w:left w:val="none" w:sz="0" w:space="0" w:color="auto"/>
        <w:bottom w:val="none" w:sz="0" w:space="0" w:color="auto"/>
        <w:right w:val="none" w:sz="0" w:space="0" w:color="auto"/>
      </w:divBdr>
    </w:div>
    <w:div w:id="1729569275">
      <w:bodyDiv w:val="1"/>
      <w:marLeft w:val="0"/>
      <w:marRight w:val="0"/>
      <w:marTop w:val="0"/>
      <w:marBottom w:val="0"/>
      <w:divBdr>
        <w:top w:val="none" w:sz="0" w:space="0" w:color="auto"/>
        <w:left w:val="none" w:sz="0" w:space="0" w:color="auto"/>
        <w:bottom w:val="none" w:sz="0" w:space="0" w:color="auto"/>
        <w:right w:val="none" w:sz="0" w:space="0" w:color="auto"/>
      </w:divBdr>
    </w:div>
    <w:div w:id="1735397221">
      <w:bodyDiv w:val="1"/>
      <w:marLeft w:val="0"/>
      <w:marRight w:val="0"/>
      <w:marTop w:val="0"/>
      <w:marBottom w:val="0"/>
      <w:divBdr>
        <w:top w:val="none" w:sz="0" w:space="0" w:color="auto"/>
        <w:left w:val="none" w:sz="0" w:space="0" w:color="auto"/>
        <w:bottom w:val="none" w:sz="0" w:space="0" w:color="auto"/>
        <w:right w:val="none" w:sz="0" w:space="0" w:color="auto"/>
      </w:divBdr>
    </w:div>
    <w:div w:id="1753231657">
      <w:bodyDiv w:val="1"/>
      <w:marLeft w:val="0"/>
      <w:marRight w:val="0"/>
      <w:marTop w:val="0"/>
      <w:marBottom w:val="0"/>
      <w:divBdr>
        <w:top w:val="none" w:sz="0" w:space="0" w:color="auto"/>
        <w:left w:val="none" w:sz="0" w:space="0" w:color="auto"/>
        <w:bottom w:val="none" w:sz="0" w:space="0" w:color="auto"/>
        <w:right w:val="none" w:sz="0" w:space="0" w:color="auto"/>
      </w:divBdr>
    </w:div>
    <w:div w:id="1761170254">
      <w:bodyDiv w:val="1"/>
      <w:marLeft w:val="0"/>
      <w:marRight w:val="0"/>
      <w:marTop w:val="0"/>
      <w:marBottom w:val="0"/>
      <w:divBdr>
        <w:top w:val="none" w:sz="0" w:space="0" w:color="auto"/>
        <w:left w:val="none" w:sz="0" w:space="0" w:color="auto"/>
        <w:bottom w:val="none" w:sz="0" w:space="0" w:color="auto"/>
        <w:right w:val="none" w:sz="0" w:space="0" w:color="auto"/>
      </w:divBdr>
    </w:div>
    <w:div w:id="1771584867">
      <w:bodyDiv w:val="1"/>
      <w:marLeft w:val="0"/>
      <w:marRight w:val="0"/>
      <w:marTop w:val="0"/>
      <w:marBottom w:val="0"/>
      <w:divBdr>
        <w:top w:val="none" w:sz="0" w:space="0" w:color="auto"/>
        <w:left w:val="none" w:sz="0" w:space="0" w:color="auto"/>
        <w:bottom w:val="none" w:sz="0" w:space="0" w:color="auto"/>
        <w:right w:val="none" w:sz="0" w:space="0" w:color="auto"/>
      </w:divBdr>
    </w:div>
    <w:div w:id="1775131814">
      <w:bodyDiv w:val="1"/>
      <w:marLeft w:val="0"/>
      <w:marRight w:val="0"/>
      <w:marTop w:val="0"/>
      <w:marBottom w:val="0"/>
      <w:divBdr>
        <w:top w:val="none" w:sz="0" w:space="0" w:color="auto"/>
        <w:left w:val="none" w:sz="0" w:space="0" w:color="auto"/>
        <w:bottom w:val="none" w:sz="0" w:space="0" w:color="auto"/>
        <w:right w:val="none" w:sz="0" w:space="0" w:color="auto"/>
      </w:divBdr>
    </w:div>
    <w:div w:id="1777753493">
      <w:bodyDiv w:val="1"/>
      <w:marLeft w:val="0"/>
      <w:marRight w:val="0"/>
      <w:marTop w:val="0"/>
      <w:marBottom w:val="0"/>
      <w:divBdr>
        <w:top w:val="none" w:sz="0" w:space="0" w:color="auto"/>
        <w:left w:val="none" w:sz="0" w:space="0" w:color="auto"/>
        <w:bottom w:val="none" w:sz="0" w:space="0" w:color="auto"/>
        <w:right w:val="none" w:sz="0" w:space="0" w:color="auto"/>
      </w:divBdr>
    </w:div>
    <w:div w:id="1782412433">
      <w:bodyDiv w:val="1"/>
      <w:marLeft w:val="0"/>
      <w:marRight w:val="0"/>
      <w:marTop w:val="0"/>
      <w:marBottom w:val="0"/>
      <w:divBdr>
        <w:top w:val="none" w:sz="0" w:space="0" w:color="auto"/>
        <w:left w:val="none" w:sz="0" w:space="0" w:color="auto"/>
        <w:bottom w:val="none" w:sz="0" w:space="0" w:color="auto"/>
        <w:right w:val="none" w:sz="0" w:space="0" w:color="auto"/>
      </w:divBdr>
    </w:div>
    <w:div w:id="1791895974">
      <w:bodyDiv w:val="1"/>
      <w:marLeft w:val="0"/>
      <w:marRight w:val="0"/>
      <w:marTop w:val="0"/>
      <w:marBottom w:val="0"/>
      <w:divBdr>
        <w:top w:val="none" w:sz="0" w:space="0" w:color="auto"/>
        <w:left w:val="none" w:sz="0" w:space="0" w:color="auto"/>
        <w:bottom w:val="none" w:sz="0" w:space="0" w:color="auto"/>
        <w:right w:val="none" w:sz="0" w:space="0" w:color="auto"/>
      </w:divBdr>
    </w:div>
    <w:div w:id="179747952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781326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7235456">
      <w:bodyDiv w:val="1"/>
      <w:marLeft w:val="0"/>
      <w:marRight w:val="0"/>
      <w:marTop w:val="0"/>
      <w:marBottom w:val="0"/>
      <w:divBdr>
        <w:top w:val="none" w:sz="0" w:space="0" w:color="auto"/>
        <w:left w:val="none" w:sz="0" w:space="0" w:color="auto"/>
        <w:bottom w:val="none" w:sz="0" w:space="0" w:color="auto"/>
        <w:right w:val="none" w:sz="0" w:space="0" w:color="auto"/>
      </w:divBdr>
    </w:div>
    <w:div w:id="1841046355">
      <w:bodyDiv w:val="1"/>
      <w:marLeft w:val="0"/>
      <w:marRight w:val="0"/>
      <w:marTop w:val="0"/>
      <w:marBottom w:val="0"/>
      <w:divBdr>
        <w:top w:val="none" w:sz="0" w:space="0" w:color="auto"/>
        <w:left w:val="none" w:sz="0" w:space="0" w:color="auto"/>
        <w:bottom w:val="none" w:sz="0" w:space="0" w:color="auto"/>
        <w:right w:val="none" w:sz="0" w:space="0" w:color="auto"/>
      </w:divBdr>
    </w:div>
    <w:div w:id="1853375141">
      <w:bodyDiv w:val="1"/>
      <w:marLeft w:val="0"/>
      <w:marRight w:val="0"/>
      <w:marTop w:val="0"/>
      <w:marBottom w:val="0"/>
      <w:divBdr>
        <w:top w:val="none" w:sz="0" w:space="0" w:color="auto"/>
        <w:left w:val="none" w:sz="0" w:space="0" w:color="auto"/>
        <w:bottom w:val="none" w:sz="0" w:space="0" w:color="auto"/>
        <w:right w:val="none" w:sz="0" w:space="0" w:color="auto"/>
      </w:divBdr>
    </w:div>
    <w:div w:id="1865821881">
      <w:bodyDiv w:val="1"/>
      <w:marLeft w:val="0"/>
      <w:marRight w:val="0"/>
      <w:marTop w:val="0"/>
      <w:marBottom w:val="0"/>
      <w:divBdr>
        <w:top w:val="none" w:sz="0" w:space="0" w:color="auto"/>
        <w:left w:val="none" w:sz="0" w:space="0" w:color="auto"/>
        <w:bottom w:val="none" w:sz="0" w:space="0" w:color="auto"/>
        <w:right w:val="none" w:sz="0" w:space="0" w:color="auto"/>
      </w:divBdr>
    </w:div>
    <w:div w:id="1888763151">
      <w:bodyDiv w:val="1"/>
      <w:marLeft w:val="0"/>
      <w:marRight w:val="0"/>
      <w:marTop w:val="0"/>
      <w:marBottom w:val="0"/>
      <w:divBdr>
        <w:top w:val="none" w:sz="0" w:space="0" w:color="auto"/>
        <w:left w:val="none" w:sz="0" w:space="0" w:color="auto"/>
        <w:bottom w:val="none" w:sz="0" w:space="0" w:color="auto"/>
        <w:right w:val="none" w:sz="0" w:space="0" w:color="auto"/>
      </w:divBdr>
    </w:div>
    <w:div w:id="1890922926">
      <w:bodyDiv w:val="1"/>
      <w:marLeft w:val="0"/>
      <w:marRight w:val="0"/>
      <w:marTop w:val="0"/>
      <w:marBottom w:val="0"/>
      <w:divBdr>
        <w:top w:val="none" w:sz="0" w:space="0" w:color="auto"/>
        <w:left w:val="none" w:sz="0" w:space="0" w:color="auto"/>
        <w:bottom w:val="none" w:sz="0" w:space="0" w:color="auto"/>
        <w:right w:val="none" w:sz="0" w:space="0" w:color="auto"/>
      </w:divBdr>
    </w:div>
    <w:div w:id="1892186771">
      <w:bodyDiv w:val="1"/>
      <w:marLeft w:val="0"/>
      <w:marRight w:val="0"/>
      <w:marTop w:val="0"/>
      <w:marBottom w:val="0"/>
      <w:divBdr>
        <w:top w:val="none" w:sz="0" w:space="0" w:color="auto"/>
        <w:left w:val="none" w:sz="0" w:space="0" w:color="auto"/>
        <w:bottom w:val="none" w:sz="0" w:space="0" w:color="auto"/>
        <w:right w:val="none" w:sz="0" w:space="0" w:color="auto"/>
      </w:divBdr>
    </w:div>
    <w:div w:id="1902248169">
      <w:bodyDiv w:val="1"/>
      <w:marLeft w:val="0"/>
      <w:marRight w:val="0"/>
      <w:marTop w:val="0"/>
      <w:marBottom w:val="0"/>
      <w:divBdr>
        <w:top w:val="none" w:sz="0" w:space="0" w:color="auto"/>
        <w:left w:val="none" w:sz="0" w:space="0" w:color="auto"/>
        <w:bottom w:val="none" w:sz="0" w:space="0" w:color="auto"/>
        <w:right w:val="none" w:sz="0" w:space="0" w:color="auto"/>
      </w:divBdr>
    </w:div>
    <w:div w:id="1903321710">
      <w:bodyDiv w:val="1"/>
      <w:marLeft w:val="0"/>
      <w:marRight w:val="0"/>
      <w:marTop w:val="0"/>
      <w:marBottom w:val="0"/>
      <w:divBdr>
        <w:top w:val="none" w:sz="0" w:space="0" w:color="auto"/>
        <w:left w:val="none" w:sz="0" w:space="0" w:color="auto"/>
        <w:bottom w:val="none" w:sz="0" w:space="0" w:color="auto"/>
        <w:right w:val="none" w:sz="0" w:space="0" w:color="auto"/>
      </w:divBdr>
    </w:div>
    <w:div w:id="1909341074">
      <w:bodyDiv w:val="1"/>
      <w:marLeft w:val="0"/>
      <w:marRight w:val="0"/>
      <w:marTop w:val="0"/>
      <w:marBottom w:val="0"/>
      <w:divBdr>
        <w:top w:val="none" w:sz="0" w:space="0" w:color="auto"/>
        <w:left w:val="none" w:sz="0" w:space="0" w:color="auto"/>
        <w:bottom w:val="none" w:sz="0" w:space="0" w:color="auto"/>
        <w:right w:val="none" w:sz="0" w:space="0" w:color="auto"/>
      </w:divBdr>
    </w:div>
    <w:div w:id="1930385548">
      <w:bodyDiv w:val="1"/>
      <w:marLeft w:val="0"/>
      <w:marRight w:val="0"/>
      <w:marTop w:val="0"/>
      <w:marBottom w:val="0"/>
      <w:divBdr>
        <w:top w:val="none" w:sz="0" w:space="0" w:color="auto"/>
        <w:left w:val="none" w:sz="0" w:space="0" w:color="auto"/>
        <w:bottom w:val="none" w:sz="0" w:space="0" w:color="auto"/>
        <w:right w:val="none" w:sz="0" w:space="0" w:color="auto"/>
      </w:divBdr>
    </w:div>
    <w:div w:id="1948806445">
      <w:bodyDiv w:val="1"/>
      <w:marLeft w:val="0"/>
      <w:marRight w:val="0"/>
      <w:marTop w:val="0"/>
      <w:marBottom w:val="0"/>
      <w:divBdr>
        <w:top w:val="none" w:sz="0" w:space="0" w:color="auto"/>
        <w:left w:val="none" w:sz="0" w:space="0" w:color="auto"/>
        <w:bottom w:val="none" w:sz="0" w:space="0" w:color="auto"/>
        <w:right w:val="none" w:sz="0" w:space="0" w:color="auto"/>
      </w:divBdr>
    </w:div>
    <w:div w:id="1968506740">
      <w:bodyDiv w:val="1"/>
      <w:marLeft w:val="0"/>
      <w:marRight w:val="0"/>
      <w:marTop w:val="0"/>
      <w:marBottom w:val="0"/>
      <w:divBdr>
        <w:top w:val="none" w:sz="0" w:space="0" w:color="auto"/>
        <w:left w:val="none" w:sz="0" w:space="0" w:color="auto"/>
        <w:bottom w:val="none" w:sz="0" w:space="0" w:color="auto"/>
        <w:right w:val="none" w:sz="0" w:space="0" w:color="auto"/>
      </w:divBdr>
    </w:div>
    <w:div w:id="1975326144">
      <w:bodyDiv w:val="1"/>
      <w:marLeft w:val="0"/>
      <w:marRight w:val="0"/>
      <w:marTop w:val="0"/>
      <w:marBottom w:val="0"/>
      <w:divBdr>
        <w:top w:val="none" w:sz="0" w:space="0" w:color="auto"/>
        <w:left w:val="none" w:sz="0" w:space="0" w:color="auto"/>
        <w:bottom w:val="none" w:sz="0" w:space="0" w:color="auto"/>
        <w:right w:val="none" w:sz="0" w:space="0" w:color="auto"/>
      </w:divBdr>
    </w:div>
    <w:div w:id="1979139561">
      <w:bodyDiv w:val="1"/>
      <w:marLeft w:val="0"/>
      <w:marRight w:val="0"/>
      <w:marTop w:val="0"/>
      <w:marBottom w:val="0"/>
      <w:divBdr>
        <w:top w:val="none" w:sz="0" w:space="0" w:color="auto"/>
        <w:left w:val="none" w:sz="0" w:space="0" w:color="auto"/>
        <w:bottom w:val="none" w:sz="0" w:space="0" w:color="auto"/>
        <w:right w:val="none" w:sz="0" w:space="0" w:color="auto"/>
      </w:divBdr>
    </w:div>
    <w:div w:id="1987859872">
      <w:bodyDiv w:val="1"/>
      <w:marLeft w:val="0"/>
      <w:marRight w:val="0"/>
      <w:marTop w:val="0"/>
      <w:marBottom w:val="0"/>
      <w:divBdr>
        <w:top w:val="none" w:sz="0" w:space="0" w:color="auto"/>
        <w:left w:val="none" w:sz="0" w:space="0" w:color="auto"/>
        <w:bottom w:val="none" w:sz="0" w:space="0" w:color="auto"/>
        <w:right w:val="none" w:sz="0" w:space="0" w:color="auto"/>
      </w:divBdr>
    </w:div>
    <w:div w:id="1993366083">
      <w:bodyDiv w:val="1"/>
      <w:marLeft w:val="0"/>
      <w:marRight w:val="0"/>
      <w:marTop w:val="0"/>
      <w:marBottom w:val="0"/>
      <w:divBdr>
        <w:top w:val="none" w:sz="0" w:space="0" w:color="auto"/>
        <w:left w:val="none" w:sz="0" w:space="0" w:color="auto"/>
        <w:bottom w:val="none" w:sz="0" w:space="0" w:color="auto"/>
        <w:right w:val="none" w:sz="0" w:space="0" w:color="auto"/>
      </w:divBdr>
    </w:div>
    <w:div w:id="2022391015">
      <w:bodyDiv w:val="1"/>
      <w:marLeft w:val="0"/>
      <w:marRight w:val="0"/>
      <w:marTop w:val="0"/>
      <w:marBottom w:val="0"/>
      <w:divBdr>
        <w:top w:val="none" w:sz="0" w:space="0" w:color="auto"/>
        <w:left w:val="none" w:sz="0" w:space="0" w:color="auto"/>
        <w:bottom w:val="none" w:sz="0" w:space="0" w:color="auto"/>
        <w:right w:val="none" w:sz="0" w:space="0" w:color="auto"/>
      </w:divBdr>
    </w:div>
    <w:div w:id="2028821666">
      <w:bodyDiv w:val="1"/>
      <w:marLeft w:val="0"/>
      <w:marRight w:val="0"/>
      <w:marTop w:val="0"/>
      <w:marBottom w:val="0"/>
      <w:divBdr>
        <w:top w:val="none" w:sz="0" w:space="0" w:color="auto"/>
        <w:left w:val="none" w:sz="0" w:space="0" w:color="auto"/>
        <w:bottom w:val="none" w:sz="0" w:space="0" w:color="auto"/>
        <w:right w:val="none" w:sz="0" w:space="0" w:color="auto"/>
      </w:divBdr>
    </w:div>
    <w:div w:id="2029062787">
      <w:bodyDiv w:val="1"/>
      <w:marLeft w:val="0"/>
      <w:marRight w:val="0"/>
      <w:marTop w:val="0"/>
      <w:marBottom w:val="0"/>
      <w:divBdr>
        <w:top w:val="none" w:sz="0" w:space="0" w:color="auto"/>
        <w:left w:val="none" w:sz="0" w:space="0" w:color="auto"/>
        <w:bottom w:val="none" w:sz="0" w:space="0" w:color="auto"/>
        <w:right w:val="none" w:sz="0" w:space="0" w:color="auto"/>
      </w:divBdr>
    </w:div>
    <w:div w:id="2031224011">
      <w:bodyDiv w:val="1"/>
      <w:marLeft w:val="0"/>
      <w:marRight w:val="0"/>
      <w:marTop w:val="0"/>
      <w:marBottom w:val="0"/>
      <w:divBdr>
        <w:top w:val="none" w:sz="0" w:space="0" w:color="auto"/>
        <w:left w:val="none" w:sz="0" w:space="0" w:color="auto"/>
        <w:bottom w:val="none" w:sz="0" w:space="0" w:color="auto"/>
        <w:right w:val="none" w:sz="0" w:space="0" w:color="auto"/>
      </w:divBdr>
    </w:div>
    <w:div w:id="2051801427">
      <w:bodyDiv w:val="1"/>
      <w:marLeft w:val="0"/>
      <w:marRight w:val="0"/>
      <w:marTop w:val="0"/>
      <w:marBottom w:val="0"/>
      <w:divBdr>
        <w:top w:val="none" w:sz="0" w:space="0" w:color="auto"/>
        <w:left w:val="none" w:sz="0" w:space="0" w:color="auto"/>
        <w:bottom w:val="none" w:sz="0" w:space="0" w:color="auto"/>
        <w:right w:val="none" w:sz="0" w:space="0" w:color="auto"/>
      </w:divBdr>
    </w:div>
    <w:div w:id="206185593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989017">
      <w:bodyDiv w:val="1"/>
      <w:marLeft w:val="0"/>
      <w:marRight w:val="0"/>
      <w:marTop w:val="0"/>
      <w:marBottom w:val="0"/>
      <w:divBdr>
        <w:top w:val="none" w:sz="0" w:space="0" w:color="auto"/>
        <w:left w:val="none" w:sz="0" w:space="0" w:color="auto"/>
        <w:bottom w:val="none" w:sz="0" w:space="0" w:color="auto"/>
        <w:right w:val="none" w:sz="0" w:space="0" w:color="auto"/>
      </w:divBdr>
    </w:div>
    <w:div w:id="209127362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9836001">
      <w:bodyDiv w:val="1"/>
      <w:marLeft w:val="0"/>
      <w:marRight w:val="0"/>
      <w:marTop w:val="0"/>
      <w:marBottom w:val="0"/>
      <w:divBdr>
        <w:top w:val="none" w:sz="0" w:space="0" w:color="auto"/>
        <w:left w:val="none" w:sz="0" w:space="0" w:color="auto"/>
        <w:bottom w:val="none" w:sz="0" w:space="0" w:color="auto"/>
        <w:right w:val="none" w:sz="0" w:space="0" w:color="auto"/>
      </w:divBdr>
    </w:div>
    <w:div w:id="213078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5241D9644DE940ACAF0E596BE529EF1D"/>
        <w:category>
          <w:name w:val="General"/>
          <w:gallery w:val="placeholder"/>
        </w:category>
        <w:types>
          <w:type w:val="bbPlcHdr"/>
        </w:types>
        <w:behaviors>
          <w:behavior w:val="content"/>
        </w:behaviors>
        <w:guid w:val="{5E918EF4-2B90-41B0-B63B-30454D2F8A59}"/>
      </w:docPartPr>
      <w:docPartBody>
        <w:p w:rsidR="001514D7" w:rsidRDefault="00FA18A7" w:rsidP="00FA18A7">
          <w:pPr>
            <w:pStyle w:val="5241D9644DE940ACAF0E596BE529EF1D"/>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E23CC"/>
    <w:rsid w:val="000F7535"/>
    <w:rsid w:val="001514D7"/>
    <w:rsid w:val="0015195B"/>
    <w:rsid w:val="00183F29"/>
    <w:rsid w:val="002550FD"/>
    <w:rsid w:val="002A186F"/>
    <w:rsid w:val="003007B7"/>
    <w:rsid w:val="00333F8E"/>
    <w:rsid w:val="00340F97"/>
    <w:rsid w:val="00350199"/>
    <w:rsid w:val="00352DC9"/>
    <w:rsid w:val="003C492A"/>
    <w:rsid w:val="003F6AEF"/>
    <w:rsid w:val="00475D10"/>
    <w:rsid w:val="00646B1F"/>
    <w:rsid w:val="007154C5"/>
    <w:rsid w:val="0073135F"/>
    <w:rsid w:val="0075240A"/>
    <w:rsid w:val="00835E07"/>
    <w:rsid w:val="00903D76"/>
    <w:rsid w:val="009B24BE"/>
    <w:rsid w:val="00B517FF"/>
    <w:rsid w:val="00B7767D"/>
    <w:rsid w:val="00B923E8"/>
    <w:rsid w:val="00C41BCC"/>
    <w:rsid w:val="00CC0946"/>
    <w:rsid w:val="00DD7BA4"/>
    <w:rsid w:val="00E318CE"/>
    <w:rsid w:val="00E646E1"/>
    <w:rsid w:val="00FA18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8A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5241D9644DE940ACAF0E596BE529EF1D">
    <w:name w:val="5241D9644DE940ACAF0E596BE529EF1D"/>
    <w:rsid w:val="00FA1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ONR27</b:Tag>
    <b:SourceType>ElectronicSource</b:SourceType>
    <b:Guid>{32033877-3995-422C-BFC8-CCAC1681823F}</b:Guid>
    <b:Author>
      <b:Author>
        <b:Corporate>ONR</b:Corporate>
      </b:Author>
    </b:Author>
    <b:Title>ONR-ENF-GD-006 - Enforcement Management Model</b:Title>
    <b:RefOrder>3</b:RefOrder>
  </b:Source>
  <b:Source>
    <b:Tag>ONR187</b:Tag>
    <b:SourceType>ElectronicSource</b:SourceType>
    <b:Guid>{CDEC0512-5785-41B9-8D2D-33DEE0F97A83}</b:Guid>
    <b:Author>
      <b:Author>
        <b:Corporate>ONR</b:Corporate>
      </b:Author>
    </b:Author>
    <b:Title>ONR-INSP-GD-064 - General Inspection Guide</b:Title>
    <b:RefOrder>10</b:RefOrder>
  </b:Source>
  <b:Source>
    <b:Tag>ONR113</b:Tag>
    <b:SourceType>ElectronicSource</b:SourceType>
    <b:Guid>{4F882024-E6C0-4B70-B5E5-2F02B3DD4008}</b:Guid>
    <b:Author>
      <b:Author>
        <b:Corporate>ONR</b:Corporate>
      </b:Author>
    </b:Author>
    <b:Title>ONR-INSP-GD-059 - Guidance for Inspection Strategy Planning and Recording</b:Title>
    <b:RefOrder>7</b:RefOrder>
  </b:Source>
  <b:Source>
    <b:Tag>ONR100</b:Tag>
    <b:SourceType>ElectronicSource</b:SourceType>
    <b:Guid>{E3641375-243F-4B1D-A5CF-AF2F0FC623EF}</b:Guid>
    <b:Author>
      <b:Author>
        <b:Corporate>ONR</b:Corporate>
      </b:Author>
    </b:Author>
    <b:Title>NS-TAST-GD-005 - Guidance on the Demonstration of ALARP</b:Title>
    <b:RefOrder>4</b:RefOrder>
  </b:Source>
  <b:Source>
    <b:Tag>ONR29</b:Tag>
    <b:SourceType>ElectronicSource</b:SourceType>
    <b:Guid>{5C733904-3E7A-41B5-A02F-D567337D9A56}</b:Guid>
    <b:Author>
      <b:Author>
        <b:Corporate>ONR</b:Corporate>
      </b:Author>
    </b:Author>
    <b:Title>NS-TAST-GD-096 - Guidance on Mechanics of Assessment</b:Title>
    <b:RefOrder>9</b:RefOrder>
  </b:Source>
  <b:Source>
    <b:Tag>ONR270</b:Tag>
    <b:SourceType>ElectronicSource</b:SourceType>
    <b:Guid>{97DC33ED-A7DD-4F61-87D7-5DE7B30E8464}</b:Guid>
    <b:Title>ONR-INSP-GD-060 - Project Inspection in ONR</b:Title>
    <b:Author>
      <b:Author>
        <b:Corporate>ONR</b:Corporate>
      </b:Author>
    </b:Author>
    <b:RefOrder>6</b:RefOrder>
  </b:Source>
  <b:Source>
    <b:Tag>ONR1</b:Tag>
    <b:SourceType>ElectronicSource</b:SourceType>
    <b:Guid>{87B246DD-0A1E-412A-B724-87C36AC19A6B}</b:Guid>
    <b:Author>
      <b:Author>
        <b:Corporate>ONR</b:Corporate>
      </b:Author>
    </b:Author>
    <b:Title>NS-TAST-GD-108 - Guidance on Production of Reports for Permissioning and Assessment </b:Title>
    <b:RefOrder>8</b:RefOrder>
  </b:Source>
  <b:Source>
    <b:Tag>ONR2</b:Tag>
    <b:SourceType>ElectronicSource</b:SourceType>
    <b:Guid>{F9D6546B-595B-4B8E-A76D-D93F220D22BC}</b:Guid>
    <b:Author>
      <b:Author>
        <b:Corporate>ONR</b:Corporate>
      </b:Author>
    </b:Author>
    <b:Title>ONR-PER-PROC-001 - Regulatory Permissioning </b:Title>
    <b:RefOrder>1</b:RefOrder>
  </b:Source>
  <b:Source>
    <b:Tag>ONR181</b:Tag>
    <b:SourceType>ElectronicSource</b:SourceType>
    <b:Guid>{37A811D1-DE0F-45BD-9AB1-D856F93DF3FD}</b:Guid>
    <b:Author>
      <b:Author>
        <b:Corporate>ONR</b:Corporate>
      </b:Author>
    </b:Author>
    <b:Title>ONR-GOV-FW-002 - Scheme of Delegation</b:Title>
    <b:RefOrder>2</b:RefOrder>
  </b:Source>
  <b:Source>
    <b:Tag>ONR</b:Tag>
    <b:SourceType>ElectronicSource</b:SourceType>
    <b:Guid>{25C117DF-FFA8-418C-BFE6-31DF56A2343F}</b:Guid>
    <b:Author>
      <b:Author>
        <b:Corporate>ONR</b:Corporate>
      </b:Author>
    </b:Author>
    <b:Title>ONR-ENF-POL-001 - Enforcement Policy Statement</b:Title>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5FC621-20CD-4169-B6BB-3CD92E611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20</Pages>
  <Words>5498</Words>
  <Characters>31344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Nuclear Safety Permissioning</vt:lpstr>
    </vt:vector>
  </TitlesOfParts>
  <Manager>Office for Nuclear Regulation</Manager>
  <Company>Office for Nuclear Regulation</Company>
  <LinksUpToDate>false</LinksUpToDate>
  <CharactersWithSpaces>36769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Safety Permissioning</dc:title>
  <dc:subject>[Subtitle or description]</dc:subject>
  <cp:keywords>[Key words separated by commas]</cp:keywords>
  <dc:description/>
  <cp:revision>2</cp:revision>
  <cp:lastPrinted>2016-11-28T11:35:00Z</cp:lastPrinted>
  <dcterms:created xsi:type="dcterms:W3CDTF">2023-10-30T10:26:00Z</dcterms:created>
  <dcterms:modified xsi:type="dcterms:W3CDTF">2023-10-30T10:26:00Z</dcterms:modified>
  <cp:contentStatus>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