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16563CCC" w:rsidP="00323E71">
            <w:bookmarkStart w:id="0" w:name="_Toc466022543"/>
            <w:r>
              <w:rPr>
                <w:noProof/>
              </w:rPr>
              <w:drawing>
                <wp:anchor distT="0" distB="0" distL="114300" distR="114300" simplePos="0" relativeHeight="251658240" behindDoc="1" locked="0" layoutInCell="1" allowOverlap="1" wp14:anchorId="075A9D48" wp14:editId="458787C2">
                  <wp:simplePos x="0" y="0"/>
                  <wp:positionH relativeFrom="column">
                    <wp:posOffset>-838200</wp:posOffset>
                  </wp:positionH>
                  <wp:positionV relativeFrom="paragraph">
                    <wp:posOffset>-1009650</wp:posOffset>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3FCE410D" w:rsidR="00595C8C" w:rsidRPr="00595C8C" w:rsidRDefault="00595C8C" w:rsidP="00595C8C">
            <w:pPr>
              <w:pStyle w:val="InnerCoverTitle"/>
              <w:rPr>
                <w:sz w:val="36"/>
                <w:szCs w:val="36"/>
              </w:rPr>
            </w:pPr>
            <w:r w:rsidRPr="00595C8C">
              <w:rPr>
                <w:sz w:val="36"/>
                <w:szCs w:val="36"/>
              </w:rPr>
              <w:t xml:space="preserve">ONR </w:t>
            </w:r>
            <w:r w:rsidR="000809AD">
              <w:rPr>
                <w:sz w:val="36"/>
                <w:szCs w:val="36"/>
              </w:rPr>
              <w:t>Reference Document</w:t>
            </w:r>
          </w:p>
          <w:p w14:paraId="7C4EA414" w14:textId="09FB2459" w:rsidR="00D0226A" w:rsidRPr="001E03E1" w:rsidRDefault="00487D1C" w:rsidP="001E03E1">
            <w:pPr>
              <w:pStyle w:val="CoverTitle"/>
              <w:rPr>
                <w:szCs w:val="90"/>
              </w:rPr>
            </w:pPr>
            <w:sdt>
              <w:sdtPr>
                <w:rPr>
                  <w:sz w:val="52"/>
                  <w:szCs w:val="52"/>
                </w:rPr>
                <w:id w:val="1228188510"/>
                <w:placeholder>
                  <w:docPart w:val="DefaultPlaceholder_-1854013440"/>
                </w:placeholder>
              </w:sdtPr>
              <w:sdtEndPr>
                <w:rPr>
                  <w:sz w:val="72"/>
                  <w:szCs w:val="72"/>
                </w:rPr>
              </w:sdtEndPr>
              <w:sdtContent>
                <w:sdt>
                  <w:sdtPr>
                    <w:rPr>
                      <w:sz w:val="52"/>
                      <w:szCs w:val="5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911FC3" w:rsidRPr="00541877">
                      <w:rPr>
                        <w:sz w:val="52"/>
                        <w:szCs w:val="52"/>
                      </w:rPr>
                      <w:t>An i</w:t>
                    </w:r>
                    <w:r w:rsidR="00F11A1D" w:rsidRPr="00541877">
                      <w:rPr>
                        <w:sz w:val="52"/>
                        <w:szCs w:val="52"/>
                      </w:rPr>
                      <w:t xml:space="preserve">ntroduction to </w:t>
                    </w:r>
                    <w:r w:rsidR="00911FC3" w:rsidRPr="00541877">
                      <w:rPr>
                        <w:sz w:val="52"/>
                        <w:szCs w:val="52"/>
                      </w:rPr>
                      <w:t>ONR</w:t>
                    </w:r>
                    <w:r w:rsidR="00FB1098">
                      <w:rPr>
                        <w:sz w:val="52"/>
                        <w:szCs w:val="52"/>
                      </w:rPr>
                      <w:t>’</w:t>
                    </w:r>
                    <w:r w:rsidR="00911FC3" w:rsidRPr="00541877">
                      <w:rPr>
                        <w:sz w:val="52"/>
                        <w:szCs w:val="52"/>
                      </w:rPr>
                      <w:t xml:space="preserve">s </w:t>
                    </w:r>
                    <w:r w:rsidR="00066A26">
                      <w:rPr>
                        <w:sz w:val="52"/>
                        <w:szCs w:val="52"/>
                      </w:rPr>
                      <w:t>t</w:t>
                    </w:r>
                    <w:r w:rsidR="00F11A1D" w:rsidRPr="00541877">
                      <w:rPr>
                        <w:sz w:val="52"/>
                        <w:szCs w:val="52"/>
                      </w:rPr>
                      <w:t xml:space="preserve">echnical </w:t>
                    </w:r>
                    <w:r w:rsidR="00066A26">
                      <w:rPr>
                        <w:sz w:val="52"/>
                        <w:szCs w:val="52"/>
                      </w:rPr>
                      <w:t>a</w:t>
                    </w:r>
                    <w:r w:rsidR="00F11A1D" w:rsidRPr="00541877">
                      <w:rPr>
                        <w:sz w:val="52"/>
                        <w:szCs w:val="52"/>
                      </w:rPr>
                      <w:t xml:space="preserve">ssessment and </w:t>
                    </w:r>
                    <w:r w:rsidR="00066A26">
                      <w:rPr>
                        <w:sz w:val="52"/>
                        <w:szCs w:val="52"/>
                      </w:rPr>
                      <w:t>i</w:t>
                    </w:r>
                    <w:r w:rsidR="00F11A1D" w:rsidRPr="00541877">
                      <w:rPr>
                        <w:sz w:val="52"/>
                        <w:szCs w:val="52"/>
                      </w:rPr>
                      <w:t xml:space="preserve">nspection </w:t>
                    </w:r>
                    <w:r w:rsidR="00066A26">
                      <w:rPr>
                        <w:sz w:val="52"/>
                        <w:szCs w:val="52"/>
                      </w:rPr>
                      <w:t>guides</w:t>
                    </w:r>
                  </w:sdtContent>
                </w:sdt>
              </w:sdtContent>
            </w:sdt>
          </w:p>
        </w:tc>
      </w:tr>
    </w:tbl>
    <w:p w14:paraId="56A09D10" w14:textId="77777777" w:rsidR="00D0226A" w:rsidRDefault="00D0226A">
      <w:pPr>
        <w:spacing w:after="0"/>
      </w:pPr>
    </w:p>
    <w:p w14:paraId="6AB6425B" w14:textId="3159CEFC" w:rsidR="00D0226A" w:rsidRDefault="00D0226A">
      <w:pPr>
        <w:spacing w:after="0"/>
      </w:pPr>
    </w:p>
    <w:p w14:paraId="1FDB4B56" w14:textId="3AD71655" w:rsidR="00595C8C" w:rsidRDefault="00595C8C" w:rsidP="0273B150">
      <w:pPr>
        <w:spacing w:after="0"/>
        <w:sectPr w:rsidR="00595C8C" w:rsidSect="000B2BCD">
          <w:headerReference w:type="default" r:id="rId16"/>
          <w:footerReference w:type="default" r:id="rId17"/>
          <w:pgSz w:w="11906" w:h="16838" w:code="9"/>
          <w:pgMar w:top="1440" w:right="1440" w:bottom="1440" w:left="1440" w:header="397" w:footer="397" w:gutter="0"/>
          <w:cols w:space="312"/>
          <w:titlePg/>
          <w:docGrid w:linePitch="360"/>
        </w:sectPr>
      </w:pPr>
    </w:p>
    <w:p w14:paraId="43A875A4" w14:textId="5B5C0B64" w:rsidR="008D49A5" w:rsidRDefault="008D49A5" w:rsidP="003D010A">
      <w:pPr>
        <w:pStyle w:val="Heading1"/>
      </w:pPr>
      <w:bookmarkStart w:id="1" w:name="_Toc205763923"/>
      <w:bookmarkEnd w:id="0"/>
      <w:r w:rsidRPr="00E90780">
        <w:lastRenderedPageBreak/>
        <w:t>Introduction</w:t>
      </w:r>
      <w:bookmarkEnd w:id="1"/>
    </w:p>
    <w:p w14:paraId="364D056A" w14:textId="7DE27159" w:rsidR="000776C1" w:rsidRDefault="000776C1" w:rsidP="000776C1">
      <w:pPr>
        <w:pStyle w:val="F9-Paragraph"/>
        <w:numPr>
          <w:ilvl w:val="0"/>
          <w:numId w:val="29"/>
        </w:numPr>
        <w:ind w:left="851" w:hanging="851"/>
      </w:pPr>
      <w:bookmarkStart w:id="2" w:name="_Hlk64448648"/>
      <w:r w:rsidRPr="00AA17F3">
        <w:t xml:space="preserve">The Office for Nuclear Regulation (ONR) is the UK’s independent regulator for nuclear safety, security, safeguards, and conventional health and safety across the civil nuclear sector. Established under the Energy Act 2013, ONR’s mission is to protect society by securing safe nuclear operations. </w:t>
      </w:r>
      <w:r w:rsidR="00242478">
        <w:br/>
      </w:r>
      <w:r w:rsidRPr="00AA17F3">
        <w:t>It regulates a wide range of nuclear activities, including power generation, fuel manufacture, waste management, and decommissioning, ensuring that dutyholders</w:t>
      </w:r>
      <w:r w:rsidR="00163B29">
        <w:rPr>
          <w:rStyle w:val="FootnoteReference"/>
        </w:rPr>
        <w:footnoteReference w:id="2"/>
      </w:r>
      <w:r w:rsidRPr="00AA17F3">
        <w:t xml:space="preserve"> meet their legal obligations and operate to high standards of safety and security.</w:t>
      </w:r>
    </w:p>
    <w:p w14:paraId="5DD9C357" w14:textId="77777777" w:rsidR="00B73EA8" w:rsidRPr="00AA17F3" w:rsidRDefault="00B73EA8" w:rsidP="00B73EA8">
      <w:pPr>
        <w:pStyle w:val="F9-Paragraph"/>
        <w:numPr>
          <w:ilvl w:val="0"/>
          <w:numId w:val="0"/>
        </w:numPr>
      </w:pPr>
    </w:p>
    <w:p w14:paraId="05AAE39A" w14:textId="50249BDB" w:rsidR="008D49A5" w:rsidRDefault="000950B3" w:rsidP="00B73EA8">
      <w:pPr>
        <w:pStyle w:val="Heading1"/>
      </w:pPr>
      <w:bookmarkStart w:id="3" w:name="_Toc205763924"/>
      <w:bookmarkEnd w:id="2"/>
      <w:r>
        <w:t xml:space="preserve">Purpose </w:t>
      </w:r>
      <w:bookmarkEnd w:id="3"/>
      <w:r w:rsidR="00B73EA8">
        <w:t xml:space="preserve">and scope </w:t>
      </w:r>
      <w:r w:rsidR="000809AD">
        <w:t xml:space="preserve">of </w:t>
      </w:r>
      <w:r w:rsidR="00B73EA8">
        <w:t>ONR’s technical assessment and inspection guides</w:t>
      </w:r>
    </w:p>
    <w:p w14:paraId="4D0FF0D3" w14:textId="243C192F" w:rsidR="001D3477" w:rsidRDefault="00B73EA8" w:rsidP="001D3477">
      <w:pPr>
        <w:pStyle w:val="F9-Paragraph"/>
      </w:pPr>
      <w:bookmarkStart w:id="4" w:name="_Hlk200458209"/>
      <w:r>
        <w:t>ONR’s Technical Assessment and Inspection Guides (</w:t>
      </w:r>
      <w:r w:rsidR="00D77ECB">
        <w:t>referred to as ‘</w:t>
      </w:r>
      <w:r>
        <w:t>TAGs</w:t>
      </w:r>
      <w:r w:rsidR="00D77ECB">
        <w:t>’</w:t>
      </w:r>
      <w:r>
        <w:t xml:space="preserve"> and </w:t>
      </w:r>
      <w:r w:rsidR="00D77ECB">
        <w:t>‘</w:t>
      </w:r>
      <w:r>
        <w:t>TIGs</w:t>
      </w:r>
      <w:r w:rsidR="00D77ECB">
        <w:t>’</w:t>
      </w:r>
      <w:r>
        <w:t xml:space="preserve"> respectively) ar</w:t>
      </w:r>
      <w:r w:rsidR="002900BE">
        <w:t xml:space="preserve">e key components of ONR’s regulatory framework. </w:t>
      </w:r>
      <w:r w:rsidR="00066A26">
        <w:br/>
      </w:r>
      <w:r w:rsidR="002900BE">
        <w:t xml:space="preserve">They provide structured, consistent, and transparent guidance to ONR inspectors in assessing dutyholder submissions and conducting inspections. </w:t>
      </w:r>
      <w:bookmarkEnd w:id="4"/>
      <w:r w:rsidR="00242478">
        <w:br/>
      </w:r>
      <w:r w:rsidR="002900BE">
        <w:t>These documents are not prescriptive but are intended to support risk informed, targeted and evidence-based regulatory decision-making.</w:t>
      </w:r>
    </w:p>
    <w:p w14:paraId="2D60551A" w14:textId="1F1CD32C" w:rsidR="00C30EFD" w:rsidRDefault="002900BE" w:rsidP="004F2609">
      <w:pPr>
        <w:pStyle w:val="F9-Paragraph"/>
      </w:pPr>
      <w:r>
        <w:t xml:space="preserve">TAGs and TIGs are designed to reflect relevant good practice and are aligned with ONR’s </w:t>
      </w:r>
      <w:hyperlink r:id="rId18" w:history="1">
        <w:r w:rsidR="00E32981" w:rsidRPr="00F7687C">
          <w:rPr>
            <w:rStyle w:val="Hyperlink"/>
          </w:rPr>
          <w:t>Safety Assessment Principles</w:t>
        </w:r>
      </w:hyperlink>
      <w:r w:rsidR="00E32981" w:rsidRPr="00712FD1">
        <w:t xml:space="preserve"> (SAPs) </w:t>
      </w:r>
      <w:sdt>
        <w:sdtPr>
          <w:id w:val="-1891410551"/>
          <w:citation/>
        </w:sdtPr>
        <w:sdtEndPr/>
        <w:sdtContent>
          <w:r w:rsidR="00E32981">
            <w:fldChar w:fldCharType="begin"/>
          </w:r>
          <w:r w:rsidR="00E32981">
            <w:instrText xml:space="preserve"> CITATION ONR2013 \l 2057 </w:instrText>
          </w:r>
          <w:r w:rsidR="00E32981">
            <w:fldChar w:fldCharType="separate"/>
          </w:r>
          <w:r w:rsidR="005561F7">
            <w:rPr>
              <w:noProof/>
            </w:rPr>
            <w:t>[1]</w:t>
          </w:r>
          <w:r w:rsidR="00E32981">
            <w:fldChar w:fldCharType="end"/>
          </w:r>
        </w:sdtContent>
      </w:sdt>
      <w:r w:rsidR="00D30443">
        <w:t>,</w:t>
      </w:r>
      <w:r w:rsidR="00E32981">
        <w:t xml:space="preserve"> </w:t>
      </w:r>
      <w:hyperlink r:id="rId19" w:history="1">
        <w:r w:rsidRPr="00A41002">
          <w:rPr>
            <w:rStyle w:val="Hyperlink"/>
          </w:rPr>
          <w:t>Security Assessment Principles</w:t>
        </w:r>
      </w:hyperlink>
      <w:r>
        <w:t xml:space="preserve"> (SyAPs)</w:t>
      </w:r>
      <w:r w:rsidR="00E32981">
        <w:t xml:space="preserve"> </w:t>
      </w:r>
      <w:sdt>
        <w:sdtPr>
          <w:id w:val="-1345939563"/>
          <w:citation/>
        </w:sdtPr>
        <w:sdtEndPr/>
        <w:sdtContent>
          <w:r w:rsidR="000B20CC">
            <w:fldChar w:fldCharType="begin"/>
          </w:r>
          <w:r w:rsidR="000B20CC">
            <w:instrText xml:space="preserve"> CITATION ONR173 \l 2057 </w:instrText>
          </w:r>
          <w:r w:rsidR="000B20CC">
            <w:fldChar w:fldCharType="separate"/>
          </w:r>
          <w:r w:rsidR="005561F7">
            <w:rPr>
              <w:noProof/>
            </w:rPr>
            <w:t>[2]</w:t>
          </w:r>
          <w:r w:rsidR="000B20CC">
            <w:fldChar w:fldCharType="end"/>
          </w:r>
        </w:sdtContent>
      </w:sdt>
      <w:r>
        <w:t xml:space="preserve"> </w:t>
      </w:r>
      <w:r w:rsidR="3D193B5B">
        <w:t xml:space="preserve">and </w:t>
      </w:r>
      <w:hyperlink r:id="rId20" w:history="1">
        <w:r w:rsidR="3D193B5B" w:rsidRPr="007E05B7">
          <w:rPr>
            <w:rStyle w:val="Hyperlink"/>
          </w:rPr>
          <w:t>Nuclear Material Accountancy, Control and Safeguards Ass</w:t>
        </w:r>
        <w:r w:rsidR="3AD44F6F" w:rsidRPr="007E05B7">
          <w:rPr>
            <w:rStyle w:val="Hyperlink"/>
          </w:rPr>
          <w:t>essment Principles</w:t>
        </w:r>
      </w:hyperlink>
      <w:r w:rsidR="3AD44F6F">
        <w:t xml:space="preserve"> (ONMACS)</w:t>
      </w:r>
      <w:r w:rsidR="00D30443">
        <w:t xml:space="preserve"> </w:t>
      </w:r>
      <w:sdt>
        <w:sdtPr>
          <w:id w:val="-230538075"/>
          <w:citation/>
        </w:sdtPr>
        <w:sdtEndPr/>
        <w:sdtContent>
          <w:r w:rsidR="00D30443">
            <w:fldChar w:fldCharType="begin"/>
          </w:r>
          <w:r w:rsidR="00D30443">
            <w:instrText xml:space="preserve"> CITATION ONR232 \l 2057 </w:instrText>
          </w:r>
          <w:r w:rsidR="00D30443">
            <w:fldChar w:fldCharType="separate"/>
          </w:r>
          <w:r w:rsidR="005561F7">
            <w:rPr>
              <w:noProof/>
            </w:rPr>
            <w:t>[3]</w:t>
          </w:r>
          <w:r w:rsidR="00D30443">
            <w:fldChar w:fldCharType="end"/>
          </w:r>
        </w:sdtContent>
      </w:sdt>
      <w:r w:rsidR="1C1E18D6">
        <w:t>.</w:t>
      </w:r>
      <w:r w:rsidR="0AC29323">
        <w:t xml:space="preserve"> </w:t>
      </w:r>
      <w:r w:rsidR="23DF3CD2">
        <w:t>They</w:t>
      </w:r>
      <w:r>
        <w:t xml:space="preserve"> help ensure that ONR’s regulatory activities are proportionate, technically robust, and aligned with both national and international expectations. </w:t>
      </w:r>
    </w:p>
    <w:p w14:paraId="2A3AE3AE" w14:textId="35C3A366" w:rsidR="002900BE" w:rsidRDefault="002900BE" w:rsidP="004F2609">
      <w:pPr>
        <w:pStyle w:val="F9-Paragraph"/>
      </w:pPr>
      <w:r>
        <w:t>While primarily intended for internal use by ONR staff, they are published to promote openness and to assist dutyholders in understanding ONR’s expectations.</w:t>
      </w:r>
    </w:p>
    <w:p w14:paraId="0BC3461F" w14:textId="71F31EBE" w:rsidR="00FC7D7A" w:rsidRDefault="00FC7D7A" w:rsidP="00FC7D7A">
      <w:pPr>
        <w:pStyle w:val="F9-Paragraph"/>
      </w:pPr>
      <w:r>
        <w:t>The full suite of TAGs</w:t>
      </w:r>
      <w:r w:rsidR="00C30EFD">
        <w:t xml:space="preserve"> and</w:t>
      </w:r>
      <w:r>
        <w:t xml:space="preserve"> </w:t>
      </w:r>
      <w:r w:rsidR="00C30EFD">
        <w:t xml:space="preserve">TIGs </w:t>
      </w:r>
      <w:r>
        <w:t xml:space="preserve">can be </w:t>
      </w:r>
      <w:r w:rsidR="00AF384B">
        <w:t>accessed via the ONR website</w:t>
      </w:r>
      <w:r>
        <w:t xml:space="preserve">: </w:t>
      </w:r>
    </w:p>
    <w:p w14:paraId="15EA2A3C" w14:textId="6C1414CE" w:rsidR="00AA6EAB" w:rsidRDefault="00AA6EAB" w:rsidP="009F1124">
      <w:pPr>
        <w:pStyle w:val="Bulletlist1"/>
        <w:spacing w:before="120"/>
        <w:ind w:left="1417"/>
        <w:contextualSpacing/>
      </w:pPr>
      <w:hyperlink r:id="rId21" w:history="1">
        <w:r w:rsidRPr="00AA6EAB">
          <w:rPr>
            <w:rStyle w:val="Hyperlink"/>
          </w:rPr>
          <w:t>Technical Assessment Guides</w:t>
        </w:r>
      </w:hyperlink>
    </w:p>
    <w:p w14:paraId="3A0A8599" w14:textId="6736E934" w:rsidR="000A51C3" w:rsidRDefault="00AA6EAB" w:rsidP="0273B150">
      <w:pPr>
        <w:pStyle w:val="Bulletlist1"/>
        <w:spacing w:before="120"/>
        <w:ind w:left="1417"/>
        <w:contextualSpacing/>
        <w:sectPr w:rsidR="000A51C3" w:rsidSect="000B2BCD">
          <w:headerReference w:type="default" r:id="rId22"/>
          <w:footerReference w:type="default" r:id="rId23"/>
          <w:pgSz w:w="11906" w:h="16838" w:code="9"/>
          <w:pgMar w:top="1440" w:right="1440" w:bottom="1440" w:left="1440" w:header="397" w:footer="397" w:gutter="0"/>
          <w:cols w:space="312"/>
          <w:docGrid w:linePitch="360"/>
        </w:sectPr>
      </w:pPr>
      <w:hyperlink r:id="rId24">
        <w:r w:rsidRPr="0273B150">
          <w:rPr>
            <w:rStyle w:val="Hyperlink"/>
          </w:rPr>
          <w:t>Technical Inspection Guides</w:t>
        </w:r>
      </w:hyperlink>
    </w:p>
    <w:p w14:paraId="6E712D03" w14:textId="763C182F" w:rsidR="009E0E52" w:rsidRDefault="000950B3" w:rsidP="00E90780">
      <w:pPr>
        <w:pStyle w:val="Heading1"/>
      </w:pPr>
      <w:bookmarkStart w:id="5" w:name="_Toc205763925"/>
      <w:r>
        <w:lastRenderedPageBreak/>
        <w:t xml:space="preserve">Relationship </w:t>
      </w:r>
      <w:r w:rsidR="00FB1098">
        <w:t xml:space="preserve">of TAGs and TIGs </w:t>
      </w:r>
      <w:r>
        <w:t xml:space="preserve">to </w:t>
      </w:r>
      <w:r w:rsidR="001C19DE">
        <w:t>r</w:t>
      </w:r>
      <w:r>
        <w:t xml:space="preserve">elevant </w:t>
      </w:r>
      <w:r w:rsidR="001C19DE">
        <w:t>l</w:t>
      </w:r>
      <w:r>
        <w:t>egislation</w:t>
      </w:r>
      <w:bookmarkEnd w:id="5"/>
      <w:r>
        <w:t xml:space="preserve"> </w:t>
      </w:r>
    </w:p>
    <w:p w14:paraId="5ADDC5F5" w14:textId="795A1497" w:rsidR="00103DE3" w:rsidRDefault="00103DE3" w:rsidP="00103DE3">
      <w:pPr>
        <w:pStyle w:val="F9-Paragraph"/>
      </w:pPr>
      <w:r>
        <w:t xml:space="preserve">ONR operates within a robust legal framework established by the Energy Act 2013, which formally created ONR as the UK’s independent nuclear regulator. This Act defines ONR’s statutory responsibilities, known as its </w:t>
      </w:r>
      <w:r w:rsidR="00C0424E">
        <w:t>n</w:t>
      </w:r>
      <w:r>
        <w:t xml:space="preserve">uclear </w:t>
      </w:r>
      <w:r w:rsidR="00C0424E">
        <w:t>p</w:t>
      </w:r>
      <w:r>
        <w:t>urposes, which guide all regulatory activities, including the development and application of TAGs and TIGs.</w:t>
      </w:r>
    </w:p>
    <w:p w14:paraId="090023B8" w14:textId="72A6E1C0" w:rsidR="00103DE3" w:rsidRDefault="00103DE3" w:rsidP="00103DE3">
      <w:pPr>
        <w:pStyle w:val="F9-Paragraph"/>
      </w:pPr>
      <w:r>
        <w:t xml:space="preserve">The </w:t>
      </w:r>
      <w:r w:rsidR="00C0424E">
        <w:t>n</w:t>
      </w:r>
      <w:r>
        <w:t xml:space="preserve">uclear </w:t>
      </w:r>
      <w:r w:rsidR="00C0424E">
        <w:t>p</w:t>
      </w:r>
      <w:r>
        <w:t>urposes are set out in Part 3, Chapter 1 of the Energy Act 2013 and include:</w:t>
      </w:r>
    </w:p>
    <w:p w14:paraId="656709E8" w14:textId="41306575" w:rsidR="00103DE3" w:rsidRDefault="00103DE3" w:rsidP="00322529">
      <w:pPr>
        <w:pStyle w:val="Bulletlist1"/>
      </w:pPr>
      <w:r>
        <w:t xml:space="preserve">Nuclear </w:t>
      </w:r>
      <w:r w:rsidR="006048E4">
        <w:t>s</w:t>
      </w:r>
      <w:r>
        <w:t xml:space="preserve">afety </w:t>
      </w:r>
      <w:r w:rsidR="006048E4">
        <w:t>p</w:t>
      </w:r>
      <w:r>
        <w:t>urposes – Protecting people from the risks of ionising radiation from nuclear sites. This includes oversight of the design, construction, operation, and decommissioning of nuclear installations, as well as the safe storage and use of nuclear materials.</w:t>
      </w:r>
    </w:p>
    <w:p w14:paraId="3CF3EEBC" w14:textId="44FF162A" w:rsidR="00103DE3" w:rsidRDefault="00103DE3" w:rsidP="008850F7">
      <w:pPr>
        <w:pStyle w:val="Bulletlist1"/>
      </w:pPr>
      <w:r>
        <w:t xml:space="preserve">Nuclear </w:t>
      </w:r>
      <w:r w:rsidR="006048E4">
        <w:t>s</w:t>
      </w:r>
      <w:r>
        <w:t xml:space="preserve">ite </w:t>
      </w:r>
      <w:r w:rsidR="006048E4">
        <w:t>h</w:t>
      </w:r>
      <w:r>
        <w:t xml:space="preserve">ealth and </w:t>
      </w:r>
      <w:r w:rsidR="006048E4">
        <w:t>s</w:t>
      </w:r>
      <w:r>
        <w:t xml:space="preserve">afety </w:t>
      </w:r>
      <w:r w:rsidR="006048E4">
        <w:t>p</w:t>
      </w:r>
      <w:r>
        <w:t>urposes – Ensuring the health, safety, and welfare of workers on nuclear sites and protecting the public from risks arising from work activities on those sites.</w:t>
      </w:r>
    </w:p>
    <w:p w14:paraId="751A79E3" w14:textId="2F4BE750" w:rsidR="00103DE3" w:rsidRDefault="00103DE3" w:rsidP="008850F7">
      <w:pPr>
        <w:pStyle w:val="Bulletlist1"/>
      </w:pPr>
      <w:r>
        <w:t xml:space="preserve"> Nuclear </w:t>
      </w:r>
      <w:r w:rsidR="006048E4">
        <w:t>s</w:t>
      </w:r>
      <w:r>
        <w:t xml:space="preserve">ecurity </w:t>
      </w:r>
      <w:r w:rsidR="006048E4">
        <w:t>p</w:t>
      </w:r>
      <w:r>
        <w:t>urposes – Preventing the theft, sabotage, or unauthorised access to nuclear materials and facilities, including cyber and physical security.</w:t>
      </w:r>
    </w:p>
    <w:p w14:paraId="13C2E045" w14:textId="2382019E" w:rsidR="00103DE3" w:rsidRDefault="00103DE3" w:rsidP="008850F7">
      <w:pPr>
        <w:pStyle w:val="Bulletlist1"/>
      </w:pPr>
      <w:r>
        <w:t xml:space="preserve">Nuclear </w:t>
      </w:r>
      <w:r w:rsidR="006048E4">
        <w:t>s</w:t>
      </w:r>
      <w:r>
        <w:t xml:space="preserve">afeguards </w:t>
      </w:r>
      <w:r w:rsidR="006048E4">
        <w:t>p</w:t>
      </w:r>
      <w:r>
        <w:t>urposes – Ensuring that nuclear materials are not diverted from peaceful uses, in line with the UK’s international obligations.</w:t>
      </w:r>
    </w:p>
    <w:p w14:paraId="362272A3" w14:textId="4D84BF13" w:rsidR="00103DE3" w:rsidRDefault="00103DE3" w:rsidP="008850F7">
      <w:pPr>
        <w:pStyle w:val="Bulletlist1"/>
      </w:pPr>
      <w:r>
        <w:t xml:space="preserve">Transport </w:t>
      </w:r>
      <w:r w:rsidR="006048E4">
        <w:t>p</w:t>
      </w:r>
      <w:r>
        <w:t>urposes – Regulating the safe and secure transport of radioactive materials within the UK.</w:t>
      </w:r>
    </w:p>
    <w:p w14:paraId="62949A33" w14:textId="77777777" w:rsidR="00103DE3" w:rsidRDefault="00103DE3" w:rsidP="00103DE3">
      <w:pPr>
        <w:pStyle w:val="F9-Paragraph"/>
      </w:pPr>
      <w:r>
        <w:t>These purposes are supported by a range of UK legislation, including:</w:t>
      </w:r>
    </w:p>
    <w:p w14:paraId="6487FBEC" w14:textId="77777777" w:rsidR="006327DF" w:rsidRDefault="006327DF" w:rsidP="006327DF">
      <w:pPr>
        <w:pStyle w:val="Bulletlist1"/>
      </w:pPr>
      <w:r>
        <w:t>The Nuclear Installations Act 1965</w:t>
      </w:r>
    </w:p>
    <w:p w14:paraId="79EC7F33" w14:textId="77777777" w:rsidR="00103DE3" w:rsidRDefault="00103DE3" w:rsidP="008850F7">
      <w:pPr>
        <w:pStyle w:val="Bulletlist1"/>
      </w:pPr>
      <w:r>
        <w:t>The Health and Safety at Work etc. Act 1974</w:t>
      </w:r>
    </w:p>
    <w:p w14:paraId="16061308" w14:textId="77777777" w:rsidR="00103DE3" w:rsidRDefault="00103DE3" w:rsidP="008850F7">
      <w:pPr>
        <w:pStyle w:val="Bulletlist1"/>
      </w:pPr>
      <w:r>
        <w:t>The Ionising Radiations Regulations 2017</w:t>
      </w:r>
    </w:p>
    <w:p w14:paraId="1CAA575F" w14:textId="41F17E36" w:rsidR="006327DF" w:rsidRPr="006327DF" w:rsidRDefault="006327DF" w:rsidP="008850F7">
      <w:pPr>
        <w:pStyle w:val="Bulletlist1"/>
      </w:pPr>
      <w:r w:rsidRPr="006327DF">
        <w:t>The Nuclear Safeguards (EU Exit) Regulations 2019</w:t>
      </w:r>
    </w:p>
    <w:p w14:paraId="0214E597" w14:textId="2094D001" w:rsidR="00103DE3" w:rsidRDefault="00103DE3" w:rsidP="008850F7">
      <w:pPr>
        <w:pStyle w:val="Bulletlist1"/>
      </w:pPr>
      <w:r>
        <w:t>The Radiation (Emergency Preparedness and Public Information) Regulations 2019</w:t>
      </w:r>
    </w:p>
    <w:p w14:paraId="2A4BBB08" w14:textId="1DE2F17F" w:rsidR="00911FC3" w:rsidRDefault="00103DE3" w:rsidP="0028131C">
      <w:pPr>
        <w:pStyle w:val="Bulletlist1"/>
        <w:sectPr w:rsidR="00911FC3" w:rsidSect="000B2BCD">
          <w:pgSz w:w="11906" w:h="16838" w:code="9"/>
          <w:pgMar w:top="1440" w:right="1440" w:bottom="1440" w:left="1440" w:header="397" w:footer="397" w:gutter="0"/>
          <w:cols w:space="312"/>
          <w:docGrid w:linePitch="360"/>
        </w:sectPr>
      </w:pPr>
      <w:r>
        <w:t xml:space="preserve">The Nuclear Industries Security Regulations 2003 </w:t>
      </w:r>
    </w:p>
    <w:p w14:paraId="54F6BC10" w14:textId="77777777" w:rsidR="00355D86" w:rsidRDefault="00103DE3" w:rsidP="00103DE3">
      <w:pPr>
        <w:pStyle w:val="F9-Paragraph"/>
      </w:pPr>
      <w:r w:rsidRPr="007C57CD">
        <w:lastRenderedPageBreak/>
        <w:t xml:space="preserve">The responsibility for </w:t>
      </w:r>
      <w:r>
        <w:t xml:space="preserve">the </w:t>
      </w:r>
      <w:r w:rsidRPr="007C57CD">
        <w:t xml:space="preserve">safety </w:t>
      </w:r>
      <w:r>
        <w:t xml:space="preserve">and security </w:t>
      </w:r>
      <w:r w:rsidRPr="007C57CD">
        <w:t xml:space="preserve">of a nuclear installation rests with the dutyholder. </w:t>
      </w:r>
    </w:p>
    <w:p w14:paraId="1E79FFA8" w14:textId="1899A069" w:rsidR="00103DE3" w:rsidRDefault="00103DE3" w:rsidP="00103DE3">
      <w:pPr>
        <w:pStyle w:val="F9-Paragraph"/>
      </w:pPr>
      <w:r>
        <w:t>TAGs and TIGs are developed to help ONR inspectors interpret and apply our purposes consistently and transparently. They support the principle that risks must be reduced so far as is reasonably practicable (</w:t>
      </w:r>
      <w:r w:rsidR="0059142E">
        <w:t>‘</w:t>
      </w:r>
      <w:r>
        <w:t>SFAIRP</w:t>
      </w:r>
      <w:r w:rsidR="0059142E">
        <w:t>’</w:t>
      </w:r>
      <w:r>
        <w:t>) and ensure that dutyholders maintain adequate arrangements throughout the lifecycle of nuclear facilities.</w:t>
      </w:r>
    </w:p>
    <w:p w14:paraId="61743AA0" w14:textId="63C167D2" w:rsidR="000950B3" w:rsidRDefault="00103DE3" w:rsidP="00103DE3">
      <w:pPr>
        <w:pStyle w:val="F9-Paragraph"/>
        <w:sectPr w:rsidR="000950B3" w:rsidSect="000B2BCD">
          <w:pgSz w:w="11906" w:h="16838" w:code="9"/>
          <w:pgMar w:top="1440" w:right="1440" w:bottom="1440" w:left="1440" w:header="397" w:footer="397" w:gutter="0"/>
          <w:cols w:space="312"/>
          <w:docGrid w:linePitch="360"/>
        </w:sectPr>
      </w:pPr>
      <w:r>
        <w:t xml:space="preserve">By grounding its guidance in these legal and statutory purposes, ONR ensures that its regulatory approach is both legally sound and aligned with the UK’s commitment to nuclear safety, security, </w:t>
      </w:r>
      <w:r w:rsidR="5DEC96C8">
        <w:t>safeguards</w:t>
      </w:r>
      <w:r>
        <w:t xml:space="preserve"> and environmental protection.</w:t>
      </w:r>
    </w:p>
    <w:p w14:paraId="35AE45BC" w14:textId="77777777" w:rsidR="00487D1C" w:rsidRDefault="00487D1C" w:rsidP="00487D1C">
      <w:pPr>
        <w:pStyle w:val="Heading1"/>
      </w:pPr>
      <w:bookmarkStart w:id="6" w:name="_Toc205763926"/>
      <w:r w:rsidRPr="000950B3">
        <w:lastRenderedPageBreak/>
        <w:t xml:space="preserve">Relationship </w:t>
      </w:r>
      <w:r>
        <w:t xml:space="preserve">of TAGs and TIGs </w:t>
      </w:r>
      <w:r w:rsidRPr="000950B3">
        <w:t xml:space="preserve">to </w:t>
      </w:r>
      <w:r>
        <w:t xml:space="preserve">WENRA Safety Reference Levels </w:t>
      </w:r>
    </w:p>
    <w:p w14:paraId="2A37B15A" w14:textId="7CB68CB9" w:rsidR="00487D1C" w:rsidRDefault="00487D1C" w:rsidP="00487D1C">
      <w:pPr>
        <w:pStyle w:val="F9-Paragraph"/>
        <w:rPr>
          <w:lang w:eastAsia="en-GB"/>
        </w:rPr>
      </w:pPr>
      <w:r>
        <w:t>ONR’s TAGs and TIGs are closely aligned with international standards and expectations, particularly those developed by the International Atomic Energy Agency (IAEA)</w:t>
      </w:r>
      <w:r>
        <w:t xml:space="preserve"> and the </w:t>
      </w:r>
      <w:r>
        <w:rPr>
          <w:bdr w:val="none" w:sz="0" w:space="0" w:color="auto" w:frame="1"/>
        </w:rPr>
        <w:t>Western European Nuclear Regulators Association (WENRA)</w:t>
      </w:r>
      <w:r>
        <w:t>.</w:t>
      </w:r>
    </w:p>
    <w:p w14:paraId="219A98D5" w14:textId="5896B454" w:rsidR="00140E1C" w:rsidRDefault="00487D1C" w:rsidP="00487D1C">
      <w:pPr>
        <w:pStyle w:val="Heading2"/>
      </w:pPr>
      <w:r>
        <w:t>IAEA Safety Standards and Guides</w:t>
      </w:r>
      <w:bookmarkEnd w:id="6"/>
      <w:r w:rsidR="00FB1098">
        <w:t xml:space="preserve"> </w:t>
      </w:r>
    </w:p>
    <w:p w14:paraId="5A640C52" w14:textId="16D226DB" w:rsidR="0067318E" w:rsidRDefault="0067318E" w:rsidP="00A00BAF">
      <w:pPr>
        <w:pStyle w:val="F9-Paragraph"/>
      </w:pPr>
      <w:r>
        <w:t>The IAEA Safety Standards and Security Series documents form a cornerstone of the global nuclear safety and security framework and are widely recognised as representing international consensus on what constitutes appropriate levels of protection for people and the environment.</w:t>
      </w:r>
    </w:p>
    <w:p w14:paraId="4B397DAE" w14:textId="77777777" w:rsidR="0067318E" w:rsidRDefault="0067318E" w:rsidP="00A00BAF">
      <w:pPr>
        <w:pStyle w:val="F9-Paragraph"/>
      </w:pPr>
      <w:r>
        <w:t>The IAEA Safety Standards are structured into three hierarchical levels:</w:t>
      </w:r>
    </w:p>
    <w:p w14:paraId="77975885" w14:textId="50094D44" w:rsidR="0067318E" w:rsidRDefault="0067318E" w:rsidP="00A00BAF">
      <w:pPr>
        <w:pStyle w:val="Bulletlist1"/>
      </w:pPr>
      <w:r w:rsidRPr="00487D1C">
        <w:rPr>
          <w:b/>
          <w:bCs w:val="0"/>
        </w:rPr>
        <w:t>Safety Fundamentals</w:t>
      </w:r>
      <w:r>
        <w:t xml:space="preserve"> – These establish the fundamental safety objective and principles of protection and safety. The key document here is the Fundamental Safety Principles</w:t>
      </w:r>
      <w:sdt>
        <w:sdtPr>
          <w:id w:val="1398708427"/>
          <w:citation/>
        </w:sdtPr>
        <w:sdtEndPr/>
        <w:sdtContent>
          <w:r w:rsidR="00086111">
            <w:fldChar w:fldCharType="begin"/>
          </w:r>
          <w:r w:rsidR="00086111">
            <w:instrText xml:space="preserve">CITATION IAE0610 \l 2057 </w:instrText>
          </w:r>
          <w:r w:rsidR="00086111">
            <w:fldChar w:fldCharType="separate"/>
          </w:r>
          <w:r w:rsidR="005561F7">
            <w:rPr>
              <w:noProof/>
            </w:rPr>
            <w:t xml:space="preserve"> </w:t>
          </w:r>
          <w:r w:rsidR="005561F7" w:rsidRPr="005561F7">
            <w:rPr>
              <w:noProof/>
            </w:rPr>
            <w:t>[4]</w:t>
          </w:r>
          <w:r w:rsidR="00086111">
            <w:fldChar w:fldCharType="end"/>
          </w:r>
        </w:sdtContent>
      </w:sdt>
      <w:r>
        <w:t>, which underpins all other IAEA safety publications.</w:t>
      </w:r>
      <w:r w:rsidR="00487D1C">
        <w:t xml:space="preserve"> </w:t>
      </w:r>
    </w:p>
    <w:p w14:paraId="042BDE21" w14:textId="7207E5CB" w:rsidR="0067318E" w:rsidRDefault="0067318E" w:rsidP="00A00BAF">
      <w:pPr>
        <w:pStyle w:val="Bulletlist1"/>
      </w:pPr>
      <w:r w:rsidRPr="00487D1C">
        <w:rPr>
          <w:b/>
          <w:bCs w:val="0"/>
        </w:rPr>
        <w:t>Safety Requirements</w:t>
      </w:r>
      <w:r>
        <w:t xml:space="preserve"> – These set out the essential requirements that must be met to ensure safety. They use mandatory language (</w:t>
      </w:r>
      <w:r w:rsidR="00801EDD">
        <w:t>for example,</w:t>
      </w:r>
      <w:r>
        <w:t xml:space="preserve"> “shall”) and cover areas such as site evaluation, design, operation, and decommissioning of nuclear facilities.</w:t>
      </w:r>
    </w:p>
    <w:p w14:paraId="21F55C8D" w14:textId="34078712" w:rsidR="0067318E" w:rsidRDefault="0067318E" w:rsidP="00A00BAF">
      <w:pPr>
        <w:pStyle w:val="Bulletlist1"/>
      </w:pPr>
      <w:r w:rsidRPr="00487D1C">
        <w:rPr>
          <w:b/>
          <w:bCs w:val="0"/>
        </w:rPr>
        <w:t>Safety Guides</w:t>
      </w:r>
      <w:r>
        <w:t xml:space="preserve"> – These provide recommendations and guidance on how to meet the Safety Requirements. They reflect international good practices and increasingly represent best practices. They use advisory language (</w:t>
      </w:r>
      <w:r w:rsidR="00801EDD">
        <w:t>for example,</w:t>
      </w:r>
      <w:r>
        <w:t xml:space="preserve"> “should”).</w:t>
      </w:r>
    </w:p>
    <w:p w14:paraId="5CEC486A" w14:textId="403F003E" w:rsidR="0067318E" w:rsidRDefault="0067318E" w:rsidP="00A00BAF">
      <w:pPr>
        <w:pStyle w:val="F9-Paragraph"/>
      </w:pPr>
      <w:r>
        <w:t>ONR uses these documents to benchmark and inform the development and periodic review of its own regulatory guidance, including the TAGs and TIGs. For example, the IAEA’s General Safety Requirements Part 4 on safety assessment for facilities and activities is directly relevant to ONR’s expectations for safety cases and assessment methodologies</w:t>
      </w:r>
      <w:r w:rsidR="00086111">
        <w:t xml:space="preserve"> </w:t>
      </w:r>
      <w:sdt>
        <w:sdtPr>
          <w:id w:val="485665689"/>
          <w:citation/>
        </w:sdtPr>
        <w:sdtEndPr/>
        <w:sdtContent>
          <w:r w:rsidR="00086111">
            <w:fldChar w:fldCharType="begin"/>
          </w:r>
          <w:r w:rsidR="00086111">
            <w:instrText xml:space="preserve"> CITATION IAE1619 \l 2057 </w:instrText>
          </w:r>
          <w:r w:rsidR="00086111">
            <w:fldChar w:fldCharType="separate"/>
          </w:r>
          <w:r w:rsidR="005561F7">
            <w:rPr>
              <w:noProof/>
            </w:rPr>
            <w:t>[5]</w:t>
          </w:r>
          <w:r w:rsidR="00086111">
            <w:fldChar w:fldCharType="end"/>
          </w:r>
        </w:sdtContent>
      </w:sdt>
      <w:r>
        <w:t>.</w:t>
      </w:r>
    </w:p>
    <w:p w14:paraId="7A1C4B82" w14:textId="0F0BBAC8" w:rsidR="00554E17" w:rsidRDefault="0067318E" w:rsidP="007406CB">
      <w:pPr>
        <w:pStyle w:val="F9-Paragraph"/>
      </w:pPr>
      <w:r>
        <w:t>The IAEA Nuclear Security Series</w:t>
      </w:r>
      <w:r w:rsidR="00801EDD">
        <w:t xml:space="preserve"> </w:t>
      </w:r>
      <w:r w:rsidR="00487D1C">
        <w:t xml:space="preserve">(NSS) </w:t>
      </w:r>
      <w:r>
        <w:t>documents, which provide expectations and guidance on physical protection, cyber</w:t>
      </w:r>
      <w:r w:rsidR="00355D86">
        <w:t xml:space="preserve"> </w:t>
      </w:r>
      <w:r>
        <w:t>security, and nuclear material accounting. These are particularly relevant to ONR’s SyAPs and associated TIGs.</w:t>
      </w:r>
    </w:p>
    <w:p w14:paraId="59F91B27" w14:textId="77777777" w:rsidR="0067318E" w:rsidRDefault="0067318E" w:rsidP="007406CB">
      <w:pPr>
        <w:pStyle w:val="F9-Paragraph"/>
      </w:pPr>
      <w:r>
        <w:t>By aligning with IAEA standards, ONR ensures that its regulatory approach is consistent with international norms and supports the UK’s obligations under treaties such as:</w:t>
      </w:r>
    </w:p>
    <w:p w14:paraId="44939BFB" w14:textId="77777777" w:rsidR="0067318E" w:rsidRDefault="0067318E" w:rsidP="007406CB">
      <w:pPr>
        <w:pStyle w:val="Bulletlist1"/>
      </w:pPr>
      <w:r>
        <w:t>The Convention on Nuclear Safety</w:t>
      </w:r>
    </w:p>
    <w:p w14:paraId="6DD3CCD7" w14:textId="77777777" w:rsidR="0067318E" w:rsidRDefault="0067318E" w:rsidP="007406CB">
      <w:pPr>
        <w:pStyle w:val="Bulletlist1"/>
      </w:pPr>
      <w:r>
        <w:lastRenderedPageBreak/>
        <w:t>The Joint Convention on the Safety of Spent Fuel Management and on the Safety of Radioactive Waste Management</w:t>
      </w:r>
    </w:p>
    <w:p w14:paraId="71663A15" w14:textId="565318EE" w:rsidR="0067318E" w:rsidRDefault="0067318E" w:rsidP="007406CB">
      <w:pPr>
        <w:pStyle w:val="Bulletlist1"/>
      </w:pPr>
      <w:r>
        <w:t>The Convention on the Physical Protection of Nuclear Material  and its Amendment</w:t>
      </w:r>
    </w:p>
    <w:p w14:paraId="79CF19B5" w14:textId="17042674" w:rsidR="0067318E" w:rsidRDefault="0067318E" w:rsidP="007406CB">
      <w:pPr>
        <w:pStyle w:val="F9-Paragraph"/>
      </w:pPr>
      <w:r>
        <w:t xml:space="preserve">This alignment also facilitates international peer reviews, such as the IAEA Integrated Regulatory Review Service </w:t>
      </w:r>
      <w:r w:rsidR="00355D86">
        <w:t xml:space="preserve">(IRRS) </w:t>
      </w:r>
      <w:r>
        <w:t>missions, which assess the effectiveness of national regulatory frameworks.</w:t>
      </w:r>
    </w:p>
    <w:p w14:paraId="02055217" w14:textId="77777777" w:rsidR="00487D1C" w:rsidRPr="00487D1C" w:rsidRDefault="00487D1C" w:rsidP="00487D1C">
      <w:pPr>
        <w:pStyle w:val="Heading2"/>
        <w:rPr>
          <w:lang w:eastAsia="en-GB"/>
        </w:rPr>
      </w:pPr>
      <w:r>
        <w:rPr>
          <w:lang w:eastAsia="en-GB"/>
        </w:rPr>
        <w:t>WENRA Safety Reference Levels</w:t>
      </w:r>
    </w:p>
    <w:p w14:paraId="212AE724" w14:textId="3AEDC3AB" w:rsidR="00487D1C" w:rsidRDefault="00487D1C" w:rsidP="00487D1C">
      <w:pPr>
        <w:pStyle w:val="F9-Paragraph"/>
        <w:rPr>
          <w:rFonts w:ascii="Calibri" w:hAnsi="Calibri" w:cs="Calibri"/>
          <w:color w:val="000000"/>
          <w:lang w:eastAsia="en-GB"/>
        </w:rPr>
      </w:pPr>
      <w:r>
        <w:rPr>
          <w:bdr w:val="none" w:sz="0" w:space="0" w:color="auto" w:frame="1"/>
        </w:rPr>
        <w:t>The objective of the WENRA Safety Reference Levels (SRLs) is to develop a common approach to nuclear safety in Europe by comparing national approaches to the application of the IAEA Safety Standards.</w:t>
      </w:r>
    </w:p>
    <w:p w14:paraId="6B7EFEE4" w14:textId="5866CA04" w:rsidR="00487D1C" w:rsidRPr="00487D1C" w:rsidRDefault="00487D1C" w:rsidP="00487D1C">
      <w:pPr>
        <w:pStyle w:val="F9-Paragraph"/>
        <w:rPr>
          <w:rFonts w:ascii="Calibri" w:hAnsi="Calibri" w:cs="Calibri"/>
          <w:color w:val="000000"/>
        </w:rPr>
      </w:pPr>
      <w:r w:rsidRPr="00487D1C">
        <w:rPr>
          <w:bdr w:val="none" w:sz="0" w:space="0" w:color="auto" w:frame="1"/>
        </w:rPr>
        <w:t xml:space="preserve">The Safety Reference Levels (SRLs), which are primarily based on the IAEA </w:t>
      </w:r>
      <w:r>
        <w:rPr>
          <w:bdr w:val="none" w:sz="0" w:space="0" w:color="auto" w:frame="1"/>
        </w:rPr>
        <w:t>Safety Standards</w:t>
      </w:r>
      <w:r w:rsidRPr="00487D1C">
        <w:rPr>
          <w:bdr w:val="none" w:sz="0" w:space="0" w:color="auto" w:frame="1"/>
        </w:rPr>
        <w:t>, represent good practices in the WENRA member states and also represent a consensus view of the main requirements to be applied to ensure nuclear safety.</w:t>
      </w:r>
    </w:p>
    <w:p w14:paraId="352FBE2B" w14:textId="77777777" w:rsidR="00A048E6" w:rsidRDefault="00A048E6" w:rsidP="00A048E6">
      <w:pPr>
        <w:pStyle w:val="F9-Paragraph"/>
        <w:numPr>
          <w:ilvl w:val="0"/>
          <w:numId w:val="0"/>
        </w:numPr>
        <w:ind w:left="851"/>
      </w:pPr>
    </w:p>
    <w:p w14:paraId="5255232C" w14:textId="38E9D4C4" w:rsidR="00F7687C" w:rsidRDefault="00F970F2" w:rsidP="00E90780">
      <w:pPr>
        <w:pStyle w:val="Heading1"/>
      </w:pPr>
      <w:bookmarkStart w:id="7" w:name="_Toc205763927"/>
      <w:r>
        <w:t xml:space="preserve">Regulatory </w:t>
      </w:r>
      <w:r w:rsidR="00554E17">
        <w:t>e</w:t>
      </w:r>
      <w:r>
        <w:t>xpectations</w:t>
      </w:r>
      <w:bookmarkEnd w:id="7"/>
    </w:p>
    <w:p w14:paraId="079385FF" w14:textId="18708F1E" w:rsidR="003A5597" w:rsidRDefault="003A5597" w:rsidP="003A5597">
      <w:pPr>
        <w:pStyle w:val="F9-Paragraph"/>
      </w:pPr>
      <w:r>
        <w:t xml:space="preserve">ONR expects dutyholders to provide accurate, robust, and evidence-based submissions that demonstrate compliance with regulatory requirements. </w:t>
      </w:r>
      <w:r w:rsidR="00554E17">
        <w:br/>
      </w:r>
      <w:r>
        <w:t>This includes clear and well-supported claims, arguments, and evidence within safety cases, security plans, and other relevant documentation.</w:t>
      </w:r>
    </w:p>
    <w:p w14:paraId="41882D1A" w14:textId="7DB0C2BE" w:rsidR="003A5597" w:rsidRDefault="003A5597" w:rsidP="003A5597">
      <w:pPr>
        <w:pStyle w:val="F9-Paragraph"/>
      </w:pPr>
      <w:r>
        <w:t xml:space="preserve">Submissions should reflect a thorough understanding of the applicable legal and regulatory frameworks, as well as relevant good practices and international standards. </w:t>
      </w:r>
      <w:r w:rsidRPr="00850BCD">
        <w:t>Submissions need to consider all applicable stages in the lifecycle of the facility</w:t>
      </w:r>
      <w:r>
        <w:t>.</w:t>
      </w:r>
      <w:r w:rsidRPr="00850BCD">
        <w:t xml:space="preserve"> </w:t>
      </w:r>
      <w:r>
        <w:t xml:space="preserve">Dutyholders are expected to engage proactively with ONR, providing timely, concise and clearly presented information. </w:t>
      </w:r>
    </w:p>
    <w:p w14:paraId="20371165" w14:textId="10258B83" w:rsidR="003A5597" w:rsidRDefault="003A5597" w:rsidP="003A5597">
      <w:pPr>
        <w:pStyle w:val="F9-Paragraph"/>
      </w:pPr>
      <w:r>
        <w:t>By meeting these expectations, dutyholders:</w:t>
      </w:r>
    </w:p>
    <w:p w14:paraId="7BA30616" w14:textId="77777777" w:rsidR="003A5597" w:rsidRDefault="003A5597" w:rsidP="00AA17F3">
      <w:pPr>
        <w:pStyle w:val="Bulletlist1"/>
      </w:pPr>
      <w:r>
        <w:t>contribute to the overall safety and security of the UK’s civil nuclear sector, ensuring that risks are effectively managed and regulatory requirements are consistently met.</w:t>
      </w:r>
    </w:p>
    <w:p w14:paraId="382D7540" w14:textId="77777777" w:rsidR="003A5597" w:rsidRDefault="003A5597" w:rsidP="00AA17F3">
      <w:pPr>
        <w:pStyle w:val="Bulletlist1"/>
      </w:pPr>
      <w:r>
        <w:t>assist ONR in reaching timely, well informed regulatory decisions, minimising the need for protracted and iterative engagements.</w:t>
      </w:r>
    </w:p>
    <w:p w14:paraId="03D464E8" w14:textId="40D2FA47" w:rsidR="00A048E6" w:rsidRDefault="00A048E6" w:rsidP="00904152">
      <w:pPr>
        <w:pStyle w:val="Heading1"/>
        <w:numPr>
          <w:ilvl w:val="0"/>
          <w:numId w:val="0"/>
        </w:numPr>
        <w:rPr>
          <w:szCs w:val="48"/>
        </w:rPr>
        <w:sectPr w:rsidR="00A048E6" w:rsidSect="000B2BCD">
          <w:pgSz w:w="11906" w:h="16838" w:code="9"/>
          <w:pgMar w:top="1440" w:right="1440" w:bottom="1440" w:left="1440" w:header="397" w:footer="397" w:gutter="0"/>
          <w:cols w:space="312"/>
          <w:docGrid w:linePitch="360"/>
        </w:sectPr>
      </w:pPr>
      <w:bookmarkStart w:id="8" w:name="_Toc205763928"/>
    </w:p>
    <w:sdt>
      <w:sdtPr>
        <w:rPr>
          <w:color w:val="auto"/>
          <w:sz w:val="24"/>
          <w:szCs w:val="24"/>
        </w:rPr>
        <w:id w:val="-284124854"/>
        <w:docPartObj>
          <w:docPartGallery w:val="Bibliographies"/>
          <w:docPartUnique/>
        </w:docPartObj>
      </w:sdtPr>
      <w:sdtEndPr>
        <w:rPr>
          <w:color w:val="22413A"/>
          <w:sz w:val="48"/>
        </w:rPr>
      </w:sdtEndPr>
      <w:sdtContent>
        <w:p w14:paraId="04BBBDD0" w14:textId="55494929" w:rsidR="00F7687C" w:rsidRDefault="00F7687C" w:rsidP="00904152">
          <w:pPr>
            <w:pStyle w:val="Heading1"/>
            <w:numPr>
              <w:ilvl w:val="0"/>
              <w:numId w:val="0"/>
            </w:numPr>
          </w:pPr>
          <w:r>
            <w:t>References</w:t>
          </w:r>
          <w:bookmarkEnd w:id="8"/>
        </w:p>
        <w:sdt>
          <w:sdtPr>
            <w:rPr>
              <w:rFonts w:eastAsia="Calibri"/>
              <w:color w:val="22413A"/>
              <w:sz w:val="48"/>
              <w:szCs w:val="22"/>
              <w:lang w:bidi="he-IL"/>
            </w:rPr>
            <w:id w:val="700524479"/>
            <w:bibliography/>
          </w:sdtPr>
          <w:sdtEndPr/>
          <w:sdtContent>
            <w:p w14:paraId="0EA88F37" w14:textId="77777777" w:rsidR="005561F7" w:rsidRDefault="00F7687C" w:rsidP="005561F7">
              <w:pPr>
                <w:pStyle w:val="F9-Paragraph"/>
                <w:numPr>
                  <w:ilvl w:val="0"/>
                  <w:numId w:val="0"/>
                </w:numPr>
                <w:ind w:left="851" w:hanging="851"/>
                <w:rPr>
                  <w:rFonts w:ascii="Calibri" w:hAnsi="Calibri"/>
                  <w:noProof/>
                  <w:sz w:val="20"/>
                  <w:szCs w:val="20"/>
                  <w:lang w:eastAsia="en-GB"/>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5561F7" w14:paraId="6A782BF6" w14:textId="77777777">
                <w:trPr>
                  <w:divId w:val="1409108427"/>
                  <w:tblCellSpacing w:w="15" w:type="dxa"/>
                </w:trPr>
                <w:tc>
                  <w:tcPr>
                    <w:tcW w:w="50" w:type="pct"/>
                    <w:hideMark/>
                  </w:tcPr>
                  <w:p w14:paraId="1A4788FD" w14:textId="355B67C4" w:rsidR="005561F7" w:rsidRDefault="005561F7">
                    <w:pPr>
                      <w:pStyle w:val="Bibliography"/>
                      <w:rPr>
                        <w:noProof/>
                        <w:szCs w:val="24"/>
                      </w:rPr>
                    </w:pPr>
                    <w:r>
                      <w:rPr>
                        <w:noProof/>
                      </w:rPr>
                      <w:t xml:space="preserve">[1] </w:t>
                    </w:r>
                  </w:p>
                </w:tc>
                <w:tc>
                  <w:tcPr>
                    <w:tcW w:w="0" w:type="auto"/>
                    <w:hideMark/>
                  </w:tcPr>
                  <w:p w14:paraId="455F0CBB" w14:textId="77777777" w:rsidR="005561F7" w:rsidRDefault="005561F7">
                    <w:pPr>
                      <w:pStyle w:val="Bibliography"/>
                      <w:rPr>
                        <w:noProof/>
                      </w:rPr>
                    </w:pPr>
                    <w:r>
                      <w:rPr>
                        <w:noProof/>
                      </w:rPr>
                      <w:t>ONR, “Safety Assessment Principles (SAPs) for Nuclear Facilities - 2014 Edition (Revision 1),” 2020.</w:t>
                    </w:r>
                  </w:p>
                </w:tc>
              </w:tr>
              <w:tr w:rsidR="005561F7" w14:paraId="2D84FBAF" w14:textId="77777777">
                <w:trPr>
                  <w:divId w:val="1409108427"/>
                  <w:tblCellSpacing w:w="15" w:type="dxa"/>
                </w:trPr>
                <w:tc>
                  <w:tcPr>
                    <w:tcW w:w="50" w:type="pct"/>
                    <w:hideMark/>
                  </w:tcPr>
                  <w:p w14:paraId="1F3B67E4" w14:textId="77777777" w:rsidR="005561F7" w:rsidRDefault="005561F7">
                    <w:pPr>
                      <w:pStyle w:val="Bibliography"/>
                      <w:rPr>
                        <w:noProof/>
                      </w:rPr>
                    </w:pPr>
                    <w:r>
                      <w:rPr>
                        <w:noProof/>
                      </w:rPr>
                      <w:t xml:space="preserve">[2] </w:t>
                    </w:r>
                  </w:p>
                </w:tc>
                <w:tc>
                  <w:tcPr>
                    <w:tcW w:w="0" w:type="auto"/>
                    <w:hideMark/>
                  </w:tcPr>
                  <w:p w14:paraId="450D6268" w14:textId="77777777" w:rsidR="005561F7" w:rsidRDefault="005561F7">
                    <w:pPr>
                      <w:pStyle w:val="Bibliography"/>
                      <w:rPr>
                        <w:noProof/>
                      </w:rPr>
                    </w:pPr>
                    <w:r>
                      <w:rPr>
                        <w:noProof/>
                      </w:rPr>
                      <w:t>ONR, “Security Assessment Principles (SyAPs) for the Civil Nuclear Industry (Version 1),” 2022. [Online]. Available: https://www.onr.org.uk/media/g05fszjn/security-assessment-principles.pdf.</w:t>
                    </w:r>
                  </w:p>
                </w:tc>
              </w:tr>
              <w:tr w:rsidR="005561F7" w14:paraId="25E55DFE" w14:textId="77777777">
                <w:trPr>
                  <w:divId w:val="1409108427"/>
                  <w:tblCellSpacing w:w="15" w:type="dxa"/>
                </w:trPr>
                <w:tc>
                  <w:tcPr>
                    <w:tcW w:w="50" w:type="pct"/>
                    <w:hideMark/>
                  </w:tcPr>
                  <w:p w14:paraId="61B8427D" w14:textId="77777777" w:rsidR="005561F7" w:rsidRDefault="005561F7">
                    <w:pPr>
                      <w:pStyle w:val="Bibliography"/>
                      <w:rPr>
                        <w:noProof/>
                      </w:rPr>
                    </w:pPr>
                    <w:r>
                      <w:rPr>
                        <w:noProof/>
                      </w:rPr>
                      <w:t xml:space="preserve">[3] </w:t>
                    </w:r>
                  </w:p>
                </w:tc>
                <w:tc>
                  <w:tcPr>
                    <w:tcW w:w="0" w:type="auto"/>
                    <w:hideMark/>
                  </w:tcPr>
                  <w:p w14:paraId="74DB8E0C" w14:textId="77777777" w:rsidR="005561F7" w:rsidRDefault="005561F7">
                    <w:pPr>
                      <w:pStyle w:val="Bibliography"/>
                      <w:rPr>
                        <w:noProof/>
                      </w:rPr>
                    </w:pPr>
                    <w:r>
                      <w:rPr>
                        <w:noProof/>
                      </w:rPr>
                      <w:t>ONR, “Nuclear Material Accountancy Control and Safeguards Assessment Principles (ONMACS)”.</w:t>
                    </w:r>
                  </w:p>
                </w:tc>
              </w:tr>
              <w:tr w:rsidR="005561F7" w14:paraId="58B65FF9" w14:textId="77777777">
                <w:trPr>
                  <w:divId w:val="1409108427"/>
                  <w:tblCellSpacing w:w="15" w:type="dxa"/>
                </w:trPr>
                <w:tc>
                  <w:tcPr>
                    <w:tcW w:w="50" w:type="pct"/>
                    <w:hideMark/>
                  </w:tcPr>
                  <w:p w14:paraId="6B53A805" w14:textId="77777777" w:rsidR="005561F7" w:rsidRDefault="005561F7">
                    <w:pPr>
                      <w:pStyle w:val="Bibliography"/>
                      <w:rPr>
                        <w:noProof/>
                      </w:rPr>
                    </w:pPr>
                    <w:r>
                      <w:rPr>
                        <w:noProof/>
                      </w:rPr>
                      <w:t xml:space="preserve">[4] </w:t>
                    </w:r>
                  </w:p>
                </w:tc>
                <w:tc>
                  <w:tcPr>
                    <w:tcW w:w="0" w:type="auto"/>
                    <w:hideMark/>
                  </w:tcPr>
                  <w:p w14:paraId="0361C45A" w14:textId="77777777" w:rsidR="005561F7" w:rsidRDefault="005561F7">
                    <w:pPr>
                      <w:pStyle w:val="Bibliography"/>
                      <w:rPr>
                        <w:noProof/>
                      </w:rPr>
                    </w:pPr>
                    <w:r>
                      <w:rPr>
                        <w:noProof/>
                      </w:rPr>
                      <w:t>IAEA, “IAEA Safety Standards Series No. SF-1 - Fundamental Safety Principles,” 2006. [Online]. Available: https://www.iaea.org/publications/7592/fundamental-safety-principles.</w:t>
                    </w:r>
                  </w:p>
                </w:tc>
              </w:tr>
              <w:tr w:rsidR="005561F7" w14:paraId="7792051A" w14:textId="77777777">
                <w:trPr>
                  <w:divId w:val="1409108427"/>
                  <w:tblCellSpacing w:w="15" w:type="dxa"/>
                </w:trPr>
                <w:tc>
                  <w:tcPr>
                    <w:tcW w:w="50" w:type="pct"/>
                    <w:hideMark/>
                  </w:tcPr>
                  <w:p w14:paraId="678CC4E5" w14:textId="77777777" w:rsidR="005561F7" w:rsidRDefault="005561F7">
                    <w:pPr>
                      <w:pStyle w:val="Bibliography"/>
                      <w:rPr>
                        <w:noProof/>
                      </w:rPr>
                    </w:pPr>
                    <w:r>
                      <w:rPr>
                        <w:noProof/>
                      </w:rPr>
                      <w:t xml:space="preserve">[5] </w:t>
                    </w:r>
                  </w:p>
                </w:tc>
                <w:tc>
                  <w:tcPr>
                    <w:tcW w:w="0" w:type="auto"/>
                    <w:hideMark/>
                  </w:tcPr>
                  <w:p w14:paraId="1E6A858C" w14:textId="77777777" w:rsidR="005561F7" w:rsidRDefault="005561F7">
                    <w:pPr>
                      <w:pStyle w:val="Bibliography"/>
                      <w:rPr>
                        <w:noProof/>
                      </w:rPr>
                    </w:pPr>
                    <w:r>
                      <w:rPr>
                        <w:noProof/>
                      </w:rPr>
                      <w:t>IAEA, “Safety Standards Series No. GSR Part 4 (Rev. 1) - Safety Assessment for Facilities and Activities,” 2016. [Online]. Available: https://www.iaea.org/publications/10884/safety-assessment-for-facilities-and-activities.</w:t>
                    </w:r>
                  </w:p>
                </w:tc>
              </w:tr>
            </w:tbl>
            <w:p w14:paraId="37DAADF5" w14:textId="77777777" w:rsidR="005561F7" w:rsidRDefault="005561F7">
              <w:pPr>
                <w:divId w:val="1409108427"/>
                <w:rPr>
                  <w:rFonts w:eastAsia="Times New Roman"/>
                  <w:noProof/>
                </w:rPr>
              </w:pPr>
            </w:p>
            <w:p w14:paraId="3B9D5102" w14:textId="3C8D2D41" w:rsidR="002938BD" w:rsidRDefault="00F7687C" w:rsidP="00487D1C">
              <w:pPr>
                <w:pStyle w:val="Heading1"/>
                <w:numPr>
                  <w:ilvl w:val="0"/>
                  <w:numId w:val="0"/>
                </w:numPr>
              </w:pPr>
              <w:r>
                <w:rPr>
                  <w:b/>
                  <w:bCs/>
                  <w:noProof/>
                </w:rPr>
                <w:fldChar w:fldCharType="end"/>
              </w:r>
            </w:p>
          </w:sdtContent>
        </w:sdt>
      </w:sdtContent>
    </w:sdt>
    <w:p w14:paraId="32F11A06" w14:textId="77777777" w:rsidR="00487D1C" w:rsidRDefault="00487D1C" w:rsidP="00487D1C">
      <w:pPr>
        <w:pStyle w:val="Heading1"/>
        <w:numPr>
          <w:ilvl w:val="0"/>
          <w:numId w:val="0"/>
        </w:numPr>
        <w:ind w:left="851" w:hanging="851"/>
        <w:sectPr w:rsidR="00487D1C" w:rsidSect="000B2BCD">
          <w:pgSz w:w="11906" w:h="16838" w:code="9"/>
          <w:pgMar w:top="1440" w:right="1440" w:bottom="1440" w:left="1440" w:header="397" w:footer="397" w:gutter="0"/>
          <w:cols w:space="312"/>
          <w:docGrid w:linePitch="360"/>
        </w:sectPr>
      </w:pPr>
    </w:p>
    <w:p w14:paraId="68EE39D9" w14:textId="1FF85C3E" w:rsidR="00487D1C" w:rsidRDefault="00487D1C" w:rsidP="00487D1C">
      <w:pPr>
        <w:pStyle w:val="Heading1"/>
        <w:numPr>
          <w:ilvl w:val="0"/>
          <w:numId w:val="0"/>
        </w:numPr>
        <w:ind w:left="851" w:hanging="851"/>
      </w:pPr>
      <w:r>
        <w:lastRenderedPageBreak/>
        <w:t>Document control</w:t>
      </w:r>
    </w:p>
    <w:p w14:paraId="4690FFD2" w14:textId="7F6BE2F1" w:rsidR="002938BD" w:rsidRPr="002D5F2E" w:rsidRDefault="002938BD" w:rsidP="002938BD">
      <w:pPr>
        <w:rPr>
          <w:szCs w:val="24"/>
        </w:rPr>
      </w:pPr>
      <w:r w:rsidRPr="002D5F2E">
        <w:rPr>
          <w:b/>
          <w:bCs/>
          <w:szCs w:val="24"/>
        </w:rPr>
        <w:t>Approved by</w:t>
      </w:r>
      <w:r w:rsidRPr="002D5F2E">
        <w:rPr>
          <w:szCs w:val="24"/>
        </w:rPr>
        <w:t xml:space="preserve">: </w:t>
      </w:r>
      <w:r w:rsidR="000C4E4D">
        <w:rPr>
          <w:szCs w:val="24"/>
        </w:rPr>
        <w:t>R Maitland, Head of Regulatory Policy and Standards</w:t>
      </w:r>
    </w:p>
    <w:p w14:paraId="43B2EC36" w14:textId="39412BDD" w:rsidR="002938BD" w:rsidRPr="002D5F2E" w:rsidRDefault="002938BD" w:rsidP="002938BD">
      <w:pPr>
        <w:rPr>
          <w:szCs w:val="24"/>
        </w:rPr>
      </w:pPr>
      <w:r w:rsidRPr="002D5F2E">
        <w:rPr>
          <w:b/>
          <w:bCs/>
          <w:szCs w:val="24"/>
        </w:rPr>
        <w:t>Issue</w:t>
      </w:r>
      <w:r w:rsidRPr="002D5F2E">
        <w:rPr>
          <w:szCs w:val="24"/>
        </w:rPr>
        <w:t xml:space="preserve">: </w:t>
      </w:r>
      <w:sdt>
        <w:sdtPr>
          <w:rPr>
            <w:szCs w:val="24"/>
          </w:rPr>
          <w:alias w:val="Issue No."/>
          <w:tag w:val=""/>
          <w:id w:val="-894428327"/>
          <w:placeholder>
            <w:docPart w:val="9E6A6DB5217F423885B4A5AE7CDAB133"/>
          </w:placeholder>
          <w:dataBinding w:prefixMappings="xmlns:ns0='http://purl.org/dc/elements/1.1/' xmlns:ns1='http://schemas.openxmlformats.org/package/2006/metadata/core-properties' " w:xpath="/ns1:coreProperties[1]/ns1:contentStatus[1]" w:storeItemID="{6C3C8BC8-F283-45AE-878A-BAB7291924A1}"/>
          <w:text/>
        </w:sdtPr>
        <w:sdtEndPr/>
        <w:sdtContent>
          <w:r>
            <w:rPr>
              <w:szCs w:val="24"/>
            </w:rPr>
            <w:t>1</w:t>
          </w:r>
          <w:r w:rsidR="00487D1C">
            <w:rPr>
              <w:szCs w:val="24"/>
            </w:rPr>
            <w:t>.1</w:t>
          </w:r>
        </w:sdtContent>
      </w:sdt>
    </w:p>
    <w:p w14:paraId="421CB40D" w14:textId="01B215D5" w:rsidR="002938BD" w:rsidRPr="002D5F2E" w:rsidRDefault="002938BD" w:rsidP="002938BD">
      <w:pPr>
        <w:rPr>
          <w:szCs w:val="24"/>
        </w:rPr>
      </w:pPr>
      <w:r>
        <w:rPr>
          <w:b/>
          <w:bCs/>
          <w:szCs w:val="24"/>
        </w:rPr>
        <w:t>Published</w:t>
      </w:r>
      <w:r w:rsidRPr="002D5F2E">
        <w:rPr>
          <w:szCs w:val="24"/>
        </w:rPr>
        <w:t xml:space="preserve">: </w:t>
      </w:r>
      <w:r w:rsidR="00487D1C">
        <w:rPr>
          <w:szCs w:val="24"/>
        </w:rPr>
        <w:t>October</w:t>
      </w:r>
      <w:r w:rsidR="000C4E4D">
        <w:rPr>
          <w:szCs w:val="24"/>
        </w:rPr>
        <w:t xml:space="preserve"> 2025</w:t>
      </w:r>
    </w:p>
    <w:p w14:paraId="623427CB" w14:textId="4770AE4A" w:rsidR="002938BD" w:rsidRPr="002D5F2E" w:rsidRDefault="002938BD" w:rsidP="002938BD">
      <w:pPr>
        <w:rPr>
          <w:szCs w:val="24"/>
        </w:rPr>
      </w:pPr>
      <w:r w:rsidRPr="002D5F2E">
        <w:rPr>
          <w:b/>
          <w:bCs/>
          <w:szCs w:val="24"/>
        </w:rPr>
        <w:t xml:space="preserve">Next </w:t>
      </w:r>
      <w:r>
        <w:rPr>
          <w:b/>
          <w:bCs/>
          <w:szCs w:val="24"/>
        </w:rPr>
        <w:t>scheduled review</w:t>
      </w:r>
      <w:r w:rsidRPr="002D5F2E">
        <w:rPr>
          <w:szCs w:val="24"/>
        </w:rPr>
        <w:t xml:space="preserve">: </w:t>
      </w:r>
      <w:r w:rsidR="000C4E4D">
        <w:rPr>
          <w:szCs w:val="24"/>
        </w:rPr>
        <w:t>September 2028</w:t>
      </w:r>
    </w:p>
    <w:p w14:paraId="05E7851F" w14:textId="21E5D312" w:rsidR="002938BD" w:rsidRPr="002D5F2E" w:rsidRDefault="002938BD" w:rsidP="002938BD">
      <w:pPr>
        <w:rPr>
          <w:szCs w:val="24"/>
        </w:rPr>
      </w:pPr>
      <w:r w:rsidRPr="002D5F2E">
        <w:rPr>
          <w:b/>
          <w:bCs/>
          <w:szCs w:val="24"/>
        </w:rPr>
        <w:t>Doc</w:t>
      </w:r>
      <w:r>
        <w:rPr>
          <w:b/>
          <w:bCs/>
          <w:szCs w:val="24"/>
        </w:rPr>
        <w:t>ument reference</w:t>
      </w:r>
      <w:r w:rsidRPr="002D5F2E">
        <w:rPr>
          <w:szCs w:val="24"/>
        </w:rPr>
        <w:t xml:space="preserve">: </w:t>
      </w:r>
      <w:r w:rsidR="000C4E4D">
        <w:rPr>
          <w:szCs w:val="24"/>
        </w:rPr>
        <w:t>ONR-RD-</w:t>
      </w:r>
      <w:r w:rsidR="000809AD">
        <w:rPr>
          <w:szCs w:val="24"/>
        </w:rPr>
        <w:t>REF</w:t>
      </w:r>
      <w:r w:rsidR="000C4E4D">
        <w:rPr>
          <w:szCs w:val="24"/>
        </w:rPr>
        <w:t>-</w:t>
      </w:r>
      <w:r w:rsidR="000809AD">
        <w:rPr>
          <w:szCs w:val="24"/>
        </w:rPr>
        <w:t>001</w:t>
      </w:r>
    </w:p>
    <w:p w14:paraId="1DEA98BB" w14:textId="0268179A" w:rsidR="002938BD" w:rsidRPr="002D5F2E" w:rsidRDefault="002938BD" w:rsidP="00E458CE">
      <w:pPr>
        <w:rPr>
          <w:szCs w:val="24"/>
        </w:rPr>
      </w:pPr>
      <w:r w:rsidRPr="005561F7">
        <w:rPr>
          <w:b/>
          <w:bCs/>
          <w:szCs w:val="24"/>
        </w:rPr>
        <w:t>Record reference</w:t>
      </w:r>
      <w:r w:rsidRPr="005561F7">
        <w:rPr>
          <w:szCs w:val="24"/>
        </w:rPr>
        <w:t xml:space="preserve">: </w:t>
      </w:r>
      <w:hyperlink r:id="rId25" w:tgtFrame="_blank" w:tooltip="ONRHH-822789359-20913" w:history="1">
        <w:r w:rsidR="00E458CE" w:rsidRPr="005561F7">
          <w:rPr>
            <w:rStyle w:val="Hyperlink"/>
            <w:szCs w:val="24"/>
          </w:rPr>
          <w:t>ONRHH-822789359-20913</w:t>
        </w:r>
      </w:hyperlink>
    </w:p>
    <w:p w14:paraId="5AB64469" w14:textId="77777777" w:rsidR="00487D1C" w:rsidRDefault="00487D1C" w:rsidP="002938BD">
      <w:pPr>
        <w:pStyle w:val="Caption"/>
        <w:keepNext/>
        <w:rPr>
          <w:sz w:val="24"/>
          <w:szCs w:val="24"/>
        </w:rPr>
      </w:pPr>
    </w:p>
    <w:p w14:paraId="1EF77617" w14:textId="66801519" w:rsidR="002938BD" w:rsidRPr="001567DE" w:rsidRDefault="002938BD" w:rsidP="002938BD">
      <w:pPr>
        <w:pStyle w:val="Caption"/>
        <w:keepNext/>
        <w:rPr>
          <w:sz w:val="24"/>
          <w:szCs w:val="24"/>
        </w:rPr>
      </w:pPr>
      <w:r w:rsidRPr="001567DE">
        <w:rPr>
          <w:sz w:val="24"/>
          <w:szCs w:val="24"/>
        </w:rPr>
        <w:t>Revision commentary</w:t>
      </w:r>
      <w:r w:rsidR="001567DE" w:rsidRPr="001567DE">
        <w:rPr>
          <w:sz w:val="24"/>
          <w:szCs w:val="24"/>
        </w:rPr>
        <w:t>:</w:t>
      </w:r>
    </w:p>
    <w:tbl>
      <w:tblPr>
        <w:tblStyle w:val="ONRTable1"/>
        <w:tblW w:w="0" w:type="auto"/>
        <w:tblInd w:w="10" w:type="dxa"/>
        <w:tblLook w:val="04A0" w:firstRow="1" w:lastRow="0" w:firstColumn="1" w:lastColumn="0" w:noHBand="0" w:noVBand="1"/>
      </w:tblPr>
      <w:tblGrid>
        <w:gridCol w:w="1550"/>
        <w:gridCol w:w="7466"/>
      </w:tblGrid>
      <w:tr w:rsidR="002938BD" w:rsidRPr="002D5F2E" w14:paraId="0D0A9138" w14:textId="77777777">
        <w:trPr>
          <w:cnfStyle w:val="100000000000" w:firstRow="1" w:lastRow="0" w:firstColumn="0" w:lastColumn="0" w:oddVBand="0" w:evenVBand="0" w:oddHBand="0" w:evenHBand="0" w:firstRowFirstColumn="0" w:firstRowLastColumn="0" w:lastRowFirstColumn="0" w:lastRowLastColumn="0"/>
        </w:trPr>
        <w:tc>
          <w:tcPr>
            <w:tcW w:w="1550" w:type="dxa"/>
          </w:tcPr>
          <w:p w14:paraId="167A1644" w14:textId="77777777" w:rsidR="002938BD" w:rsidRPr="002D5F2E" w:rsidRDefault="002938BD">
            <w:pPr>
              <w:spacing w:before="60" w:after="60"/>
              <w:rPr>
                <w:b w:val="0"/>
                <w:bCs/>
                <w:szCs w:val="24"/>
              </w:rPr>
            </w:pPr>
            <w:r w:rsidRPr="002D5F2E">
              <w:rPr>
                <w:b w:val="0"/>
                <w:bCs/>
                <w:szCs w:val="24"/>
              </w:rPr>
              <w:t>Issue</w:t>
            </w:r>
          </w:p>
        </w:tc>
        <w:tc>
          <w:tcPr>
            <w:tcW w:w="7466" w:type="dxa"/>
          </w:tcPr>
          <w:p w14:paraId="64B4F43C" w14:textId="77777777" w:rsidR="002938BD" w:rsidRPr="002D5F2E" w:rsidRDefault="002938BD">
            <w:pPr>
              <w:spacing w:before="60" w:after="60"/>
              <w:rPr>
                <w:b w:val="0"/>
                <w:bCs/>
                <w:szCs w:val="24"/>
              </w:rPr>
            </w:pPr>
            <w:r w:rsidRPr="002D5F2E">
              <w:rPr>
                <w:b w:val="0"/>
                <w:bCs/>
                <w:szCs w:val="24"/>
              </w:rPr>
              <w:t xml:space="preserve">Description of </w:t>
            </w:r>
            <w:r>
              <w:rPr>
                <w:b w:val="0"/>
                <w:bCs/>
                <w:szCs w:val="24"/>
              </w:rPr>
              <w:t>u</w:t>
            </w:r>
            <w:r w:rsidRPr="002D5F2E">
              <w:rPr>
                <w:b w:val="0"/>
                <w:bCs/>
                <w:szCs w:val="24"/>
              </w:rPr>
              <w:t>pdate(s)</w:t>
            </w:r>
          </w:p>
        </w:tc>
      </w:tr>
      <w:tr w:rsidR="002938BD" w:rsidRPr="002D5F2E" w14:paraId="00741E0C" w14:textId="77777777">
        <w:tc>
          <w:tcPr>
            <w:tcW w:w="1550" w:type="dxa"/>
          </w:tcPr>
          <w:p w14:paraId="6971C8A3" w14:textId="39E435C8" w:rsidR="002938BD" w:rsidRPr="002D5F2E" w:rsidRDefault="002938BD">
            <w:pPr>
              <w:spacing w:before="60" w:after="60"/>
              <w:rPr>
                <w:szCs w:val="24"/>
              </w:rPr>
            </w:pPr>
            <w:r>
              <w:rPr>
                <w:szCs w:val="24"/>
              </w:rPr>
              <w:t>1</w:t>
            </w:r>
          </w:p>
        </w:tc>
        <w:tc>
          <w:tcPr>
            <w:tcW w:w="7466" w:type="dxa"/>
          </w:tcPr>
          <w:p w14:paraId="092C382F" w14:textId="3FE8FCF2" w:rsidR="002938BD" w:rsidRPr="002D5F2E" w:rsidRDefault="002938BD">
            <w:pPr>
              <w:spacing w:before="60" w:after="60"/>
              <w:rPr>
                <w:szCs w:val="24"/>
              </w:rPr>
            </w:pPr>
            <w:r>
              <w:rPr>
                <w:szCs w:val="24"/>
              </w:rPr>
              <w:t xml:space="preserve">New document </w:t>
            </w:r>
            <w:r w:rsidR="005F1103">
              <w:rPr>
                <w:szCs w:val="24"/>
              </w:rPr>
              <w:t xml:space="preserve">published </w:t>
            </w:r>
            <w:r>
              <w:rPr>
                <w:szCs w:val="24"/>
              </w:rPr>
              <w:t>in support of the simplification of</w:t>
            </w:r>
            <w:r w:rsidR="005F1103">
              <w:rPr>
                <w:szCs w:val="24"/>
              </w:rPr>
              <w:t xml:space="preserve"> content across ONR</w:t>
            </w:r>
            <w:r>
              <w:rPr>
                <w:szCs w:val="24"/>
              </w:rPr>
              <w:t>’s regulatory guidance</w:t>
            </w:r>
            <w:r w:rsidR="005F1103">
              <w:rPr>
                <w:szCs w:val="24"/>
              </w:rPr>
              <w:t xml:space="preserve"> (i.e., TAGs and TIGs)</w:t>
            </w:r>
            <w:r>
              <w:rPr>
                <w:szCs w:val="24"/>
              </w:rPr>
              <w:t>.</w:t>
            </w:r>
          </w:p>
        </w:tc>
      </w:tr>
      <w:tr w:rsidR="00487D1C" w:rsidRPr="002D5F2E" w14:paraId="4A97FCAB" w14:textId="77777777">
        <w:tc>
          <w:tcPr>
            <w:tcW w:w="1550" w:type="dxa"/>
          </w:tcPr>
          <w:p w14:paraId="168C869E" w14:textId="64EA053D" w:rsidR="00487D1C" w:rsidRDefault="00487D1C">
            <w:pPr>
              <w:spacing w:before="60" w:after="60"/>
              <w:rPr>
                <w:szCs w:val="24"/>
              </w:rPr>
            </w:pPr>
            <w:r>
              <w:rPr>
                <w:szCs w:val="24"/>
              </w:rPr>
              <w:t>1.1</w:t>
            </w:r>
          </w:p>
        </w:tc>
        <w:tc>
          <w:tcPr>
            <w:tcW w:w="7466" w:type="dxa"/>
          </w:tcPr>
          <w:p w14:paraId="28150CC7" w14:textId="5643BF89" w:rsidR="00487D1C" w:rsidRDefault="00487D1C">
            <w:pPr>
              <w:spacing w:before="60" w:after="60"/>
              <w:rPr>
                <w:szCs w:val="24"/>
              </w:rPr>
            </w:pPr>
            <w:r>
              <w:rPr>
                <w:szCs w:val="24"/>
              </w:rPr>
              <w:t>Minor update to incorporate addition of WENRA SRLs into Section 4.</w:t>
            </w:r>
          </w:p>
        </w:tc>
      </w:tr>
    </w:tbl>
    <w:p w14:paraId="0249F83F" w14:textId="77777777" w:rsidR="002938BD" w:rsidRDefault="002938BD" w:rsidP="001567DE">
      <w:pPr>
        <w:tabs>
          <w:tab w:val="left" w:pos="1440"/>
        </w:tabs>
        <w:spacing w:line="240" w:lineRule="auto"/>
        <w:contextualSpacing/>
      </w:pPr>
    </w:p>
    <w:sectPr w:rsidR="002938BD" w:rsidSect="000B2BCD">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0B5EB" w14:textId="77777777" w:rsidR="00192A96" w:rsidRDefault="00192A96" w:rsidP="007D199A">
      <w:pPr>
        <w:spacing w:after="0"/>
      </w:pPr>
      <w:r>
        <w:separator/>
      </w:r>
    </w:p>
    <w:p w14:paraId="349FEBE9" w14:textId="77777777" w:rsidR="00192A96" w:rsidRDefault="00192A96"/>
    <w:p w14:paraId="762A2714" w14:textId="77777777" w:rsidR="00192A96" w:rsidRDefault="00192A96"/>
  </w:endnote>
  <w:endnote w:type="continuationSeparator" w:id="0">
    <w:p w14:paraId="4BD4D022" w14:textId="77777777" w:rsidR="00192A96" w:rsidRDefault="00192A96" w:rsidP="007D199A">
      <w:pPr>
        <w:spacing w:after="0"/>
      </w:pPr>
      <w:r>
        <w:continuationSeparator/>
      </w:r>
    </w:p>
    <w:p w14:paraId="3E41967F" w14:textId="77777777" w:rsidR="00192A96" w:rsidRDefault="00192A96"/>
    <w:p w14:paraId="7537606C" w14:textId="77777777" w:rsidR="00192A96" w:rsidRDefault="00192A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3C4492D5" w:rsidR="007C3C1D" w:rsidRPr="002D5F2E" w:rsidRDefault="006A525B" w:rsidP="007C3C1D">
    <w:pPr>
      <w:pStyle w:val="Footer"/>
      <w:jc w:val="left"/>
      <w:rPr>
        <w:sz w:val="22"/>
      </w:rPr>
    </w:pPr>
    <w:r w:rsidRPr="002D5F2E">
      <w:rPr>
        <w:sz w:val="22"/>
      </w:rPr>
      <w:t>ONR-DOC-TEMP-</w:t>
    </w:r>
    <w:r w:rsidR="001321E2" w:rsidRPr="002D5F2E">
      <w:rPr>
        <w:sz w:val="22"/>
      </w:rPr>
      <w:t>002</w:t>
    </w:r>
    <w:r w:rsidRPr="002D5F2E">
      <w:rPr>
        <w:sz w:val="22"/>
      </w:rPr>
      <w:t xml:space="preserve"> (Issue </w:t>
    </w:r>
    <w:r w:rsidR="001321E2" w:rsidRPr="002D5F2E">
      <w:rPr>
        <w:sz w:val="22"/>
      </w:rPr>
      <w:t>5</w:t>
    </w:r>
    <w:r w:rsidR="00CE1DB2" w:rsidRPr="002D5F2E">
      <w:rPr>
        <w:sz w:val="22"/>
      </w:rPr>
      <w:t>.</w:t>
    </w:r>
    <w:r w:rsidR="0088550C">
      <w:rPr>
        <w:sz w:val="22"/>
      </w:rPr>
      <w:t>8</w:t>
    </w:r>
    <w:r w:rsidRPr="002D5F2E">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87D4" w14:textId="07FF8408" w:rsidR="000B2BCD" w:rsidRPr="000B2BCD" w:rsidRDefault="00A8606E" w:rsidP="000B2BCD">
    <w:pPr>
      <w:pStyle w:val="Footer"/>
      <w:spacing w:before="240" w:after="0" w:line="240" w:lineRule="auto"/>
      <w:rPr>
        <w:rStyle w:val="PageNumber"/>
        <w:color w:val="22413A"/>
        <w:sz w:val="24"/>
      </w:rPr>
    </w:pPr>
    <w:r w:rsidRPr="00A8606E">
      <w:rPr>
        <w:rStyle w:val="PageNumber"/>
        <w:color w:val="22413A"/>
        <w:sz w:val="24"/>
      </w:rPr>
      <w:t xml:space="preserve">Page | </w:t>
    </w:r>
    <w:r w:rsidRPr="00A8606E">
      <w:rPr>
        <w:rStyle w:val="PageNumber"/>
        <w:color w:val="22413A"/>
        <w:sz w:val="24"/>
      </w:rPr>
      <w:fldChar w:fldCharType="begin"/>
    </w:r>
    <w:r w:rsidRPr="00A8606E">
      <w:rPr>
        <w:rStyle w:val="PageNumber"/>
        <w:color w:val="22413A"/>
        <w:sz w:val="24"/>
      </w:rPr>
      <w:instrText xml:space="preserve"> PAGE   \* MERGEFORMAT </w:instrText>
    </w:r>
    <w:r w:rsidRPr="00A8606E">
      <w:rPr>
        <w:rStyle w:val="PageNumber"/>
        <w:color w:val="22413A"/>
        <w:sz w:val="24"/>
      </w:rPr>
      <w:fldChar w:fldCharType="separate"/>
    </w:r>
    <w:r w:rsidRPr="00A8606E">
      <w:rPr>
        <w:rStyle w:val="PageNumber"/>
        <w:noProof/>
        <w:color w:val="22413A"/>
        <w:sz w:val="24"/>
      </w:rPr>
      <w:t>1</w:t>
    </w:r>
    <w:r w:rsidRPr="00A8606E">
      <w:rPr>
        <w:rStyle w:val="PageNumber"/>
        <w:noProof/>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C574E" w14:textId="77777777" w:rsidR="00192A96" w:rsidRPr="005E0344" w:rsidRDefault="00192A96" w:rsidP="005E0344">
      <w:pPr>
        <w:spacing w:after="120"/>
        <w:rPr>
          <w:color w:val="000000" w:themeColor="text2"/>
        </w:rPr>
      </w:pPr>
      <w:r w:rsidRPr="005E0344">
        <w:rPr>
          <w:color w:val="000000" w:themeColor="text2"/>
        </w:rPr>
        <w:separator/>
      </w:r>
    </w:p>
    <w:p w14:paraId="54DE02C8" w14:textId="77777777" w:rsidR="00192A96" w:rsidRDefault="00192A96"/>
  </w:footnote>
  <w:footnote w:type="continuationSeparator" w:id="0">
    <w:p w14:paraId="5F051A64" w14:textId="77777777" w:rsidR="00192A96" w:rsidRPr="005E0344" w:rsidRDefault="00192A96" w:rsidP="0090581D">
      <w:pPr>
        <w:spacing w:after="120"/>
        <w:rPr>
          <w:color w:val="000000" w:themeColor="text2"/>
        </w:rPr>
      </w:pPr>
      <w:r w:rsidRPr="005E0344">
        <w:rPr>
          <w:color w:val="000000" w:themeColor="text2"/>
        </w:rPr>
        <w:continuationSeparator/>
      </w:r>
    </w:p>
    <w:p w14:paraId="61D25068" w14:textId="77777777" w:rsidR="00192A96" w:rsidRDefault="00192A96"/>
    <w:p w14:paraId="5C639D11" w14:textId="77777777" w:rsidR="00192A96" w:rsidRDefault="00192A96"/>
  </w:footnote>
  <w:footnote w:type="continuationNotice" w:id="1">
    <w:p w14:paraId="71E5B2BE" w14:textId="77777777" w:rsidR="00192A96" w:rsidRDefault="00192A96">
      <w:pPr>
        <w:spacing w:after="0"/>
      </w:pPr>
    </w:p>
    <w:p w14:paraId="1407118C" w14:textId="77777777" w:rsidR="00192A96" w:rsidRDefault="00192A96"/>
    <w:p w14:paraId="6E38D856" w14:textId="77777777" w:rsidR="00192A96" w:rsidRDefault="00192A96"/>
  </w:footnote>
  <w:footnote w:id="2">
    <w:p w14:paraId="426F1F40" w14:textId="53086494" w:rsidR="00163B29" w:rsidRDefault="00163B29" w:rsidP="009F1124">
      <w:pPr>
        <w:pStyle w:val="F9-Paragraph"/>
        <w:numPr>
          <w:ilvl w:val="0"/>
          <w:numId w:val="0"/>
        </w:numPr>
      </w:pPr>
      <w:r w:rsidRPr="00163B29">
        <w:rPr>
          <w:rStyle w:val="FootnoteReference"/>
          <w:sz w:val="20"/>
          <w:szCs w:val="20"/>
        </w:rPr>
        <w:footnoteRef/>
      </w:r>
      <w:r w:rsidRPr="00163B29">
        <w:rPr>
          <w:sz w:val="20"/>
          <w:szCs w:val="20"/>
        </w:rPr>
        <w:t xml:space="preserve"> For the purposes of the TAGs and TIGs, the term ‘dutyholder(s)’ includes all licensees, requesting parties, nuclear technology venders and supply chains which fall, or will fall at a future date, within the scope of ONR’s legislative framework.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A65B1" w14:textId="73DD5407" w:rsidR="000B2BCD" w:rsidRPr="00046936" w:rsidRDefault="00487D1C" w:rsidP="009E0E52">
    <w:pPr>
      <w:pStyle w:val="Header"/>
      <w:rPr>
        <w:sz w:val="20"/>
        <w:szCs w:val="24"/>
      </w:rPr>
    </w:pPr>
    <w:sdt>
      <w:sdtPr>
        <w:rPr>
          <w:sz w:val="20"/>
          <w:szCs w:val="24"/>
        </w:rPr>
        <w:alias w:val="Title"/>
        <w:tag w:val=""/>
        <w:id w:val="2101294540"/>
        <w:placeholder>
          <w:docPart w:val="30CB27CBF28C4D2FBF0903761E9BCFB8"/>
        </w:placeholder>
        <w:dataBinding w:prefixMappings="xmlns:ns0='http://purl.org/dc/elements/1.1/' xmlns:ns1='http://schemas.openxmlformats.org/package/2006/metadata/core-properties' " w:xpath="/ns1:coreProperties[1]/ns0:title[1]" w:storeItemID="{6C3C8BC8-F283-45AE-878A-BAB7291924A1}"/>
        <w:text/>
      </w:sdtPr>
      <w:sdtEndPr/>
      <w:sdtContent>
        <w:r w:rsidR="00FB1098">
          <w:rPr>
            <w:sz w:val="20"/>
            <w:szCs w:val="24"/>
          </w:rPr>
          <w:t>An introduction to ONR’s technical assessment and inspection guides</w:t>
        </w:r>
      </w:sdtContent>
    </w:sdt>
    <w:r w:rsidR="000B2BCD" w:rsidRPr="00046936">
      <w:rPr>
        <w:sz w:val="20"/>
        <w:szCs w:val="24"/>
      </w:rPr>
      <w:t xml:space="preserve"> | Issue: </w:t>
    </w:r>
    <w:sdt>
      <w:sdtPr>
        <w:rPr>
          <w:sz w:val="20"/>
          <w:szCs w:val="24"/>
        </w:rPr>
        <w:alias w:val="Status"/>
        <w:tag w:val=""/>
        <w:id w:val="801957864"/>
        <w:placeholder>
          <w:docPart w:val="3E5B43D4E703445285DC56911DA95DBF"/>
        </w:placeholder>
        <w:dataBinding w:prefixMappings="xmlns:ns0='http://purl.org/dc/elements/1.1/' xmlns:ns1='http://schemas.openxmlformats.org/package/2006/metadata/core-properties' " w:xpath="/ns1:coreProperties[1]/ns1:contentStatus[1]" w:storeItemID="{6C3C8BC8-F283-45AE-878A-BAB7291924A1}"/>
        <w:text/>
      </w:sdtPr>
      <w:sdtEndPr/>
      <w:sdtContent>
        <w:r>
          <w:rPr>
            <w:sz w:val="20"/>
            <w:szCs w:val="24"/>
          </w:rPr>
          <w:t>1.1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75CD1"/>
    <w:multiLevelType w:val="multilevel"/>
    <w:tmpl w:val="49E2B3AE"/>
    <w:lvl w:ilvl="0">
      <w:start w:val="1"/>
      <w:numFmt w:val="decimal"/>
      <w:pStyle w:val="NumList1"/>
      <w:lvlText w:val="%1)"/>
      <w:lvlJc w:val="left"/>
      <w:pPr>
        <w:ind w:left="1276" w:hanging="357"/>
      </w:pPr>
      <w:rPr>
        <w:rFonts w:hint="default"/>
      </w:rPr>
    </w:lvl>
    <w:lvl w:ilvl="1">
      <w:start w:val="1"/>
      <w:numFmt w:val="lowerLetter"/>
      <w:pStyle w:val="NumList2"/>
      <w:lvlText w:val="%2)"/>
      <w:lvlJc w:val="left"/>
      <w:pPr>
        <w:ind w:left="1633" w:hanging="357"/>
      </w:pPr>
      <w:rPr>
        <w:rFonts w:hint="default"/>
      </w:rPr>
    </w:lvl>
    <w:lvl w:ilvl="2">
      <w:start w:val="1"/>
      <w:numFmt w:val="lowerRoman"/>
      <w:lvlText w:val="%3)"/>
      <w:lvlJc w:val="left"/>
      <w:pPr>
        <w:ind w:left="1999" w:hanging="360"/>
      </w:pPr>
      <w:rPr>
        <w:rFonts w:hint="default"/>
      </w:rPr>
    </w:lvl>
    <w:lvl w:ilvl="3">
      <w:start w:val="1"/>
      <w:numFmt w:val="decimal"/>
      <w:lvlText w:val="(%4)"/>
      <w:lvlJc w:val="left"/>
      <w:pPr>
        <w:ind w:left="2359" w:hanging="360"/>
      </w:pPr>
      <w:rPr>
        <w:rFonts w:hint="default"/>
      </w:rPr>
    </w:lvl>
    <w:lvl w:ilvl="4">
      <w:start w:val="1"/>
      <w:numFmt w:val="lowerLetter"/>
      <w:lvlText w:val="(%5)"/>
      <w:lvlJc w:val="left"/>
      <w:pPr>
        <w:ind w:left="2719" w:hanging="360"/>
      </w:pPr>
      <w:rPr>
        <w:rFonts w:hint="default"/>
      </w:rPr>
    </w:lvl>
    <w:lvl w:ilvl="5">
      <w:start w:val="1"/>
      <w:numFmt w:val="lowerRoman"/>
      <w:lvlText w:val="(%6)"/>
      <w:lvlJc w:val="left"/>
      <w:pPr>
        <w:ind w:left="3079" w:hanging="360"/>
      </w:pPr>
      <w:rPr>
        <w:rFonts w:hint="default"/>
      </w:rPr>
    </w:lvl>
    <w:lvl w:ilvl="6">
      <w:start w:val="1"/>
      <w:numFmt w:val="decimal"/>
      <w:lvlText w:val="%7."/>
      <w:lvlJc w:val="left"/>
      <w:pPr>
        <w:ind w:left="3439" w:hanging="360"/>
      </w:pPr>
      <w:rPr>
        <w:rFonts w:hint="default"/>
      </w:rPr>
    </w:lvl>
    <w:lvl w:ilvl="7">
      <w:start w:val="1"/>
      <w:numFmt w:val="lowerLetter"/>
      <w:lvlText w:val="%8."/>
      <w:lvlJc w:val="left"/>
      <w:pPr>
        <w:ind w:left="3799" w:hanging="360"/>
      </w:pPr>
      <w:rPr>
        <w:rFonts w:hint="default"/>
      </w:rPr>
    </w:lvl>
    <w:lvl w:ilvl="8">
      <w:start w:val="1"/>
      <w:numFmt w:val="lowerRoman"/>
      <w:lvlText w:val="%9."/>
      <w:lvlJc w:val="left"/>
      <w:pPr>
        <w:ind w:left="4159" w:hanging="360"/>
      </w:pPr>
      <w:rPr>
        <w:rFonts w:hint="default"/>
      </w:rPr>
    </w:lvl>
  </w:abstractNum>
  <w:abstractNum w:abstractNumId="11" w15:restartNumberingAfterBreak="0">
    <w:nsid w:val="1112025F"/>
    <w:multiLevelType w:val="hybridMultilevel"/>
    <w:tmpl w:val="6A248368"/>
    <w:lvl w:ilvl="0" w:tplc="08090017">
      <w:start w:val="1"/>
      <w:numFmt w:val="lowerLetter"/>
      <w:lvlText w:val="%1)"/>
      <w:lvlJc w:val="left"/>
      <w:pPr>
        <w:ind w:left="1074" w:hanging="360"/>
      </w:pPr>
      <w:rPr>
        <w:rFonts w:hint="default"/>
      </w:rPr>
    </w:lvl>
    <w:lvl w:ilvl="1" w:tplc="08090003">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2" w15:restartNumberingAfterBreak="0">
    <w:nsid w:val="12B897A0"/>
    <w:multiLevelType w:val="hybridMultilevel"/>
    <w:tmpl w:val="FFFFFFFF"/>
    <w:lvl w:ilvl="0" w:tplc="07F0DBF4">
      <w:start w:val="1"/>
      <w:numFmt w:val="decimal"/>
      <w:lvlText w:val="%1."/>
      <w:lvlJc w:val="left"/>
      <w:pPr>
        <w:ind w:left="720" w:hanging="360"/>
      </w:pPr>
    </w:lvl>
    <w:lvl w:ilvl="1" w:tplc="E2903CBE">
      <w:start w:val="1"/>
      <w:numFmt w:val="lowerLetter"/>
      <w:lvlText w:val="%2."/>
      <w:lvlJc w:val="left"/>
      <w:pPr>
        <w:ind w:left="1440" w:hanging="360"/>
      </w:pPr>
    </w:lvl>
    <w:lvl w:ilvl="2" w:tplc="A6209FB8">
      <w:start w:val="1"/>
      <w:numFmt w:val="lowerRoman"/>
      <w:lvlText w:val="%3."/>
      <w:lvlJc w:val="right"/>
      <w:pPr>
        <w:ind w:left="2160" w:hanging="180"/>
      </w:pPr>
    </w:lvl>
    <w:lvl w:ilvl="3" w:tplc="D3AE4926">
      <w:start w:val="1"/>
      <w:numFmt w:val="decimal"/>
      <w:lvlText w:val="%4."/>
      <w:lvlJc w:val="left"/>
      <w:pPr>
        <w:ind w:left="2880" w:hanging="360"/>
      </w:pPr>
    </w:lvl>
    <w:lvl w:ilvl="4" w:tplc="CEBEF7BE">
      <w:start w:val="1"/>
      <w:numFmt w:val="lowerLetter"/>
      <w:lvlText w:val="%5."/>
      <w:lvlJc w:val="left"/>
      <w:pPr>
        <w:ind w:left="3600" w:hanging="360"/>
      </w:pPr>
    </w:lvl>
    <w:lvl w:ilvl="5" w:tplc="FB80FE40">
      <w:start w:val="1"/>
      <w:numFmt w:val="lowerRoman"/>
      <w:lvlText w:val="%6."/>
      <w:lvlJc w:val="right"/>
      <w:pPr>
        <w:ind w:left="4320" w:hanging="180"/>
      </w:pPr>
    </w:lvl>
    <w:lvl w:ilvl="6" w:tplc="6B0C2102">
      <w:start w:val="1"/>
      <w:numFmt w:val="decimal"/>
      <w:lvlText w:val="%7."/>
      <w:lvlJc w:val="left"/>
      <w:pPr>
        <w:ind w:left="5040" w:hanging="360"/>
      </w:pPr>
    </w:lvl>
    <w:lvl w:ilvl="7" w:tplc="8A461930">
      <w:start w:val="1"/>
      <w:numFmt w:val="lowerLetter"/>
      <w:lvlText w:val="%8."/>
      <w:lvlJc w:val="left"/>
      <w:pPr>
        <w:ind w:left="5760" w:hanging="360"/>
      </w:pPr>
    </w:lvl>
    <w:lvl w:ilvl="8" w:tplc="BAAE55B6">
      <w:start w:val="1"/>
      <w:numFmt w:val="lowerRoman"/>
      <w:lvlText w:val="%9."/>
      <w:lvlJc w:val="right"/>
      <w:pPr>
        <w:ind w:left="6480" w:hanging="180"/>
      </w:p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9C601A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6669CC"/>
    <w:multiLevelType w:val="multilevel"/>
    <w:tmpl w:val="F4703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991300"/>
    <w:multiLevelType w:val="hybridMultilevel"/>
    <w:tmpl w:val="17FC9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3F0CAF"/>
    <w:multiLevelType w:val="multilevel"/>
    <w:tmpl w:val="8E4A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957587"/>
    <w:multiLevelType w:val="multilevel"/>
    <w:tmpl w:val="4ADAFD6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FE3252"/>
    <w:multiLevelType w:val="hybridMultilevel"/>
    <w:tmpl w:val="55C84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FF2D4E"/>
    <w:multiLevelType w:val="multilevel"/>
    <w:tmpl w:val="93ACBE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C0C9249"/>
    <w:multiLevelType w:val="hybridMultilevel"/>
    <w:tmpl w:val="FFFFFFFF"/>
    <w:lvl w:ilvl="0" w:tplc="0240974E">
      <w:start w:val="1"/>
      <w:numFmt w:val="decimal"/>
      <w:lvlText w:val="%1."/>
      <w:lvlJc w:val="left"/>
      <w:pPr>
        <w:ind w:left="720" w:hanging="360"/>
      </w:pPr>
    </w:lvl>
    <w:lvl w:ilvl="1" w:tplc="07CA0A28">
      <w:start w:val="1"/>
      <w:numFmt w:val="lowerLetter"/>
      <w:lvlText w:val="%2."/>
      <w:lvlJc w:val="left"/>
      <w:pPr>
        <w:ind w:left="1440" w:hanging="360"/>
      </w:pPr>
    </w:lvl>
    <w:lvl w:ilvl="2" w:tplc="DF3C9CA8">
      <w:start w:val="1"/>
      <w:numFmt w:val="lowerRoman"/>
      <w:lvlText w:val="%3."/>
      <w:lvlJc w:val="right"/>
      <w:pPr>
        <w:ind w:left="2160" w:hanging="180"/>
      </w:pPr>
    </w:lvl>
    <w:lvl w:ilvl="3" w:tplc="6F3E3282">
      <w:start w:val="1"/>
      <w:numFmt w:val="decimal"/>
      <w:lvlText w:val="%4."/>
      <w:lvlJc w:val="left"/>
      <w:pPr>
        <w:ind w:left="2880" w:hanging="360"/>
      </w:pPr>
    </w:lvl>
    <w:lvl w:ilvl="4" w:tplc="F11C6B02">
      <w:start w:val="1"/>
      <w:numFmt w:val="lowerLetter"/>
      <w:lvlText w:val="%5."/>
      <w:lvlJc w:val="left"/>
      <w:pPr>
        <w:ind w:left="3600" w:hanging="360"/>
      </w:pPr>
    </w:lvl>
    <w:lvl w:ilvl="5" w:tplc="92E0288E">
      <w:start w:val="1"/>
      <w:numFmt w:val="lowerRoman"/>
      <w:lvlText w:val="%6."/>
      <w:lvlJc w:val="right"/>
      <w:pPr>
        <w:ind w:left="4320" w:hanging="180"/>
      </w:pPr>
    </w:lvl>
    <w:lvl w:ilvl="6" w:tplc="20F4749A">
      <w:start w:val="1"/>
      <w:numFmt w:val="decimal"/>
      <w:lvlText w:val="%7."/>
      <w:lvlJc w:val="left"/>
      <w:pPr>
        <w:ind w:left="5040" w:hanging="360"/>
      </w:pPr>
    </w:lvl>
    <w:lvl w:ilvl="7" w:tplc="AD842ED8">
      <w:start w:val="1"/>
      <w:numFmt w:val="lowerLetter"/>
      <w:lvlText w:val="%8."/>
      <w:lvlJc w:val="left"/>
      <w:pPr>
        <w:ind w:left="5760" w:hanging="360"/>
      </w:pPr>
    </w:lvl>
    <w:lvl w:ilvl="8" w:tplc="7C96113C">
      <w:start w:val="1"/>
      <w:numFmt w:val="lowerRoman"/>
      <w:lvlText w:val="%9."/>
      <w:lvlJc w:val="right"/>
      <w:pPr>
        <w:ind w:left="6480" w:hanging="180"/>
      </w:pPr>
    </w:lvl>
  </w:abstractNum>
  <w:abstractNum w:abstractNumId="25" w15:restartNumberingAfterBreak="0">
    <w:nsid w:val="718A0F99"/>
    <w:multiLevelType w:val="multilevel"/>
    <w:tmpl w:val="08FAD9FE"/>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F46359"/>
    <w:multiLevelType w:val="hybridMultilevel"/>
    <w:tmpl w:val="C70EF4C0"/>
    <w:lvl w:ilvl="0" w:tplc="1692325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358CA018">
      <w:start w:val="1"/>
      <w:numFmt w:val="bullet"/>
      <w:pStyle w:val="Bulletlist2"/>
      <w:lvlText w:val="o"/>
      <w:lvlJc w:val="left"/>
      <w:pPr>
        <w:ind w:left="1440" w:hanging="360"/>
      </w:pPr>
      <w:rPr>
        <w:rFonts w:ascii="Courier New" w:hAnsi="Courier New" w:cs="Courier New" w:hint="default"/>
      </w:rPr>
    </w:lvl>
    <w:lvl w:ilvl="2" w:tplc="1572F48C">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33359F"/>
    <w:multiLevelType w:val="multilevel"/>
    <w:tmpl w:val="8058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447535"/>
    <w:multiLevelType w:val="multilevel"/>
    <w:tmpl w:val="6486EB9C"/>
    <w:lvl w:ilvl="0">
      <w:start w:val="1"/>
      <w:numFmt w:val="decimal"/>
      <w:pStyle w:val="F9-Paragraph"/>
      <w:lvlText w:val="%1."/>
      <w:lvlJc w:val="left"/>
      <w:pPr>
        <w:ind w:left="360" w:hanging="360"/>
      </w:pPr>
      <w:rPr>
        <w:rFonts w:asciiTheme="minorHAnsi" w:hAnsiTheme="minorHAnsi" w:cstheme="minorHAns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E7F2150"/>
    <w:multiLevelType w:val="hybridMultilevel"/>
    <w:tmpl w:val="92EC001E"/>
    <w:lvl w:ilvl="0" w:tplc="F3721D86">
      <w:start w:val="1"/>
      <w:numFmt w:val="bullet"/>
      <w:pStyle w:val="BulletPoint"/>
      <w:lvlText w:val=""/>
      <w:lvlJc w:val="left"/>
      <w:pPr>
        <w:ind w:left="1074" w:hanging="360"/>
      </w:pPr>
      <w:rPr>
        <w:rFonts w:ascii="Wingdings" w:hAnsi="Wingdings"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num w:numId="1" w16cid:durableId="931938445">
    <w:abstractNumId w:val="9"/>
  </w:num>
  <w:num w:numId="2" w16cid:durableId="1073310459">
    <w:abstractNumId w:val="7"/>
  </w:num>
  <w:num w:numId="3" w16cid:durableId="1925340915">
    <w:abstractNumId w:val="6"/>
  </w:num>
  <w:num w:numId="4" w16cid:durableId="1726831122">
    <w:abstractNumId w:val="5"/>
  </w:num>
  <w:num w:numId="5" w16cid:durableId="129788488">
    <w:abstractNumId w:val="4"/>
  </w:num>
  <w:num w:numId="6" w16cid:durableId="1207571923">
    <w:abstractNumId w:val="8"/>
  </w:num>
  <w:num w:numId="7" w16cid:durableId="402533084">
    <w:abstractNumId w:val="3"/>
  </w:num>
  <w:num w:numId="8" w16cid:durableId="495001699">
    <w:abstractNumId w:val="2"/>
  </w:num>
  <w:num w:numId="9" w16cid:durableId="1780180898">
    <w:abstractNumId w:val="1"/>
  </w:num>
  <w:num w:numId="10" w16cid:durableId="1404913689">
    <w:abstractNumId w:val="0"/>
  </w:num>
  <w:num w:numId="11" w16cid:durableId="1778139601">
    <w:abstractNumId w:val="13"/>
  </w:num>
  <w:num w:numId="12" w16cid:durableId="783227120">
    <w:abstractNumId w:val="26"/>
  </w:num>
  <w:num w:numId="13" w16cid:durableId="1367565994">
    <w:abstractNumId w:val="17"/>
  </w:num>
  <w:num w:numId="14" w16cid:durableId="1174225926">
    <w:abstractNumId w:val="15"/>
  </w:num>
  <w:num w:numId="15" w16cid:durableId="150562503">
    <w:abstractNumId w:val="26"/>
    <w:lvlOverride w:ilvl="0">
      <w:startOverride w:val="1"/>
    </w:lvlOverride>
  </w:num>
  <w:num w:numId="16" w16cid:durableId="708191280">
    <w:abstractNumId w:val="17"/>
    <w:lvlOverride w:ilvl="0">
      <w:startOverride w:val="1"/>
    </w:lvlOverride>
  </w:num>
  <w:num w:numId="17" w16cid:durableId="735981639">
    <w:abstractNumId w:val="15"/>
    <w:lvlOverride w:ilvl="0">
      <w:startOverride w:val="1"/>
    </w:lvlOverride>
  </w:num>
  <w:num w:numId="18" w16cid:durableId="966933876">
    <w:abstractNumId w:val="25"/>
  </w:num>
  <w:num w:numId="19" w16cid:durableId="985626502">
    <w:abstractNumId w:val="21"/>
  </w:num>
  <w:num w:numId="20" w16cid:durableId="2086879214">
    <w:abstractNumId w:val="14"/>
  </w:num>
  <w:num w:numId="21" w16cid:durableId="399718409">
    <w:abstractNumId w:val="28"/>
  </w:num>
  <w:num w:numId="22" w16cid:durableId="999388671">
    <w:abstractNumId w:val="20"/>
  </w:num>
  <w:num w:numId="23" w16cid:durableId="14912149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8381196">
    <w:abstractNumId w:val="20"/>
  </w:num>
  <w:num w:numId="25" w16cid:durableId="20966315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3636562">
    <w:abstractNumId w:val="29"/>
  </w:num>
  <w:num w:numId="27" w16cid:durableId="561334936">
    <w:abstractNumId w:val="11"/>
  </w:num>
  <w:num w:numId="28" w16cid:durableId="391512796">
    <w:abstractNumId w:val="10"/>
  </w:num>
  <w:num w:numId="29" w16cid:durableId="19601881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9461313">
    <w:abstractNumId w:val="18"/>
  </w:num>
  <w:num w:numId="31" w16cid:durableId="2001352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25803963">
    <w:abstractNumId w:val="19"/>
  </w:num>
  <w:num w:numId="33" w16cid:durableId="7413421">
    <w:abstractNumId w:val="27"/>
  </w:num>
  <w:num w:numId="34" w16cid:durableId="377974685">
    <w:abstractNumId w:val="23"/>
  </w:num>
  <w:num w:numId="35" w16cid:durableId="922030000">
    <w:abstractNumId w:val="16"/>
  </w:num>
  <w:num w:numId="36" w16cid:durableId="20830673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01308910">
    <w:abstractNumId w:val="22"/>
  </w:num>
  <w:num w:numId="38" w16cid:durableId="1382435964">
    <w:abstractNumId w:val="24"/>
  </w:num>
  <w:num w:numId="39" w16cid:durableId="9363311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32C9"/>
    <w:rsid w:val="00004C16"/>
    <w:rsid w:val="00011177"/>
    <w:rsid w:val="00014814"/>
    <w:rsid w:val="00022757"/>
    <w:rsid w:val="00024522"/>
    <w:rsid w:val="00024B2E"/>
    <w:rsid w:val="00027F4F"/>
    <w:rsid w:val="00030430"/>
    <w:rsid w:val="0003078E"/>
    <w:rsid w:val="00031B89"/>
    <w:rsid w:val="0003693D"/>
    <w:rsid w:val="00037EE2"/>
    <w:rsid w:val="00042687"/>
    <w:rsid w:val="0004440F"/>
    <w:rsid w:val="00046936"/>
    <w:rsid w:val="00052C8A"/>
    <w:rsid w:val="000548C8"/>
    <w:rsid w:val="00055898"/>
    <w:rsid w:val="00055ED8"/>
    <w:rsid w:val="00066A26"/>
    <w:rsid w:val="00075605"/>
    <w:rsid w:val="00075C66"/>
    <w:rsid w:val="000776C1"/>
    <w:rsid w:val="000809AD"/>
    <w:rsid w:val="00081114"/>
    <w:rsid w:val="00082879"/>
    <w:rsid w:val="00086111"/>
    <w:rsid w:val="00091EEA"/>
    <w:rsid w:val="000937DC"/>
    <w:rsid w:val="000950B3"/>
    <w:rsid w:val="000A098A"/>
    <w:rsid w:val="000A51C3"/>
    <w:rsid w:val="000B0813"/>
    <w:rsid w:val="000B20CC"/>
    <w:rsid w:val="000B2BCD"/>
    <w:rsid w:val="000B56B3"/>
    <w:rsid w:val="000C2DDC"/>
    <w:rsid w:val="000C4E4D"/>
    <w:rsid w:val="000D2FD4"/>
    <w:rsid w:val="000F1B7B"/>
    <w:rsid w:val="000F2ED4"/>
    <w:rsid w:val="000F3932"/>
    <w:rsid w:val="000F5A07"/>
    <w:rsid w:val="001010FD"/>
    <w:rsid w:val="001028E8"/>
    <w:rsid w:val="00103DE3"/>
    <w:rsid w:val="001118F1"/>
    <w:rsid w:val="00122FCC"/>
    <w:rsid w:val="00126752"/>
    <w:rsid w:val="00130B30"/>
    <w:rsid w:val="00130F18"/>
    <w:rsid w:val="00131E06"/>
    <w:rsid w:val="001321E2"/>
    <w:rsid w:val="00136064"/>
    <w:rsid w:val="00140E1C"/>
    <w:rsid w:val="001447A9"/>
    <w:rsid w:val="00147AE4"/>
    <w:rsid w:val="0015407B"/>
    <w:rsid w:val="001567DE"/>
    <w:rsid w:val="001571E5"/>
    <w:rsid w:val="00163B29"/>
    <w:rsid w:val="00164358"/>
    <w:rsid w:val="001650D3"/>
    <w:rsid w:val="00177666"/>
    <w:rsid w:val="001849CA"/>
    <w:rsid w:val="00185410"/>
    <w:rsid w:val="00192352"/>
    <w:rsid w:val="00192A96"/>
    <w:rsid w:val="001A0905"/>
    <w:rsid w:val="001B4473"/>
    <w:rsid w:val="001B4C0A"/>
    <w:rsid w:val="001C19DE"/>
    <w:rsid w:val="001C4BB5"/>
    <w:rsid w:val="001C4D63"/>
    <w:rsid w:val="001D0DE0"/>
    <w:rsid w:val="001D1506"/>
    <w:rsid w:val="001D2FE7"/>
    <w:rsid w:val="001D3477"/>
    <w:rsid w:val="001D5AFF"/>
    <w:rsid w:val="001D74B4"/>
    <w:rsid w:val="001D7789"/>
    <w:rsid w:val="001E03E1"/>
    <w:rsid w:val="001E209F"/>
    <w:rsid w:val="001E219E"/>
    <w:rsid w:val="001E27DD"/>
    <w:rsid w:val="001E2EDB"/>
    <w:rsid w:val="001F059F"/>
    <w:rsid w:val="00200811"/>
    <w:rsid w:val="002008E7"/>
    <w:rsid w:val="00200CA1"/>
    <w:rsid w:val="00211891"/>
    <w:rsid w:val="0021338D"/>
    <w:rsid w:val="00214D43"/>
    <w:rsid w:val="00221ED0"/>
    <w:rsid w:val="002238B4"/>
    <w:rsid w:val="002319AB"/>
    <w:rsid w:val="002319AC"/>
    <w:rsid w:val="00234342"/>
    <w:rsid w:val="002378A1"/>
    <w:rsid w:val="0024040D"/>
    <w:rsid w:val="00242478"/>
    <w:rsid w:val="00245A0D"/>
    <w:rsid w:val="00255FA3"/>
    <w:rsid w:val="00257288"/>
    <w:rsid w:val="00261FB6"/>
    <w:rsid w:val="002629F8"/>
    <w:rsid w:val="00263396"/>
    <w:rsid w:val="002659FA"/>
    <w:rsid w:val="00267815"/>
    <w:rsid w:val="00280DDF"/>
    <w:rsid w:val="00283FEB"/>
    <w:rsid w:val="002900BE"/>
    <w:rsid w:val="002917FF"/>
    <w:rsid w:val="00292ADF"/>
    <w:rsid w:val="002938BD"/>
    <w:rsid w:val="002A0DEC"/>
    <w:rsid w:val="002A7625"/>
    <w:rsid w:val="002B1C53"/>
    <w:rsid w:val="002B2FBA"/>
    <w:rsid w:val="002D0CFA"/>
    <w:rsid w:val="002D1B8C"/>
    <w:rsid w:val="002D3A91"/>
    <w:rsid w:val="002D5F2E"/>
    <w:rsid w:val="002E0BE4"/>
    <w:rsid w:val="002E3B58"/>
    <w:rsid w:val="002E3E8A"/>
    <w:rsid w:val="002E6A6A"/>
    <w:rsid w:val="002F3397"/>
    <w:rsid w:val="00300560"/>
    <w:rsid w:val="0030308F"/>
    <w:rsid w:val="0030380D"/>
    <w:rsid w:val="003040C8"/>
    <w:rsid w:val="00312411"/>
    <w:rsid w:val="00314AA0"/>
    <w:rsid w:val="00322529"/>
    <w:rsid w:val="00323E71"/>
    <w:rsid w:val="00327C6E"/>
    <w:rsid w:val="00346C8E"/>
    <w:rsid w:val="00347CA8"/>
    <w:rsid w:val="00355D86"/>
    <w:rsid w:val="00357A80"/>
    <w:rsid w:val="00363EB2"/>
    <w:rsid w:val="00366A43"/>
    <w:rsid w:val="00367BD5"/>
    <w:rsid w:val="0037176F"/>
    <w:rsid w:val="0038761F"/>
    <w:rsid w:val="00390327"/>
    <w:rsid w:val="00393B78"/>
    <w:rsid w:val="00396D8E"/>
    <w:rsid w:val="003970B0"/>
    <w:rsid w:val="003A01E9"/>
    <w:rsid w:val="003A5597"/>
    <w:rsid w:val="003B6EB8"/>
    <w:rsid w:val="003C0306"/>
    <w:rsid w:val="003C0DD8"/>
    <w:rsid w:val="003C114C"/>
    <w:rsid w:val="003C18C4"/>
    <w:rsid w:val="003C465D"/>
    <w:rsid w:val="003D010A"/>
    <w:rsid w:val="003D1B31"/>
    <w:rsid w:val="003D495D"/>
    <w:rsid w:val="003E098E"/>
    <w:rsid w:val="003E2F1A"/>
    <w:rsid w:val="003E2FAE"/>
    <w:rsid w:val="003F1B8D"/>
    <w:rsid w:val="00404B0C"/>
    <w:rsid w:val="00405E9C"/>
    <w:rsid w:val="00407CF7"/>
    <w:rsid w:val="00415ED6"/>
    <w:rsid w:val="00417CAF"/>
    <w:rsid w:val="00420A11"/>
    <w:rsid w:val="00422265"/>
    <w:rsid w:val="0042657E"/>
    <w:rsid w:val="004373A7"/>
    <w:rsid w:val="00437D94"/>
    <w:rsid w:val="0044030C"/>
    <w:rsid w:val="004638C7"/>
    <w:rsid w:val="004648A4"/>
    <w:rsid w:val="00471380"/>
    <w:rsid w:val="0047504D"/>
    <w:rsid w:val="00487D1C"/>
    <w:rsid w:val="00494F0D"/>
    <w:rsid w:val="00495B63"/>
    <w:rsid w:val="00496BFD"/>
    <w:rsid w:val="00497A82"/>
    <w:rsid w:val="004A3DF2"/>
    <w:rsid w:val="004A75FE"/>
    <w:rsid w:val="004B4A03"/>
    <w:rsid w:val="004B7EDD"/>
    <w:rsid w:val="004C361D"/>
    <w:rsid w:val="004C4891"/>
    <w:rsid w:val="004C712B"/>
    <w:rsid w:val="004D2C89"/>
    <w:rsid w:val="004E3932"/>
    <w:rsid w:val="004F1E79"/>
    <w:rsid w:val="004F2609"/>
    <w:rsid w:val="004F53EF"/>
    <w:rsid w:val="004F5F33"/>
    <w:rsid w:val="0050103A"/>
    <w:rsid w:val="0051119B"/>
    <w:rsid w:val="00511B0F"/>
    <w:rsid w:val="00523B2D"/>
    <w:rsid w:val="00536721"/>
    <w:rsid w:val="00541877"/>
    <w:rsid w:val="00543ADA"/>
    <w:rsid w:val="00545F8D"/>
    <w:rsid w:val="00546D44"/>
    <w:rsid w:val="005504C2"/>
    <w:rsid w:val="005512FD"/>
    <w:rsid w:val="0055388E"/>
    <w:rsid w:val="00554E17"/>
    <w:rsid w:val="005561F7"/>
    <w:rsid w:val="00561B2C"/>
    <w:rsid w:val="005716AA"/>
    <w:rsid w:val="005754AE"/>
    <w:rsid w:val="00575A51"/>
    <w:rsid w:val="005763D7"/>
    <w:rsid w:val="00577FB5"/>
    <w:rsid w:val="005852D1"/>
    <w:rsid w:val="0058567B"/>
    <w:rsid w:val="00587A22"/>
    <w:rsid w:val="00587E35"/>
    <w:rsid w:val="00590AC6"/>
    <w:rsid w:val="0059142E"/>
    <w:rsid w:val="0059299D"/>
    <w:rsid w:val="00595C8C"/>
    <w:rsid w:val="00597747"/>
    <w:rsid w:val="005A3921"/>
    <w:rsid w:val="005A49B8"/>
    <w:rsid w:val="005A4CDD"/>
    <w:rsid w:val="005B57E4"/>
    <w:rsid w:val="005B5ABD"/>
    <w:rsid w:val="005B5DD1"/>
    <w:rsid w:val="005B65C4"/>
    <w:rsid w:val="005B7798"/>
    <w:rsid w:val="005B7FC8"/>
    <w:rsid w:val="005C140A"/>
    <w:rsid w:val="005C6763"/>
    <w:rsid w:val="005D3164"/>
    <w:rsid w:val="005E0344"/>
    <w:rsid w:val="005E17B4"/>
    <w:rsid w:val="005E211F"/>
    <w:rsid w:val="005E440B"/>
    <w:rsid w:val="005E74CC"/>
    <w:rsid w:val="005F1103"/>
    <w:rsid w:val="005F2AA5"/>
    <w:rsid w:val="005F2C85"/>
    <w:rsid w:val="00602F07"/>
    <w:rsid w:val="006048E4"/>
    <w:rsid w:val="00605ADB"/>
    <w:rsid w:val="00611C9F"/>
    <w:rsid w:val="00621BF6"/>
    <w:rsid w:val="00627555"/>
    <w:rsid w:val="00627B76"/>
    <w:rsid w:val="006316C4"/>
    <w:rsid w:val="006322A0"/>
    <w:rsid w:val="006327DF"/>
    <w:rsid w:val="006361FD"/>
    <w:rsid w:val="00637B24"/>
    <w:rsid w:val="00640BD3"/>
    <w:rsid w:val="0064226F"/>
    <w:rsid w:val="00653298"/>
    <w:rsid w:val="00663A7C"/>
    <w:rsid w:val="00667DF2"/>
    <w:rsid w:val="00670DF1"/>
    <w:rsid w:val="00671345"/>
    <w:rsid w:val="00672A9B"/>
    <w:rsid w:val="0067318E"/>
    <w:rsid w:val="00674646"/>
    <w:rsid w:val="00674F45"/>
    <w:rsid w:val="00675884"/>
    <w:rsid w:val="00682AE1"/>
    <w:rsid w:val="006906F6"/>
    <w:rsid w:val="006966CA"/>
    <w:rsid w:val="0069699A"/>
    <w:rsid w:val="00696D09"/>
    <w:rsid w:val="00696EE0"/>
    <w:rsid w:val="00697980"/>
    <w:rsid w:val="006A19EF"/>
    <w:rsid w:val="006A43D5"/>
    <w:rsid w:val="006A525B"/>
    <w:rsid w:val="006C045F"/>
    <w:rsid w:val="006C4196"/>
    <w:rsid w:val="006C63B0"/>
    <w:rsid w:val="006C76A2"/>
    <w:rsid w:val="006C792E"/>
    <w:rsid w:val="006D116C"/>
    <w:rsid w:val="006D4EE8"/>
    <w:rsid w:val="006E200C"/>
    <w:rsid w:val="006E22C1"/>
    <w:rsid w:val="006E7C42"/>
    <w:rsid w:val="006F168A"/>
    <w:rsid w:val="006F49FD"/>
    <w:rsid w:val="006F5076"/>
    <w:rsid w:val="006F55D4"/>
    <w:rsid w:val="006F6009"/>
    <w:rsid w:val="0070321D"/>
    <w:rsid w:val="007068BA"/>
    <w:rsid w:val="007131DA"/>
    <w:rsid w:val="00716AB1"/>
    <w:rsid w:val="00721D63"/>
    <w:rsid w:val="00732C7B"/>
    <w:rsid w:val="00734D2B"/>
    <w:rsid w:val="00737705"/>
    <w:rsid w:val="007405B2"/>
    <w:rsid w:val="007406CB"/>
    <w:rsid w:val="007408D4"/>
    <w:rsid w:val="007420AC"/>
    <w:rsid w:val="00742617"/>
    <w:rsid w:val="00752F6A"/>
    <w:rsid w:val="00755DAA"/>
    <w:rsid w:val="007614F3"/>
    <w:rsid w:val="00783AFA"/>
    <w:rsid w:val="00785427"/>
    <w:rsid w:val="00790540"/>
    <w:rsid w:val="00790BE2"/>
    <w:rsid w:val="007968CA"/>
    <w:rsid w:val="007A43FF"/>
    <w:rsid w:val="007B3918"/>
    <w:rsid w:val="007C09A9"/>
    <w:rsid w:val="007C0AD9"/>
    <w:rsid w:val="007C3C1D"/>
    <w:rsid w:val="007D199A"/>
    <w:rsid w:val="007D2EBE"/>
    <w:rsid w:val="007E05B7"/>
    <w:rsid w:val="007E1A31"/>
    <w:rsid w:val="007E1C07"/>
    <w:rsid w:val="007F24B6"/>
    <w:rsid w:val="007F2A70"/>
    <w:rsid w:val="007F5EFE"/>
    <w:rsid w:val="007F6460"/>
    <w:rsid w:val="007F65D0"/>
    <w:rsid w:val="007F7C56"/>
    <w:rsid w:val="00801EDD"/>
    <w:rsid w:val="00801EEA"/>
    <w:rsid w:val="00803D94"/>
    <w:rsid w:val="00806D68"/>
    <w:rsid w:val="00822706"/>
    <w:rsid w:val="008229BA"/>
    <w:rsid w:val="00835702"/>
    <w:rsid w:val="0084067A"/>
    <w:rsid w:val="008451D0"/>
    <w:rsid w:val="00845390"/>
    <w:rsid w:val="00845791"/>
    <w:rsid w:val="0084601B"/>
    <w:rsid w:val="00852FB8"/>
    <w:rsid w:val="008606F0"/>
    <w:rsid w:val="00865489"/>
    <w:rsid w:val="0086553D"/>
    <w:rsid w:val="00871415"/>
    <w:rsid w:val="00874FEB"/>
    <w:rsid w:val="00881B6F"/>
    <w:rsid w:val="00882AA4"/>
    <w:rsid w:val="00883E22"/>
    <w:rsid w:val="00884E43"/>
    <w:rsid w:val="008850F7"/>
    <w:rsid w:val="0088550C"/>
    <w:rsid w:val="00887EC6"/>
    <w:rsid w:val="0089084C"/>
    <w:rsid w:val="00893409"/>
    <w:rsid w:val="00893D9F"/>
    <w:rsid w:val="0089543F"/>
    <w:rsid w:val="008A2379"/>
    <w:rsid w:val="008A35BB"/>
    <w:rsid w:val="008A4329"/>
    <w:rsid w:val="008A578E"/>
    <w:rsid w:val="008A7232"/>
    <w:rsid w:val="008B1519"/>
    <w:rsid w:val="008B69E3"/>
    <w:rsid w:val="008B7BCC"/>
    <w:rsid w:val="008C50C3"/>
    <w:rsid w:val="008C7094"/>
    <w:rsid w:val="008C7E24"/>
    <w:rsid w:val="008D2B97"/>
    <w:rsid w:val="008D49A5"/>
    <w:rsid w:val="008D54BE"/>
    <w:rsid w:val="008D6C81"/>
    <w:rsid w:val="008E6CF0"/>
    <w:rsid w:val="008F070F"/>
    <w:rsid w:val="008F1439"/>
    <w:rsid w:val="008F4B9D"/>
    <w:rsid w:val="008F660E"/>
    <w:rsid w:val="008F6996"/>
    <w:rsid w:val="008F7051"/>
    <w:rsid w:val="008F75EF"/>
    <w:rsid w:val="009025D6"/>
    <w:rsid w:val="009033A9"/>
    <w:rsid w:val="00904152"/>
    <w:rsid w:val="0090581D"/>
    <w:rsid w:val="00911FC3"/>
    <w:rsid w:val="0091439C"/>
    <w:rsid w:val="00916416"/>
    <w:rsid w:val="00920572"/>
    <w:rsid w:val="00920BF2"/>
    <w:rsid w:val="00926DE4"/>
    <w:rsid w:val="00931697"/>
    <w:rsid w:val="009349A9"/>
    <w:rsid w:val="0093545F"/>
    <w:rsid w:val="00936C52"/>
    <w:rsid w:val="0095187B"/>
    <w:rsid w:val="009540D0"/>
    <w:rsid w:val="0095489B"/>
    <w:rsid w:val="009557A5"/>
    <w:rsid w:val="00961BE6"/>
    <w:rsid w:val="00961C06"/>
    <w:rsid w:val="00966FB9"/>
    <w:rsid w:val="009671CD"/>
    <w:rsid w:val="009728CE"/>
    <w:rsid w:val="009751A9"/>
    <w:rsid w:val="00980F9C"/>
    <w:rsid w:val="0098632B"/>
    <w:rsid w:val="009866B7"/>
    <w:rsid w:val="00986749"/>
    <w:rsid w:val="009973AD"/>
    <w:rsid w:val="00997BFB"/>
    <w:rsid w:val="009A7348"/>
    <w:rsid w:val="009B462C"/>
    <w:rsid w:val="009C15F3"/>
    <w:rsid w:val="009E07C2"/>
    <w:rsid w:val="009E0E52"/>
    <w:rsid w:val="009F1124"/>
    <w:rsid w:val="009F72F9"/>
    <w:rsid w:val="00A00205"/>
    <w:rsid w:val="00A00AF0"/>
    <w:rsid w:val="00A00BAF"/>
    <w:rsid w:val="00A02A60"/>
    <w:rsid w:val="00A048E6"/>
    <w:rsid w:val="00A05BBC"/>
    <w:rsid w:val="00A14B5A"/>
    <w:rsid w:val="00A17BB8"/>
    <w:rsid w:val="00A33284"/>
    <w:rsid w:val="00A3567F"/>
    <w:rsid w:val="00A37698"/>
    <w:rsid w:val="00A41002"/>
    <w:rsid w:val="00A41ED3"/>
    <w:rsid w:val="00A46D91"/>
    <w:rsid w:val="00A506C3"/>
    <w:rsid w:val="00A56C01"/>
    <w:rsid w:val="00A6454C"/>
    <w:rsid w:val="00A81D82"/>
    <w:rsid w:val="00A8606E"/>
    <w:rsid w:val="00A93E33"/>
    <w:rsid w:val="00AA17F3"/>
    <w:rsid w:val="00AA6D10"/>
    <w:rsid w:val="00AA6EAB"/>
    <w:rsid w:val="00AB0ED3"/>
    <w:rsid w:val="00AB195E"/>
    <w:rsid w:val="00AB4683"/>
    <w:rsid w:val="00AB5825"/>
    <w:rsid w:val="00AB6970"/>
    <w:rsid w:val="00AC1939"/>
    <w:rsid w:val="00AC4514"/>
    <w:rsid w:val="00AC7C05"/>
    <w:rsid w:val="00AD167C"/>
    <w:rsid w:val="00AD17C7"/>
    <w:rsid w:val="00AD298F"/>
    <w:rsid w:val="00AD4041"/>
    <w:rsid w:val="00AD78FC"/>
    <w:rsid w:val="00AE302B"/>
    <w:rsid w:val="00AE4F54"/>
    <w:rsid w:val="00AF1E35"/>
    <w:rsid w:val="00AF31F0"/>
    <w:rsid w:val="00AF384B"/>
    <w:rsid w:val="00AF5F8F"/>
    <w:rsid w:val="00B065E8"/>
    <w:rsid w:val="00B259DF"/>
    <w:rsid w:val="00B32CB9"/>
    <w:rsid w:val="00B44B1F"/>
    <w:rsid w:val="00B50450"/>
    <w:rsid w:val="00B51152"/>
    <w:rsid w:val="00B64141"/>
    <w:rsid w:val="00B64E72"/>
    <w:rsid w:val="00B73194"/>
    <w:rsid w:val="00B73EA8"/>
    <w:rsid w:val="00B77913"/>
    <w:rsid w:val="00B816A1"/>
    <w:rsid w:val="00B824FB"/>
    <w:rsid w:val="00B82646"/>
    <w:rsid w:val="00B91C12"/>
    <w:rsid w:val="00B92E1A"/>
    <w:rsid w:val="00B97359"/>
    <w:rsid w:val="00B97A8F"/>
    <w:rsid w:val="00BA4E58"/>
    <w:rsid w:val="00BA57CB"/>
    <w:rsid w:val="00BA7074"/>
    <w:rsid w:val="00BB5EBA"/>
    <w:rsid w:val="00BB7829"/>
    <w:rsid w:val="00BC3059"/>
    <w:rsid w:val="00BD1457"/>
    <w:rsid w:val="00BD3825"/>
    <w:rsid w:val="00BE18E6"/>
    <w:rsid w:val="00BE2AD9"/>
    <w:rsid w:val="00BF27FE"/>
    <w:rsid w:val="00BF4526"/>
    <w:rsid w:val="00C0424E"/>
    <w:rsid w:val="00C043B3"/>
    <w:rsid w:val="00C079AB"/>
    <w:rsid w:val="00C10E61"/>
    <w:rsid w:val="00C14787"/>
    <w:rsid w:val="00C1596D"/>
    <w:rsid w:val="00C15B8D"/>
    <w:rsid w:val="00C17010"/>
    <w:rsid w:val="00C20562"/>
    <w:rsid w:val="00C20C1D"/>
    <w:rsid w:val="00C215C3"/>
    <w:rsid w:val="00C23A96"/>
    <w:rsid w:val="00C249C6"/>
    <w:rsid w:val="00C26071"/>
    <w:rsid w:val="00C30EFD"/>
    <w:rsid w:val="00C32CC1"/>
    <w:rsid w:val="00C35D86"/>
    <w:rsid w:val="00C361EA"/>
    <w:rsid w:val="00C40602"/>
    <w:rsid w:val="00C426EC"/>
    <w:rsid w:val="00C53B86"/>
    <w:rsid w:val="00C6483C"/>
    <w:rsid w:val="00C64AE9"/>
    <w:rsid w:val="00C667A6"/>
    <w:rsid w:val="00C66BB5"/>
    <w:rsid w:val="00C70CFF"/>
    <w:rsid w:val="00C718FE"/>
    <w:rsid w:val="00C74E64"/>
    <w:rsid w:val="00C80FBE"/>
    <w:rsid w:val="00C8773D"/>
    <w:rsid w:val="00C87ABB"/>
    <w:rsid w:val="00C91831"/>
    <w:rsid w:val="00C953DF"/>
    <w:rsid w:val="00CA2905"/>
    <w:rsid w:val="00CA59C7"/>
    <w:rsid w:val="00CA7B44"/>
    <w:rsid w:val="00CC12A9"/>
    <w:rsid w:val="00CC4C95"/>
    <w:rsid w:val="00CD48E3"/>
    <w:rsid w:val="00CE1DB2"/>
    <w:rsid w:val="00CE2709"/>
    <w:rsid w:val="00CE2D64"/>
    <w:rsid w:val="00CE5E8A"/>
    <w:rsid w:val="00CE6198"/>
    <w:rsid w:val="00CE7E30"/>
    <w:rsid w:val="00CF0C72"/>
    <w:rsid w:val="00CF6230"/>
    <w:rsid w:val="00CF7288"/>
    <w:rsid w:val="00D017FC"/>
    <w:rsid w:val="00D0226A"/>
    <w:rsid w:val="00D123EE"/>
    <w:rsid w:val="00D1256B"/>
    <w:rsid w:val="00D13147"/>
    <w:rsid w:val="00D1499E"/>
    <w:rsid w:val="00D30443"/>
    <w:rsid w:val="00D34CDA"/>
    <w:rsid w:val="00D401ED"/>
    <w:rsid w:val="00D4028D"/>
    <w:rsid w:val="00D5715A"/>
    <w:rsid w:val="00D618F4"/>
    <w:rsid w:val="00D71687"/>
    <w:rsid w:val="00D74813"/>
    <w:rsid w:val="00D77ECB"/>
    <w:rsid w:val="00D93E5E"/>
    <w:rsid w:val="00DA190B"/>
    <w:rsid w:val="00DA30BC"/>
    <w:rsid w:val="00DA69C2"/>
    <w:rsid w:val="00DA6D70"/>
    <w:rsid w:val="00DB6050"/>
    <w:rsid w:val="00DB782D"/>
    <w:rsid w:val="00DC2C34"/>
    <w:rsid w:val="00DC4909"/>
    <w:rsid w:val="00DE1755"/>
    <w:rsid w:val="00DE2C87"/>
    <w:rsid w:val="00DE459A"/>
    <w:rsid w:val="00DE5D36"/>
    <w:rsid w:val="00DF2282"/>
    <w:rsid w:val="00DF27DA"/>
    <w:rsid w:val="00DF4DBE"/>
    <w:rsid w:val="00E01077"/>
    <w:rsid w:val="00E20B32"/>
    <w:rsid w:val="00E221DC"/>
    <w:rsid w:val="00E23FB1"/>
    <w:rsid w:val="00E3001F"/>
    <w:rsid w:val="00E32981"/>
    <w:rsid w:val="00E33718"/>
    <w:rsid w:val="00E34607"/>
    <w:rsid w:val="00E36183"/>
    <w:rsid w:val="00E40820"/>
    <w:rsid w:val="00E458CE"/>
    <w:rsid w:val="00E4658F"/>
    <w:rsid w:val="00E54A67"/>
    <w:rsid w:val="00E56D2E"/>
    <w:rsid w:val="00E57DB9"/>
    <w:rsid w:val="00E61C0D"/>
    <w:rsid w:val="00E63EB4"/>
    <w:rsid w:val="00E64912"/>
    <w:rsid w:val="00E66160"/>
    <w:rsid w:val="00E67022"/>
    <w:rsid w:val="00E71329"/>
    <w:rsid w:val="00E8363B"/>
    <w:rsid w:val="00E84966"/>
    <w:rsid w:val="00E90780"/>
    <w:rsid w:val="00E92383"/>
    <w:rsid w:val="00E9489D"/>
    <w:rsid w:val="00EA1605"/>
    <w:rsid w:val="00EA1B3A"/>
    <w:rsid w:val="00EA2109"/>
    <w:rsid w:val="00EA21EC"/>
    <w:rsid w:val="00EB702F"/>
    <w:rsid w:val="00ED4D4E"/>
    <w:rsid w:val="00EE0C77"/>
    <w:rsid w:val="00EE4E54"/>
    <w:rsid w:val="00F11A1D"/>
    <w:rsid w:val="00F26F78"/>
    <w:rsid w:val="00F27976"/>
    <w:rsid w:val="00F27A5D"/>
    <w:rsid w:val="00F3284E"/>
    <w:rsid w:val="00F37740"/>
    <w:rsid w:val="00F436BB"/>
    <w:rsid w:val="00F44BEF"/>
    <w:rsid w:val="00F46DBB"/>
    <w:rsid w:val="00F47145"/>
    <w:rsid w:val="00F545BF"/>
    <w:rsid w:val="00F56152"/>
    <w:rsid w:val="00F61B86"/>
    <w:rsid w:val="00F63AA5"/>
    <w:rsid w:val="00F675C6"/>
    <w:rsid w:val="00F71B56"/>
    <w:rsid w:val="00F7687C"/>
    <w:rsid w:val="00F779A0"/>
    <w:rsid w:val="00F832C8"/>
    <w:rsid w:val="00F8553F"/>
    <w:rsid w:val="00F873B3"/>
    <w:rsid w:val="00F92C3C"/>
    <w:rsid w:val="00F970F2"/>
    <w:rsid w:val="00FA42B9"/>
    <w:rsid w:val="00FA4EB6"/>
    <w:rsid w:val="00FA69C5"/>
    <w:rsid w:val="00FA755A"/>
    <w:rsid w:val="00FB1098"/>
    <w:rsid w:val="00FB18B9"/>
    <w:rsid w:val="00FB2B0F"/>
    <w:rsid w:val="00FB32AE"/>
    <w:rsid w:val="00FB3F53"/>
    <w:rsid w:val="00FB4F6B"/>
    <w:rsid w:val="00FB5620"/>
    <w:rsid w:val="00FB5FE1"/>
    <w:rsid w:val="00FB62FC"/>
    <w:rsid w:val="00FC0E8D"/>
    <w:rsid w:val="00FC46EF"/>
    <w:rsid w:val="00FC7D7A"/>
    <w:rsid w:val="00FD31B3"/>
    <w:rsid w:val="00FD418B"/>
    <w:rsid w:val="00FD4204"/>
    <w:rsid w:val="00FD71EF"/>
    <w:rsid w:val="00FE2D69"/>
    <w:rsid w:val="00FE521E"/>
    <w:rsid w:val="00FE698A"/>
    <w:rsid w:val="00FF2C97"/>
    <w:rsid w:val="00FF3CCB"/>
    <w:rsid w:val="00FF57B5"/>
    <w:rsid w:val="016976D9"/>
    <w:rsid w:val="0273B150"/>
    <w:rsid w:val="029CE733"/>
    <w:rsid w:val="07776B4C"/>
    <w:rsid w:val="0AC29323"/>
    <w:rsid w:val="0F0DCD64"/>
    <w:rsid w:val="1369A717"/>
    <w:rsid w:val="140BC8D2"/>
    <w:rsid w:val="14B63A79"/>
    <w:rsid w:val="15B9CFD9"/>
    <w:rsid w:val="16563CCC"/>
    <w:rsid w:val="1C1E18D6"/>
    <w:rsid w:val="1D962DDC"/>
    <w:rsid w:val="23DF3CD2"/>
    <w:rsid w:val="2AADAF4C"/>
    <w:rsid w:val="2EFAB143"/>
    <w:rsid w:val="3235E659"/>
    <w:rsid w:val="330098F9"/>
    <w:rsid w:val="3AD44F6F"/>
    <w:rsid w:val="3D193B5B"/>
    <w:rsid w:val="4130F208"/>
    <w:rsid w:val="455541A6"/>
    <w:rsid w:val="47ADA1E1"/>
    <w:rsid w:val="47F9BC02"/>
    <w:rsid w:val="49C5BB76"/>
    <w:rsid w:val="4BA22C58"/>
    <w:rsid w:val="4CC67E67"/>
    <w:rsid w:val="5399A9B1"/>
    <w:rsid w:val="5DEC96C8"/>
    <w:rsid w:val="68E8F2C9"/>
    <w:rsid w:val="69DF5901"/>
    <w:rsid w:val="6F792A2F"/>
    <w:rsid w:val="70038F76"/>
    <w:rsid w:val="7231568F"/>
    <w:rsid w:val="76129037"/>
    <w:rsid w:val="769D9523"/>
    <w:rsid w:val="7939E698"/>
    <w:rsid w:val="7DDB7A77"/>
    <w:rsid w:val="7FF2A4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D7087FC5-BAD7-428B-A927-0110CFD1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E90780"/>
    <w:pPr>
      <w:keepNext/>
      <w:numPr>
        <w:numId w:val="22"/>
      </w:numPr>
      <w:spacing w:before="240"/>
      <w:ind w:left="851" w:hanging="851"/>
      <w:outlineLvl w:val="0"/>
    </w:pPr>
    <w:rPr>
      <w:color w:val="22413A"/>
      <w:sz w:val="48"/>
    </w:rPr>
  </w:style>
  <w:style w:type="paragraph" w:styleId="Heading2">
    <w:name w:val="heading 2"/>
    <w:basedOn w:val="Heading1"/>
    <w:next w:val="Normal"/>
    <w:link w:val="Heading2Char"/>
    <w:qFormat/>
    <w:rsid w:val="00037EE2"/>
    <w:pPr>
      <w:numPr>
        <w:ilvl w:val="1"/>
      </w:numPr>
      <w:ind w:left="851" w:hanging="851"/>
      <w:outlineLvl w:val="1"/>
    </w:pPr>
    <w:rPr>
      <w:sz w:val="36"/>
    </w:rPr>
  </w:style>
  <w:style w:type="paragraph" w:styleId="Heading3">
    <w:name w:val="heading 3"/>
    <w:basedOn w:val="Heading1"/>
    <w:next w:val="Normal"/>
    <w:link w:val="Heading3Char"/>
    <w:qFormat/>
    <w:rsid w:val="00037EE2"/>
    <w:pPr>
      <w:numPr>
        <w:ilvl w:val="2"/>
      </w:numPr>
      <w:ind w:left="851" w:hanging="851"/>
      <w:outlineLvl w:val="2"/>
    </w:pPr>
    <w:rPr>
      <w:sz w:val="28"/>
      <w:szCs w:val="12"/>
    </w:rPr>
  </w:style>
  <w:style w:type="paragraph" w:styleId="Heading4">
    <w:name w:val="heading 4"/>
    <w:basedOn w:val="Heading3"/>
    <w:next w:val="Normal"/>
    <w:link w:val="Heading4Char"/>
    <w:qFormat/>
    <w:rsid w:val="000A51C3"/>
    <w:pPr>
      <w:numPr>
        <w:ilvl w:val="3"/>
      </w:numPr>
      <w:ind w:left="851" w:hanging="851"/>
      <w:outlineLvl w:val="3"/>
    </w:pPr>
    <w:rPr>
      <w:b/>
      <w:bCs/>
      <w:sz w:val="24"/>
      <w:szCs w:val="10"/>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037EE2"/>
    <w:rPr>
      <w:rFonts w:ascii="Arial" w:hAnsi="Arial"/>
      <w:color w:val="22413A"/>
      <w:sz w:val="36"/>
      <w:szCs w:val="22"/>
      <w:lang w:eastAsia="en-US" w:bidi="he-IL"/>
    </w:rPr>
  </w:style>
  <w:style w:type="character" w:customStyle="1" w:styleId="Heading3Char">
    <w:name w:val="Heading 3 Char"/>
    <w:link w:val="Heading3"/>
    <w:rsid w:val="00037EE2"/>
    <w:rPr>
      <w:rFonts w:ascii="Arial" w:hAnsi="Arial"/>
      <w:color w:val="22413A"/>
      <w:sz w:val="28"/>
      <w:szCs w:val="12"/>
      <w:lang w:eastAsia="en-US" w:bidi="he-IL"/>
    </w:rPr>
  </w:style>
  <w:style w:type="character" w:customStyle="1" w:styleId="Heading4Char">
    <w:name w:val="Heading 4 Char"/>
    <w:link w:val="Heading4"/>
    <w:rsid w:val="000A51C3"/>
    <w:rPr>
      <w:rFonts w:ascii="Arial" w:hAnsi="Arial"/>
      <w:b/>
      <w:bCs/>
      <w:color w:val="22413A"/>
      <w:sz w:val="24"/>
      <w:szCs w:val="10"/>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E9078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557A5"/>
    <w:pPr>
      <w:numPr>
        <w:numId w:val="12"/>
      </w:numPr>
      <w:spacing w:before="240" w:after="120" w:line="240" w:lineRule="auto"/>
      <w:ind w:left="1418" w:hanging="357"/>
    </w:pPr>
    <w:rPr>
      <w:bCs/>
    </w:rPr>
  </w:style>
  <w:style w:type="paragraph" w:customStyle="1" w:styleId="Bulletlist2">
    <w:name w:val="Bullet list 2"/>
    <w:basedOn w:val="Bulletlist1"/>
    <w:uiPriority w:val="1"/>
    <w:qFormat/>
    <w:rsid w:val="00C35D86"/>
    <w:pPr>
      <w:numPr>
        <w:ilvl w:val="1"/>
      </w:numPr>
      <w:ind w:left="1843"/>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C19DE"/>
    <w:pPr>
      <w:pBdr>
        <w:top w:val="single" w:sz="4" w:space="6" w:color="22413A"/>
        <w:bottom w:val="single" w:sz="4" w:space="6" w:color="22413A"/>
      </w:pBdr>
      <w:spacing w:before="240"/>
      <w:ind w:left="851"/>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0A51C3"/>
    <w:pPr>
      <w:numPr>
        <w:numId w:val="28"/>
      </w:numPr>
      <w:spacing w:before="240" w:after="120" w:line="240" w:lineRule="auto"/>
    </w:pPr>
    <w:rPr>
      <w:rFonts w:asciiTheme="minorHAnsi" w:eastAsiaTheme="minorHAnsi" w:hAnsiTheme="minorHAnsi" w:cstheme="minorBidi"/>
      <w:bCs/>
      <w:noProof/>
      <w:lang w:bidi="ar-SA"/>
    </w:rPr>
  </w:style>
  <w:style w:type="paragraph" w:customStyle="1" w:styleId="NumList2">
    <w:name w:val="Num List 2"/>
    <w:basedOn w:val="NumList1"/>
    <w:uiPriority w:val="1"/>
    <w:qFormat/>
    <w:rsid w:val="000A51C3"/>
    <w:pPr>
      <w:numPr>
        <w:ilvl w:val="1"/>
      </w:numPr>
      <w:ind w:left="1701"/>
    </w:pPr>
  </w:style>
  <w:style w:type="paragraph" w:customStyle="1" w:styleId="BulletList3">
    <w:name w:val="Bullet List 3"/>
    <w:basedOn w:val="Bulletlist2"/>
    <w:uiPriority w:val="1"/>
    <w:qFormat/>
    <w:rsid w:val="00C35D86"/>
    <w:pPr>
      <w:numPr>
        <w:ilvl w:val="2"/>
      </w:numPr>
      <w:ind w:left="226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404B0C"/>
    <w:pPr>
      <w:keepLines/>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F9-Paragraph">
    <w:name w:val="F9 - # Paragraph"/>
    <w:basedOn w:val="Normal"/>
    <w:link w:val="F9-ParagraphChar"/>
    <w:qFormat/>
    <w:rsid w:val="005504C2"/>
    <w:pPr>
      <w:numPr>
        <w:numId w:val="21"/>
      </w:numPr>
      <w:spacing w:before="240" w:after="120" w:line="240" w:lineRule="auto"/>
      <w:ind w:left="851" w:hanging="851"/>
    </w:pPr>
    <w:rPr>
      <w:rFonts w:eastAsia="Times New Roman"/>
      <w:szCs w:val="24"/>
      <w:lang w:bidi="ar-SA"/>
    </w:rPr>
  </w:style>
  <w:style w:type="character" w:customStyle="1" w:styleId="F9-ParagraphChar">
    <w:name w:val="F9 - # Paragraph Char"/>
    <w:basedOn w:val="DefaultParagraphFont"/>
    <w:link w:val="F9-Paragraph"/>
    <w:rsid w:val="005504C2"/>
    <w:rPr>
      <w:rFonts w:ascii="Arial" w:eastAsia="Times New Roman" w:hAnsi="Arial"/>
      <w:sz w:val="24"/>
      <w:szCs w:val="24"/>
      <w:lang w:eastAsia="en-US"/>
    </w:rPr>
  </w:style>
  <w:style w:type="paragraph" w:customStyle="1" w:styleId="BulletPoint">
    <w:name w:val="Bullet Point"/>
    <w:basedOn w:val="ListParagraph"/>
    <w:link w:val="BulletPointChar"/>
    <w:qFormat/>
    <w:rsid w:val="00587E35"/>
    <w:pPr>
      <w:numPr>
        <w:numId w:val="26"/>
      </w:numPr>
      <w:spacing w:before="240" w:after="120" w:line="264" w:lineRule="auto"/>
    </w:pPr>
    <w:rPr>
      <w:rFonts w:eastAsia="Times New Roman" w:cs="Times New Roman"/>
      <w:sz w:val="22"/>
      <w:szCs w:val="24"/>
      <w:lang w:bidi="ar-SA"/>
    </w:rPr>
  </w:style>
  <w:style w:type="character" w:customStyle="1" w:styleId="BulletPointChar">
    <w:name w:val="Bullet Point Char"/>
    <w:basedOn w:val="DefaultParagraphFont"/>
    <w:link w:val="BulletPoint"/>
    <w:rsid w:val="00587E35"/>
    <w:rPr>
      <w:rFonts w:ascii="Arial" w:eastAsia="Times New Roman" w:hAnsi="Arial" w:cs="Times New Roman"/>
      <w:sz w:val="22"/>
      <w:szCs w:val="24"/>
      <w:lang w:eastAsia="en-US"/>
    </w:rPr>
  </w:style>
  <w:style w:type="character" w:styleId="FollowedHyperlink">
    <w:name w:val="FollowedHyperlink"/>
    <w:basedOn w:val="DefaultParagraphFont"/>
    <w:uiPriority w:val="99"/>
    <w:semiHidden/>
    <w:unhideWhenUsed/>
    <w:rsid w:val="00F61B86"/>
    <w:rPr>
      <w:color w:val="AA1C76" w:themeColor="followedHyperlink"/>
      <w:u w:val="single"/>
    </w:rPr>
  </w:style>
  <w:style w:type="paragraph" w:styleId="NormalWeb">
    <w:name w:val="Normal (Web)"/>
    <w:basedOn w:val="Normal"/>
    <w:uiPriority w:val="99"/>
    <w:unhideWhenUsed/>
    <w:rsid w:val="00AA6D10"/>
    <w:pPr>
      <w:spacing w:before="100" w:beforeAutospacing="1" w:after="100" w:afterAutospacing="1" w:line="240" w:lineRule="auto"/>
    </w:pPr>
    <w:rPr>
      <w:rFonts w:eastAsia="Times New Roman"/>
      <w:szCs w:val="24"/>
      <w:lang w:eastAsia="en-GB" w:bidi="ar-SA"/>
    </w:rPr>
  </w:style>
  <w:style w:type="paragraph" w:styleId="CommentSubject">
    <w:name w:val="annotation subject"/>
    <w:basedOn w:val="CommentText"/>
    <w:next w:val="CommentText"/>
    <w:link w:val="CommentSubjectChar"/>
    <w:uiPriority w:val="99"/>
    <w:semiHidden/>
    <w:unhideWhenUsed/>
    <w:rsid w:val="00FA4EB6"/>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A4EB6"/>
    <w:rPr>
      <w:rFonts w:ascii="Arial" w:eastAsiaTheme="minorHAnsi" w:hAnsi="Arial" w:cstheme="minorBidi"/>
      <w:b/>
      <w:bCs/>
      <w:lang w:eastAsia="en-US" w:bidi="he-IL"/>
    </w:rPr>
  </w:style>
  <w:style w:type="paragraph" w:styleId="Revision">
    <w:name w:val="Revision"/>
    <w:hidden/>
    <w:uiPriority w:val="99"/>
    <w:semiHidden/>
    <w:rsid w:val="009728CE"/>
    <w:rPr>
      <w:rFonts w:ascii="Arial" w:hAnsi="Arial"/>
      <w:sz w:val="24"/>
      <w:szCs w:val="22"/>
      <w:lang w:eastAsia="en-US" w:bidi="he-IL"/>
    </w:rPr>
  </w:style>
  <w:style w:type="character" w:styleId="Mention">
    <w:name w:val="Mention"/>
    <w:basedOn w:val="DefaultParagraphFont"/>
    <w:uiPriority w:val="99"/>
    <w:unhideWhenUsed/>
    <w:rsid w:val="007F7C56"/>
    <w:rPr>
      <w:color w:val="2B579A"/>
      <w:shd w:val="clear" w:color="auto" w:fill="E1DFDD"/>
    </w:rPr>
  </w:style>
  <w:style w:type="paragraph" w:customStyle="1" w:styleId="xxmsonormal">
    <w:name w:val="x_xmsonormal"/>
    <w:basedOn w:val="Normal"/>
    <w:rsid w:val="00487D1C"/>
    <w:pPr>
      <w:spacing w:before="100" w:beforeAutospacing="1" w:after="100" w:afterAutospacing="1" w:line="240" w:lineRule="auto"/>
    </w:pPr>
    <w:rPr>
      <w:rFonts w:ascii="Times New Roman" w:eastAsia="Times New Roman" w:hAnsi="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1057">
      <w:bodyDiv w:val="1"/>
      <w:marLeft w:val="0"/>
      <w:marRight w:val="0"/>
      <w:marTop w:val="0"/>
      <w:marBottom w:val="0"/>
      <w:divBdr>
        <w:top w:val="none" w:sz="0" w:space="0" w:color="auto"/>
        <w:left w:val="none" w:sz="0" w:space="0" w:color="auto"/>
        <w:bottom w:val="none" w:sz="0" w:space="0" w:color="auto"/>
        <w:right w:val="none" w:sz="0" w:space="0" w:color="auto"/>
      </w:divBdr>
    </w:div>
    <w:div w:id="4013118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686734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4022084">
      <w:bodyDiv w:val="1"/>
      <w:marLeft w:val="0"/>
      <w:marRight w:val="0"/>
      <w:marTop w:val="0"/>
      <w:marBottom w:val="0"/>
      <w:divBdr>
        <w:top w:val="none" w:sz="0" w:space="0" w:color="auto"/>
        <w:left w:val="none" w:sz="0" w:space="0" w:color="auto"/>
        <w:bottom w:val="none" w:sz="0" w:space="0" w:color="auto"/>
        <w:right w:val="none" w:sz="0" w:space="0" w:color="auto"/>
      </w:divBdr>
    </w:div>
    <w:div w:id="43871768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1249327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6305553">
      <w:bodyDiv w:val="1"/>
      <w:marLeft w:val="0"/>
      <w:marRight w:val="0"/>
      <w:marTop w:val="0"/>
      <w:marBottom w:val="0"/>
      <w:divBdr>
        <w:top w:val="none" w:sz="0" w:space="0" w:color="auto"/>
        <w:left w:val="none" w:sz="0" w:space="0" w:color="auto"/>
        <w:bottom w:val="none" w:sz="0" w:space="0" w:color="auto"/>
        <w:right w:val="none" w:sz="0" w:space="0" w:color="auto"/>
      </w:divBdr>
    </w:div>
    <w:div w:id="639195086">
      <w:bodyDiv w:val="1"/>
      <w:marLeft w:val="0"/>
      <w:marRight w:val="0"/>
      <w:marTop w:val="0"/>
      <w:marBottom w:val="0"/>
      <w:divBdr>
        <w:top w:val="none" w:sz="0" w:space="0" w:color="auto"/>
        <w:left w:val="none" w:sz="0" w:space="0" w:color="auto"/>
        <w:bottom w:val="none" w:sz="0" w:space="0" w:color="auto"/>
        <w:right w:val="none" w:sz="0" w:space="0" w:color="auto"/>
      </w:divBdr>
    </w:div>
    <w:div w:id="680471091">
      <w:bodyDiv w:val="1"/>
      <w:marLeft w:val="0"/>
      <w:marRight w:val="0"/>
      <w:marTop w:val="0"/>
      <w:marBottom w:val="0"/>
      <w:divBdr>
        <w:top w:val="none" w:sz="0" w:space="0" w:color="auto"/>
        <w:left w:val="none" w:sz="0" w:space="0" w:color="auto"/>
        <w:bottom w:val="none" w:sz="0" w:space="0" w:color="auto"/>
        <w:right w:val="none" w:sz="0" w:space="0" w:color="auto"/>
      </w:divBdr>
    </w:div>
    <w:div w:id="700589822">
      <w:bodyDiv w:val="1"/>
      <w:marLeft w:val="0"/>
      <w:marRight w:val="0"/>
      <w:marTop w:val="0"/>
      <w:marBottom w:val="0"/>
      <w:divBdr>
        <w:top w:val="none" w:sz="0" w:space="0" w:color="auto"/>
        <w:left w:val="none" w:sz="0" w:space="0" w:color="auto"/>
        <w:bottom w:val="none" w:sz="0" w:space="0" w:color="auto"/>
        <w:right w:val="none" w:sz="0" w:space="0" w:color="auto"/>
      </w:divBdr>
    </w:div>
    <w:div w:id="724573577">
      <w:bodyDiv w:val="1"/>
      <w:marLeft w:val="0"/>
      <w:marRight w:val="0"/>
      <w:marTop w:val="0"/>
      <w:marBottom w:val="0"/>
      <w:divBdr>
        <w:top w:val="none" w:sz="0" w:space="0" w:color="auto"/>
        <w:left w:val="none" w:sz="0" w:space="0" w:color="auto"/>
        <w:bottom w:val="none" w:sz="0" w:space="0" w:color="auto"/>
        <w:right w:val="none" w:sz="0" w:space="0" w:color="auto"/>
      </w:divBdr>
    </w:div>
    <w:div w:id="732432824">
      <w:bodyDiv w:val="1"/>
      <w:marLeft w:val="0"/>
      <w:marRight w:val="0"/>
      <w:marTop w:val="0"/>
      <w:marBottom w:val="0"/>
      <w:divBdr>
        <w:top w:val="none" w:sz="0" w:space="0" w:color="auto"/>
        <w:left w:val="none" w:sz="0" w:space="0" w:color="auto"/>
        <w:bottom w:val="none" w:sz="0" w:space="0" w:color="auto"/>
        <w:right w:val="none" w:sz="0" w:space="0" w:color="auto"/>
      </w:divBdr>
    </w:div>
    <w:div w:id="781607358">
      <w:bodyDiv w:val="1"/>
      <w:marLeft w:val="0"/>
      <w:marRight w:val="0"/>
      <w:marTop w:val="0"/>
      <w:marBottom w:val="0"/>
      <w:divBdr>
        <w:top w:val="none" w:sz="0" w:space="0" w:color="auto"/>
        <w:left w:val="none" w:sz="0" w:space="0" w:color="auto"/>
        <w:bottom w:val="none" w:sz="0" w:space="0" w:color="auto"/>
        <w:right w:val="none" w:sz="0" w:space="0" w:color="auto"/>
      </w:divBdr>
    </w:div>
    <w:div w:id="797377624">
      <w:bodyDiv w:val="1"/>
      <w:marLeft w:val="0"/>
      <w:marRight w:val="0"/>
      <w:marTop w:val="0"/>
      <w:marBottom w:val="0"/>
      <w:divBdr>
        <w:top w:val="none" w:sz="0" w:space="0" w:color="auto"/>
        <w:left w:val="none" w:sz="0" w:space="0" w:color="auto"/>
        <w:bottom w:val="none" w:sz="0" w:space="0" w:color="auto"/>
        <w:right w:val="none" w:sz="0" w:space="0" w:color="auto"/>
      </w:divBdr>
    </w:div>
    <w:div w:id="81071037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20662345">
      <w:bodyDiv w:val="1"/>
      <w:marLeft w:val="0"/>
      <w:marRight w:val="0"/>
      <w:marTop w:val="0"/>
      <w:marBottom w:val="0"/>
      <w:divBdr>
        <w:top w:val="none" w:sz="0" w:space="0" w:color="auto"/>
        <w:left w:val="none" w:sz="0" w:space="0" w:color="auto"/>
        <w:bottom w:val="none" w:sz="0" w:space="0" w:color="auto"/>
        <w:right w:val="none" w:sz="0" w:space="0" w:color="auto"/>
      </w:divBdr>
    </w:div>
    <w:div w:id="1088190620">
      <w:bodyDiv w:val="1"/>
      <w:marLeft w:val="0"/>
      <w:marRight w:val="0"/>
      <w:marTop w:val="0"/>
      <w:marBottom w:val="0"/>
      <w:divBdr>
        <w:top w:val="none" w:sz="0" w:space="0" w:color="auto"/>
        <w:left w:val="none" w:sz="0" w:space="0" w:color="auto"/>
        <w:bottom w:val="none" w:sz="0" w:space="0" w:color="auto"/>
        <w:right w:val="none" w:sz="0" w:space="0" w:color="auto"/>
      </w:divBdr>
    </w:div>
    <w:div w:id="112454236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93033246">
      <w:bodyDiv w:val="1"/>
      <w:marLeft w:val="0"/>
      <w:marRight w:val="0"/>
      <w:marTop w:val="0"/>
      <w:marBottom w:val="0"/>
      <w:divBdr>
        <w:top w:val="none" w:sz="0" w:space="0" w:color="auto"/>
        <w:left w:val="none" w:sz="0" w:space="0" w:color="auto"/>
        <w:bottom w:val="none" w:sz="0" w:space="0" w:color="auto"/>
        <w:right w:val="none" w:sz="0" w:space="0" w:color="auto"/>
      </w:divBdr>
    </w:div>
    <w:div w:id="1202129619">
      <w:bodyDiv w:val="1"/>
      <w:marLeft w:val="0"/>
      <w:marRight w:val="0"/>
      <w:marTop w:val="0"/>
      <w:marBottom w:val="0"/>
      <w:divBdr>
        <w:top w:val="none" w:sz="0" w:space="0" w:color="auto"/>
        <w:left w:val="none" w:sz="0" w:space="0" w:color="auto"/>
        <w:bottom w:val="none" w:sz="0" w:space="0" w:color="auto"/>
        <w:right w:val="none" w:sz="0" w:space="0" w:color="auto"/>
      </w:divBdr>
    </w:div>
    <w:div w:id="1256547887">
      <w:bodyDiv w:val="1"/>
      <w:marLeft w:val="0"/>
      <w:marRight w:val="0"/>
      <w:marTop w:val="0"/>
      <w:marBottom w:val="0"/>
      <w:divBdr>
        <w:top w:val="none" w:sz="0" w:space="0" w:color="auto"/>
        <w:left w:val="none" w:sz="0" w:space="0" w:color="auto"/>
        <w:bottom w:val="none" w:sz="0" w:space="0" w:color="auto"/>
        <w:right w:val="none" w:sz="0" w:space="0" w:color="auto"/>
      </w:divBdr>
    </w:div>
    <w:div w:id="1297488118">
      <w:bodyDiv w:val="1"/>
      <w:marLeft w:val="0"/>
      <w:marRight w:val="0"/>
      <w:marTop w:val="0"/>
      <w:marBottom w:val="0"/>
      <w:divBdr>
        <w:top w:val="none" w:sz="0" w:space="0" w:color="auto"/>
        <w:left w:val="none" w:sz="0" w:space="0" w:color="auto"/>
        <w:bottom w:val="none" w:sz="0" w:space="0" w:color="auto"/>
        <w:right w:val="none" w:sz="0" w:space="0" w:color="auto"/>
      </w:divBdr>
    </w:div>
    <w:div w:id="1324506359">
      <w:bodyDiv w:val="1"/>
      <w:marLeft w:val="0"/>
      <w:marRight w:val="0"/>
      <w:marTop w:val="0"/>
      <w:marBottom w:val="0"/>
      <w:divBdr>
        <w:top w:val="none" w:sz="0" w:space="0" w:color="auto"/>
        <w:left w:val="none" w:sz="0" w:space="0" w:color="auto"/>
        <w:bottom w:val="none" w:sz="0" w:space="0" w:color="auto"/>
        <w:right w:val="none" w:sz="0" w:space="0" w:color="auto"/>
      </w:divBdr>
    </w:div>
    <w:div w:id="1344669518">
      <w:bodyDiv w:val="1"/>
      <w:marLeft w:val="0"/>
      <w:marRight w:val="0"/>
      <w:marTop w:val="0"/>
      <w:marBottom w:val="0"/>
      <w:divBdr>
        <w:top w:val="none" w:sz="0" w:space="0" w:color="auto"/>
        <w:left w:val="none" w:sz="0" w:space="0" w:color="auto"/>
        <w:bottom w:val="none" w:sz="0" w:space="0" w:color="auto"/>
        <w:right w:val="none" w:sz="0" w:space="0" w:color="auto"/>
      </w:divBdr>
    </w:div>
    <w:div w:id="1346788611">
      <w:bodyDiv w:val="1"/>
      <w:marLeft w:val="0"/>
      <w:marRight w:val="0"/>
      <w:marTop w:val="0"/>
      <w:marBottom w:val="0"/>
      <w:divBdr>
        <w:top w:val="none" w:sz="0" w:space="0" w:color="auto"/>
        <w:left w:val="none" w:sz="0" w:space="0" w:color="auto"/>
        <w:bottom w:val="none" w:sz="0" w:space="0" w:color="auto"/>
        <w:right w:val="none" w:sz="0" w:space="0" w:color="auto"/>
      </w:divBdr>
    </w:div>
    <w:div w:id="138401933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108427">
      <w:bodyDiv w:val="1"/>
      <w:marLeft w:val="0"/>
      <w:marRight w:val="0"/>
      <w:marTop w:val="0"/>
      <w:marBottom w:val="0"/>
      <w:divBdr>
        <w:top w:val="none" w:sz="0" w:space="0" w:color="auto"/>
        <w:left w:val="none" w:sz="0" w:space="0" w:color="auto"/>
        <w:bottom w:val="none" w:sz="0" w:space="0" w:color="auto"/>
        <w:right w:val="none" w:sz="0" w:space="0" w:color="auto"/>
      </w:divBdr>
    </w:div>
    <w:div w:id="1409956503">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77455009">
      <w:bodyDiv w:val="1"/>
      <w:marLeft w:val="0"/>
      <w:marRight w:val="0"/>
      <w:marTop w:val="0"/>
      <w:marBottom w:val="0"/>
      <w:divBdr>
        <w:top w:val="none" w:sz="0" w:space="0" w:color="auto"/>
        <w:left w:val="none" w:sz="0" w:space="0" w:color="auto"/>
        <w:bottom w:val="none" w:sz="0" w:space="0" w:color="auto"/>
        <w:right w:val="none" w:sz="0" w:space="0" w:color="auto"/>
      </w:divBdr>
    </w:div>
    <w:div w:id="1547375091">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71917865">
      <w:bodyDiv w:val="1"/>
      <w:marLeft w:val="0"/>
      <w:marRight w:val="0"/>
      <w:marTop w:val="0"/>
      <w:marBottom w:val="0"/>
      <w:divBdr>
        <w:top w:val="none" w:sz="0" w:space="0" w:color="auto"/>
        <w:left w:val="none" w:sz="0" w:space="0" w:color="auto"/>
        <w:bottom w:val="none" w:sz="0" w:space="0" w:color="auto"/>
        <w:right w:val="none" w:sz="0" w:space="0" w:color="auto"/>
      </w:divBdr>
    </w:div>
    <w:div w:id="1917282686">
      <w:bodyDiv w:val="1"/>
      <w:marLeft w:val="0"/>
      <w:marRight w:val="0"/>
      <w:marTop w:val="0"/>
      <w:marBottom w:val="0"/>
      <w:divBdr>
        <w:top w:val="none" w:sz="0" w:space="0" w:color="auto"/>
        <w:left w:val="none" w:sz="0" w:space="0" w:color="auto"/>
        <w:bottom w:val="none" w:sz="0" w:space="0" w:color="auto"/>
        <w:right w:val="none" w:sz="0" w:space="0" w:color="auto"/>
      </w:divBdr>
    </w:div>
    <w:div w:id="1935235840">
      <w:bodyDiv w:val="1"/>
      <w:marLeft w:val="0"/>
      <w:marRight w:val="0"/>
      <w:marTop w:val="0"/>
      <w:marBottom w:val="0"/>
      <w:divBdr>
        <w:top w:val="none" w:sz="0" w:space="0" w:color="auto"/>
        <w:left w:val="none" w:sz="0" w:space="0" w:color="auto"/>
        <w:bottom w:val="none" w:sz="0" w:space="0" w:color="auto"/>
        <w:right w:val="none" w:sz="0" w:space="0" w:color="auto"/>
      </w:divBdr>
    </w:div>
    <w:div w:id="202258898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yperlink" Target="https://www.onr.org.uk/publications/regulatory-guidance/regulatory-assessment-and-permissioning/safety-assessment-principles-saps" TargetMode="Externa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hyperlink" Target="https://www.onr.org.uk/publications/regulatory-guidance/regulatory-assessment-and-permissioning/technical-assessment-guides-tags" TargetMode="Externa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yperlink" Target="https://prodonrgov.sharepoint.com/sites/HOW2Hub/_layouts/15/DocIdRedir.aspx?ID=ONRHH-822789359-20913" TargetMode="Externa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yperlink" Target="https://www.onr.org.uk/our-work/what-we-regulate/nuclear-safeguards"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yperlink" Target="https://www.onr.org.uk/publications/publication-search?type=nuclearSafetyTIGsPublication%3BnuclearSecurityTIGsPublication%3BsafeguardsTIGsPublication%3BcomplianceInspectionOperationalExperienceGuidancePublication" TargetMode="Externa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yperlink" Target="https://www.onr.org.uk/publications/regulatory-guidance/regulatory-assessment-and-permissioning/security-assessment-principles-syaps/security-assessment-principles-syaps" TargetMode="Externa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r w:rsidRPr="0069507A">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0A0C3B" w:rsidRDefault="007154C5">
          <w:r w:rsidRPr="00812B14">
            <w:t>Click or tap here to enter text.</w:t>
          </w:r>
        </w:p>
      </w:docPartBody>
    </w:docPart>
    <w:docPart>
      <w:docPartPr>
        <w:name w:val="30CB27CBF28C4D2FBF0903761E9BCFB8"/>
        <w:category>
          <w:name w:val="General"/>
          <w:gallery w:val="placeholder"/>
        </w:category>
        <w:types>
          <w:type w:val="bbPlcHdr"/>
        </w:types>
        <w:behaviors>
          <w:behavior w:val="content"/>
        </w:behaviors>
        <w:guid w:val="{14BEFC57-22AC-426B-AFBE-6BACEB08906E}"/>
      </w:docPartPr>
      <w:docPartBody>
        <w:p w:rsidR="00252452" w:rsidRDefault="00972B41" w:rsidP="00972B41">
          <w:pPr>
            <w:pStyle w:val="30CB27CBF28C4D2FBF0903761E9BCFB8"/>
          </w:pPr>
          <w:r w:rsidRPr="00561874">
            <w:t>[Title]</w:t>
          </w:r>
        </w:p>
      </w:docPartBody>
    </w:docPart>
    <w:docPart>
      <w:docPartPr>
        <w:name w:val="3E5B43D4E703445285DC56911DA95DBF"/>
        <w:category>
          <w:name w:val="General"/>
          <w:gallery w:val="placeholder"/>
        </w:category>
        <w:types>
          <w:type w:val="bbPlcHdr"/>
        </w:types>
        <w:behaviors>
          <w:behavior w:val="content"/>
        </w:behaviors>
        <w:guid w:val="{7526907D-2838-43FE-852F-110E4F3111B1}"/>
      </w:docPartPr>
      <w:docPartBody>
        <w:p w:rsidR="00252452" w:rsidRDefault="00972B41" w:rsidP="00972B41">
          <w:pPr>
            <w:pStyle w:val="3E5B43D4E703445285DC56911DA95DBF"/>
          </w:pPr>
          <w:r w:rsidRPr="00D1240B">
            <w:t>[Status]</w:t>
          </w:r>
        </w:p>
      </w:docPartBody>
    </w:docPart>
    <w:docPart>
      <w:docPartPr>
        <w:name w:val="9E6A6DB5217F423885B4A5AE7CDAB133"/>
        <w:category>
          <w:name w:val="General"/>
          <w:gallery w:val="placeholder"/>
        </w:category>
        <w:types>
          <w:type w:val="bbPlcHdr"/>
        </w:types>
        <w:behaviors>
          <w:behavior w:val="content"/>
        </w:behaviors>
        <w:guid w:val="{E05CE28B-B9B6-4E7C-B644-C284C4C1728C}"/>
      </w:docPartPr>
      <w:docPartBody>
        <w:p w:rsidR="00E34DB7" w:rsidRDefault="00CB1BDD" w:rsidP="00CB1BDD">
          <w:pPr>
            <w:pStyle w:val="9E6A6DB5217F423885B4A5AE7CDAB133"/>
          </w:pPr>
          <w:r w:rsidRPr="00812B14">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42687"/>
    <w:rsid w:val="000A0C3B"/>
    <w:rsid w:val="000B0813"/>
    <w:rsid w:val="00150B2F"/>
    <w:rsid w:val="00164B5A"/>
    <w:rsid w:val="00252452"/>
    <w:rsid w:val="002550FD"/>
    <w:rsid w:val="00350199"/>
    <w:rsid w:val="003C5A45"/>
    <w:rsid w:val="004C2BEE"/>
    <w:rsid w:val="005802B5"/>
    <w:rsid w:val="005A49B8"/>
    <w:rsid w:val="007154C5"/>
    <w:rsid w:val="00752F6A"/>
    <w:rsid w:val="00780C80"/>
    <w:rsid w:val="0082164B"/>
    <w:rsid w:val="00835E07"/>
    <w:rsid w:val="0093545F"/>
    <w:rsid w:val="00972B41"/>
    <w:rsid w:val="00CA10A9"/>
    <w:rsid w:val="00CA59C7"/>
    <w:rsid w:val="00CB1BDD"/>
    <w:rsid w:val="00CD10A9"/>
    <w:rsid w:val="00D4028D"/>
    <w:rsid w:val="00D618F4"/>
    <w:rsid w:val="00D75606"/>
    <w:rsid w:val="00DB4022"/>
    <w:rsid w:val="00DD7BA4"/>
    <w:rsid w:val="00E24D23"/>
    <w:rsid w:val="00E318CE"/>
    <w:rsid w:val="00E34DB7"/>
    <w:rsid w:val="00E646E1"/>
    <w:rsid w:val="00F37C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0C80"/>
    <w:rPr>
      <w:color w:val="808080"/>
    </w:rPr>
  </w:style>
  <w:style w:type="paragraph" w:customStyle="1" w:styleId="30CB27CBF28C4D2FBF0903761E9BCFB8">
    <w:name w:val="30CB27CBF28C4D2FBF0903761E9BCFB8"/>
    <w:rsid w:val="00972B41"/>
  </w:style>
  <w:style w:type="paragraph" w:customStyle="1" w:styleId="3E5B43D4E703445285DC56911DA95DBF">
    <w:name w:val="3E5B43D4E703445285DC56911DA95DBF"/>
    <w:rsid w:val="00972B41"/>
  </w:style>
  <w:style w:type="paragraph" w:customStyle="1" w:styleId="9E6A6DB5217F423885B4A5AE7CDAB133">
    <w:name w:val="9E6A6DB5217F423885B4A5AE7CDAB133"/>
    <w:rsid w:val="00CB1BD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66693000-3e12-4b44-a742-9a2ba35b7d28" ContentTypeId="0x0101000C70A82DFAAC384DB9F6EBA2C8B87C57" PreviousValue="false"/>
</file>

<file path=customXml/item4.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14" ma:contentTypeDescription="" ma:contentTypeScope="" ma:versionID="2057dc46733fd5dd5e5445c1f778b28d">
  <xsd:schema xmlns:xsd="http://www.w3.org/2001/XMLSchema" xmlns:xs="http://www.w3.org/2001/XMLSchema" xmlns:p="http://schemas.microsoft.com/office/2006/metadata/properties" xmlns:ns2="8c4e2855-9588-4bc9-9890-af639bd565eb" xmlns:ns3="05350e14-297a-489c-ad04-faf6563b232c" targetNamespace="http://schemas.microsoft.com/office/2006/metadata/properties" ma:root="true" ma:fieldsID="2613be46df2440e0a4d4d2d4bfab9e2b" ns2:_="" ns3:_="">
    <xsd:import namespace="8c4e2855-9588-4bc9-9890-af639bd565eb"/>
    <xsd:import namespace="05350e14-297a-489c-ad04-faf6563b232c"/>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mpliance Manager"/>
              <xsd:enumeration value="Corporate Security Manager"/>
              <xsd:enumeration value="Data Protection Compliance Lead"/>
              <xsd:enumeration value="Deput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ion for Advanced Nuclear Technologies (ANTs) and Holtec SMR-300 GDA"/>
              <xsd:enumeration value="Head of Regulation for Development of Regulations and Guides"/>
              <xsd:enumeration value="Head of Regulation for Emergency Preparedness and Response"/>
              <xsd:enumeration value="Head of Regulation for Research and Development"/>
              <xsd:enumeration value="Head of Regulation for Rolls-Royce SMR (GDA)"/>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Head of Regulatory Development (TD)"/>
              <xsd:enumeration value="Head of Risk and Assurance"/>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R Director"/>
              <xsd:enumeration value="HSW Manager"/>
              <xsd:enumeration value="Information Management Manager"/>
              <xsd:enumeration value="Legal Cell Lead"/>
              <xsd:enumeration value="New Reactors Director"/>
              <xsd:enumeration value="Operating Facilities Director"/>
              <xsd:enumeration value="Regulatory Capability Lead"/>
              <xsd:enumeration value="Regulatory Intelligence Lead"/>
              <xsd:enumeration value="Technical Directo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documentManagement>
</p:properties>
</file>

<file path=customXml/item6.xml><?xml version="1.0" encoding="utf-8"?>
<b:Sources xmlns:b="http://schemas.openxmlformats.org/officeDocument/2006/bibliography" xmlns="http://schemas.openxmlformats.org/officeDocument/2006/bibliography" SelectedStyle="\IEEE2006OfficeOnline.xsl" StyleName="IEEE" Version="2006">
  <b:Source>
    <b:Tag>ONR2013</b:Tag>
    <b:SourceType>ElectronicSource</b:SourceType>
    <b:Guid>{652CD94D-26CB-45BB-9919-EA28B315E3F8}</b:Guid>
    <b:Author>
      <b:Author>
        <b:Corporate>ONR</b:Corporate>
      </b:Author>
    </b:Author>
    <b:Title>Safety Assessment Principles (SAPs) for Nuclear Facilities - 2014 Edition (Revision 1)</b:Title>
    <b:Year>2020</b:Year>
    <b:Month>January</b:Month>
    <b:RefOrder>1</b:RefOrder>
  </b:Source>
  <b:Source>
    <b:Tag>ONR173</b:Tag>
    <b:SourceType>DocumentFromInternetSite</b:SourceType>
    <b:Guid>{ADC2EB8D-B5A8-48EF-8437-54BFB16030D6}</b:Guid>
    <b:Title>Security Assessment Principles (SyAPs) for the Civil Nuclear Industry (Version 1)</b:Title>
    <b:Year>2022</b:Year>
    <b:Author>
      <b:Author>
        <b:Corporate>ONR</b:Corporate>
      </b:Author>
    </b:Author>
    <b:URL>https://www.onr.org.uk/media/g05fszjn/security-assessment-principles.pdf</b:URL>
    <b:RefOrder>2</b:RefOrder>
  </b:Source>
  <b:Source>
    <b:Tag>IAE1619</b:Tag>
    <b:SourceType>InternetSite</b:SourceType>
    <b:Guid>{C0CB8C46-4D33-4209-8D8A-63E6ACF25585}</b:Guid>
    <b:Author>
      <b:Author>
        <b:Corporate>IAEA</b:Corporate>
      </b:Author>
    </b:Author>
    <b:Title>Safety Standards Series No. GSR Part 4 (Rev. 1) - Safety Assessment for Facilities and Activities</b:Title>
    <b:Year>2016</b:Year>
    <b:URL>https://www.iaea.org/publications/10884/safety-assessment-for-facilities-and-activities</b:URL>
    <b:RefOrder>5</b:RefOrder>
  </b:Source>
  <b:Source>
    <b:Tag>IAE0610</b:Tag>
    <b:SourceType>InternetSite</b:SourceType>
    <b:Guid>{D605CE19-507C-4F7F-A53C-B6F229B67316}</b:Guid>
    <b:Author>
      <b:Author>
        <b:Corporate>IAEA</b:Corporate>
      </b:Author>
    </b:Author>
    <b:Title>IAEA Safety Standards Series No. SF-1 - Fundamental Safety Principles</b:Title>
    <b:Year>2006</b:Year>
    <b:URL>https://www.iaea.org/publications/7592/fundamental-safety-principles</b:URL>
    <b:RefOrder>4</b:RefOrder>
  </b:Source>
  <b:Source>
    <b:Tag>ONR232</b:Tag>
    <b:SourceType>ElectronicSource</b:SourceType>
    <b:Guid>{B44EAA78-D23D-4B8E-A537-C703D172F73A}</b:Guid>
    <b:Author>
      <b:Author>
        <b:Corporate>ONR</b:Corporate>
      </b:Author>
    </b:Author>
    <b:Title>Nuclear Material Accountancy Control and Safeguards Assessment Principles (ONMACS)</b:Title>
    <b:RefOrder>3</b:RefOrder>
  </b:Source>
</b:Sourc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2B66DF-5460-4902-A105-0CFBC7ACA11B}">
  <ds:schemaRefs>
    <ds:schemaRef ds:uri="http://schemas.microsoft.com/sharepoint/events"/>
  </ds:schemaRefs>
</ds:datastoreItem>
</file>

<file path=customXml/itemProps3.xml><?xml version="1.0" encoding="utf-8"?>
<ds:datastoreItem xmlns:ds="http://schemas.openxmlformats.org/officeDocument/2006/customXml" ds:itemID="{02F26B28-EC03-40E5-9545-161AF65ABC54}">
  <ds:schemaRefs>
    <ds:schemaRef ds:uri="Microsoft.SharePoint.Taxonomy.ContentTypeSync"/>
  </ds:schemaRefs>
</ds:datastoreItem>
</file>

<file path=customXml/itemProps4.xml><?xml version="1.0" encoding="utf-8"?>
<ds:datastoreItem xmlns:ds="http://schemas.openxmlformats.org/officeDocument/2006/customXml" ds:itemID="{C9936A86-4DAE-401C-A592-3384EE745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DAE848-ED76-4929-A07B-66C0F7017B38}">
  <ds:schemaRef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 ds:uri="http://purl.org/dc/terms/"/>
    <ds:schemaRef ds:uri="http://schemas.microsoft.com/office/2006/documentManagement/types"/>
    <ds:schemaRef ds:uri="05350e14-297a-489c-ad04-faf6563b232c"/>
    <ds:schemaRef ds:uri="8c4e2855-9588-4bc9-9890-af639bd565eb"/>
    <ds:schemaRef ds:uri="http://schemas.microsoft.com/office/2006/metadata/properties"/>
  </ds:schemaRefs>
</ds:datastoreItem>
</file>

<file path=customXml/itemProps6.xml><?xml version="1.0" encoding="utf-8"?>
<ds:datastoreItem xmlns:ds="http://schemas.openxmlformats.org/officeDocument/2006/customXml" ds:itemID="{55979E12-FCCA-4092-8F48-9F5E7D2AB14C}">
  <ds:schemaRefs>
    <ds:schemaRef ds:uri="http://schemas.openxmlformats.org/officeDocument/2006/bibliography"/>
  </ds:schemaRefs>
</ds:datastoreItem>
</file>

<file path=customXml/itemProps7.xml><?xml version="1.0" encoding="utf-8"?>
<ds:datastoreItem xmlns:ds="http://schemas.openxmlformats.org/officeDocument/2006/customXml" ds:itemID="{87045090-B6F4-4752-92A0-15AFAADB5A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1466</Words>
  <Characters>9271</Characters>
  <Application>Microsoft Office Word</Application>
  <DocSecurity>0</DocSecurity>
  <Lines>220</Lines>
  <Paragraphs>96</Paragraphs>
  <ScaleCrop>false</ScaleCrop>
  <HeadingPairs>
    <vt:vector size="2" baseType="variant">
      <vt:variant>
        <vt:lpstr>Title</vt:lpstr>
      </vt:variant>
      <vt:variant>
        <vt:i4>1</vt:i4>
      </vt:variant>
    </vt:vector>
  </HeadingPairs>
  <TitlesOfParts>
    <vt:vector size="1" baseType="lpstr">
      <vt:lpstr>An introduction to ONR’s technical assessment and inspection guides</vt:lpstr>
    </vt:vector>
  </TitlesOfParts>
  <Manager>Office for Nuclear Regulation</Manager>
  <Company>Office for Nuclear Regulation</Company>
  <LinksUpToDate>false</LinksUpToDate>
  <CharactersWithSpaces>10641</CharactersWithSpaces>
  <SharedDoc>false</SharedDoc>
  <HLinks>
    <vt:vector size="36" baseType="variant">
      <vt:variant>
        <vt:i4>5701742</vt:i4>
      </vt:variant>
      <vt:variant>
        <vt:i4>33</vt:i4>
      </vt:variant>
      <vt:variant>
        <vt:i4>0</vt:i4>
      </vt:variant>
      <vt:variant>
        <vt:i4>5</vt:i4>
      </vt:variant>
      <vt:variant>
        <vt:lpwstr>mailto:HOW2@onr.gov.uk</vt:lpwstr>
      </vt:variant>
      <vt:variant>
        <vt:lpwstr/>
      </vt:variant>
      <vt:variant>
        <vt:i4>4587536</vt:i4>
      </vt:variant>
      <vt:variant>
        <vt:i4>21</vt:i4>
      </vt:variant>
      <vt:variant>
        <vt:i4>0</vt:i4>
      </vt:variant>
      <vt:variant>
        <vt:i4>5</vt:i4>
      </vt:variant>
      <vt:variant>
        <vt:lpwstr>https://www.onr.org.uk/publications/publication-search?type=nuclearSafetyTIGsPublication%3BnuclearSecurityTIGsPublication%3BsafeguardsTIGsPublication%3BcomplianceInspectionOperationalExperienceGuidancePublication</vt:lpwstr>
      </vt:variant>
      <vt:variant>
        <vt:lpwstr/>
      </vt:variant>
      <vt:variant>
        <vt:i4>1507399</vt:i4>
      </vt:variant>
      <vt:variant>
        <vt:i4>18</vt:i4>
      </vt:variant>
      <vt:variant>
        <vt:i4>0</vt:i4>
      </vt:variant>
      <vt:variant>
        <vt:i4>5</vt:i4>
      </vt:variant>
      <vt:variant>
        <vt:lpwstr>https://www.onr.org.uk/publications/regulatory-guidance/regulatory-assessment-and-permissioning/technical-assessment-guides-tags</vt:lpwstr>
      </vt:variant>
      <vt:variant>
        <vt:lpwstr/>
      </vt:variant>
      <vt:variant>
        <vt:i4>3604601</vt:i4>
      </vt:variant>
      <vt:variant>
        <vt:i4>12</vt:i4>
      </vt:variant>
      <vt:variant>
        <vt:i4>0</vt:i4>
      </vt:variant>
      <vt:variant>
        <vt:i4>5</vt:i4>
      </vt:variant>
      <vt:variant>
        <vt:lpwstr>https://www.onr.org.uk/our-work/what-we-regulate/nuclear-safeguards</vt:lpwstr>
      </vt:variant>
      <vt:variant>
        <vt:lpwstr/>
      </vt:variant>
      <vt:variant>
        <vt:i4>6225939</vt:i4>
      </vt:variant>
      <vt:variant>
        <vt:i4>6</vt:i4>
      </vt:variant>
      <vt:variant>
        <vt:i4>0</vt:i4>
      </vt:variant>
      <vt:variant>
        <vt:i4>5</vt:i4>
      </vt:variant>
      <vt:variant>
        <vt:lpwstr>https://www.onr.org.uk/publications/regulatory-guidance/regulatory-assessment-and-permissioning/security-assessment-principles-syaps/security-assessment-principles-syaps</vt:lpwstr>
      </vt:variant>
      <vt:variant>
        <vt:lpwstr/>
      </vt:variant>
      <vt:variant>
        <vt:i4>4456468</vt:i4>
      </vt:variant>
      <vt:variant>
        <vt:i4>0</vt:i4>
      </vt:variant>
      <vt:variant>
        <vt:i4>0</vt:i4>
      </vt:variant>
      <vt:variant>
        <vt:i4>5</vt:i4>
      </vt:variant>
      <vt:variant>
        <vt:lpwstr>https://www.onr.org.uk/publications/regulatory-guidance/regulatory-assessment-and-permissioning/safety-assessment-principles-saps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ONR’s technical assessment and inspection guides</dc:title>
  <dc:subject>[Subtitle or description]</dc:subject>
  <cp:keywords>[Key words separated by commas]</cp:keywords>
  <dc:description/>
  <cp:revision>6</cp:revision>
  <cp:lastPrinted>2016-11-28T19:35:00Z</cp:lastPrinted>
  <dcterms:created xsi:type="dcterms:W3CDTF">2025-09-12T11:31:00Z</dcterms:created>
  <dcterms:modified xsi:type="dcterms:W3CDTF">2025-10-17T15:32:00Z</dcterms:modified>
  <cp:contentStatus>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