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5F523BC9" w:rsidR="00595C8C" w:rsidRPr="00595C8C" w:rsidRDefault="00595C8C" w:rsidP="00595C8C">
            <w:pPr>
              <w:pStyle w:val="InnerCoverTitle"/>
              <w:rPr>
                <w:sz w:val="36"/>
                <w:szCs w:val="36"/>
              </w:rPr>
            </w:pPr>
            <w:r w:rsidRPr="00595C8C">
              <w:rPr>
                <w:sz w:val="36"/>
                <w:szCs w:val="36"/>
              </w:rPr>
              <w:t xml:space="preserve">ONR </w:t>
            </w:r>
            <w:r w:rsidR="00833D14">
              <w:rPr>
                <w:sz w:val="36"/>
                <w:szCs w:val="36"/>
              </w:rPr>
              <w:t>Framework Document</w:t>
            </w:r>
          </w:p>
          <w:sdt>
            <w:sdtPr>
              <w:rPr>
                <w:sz w:val="72"/>
                <w:szCs w:val="72"/>
              </w:rPr>
              <w:id w:val="1228188510"/>
              <w:placeholder>
                <w:docPart w:val="DefaultPlaceholder_-1854013440"/>
              </w:placeholder>
            </w:sdtPr>
            <w:sdtEndPr/>
            <w:sdtContent>
              <w:p w14:paraId="7C4EA414" w14:textId="64BA0093" w:rsidR="00D0226A" w:rsidRPr="00833D14" w:rsidRDefault="00BC210B" w:rsidP="001E03E1">
                <w:pPr>
                  <w:pStyle w:val="CoverTitle"/>
                  <w:rPr>
                    <w:szCs w:val="90"/>
                  </w:rPr>
                </w:pPr>
                <w:sdt>
                  <w:sdtPr>
                    <w:rPr>
                      <w:sz w:val="56"/>
                      <w:szCs w:val="5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833D14">
                      <w:rPr>
                        <w:sz w:val="56"/>
                        <w:szCs w:val="56"/>
                      </w:rPr>
                      <w:t>Framework for</w:t>
                    </w:r>
                    <w:r w:rsidR="00DE626B" w:rsidRPr="00833D14">
                      <w:rPr>
                        <w:sz w:val="56"/>
                        <w:szCs w:val="56"/>
                      </w:rPr>
                      <w:t xml:space="preserve"> the assignment of </w:t>
                    </w:r>
                    <w:r w:rsidR="00833D14">
                      <w:rPr>
                        <w:sz w:val="56"/>
                        <w:szCs w:val="56"/>
                      </w:rPr>
                      <w:t>regulatory</w:t>
                    </w:r>
                    <w:r w:rsidR="00DE626B" w:rsidRPr="00833D14">
                      <w:rPr>
                        <w:sz w:val="56"/>
                        <w:szCs w:val="56"/>
                      </w:rPr>
                      <w:t xml:space="preserve"> attention levels</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FDB4B56" w14:textId="6C10B266" w:rsidR="00595C8C" w:rsidRDefault="00595C8C" w:rsidP="00323E71">
      <w:pPr>
        <w:sectPr w:rsidR="00595C8C" w:rsidSect="00B23A5E">
          <w:headerReference w:type="default" r:id="rId16"/>
          <w:footerReference w:type="default" r:id="rId17"/>
          <w:headerReference w:type="first" r:id="rId18"/>
          <w:footerReference w:type="first" r:id="rId19"/>
          <w:pgSz w:w="11906" w:h="16838" w:code="9"/>
          <w:pgMar w:top="1440" w:right="1440" w:bottom="1440" w:left="1440" w:header="397" w:footer="397" w:gutter="0"/>
          <w:cols w:space="312"/>
          <w:titlePg/>
          <w:docGrid w:linePitch="360"/>
        </w:sectPr>
      </w:pPr>
    </w:p>
    <w:p w14:paraId="3AE5EE98" w14:textId="77777777" w:rsidR="00267815" w:rsidRPr="00EE0C77" w:rsidRDefault="00267815" w:rsidP="00EE0C77">
      <w:pPr>
        <w:pStyle w:val="ContentsHeading"/>
      </w:pPr>
      <w:r w:rsidRPr="00EE0C77">
        <w:lastRenderedPageBreak/>
        <w:t>Co</w:t>
      </w:r>
      <w:r w:rsidRPr="00257288">
        <w:t>n</w:t>
      </w:r>
      <w:r w:rsidRPr="00420A11">
        <w:t>ten</w:t>
      </w:r>
      <w:r w:rsidRPr="00EE0C77">
        <w:t>ts</w:t>
      </w:r>
    </w:p>
    <w:p w14:paraId="43D7D89A" w14:textId="1F6EBF8E" w:rsidR="00160DB6" w:rsidRDefault="00160DB6">
      <w:pPr>
        <w:pStyle w:val="TOC1"/>
        <w:tabs>
          <w:tab w:val="left" w:pos="720"/>
        </w:tabs>
        <w:rPr>
          <w:rFonts w:asciiTheme="minorHAnsi" w:eastAsiaTheme="minorEastAsia" w:hAnsiTheme="minorHAnsi" w:cstheme="minorBidi"/>
          <w:kern w:val="2"/>
          <w:szCs w:val="24"/>
          <w:lang w:eastAsia="en-GB" w:bidi="ar-SA"/>
          <w14:ligatures w14:val="standardContextual"/>
        </w:rPr>
      </w:pPr>
      <w:r>
        <w:fldChar w:fldCharType="begin"/>
      </w:r>
      <w:r>
        <w:instrText xml:space="preserve"> TOC \o "1-1" \h \z \u </w:instrText>
      </w:r>
      <w:r>
        <w:fldChar w:fldCharType="separate"/>
      </w:r>
      <w:hyperlink w:anchor="_Toc237421915" w:history="1">
        <w:r w:rsidRPr="00E77F0F">
          <w:rPr>
            <w:rStyle w:val="Hyperlink"/>
          </w:rPr>
          <w:t>1.</w:t>
        </w:r>
        <w:r>
          <w:rPr>
            <w:rFonts w:asciiTheme="minorHAnsi" w:eastAsiaTheme="minorEastAsia" w:hAnsiTheme="minorHAnsi" w:cstheme="minorBidi"/>
            <w:kern w:val="2"/>
            <w:szCs w:val="24"/>
            <w:lang w:eastAsia="en-GB" w:bidi="ar-SA"/>
            <w14:ligatures w14:val="standardContextual"/>
          </w:rPr>
          <w:tab/>
        </w:r>
        <w:r w:rsidRPr="00E77F0F">
          <w:rPr>
            <w:rStyle w:val="Hyperlink"/>
          </w:rPr>
          <w:t>Introduction</w:t>
        </w:r>
        <w:r>
          <w:rPr>
            <w:webHidden/>
          </w:rPr>
          <w:tab/>
        </w:r>
        <w:r>
          <w:rPr>
            <w:webHidden/>
          </w:rPr>
          <w:fldChar w:fldCharType="begin"/>
        </w:r>
        <w:r>
          <w:rPr>
            <w:webHidden/>
          </w:rPr>
          <w:instrText xml:space="preserve"> PAGEREF _Toc237421915 \h </w:instrText>
        </w:r>
        <w:r>
          <w:rPr>
            <w:webHidden/>
          </w:rPr>
        </w:r>
        <w:r>
          <w:rPr>
            <w:webHidden/>
          </w:rPr>
          <w:fldChar w:fldCharType="separate"/>
        </w:r>
        <w:r>
          <w:rPr>
            <w:webHidden/>
          </w:rPr>
          <w:t>3</w:t>
        </w:r>
        <w:r>
          <w:rPr>
            <w:webHidden/>
          </w:rPr>
          <w:fldChar w:fldCharType="end"/>
        </w:r>
      </w:hyperlink>
    </w:p>
    <w:p w14:paraId="4A9D5E5E" w14:textId="78D061BC" w:rsidR="00160DB6" w:rsidRDefault="00160DB6">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7421916" w:history="1">
        <w:r w:rsidRPr="00E77F0F">
          <w:rPr>
            <w:rStyle w:val="Hyperlink"/>
          </w:rPr>
          <w:t>2.</w:t>
        </w:r>
        <w:r>
          <w:rPr>
            <w:rFonts w:asciiTheme="minorHAnsi" w:eastAsiaTheme="minorEastAsia" w:hAnsiTheme="minorHAnsi" w:cstheme="minorBidi"/>
            <w:kern w:val="2"/>
            <w:szCs w:val="24"/>
            <w:lang w:eastAsia="en-GB" w:bidi="ar-SA"/>
            <w14:ligatures w14:val="standardContextual"/>
          </w:rPr>
          <w:tab/>
        </w:r>
        <w:r w:rsidRPr="00E77F0F">
          <w:rPr>
            <w:rStyle w:val="Hyperlink"/>
          </w:rPr>
          <w:t>Derivation of attention levels</w:t>
        </w:r>
        <w:r>
          <w:rPr>
            <w:webHidden/>
          </w:rPr>
          <w:tab/>
        </w:r>
        <w:r>
          <w:rPr>
            <w:webHidden/>
          </w:rPr>
          <w:fldChar w:fldCharType="begin"/>
        </w:r>
        <w:r>
          <w:rPr>
            <w:webHidden/>
          </w:rPr>
          <w:instrText xml:space="preserve"> PAGEREF _Toc237421916 \h </w:instrText>
        </w:r>
        <w:r>
          <w:rPr>
            <w:webHidden/>
          </w:rPr>
        </w:r>
        <w:r>
          <w:rPr>
            <w:webHidden/>
          </w:rPr>
          <w:fldChar w:fldCharType="separate"/>
        </w:r>
        <w:r>
          <w:rPr>
            <w:webHidden/>
          </w:rPr>
          <w:t>6</w:t>
        </w:r>
        <w:r>
          <w:rPr>
            <w:webHidden/>
          </w:rPr>
          <w:fldChar w:fldCharType="end"/>
        </w:r>
      </w:hyperlink>
    </w:p>
    <w:p w14:paraId="123A0E7F" w14:textId="24274FAB" w:rsidR="00160DB6" w:rsidRDefault="00160DB6">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7421917" w:history="1">
        <w:r w:rsidRPr="00E77F0F">
          <w:rPr>
            <w:rStyle w:val="Hyperlink"/>
          </w:rPr>
          <w:t>3.</w:t>
        </w:r>
        <w:r>
          <w:rPr>
            <w:rFonts w:asciiTheme="minorHAnsi" w:eastAsiaTheme="minorEastAsia" w:hAnsiTheme="minorHAnsi" w:cstheme="minorBidi"/>
            <w:kern w:val="2"/>
            <w:szCs w:val="24"/>
            <w:lang w:eastAsia="en-GB" w:bidi="ar-SA"/>
            <w14:ligatures w14:val="standardContextual"/>
          </w:rPr>
          <w:tab/>
        </w:r>
        <w:r w:rsidRPr="00E77F0F">
          <w:rPr>
            <w:rStyle w:val="Hyperlink"/>
          </w:rPr>
          <w:t>Governance of regulatory attention levels</w:t>
        </w:r>
        <w:r>
          <w:rPr>
            <w:webHidden/>
          </w:rPr>
          <w:tab/>
        </w:r>
        <w:r>
          <w:rPr>
            <w:webHidden/>
          </w:rPr>
          <w:fldChar w:fldCharType="begin"/>
        </w:r>
        <w:r>
          <w:rPr>
            <w:webHidden/>
          </w:rPr>
          <w:instrText xml:space="preserve"> PAGEREF _Toc237421917 \h </w:instrText>
        </w:r>
        <w:r>
          <w:rPr>
            <w:webHidden/>
          </w:rPr>
        </w:r>
        <w:r>
          <w:rPr>
            <w:webHidden/>
          </w:rPr>
          <w:fldChar w:fldCharType="separate"/>
        </w:r>
        <w:r>
          <w:rPr>
            <w:webHidden/>
          </w:rPr>
          <w:t>12</w:t>
        </w:r>
        <w:r>
          <w:rPr>
            <w:webHidden/>
          </w:rPr>
          <w:fldChar w:fldCharType="end"/>
        </w:r>
      </w:hyperlink>
    </w:p>
    <w:p w14:paraId="584AE983" w14:textId="03E7D25C" w:rsidR="00160DB6" w:rsidRDefault="00160DB6">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7421918" w:history="1">
        <w:r w:rsidRPr="00E77F0F">
          <w:rPr>
            <w:rStyle w:val="Hyperlink"/>
          </w:rPr>
          <w:t>4.</w:t>
        </w:r>
        <w:r>
          <w:rPr>
            <w:rFonts w:asciiTheme="minorHAnsi" w:eastAsiaTheme="minorEastAsia" w:hAnsiTheme="minorHAnsi" w:cstheme="minorBidi"/>
            <w:kern w:val="2"/>
            <w:szCs w:val="24"/>
            <w:lang w:eastAsia="en-GB" w:bidi="ar-SA"/>
            <w14:ligatures w14:val="standardContextual"/>
          </w:rPr>
          <w:tab/>
        </w:r>
        <w:r w:rsidRPr="00E77F0F">
          <w:rPr>
            <w:rStyle w:val="Hyperlink"/>
          </w:rPr>
          <w:t>Implications of enhanced attention levels</w:t>
        </w:r>
        <w:r>
          <w:rPr>
            <w:webHidden/>
          </w:rPr>
          <w:tab/>
        </w:r>
        <w:r>
          <w:rPr>
            <w:webHidden/>
          </w:rPr>
          <w:fldChar w:fldCharType="begin"/>
        </w:r>
        <w:r>
          <w:rPr>
            <w:webHidden/>
          </w:rPr>
          <w:instrText xml:space="preserve"> PAGEREF _Toc237421918 \h </w:instrText>
        </w:r>
        <w:r>
          <w:rPr>
            <w:webHidden/>
          </w:rPr>
        </w:r>
        <w:r>
          <w:rPr>
            <w:webHidden/>
          </w:rPr>
          <w:fldChar w:fldCharType="separate"/>
        </w:r>
        <w:r>
          <w:rPr>
            <w:webHidden/>
          </w:rPr>
          <w:t>14</w:t>
        </w:r>
        <w:r>
          <w:rPr>
            <w:webHidden/>
          </w:rPr>
          <w:fldChar w:fldCharType="end"/>
        </w:r>
      </w:hyperlink>
    </w:p>
    <w:p w14:paraId="4CED3C74" w14:textId="45390EC4" w:rsidR="00160DB6" w:rsidRDefault="00160DB6">
      <w:pPr>
        <w:pStyle w:val="TOC1"/>
        <w:rPr>
          <w:rFonts w:asciiTheme="minorHAnsi" w:eastAsiaTheme="minorEastAsia" w:hAnsiTheme="minorHAnsi" w:cstheme="minorBidi"/>
          <w:kern w:val="2"/>
          <w:szCs w:val="24"/>
          <w:lang w:eastAsia="en-GB" w:bidi="ar-SA"/>
          <w14:ligatures w14:val="standardContextual"/>
        </w:rPr>
      </w:pPr>
      <w:hyperlink w:anchor="_Toc237421919" w:history="1">
        <w:r w:rsidRPr="00E77F0F">
          <w:rPr>
            <w:rStyle w:val="Hyperlink"/>
          </w:rPr>
          <w:t>Appendix A – Regulatory attention level timeline</w:t>
        </w:r>
        <w:r>
          <w:rPr>
            <w:webHidden/>
          </w:rPr>
          <w:tab/>
        </w:r>
        <w:r>
          <w:rPr>
            <w:webHidden/>
          </w:rPr>
          <w:fldChar w:fldCharType="begin"/>
        </w:r>
        <w:r>
          <w:rPr>
            <w:webHidden/>
          </w:rPr>
          <w:instrText xml:space="preserve"> PAGEREF _Toc237421919 \h </w:instrText>
        </w:r>
        <w:r>
          <w:rPr>
            <w:webHidden/>
          </w:rPr>
        </w:r>
        <w:r>
          <w:rPr>
            <w:webHidden/>
          </w:rPr>
          <w:fldChar w:fldCharType="separate"/>
        </w:r>
        <w:r>
          <w:rPr>
            <w:webHidden/>
          </w:rPr>
          <w:t>15</w:t>
        </w:r>
        <w:r>
          <w:rPr>
            <w:webHidden/>
          </w:rPr>
          <w:fldChar w:fldCharType="end"/>
        </w:r>
      </w:hyperlink>
    </w:p>
    <w:p w14:paraId="4434FD44" w14:textId="2656C931" w:rsidR="00160DB6" w:rsidRDefault="00160DB6">
      <w:pPr>
        <w:pStyle w:val="TOC1"/>
        <w:rPr>
          <w:rFonts w:asciiTheme="minorHAnsi" w:eastAsiaTheme="minorEastAsia" w:hAnsiTheme="minorHAnsi" w:cstheme="minorBidi"/>
          <w:kern w:val="2"/>
          <w:szCs w:val="24"/>
          <w:lang w:eastAsia="en-GB" w:bidi="ar-SA"/>
          <w14:ligatures w14:val="standardContextual"/>
        </w:rPr>
      </w:pPr>
      <w:hyperlink w:anchor="_Toc237421920" w:history="1">
        <w:r w:rsidRPr="00E77F0F">
          <w:rPr>
            <w:rStyle w:val="Hyperlink"/>
          </w:rPr>
          <w:t>Appendix B – Nuclear security attributes</w:t>
        </w:r>
        <w:r>
          <w:rPr>
            <w:webHidden/>
          </w:rPr>
          <w:tab/>
        </w:r>
        <w:r>
          <w:rPr>
            <w:webHidden/>
          </w:rPr>
          <w:fldChar w:fldCharType="begin"/>
        </w:r>
        <w:r>
          <w:rPr>
            <w:webHidden/>
          </w:rPr>
          <w:instrText xml:space="preserve"> PAGEREF _Toc237421920 \h </w:instrText>
        </w:r>
        <w:r>
          <w:rPr>
            <w:webHidden/>
          </w:rPr>
        </w:r>
        <w:r>
          <w:rPr>
            <w:webHidden/>
          </w:rPr>
          <w:fldChar w:fldCharType="separate"/>
        </w:r>
        <w:r>
          <w:rPr>
            <w:webHidden/>
          </w:rPr>
          <w:t>16</w:t>
        </w:r>
        <w:r>
          <w:rPr>
            <w:webHidden/>
          </w:rPr>
          <w:fldChar w:fldCharType="end"/>
        </w:r>
      </w:hyperlink>
    </w:p>
    <w:p w14:paraId="3FE4EC59" w14:textId="107E6EF7" w:rsidR="00160DB6" w:rsidRDefault="00160DB6">
      <w:pPr>
        <w:pStyle w:val="TOC1"/>
        <w:rPr>
          <w:rFonts w:asciiTheme="minorHAnsi" w:eastAsiaTheme="minorEastAsia" w:hAnsiTheme="minorHAnsi" w:cstheme="minorBidi"/>
          <w:kern w:val="2"/>
          <w:szCs w:val="24"/>
          <w:lang w:eastAsia="en-GB" w:bidi="ar-SA"/>
          <w14:ligatures w14:val="standardContextual"/>
        </w:rPr>
      </w:pPr>
      <w:hyperlink w:anchor="_Toc237421921" w:history="1">
        <w:r w:rsidRPr="00E77F0F">
          <w:rPr>
            <w:rStyle w:val="Hyperlink"/>
          </w:rPr>
          <w:t>Appendix C – Nuclear safeguards attributes</w:t>
        </w:r>
        <w:r>
          <w:rPr>
            <w:webHidden/>
          </w:rPr>
          <w:tab/>
        </w:r>
        <w:r>
          <w:rPr>
            <w:webHidden/>
          </w:rPr>
          <w:fldChar w:fldCharType="begin"/>
        </w:r>
        <w:r>
          <w:rPr>
            <w:webHidden/>
          </w:rPr>
          <w:instrText xml:space="preserve"> PAGEREF _Toc237421921 \h </w:instrText>
        </w:r>
        <w:r>
          <w:rPr>
            <w:webHidden/>
          </w:rPr>
        </w:r>
        <w:r>
          <w:rPr>
            <w:webHidden/>
          </w:rPr>
          <w:fldChar w:fldCharType="separate"/>
        </w:r>
        <w:r>
          <w:rPr>
            <w:webHidden/>
          </w:rPr>
          <w:t>18</w:t>
        </w:r>
        <w:r>
          <w:rPr>
            <w:webHidden/>
          </w:rPr>
          <w:fldChar w:fldCharType="end"/>
        </w:r>
      </w:hyperlink>
    </w:p>
    <w:p w14:paraId="4C4BF995" w14:textId="3B7D8845" w:rsidR="00160DB6" w:rsidRDefault="00160DB6">
      <w:pPr>
        <w:pStyle w:val="TOC1"/>
        <w:rPr>
          <w:rFonts w:asciiTheme="minorHAnsi" w:eastAsiaTheme="minorEastAsia" w:hAnsiTheme="minorHAnsi" w:cstheme="minorBidi"/>
          <w:kern w:val="2"/>
          <w:szCs w:val="24"/>
          <w:lang w:eastAsia="en-GB" w:bidi="ar-SA"/>
          <w14:ligatures w14:val="standardContextual"/>
        </w:rPr>
      </w:pPr>
      <w:hyperlink w:anchor="_Toc237421922" w:history="1">
        <w:r w:rsidRPr="00E77F0F">
          <w:rPr>
            <w:rStyle w:val="Hyperlink"/>
          </w:rPr>
          <w:t>Appendix D – Transport attributes</w:t>
        </w:r>
        <w:r>
          <w:rPr>
            <w:webHidden/>
          </w:rPr>
          <w:tab/>
        </w:r>
        <w:r>
          <w:rPr>
            <w:webHidden/>
          </w:rPr>
          <w:fldChar w:fldCharType="begin"/>
        </w:r>
        <w:r>
          <w:rPr>
            <w:webHidden/>
          </w:rPr>
          <w:instrText xml:space="preserve"> PAGEREF _Toc237421922 \h </w:instrText>
        </w:r>
        <w:r>
          <w:rPr>
            <w:webHidden/>
          </w:rPr>
        </w:r>
        <w:r>
          <w:rPr>
            <w:webHidden/>
          </w:rPr>
          <w:fldChar w:fldCharType="separate"/>
        </w:r>
        <w:r>
          <w:rPr>
            <w:webHidden/>
          </w:rPr>
          <w:t>19</w:t>
        </w:r>
        <w:r>
          <w:rPr>
            <w:webHidden/>
          </w:rPr>
          <w:fldChar w:fldCharType="end"/>
        </w:r>
      </w:hyperlink>
    </w:p>
    <w:p w14:paraId="19B2AE82" w14:textId="3CBFA475" w:rsidR="00160DB6" w:rsidRDefault="00160DB6">
      <w:pPr>
        <w:pStyle w:val="TOC1"/>
        <w:rPr>
          <w:rFonts w:asciiTheme="minorHAnsi" w:eastAsiaTheme="minorEastAsia" w:hAnsiTheme="minorHAnsi" w:cstheme="minorBidi"/>
          <w:kern w:val="2"/>
          <w:szCs w:val="24"/>
          <w:lang w:eastAsia="en-GB" w:bidi="ar-SA"/>
          <w14:ligatures w14:val="standardContextual"/>
        </w:rPr>
      </w:pPr>
      <w:hyperlink w:anchor="_Toc237421923" w:history="1">
        <w:r w:rsidRPr="00E77F0F">
          <w:rPr>
            <w:rStyle w:val="Hyperlink"/>
          </w:rPr>
          <w:t>Appendix E – Nuclear site health and safety attributes</w:t>
        </w:r>
        <w:r>
          <w:rPr>
            <w:webHidden/>
          </w:rPr>
          <w:tab/>
        </w:r>
        <w:r>
          <w:rPr>
            <w:webHidden/>
          </w:rPr>
          <w:fldChar w:fldCharType="begin"/>
        </w:r>
        <w:r>
          <w:rPr>
            <w:webHidden/>
          </w:rPr>
          <w:instrText xml:space="preserve"> PAGEREF _Toc237421923 \h </w:instrText>
        </w:r>
        <w:r>
          <w:rPr>
            <w:webHidden/>
          </w:rPr>
        </w:r>
        <w:r>
          <w:rPr>
            <w:webHidden/>
          </w:rPr>
          <w:fldChar w:fldCharType="separate"/>
        </w:r>
        <w:r>
          <w:rPr>
            <w:webHidden/>
          </w:rPr>
          <w:t>20</w:t>
        </w:r>
        <w:r>
          <w:rPr>
            <w:webHidden/>
          </w:rPr>
          <w:fldChar w:fldCharType="end"/>
        </w:r>
      </w:hyperlink>
    </w:p>
    <w:p w14:paraId="76DD81D9" w14:textId="0063F4DB" w:rsidR="00160DB6" w:rsidRDefault="00160DB6">
      <w:pPr>
        <w:pStyle w:val="TOC1"/>
        <w:rPr>
          <w:rFonts w:asciiTheme="minorHAnsi" w:eastAsiaTheme="minorEastAsia" w:hAnsiTheme="minorHAnsi" w:cstheme="minorBidi"/>
          <w:kern w:val="2"/>
          <w:szCs w:val="24"/>
          <w:lang w:eastAsia="en-GB" w:bidi="ar-SA"/>
          <w14:ligatures w14:val="standardContextual"/>
        </w:rPr>
      </w:pPr>
      <w:hyperlink w:anchor="_Toc237421924" w:history="1">
        <w:r w:rsidRPr="00E77F0F">
          <w:rPr>
            <w:rStyle w:val="Hyperlink"/>
          </w:rPr>
          <w:t>Appendix F – Nuclear safety attributes</w:t>
        </w:r>
        <w:r>
          <w:rPr>
            <w:webHidden/>
          </w:rPr>
          <w:tab/>
        </w:r>
        <w:r>
          <w:rPr>
            <w:webHidden/>
          </w:rPr>
          <w:fldChar w:fldCharType="begin"/>
        </w:r>
        <w:r>
          <w:rPr>
            <w:webHidden/>
          </w:rPr>
          <w:instrText xml:space="preserve"> PAGEREF _Toc237421924 \h </w:instrText>
        </w:r>
        <w:r>
          <w:rPr>
            <w:webHidden/>
          </w:rPr>
        </w:r>
        <w:r>
          <w:rPr>
            <w:webHidden/>
          </w:rPr>
          <w:fldChar w:fldCharType="separate"/>
        </w:r>
        <w:r>
          <w:rPr>
            <w:webHidden/>
          </w:rPr>
          <w:t>21</w:t>
        </w:r>
        <w:r>
          <w:rPr>
            <w:webHidden/>
          </w:rPr>
          <w:fldChar w:fldCharType="end"/>
        </w:r>
      </w:hyperlink>
    </w:p>
    <w:p w14:paraId="2ACB4CC2" w14:textId="5FAF6A11" w:rsidR="00160DB6" w:rsidRDefault="00160DB6">
      <w:pPr>
        <w:pStyle w:val="TOC1"/>
        <w:rPr>
          <w:rFonts w:asciiTheme="minorHAnsi" w:eastAsiaTheme="minorEastAsia" w:hAnsiTheme="minorHAnsi" w:cstheme="minorBidi"/>
          <w:kern w:val="2"/>
          <w:szCs w:val="24"/>
          <w:lang w:eastAsia="en-GB" w:bidi="ar-SA"/>
          <w14:ligatures w14:val="standardContextual"/>
        </w:rPr>
      </w:pPr>
      <w:hyperlink w:anchor="_Toc237421925" w:history="1">
        <w:r w:rsidRPr="00E77F0F">
          <w:rPr>
            <w:rStyle w:val="Hyperlink"/>
          </w:rPr>
          <w:t>References</w:t>
        </w:r>
        <w:r>
          <w:rPr>
            <w:webHidden/>
          </w:rPr>
          <w:tab/>
        </w:r>
        <w:r>
          <w:rPr>
            <w:webHidden/>
          </w:rPr>
          <w:fldChar w:fldCharType="begin"/>
        </w:r>
        <w:r>
          <w:rPr>
            <w:webHidden/>
          </w:rPr>
          <w:instrText xml:space="preserve"> PAGEREF _Toc237421925 \h </w:instrText>
        </w:r>
        <w:r>
          <w:rPr>
            <w:webHidden/>
          </w:rPr>
        </w:r>
        <w:r>
          <w:rPr>
            <w:webHidden/>
          </w:rPr>
          <w:fldChar w:fldCharType="separate"/>
        </w:r>
        <w:r>
          <w:rPr>
            <w:webHidden/>
          </w:rPr>
          <w:t>24</w:t>
        </w:r>
        <w:r>
          <w:rPr>
            <w:webHidden/>
          </w:rPr>
          <w:fldChar w:fldCharType="end"/>
        </w:r>
      </w:hyperlink>
    </w:p>
    <w:p w14:paraId="544C69BE" w14:textId="7120F709" w:rsidR="00160DB6" w:rsidRDefault="00160DB6">
      <w:pPr>
        <w:pStyle w:val="TOC1"/>
        <w:rPr>
          <w:rFonts w:asciiTheme="minorHAnsi" w:eastAsiaTheme="minorEastAsia" w:hAnsiTheme="minorHAnsi" w:cstheme="minorBidi"/>
          <w:kern w:val="2"/>
          <w:szCs w:val="24"/>
          <w:lang w:eastAsia="en-GB" w:bidi="ar-SA"/>
          <w14:ligatures w14:val="standardContextual"/>
        </w:rPr>
      </w:pPr>
      <w:hyperlink w:anchor="_Toc237421926" w:history="1">
        <w:r w:rsidRPr="00E77F0F">
          <w:rPr>
            <w:rStyle w:val="Hyperlink"/>
          </w:rPr>
          <w:t>Document control information</w:t>
        </w:r>
        <w:r>
          <w:rPr>
            <w:webHidden/>
          </w:rPr>
          <w:tab/>
        </w:r>
        <w:r>
          <w:rPr>
            <w:webHidden/>
          </w:rPr>
          <w:fldChar w:fldCharType="begin"/>
        </w:r>
        <w:r>
          <w:rPr>
            <w:webHidden/>
          </w:rPr>
          <w:instrText xml:space="preserve"> PAGEREF _Toc237421926 \h </w:instrText>
        </w:r>
        <w:r>
          <w:rPr>
            <w:webHidden/>
          </w:rPr>
        </w:r>
        <w:r>
          <w:rPr>
            <w:webHidden/>
          </w:rPr>
          <w:fldChar w:fldCharType="separate"/>
        </w:r>
        <w:r>
          <w:rPr>
            <w:webHidden/>
          </w:rPr>
          <w:t>25</w:t>
        </w:r>
        <w:r>
          <w:rPr>
            <w:webHidden/>
          </w:rPr>
          <w:fldChar w:fldCharType="end"/>
        </w:r>
      </w:hyperlink>
    </w:p>
    <w:p w14:paraId="0CC4B54A" w14:textId="128191DE" w:rsidR="00267815" w:rsidRDefault="00160DB6" w:rsidP="00267815">
      <w:r>
        <w:rPr>
          <w:noProof/>
        </w:rPr>
        <w:fldChar w:fldCharType="end"/>
      </w:r>
    </w:p>
    <w:p w14:paraId="716B9A7E" w14:textId="77777777" w:rsidR="003E098E" w:rsidRDefault="003E098E" w:rsidP="00267815"/>
    <w:p w14:paraId="4812BFF8" w14:textId="1D099CA0" w:rsidR="003E098E" w:rsidRDefault="003E098E" w:rsidP="00267815">
      <w:pPr>
        <w:sectPr w:rsidR="003E098E" w:rsidSect="00084ABE">
          <w:headerReference w:type="even" r:id="rId20"/>
          <w:headerReference w:type="default" r:id="rId21"/>
          <w:footerReference w:type="even" r:id="rId22"/>
          <w:footerReference w:type="default" r:id="rId23"/>
          <w:pgSz w:w="11906" w:h="16838" w:code="9"/>
          <w:pgMar w:top="1440" w:right="1440" w:bottom="1440" w:left="1440" w:header="397" w:footer="397" w:gutter="0"/>
          <w:cols w:space="312"/>
          <w:docGrid w:linePitch="360"/>
        </w:sectPr>
      </w:pPr>
    </w:p>
    <w:p w14:paraId="6EA1CEBE" w14:textId="77777777" w:rsidR="00FC0A26" w:rsidRPr="00223090" w:rsidRDefault="00FC0A26" w:rsidP="00FC0A26">
      <w:pPr>
        <w:pStyle w:val="Heading1"/>
      </w:pPr>
      <w:bookmarkStart w:id="1" w:name="_Toc210742551"/>
      <w:bookmarkStart w:id="2" w:name="_Toc237421915"/>
      <w:bookmarkEnd w:id="0"/>
      <w:r w:rsidRPr="00223090">
        <w:lastRenderedPageBreak/>
        <w:t>Introduction</w:t>
      </w:r>
      <w:bookmarkEnd w:id="1"/>
      <w:bookmarkEnd w:id="2"/>
    </w:p>
    <w:p w14:paraId="50854230" w14:textId="1BADE2A0" w:rsidR="00FC0A26" w:rsidRDefault="00F52699" w:rsidP="002A6C64">
      <w:pPr>
        <w:pStyle w:val="F9-Paragraph"/>
        <w:numPr>
          <w:ilvl w:val="0"/>
          <w:numId w:val="6"/>
        </w:numPr>
        <w:ind w:left="851" w:hanging="851"/>
      </w:pPr>
      <w:bookmarkStart w:id="3" w:name="_Hlk64448648"/>
      <w:r>
        <w:t>Assigning</w:t>
      </w:r>
      <w:r w:rsidR="00FC0A26">
        <w:t xml:space="preserve"> </w:t>
      </w:r>
      <w:r w:rsidR="00531F3F">
        <w:t>r</w:t>
      </w:r>
      <w:r w:rsidR="00FC0A26">
        <w:t xml:space="preserve">egulatory </w:t>
      </w:r>
      <w:r w:rsidR="00531F3F">
        <w:t>at</w:t>
      </w:r>
      <w:r w:rsidR="00FC0A26">
        <w:t xml:space="preserve">tention </w:t>
      </w:r>
      <w:r w:rsidR="00531F3F">
        <w:t>l</w:t>
      </w:r>
      <w:r w:rsidR="00FC0A26">
        <w:t xml:space="preserve">evels (RAL) is an important aspect of how ONR targets its attention and supports transparency of our regulatory activities with those we regulate. </w:t>
      </w:r>
    </w:p>
    <w:p w14:paraId="23490C52" w14:textId="12A80539" w:rsidR="00FC0A26" w:rsidRDefault="00FC0A26" w:rsidP="002A6C64">
      <w:pPr>
        <w:pStyle w:val="F9-Paragraph"/>
        <w:numPr>
          <w:ilvl w:val="0"/>
          <w:numId w:val="6"/>
        </w:numPr>
        <w:ind w:left="851" w:hanging="851"/>
      </w:pPr>
      <w:r>
        <w:t xml:space="preserve">This </w:t>
      </w:r>
      <w:r w:rsidR="00833D14">
        <w:t>document</w:t>
      </w:r>
      <w:r>
        <w:t xml:space="preserve"> sets out a structured framework enabling inspectors to consistently determine our future regulatory attention for a dutyholder based upon their current performance and knowledge of the dutyholder activities in year. </w:t>
      </w:r>
    </w:p>
    <w:p w14:paraId="446A7A4F" w14:textId="1A888EFE" w:rsidR="00FC0A26" w:rsidRDefault="00FC0A26" w:rsidP="002A6C64">
      <w:pPr>
        <w:pStyle w:val="F9-Paragraph"/>
        <w:numPr>
          <w:ilvl w:val="0"/>
          <w:numId w:val="6"/>
        </w:numPr>
        <w:ind w:left="851" w:hanging="851"/>
      </w:pPr>
      <w:r>
        <w:t xml:space="preserve">The RAL outputs and associated governance support ONR’s demonstration of aligning to the Regulators Code </w:t>
      </w:r>
      <w:sdt>
        <w:sdtPr>
          <w:id w:val="-2146106337"/>
          <w:citation/>
        </w:sdtPr>
        <w:sdtEndPr/>
        <w:sdtContent>
          <w:r>
            <w:fldChar w:fldCharType="begin"/>
          </w:r>
          <w:r w:rsidR="00ED34B5">
            <w:instrText xml:space="preserve">CITATION Dep1 \l 2057 </w:instrText>
          </w:r>
          <w:r>
            <w:fldChar w:fldCharType="separate"/>
          </w:r>
          <w:r w:rsidR="00ED34B5" w:rsidRPr="00ED34B5">
            <w:rPr>
              <w:noProof/>
            </w:rPr>
            <w:t>[1]</w:t>
          </w:r>
          <w:r>
            <w:fldChar w:fldCharType="end"/>
          </w:r>
        </w:sdtContent>
      </w:sdt>
      <w:r>
        <w:t xml:space="preserve"> and with key ONR policies of Risk Informed and Targeted Engagements (RITE) </w:t>
      </w:r>
      <w:sdt>
        <w:sdtPr>
          <w:id w:val="-1557625698"/>
          <w:citation/>
        </w:sdtPr>
        <w:sdtEndPr/>
        <w:sdtContent>
          <w:r>
            <w:fldChar w:fldCharType="begin"/>
          </w:r>
          <w:r w:rsidR="00833D14">
            <w:instrText xml:space="preserve">CITATION ONR23 \l 2057 </w:instrText>
          </w:r>
          <w:r>
            <w:fldChar w:fldCharType="separate"/>
          </w:r>
          <w:r w:rsidR="00ED34B5" w:rsidRPr="00ED34B5">
            <w:rPr>
              <w:noProof/>
            </w:rPr>
            <w:t>[2]</w:t>
          </w:r>
          <w:r>
            <w:fldChar w:fldCharType="end"/>
          </w:r>
        </w:sdtContent>
      </w:sdt>
      <w:r w:rsidR="00BE08CE">
        <w:t xml:space="preserve"> </w:t>
      </w:r>
      <w:r>
        <w:t xml:space="preserve">and the Enforcement Policy Statement (EPS) </w:t>
      </w:r>
      <w:sdt>
        <w:sdtPr>
          <w:id w:val="1609775178"/>
          <w:citation/>
        </w:sdtPr>
        <w:sdtEndPr/>
        <w:sdtContent>
          <w:r>
            <w:fldChar w:fldCharType="begin"/>
          </w:r>
          <w:r w:rsidR="00833D14">
            <w:instrText xml:space="preserve">CITATION ONR25 \l 2057 </w:instrText>
          </w:r>
          <w:r>
            <w:fldChar w:fldCharType="separate"/>
          </w:r>
          <w:r w:rsidR="00ED34B5" w:rsidRPr="00ED34B5">
            <w:rPr>
              <w:noProof/>
            </w:rPr>
            <w:t>[3]</w:t>
          </w:r>
          <w:r>
            <w:fldChar w:fldCharType="end"/>
          </w:r>
        </w:sdtContent>
      </w:sdt>
      <w:r w:rsidR="00833D14">
        <w:t xml:space="preserve"> (refer to </w:t>
      </w:r>
      <w:r w:rsidR="00833D14">
        <w:fldChar w:fldCharType="begin"/>
      </w:r>
      <w:r w:rsidR="00833D14">
        <w:instrText xml:space="preserve"> REF _Ref237418512 \h </w:instrText>
      </w:r>
      <w:r w:rsidR="00833D14">
        <w:fldChar w:fldCharType="separate"/>
      </w:r>
      <w:r w:rsidR="00833D14">
        <w:t xml:space="preserve">Figure </w:t>
      </w:r>
      <w:r w:rsidR="00833D14">
        <w:rPr>
          <w:noProof/>
        </w:rPr>
        <w:t>1</w:t>
      </w:r>
      <w:r w:rsidR="00833D14">
        <w:fldChar w:fldCharType="end"/>
      </w:r>
      <w:r w:rsidR="00833D14">
        <w:t>)</w:t>
      </w:r>
      <w:r>
        <w:t>.</w:t>
      </w:r>
    </w:p>
    <w:p w14:paraId="43E2FE58" w14:textId="78A8BF86" w:rsidR="00FC0A26" w:rsidRPr="00AA78A4" w:rsidRDefault="00FC0A26" w:rsidP="002A6C64">
      <w:pPr>
        <w:pStyle w:val="F9-Paragraph"/>
        <w:numPr>
          <w:ilvl w:val="0"/>
          <w:numId w:val="6"/>
        </w:numPr>
        <w:ind w:left="851" w:hanging="851"/>
      </w:pPr>
      <w:r>
        <w:t xml:space="preserve">The output of the RAL is also an input to the annual </w:t>
      </w:r>
      <w:r w:rsidR="00833D14">
        <w:t>Chief Nuclear Inspectors (CNI)</w:t>
      </w:r>
      <w:r>
        <w:t xml:space="preserve"> report.</w:t>
      </w:r>
    </w:p>
    <w:p w14:paraId="7644410B" w14:textId="77777777" w:rsidR="00FC0A26" w:rsidRPr="002042C2" w:rsidRDefault="00FC0A26" w:rsidP="00FC0A26">
      <w:pPr>
        <w:pStyle w:val="Heading2"/>
      </w:pPr>
      <w:bookmarkStart w:id="4" w:name="_Toc210742552"/>
      <w:bookmarkEnd w:id="3"/>
      <w:r w:rsidRPr="002042C2">
        <w:t>Purpose</w:t>
      </w:r>
      <w:bookmarkEnd w:id="4"/>
    </w:p>
    <w:p w14:paraId="33804359" w14:textId="77777777" w:rsidR="00FC0A26" w:rsidRDefault="00FC0A26" w:rsidP="00FC0A26">
      <w:pPr>
        <w:pStyle w:val="F9-Paragraph"/>
      </w:pPr>
      <w:r>
        <w:t>The purpose of this framework is to:</w:t>
      </w:r>
    </w:p>
    <w:p w14:paraId="5AA48D04" w14:textId="1402C413" w:rsidR="00FC0A26" w:rsidRPr="00833D14" w:rsidRDefault="00FC0A26" w:rsidP="00833D14">
      <w:pPr>
        <w:pStyle w:val="Bulletlist1"/>
      </w:pPr>
      <w:r w:rsidRPr="00833D14">
        <w:t xml:space="preserve">Provide the process for recording a structured view of ONR’s overall assessment of dutyholder performance against a </w:t>
      </w:r>
      <w:r w:rsidR="00924255" w:rsidRPr="00833D14">
        <w:t>defined criterion</w:t>
      </w:r>
      <w:r w:rsidRPr="00833D14">
        <w:t>.</w:t>
      </w:r>
    </w:p>
    <w:p w14:paraId="75C2AA91" w14:textId="77777777" w:rsidR="00FC0A26" w:rsidRPr="00833D14" w:rsidRDefault="00FC0A26" w:rsidP="00833D14">
      <w:pPr>
        <w:pStyle w:val="Bulletlist1"/>
      </w:pPr>
      <w:r w:rsidRPr="00833D14">
        <w:t>Support targeted regulatory effort based on risk and intelligence.</w:t>
      </w:r>
    </w:p>
    <w:p w14:paraId="1F82AF5A" w14:textId="53EFC465" w:rsidR="00FC0A26" w:rsidRPr="00833D14" w:rsidRDefault="00FC0A26" w:rsidP="00833D14">
      <w:pPr>
        <w:pStyle w:val="Bulletlist1"/>
        <w:sectPr w:rsidR="00FC0A26" w:rsidRPr="00833D14" w:rsidSect="00FC0A26">
          <w:headerReference w:type="even" r:id="rId24"/>
          <w:headerReference w:type="default" r:id="rId25"/>
          <w:footerReference w:type="even" r:id="rId26"/>
          <w:pgSz w:w="11906" w:h="16838" w:code="9"/>
          <w:pgMar w:top="1440" w:right="1440" w:bottom="1440" w:left="1440" w:header="397" w:footer="397" w:gutter="0"/>
          <w:cols w:space="312"/>
          <w:docGrid w:linePitch="360"/>
        </w:sectPr>
      </w:pPr>
      <w:r w:rsidRPr="00833D14">
        <w:t>Provide enhanced visibility, auditability and transparency of our regulatory decisions.</w:t>
      </w:r>
    </w:p>
    <w:p w14:paraId="07F3DE1B" w14:textId="7B6486DA" w:rsidR="00FC0A26" w:rsidRDefault="00531F3F" w:rsidP="00FC0A26">
      <w:pPr>
        <w:spacing w:after="0" w:line="240" w:lineRule="auto"/>
      </w:pPr>
      <w:r>
        <w:rPr>
          <w:noProof/>
        </w:rPr>
        <w:lastRenderedPageBreak/>
        <mc:AlternateContent>
          <mc:Choice Requires="wps">
            <w:drawing>
              <wp:anchor distT="0" distB="0" distL="114300" distR="114300" simplePos="0" relativeHeight="251663360" behindDoc="0" locked="0" layoutInCell="1" allowOverlap="1" wp14:anchorId="4395CA71" wp14:editId="19FCE8DA">
                <wp:simplePos x="0" y="0"/>
                <wp:positionH relativeFrom="margin">
                  <wp:align>right</wp:align>
                </wp:positionH>
                <wp:positionV relativeFrom="paragraph">
                  <wp:posOffset>49530</wp:posOffset>
                </wp:positionV>
                <wp:extent cx="5713095" cy="1148417"/>
                <wp:effectExtent l="0" t="0" r="20955" b="13970"/>
                <wp:wrapNone/>
                <wp:docPr id="1124934899" name="Rectangle: Rounded Corners 1"/>
                <wp:cNvGraphicFramePr/>
                <a:graphic xmlns:a="http://schemas.openxmlformats.org/drawingml/2006/main">
                  <a:graphicData uri="http://schemas.microsoft.com/office/word/2010/wordprocessingShape">
                    <wps:wsp>
                      <wps:cNvSpPr/>
                      <wps:spPr>
                        <a:xfrm>
                          <a:off x="0" y="0"/>
                          <a:ext cx="5713095" cy="1148417"/>
                        </a:xfrm>
                        <a:prstGeom prst="roundRect">
                          <a:avLst/>
                        </a:prstGeom>
                        <a:solidFill>
                          <a:srgbClr val="07716C"/>
                        </a:solidFill>
                        <a:ln w="12700" cap="flat" cmpd="sng" algn="ctr">
                          <a:solidFill>
                            <a:srgbClr val="07716C">
                              <a:shade val="15000"/>
                            </a:srgbClr>
                          </a:solidFill>
                          <a:prstDash val="solid"/>
                          <a:miter lim="800000"/>
                        </a:ln>
                        <a:effectLst/>
                      </wps:spPr>
                      <wps:txbx>
                        <w:txbxContent>
                          <w:p w14:paraId="1D1F7FF9" w14:textId="77777777" w:rsidR="00FC0A26" w:rsidRPr="008B401D" w:rsidRDefault="00FC0A26" w:rsidP="00FC0A26">
                            <w:pPr>
                              <w:jc w:val="center"/>
                              <w:rPr>
                                <w:b/>
                                <w:bCs/>
                                <w:color w:val="FFFFFF" w:themeColor="background2"/>
                                <w:sz w:val="20"/>
                                <w:szCs w:val="20"/>
                              </w:rPr>
                            </w:pPr>
                            <w:r w:rsidRPr="008B401D">
                              <w:rPr>
                                <w:b/>
                                <w:bCs/>
                                <w:color w:val="FFFFFF" w:themeColor="background2"/>
                              </w:rPr>
                              <w:t xml:space="preserve">Regulators Code </w:t>
                            </w:r>
                          </w:p>
                          <w:p w14:paraId="5C7D3E9C" w14:textId="77777777" w:rsidR="00FC0A26" w:rsidRPr="00833D14" w:rsidRDefault="00FC0A26" w:rsidP="00FC0A26">
                            <w:pPr>
                              <w:jc w:val="center"/>
                              <w:rPr>
                                <w:b/>
                                <w:bCs/>
                                <w:color w:val="FFFFFF" w:themeColor="background2"/>
                                <w:sz w:val="20"/>
                                <w:szCs w:val="20"/>
                              </w:rPr>
                            </w:pPr>
                            <w:r w:rsidRPr="00833D14">
                              <w:rPr>
                                <w:color w:val="FFFFFF" w:themeColor="background2"/>
                                <w:sz w:val="22"/>
                              </w:rPr>
                              <w:t>Statutory duties to enable those that we regulate, both to comply with the law and to be able to grow. We base our regulatory activities on risk. Ensure that our approach to our regulatory activities is transparent.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95CA71" id="Rectangle: Rounded Corners 1" o:spid="_x0000_s1026" style="position:absolute;margin-left:398.65pt;margin-top:3.9pt;width:449.85pt;height:90.4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" fillcolor="#07716c" strokecolor="#012c29" strokeweight="1pt">
                <v:stroke joinstyle="miter"/>
                <v:textbox>
                  <w:txbxContent>
                    <w:p w14:paraId="1D1F7FF9" w14:textId="77777777" w:rsidR="00FC0A26" w:rsidRPr="008B401D" w:rsidRDefault="00FC0A26" w:rsidP="00FC0A26">
                      <w:pPr>
                        <w:jc w:val="center"/>
                        <w:rPr>
                          <w:b/>
                          <w:bCs/>
                          <w:color w:val="FFFFFF" w:themeColor="background2"/>
                          <w:sz w:val="20"/>
                          <w:szCs w:val="20"/>
                        </w:rPr>
                      </w:pPr>
                      <w:r w:rsidRPr="008B401D">
                        <w:rPr>
                          <w:b/>
                          <w:bCs/>
                          <w:color w:val="FFFFFF" w:themeColor="background2"/>
                        </w:rPr>
                        <w:t xml:space="preserve">Regulators Code </w:t>
                      </w:r>
                    </w:p>
                    <w:p w14:paraId="5C7D3E9C" w14:textId="77777777" w:rsidR="00FC0A26" w:rsidRPr="00833D14" w:rsidRDefault="00FC0A26" w:rsidP="00FC0A26">
                      <w:pPr>
                        <w:jc w:val="center"/>
                        <w:rPr>
                          <w:b/>
                          <w:bCs/>
                          <w:color w:val="FFFFFF" w:themeColor="background2"/>
                          <w:sz w:val="20"/>
                          <w:szCs w:val="20"/>
                        </w:rPr>
                      </w:pPr>
                      <w:r w:rsidRPr="00833D14">
                        <w:rPr>
                          <w:color w:val="FFFFFF" w:themeColor="background2"/>
                          <w:sz w:val="22"/>
                        </w:rPr>
                        <w:t>Statutory duties to enable those that we regulate, both to comply with the law and to be able to grow. We base our regulatory activities on risk. Ensure that our approach to our regulatory activities is transparent.</w:t>
                      </w:r>
                    </w:p>
                  </w:txbxContent>
                </v:textbox>
                <w10:wrap anchorx="margin"/>
              </v:roundrect>
            </w:pict>
          </mc:Fallback>
        </mc:AlternateContent>
      </w:r>
    </w:p>
    <w:p w14:paraId="319C5EC4" w14:textId="57FFE122" w:rsidR="00FC0A26" w:rsidRDefault="00FC0A26" w:rsidP="00FC0A26">
      <w:pPr>
        <w:spacing w:after="0" w:line="240" w:lineRule="auto"/>
      </w:pPr>
    </w:p>
    <w:p w14:paraId="56EC5E71" w14:textId="41322FA1" w:rsidR="00FC0A26" w:rsidRDefault="00FC0A26" w:rsidP="00FC0A26">
      <w:pPr>
        <w:spacing w:after="0" w:line="240" w:lineRule="auto"/>
      </w:pPr>
    </w:p>
    <w:p w14:paraId="44EFFBB4" w14:textId="7EF24D58" w:rsidR="00FC0A26" w:rsidRDefault="00FC0A26" w:rsidP="00FC0A26">
      <w:pPr>
        <w:spacing w:after="0" w:line="240" w:lineRule="auto"/>
      </w:pPr>
    </w:p>
    <w:p w14:paraId="4597FC63" w14:textId="529BC80E" w:rsidR="00FC0A26" w:rsidRDefault="00FC0A26" w:rsidP="00FC0A26">
      <w:pPr>
        <w:spacing w:after="0" w:line="240" w:lineRule="auto"/>
      </w:pPr>
    </w:p>
    <w:p w14:paraId="72BA2D31" w14:textId="383092D1" w:rsidR="00FC0A26" w:rsidRDefault="00FC0A26" w:rsidP="00FC0A26">
      <w:pPr>
        <w:spacing w:after="0" w:line="240" w:lineRule="auto"/>
      </w:pPr>
    </w:p>
    <w:p w14:paraId="6B6498B9" w14:textId="0B840F14" w:rsidR="00FC0A26" w:rsidRDefault="00FC0A26" w:rsidP="00FC0A26">
      <w:pPr>
        <w:spacing w:after="0" w:line="240" w:lineRule="auto"/>
      </w:pPr>
    </w:p>
    <w:p w14:paraId="0D43EF04" w14:textId="61076EE1" w:rsidR="00FC0A26" w:rsidRDefault="00E97D00" w:rsidP="00FC0A26">
      <w:pPr>
        <w:spacing w:after="0" w:line="240" w:lineRule="auto"/>
      </w:pPr>
      <w:r>
        <w:rPr>
          <w:noProof/>
        </w:rPr>
        <mc:AlternateContent>
          <mc:Choice Requires="wps">
            <w:drawing>
              <wp:anchor distT="0" distB="0" distL="114300" distR="114300" simplePos="0" relativeHeight="251665408" behindDoc="0" locked="0" layoutInCell="1" allowOverlap="1" wp14:anchorId="3E4E746A" wp14:editId="55504E1B">
                <wp:simplePos x="0" y="0"/>
                <wp:positionH relativeFrom="margin">
                  <wp:align>right</wp:align>
                </wp:positionH>
                <wp:positionV relativeFrom="paragraph">
                  <wp:posOffset>78104</wp:posOffset>
                </wp:positionV>
                <wp:extent cx="2817495" cy="4410000"/>
                <wp:effectExtent l="0" t="0" r="20955" b="10160"/>
                <wp:wrapNone/>
                <wp:docPr id="527514647" name="Rectangle: Rounded Corners 2"/>
                <wp:cNvGraphicFramePr/>
                <a:graphic xmlns:a="http://schemas.openxmlformats.org/drawingml/2006/main">
                  <a:graphicData uri="http://schemas.microsoft.com/office/word/2010/wordprocessingShape">
                    <wps:wsp>
                      <wps:cNvSpPr/>
                      <wps:spPr>
                        <a:xfrm>
                          <a:off x="0" y="0"/>
                          <a:ext cx="2817495" cy="4410000"/>
                        </a:xfrm>
                        <a:prstGeom prst="roundRect">
                          <a:avLst/>
                        </a:prstGeom>
                        <a:solidFill>
                          <a:srgbClr val="07716C"/>
                        </a:solidFill>
                        <a:ln w="12700" cap="flat" cmpd="sng" algn="ctr">
                          <a:solidFill>
                            <a:srgbClr val="07716C">
                              <a:shade val="15000"/>
                            </a:srgbClr>
                          </a:solidFill>
                          <a:prstDash val="solid"/>
                          <a:miter lim="800000"/>
                        </a:ln>
                        <a:effectLst/>
                      </wps:spPr>
                      <wps:txbx>
                        <w:txbxContent>
                          <w:p w14:paraId="301246FA" w14:textId="77777777" w:rsidR="00FC0A26" w:rsidRPr="008B401D" w:rsidRDefault="00FC0A26" w:rsidP="00E97D00">
                            <w:pPr>
                              <w:jc w:val="center"/>
                              <w:rPr>
                                <w:b/>
                                <w:bCs/>
                                <w:color w:val="FFFFFF" w:themeColor="background2"/>
                              </w:rPr>
                            </w:pPr>
                            <w:r w:rsidRPr="008B401D">
                              <w:rPr>
                                <w:b/>
                                <w:bCs/>
                                <w:color w:val="FFFFFF" w:themeColor="background2"/>
                              </w:rPr>
                              <w:t>Enforcement Policy Statement</w:t>
                            </w:r>
                          </w:p>
                          <w:p w14:paraId="4839B658" w14:textId="5EC5CDC8" w:rsidR="00FC0A26" w:rsidRPr="00833D14" w:rsidRDefault="00FC0A26" w:rsidP="00E97D00">
                            <w:pPr>
                              <w:jc w:val="center"/>
                              <w:rPr>
                                <w:color w:val="FFFFFF" w:themeColor="background2"/>
                                <w:sz w:val="22"/>
                              </w:rPr>
                            </w:pPr>
                            <w:r w:rsidRPr="00833D14">
                              <w:rPr>
                                <w:color w:val="FFFFFF" w:themeColor="background2"/>
                                <w:sz w:val="22"/>
                              </w:rPr>
                              <w:t>In allocating resources ONR should have regard to the enforcement principles, the objectives published in its Corporate Plan, and the need to maintain an appropriate balance between enforcement and other activities, including inspection.</w:t>
                            </w:r>
                          </w:p>
                          <w:p w14:paraId="6915196B" w14:textId="77777777" w:rsidR="00FC0A26" w:rsidRPr="00833D14" w:rsidRDefault="00FC0A26" w:rsidP="00E97D00">
                            <w:pPr>
                              <w:jc w:val="center"/>
                              <w:rPr>
                                <w:color w:val="FFFFFF" w:themeColor="background2"/>
                                <w:sz w:val="22"/>
                              </w:rPr>
                            </w:pPr>
                            <w:r w:rsidRPr="00833D14">
                              <w:rPr>
                                <w:color w:val="FFFFFF" w:themeColor="background2"/>
                                <w:sz w:val="22"/>
                              </w:rPr>
                              <w:t>Our enforcement principles: proportionality in applying the law and securing compliance; consistency of approach; targeting of enforcement action; transparency about how the regulator operates and what those regulated may expect; and accountability for the regulator’s actions.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4E746A" id="Rectangle: Rounded Corners 2" o:spid="_x0000_s1027" style="position:absolute;margin-left:170.65pt;margin-top:6.15pt;width:221.85pt;height:347.2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" fillcolor="#07716c" strokecolor="#012c29" strokeweight="1pt">
                <v:stroke joinstyle="miter"/>
                <v:textbox>
                  <w:txbxContent>
                    <w:p w14:paraId="301246FA" w14:textId="77777777" w:rsidR="00FC0A26" w:rsidRPr="008B401D" w:rsidRDefault="00FC0A26" w:rsidP="00E97D00">
                      <w:pPr>
                        <w:jc w:val="center"/>
                        <w:rPr>
                          <w:b/>
                          <w:bCs/>
                          <w:color w:val="FFFFFF" w:themeColor="background2"/>
                        </w:rPr>
                      </w:pPr>
                      <w:r w:rsidRPr="008B401D">
                        <w:rPr>
                          <w:b/>
                          <w:bCs/>
                          <w:color w:val="FFFFFF" w:themeColor="background2"/>
                        </w:rPr>
                        <w:t>Enforcement Policy Statement</w:t>
                      </w:r>
                    </w:p>
                    <w:p w14:paraId="4839B658" w14:textId="5EC5CDC8" w:rsidR="00FC0A26" w:rsidRPr="00833D14" w:rsidRDefault="00FC0A26" w:rsidP="00E97D00">
                      <w:pPr>
                        <w:jc w:val="center"/>
                        <w:rPr>
                          <w:color w:val="FFFFFF" w:themeColor="background2"/>
                          <w:sz w:val="22"/>
                        </w:rPr>
                      </w:pPr>
                      <w:r w:rsidRPr="00833D14">
                        <w:rPr>
                          <w:color w:val="FFFFFF" w:themeColor="background2"/>
                          <w:sz w:val="22"/>
                        </w:rPr>
                        <w:t>In allocating resources ONR should have regard to the enforcement principles, the objectives published in its Corporate Plan, and the need to maintain an appropriate balance between enforcement and other activities, including inspection.</w:t>
                      </w:r>
                    </w:p>
                    <w:p w14:paraId="6915196B" w14:textId="77777777" w:rsidR="00FC0A26" w:rsidRPr="00833D14" w:rsidRDefault="00FC0A26" w:rsidP="00E97D00">
                      <w:pPr>
                        <w:jc w:val="center"/>
                        <w:rPr>
                          <w:color w:val="FFFFFF" w:themeColor="background2"/>
                          <w:sz w:val="22"/>
                        </w:rPr>
                      </w:pPr>
                      <w:r w:rsidRPr="00833D14">
                        <w:rPr>
                          <w:color w:val="FFFFFF" w:themeColor="background2"/>
                          <w:sz w:val="22"/>
                        </w:rPr>
                        <w:t>Our enforcement principles: proportionality in applying the law and securing compliance; consistency of approach; targeting of enforcement action; transparency about how the regulator operates and what those regulated may expect; and accountability for the regulator’s actions.</w:t>
                      </w:r>
                    </w:p>
                  </w:txbxContent>
                </v:textbox>
                <w10:wrap anchorx="margin"/>
              </v:roundrect>
            </w:pict>
          </mc:Fallback>
        </mc:AlternateContent>
      </w:r>
      <w:r>
        <w:rPr>
          <w:noProof/>
        </w:rPr>
        <mc:AlternateContent>
          <mc:Choice Requires="wps">
            <w:drawing>
              <wp:anchor distT="0" distB="0" distL="114300" distR="114300" simplePos="0" relativeHeight="251664384" behindDoc="0" locked="0" layoutInCell="1" allowOverlap="1" wp14:anchorId="1970A1DF" wp14:editId="22C1D35E">
                <wp:simplePos x="0" y="0"/>
                <wp:positionH relativeFrom="margin">
                  <wp:align>left</wp:align>
                </wp:positionH>
                <wp:positionV relativeFrom="paragraph">
                  <wp:posOffset>76200</wp:posOffset>
                </wp:positionV>
                <wp:extent cx="2814320" cy="4410075"/>
                <wp:effectExtent l="0" t="0" r="24130" b="28575"/>
                <wp:wrapNone/>
                <wp:docPr id="1302654301" name="Rectangle: Rounded Corners 2"/>
                <wp:cNvGraphicFramePr/>
                <a:graphic xmlns:a="http://schemas.openxmlformats.org/drawingml/2006/main">
                  <a:graphicData uri="http://schemas.microsoft.com/office/word/2010/wordprocessingShape">
                    <wps:wsp>
                      <wps:cNvSpPr/>
                      <wps:spPr>
                        <a:xfrm>
                          <a:off x="0" y="0"/>
                          <a:ext cx="2814320" cy="4410075"/>
                        </a:xfrm>
                        <a:prstGeom prst="roundRect">
                          <a:avLst/>
                        </a:prstGeom>
                        <a:solidFill>
                          <a:srgbClr val="07716C"/>
                        </a:solidFill>
                        <a:ln w="12700" cap="flat" cmpd="sng" algn="ctr">
                          <a:solidFill>
                            <a:srgbClr val="07716C">
                              <a:shade val="15000"/>
                            </a:srgbClr>
                          </a:solidFill>
                          <a:prstDash val="solid"/>
                          <a:miter lim="800000"/>
                        </a:ln>
                        <a:effectLst/>
                      </wps:spPr>
                      <wps:txbx>
                        <w:txbxContent>
                          <w:p w14:paraId="7F763664" w14:textId="77777777" w:rsidR="00FC0A26" w:rsidRPr="008B401D" w:rsidRDefault="00FC0A26" w:rsidP="00FC0A26">
                            <w:pPr>
                              <w:jc w:val="center"/>
                              <w:rPr>
                                <w:b/>
                                <w:bCs/>
                                <w:color w:val="FFFFFF" w:themeColor="background2"/>
                                <w:sz w:val="22"/>
                              </w:rPr>
                            </w:pPr>
                            <w:r w:rsidRPr="008B401D">
                              <w:rPr>
                                <w:b/>
                                <w:bCs/>
                                <w:color w:val="FFFFFF" w:themeColor="background2"/>
                              </w:rPr>
                              <w:t xml:space="preserve">Risk Informed and Targeted Engagements Policy </w:t>
                            </w:r>
                          </w:p>
                          <w:p w14:paraId="751193B6" w14:textId="77777777" w:rsidR="00FC0A26" w:rsidRDefault="00FC0A26" w:rsidP="00FC0A26">
                            <w:pPr>
                              <w:jc w:val="center"/>
                              <w:rPr>
                                <w:i/>
                                <w:iCs/>
                                <w:sz w:val="22"/>
                              </w:rPr>
                            </w:pPr>
                            <w:r w:rsidRPr="00833D14">
                              <w:rPr>
                                <w:color w:val="FFFFFF" w:themeColor="background2"/>
                                <w:sz w:val="22"/>
                              </w:rPr>
                              <w:t>We focus on those activities giving rise to the most serious risks, or where the related hazards or vulnerabilities are</w:t>
                            </w:r>
                            <w:r w:rsidRPr="00833D14">
                              <w:rPr>
                                <w:color w:val="FFFFFF" w:themeColor="background2"/>
                              </w:rPr>
                              <w:t xml:space="preserve"> </w:t>
                            </w:r>
                            <w:r w:rsidRPr="00833D14">
                              <w:rPr>
                                <w:color w:val="FFFFFF" w:themeColor="background2"/>
                                <w:sz w:val="22"/>
                              </w:rPr>
                              <w:t>least well controlled, or where we decide that ongoing compliance with relevant legislation needs to be</w:t>
                            </w:r>
                            <w:r w:rsidRPr="00833D14">
                              <w:rPr>
                                <w:color w:val="FFFFFF" w:themeColor="background2"/>
                              </w:rPr>
                              <w:t xml:space="preserve"> </w:t>
                            </w:r>
                            <w:r w:rsidRPr="00833D14">
                              <w:rPr>
                                <w:color w:val="FFFFFF" w:themeColor="background2"/>
                                <w:sz w:val="22"/>
                              </w:rPr>
                              <w:t>established.</w:t>
                            </w:r>
                            <w:r w:rsidRPr="008B401D">
                              <w:rPr>
                                <w:noProof/>
                                <w:color w:val="FFFFFF" w:themeColor="background2"/>
                              </w:rPr>
                              <w:t xml:space="preserve"> </w:t>
                            </w:r>
                            <w:r>
                              <w:rPr>
                                <w:noProof/>
                              </w:rPr>
                              <w:drawing>
                                <wp:inline distT="0" distB="0" distL="0" distR="0" wp14:anchorId="592CEFE1" wp14:editId="5DCAD1B9">
                                  <wp:extent cx="2085975" cy="2369606"/>
                                  <wp:effectExtent l="0" t="0" r="0" b="0"/>
                                  <wp:docPr id="1172009323" name="Picture 1"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646297" name="Picture 1" descr="A diagram of a diagram&#10;&#10;AI-generated content may be incorrect."/>
                                          <pic:cNvPicPr/>
                                        </pic:nvPicPr>
                                        <pic:blipFill>
                                          <a:blip r:embed="rId27"/>
                                          <a:stretch>
                                            <a:fillRect/>
                                          </a:stretch>
                                        </pic:blipFill>
                                        <pic:spPr>
                                          <a:xfrm>
                                            <a:off x="0" y="0"/>
                                            <a:ext cx="2091732" cy="2376146"/>
                                          </a:xfrm>
                                          <a:prstGeom prst="rect">
                                            <a:avLst/>
                                          </a:prstGeom>
                                        </pic:spPr>
                                      </pic:pic>
                                    </a:graphicData>
                                  </a:graphic>
                                </wp:inline>
                              </w:drawing>
                            </w:r>
                          </w:p>
                          <w:p w14:paraId="3E5C90D9" w14:textId="77777777" w:rsidR="00FC0A26" w:rsidRDefault="00FC0A26" w:rsidP="00FC0A26">
                            <w:pPr>
                              <w:jc w:val="center"/>
                              <w:rPr>
                                <w:i/>
                                <w:iCs/>
                                <w:sz w:val="22"/>
                              </w:rPr>
                            </w:pPr>
                          </w:p>
                          <w:p w14:paraId="002DA5AF" w14:textId="77777777" w:rsidR="00FC0A26" w:rsidRDefault="00FC0A26" w:rsidP="00FC0A26">
                            <w:pPr>
                              <w:jc w:val="center"/>
                              <w:rPr>
                                <w:i/>
                                <w:iCs/>
                                <w:sz w:val="22"/>
                              </w:rPr>
                            </w:pPr>
                          </w:p>
                          <w:p w14:paraId="7239DDAC" w14:textId="77777777" w:rsidR="00FC0A26" w:rsidRDefault="00FC0A26" w:rsidP="00FC0A26">
                            <w:pPr>
                              <w:jc w:val="center"/>
                              <w:rPr>
                                <w:i/>
                                <w:iCs/>
                                <w:sz w:val="22"/>
                              </w:rPr>
                            </w:pPr>
                          </w:p>
                          <w:p w14:paraId="30FA0B0B" w14:textId="77777777" w:rsidR="00FC0A26" w:rsidRPr="00657345" w:rsidRDefault="00FC0A26" w:rsidP="00FC0A26">
                            <w:pPr>
                              <w:jc w:val="center"/>
                              <w:rPr>
                                <w:i/>
                                <w:i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70A1DF" id="_x0000_s1028" style="position:absolute;margin-left:0;margin-top:6pt;width:221.6pt;height:347.2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" fillcolor="#07716c" strokecolor="#012c29" strokeweight="1pt">
                <v:stroke joinstyle="miter"/>
                <v:textbox>
                  <w:txbxContent>
                    <w:p w14:paraId="7F763664" w14:textId="77777777" w:rsidR="00FC0A26" w:rsidRPr="008B401D" w:rsidRDefault="00FC0A26" w:rsidP="00FC0A26">
                      <w:pPr>
                        <w:jc w:val="center"/>
                        <w:rPr>
                          <w:b/>
                          <w:bCs/>
                          <w:color w:val="FFFFFF" w:themeColor="background2"/>
                          <w:sz w:val="22"/>
                        </w:rPr>
                      </w:pPr>
                      <w:r w:rsidRPr="008B401D">
                        <w:rPr>
                          <w:b/>
                          <w:bCs/>
                          <w:color w:val="FFFFFF" w:themeColor="background2"/>
                        </w:rPr>
                        <w:t xml:space="preserve">Risk Informed and Targeted Engagements Policy </w:t>
                      </w:r>
                    </w:p>
                    <w:p w14:paraId="751193B6" w14:textId="77777777" w:rsidR="00FC0A26" w:rsidRDefault="00FC0A26" w:rsidP="00FC0A26">
                      <w:pPr>
                        <w:jc w:val="center"/>
                        <w:rPr>
                          <w:i/>
                          <w:iCs/>
                          <w:sz w:val="22"/>
                        </w:rPr>
                      </w:pPr>
                      <w:r w:rsidRPr="00833D14">
                        <w:rPr>
                          <w:color w:val="FFFFFF" w:themeColor="background2"/>
                          <w:sz w:val="22"/>
                        </w:rPr>
                        <w:t>We focus on those activities giving rise to the most serious risks, or where the related hazards or vulnerabilities are</w:t>
                      </w:r>
                      <w:r w:rsidRPr="00833D14">
                        <w:rPr>
                          <w:color w:val="FFFFFF" w:themeColor="background2"/>
                        </w:rPr>
                        <w:t xml:space="preserve"> </w:t>
                      </w:r>
                      <w:r w:rsidRPr="00833D14">
                        <w:rPr>
                          <w:color w:val="FFFFFF" w:themeColor="background2"/>
                          <w:sz w:val="22"/>
                        </w:rPr>
                        <w:t>least well controlled, or where we decide that ongoing compliance with relevant legislation needs to be</w:t>
                      </w:r>
                      <w:r w:rsidRPr="00833D14">
                        <w:rPr>
                          <w:color w:val="FFFFFF" w:themeColor="background2"/>
                        </w:rPr>
                        <w:t xml:space="preserve"> </w:t>
                      </w:r>
                      <w:r w:rsidRPr="00833D14">
                        <w:rPr>
                          <w:color w:val="FFFFFF" w:themeColor="background2"/>
                          <w:sz w:val="22"/>
                        </w:rPr>
                        <w:t>established.</w:t>
                      </w:r>
                      <w:r w:rsidRPr="008B401D">
                        <w:rPr>
                          <w:noProof/>
                          <w:color w:val="FFFFFF" w:themeColor="background2"/>
                        </w:rPr>
                        <w:t xml:space="preserve"> </w:t>
                      </w:r>
                      <w:r>
                        <w:rPr>
                          <w:noProof/>
                        </w:rPr>
                        <w:drawing>
                          <wp:inline distT="0" distB="0" distL="0" distR="0" wp14:anchorId="592CEFE1" wp14:editId="5DCAD1B9">
                            <wp:extent cx="2085975" cy="2369606"/>
                            <wp:effectExtent l="0" t="0" r="0" b="0"/>
                            <wp:docPr id="1172009323" name="Picture 1"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646297" name="Picture 1" descr="A diagram of a diagram&#10;&#10;AI-generated content may be incorrect."/>
                                    <pic:cNvPicPr/>
                                  </pic:nvPicPr>
                                  <pic:blipFill>
                                    <a:blip r:embed="rId27"/>
                                    <a:stretch>
                                      <a:fillRect/>
                                    </a:stretch>
                                  </pic:blipFill>
                                  <pic:spPr>
                                    <a:xfrm>
                                      <a:off x="0" y="0"/>
                                      <a:ext cx="2091732" cy="2376146"/>
                                    </a:xfrm>
                                    <a:prstGeom prst="rect">
                                      <a:avLst/>
                                    </a:prstGeom>
                                  </pic:spPr>
                                </pic:pic>
                              </a:graphicData>
                            </a:graphic>
                          </wp:inline>
                        </w:drawing>
                      </w:r>
                    </w:p>
                    <w:p w14:paraId="3E5C90D9" w14:textId="77777777" w:rsidR="00FC0A26" w:rsidRDefault="00FC0A26" w:rsidP="00FC0A26">
                      <w:pPr>
                        <w:jc w:val="center"/>
                        <w:rPr>
                          <w:i/>
                          <w:iCs/>
                          <w:sz w:val="22"/>
                        </w:rPr>
                      </w:pPr>
                    </w:p>
                    <w:p w14:paraId="002DA5AF" w14:textId="77777777" w:rsidR="00FC0A26" w:rsidRDefault="00FC0A26" w:rsidP="00FC0A26">
                      <w:pPr>
                        <w:jc w:val="center"/>
                        <w:rPr>
                          <w:i/>
                          <w:iCs/>
                          <w:sz w:val="22"/>
                        </w:rPr>
                      </w:pPr>
                    </w:p>
                    <w:p w14:paraId="7239DDAC" w14:textId="77777777" w:rsidR="00FC0A26" w:rsidRDefault="00FC0A26" w:rsidP="00FC0A26">
                      <w:pPr>
                        <w:jc w:val="center"/>
                        <w:rPr>
                          <w:i/>
                          <w:iCs/>
                          <w:sz w:val="22"/>
                        </w:rPr>
                      </w:pPr>
                    </w:p>
                    <w:p w14:paraId="30FA0B0B" w14:textId="77777777" w:rsidR="00FC0A26" w:rsidRPr="00657345" w:rsidRDefault="00FC0A26" w:rsidP="00FC0A26">
                      <w:pPr>
                        <w:jc w:val="center"/>
                        <w:rPr>
                          <w:i/>
                          <w:iCs/>
                        </w:rPr>
                      </w:pPr>
                    </w:p>
                  </w:txbxContent>
                </v:textbox>
                <w10:wrap anchorx="margin"/>
              </v:roundrect>
            </w:pict>
          </mc:Fallback>
        </mc:AlternateContent>
      </w:r>
    </w:p>
    <w:p w14:paraId="02351F09" w14:textId="31E96534" w:rsidR="00FC0A26" w:rsidRDefault="00FC0A26" w:rsidP="00FC0A26">
      <w:pPr>
        <w:spacing w:after="0" w:line="240" w:lineRule="auto"/>
      </w:pPr>
    </w:p>
    <w:p w14:paraId="4AF440AF" w14:textId="128A6F44" w:rsidR="00FC0A26" w:rsidRDefault="00FC0A26" w:rsidP="00FC0A26">
      <w:pPr>
        <w:spacing w:after="0" w:line="240" w:lineRule="auto"/>
      </w:pPr>
    </w:p>
    <w:p w14:paraId="17625E0F" w14:textId="77777777" w:rsidR="00FC0A26" w:rsidRDefault="00FC0A26" w:rsidP="00FC0A26">
      <w:pPr>
        <w:spacing w:after="0" w:line="240" w:lineRule="auto"/>
      </w:pPr>
    </w:p>
    <w:p w14:paraId="33BF1FD2" w14:textId="77777777" w:rsidR="00FC0A26" w:rsidRDefault="00FC0A26" w:rsidP="00FC0A26">
      <w:pPr>
        <w:spacing w:after="0" w:line="240" w:lineRule="auto"/>
      </w:pPr>
    </w:p>
    <w:p w14:paraId="463481DF" w14:textId="77777777" w:rsidR="00FC0A26" w:rsidRDefault="00FC0A26" w:rsidP="00FC0A26">
      <w:pPr>
        <w:spacing w:after="0" w:line="240" w:lineRule="auto"/>
      </w:pPr>
    </w:p>
    <w:p w14:paraId="676725E5" w14:textId="77777777" w:rsidR="00FC0A26" w:rsidRDefault="00FC0A26" w:rsidP="00FC0A26">
      <w:pPr>
        <w:spacing w:after="0" w:line="240" w:lineRule="auto"/>
      </w:pPr>
    </w:p>
    <w:p w14:paraId="7B25B2E1" w14:textId="77777777" w:rsidR="00FC0A26" w:rsidRDefault="00FC0A26" w:rsidP="00FC0A26">
      <w:pPr>
        <w:spacing w:after="0" w:line="240" w:lineRule="auto"/>
      </w:pPr>
    </w:p>
    <w:p w14:paraId="704C6922" w14:textId="77777777" w:rsidR="00FC0A26" w:rsidRDefault="00FC0A26" w:rsidP="00FC0A26">
      <w:pPr>
        <w:spacing w:after="0" w:line="240" w:lineRule="auto"/>
      </w:pPr>
    </w:p>
    <w:p w14:paraId="3E6A1FE2" w14:textId="77777777" w:rsidR="00FC0A26" w:rsidRDefault="00FC0A26" w:rsidP="00FC0A26">
      <w:pPr>
        <w:spacing w:after="0" w:line="240" w:lineRule="auto"/>
      </w:pPr>
    </w:p>
    <w:p w14:paraId="0855F58D" w14:textId="77777777" w:rsidR="00FC0A26" w:rsidRDefault="00FC0A26" w:rsidP="00FC0A26">
      <w:pPr>
        <w:spacing w:after="0" w:line="240" w:lineRule="auto"/>
      </w:pPr>
    </w:p>
    <w:p w14:paraId="64B9CA88" w14:textId="77777777" w:rsidR="00FC0A26" w:rsidRDefault="00FC0A26" w:rsidP="00FC0A26">
      <w:pPr>
        <w:spacing w:after="0" w:line="240" w:lineRule="auto"/>
      </w:pPr>
    </w:p>
    <w:p w14:paraId="469BB8F8" w14:textId="77777777" w:rsidR="00FC0A26" w:rsidRDefault="00FC0A26" w:rsidP="00FC0A26">
      <w:pPr>
        <w:spacing w:after="0" w:line="240" w:lineRule="auto"/>
      </w:pPr>
    </w:p>
    <w:p w14:paraId="5F13DBB5" w14:textId="77777777" w:rsidR="00FC0A26" w:rsidRDefault="00FC0A26" w:rsidP="00FC0A26">
      <w:pPr>
        <w:spacing w:after="0" w:line="240" w:lineRule="auto"/>
      </w:pPr>
    </w:p>
    <w:p w14:paraId="17E091E3" w14:textId="77777777" w:rsidR="00FC0A26" w:rsidRDefault="00FC0A26" w:rsidP="00FC0A26">
      <w:pPr>
        <w:spacing w:after="0" w:line="240" w:lineRule="auto"/>
      </w:pPr>
    </w:p>
    <w:p w14:paraId="1D4970DB" w14:textId="77777777" w:rsidR="00FC0A26" w:rsidRDefault="00FC0A26" w:rsidP="00FC0A26">
      <w:pPr>
        <w:spacing w:after="0" w:line="240" w:lineRule="auto"/>
      </w:pPr>
    </w:p>
    <w:p w14:paraId="257B4EA9" w14:textId="77777777" w:rsidR="00FC0A26" w:rsidRDefault="00FC0A26" w:rsidP="00FC0A26">
      <w:pPr>
        <w:spacing w:after="0" w:line="240" w:lineRule="auto"/>
      </w:pPr>
    </w:p>
    <w:p w14:paraId="06857FB7" w14:textId="5CF44195" w:rsidR="00FC0A26" w:rsidRDefault="00FC0A26" w:rsidP="00FC0A26">
      <w:pPr>
        <w:spacing w:after="0" w:line="240" w:lineRule="auto"/>
      </w:pPr>
    </w:p>
    <w:p w14:paraId="4A814C8C" w14:textId="3AD84B6A" w:rsidR="00FC0A26" w:rsidRDefault="00FC0A26" w:rsidP="00FC0A26">
      <w:pPr>
        <w:spacing w:after="0" w:line="240" w:lineRule="auto"/>
      </w:pPr>
    </w:p>
    <w:p w14:paraId="24C0F23E" w14:textId="29CC3360" w:rsidR="00FC0A26" w:rsidRDefault="00E97D00" w:rsidP="00833D14">
      <w:pPr>
        <w:spacing w:after="0" w:line="240" w:lineRule="auto"/>
        <w:sectPr w:rsidR="00FC0A26" w:rsidSect="005A7C66">
          <w:pgSz w:w="11906" w:h="16838" w:code="9"/>
          <w:pgMar w:top="1440" w:right="1440" w:bottom="1440" w:left="1440" w:header="397" w:footer="397" w:gutter="0"/>
          <w:cols w:space="312"/>
          <w:docGrid w:linePitch="360"/>
        </w:sectPr>
      </w:pPr>
      <w:r>
        <w:rPr>
          <w:noProof/>
        </w:rPr>
        <mc:AlternateContent>
          <mc:Choice Requires="wps">
            <w:drawing>
              <wp:anchor distT="0" distB="0" distL="114300" distR="114300" simplePos="0" relativeHeight="251669504" behindDoc="0" locked="0" layoutInCell="1" allowOverlap="1" wp14:anchorId="786F7873" wp14:editId="7DF8D4C8">
                <wp:simplePos x="0" y="0"/>
                <wp:positionH relativeFrom="margin">
                  <wp:posOffset>-1270</wp:posOffset>
                </wp:positionH>
                <wp:positionV relativeFrom="paragraph">
                  <wp:posOffset>2408555</wp:posOffset>
                </wp:positionV>
                <wp:extent cx="5724525" cy="635"/>
                <wp:effectExtent l="0" t="0" r="9525" b="8890"/>
                <wp:wrapNone/>
                <wp:docPr id="420431062" name="Text Box 1"/>
                <wp:cNvGraphicFramePr/>
                <a:graphic xmlns:a="http://schemas.openxmlformats.org/drawingml/2006/main">
                  <a:graphicData uri="http://schemas.microsoft.com/office/word/2010/wordprocessingShape">
                    <wps:wsp>
                      <wps:cNvSpPr txBox="1"/>
                      <wps:spPr>
                        <a:xfrm>
                          <a:off x="0" y="0"/>
                          <a:ext cx="5724525" cy="635"/>
                        </a:xfrm>
                        <a:prstGeom prst="rect">
                          <a:avLst/>
                        </a:prstGeom>
                        <a:solidFill>
                          <a:prstClr val="white"/>
                        </a:solidFill>
                        <a:ln>
                          <a:noFill/>
                        </a:ln>
                      </wps:spPr>
                      <wps:txbx>
                        <w:txbxContent>
                          <w:p w14:paraId="30D19DFD" w14:textId="20855F14" w:rsidR="00833D14" w:rsidRPr="00B976D3" w:rsidRDefault="00833D14" w:rsidP="00531F3F">
                            <w:pPr>
                              <w:pStyle w:val="Caption"/>
                              <w:jc w:val="center"/>
                              <w:rPr>
                                <w:noProof/>
                              </w:rPr>
                            </w:pPr>
                            <w:bookmarkStart w:id="5" w:name="_Ref237418512"/>
                            <w:r>
                              <w:t xml:space="preserve">Figure </w:t>
                            </w:r>
                            <w:fldSimple w:instr=" SEQ Figure \* ARABIC ">
                              <w:r>
                                <w:rPr>
                                  <w:noProof/>
                                </w:rPr>
                                <w:t>1</w:t>
                              </w:r>
                            </w:fldSimple>
                            <w:bookmarkEnd w:id="5"/>
                            <w:r>
                              <w:t xml:space="preserve"> - </w:t>
                            </w:r>
                            <w:r w:rsidRPr="00E51737">
                              <w:t xml:space="preserve">How assigning </w:t>
                            </w:r>
                            <w:r w:rsidR="00E97D00">
                              <w:t>RAL</w:t>
                            </w:r>
                            <w:r w:rsidRPr="00E51737">
                              <w:t xml:space="preserve"> aligns with ONR </w:t>
                            </w:r>
                            <w:r w:rsidR="00E97D00">
                              <w:t>p</w:t>
                            </w:r>
                            <w:r w:rsidRPr="00E51737">
                              <w:t>olicy and the Regulators Code</w:t>
                            </w:r>
                            <w:r w:rsidR="00531F3F">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86F7873" id="_x0000_t202" coordsize="21600,21600" o:spt="202" path="m,l,21600r21600,l21600,xe">
                <v:stroke joinstyle="miter"/>
                <v:path gradientshapeok="t" o:connecttype="rect"/>
              </v:shapetype>
              <v:shape id="Text Box 1" o:spid="_x0000_s1029" type="#_x0000_t202" style="position:absolute;margin-left:-.1pt;margin-top:189.65pt;width:450.75pt;height:.05pt;z-index:2516695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" stroked="f">
                <v:textbox style="mso-fit-shape-to-text:t" inset="0,0,0,0">
                  <w:txbxContent>
                    <w:p w14:paraId="30D19DFD" w14:textId="20855F14" w:rsidR="00833D14" w:rsidRPr="00B976D3" w:rsidRDefault="00833D14" w:rsidP="00531F3F">
                      <w:pPr>
                        <w:pStyle w:val="Caption"/>
                        <w:jc w:val="center"/>
                        <w:rPr>
                          <w:noProof/>
                        </w:rPr>
                      </w:pPr>
                      <w:bookmarkStart w:id="6" w:name="_Ref237418512"/>
                      <w:r>
                        <w:t xml:space="preserve">Figure </w:t>
                      </w:r>
                      <w:fldSimple w:instr=" SEQ Figure \* ARABIC ">
                        <w:r>
                          <w:rPr>
                            <w:noProof/>
                          </w:rPr>
                          <w:t>1</w:t>
                        </w:r>
                      </w:fldSimple>
                      <w:bookmarkEnd w:id="6"/>
                      <w:r>
                        <w:t xml:space="preserve"> - </w:t>
                      </w:r>
                      <w:r w:rsidRPr="00E51737">
                        <w:t xml:space="preserve">How assigning </w:t>
                      </w:r>
                      <w:r w:rsidR="00E97D00">
                        <w:t>RAL</w:t>
                      </w:r>
                      <w:r w:rsidRPr="00E51737">
                        <w:t xml:space="preserve"> aligns with ONR </w:t>
                      </w:r>
                      <w:r w:rsidR="00E97D00">
                        <w:t>p</w:t>
                      </w:r>
                      <w:r w:rsidRPr="00E51737">
                        <w:t>olicy and the Regulators Code</w:t>
                      </w:r>
                      <w:r w:rsidR="00531F3F">
                        <w:t>.</w:t>
                      </w:r>
                    </w:p>
                  </w:txbxContent>
                </v:textbox>
                <w10:wrap anchorx="margin"/>
              </v:shape>
            </w:pict>
          </mc:Fallback>
        </mc:AlternateContent>
      </w:r>
      <w:r>
        <w:rPr>
          <w:noProof/>
        </w:rPr>
        <mc:AlternateContent>
          <mc:Choice Requires="wps">
            <w:drawing>
              <wp:anchor distT="0" distB="0" distL="114300" distR="114300" simplePos="0" relativeHeight="251667456" behindDoc="0" locked="0" layoutInCell="1" allowOverlap="1" wp14:anchorId="36CABE1D" wp14:editId="19DBA00D">
                <wp:simplePos x="0" y="0"/>
                <wp:positionH relativeFrom="margin">
                  <wp:posOffset>57150</wp:posOffset>
                </wp:positionH>
                <wp:positionV relativeFrom="paragraph">
                  <wp:posOffset>1244600</wp:posOffset>
                </wp:positionV>
                <wp:extent cx="5591175" cy="1095375"/>
                <wp:effectExtent l="0" t="0" r="28575" b="28575"/>
                <wp:wrapNone/>
                <wp:docPr id="2065985564" name="Rectangle: Rounded Corners 3"/>
                <wp:cNvGraphicFramePr/>
                <a:graphic xmlns:a="http://schemas.openxmlformats.org/drawingml/2006/main">
                  <a:graphicData uri="http://schemas.microsoft.com/office/word/2010/wordprocessingShape">
                    <wps:wsp>
                      <wps:cNvSpPr/>
                      <wps:spPr>
                        <a:xfrm>
                          <a:off x="0" y="0"/>
                          <a:ext cx="5591175" cy="1095375"/>
                        </a:xfrm>
                        <a:prstGeom prst="roundRect">
                          <a:avLst/>
                        </a:prstGeom>
                        <a:solidFill>
                          <a:srgbClr val="07716C"/>
                        </a:solidFill>
                        <a:ln w="12700" cap="flat" cmpd="sng" algn="ctr">
                          <a:solidFill>
                            <a:srgbClr val="07716C">
                              <a:shade val="15000"/>
                            </a:srgbClr>
                          </a:solidFill>
                          <a:prstDash val="solid"/>
                          <a:miter lim="800000"/>
                        </a:ln>
                        <a:effectLst/>
                      </wps:spPr>
                      <wps:txbx>
                        <w:txbxContent>
                          <w:p w14:paraId="2D0CD8CF" w14:textId="74A1FD9D" w:rsidR="00FC0A26" w:rsidRPr="008B401D" w:rsidRDefault="00FC0A26" w:rsidP="00FC0A26">
                            <w:pPr>
                              <w:jc w:val="center"/>
                              <w:rPr>
                                <w:b/>
                                <w:bCs/>
                                <w:color w:val="FFFFFF" w:themeColor="background2"/>
                              </w:rPr>
                            </w:pPr>
                            <w:r w:rsidRPr="008B401D">
                              <w:rPr>
                                <w:b/>
                                <w:bCs/>
                                <w:color w:val="FFFFFF" w:themeColor="background2"/>
                              </w:rPr>
                              <w:t xml:space="preserve">Annually assigning </w:t>
                            </w:r>
                            <w:r w:rsidR="00E97D00">
                              <w:rPr>
                                <w:b/>
                                <w:bCs/>
                                <w:color w:val="FFFFFF" w:themeColor="background2"/>
                              </w:rPr>
                              <w:t>RAL</w:t>
                            </w:r>
                            <w:r w:rsidRPr="008B401D">
                              <w:rPr>
                                <w:b/>
                                <w:bCs/>
                                <w:color w:val="FFFFFF" w:themeColor="background2"/>
                              </w:rPr>
                              <w:t xml:space="preserve"> and applying governance to the outputs</w:t>
                            </w:r>
                          </w:p>
                          <w:p w14:paraId="60E6371E" w14:textId="2DE8F619" w:rsidR="00FC0A26" w:rsidRPr="00833D14" w:rsidRDefault="00FC0A26" w:rsidP="00FC0A26">
                            <w:pPr>
                              <w:jc w:val="center"/>
                              <w:rPr>
                                <w:color w:val="FFFFFF" w:themeColor="background2"/>
                                <w:sz w:val="22"/>
                              </w:rPr>
                            </w:pPr>
                            <w:r w:rsidRPr="00833D14">
                              <w:rPr>
                                <w:color w:val="FFFFFF" w:themeColor="background2"/>
                                <w:sz w:val="22"/>
                              </w:rPr>
                              <w:t xml:space="preserve">Supports how we demonstrate alignment to ONR policies and the Regulators Code. Along with our planning and ‘golden thread’ with the ONR Strategy, Corporate Plan and </w:t>
                            </w:r>
                            <w:r w:rsidR="00ED34B5">
                              <w:rPr>
                                <w:color w:val="FFFFFF" w:themeColor="background2"/>
                                <w:sz w:val="22"/>
                              </w:rPr>
                              <w:t>d</w:t>
                            </w:r>
                            <w:r w:rsidRPr="00833D14">
                              <w:rPr>
                                <w:color w:val="FFFFFF" w:themeColor="background2"/>
                                <w:sz w:val="22"/>
                              </w:rPr>
                              <w:t>irectorates priorities.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CABE1D" id="Rectangle: Rounded Corners 3" o:spid="_x0000_s1030" style="position:absolute;margin-left:4.5pt;margin-top:98pt;width:440.25pt;height:86.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" fillcolor="#07716c" strokecolor="#012c29" strokeweight="1pt">
                <v:stroke joinstyle="miter"/>
                <v:textbox>
                  <w:txbxContent>
                    <w:p w14:paraId="2D0CD8CF" w14:textId="74A1FD9D" w:rsidR="00FC0A26" w:rsidRPr="008B401D" w:rsidRDefault="00FC0A26" w:rsidP="00FC0A26">
                      <w:pPr>
                        <w:jc w:val="center"/>
                        <w:rPr>
                          <w:b/>
                          <w:bCs/>
                          <w:color w:val="FFFFFF" w:themeColor="background2"/>
                        </w:rPr>
                      </w:pPr>
                      <w:r w:rsidRPr="008B401D">
                        <w:rPr>
                          <w:b/>
                          <w:bCs/>
                          <w:color w:val="FFFFFF" w:themeColor="background2"/>
                        </w:rPr>
                        <w:t xml:space="preserve">Annually assigning </w:t>
                      </w:r>
                      <w:r w:rsidR="00E97D00">
                        <w:rPr>
                          <w:b/>
                          <w:bCs/>
                          <w:color w:val="FFFFFF" w:themeColor="background2"/>
                        </w:rPr>
                        <w:t>RAL</w:t>
                      </w:r>
                      <w:r w:rsidRPr="008B401D">
                        <w:rPr>
                          <w:b/>
                          <w:bCs/>
                          <w:color w:val="FFFFFF" w:themeColor="background2"/>
                        </w:rPr>
                        <w:t xml:space="preserve"> and applying governance to the outputs</w:t>
                      </w:r>
                    </w:p>
                    <w:p w14:paraId="60E6371E" w14:textId="2DE8F619" w:rsidR="00FC0A26" w:rsidRPr="00833D14" w:rsidRDefault="00FC0A26" w:rsidP="00FC0A26">
                      <w:pPr>
                        <w:jc w:val="center"/>
                        <w:rPr>
                          <w:color w:val="FFFFFF" w:themeColor="background2"/>
                          <w:sz w:val="22"/>
                        </w:rPr>
                      </w:pPr>
                      <w:r w:rsidRPr="00833D14">
                        <w:rPr>
                          <w:color w:val="FFFFFF" w:themeColor="background2"/>
                          <w:sz w:val="22"/>
                        </w:rPr>
                        <w:t xml:space="preserve">Supports how we demonstrate alignment to ONR policies and the Regulators Code. Along with our planning and ‘golden thread’ with the ONR Strategy, Corporate Plan and </w:t>
                      </w:r>
                      <w:r w:rsidR="00ED34B5">
                        <w:rPr>
                          <w:color w:val="FFFFFF" w:themeColor="background2"/>
                          <w:sz w:val="22"/>
                        </w:rPr>
                        <w:t>d</w:t>
                      </w:r>
                      <w:r w:rsidRPr="00833D14">
                        <w:rPr>
                          <w:color w:val="FFFFFF" w:themeColor="background2"/>
                          <w:sz w:val="22"/>
                        </w:rPr>
                        <w:t>irectorates priorities.</w:t>
                      </w:r>
                    </w:p>
                  </w:txbxContent>
                </v:textbox>
                <w10:wrap anchorx="margin"/>
              </v:roundrect>
            </w:pict>
          </mc:Fallback>
        </mc:AlternateContent>
      </w:r>
    </w:p>
    <w:p w14:paraId="191A0C58" w14:textId="77777777" w:rsidR="00FC0A26" w:rsidRDefault="00FC0A26" w:rsidP="00FC0A26">
      <w:pPr>
        <w:pStyle w:val="Heading2"/>
      </w:pPr>
      <w:bookmarkStart w:id="7" w:name="_Toc210742553"/>
      <w:r>
        <w:lastRenderedPageBreak/>
        <w:t>Scope and applicability</w:t>
      </w:r>
      <w:bookmarkEnd w:id="7"/>
    </w:p>
    <w:p w14:paraId="17583AF4" w14:textId="4956A74C" w:rsidR="00FC0A26" w:rsidRPr="009A1F9C" w:rsidRDefault="00FC0A26" w:rsidP="00FC0A26">
      <w:pPr>
        <w:pStyle w:val="F9-Paragraph"/>
      </w:pPr>
      <w:r w:rsidRPr="009A1F9C">
        <w:t>Assigning dutyholder attention levels is not required in all instances</w:t>
      </w:r>
      <w:r w:rsidR="00C575DF" w:rsidRPr="009A1F9C">
        <w:t xml:space="preserve">, </w:t>
      </w:r>
      <w:r w:rsidRPr="009A1F9C">
        <w:t xml:space="preserve">for directorates there is a level of discretion which can be applied. </w:t>
      </w:r>
    </w:p>
    <w:p w14:paraId="2EDA51D9" w14:textId="368BCAD5" w:rsidR="00FC0A26" w:rsidRPr="002754F4" w:rsidRDefault="00FC0A26" w:rsidP="00FC0A26">
      <w:pPr>
        <w:pStyle w:val="F9-Paragraph"/>
      </w:pPr>
      <w:r>
        <w:t>In general, ONR expects that in each financial year and aligned to this guidance, purpose lead inspectors, Heads of Regulation (HoR) and Directors of Regulation (DoR) should plan to be involved in:</w:t>
      </w:r>
    </w:p>
    <w:p w14:paraId="0882B5F2" w14:textId="1B9A32AA" w:rsidR="00FC0A26" w:rsidRDefault="00FC0A26" w:rsidP="00833D14">
      <w:pPr>
        <w:pStyle w:val="Bulletlist1"/>
      </w:pPr>
      <w:r>
        <w:t xml:space="preserve">Completing RAL assessments for ONR’s </w:t>
      </w:r>
      <w:r w:rsidR="003B1F1A">
        <w:t>s</w:t>
      </w:r>
      <w:r>
        <w:t>afety</w:t>
      </w:r>
      <w:r>
        <w:rPr>
          <w:rStyle w:val="FootnoteReference"/>
        </w:rPr>
        <w:footnoteReference w:id="2"/>
      </w:r>
      <w:r>
        <w:t xml:space="preserve">, </w:t>
      </w:r>
      <w:r w:rsidR="003B1F1A">
        <w:t>s</w:t>
      </w:r>
      <w:r>
        <w:t xml:space="preserve">ecurity and </w:t>
      </w:r>
      <w:r w:rsidR="003B1F1A">
        <w:t>s</w:t>
      </w:r>
      <w:r>
        <w:t>afeguards</w:t>
      </w:r>
      <w:r>
        <w:rPr>
          <w:rStyle w:val="FootnoteReference"/>
        </w:rPr>
        <w:footnoteReference w:id="3"/>
      </w:r>
      <w:r>
        <w:t xml:space="preserve"> regulatory purposes, where applicable, at all </w:t>
      </w:r>
      <w:r w:rsidR="003B1F1A">
        <w:t>GB</w:t>
      </w:r>
      <w:r>
        <w:t xml:space="preserve"> Nuclear Licenced Sites.</w:t>
      </w:r>
    </w:p>
    <w:p w14:paraId="198ABCAA" w14:textId="16D53AAA" w:rsidR="00FC0A26" w:rsidRDefault="00FC0A26" w:rsidP="00833D14">
      <w:pPr>
        <w:pStyle w:val="Bulletlist1"/>
      </w:pPr>
      <w:r>
        <w:t>Recording</w:t>
      </w:r>
      <w:r w:rsidR="00416ED8">
        <w:t>,</w:t>
      </w:r>
      <w:r w:rsidR="00C2048F">
        <w:t xml:space="preserve"> endorsing and</w:t>
      </w:r>
      <w:r>
        <w:t xml:space="preserve"> consolidating the RAL results across a </w:t>
      </w:r>
      <w:r w:rsidR="00924255">
        <w:t>sub-Directorate</w:t>
      </w:r>
      <w:r>
        <w:t>.</w:t>
      </w:r>
    </w:p>
    <w:p w14:paraId="622ABB28" w14:textId="795B5F1A" w:rsidR="00FC0A26" w:rsidRPr="00AE56DD" w:rsidRDefault="00FC0A26" w:rsidP="00833D14">
      <w:pPr>
        <w:pStyle w:val="Bulletlist1"/>
      </w:pPr>
      <w:r>
        <w:t xml:space="preserve">Presenting for </w:t>
      </w:r>
      <w:r w:rsidR="00C2048F">
        <w:t>moderation</w:t>
      </w:r>
      <w:r>
        <w:t xml:space="preserve"> the RAL results as part of Directorate governance arrangements.</w:t>
      </w:r>
    </w:p>
    <w:p w14:paraId="1C5AD143" w14:textId="22D18F8A" w:rsidR="00FC0A26" w:rsidRDefault="00FC0A26" w:rsidP="00FC0A26">
      <w:pPr>
        <w:pStyle w:val="F9-Paragraph"/>
      </w:pPr>
      <w:r w:rsidRPr="009F5DA8">
        <w:t xml:space="preserve">It is for the </w:t>
      </w:r>
      <w:r w:rsidRPr="00FD3673">
        <w:rPr>
          <w:b/>
          <w:bCs/>
        </w:rPr>
        <w:t>discretion of the HoR and DoR to apply this RAL process to the following as they deem appropriate</w:t>
      </w:r>
      <w:r>
        <w:t xml:space="preserve">, and inspectors should check with directorates on what is expected: </w:t>
      </w:r>
    </w:p>
    <w:p w14:paraId="631AC81C" w14:textId="76692A43" w:rsidR="00FC0A26" w:rsidRDefault="00FC0A26" w:rsidP="00833D14">
      <w:pPr>
        <w:pStyle w:val="Bulletlist1"/>
      </w:pPr>
      <w:r>
        <w:t>Safety</w:t>
      </w:r>
      <w:r w:rsidR="00564E00">
        <w:rPr>
          <w:rStyle w:val="FootnoteReference"/>
        </w:rPr>
        <w:footnoteReference w:id="4"/>
      </w:r>
      <w:r>
        <w:t xml:space="preserve"> and/or </w:t>
      </w:r>
      <w:r w:rsidR="003B1F1A">
        <w:t>s</w:t>
      </w:r>
      <w:r>
        <w:t xml:space="preserve">ecurity for specific facilities within a licensed site, licensee corporate bodies, other linked organisations and/or nuclear construction </w:t>
      </w:r>
      <w:r w:rsidR="00924255">
        <w:t>site</w:t>
      </w:r>
      <w:r>
        <w:t>.</w:t>
      </w:r>
    </w:p>
    <w:p w14:paraId="157BD309" w14:textId="216D8FF5" w:rsidR="00FC0A26" w:rsidRDefault="00FC0A26" w:rsidP="00833D14">
      <w:pPr>
        <w:pStyle w:val="Bulletlist1"/>
      </w:pPr>
      <w:r>
        <w:t>Safety at defence authorised site</w:t>
      </w:r>
      <w:r w:rsidR="00A473A8">
        <w:t>s.</w:t>
      </w:r>
    </w:p>
    <w:p w14:paraId="4A5BB338" w14:textId="4B11CD45" w:rsidR="00FC0A26" w:rsidRDefault="00FC0A26" w:rsidP="00833D14">
      <w:pPr>
        <w:pStyle w:val="Bulletlist1"/>
      </w:pPr>
      <w:r>
        <w:t xml:space="preserve">Security for non-licensed site </w:t>
      </w:r>
      <w:r w:rsidR="00080866">
        <w:t xml:space="preserve">and </w:t>
      </w:r>
      <w:r w:rsidR="00080866" w:rsidRPr="00080866">
        <w:t>Class A/B transport carrier</w:t>
      </w:r>
      <w:r w:rsidR="00080866">
        <w:t xml:space="preserve"> </w:t>
      </w:r>
      <w:r>
        <w:t xml:space="preserve">NISR 2003 dutyholders. </w:t>
      </w:r>
    </w:p>
    <w:p w14:paraId="3AF758F7" w14:textId="221ADE05" w:rsidR="00FC0A26" w:rsidRDefault="00FC0A26" w:rsidP="00833D14">
      <w:pPr>
        <w:pStyle w:val="Bulletlist1"/>
      </w:pPr>
      <w:r>
        <w:t xml:space="preserve">CDG </w:t>
      </w:r>
      <w:r w:rsidRPr="00E318A3">
        <w:t xml:space="preserve">Class 7 </w:t>
      </w:r>
      <w:r>
        <w:t>T</w:t>
      </w:r>
      <w:r w:rsidRPr="00E318A3">
        <w:t>ransport</w:t>
      </w:r>
      <w:r>
        <w:t xml:space="preserve">, considering </w:t>
      </w:r>
      <w:r w:rsidR="00AD7587">
        <w:t xml:space="preserve">whether </w:t>
      </w:r>
      <w:r w:rsidR="00177D95">
        <w:t>thematic, sector or</w:t>
      </w:r>
      <w:r>
        <w:t xml:space="preserve"> individual dutyholders</w:t>
      </w:r>
      <w:r w:rsidR="00AD7587">
        <w:t>, is most appropriate</w:t>
      </w:r>
      <w:r>
        <w:t>.</w:t>
      </w:r>
    </w:p>
    <w:p w14:paraId="71BBC4E9" w14:textId="60A25028" w:rsidR="00FC0A26" w:rsidRPr="00AD7587" w:rsidRDefault="00FC0A26" w:rsidP="00833D14">
      <w:pPr>
        <w:pStyle w:val="Bulletlist1"/>
      </w:pPr>
      <w:r>
        <w:t>Any other dutyholder.</w:t>
      </w:r>
    </w:p>
    <w:p w14:paraId="4B7E030C" w14:textId="72E4A202" w:rsidR="00FC0A26" w:rsidRDefault="00FC0A26" w:rsidP="00FC0A26">
      <w:pPr>
        <w:pStyle w:val="Heading1"/>
      </w:pPr>
      <w:bookmarkStart w:id="8" w:name="_Toc210742554"/>
      <w:bookmarkStart w:id="9" w:name="_Toc237421916"/>
      <w:r>
        <w:lastRenderedPageBreak/>
        <w:t xml:space="preserve">Derivation of </w:t>
      </w:r>
      <w:r w:rsidR="00833D14">
        <w:t>a</w:t>
      </w:r>
      <w:r>
        <w:t xml:space="preserve">ttention </w:t>
      </w:r>
      <w:r w:rsidR="00833D14">
        <w:t>l</w:t>
      </w:r>
      <w:r>
        <w:t>evels</w:t>
      </w:r>
      <w:bookmarkEnd w:id="8"/>
      <w:bookmarkEnd w:id="9"/>
    </w:p>
    <w:p w14:paraId="3C47CC7C" w14:textId="0BC17419" w:rsidR="00FC0A26" w:rsidRDefault="00FC0A26" w:rsidP="00FC0A26">
      <w:pPr>
        <w:pStyle w:val="F9-Paragraph"/>
      </w:pPr>
      <w:r>
        <w:t xml:space="preserve">The timeline for completing the attention levels annually is detailed in </w:t>
      </w:r>
      <w:hyperlink w:anchor="_Appendix_A_–" w:history="1">
        <w:r w:rsidRPr="00833D14">
          <w:rPr>
            <w:rStyle w:val="Hyperlink"/>
          </w:rPr>
          <w:t>Appendix A</w:t>
        </w:r>
      </w:hyperlink>
      <w:r>
        <w:t>. The commencement of this process will be driven by the DoR.</w:t>
      </w:r>
    </w:p>
    <w:p w14:paraId="297C84D2" w14:textId="77777777" w:rsidR="00FC0A26" w:rsidRDefault="00FC0A26" w:rsidP="00FC0A26">
      <w:pPr>
        <w:pStyle w:val="F9-Paragraph"/>
      </w:pPr>
      <w:r>
        <w:t>It is usually the Nominated Site Inspector (NSI) and the purpose specific leads for the site who draft the regulatory attention levels. There are no set rules, but involvement from specialist inspectors who have been involved in the regulation of the site during the year is recommended for their perspectives and input, as well as additional intelligence of any specialism specific themes.</w:t>
      </w:r>
    </w:p>
    <w:p w14:paraId="2900229D" w14:textId="3801C38F" w:rsidR="00FC0A26" w:rsidRDefault="00FC0A26" w:rsidP="00FC0A26">
      <w:pPr>
        <w:pStyle w:val="F9-Paragraph"/>
      </w:pPr>
      <w:r w:rsidRPr="004957D9">
        <w:t xml:space="preserve">The overall regulatory attention levels assigned for </w:t>
      </w:r>
      <w:r>
        <w:t xml:space="preserve">ONR purposes </w:t>
      </w:r>
      <w:r w:rsidRPr="004957D9">
        <w:t xml:space="preserve">to each dutyholder combines judgements across a range of </w:t>
      </w:r>
      <w:r>
        <w:t>attributes</w:t>
      </w:r>
      <w:r w:rsidRPr="004957D9">
        <w:t xml:space="preserve">. </w:t>
      </w:r>
      <w:r w:rsidR="003B1F1A">
        <w:br/>
      </w:r>
      <w:r>
        <w:t>Inspectors should utilise WIReD and associated dashboards as the basis for the data and knowledge management for most processes (</w:t>
      </w:r>
      <w:r w:rsidR="00833D14">
        <w:t>for example,</w:t>
      </w:r>
      <w:r>
        <w:t xml:space="preserve"> inspections, incidents) to inform the indicators.</w:t>
      </w:r>
    </w:p>
    <w:p w14:paraId="053CAEF7" w14:textId="77777777" w:rsidR="00FC0A26" w:rsidRDefault="00FC0A26" w:rsidP="00FC0A26">
      <w:pPr>
        <w:pStyle w:val="F9-Paragraph"/>
      </w:pPr>
      <w:r w:rsidRPr="004957D9">
        <w:t xml:space="preserve">Attention ratings against each individual </w:t>
      </w:r>
      <w:r>
        <w:t>indicator</w:t>
      </w:r>
      <w:r w:rsidRPr="004957D9">
        <w:t xml:space="preserve"> should assist inspectors in their judgement of an overall attention level for a dutyholder for </w:t>
      </w:r>
      <w:r>
        <w:t>ONR purposes. The narrative against each indicator should be succinct and evidence, not opinion based.</w:t>
      </w:r>
    </w:p>
    <w:p w14:paraId="0410E99D" w14:textId="77777777" w:rsidR="00FC0A26" w:rsidRDefault="00FC0A26" w:rsidP="00FC0A26">
      <w:pPr>
        <w:pStyle w:val="F9-Paragraph"/>
      </w:pPr>
      <w:r>
        <w:t>ONR is</w:t>
      </w:r>
      <w:r w:rsidRPr="00C60211">
        <w:t xml:space="preserve"> a sampling organisation, and it may be the case that no intelligence or evidence has been collected for a specific </w:t>
      </w:r>
      <w:r>
        <w:t>attribute</w:t>
      </w:r>
      <w:r w:rsidRPr="00C60211">
        <w:t>. In such cases, it is acceptable to state that no evidence has been collected and ascribe a routine level of regulatory attention.</w:t>
      </w:r>
    </w:p>
    <w:p w14:paraId="17DEE223" w14:textId="77777777" w:rsidR="00FC0A26" w:rsidRDefault="00FC0A26" w:rsidP="00FC0A26">
      <w:pPr>
        <w:pStyle w:val="F9-Paragraph"/>
      </w:pPr>
      <w:r>
        <w:t>I</w:t>
      </w:r>
      <w:r w:rsidRPr="004957D9">
        <w:t>t is for individual di</w:t>
      </w:r>
      <w:r>
        <w:t>rectorates</w:t>
      </w:r>
      <w:r w:rsidRPr="004957D9">
        <w:t xml:space="preserve"> to apply their regulatory judgements on the extent to which individual </w:t>
      </w:r>
      <w:r>
        <w:t>indicators</w:t>
      </w:r>
      <w:r w:rsidRPr="004957D9">
        <w:t xml:space="preserve"> inform the overall attention levels assigned</w:t>
      </w:r>
      <w:r>
        <w:t xml:space="preserve"> and to consider what is proportionate to record for those sites which are in routine regulatory attention. </w:t>
      </w:r>
    </w:p>
    <w:p w14:paraId="5C9611BC" w14:textId="77777777" w:rsidR="00FC0A26" w:rsidRPr="004957D9" w:rsidRDefault="00FC0A26" w:rsidP="00FC0A26">
      <w:pPr>
        <w:pStyle w:val="F9-Paragraph"/>
      </w:pPr>
      <w:r>
        <w:t xml:space="preserve">Indicators that are rated higher than routine </w:t>
      </w:r>
      <w:r w:rsidRPr="004957D9">
        <w:t xml:space="preserve">may usefully inform inspectors where additional regulatory focus may be </w:t>
      </w:r>
      <w:r>
        <w:t>targeted, as part of their intervention planning,</w:t>
      </w:r>
      <w:r w:rsidRPr="004957D9">
        <w:t xml:space="preserve"> even if the overall attention level is designated as ‘Routine’.</w:t>
      </w:r>
    </w:p>
    <w:p w14:paraId="04333BE8" w14:textId="3281D790" w:rsidR="00FC0A26" w:rsidRDefault="00FC0A26" w:rsidP="00FC0A26">
      <w:pPr>
        <w:pStyle w:val="F9-Paragraph"/>
      </w:pPr>
      <w:r>
        <w:t xml:space="preserve">Purpose specific templates </w:t>
      </w:r>
      <w:sdt>
        <w:sdtPr>
          <w:id w:val="1341816682"/>
          <w:citation/>
        </w:sdtPr>
        <w:sdtEndPr/>
        <w:sdtContent>
          <w:r>
            <w:fldChar w:fldCharType="begin"/>
          </w:r>
          <w:r w:rsidR="00ED34B5">
            <w:instrText xml:space="preserve">CITATION ONR26 \l 2057 </w:instrText>
          </w:r>
          <w:r>
            <w:fldChar w:fldCharType="separate"/>
          </w:r>
          <w:r w:rsidR="00ED34B5" w:rsidRPr="00ED34B5">
            <w:rPr>
              <w:noProof/>
            </w:rPr>
            <w:t>[4]</w:t>
          </w:r>
          <w:r>
            <w:fldChar w:fldCharType="end"/>
          </w:r>
        </w:sdtContent>
      </w:sdt>
      <w:r>
        <w:t xml:space="preserve"> </w:t>
      </w:r>
      <w:sdt>
        <w:sdtPr>
          <w:id w:val="-863901066"/>
          <w:citation/>
        </w:sdtPr>
        <w:sdtEndPr/>
        <w:sdtContent>
          <w:r>
            <w:fldChar w:fldCharType="begin"/>
          </w:r>
          <w:r w:rsidR="00ED34B5">
            <w:instrText xml:space="preserve">CITATION ONR27 \l 2057 </w:instrText>
          </w:r>
          <w:r>
            <w:fldChar w:fldCharType="separate"/>
          </w:r>
          <w:r w:rsidR="00ED34B5" w:rsidRPr="00ED34B5">
            <w:rPr>
              <w:noProof/>
            </w:rPr>
            <w:t>[5]</w:t>
          </w:r>
          <w:r>
            <w:fldChar w:fldCharType="end"/>
          </w:r>
        </w:sdtContent>
      </w:sdt>
      <w:r>
        <w:t xml:space="preserve"> </w:t>
      </w:r>
      <w:sdt>
        <w:sdtPr>
          <w:id w:val="2129263626"/>
          <w:citation/>
        </w:sdtPr>
        <w:sdtEndPr/>
        <w:sdtContent>
          <w:r>
            <w:fldChar w:fldCharType="begin"/>
          </w:r>
          <w:r w:rsidR="00ED34B5">
            <w:instrText xml:space="preserve">CITATION ONR28 \l 2057 </w:instrText>
          </w:r>
          <w:r>
            <w:fldChar w:fldCharType="separate"/>
          </w:r>
          <w:r w:rsidR="00ED34B5" w:rsidRPr="00ED34B5">
            <w:rPr>
              <w:noProof/>
            </w:rPr>
            <w:t>[6]</w:t>
          </w:r>
          <w:r>
            <w:fldChar w:fldCharType="end"/>
          </w:r>
        </w:sdtContent>
      </w:sdt>
      <w:r>
        <w:t xml:space="preserve"> </w:t>
      </w:r>
      <w:sdt>
        <w:sdtPr>
          <w:id w:val="723100787"/>
          <w:citation/>
        </w:sdtPr>
        <w:sdtEndPr/>
        <w:sdtContent>
          <w:r>
            <w:fldChar w:fldCharType="begin"/>
          </w:r>
          <w:r w:rsidR="00ED34B5">
            <w:instrText xml:space="preserve">CITATION ONR29 \l 2057 </w:instrText>
          </w:r>
          <w:r>
            <w:fldChar w:fldCharType="separate"/>
          </w:r>
          <w:r w:rsidR="00ED34B5" w:rsidRPr="00ED34B5">
            <w:rPr>
              <w:noProof/>
            </w:rPr>
            <w:t>[7]</w:t>
          </w:r>
          <w:r>
            <w:fldChar w:fldCharType="end"/>
          </w:r>
        </w:sdtContent>
      </w:sdt>
      <w:r>
        <w:t xml:space="preserve"> </w:t>
      </w:r>
      <w:sdt>
        <w:sdtPr>
          <w:id w:val="-328222602"/>
          <w:citation/>
        </w:sdtPr>
        <w:sdtEndPr/>
        <w:sdtContent>
          <w:r>
            <w:fldChar w:fldCharType="begin"/>
          </w:r>
          <w:r w:rsidR="00ED34B5">
            <w:instrText xml:space="preserve">CITATION ONR30 \l 2057 </w:instrText>
          </w:r>
          <w:r>
            <w:fldChar w:fldCharType="separate"/>
          </w:r>
          <w:r w:rsidR="00ED34B5" w:rsidRPr="00ED34B5">
            <w:rPr>
              <w:noProof/>
            </w:rPr>
            <w:t>[8]</w:t>
          </w:r>
          <w:r>
            <w:fldChar w:fldCharType="end"/>
          </w:r>
        </w:sdtContent>
      </w:sdt>
      <w:r>
        <w:t xml:space="preserve"> </w:t>
      </w:r>
      <w:r w:rsidR="00284E52">
        <w:t>and a combined safety purpose</w:t>
      </w:r>
      <w:r w:rsidR="004236A7">
        <w:t xml:space="preserve">s </w:t>
      </w:r>
      <w:sdt>
        <w:sdtPr>
          <w:id w:val="-1471586902"/>
          <w:citation/>
        </w:sdtPr>
        <w:sdtEndPr/>
        <w:sdtContent>
          <w:r w:rsidR="004236A7">
            <w:fldChar w:fldCharType="begin"/>
          </w:r>
          <w:r w:rsidR="00ED34B5">
            <w:instrText xml:space="preserve">CITATION ONR54 \l 2057 </w:instrText>
          </w:r>
          <w:r w:rsidR="004236A7">
            <w:fldChar w:fldCharType="separate"/>
          </w:r>
          <w:r w:rsidR="00ED34B5" w:rsidRPr="00ED34B5">
            <w:rPr>
              <w:noProof/>
            </w:rPr>
            <w:t>[9]</w:t>
          </w:r>
          <w:r w:rsidR="004236A7">
            <w:fldChar w:fldCharType="end"/>
          </w:r>
        </w:sdtContent>
      </w:sdt>
      <w:r w:rsidR="004236A7">
        <w:t xml:space="preserve"> </w:t>
      </w:r>
      <w:r>
        <w:t xml:space="preserve">are </w:t>
      </w:r>
      <w:r w:rsidR="00833D14">
        <w:t>available on HOW2 Hub</w:t>
      </w:r>
      <w:r>
        <w:t xml:space="preserve">, which have guidance associated with the indicators included in them. There is an ‘any other dutyholder’ template, which can be used for licensee corporate bodies if appropriate </w:t>
      </w:r>
      <w:sdt>
        <w:sdtPr>
          <w:id w:val="213703205"/>
          <w:citation/>
        </w:sdtPr>
        <w:sdtEndPr/>
        <w:sdtContent>
          <w:r>
            <w:fldChar w:fldCharType="begin"/>
          </w:r>
          <w:r w:rsidR="00E54392">
            <w:instrText xml:space="preserve">CITATION ONR31 \l 2057 </w:instrText>
          </w:r>
          <w:r>
            <w:fldChar w:fldCharType="separate"/>
          </w:r>
          <w:r w:rsidR="00E54392" w:rsidRPr="00E54392">
            <w:rPr>
              <w:noProof/>
            </w:rPr>
            <w:t>[10]</w:t>
          </w:r>
          <w:r>
            <w:fldChar w:fldCharType="end"/>
          </w:r>
        </w:sdtContent>
      </w:sdt>
      <w:r>
        <w:t>.</w:t>
      </w:r>
    </w:p>
    <w:p w14:paraId="3C8DE842" w14:textId="36192C2D" w:rsidR="00FC0A26" w:rsidRDefault="00FC0A26" w:rsidP="00FC0A26">
      <w:pPr>
        <w:pStyle w:val="F9-Paragraph"/>
      </w:pPr>
      <w:r>
        <w:t xml:space="preserve">The attributes are tailored for each regulatory purpose. </w:t>
      </w:r>
      <w:r w:rsidR="00833D14">
        <w:t xml:space="preserve">Refer to Appendices B – F </w:t>
      </w:r>
      <w:r>
        <w:t>for more detail on these.</w:t>
      </w:r>
    </w:p>
    <w:p w14:paraId="2B13EF90" w14:textId="77777777" w:rsidR="00FC0A26" w:rsidRDefault="00FC0A26" w:rsidP="00FC0A26">
      <w:pPr>
        <w:pStyle w:val="F9-Paragraph"/>
      </w:pPr>
      <w:r w:rsidRPr="004957D9">
        <w:t xml:space="preserve">The following broad definitions apply to </w:t>
      </w:r>
      <w:r>
        <w:t>the three</w:t>
      </w:r>
      <w:r w:rsidRPr="004957D9">
        <w:t xml:space="preserve"> regulatory attention levels that may be assigned (</w:t>
      </w:r>
      <w:r w:rsidRPr="004957D9">
        <w:fldChar w:fldCharType="begin"/>
      </w:r>
      <w:r w:rsidRPr="004957D9">
        <w:instrText xml:space="preserve"> REF _Ref150247600 \h </w:instrText>
      </w:r>
      <w:r w:rsidRPr="004957D9">
        <w:fldChar w:fldCharType="separate"/>
      </w:r>
      <w:r w:rsidRPr="004957D9">
        <w:t xml:space="preserve">Table </w:t>
      </w:r>
      <w:r w:rsidRPr="004957D9">
        <w:rPr>
          <w:noProof/>
        </w:rPr>
        <w:t>1</w:t>
      </w:r>
      <w:r w:rsidRPr="004957D9">
        <w:fldChar w:fldCharType="end"/>
      </w:r>
      <w:r w:rsidRPr="004957D9">
        <w:t xml:space="preserve"> to </w:t>
      </w:r>
      <w:r w:rsidRPr="004957D9">
        <w:fldChar w:fldCharType="begin"/>
      </w:r>
      <w:r w:rsidRPr="004957D9">
        <w:instrText xml:space="preserve"> REF _Ref150247606 \h </w:instrText>
      </w:r>
      <w:r w:rsidRPr="004957D9">
        <w:fldChar w:fldCharType="separate"/>
      </w:r>
      <w:r w:rsidRPr="004957D9">
        <w:t xml:space="preserve">Table </w:t>
      </w:r>
      <w:r w:rsidRPr="004957D9">
        <w:rPr>
          <w:noProof/>
        </w:rPr>
        <w:t>3</w:t>
      </w:r>
      <w:r w:rsidRPr="004957D9">
        <w:fldChar w:fldCharType="end"/>
      </w:r>
      <w:r w:rsidRPr="004957D9">
        <w:t>)</w:t>
      </w:r>
      <w:r>
        <w:t>.</w:t>
      </w:r>
    </w:p>
    <w:p w14:paraId="36DA3B02" w14:textId="3A893880" w:rsidR="00FC0A26" w:rsidRPr="004957D9" w:rsidRDefault="00FC0A26" w:rsidP="00FC0A26">
      <w:pPr>
        <w:keepNext/>
        <w:spacing w:after="200" w:line="240" w:lineRule="auto"/>
        <w:rPr>
          <w:b/>
          <w:bCs/>
          <w:color w:val="000000" w:themeColor="text2"/>
          <w:sz w:val="22"/>
        </w:rPr>
      </w:pPr>
      <w:bookmarkStart w:id="10" w:name="_Ref150247600"/>
      <w:r w:rsidRPr="004957D9">
        <w:rPr>
          <w:b/>
          <w:bCs/>
          <w:color w:val="000000" w:themeColor="text2"/>
          <w:sz w:val="22"/>
        </w:rPr>
        <w:lastRenderedPageBreak/>
        <w:t xml:space="preserve">Table </w:t>
      </w:r>
      <w:r w:rsidRPr="004957D9">
        <w:rPr>
          <w:b/>
          <w:bCs/>
          <w:color w:val="000000" w:themeColor="text2"/>
          <w:sz w:val="22"/>
        </w:rPr>
        <w:fldChar w:fldCharType="begin"/>
      </w:r>
      <w:r w:rsidRPr="004957D9">
        <w:rPr>
          <w:b/>
          <w:bCs/>
          <w:color w:val="000000" w:themeColor="text2"/>
          <w:sz w:val="22"/>
        </w:rPr>
        <w:instrText xml:space="preserve"> SEQ Table \* ARABIC </w:instrText>
      </w:r>
      <w:r w:rsidRPr="004957D9">
        <w:rPr>
          <w:b/>
          <w:bCs/>
          <w:color w:val="000000" w:themeColor="text2"/>
          <w:sz w:val="22"/>
        </w:rPr>
        <w:fldChar w:fldCharType="separate"/>
      </w:r>
      <w:r w:rsidR="00160DB6">
        <w:rPr>
          <w:b/>
          <w:bCs/>
          <w:noProof/>
          <w:color w:val="000000" w:themeColor="text2"/>
          <w:sz w:val="22"/>
        </w:rPr>
        <w:t>1</w:t>
      </w:r>
      <w:r w:rsidRPr="004957D9">
        <w:rPr>
          <w:b/>
          <w:bCs/>
          <w:noProof/>
          <w:color w:val="000000" w:themeColor="text2"/>
          <w:sz w:val="22"/>
        </w:rPr>
        <w:fldChar w:fldCharType="end"/>
      </w:r>
      <w:bookmarkEnd w:id="10"/>
      <w:r w:rsidRPr="004957D9">
        <w:rPr>
          <w:b/>
          <w:bCs/>
          <w:color w:val="000000" w:themeColor="text2"/>
          <w:sz w:val="22"/>
        </w:rPr>
        <w:t xml:space="preserve"> - Regulatory attention level 3</w:t>
      </w:r>
    </w:p>
    <w:tbl>
      <w:tblPr>
        <w:tblW w:w="5000" w:type="pct"/>
        <w:tblBorders>
          <w:top w:val="single" w:sz="4" w:space="0" w:color="006D68"/>
          <w:bottom w:val="single" w:sz="4" w:space="0" w:color="006D68"/>
          <w:insideH w:val="single" w:sz="4" w:space="0" w:color="006D68"/>
        </w:tblBorders>
        <w:tblLook w:val="04A0" w:firstRow="1" w:lastRow="0" w:firstColumn="1" w:lastColumn="0" w:noHBand="0" w:noVBand="1"/>
      </w:tblPr>
      <w:tblGrid>
        <w:gridCol w:w="1327"/>
        <w:gridCol w:w="7699"/>
      </w:tblGrid>
      <w:tr w:rsidR="00FC0A26" w:rsidRPr="004957D9" w14:paraId="640A48CF" w14:textId="77777777" w:rsidTr="00833D14">
        <w:tc>
          <w:tcPr>
            <w:tcW w:w="735" w:type="pct"/>
            <w:vMerge w:val="restart"/>
          </w:tcPr>
          <w:p w14:paraId="6D169171" w14:textId="77777777" w:rsidR="00FC0A26" w:rsidRPr="004957D9" w:rsidRDefault="00FC0A26" w:rsidP="00713AC6">
            <w:pPr>
              <w:spacing w:before="60" w:after="60"/>
              <w:rPr>
                <w:b/>
                <w:color w:val="FFFFFF" w:themeColor="background1"/>
              </w:rPr>
            </w:pPr>
            <w:r w:rsidRPr="004957D9">
              <w:rPr>
                <w:b/>
                <w:noProof/>
              </w:rPr>
              <mc:AlternateContent>
                <mc:Choice Requires="wps">
                  <w:drawing>
                    <wp:inline distT="0" distB="0" distL="0" distR="0" wp14:anchorId="6FE2F315" wp14:editId="70946CD4">
                      <wp:extent cx="698500" cy="571500"/>
                      <wp:effectExtent l="0" t="0" r="6350"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 cy="571500"/>
                              </a:xfrm>
                              <a:prstGeom prst="rect">
                                <a:avLst/>
                              </a:prstGeom>
                              <a:solidFill>
                                <a:srgbClr val="DAEEF3"/>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A3B104E" w14:textId="77777777" w:rsidR="00FC0A26" w:rsidRPr="008B5C63" w:rsidRDefault="00FC0A26" w:rsidP="00FC0A26">
                                  <w:pPr>
                                    <w:spacing w:before="120" w:after="0"/>
                                    <w:jc w:val="center"/>
                                    <w:rPr>
                                      <w:b/>
                                      <w:sz w:val="40"/>
                                      <w:szCs w:val="40"/>
                                    </w:rPr>
                                  </w:pPr>
                                  <w:r w:rsidRPr="00077E74">
                                    <w:rPr>
                                      <w:b/>
                                      <w:sz w:val="40"/>
                                      <w:szCs w:val="40"/>
                                    </w:rPr>
                                    <w:t>3</w:t>
                                  </w:r>
                                </w:p>
                              </w:txbxContent>
                            </wps:txbx>
                            <wps:bodyPr rot="0" vert="horz" wrap="square" lIns="91440" tIns="45720" rIns="91440" bIns="45720" anchor="t" anchorCtr="0" upright="1">
                              <a:noAutofit/>
                            </wps:bodyPr>
                          </wps:wsp>
                        </a:graphicData>
                      </a:graphic>
                    </wp:inline>
                  </w:drawing>
                </mc:Choice>
                <mc:Fallback>
                  <w:pict>
                    <v:shape w14:anchorId="6FE2F315" id="Text Box 2" o:spid="_x0000_s1031" type="#_x0000_t202" style="width:55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" fillcolor="#daeef3" stroked="f">
                      <v:textbox>
                        <w:txbxContent>
                          <w:p w14:paraId="1A3B104E" w14:textId="77777777" w:rsidR="00FC0A26" w:rsidRPr="008B5C63" w:rsidRDefault="00FC0A26" w:rsidP="00FC0A26">
                            <w:pPr>
                              <w:spacing w:before="120" w:after="0"/>
                              <w:jc w:val="center"/>
                              <w:rPr>
                                <w:b/>
                                <w:sz w:val="40"/>
                                <w:szCs w:val="40"/>
                              </w:rPr>
                            </w:pPr>
                            <w:r w:rsidRPr="00077E74">
                              <w:rPr>
                                <w:b/>
                                <w:sz w:val="40"/>
                                <w:szCs w:val="40"/>
                              </w:rPr>
                              <w:t>3</w:t>
                            </w:r>
                          </w:p>
                        </w:txbxContent>
                      </v:textbox>
                      <w10:anchorlock/>
                    </v:shape>
                  </w:pict>
                </mc:Fallback>
              </mc:AlternateContent>
            </w:r>
          </w:p>
        </w:tc>
        <w:tc>
          <w:tcPr>
            <w:tcW w:w="4265" w:type="pct"/>
            <w:shd w:val="clear" w:color="auto" w:fill="006D68"/>
          </w:tcPr>
          <w:p w14:paraId="15D69477" w14:textId="77B565E2" w:rsidR="00FC0A26" w:rsidRPr="004957D9" w:rsidRDefault="00FC0A26" w:rsidP="00713AC6">
            <w:pPr>
              <w:spacing w:before="60" w:after="60"/>
              <w:rPr>
                <w:b/>
                <w:color w:val="FFFFFF" w:themeColor="background1"/>
              </w:rPr>
            </w:pPr>
            <w:r w:rsidRPr="004957D9">
              <w:rPr>
                <w:b/>
                <w:color w:val="FFFFFF" w:themeColor="background1"/>
              </w:rPr>
              <w:t xml:space="preserve">Level 3 – Routine </w:t>
            </w:r>
            <w:r w:rsidR="00531F3F">
              <w:rPr>
                <w:b/>
                <w:color w:val="FFFFFF" w:themeColor="background1"/>
              </w:rPr>
              <w:t>r</w:t>
            </w:r>
            <w:r w:rsidRPr="004957D9">
              <w:rPr>
                <w:b/>
                <w:color w:val="FFFFFF" w:themeColor="background1"/>
              </w:rPr>
              <w:t xml:space="preserve">egulatory </w:t>
            </w:r>
            <w:r w:rsidR="00531F3F">
              <w:rPr>
                <w:b/>
                <w:color w:val="FFFFFF" w:themeColor="background1"/>
              </w:rPr>
              <w:t>a</w:t>
            </w:r>
            <w:r w:rsidRPr="004957D9">
              <w:rPr>
                <w:b/>
                <w:color w:val="FFFFFF" w:themeColor="background1"/>
              </w:rPr>
              <w:t>ttention</w:t>
            </w:r>
          </w:p>
        </w:tc>
      </w:tr>
      <w:tr w:rsidR="00FC0A26" w:rsidRPr="004957D9" w14:paraId="5FFCD8AA" w14:textId="77777777" w:rsidTr="00833D14">
        <w:tc>
          <w:tcPr>
            <w:tcW w:w="735" w:type="pct"/>
            <w:vMerge/>
          </w:tcPr>
          <w:p w14:paraId="79981426" w14:textId="77777777" w:rsidR="00FC0A26" w:rsidRPr="004957D9" w:rsidRDefault="00FC0A26" w:rsidP="00713AC6">
            <w:pPr>
              <w:spacing w:before="60" w:after="60"/>
              <w:rPr>
                <w:sz w:val="22"/>
              </w:rPr>
            </w:pPr>
          </w:p>
        </w:tc>
        <w:tc>
          <w:tcPr>
            <w:tcW w:w="4265" w:type="pct"/>
          </w:tcPr>
          <w:p w14:paraId="5A49E5AC" w14:textId="7524D7D7" w:rsidR="00FC0A26" w:rsidRPr="004957D9" w:rsidRDefault="00FC0A26" w:rsidP="00713AC6">
            <w:pPr>
              <w:spacing w:before="60" w:after="60"/>
            </w:pPr>
            <w:r>
              <w:rPr>
                <w:b/>
                <w:bCs/>
              </w:rPr>
              <w:t>Nuclear</w:t>
            </w:r>
            <w:r w:rsidR="00531F3F">
              <w:rPr>
                <w:b/>
                <w:bCs/>
              </w:rPr>
              <w:t xml:space="preserve"> s</w:t>
            </w:r>
            <w:r w:rsidRPr="004957D9">
              <w:rPr>
                <w:b/>
                <w:bCs/>
              </w:rPr>
              <w:t xml:space="preserve">afety </w:t>
            </w:r>
            <w:r w:rsidR="00531F3F">
              <w:rPr>
                <w:b/>
                <w:bCs/>
              </w:rPr>
              <w:t>p</w:t>
            </w:r>
            <w:r w:rsidRPr="004957D9">
              <w:rPr>
                <w:b/>
                <w:bCs/>
              </w:rPr>
              <w:t>urpose</w:t>
            </w:r>
            <w:r w:rsidRPr="004957D9">
              <w:t xml:space="preserve"> - ONR has undertaken routine planned inspection and nuclear safety permissioning activities and nuclear risks associated with the dutyholder’s activities are well managed in accordance with an adequate and up-to-date safety case. There is not a repeated history of formal enforcement activity.</w:t>
            </w:r>
          </w:p>
        </w:tc>
      </w:tr>
      <w:tr w:rsidR="00FC0A26" w:rsidRPr="004957D9" w14:paraId="6845DE18" w14:textId="77777777" w:rsidTr="00833D14">
        <w:tc>
          <w:tcPr>
            <w:tcW w:w="735" w:type="pct"/>
            <w:vMerge/>
          </w:tcPr>
          <w:p w14:paraId="0210E228" w14:textId="77777777" w:rsidR="00FC0A26" w:rsidRPr="004957D9" w:rsidRDefault="00FC0A26" w:rsidP="00713AC6">
            <w:pPr>
              <w:spacing w:before="60" w:after="60"/>
              <w:rPr>
                <w:sz w:val="22"/>
              </w:rPr>
            </w:pPr>
          </w:p>
        </w:tc>
        <w:tc>
          <w:tcPr>
            <w:tcW w:w="4265" w:type="pct"/>
          </w:tcPr>
          <w:p w14:paraId="5CC0B753" w14:textId="2C6317A0" w:rsidR="00FC0A26" w:rsidRPr="004957D9" w:rsidRDefault="00FC0A26" w:rsidP="00713AC6">
            <w:pPr>
              <w:spacing w:before="60" w:after="60"/>
            </w:pPr>
            <w:r w:rsidRPr="00D5638F">
              <w:rPr>
                <w:b/>
                <w:bCs/>
              </w:rPr>
              <w:t xml:space="preserve">Nuclear </w:t>
            </w:r>
            <w:r w:rsidR="00531F3F">
              <w:rPr>
                <w:b/>
                <w:bCs/>
              </w:rPr>
              <w:t>s</w:t>
            </w:r>
            <w:r w:rsidRPr="00D5638F">
              <w:rPr>
                <w:b/>
                <w:bCs/>
              </w:rPr>
              <w:t xml:space="preserve">ite </w:t>
            </w:r>
            <w:r w:rsidR="00531F3F">
              <w:rPr>
                <w:b/>
                <w:bCs/>
              </w:rPr>
              <w:t>h</w:t>
            </w:r>
            <w:r w:rsidRPr="00D5638F">
              <w:rPr>
                <w:b/>
                <w:bCs/>
              </w:rPr>
              <w:t xml:space="preserve">ealth and </w:t>
            </w:r>
            <w:r w:rsidR="00531F3F">
              <w:rPr>
                <w:b/>
                <w:bCs/>
              </w:rPr>
              <w:t>s</w:t>
            </w:r>
            <w:r w:rsidRPr="00D5638F">
              <w:rPr>
                <w:b/>
                <w:bCs/>
              </w:rPr>
              <w:t xml:space="preserve">afety </w:t>
            </w:r>
            <w:r w:rsidR="00531F3F">
              <w:rPr>
                <w:b/>
                <w:bCs/>
              </w:rPr>
              <w:t>p</w:t>
            </w:r>
            <w:r w:rsidRPr="00D5638F">
              <w:rPr>
                <w:b/>
                <w:bCs/>
              </w:rPr>
              <w:t xml:space="preserve">urpose – </w:t>
            </w:r>
            <w:r w:rsidRPr="00D5638F">
              <w:t xml:space="preserve">Dutyholders demonstrate visible and proactive safety leadership, </w:t>
            </w:r>
            <w:r w:rsidR="000B37F2">
              <w:t>understand</w:t>
            </w:r>
            <w:r w:rsidRPr="00D5638F">
              <w:t xml:space="preserve"> the organisation’s nuclear site health and safety performance and maintain attention on the significant health and safety risks.  There is not a repeated history of formal enforcement</w:t>
            </w:r>
            <w:r>
              <w:t>.</w:t>
            </w:r>
          </w:p>
        </w:tc>
      </w:tr>
      <w:tr w:rsidR="00FC0A26" w:rsidRPr="004957D9" w14:paraId="361874EC" w14:textId="77777777" w:rsidTr="00833D14">
        <w:tc>
          <w:tcPr>
            <w:tcW w:w="735" w:type="pct"/>
          </w:tcPr>
          <w:p w14:paraId="5B66219F" w14:textId="77777777" w:rsidR="00FC0A26" w:rsidRPr="004957D9" w:rsidRDefault="00FC0A26" w:rsidP="00713AC6">
            <w:pPr>
              <w:spacing w:before="60" w:after="60"/>
              <w:rPr>
                <w:sz w:val="22"/>
              </w:rPr>
            </w:pPr>
          </w:p>
        </w:tc>
        <w:tc>
          <w:tcPr>
            <w:tcW w:w="4265" w:type="pct"/>
          </w:tcPr>
          <w:p w14:paraId="7824C7F8" w14:textId="0DE3E25F" w:rsidR="00FC0A26" w:rsidRPr="004957D9" w:rsidRDefault="00FC0A26" w:rsidP="00713AC6">
            <w:pPr>
              <w:spacing w:before="60" w:after="60"/>
              <w:rPr>
                <w:b/>
                <w:bCs/>
              </w:rPr>
            </w:pPr>
            <w:r>
              <w:rPr>
                <w:b/>
                <w:bCs/>
              </w:rPr>
              <w:t xml:space="preserve">Nuclear </w:t>
            </w:r>
            <w:r w:rsidR="00531F3F">
              <w:rPr>
                <w:b/>
                <w:bCs/>
              </w:rPr>
              <w:t>s</w:t>
            </w:r>
            <w:r w:rsidRPr="004957D9">
              <w:rPr>
                <w:b/>
                <w:bCs/>
              </w:rPr>
              <w:t xml:space="preserve">ecurity </w:t>
            </w:r>
            <w:r w:rsidR="00531F3F">
              <w:rPr>
                <w:b/>
                <w:bCs/>
              </w:rPr>
              <w:t>p</w:t>
            </w:r>
            <w:r w:rsidRPr="004957D9">
              <w:rPr>
                <w:b/>
                <w:bCs/>
              </w:rPr>
              <w:t>urpose</w:t>
            </w:r>
            <w:r w:rsidRPr="004957D9">
              <w:t xml:space="preserve"> - </w:t>
            </w:r>
            <w:r w:rsidR="008E6162" w:rsidRPr="008E6162">
              <w:t>ONR has undertaken routine planned compliance inspections and related regulatory engagement and nuclear risks associated with the dutyholder’s activities are well managed in accordance with an adequate and up-to-date security plan. There is not a repeated history of formal enforcement activity</w:t>
            </w:r>
            <w:r w:rsidR="00CD0A0B">
              <w:t>.</w:t>
            </w:r>
          </w:p>
        </w:tc>
      </w:tr>
      <w:tr w:rsidR="00FC0A26" w:rsidRPr="004957D9" w14:paraId="09FE28DB" w14:textId="77777777" w:rsidTr="00833D14">
        <w:tc>
          <w:tcPr>
            <w:tcW w:w="735" w:type="pct"/>
          </w:tcPr>
          <w:p w14:paraId="634A5713" w14:textId="77777777" w:rsidR="00FC0A26" w:rsidRPr="004957D9" w:rsidRDefault="00FC0A26" w:rsidP="00713AC6">
            <w:pPr>
              <w:spacing w:before="60" w:after="60"/>
              <w:rPr>
                <w:sz w:val="22"/>
              </w:rPr>
            </w:pPr>
          </w:p>
        </w:tc>
        <w:tc>
          <w:tcPr>
            <w:tcW w:w="4265" w:type="pct"/>
          </w:tcPr>
          <w:p w14:paraId="35FB6FD6" w14:textId="6969F5B9" w:rsidR="00FC0A26" w:rsidRPr="004957D9" w:rsidRDefault="00FC0A26" w:rsidP="00713AC6">
            <w:pPr>
              <w:spacing w:before="60" w:after="60"/>
              <w:rPr>
                <w:b/>
                <w:bCs/>
              </w:rPr>
            </w:pPr>
            <w:r>
              <w:rPr>
                <w:b/>
                <w:bCs/>
              </w:rPr>
              <w:t xml:space="preserve">Nuclear </w:t>
            </w:r>
            <w:r w:rsidR="00531F3F">
              <w:rPr>
                <w:b/>
                <w:bCs/>
              </w:rPr>
              <w:t>s</w:t>
            </w:r>
            <w:r w:rsidRPr="004957D9">
              <w:rPr>
                <w:b/>
                <w:bCs/>
              </w:rPr>
              <w:t xml:space="preserve">afeguards </w:t>
            </w:r>
            <w:r w:rsidR="00531F3F">
              <w:rPr>
                <w:b/>
                <w:bCs/>
              </w:rPr>
              <w:t>p</w:t>
            </w:r>
            <w:r w:rsidRPr="004957D9">
              <w:rPr>
                <w:b/>
                <w:bCs/>
              </w:rPr>
              <w:t xml:space="preserve">urpose </w:t>
            </w:r>
            <w:r w:rsidRPr="004957D9">
              <w:t>- ONR has undertaken routine planned compliance inspections and assessments of dutyholder Basic Technical Characteristics (BTCs) and Accountancy and Control Plans (ACPs). Nuclear material accountancy reporting is adequate and submitted in a timely manner and dutyholder activities are managed in accordance with an adequate and up to date ACP. Where required, the dutyholder has facilitated IAEA activities in support of the UK meeting its international safeguards obligations. There is not a repeated history of formal enforcement activity.</w:t>
            </w:r>
          </w:p>
        </w:tc>
      </w:tr>
      <w:tr w:rsidR="00FC0A26" w:rsidRPr="004957D9" w14:paraId="7D6501C8" w14:textId="77777777" w:rsidTr="00833D14">
        <w:tc>
          <w:tcPr>
            <w:tcW w:w="735" w:type="pct"/>
          </w:tcPr>
          <w:p w14:paraId="7672114D" w14:textId="77777777" w:rsidR="00FC0A26" w:rsidRPr="004957D9" w:rsidRDefault="00FC0A26" w:rsidP="00713AC6">
            <w:pPr>
              <w:spacing w:before="60" w:after="60"/>
              <w:rPr>
                <w:sz w:val="22"/>
              </w:rPr>
            </w:pPr>
          </w:p>
        </w:tc>
        <w:tc>
          <w:tcPr>
            <w:tcW w:w="4265" w:type="pct"/>
          </w:tcPr>
          <w:p w14:paraId="110EBC93" w14:textId="4BE93167" w:rsidR="00FC0A26" w:rsidRPr="004957D9" w:rsidRDefault="00FC0A26" w:rsidP="00713AC6">
            <w:pPr>
              <w:spacing w:before="60" w:after="60"/>
              <w:rPr>
                <w:b/>
                <w:bCs/>
              </w:rPr>
            </w:pPr>
            <w:r w:rsidRPr="004957D9">
              <w:rPr>
                <w:b/>
                <w:bCs/>
              </w:rPr>
              <w:t xml:space="preserve">Transport </w:t>
            </w:r>
            <w:r w:rsidR="00531F3F">
              <w:rPr>
                <w:b/>
                <w:bCs/>
              </w:rPr>
              <w:t>p</w:t>
            </w:r>
            <w:r w:rsidRPr="004957D9">
              <w:rPr>
                <w:b/>
                <w:bCs/>
              </w:rPr>
              <w:t xml:space="preserve">urpose </w:t>
            </w:r>
            <w:r w:rsidRPr="004957D9">
              <w:t>- ONR has undertaken routine planned compliance inspection, transport permissioning activities and reviewed other forms of regulatory intelligence and the dutyholder’s activities are well managed in accordance with relevant legislation for the transport of radioactive material (Class 7 dangerous goods). There is not a repeated history of formal enforcement activity.</w:t>
            </w:r>
          </w:p>
        </w:tc>
      </w:tr>
    </w:tbl>
    <w:p w14:paraId="27024035" w14:textId="77777777" w:rsidR="00FC0A26" w:rsidRPr="004957D9" w:rsidRDefault="00FC0A26" w:rsidP="00FC0A26">
      <w:pPr>
        <w:spacing w:before="240" w:after="120" w:line="240" w:lineRule="auto"/>
        <w:rPr>
          <w:rFonts w:eastAsia="Times New Roman"/>
          <w:szCs w:val="24"/>
          <w:lang w:bidi="ar-SA"/>
        </w:rPr>
      </w:pPr>
    </w:p>
    <w:p w14:paraId="1C65F01F" w14:textId="77777777" w:rsidR="00FC0A26" w:rsidRPr="004957D9" w:rsidRDefault="00FC0A26" w:rsidP="00FC0A26">
      <w:pPr>
        <w:spacing w:before="60" w:after="60"/>
        <w:rPr>
          <w:b/>
          <w:color w:val="FFFFFF" w:themeColor="background1"/>
        </w:rPr>
        <w:sectPr w:rsidR="00FC0A26" w:rsidRPr="004957D9" w:rsidSect="00FC0A26">
          <w:pgSz w:w="11906" w:h="16838" w:code="9"/>
          <w:pgMar w:top="1440" w:right="1440" w:bottom="1440" w:left="1440" w:header="397" w:footer="397" w:gutter="0"/>
          <w:cols w:space="312"/>
          <w:docGrid w:linePitch="360"/>
        </w:sectPr>
      </w:pPr>
    </w:p>
    <w:p w14:paraId="0DB997F4" w14:textId="77777777" w:rsidR="00FC0A26" w:rsidRPr="004957D9" w:rsidRDefault="00FC0A26" w:rsidP="00FC0A26">
      <w:pPr>
        <w:keepNext/>
        <w:spacing w:after="200" w:line="240" w:lineRule="auto"/>
        <w:rPr>
          <w:b/>
          <w:bCs/>
          <w:color w:val="000000" w:themeColor="text2"/>
          <w:sz w:val="22"/>
        </w:rPr>
        <w:sectPr w:rsidR="00FC0A26" w:rsidRPr="004957D9" w:rsidSect="00FC0A26">
          <w:type w:val="continuous"/>
          <w:pgSz w:w="11906" w:h="16838" w:code="9"/>
          <w:pgMar w:top="1440" w:right="1440" w:bottom="1440" w:left="1440" w:header="397" w:footer="397" w:gutter="0"/>
          <w:cols w:space="312"/>
          <w:docGrid w:linePitch="360"/>
        </w:sectPr>
      </w:pPr>
    </w:p>
    <w:p w14:paraId="24071215" w14:textId="2993EB20" w:rsidR="00FC0A26" w:rsidRPr="004957D9" w:rsidRDefault="00FC0A26" w:rsidP="00FC0A26">
      <w:pPr>
        <w:keepNext/>
        <w:spacing w:after="200" w:line="240" w:lineRule="auto"/>
        <w:rPr>
          <w:b/>
          <w:bCs/>
          <w:color w:val="000000" w:themeColor="text2"/>
          <w:sz w:val="22"/>
        </w:rPr>
      </w:pPr>
      <w:r w:rsidRPr="004957D9">
        <w:rPr>
          <w:b/>
          <w:bCs/>
          <w:color w:val="000000" w:themeColor="text2"/>
          <w:sz w:val="22"/>
        </w:rPr>
        <w:lastRenderedPageBreak/>
        <w:t xml:space="preserve">Table </w:t>
      </w:r>
      <w:r w:rsidRPr="004957D9">
        <w:rPr>
          <w:b/>
          <w:bCs/>
          <w:color w:val="000000" w:themeColor="text2"/>
          <w:sz w:val="22"/>
        </w:rPr>
        <w:fldChar w:fldCharType="begin"/>
      </w:r>
      <w:r w:rsidRPr="004957D9">
        <w:rPr>
          <w:b/>
          <w:bCs/>
          <w:color w:val="000000" w:themeColor="text2"/>
          <w:sz w:val="22"/>
        </w:rPr>
        <w:instrText xml:space="preserve"> SEQ Table \* ARABIC </w:instrText>
      </w:r>
      <w:r w:rsidRPr="004957D9">
        <w:rPr>
          <w:b/>
          <w:bCs/>
          <w:color w:val="000000" w:themeColor="text2"/>
          <w:sz w:val="22"/>
        </w:rPr>
        <w:fldChar w:fldCharType="separate"/>
      </w:r>
      <w:r w:rsidR="00160DB6">
        <w:rPr>
          <w:b/>
          <w:bCs/>
          <w:noProof/>
          <w:color w:val="000000" w:themeColor="text2"/>
          <w:sz w:val="22"/>
        </w:rPr>
        <w:t>2</w:t>
      </w:r>
      <w:r w:rsidRPr="004957D9">
        <w:rPr>
          <w:b/>
          <w:bCs/>
          <w:noProof/>
          <w:color w:val="000000" w:themeColor="text2"/>
          <w:sz w:val="22"/>
        </w:rPr>
        <w:fldChar w:fldCharType="end"/>
      </w:r>
      <w:r w:rsidRPr="004957D9">
        <w:rPr>
          <w:b/>
          <w:bCs/>
          <w:color w:val="000000" w:themeColor="text2"/>
          <w:sz w:val="22"/>
        </w:rPr>
        <w:t xml:space="preserve"> - Regulatory attention level 2</w:t>
      </w:r>
    </w:p>
    <w:tbl>
      <w:tblPr>
        <w:tblW w:w="5000" w:type="pct"/>
        <w:tblBorders>
          <w:top w:val="single" w:sz="4" w:space="0" w:color="006D68"/>
          <w:bottom w:val="single" w:sz="4" w:space="0" w:color="006D68"/>
          <w:insideH w:val="single" w:sz="4" w:space="0" w:color="006D68"/>
        </w:tblBorders>
        <w:tblLook w:val="04A0" w:firstRow="1" w:lastRow="0" w:firstColumn="1" w:lastColumn="0" w:noHBand="0" w:noVBand="1"/>
      </w:tblPr>
      <w:tblGrid>
        <w:gridCol w:w="1327"/>
        <w:gridCol w:w="7699"/>
      </w:tblGrid>
      <w:tr w:rsidR="00FC0A26" w:rsidRPr="004957D9" w14:paraId="6A7BC3E7" w14:textId="77777777" w:rsidTr="00531F3F">
        <w:trPr>
          <w:cantSplit/>
        </w:trPr>
        <w:tc>
          <w:tcPr>
            <w:tcW w:w="735" w:type="pct"/>
            <w:vMerge w:val="restart"/>
          </w:tcPr>
          <w:p w14:paraId="3E4D6A13" w14:textId="77777777" w:rsidR="00FC0A26" w:rsidRPr="004957D9" w:rsidRDefault="00FC0A26" w:rsidP="00713AC6">
            <w:pPr>
              <w:spacing w:before="60" w:after="60"/>
              <w:rPr>
                <w:b/>
                <w:color w:val="FFFFFF" w:themeColor="background1"/>
              </w:rPr>
            </w:pPr>
            <w:r w:rsidRPr="004957D9">
              <w:rPr>
                <w:b/>
                <w:noProof/>
              </w:rPr>
              <mc:AlternateContent>
                <mc:Choice Requires="wps">
                  <w:drawing>
                    <wp:inline distT="0" distB="0" distL="0" distR="0" wp14:anchorId="091FF921" wp14:editId="2AA5210F">
                      <wp:extent cx="698500" cy="571500"/>
                      <wp:effectExtent l="0" t="0" r="6350" b="0"/>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 cy="571500"/>
                              </a:xfrm>
                              <a:prstGeom prst="rect">
                                <a:avLst/>
                              </a:prstGeom>
                              <a:solidFill>
                                <a:srgbClr val="92CDDC"/>
                              </a:solidFill>
                              <a:ln>
                                <a:noFill/>
                              </a:ln>
                              <a:effectLst/>
                            </wps:spPr>
                            <wps:txbx>
                              <w:txbxContent>
                                <w:p w14:paraId="3802E08B" w14:textId="77777777" w:rsidR="00FC0A26" w:rsidRPr="008B5C63" w:rsidRDefault="00FC0A26" w:rsidP="00FC0A26">
                                  <w:pPr>
                                    <w:spacing w:before="120" w:after="0"/>
                                    <w:jc w:val="center"/>
                                    <w:rPr>
                                      <w:b/>
                                      <w:sz w:val="40"/>
                                      <w:szCs w:val="40"/>
                                    </w:rPr>
                                  </w:pPr>
                                  <w:r>
                                    <w:rPr>
                                      <w:b/>
                                      <w:sz w:val="40"/>
                                      <w:szCs w:val="40"/>
                                    </w:rPr>
                                    <w:t>2</w:t>
                                  </w:r>
                                </w:p>
                              </w:txbxContent>
                            </wps:txbx>
                            <wps:bodyPr rot="0" vert="horz" wrap="square" lIns="91440" tIns="45720" rIns="91440" bIns="45720" anchor="t" anchorCtr="0" upright="1">
                              <a:noAutofit/>
                            </wps:bodyPr>
                          </wps:wsp>
                        </a:graphicData>
                      </a:graphic>
                    </wp:inline>
                  </w:drawing>
                </mc:Choice>
                <mc:Fallback>
                  <w:pict>
                    <v:shape w14:anchorId="091FF921" id="Text Box 7" o:spid="_x0000_s1032" type="#_x0000_t202" style="width:55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" fillcolor="#92cddc" stroked="f">
                      <v:textbox>
                        <w:txbxContent>
                          <w:p w14:paraId="3802E08B" w14:textId="77777777" w:rsidR="00FC0A26" w:rsidRPr="008B5C63" w:rsidRDefault="00FC0A26" w:rsidP="00FC0A26">
                            <w:pPr>
                              <w:spacing w:before="120" w:after="0"/>
                              <w:jc w:val="center"/>
                              <w:rPr>
                                <w:b/>
                                <w:sz w:val="40"/>
                                <w:szCs w:val="40"/>
                              </w:rPr>
                            </w:pPr>
                            <w:r>
                              <w:rPr>
                                <w:b/>
                                <w:sz w:val="40"/>
                                <w:szCs w:val="40"/>
                              </w:rPr>
                              <w:t>2</w:t>
                            </w:r>
                          </w:p>
                        </w:txbxContent>
                      </v:textbox>
                      <w10:anchorlock/>
                    </v:shape>
                  </w:pict>
                </mc:Fallback>
              </mc:AlternateContent>
            </w:r>
          </w:p>
        </w:tc>
        <w:tc>
          <w:tcPr>
            <w:tcW w:w="4265" w:type="pct"/>
            <w:shd w:val="clear" w:color="auto" w:fill="006D68"/>
          </w:tcPr>
          <w:p w14:paraId="3AEB2874" w14:textId="7E27B7DF" w:rsidR="00FC0A26" w:rsidRPr="004957D9" w:rsidRDefault="00FC0A26" w:rsidP="00713AC6">
            <w:pPr>
              <w:spacing w:before="60" w:after="60"/>
              <w:rPr>
                <w:b/>
                <w:color w:val="FFFFFF" w:themeColor="background1"/>
              </w:rPr>
            </w:pPr>
            <w:r w:rsidRPr="004957D9">
              <w:rPr>
                <w:b/>
                <w:color w:val="FFFFFF" w:themeColor="background1"/>
              </w:rPr>
              <w:t xml:space="preserve">Level 2 – Enhanced </w:t>
            </w:r>
            <w:r w:rsidR="00531F3F">
              <w:rPr>
                <w:b/>
                <w:color w:val="FFFFFF" w:themeColor="background1"/>
              </w:rPr>
              <w:t>r</w:t>
            </w:r>
            <w:r w:rsidRPr="004957D9">
              <w:rPr>
                <w:b/>
                <w:color w:val="FFFFFF" w:themeColor="background1"/>
              </w:rPr>
              <w:t xml:space="preserve">egulatory </w:t>
            </w:r>
            <w:r w:rsidR="00531F3F">
              <w:rPr>
                <w:b/>
                <w:color w:val="FFFFFF" w:themeColor="background1"/>
              </w:rPr>
              <w:t>a</w:t>
            </w:r>
            <w:r w:rsidRPr="004957D9">
              <w:rPr>
                <w:b/>
                <w:color w:val="FFFFFF" w:themeColor="background1"/>
              </w:rPr>
              <w:t>ttention</w:t>
            </w:r>
          </w:p>
        </w:tc>
      </w:tr>
      <w:tr w:rsidR="00FC0A26" w:rsidRPr="004957D9" w14:paraId="6B730594" w14:textId="77777777" w:rsidTr="00531F3F">
        <w:trPr>
          <w:cantSplit/>
        </w:trPr>
        <w:tc>
          <w:tcPr>
            <w:tcW w:w="735" w:type="pct"/>
            <w:vMerge/>
          </w:tcPr>
          <w:p w14:paraId="291765FD" w14:textId="77777777" w:rsidR="00FC0A26" w:rsidRPr="004957D9" w:rsidRDefault="00FC0A26" w:rsidP="00713AC6">
            <w:pPr>
              <w:spacing w:before="60" w:after="60"/>
              <w:rPr>
                <w:sz w:val="22"/>
              </w:rPr>
            </w:pPr>
          </w:p>
        </w:tc>
        <w:tc>
          <w:tcPr>
            <w:tcW w:w="4265" w:type="pct"/>
          </w:tcPr>
          <w:p w14:paraId="01B05210" w14:textId="505E533D" w:rsidR="00FC0A26" w:rsidRPr="004957D9" w:rsidRDefault="00531F3F" w:rsidP="00713AC6">
            <w:pPr>
              <w:spacing w:before="60" w:after="60"/>
            </w:pPr>
            <w:r>
              <w:rPr>
                <w:b/>
                <w:bCs/>
              </w:rPr>
              <w:t>Nuclear s</w:t>
            </w:r>
            <w:r w:rsidRPr="004957D9">
              <w:rPr>
                <w:b/>
                <w:bCs/>
              </w:rPr>
              <w:t xml:space="preserve">afety </w:t>
            </w:r>
            <w:r>
              <w:rPr>
                <w:b/>
                <w:bCs/>
              </w:rPr>
              <w:t>p</w:t>
            </w:r>
            <w:r w:rsidRPr="004957D9">
              <w:rPr>
                <w:b/>
                <w:bCs/>
              </w:rPr>
              <w:t>urpose</w:t>
            </w:r>
            <w:r w:rsidRPr="004957D9">
              <w:t xml:space="preserve"> </w:t>
            </w:r>
            <w:r w:rsidR="00FC0A26" w:rsidRPr="004957D9">
              <w:t>- Enhanced regulatory attention describes a higher level of regulatory activity paid to the dutyholder. This may be influenced by:</w:t>
            </w:r>
          </w:p>
          <w:p w14:paraId="6448D74C" w14:textId="77777777" w:rsidR="00FC0A26" w:rsidRPr="004957D9" w:rsidRDefault="00FC0A26" w:rsidP="00531F3F">
            <w:pPr>
              <w:pStyle w:val="Bulletlist1"/>
              <w:spacing w:after="120"/>
              <w:ind w:left="403"/>
              <w:rPr>
                <w:lang w:bidi="ar-SA"/>
              </w:rPr>
            </w:pPr>
            <w:r w:rsidRPr="004957D9">
              <w:rPr>
                <w:lang w:bidi="ar-SA"/>
              </w:rPr>
              <w:t>An increasing level of risk or hazard profile in the licensee’s undertakings</w:t>
            </w:r>
          </w:p>
          <w:p w14:paraId="5978743F" w14:textId="77777777" w:rsidR="00FC0A26" w:rsidRPr="004957D9" w:rsidRDefault="00FC0A26" w:rsidP="00531F3F">
            <w:pPr>
              <w:pStyle w:val="Bulletlist1"/>
              <w:spacing w:after="120"/>
              <w:ind w:left="403"/>
              <w:rPr>
                <w:lang w:bidi="ar-SA"/>
              </w:rPr>
            </w:pPr>
            <w:r w:rsidRPr="004957D9">
              <w:rPr>
                <w:lang w:bidi="ar-SA"/>
              </w:rPr>
              <w:t>Recent formal enforcement activity, particularly of repeated nature,</w:t>
            </w:r>
          </w:p>
          <w:p w14:paraId="7D108C78" w14:textId="77777777" w:rsidR="00FC0A26" w:rsidRPr="004957D9" w:rsidRDefault="00FC0A26" w:rsidP="00531F3F">
            <w:pPr>
              <w:pStyle w:val="Bulletlist1"/>
              <w:spacing w:after="120"/>
              <w:ind w:left="403"/>
              <w:rPr>
                <w:lang w:bidi="ar-SA"/>
              </w:rPr>
            </w:pPr>
            <w:r w:rsidRPr="004957D9">
              <w:rPr>
                <w:lang w:bidi="ar-SA"/>
              </w:rPr>
              <w:t>Challenging and complex assessment issues that require enhanced specialist inspector attention</w:t>
            </w:r>
          </w:p>
          <w:p w14:paraId="7EE9D3E5" w14:textId="77777777" w:rsidR="00FC0A26" w:rsidRPr="004957D9" w:rsidRDefault="00FC0A26" w:rsidP="00531F3F">
            <w:pPr>
              <w:pStyle w:val="Bulletlist1"/>
              <w:spacing w:after="120"/>
              <w:ind w:left="403"/>
              <w:rPr>
                <w:lang w:bidi="ar-SA"/>
              </w:rPr>
            </w:pPr>
            <w:r w:rsidRPr="004957D9">
              <w:rPr>
                <w:lang w:bidi="ar-SA"/>
              </w:rPr>
              <w:t xml:space="preserve">Emergent or long-standing safety issues and/or the risk associated with the facilities in question. </w:t>
            </w:r>
          </w:p>
        </w:tc>
      </w:tr>
      <w:tr w:rsidR="00FC0A26" w:rsidRPr="004957D9" w14:paraId="2259EDA5" w14:textId="77777777" w:rsidTr="00531F3F">
        <w:trPr>
          <w:cantSplit/>
        </w:trPr>
        <w:tc>
          <w:tcPr>
            <w:tcW w:w="735" w:type="pct"/>
            <w:vMerge/>
          </w:tcPr>
          <w:p w14:paraId="36A9F5AD" w14:textId="77777777" w:rsidR="00FC0A26" w:rsidRPr="004957D9" w:rsidRDefault="00FC0A26" w:rsidP="00713AC6">
            <w:pPr>
              <w:spacing w:before="60" w:after="60"/>
              <w:rPr>
                <w:sz w:val="22"/>
              </w:rPr>
            </w:pPr>
          </w:p>
        </w:tc>
        <w:tc>
          <w:tcPr>
            <w:tcW w:w="4265" w:type="pct"/>
          </w:tcPr>
          <w:p w14:paraId="3142D1E1" w14:textId="46BFD428" w:rsidR="00FC0A26" w:rsidRPr="002825C8" w:rsidRDefault="00531F3F" w:rsidP="00713AC6">
            <w:pPr>
              <w:spacing w:before="60" w:after="60"/>
            </w:pPr>
            <w:r w:rsidRPr="00D5638F">
              <w:rPr>
                <w:b/>
                <w:bCs/>
              </w:rPr>
              <w:t xml:space="preserve">Nuclear </w:t>
            </w:r>
            <w:r>
              <w:rPr>
                <w:b/>
                <w:bCs/>
              </w:rPr>
              <w:t>s</w:t>
            </w:r>
            <w:r w:rsidRPr="00D5638F">
              <w:rPr>
                <w:b/>
                <w:bCs/>
              </w:rPr>
              <w:t xml:space="preserve">ite </w:t>
            </w:r>
            <w:r>
              <w:rPr>
                <w:b/>
                <w:bCs/>
              </w:rPr>
              <w:t>h</w:t>
            </w:r>
            <w:r w:rsidRPr="00D5638F">
              <w:rPr>
                <w:b/>
                <w:bCs/>
              </w:rPr>
              <w:t xml:space="preserve">ealth and </w:t>
            </w:r>
            <w:r>
              <w:rPr>
                <w:b/>
                <w:bCs/>
              </w:rPr>
              <w:t>s</w:t>
            </w:r>
            <w:r w:rsidRPr="00D5638F">
              <w:rPr>
                <w:b/>
                <w:bCs/>
              </w:rPr>
              <w:t xml:space="preserve">afety </w:t>
            </w:r>
            <w:r>
              <w:rPr>
                <w:b/>
                <w:bCs/>
              </w:rPr>
              <w:t>p</w:t>
            </w:r>
            <w:r w:rsidRPr="00D5638F">
              <w:rPr>
                <w:b/>
                <w:bCs/>
              </w:rPr>
              <w:t xml:space="preserve">urpose </w:t>
            </w:r>
            <w:r w:rsidR="00FC0A26" w:rsidRPr="00531F3F">
              <w:t>–</w:t>
            </w:r>
            <w:r w:rsidR="00FC0A26" w:rsidRPr="002825C8">
              <w:rPr>
                <w:b/>
                <w:bCs/>
              </w:rPr>
              <w:t xml:space="preserve"> </w:t>
            </w:r>
            <w:r w:rsidR="00FC0A26" w:rsidRPr="002825C8">
              <w:t>Enhanced regulatory attention describes a higher level of regulatory activity.  This may be influenced by:</w:t>
            </w:r>
          </w:p>
          <w:p w14:paraId="6B7A6B05" w14:textId="77777777" w:rsidR="00FC0A26" w:rsidRPr="002825C8" w:rsidRDefault="00FC0A26" w:rsidP="00531F3F">
            <w:pPr>
              <w:pStyle w:val="Bulletlist1"/>
              <w:spacing w:after="120"/>
              <w:ind w:left="403"/>
            </w:pPr>
            <w:r w:rsidRPr="002825C8">
              <w:t>Inadequate nuclear site health and safety leadership – reactive in nature (responding to the regulator’s gaze, rather than proactively managing health and safety, and over-reliance on ‘lagging indicators to judge health and safety performance).</w:t>
            </w:r>
          </w:p>
          <w:p w14:paraId="52688731" w14:textId="77777777" w:rsidR="00FC0A26" w:rsidRPr="002825C8" w:rsidRDefault="00FC0A26" w:rsidP="00531F3F">
            <w:pPr>
              <w:pStyle w:val="Bulletlist1"/>
              <w:spacing w:after="120"/>
              <w:ind w:left="403"/>
            </w:pPr>
            <w:r w:rsidRPr="002825C8">
              <w:t>Inadequate arrangements for risk profiling resulting in failure to prioritise significant health and safety risks or respond to a changing risk profile.</w:t>
            </w:r>
          </w:p>
          <w:p w14:paraId="0F173DB1" w14:textId="77777777" w:rsidR="00FC0A26" w:rsidRPr="002825C8" w:rsidRDefault="00FC0A26" w:rsidP="00531F3F">
            <w:pPr>
              <w:pStyle w:val="Bulletlist1"/>
              <w:spacing w:after="120"/>
              <w:ind w:left="403"/>
            </w:pPr>
            <w:r w:rsidRPr="002825C8">
              <w:t>Declining health and safety performance in key risk areas and/or failure to achieve sustained compliance resulting in repeated formal enforcement action.</w:t>
            </w:r>
          </w:p>
          <w:p w14:paraId="09A66F71" w14:textId="77777777" w:rsidR="00FC0A26" w:rsidRDefault="00FC0A26" w:rsidP="00531F3F">
            <w:pPr>
              <w:pStyle w:val="Bulletlist1"/>
              <w:spacing w:after="120"/>
              <w:ind w:left="403"/>
            </w:pPr>
            <w:r w:rsidRPr="002825C8">
              <w:t>Repeated failure to deliver against agreed programmes of improvement in key risk areas.</w:t>
            </w:r>
          </w:p>
          <w:p w14:paraId="510E081C" w14:textId="77777777" w:rsidR="00FC0A26" w:rsidRPr="004957D9" w:rsidRDefault="00FC0A26" w:rsidP="00531F3F">
            <w:pPr>
              <w:pStyle w:val="Bulletlist1"/>
              <w:spacing w:after="120"/>
              <w:ind w:left="403"/>
            </w:pPr>
            <w:r w:rsidRPr="002825C8">
              <w:t>Serious shortfalls in assurance/monitoring of nuclear site safety performance.</w:t>
            </w:r>
          </w:p>
        </w:tc>
      </w:tr>
      <w:tr w:rsidR="00FC0A26" w:rsidRPr="004957D9" w14:paraId="72B3B66C" w14:textId="77777777" w:rsidTr="00531F3F">
        <w:trPr>
          <w:cantSplit/>
        </w:trPr>
        <w:tc>
          <w:tcPr>
            <w:tcW w:w="735" w:type="pct"/>
          </w:tcPr>
          <w:p w14:paraId="6EFE93C0" w14:textId="77777777" w:rsidR="00FC0A26" w:rsidRPr="004957D9" w:rsidRDefault="00FC0A26" w:rsidP="00713AC6">
            <w:pPr>
              <w:spacing w:before="60" w:after="60"/>
              <w:rPr>
                <w:sz w:val="22"/>
              </w:rPr>
            </w:pPr>
          </w:p>
        </w:tc>
        <w:tc>
          <w:tcPr>
            <w:tcW w:w="4265" w:type="pct"/>
          </w:tcPr>
          <w:p w14:paraId="38A3C7E5" w14:textId="6EAE22B5" w:rsidR="00D80A9B" w:rsidRDefault="00531F3F" w:rsidP="00833D14">
            <w:pPr>
              <w:pStyle w:val="Bulletlist1"/>
              <w:numPr>
                <w:ilvl w:val="0"/>
                <w:numId w:val="0"/>
              </w:numPr>
              <w:ind w:left="-15"/>
            </w:pPr>
            <w:r>
              <w:rPr>
                <w:b/>
              </w:rPr>
              <w:t xml:space="preserve">Nuclear </w:t>
            </w:r>
            <w:r>
              <w:rPr>
                <w:b/>
                <w:bCs w:val="0"/>
              </w:rPr>
              <w:t>s</w:t>
            </w:r>
            <w:r w:rsidRPr="004957D9">
              <w:rPr>
                <w:b/>
              </w:rPr>
              <w:t xml:space="preserve">ecurity </w:t>
            </w:r>
            <w:r>
              <w:rPr>
                <w:b/>
                <w:bCs w:val="0"/>
              </w:rPr>
              <w:t>p</w:t>
            </w:r>
            <w:r w:rsidRPr="004957D9">
              <w:rPr>
                <w:b/>
              </w:rPr>
              <w:t>urpose</w:t>
            </w:r>
            <w:r w:rsidRPr="004957D9">
              <w:t xml:space="preserve"> </w:t>
            </w:r>
            <w:r w:rsidR="00FC0A26" w:rsidRPr="004957D9">
              <w:t xml:space="preserve">- </w:t>
            </w:r>
            <w:r w:rsidR="00D80A9B">
              <w:t>Enhanced regulatory attention describes a higher level of regulatory activity paid to the dutyholder. This may be influenced by:</w:t>
            </w:r>
          </w:p>
          <w:p w14:paraId="7E385B94" w14:textId="28138B46" w:rsidR="00D80A9B" w:rsidRDefault="00D80A9B" w:rsidP="00531F3F">
            <w:pPr>
              <w:pStyle w:val="Bulletlist1"/>
              <w:spacing w:after="120"/>
              <w:ind w:left="545"/>
            </w:pPr>
            <w:r>
              <w:t>An increasing level of risk or hazard profile in the licensee’s undertakings</w:t>
            </w:r>
          </w:p>
          <w:p w14:paraId="531E303B" w14:textId="00C3E5A7" w:rsidR="00D80A9B" w:rsidRDefault="00D80A9B" w:rsidP="00531F3F">
            <w:pPr>
              <w:pStyle w:val="Bulletlist1"/>
              <w:spacing w:after="120"/>
              <w:ind w:left="545"/>
            </w:pPr>
            <w:r>
              <w:t>Recent formal enforcement activity, particularly of repeated nature,</w:t>
            </w:r>
          </w:p>
          <w:p w14:paraId="451CF2FA" w14:textId="7DF07A81" w:rsidR="00E73109" w:rsidRDefault="00D80A9B" w:rsidP="00531F3F">
            <w:pPr>
              <w:pStyle w:val="Bulletlist1"/>
              <w:spacing w:after="120"/>
              <w:ind w:left="545"/>
            </w:pPr>
            <w:r>
              <w:t>Challenging and complex assessment issues that require enhanced specialist inspector attention</w:t>
            </w:r>
            <w:r w:rsidR="00B833B6">
              <w:t>.</w:t>
            </w:r>
          </w:p>
          <w:p w14:paraId="37773186" w14:textId="1967FB36" w:rsidR="00FC0A26" w:rsidRPr="00E73109" w:rsidRDefault="00D80A9B" w:rsidP="00531F3F">
            <w:pPr>
              <w:pStyle w:val="Bulletlist1"/>
              <w:spacing w:after="120"/>
              <w:ind w:left="545"/>
            </w:pPr>
            <w:r>
              <w:t>Emergent or long-standing security issues and/or the risk associated with the facilities in question.</w:t>
            </w:r>
          </w:p>
        </w:tc>
      </w:tr>
      <w:tr w:rsidR="00FC0A26" w:rsidRPr="004957D9" w14:paraId="705008B9" w14:textId="77777777" w:rsidTr="00531F3F">
        <w:trPr>
          <w:cantSplit/>
        </w:trPr>
        <w:tc>
          <w:tcPr>
            <w:tcW w:w="735" w:type="pct"/>
          </w:tcPr>
          <w:p w14:paraId="736A37C8" w14:textId="77777777" w:rsidR="00FC0A26" w:rsidRPr="004957D9" w:rsidRDefault="00FC0A26" w:rsidP="00713AC6">
            <w:pPr>
              <w:spacing w:before="60" w:after="60"/>
              <w:rPr>
                <w:sz w:val="22"/>
              </w:rPr>
            </w:pPr>
          </w:p>
        </w:tc>
        <w:tc>
          <w:tcPr>
            <w:tcW w:w="4265" w:type="pct"/>
          </w:tcPr>
          <w:p w14:paraId="4CEAD8E2" w14:textId="19C19AAB" w:rsidR="00FC0A26" w:rsidRPr="004957D9" w:rsidRDefault="00FC0A26" w:rsidP="00713AC6">
            <w:pPr>
              <w:spacing w:before="60" w:after="60"/>
            </w:pPr>
            <w:r>
              <w:rPr>
                <w:b/>
                <w:bCs/>
              </w:rPr>
              <w:t xml:space="preserve">Nuclear </w:t>
            </w:r>
            <w:r w:rsidR="00531F3F">
              <w:rPr>
                <w:b/>
                <w:bCs/>
              </w:rPr>
              <w:t>s</w:t>
            </w:r>
            <w:r w:rsidRPr="004957D9">
              <w:rPr>
                <w:b/>
                <w:bCs/>
              </w:rPr>
              <w:t xml:space="preserve">afeguards </w:t>
            </w:r>
            <w:r w:rsidR="00531F3F">
              <w:rPr>
                <w:b/>
                <w:bCs/>
              </w:rPr>
              <w:t>p</w:t>
            </w:r>
            <w:r w:rsidRPr="004957D9">
              <w:rPr>
                <w:b/>
                <w:bCs/>
              </w:rPr>
              <w:t>urpose</w:t>
            </w:r>
            <w:r w:rsidRPr="004957D9">
              <w:t xml:space="preserve"> - Enhanced regulatory attention describes a higher level of regulatory activity paid to the dutyholder. This may be influenced by:</w:t>
            </w:r>
          </w:p>
          <w:p w14:paraId="688F3F39" w14:textId="77777777" w:rsidR="00FC0A26" w:rsidRPr="004957D9" w:rsidRDefault="00FC0A26" w:rsidP="00531F3F">
            <w:pPr>
              <w:pStyle w:val="Bulletlist1"/>
              <w:spacing w:after="120"/>
              <w:ind w:left="545"/>
              <w:rPr>
                <w:lang w:bidi="ar-SA"/>
              </w:rPr>
            </w:pPr>
            <w:r w:rsidRPr="004957D9">
              <w:rPr>
                <w:lang w:bidi="ar-SA"/>
              </w:rPr>
              <w:t>An increasing level of safeguards significance in the dutyholders undertakings</w:t>
            </w:r>
          </w:p>
          <w:p w14:paraId="5A7967D7" w14:textId="77777777" w:rsidR="00FC0A26" w:rsidRPr="004957D9" w:rsidRDefault="00FC0A26" w:rsidP="00531F3F">
            <w:pPr>
              <w:pStyle w:val="Bulletlist1"/>
              <w:spacing w:after="120"/>
              <w:ind w:left="545"/>
              <w:rPr>
                <w:lang w:bidi="ar-SA"/>
              </w:rPr>
            </w:pPr>
            <w:r w:rsidRPr="004957D9">
              <w:rPr>
                <w:lang w:bidi="ar-SA"/>
              </w:rPr>
              <w:t>Evidence of issues in facilitation of the IAEAs safeguards activities which may impact on the UKs ability to meet its international safeguards obligations</w:t>
            </w:r>
          </w:p>
          <w:p w14:paraId="7E917FCA" w14:textId="77777777" w:rsidR="00FC0A26" w:rsidRPr="00A46988" w:rsidRDefault="00FC0A26" w:rsidP="00531F3F">
            <w:pPr>
              <w:pStyle w:val="Bulletlist1"/>
              <w:spacing w:after="120"/>
              <w:ind w:left="545"/>
              <w:rPr>
                <w:b/>
                <w:lang w:bidi="ar-SA"/>
              </w:rPr>
            </w:pPr>
            <w:r w:rsidRPr="004957D9">
              <w:rPr>
                <w:lang w:bidi="ar-SA"/>
              </w:rPr>
              <w:t>Recent formal enforcement activity, particularly of a repeated nature (including issues with nuclear material accountancy reporting)</w:t>
            </w:r>
          </w:p>
          <w:p w14:paraId="2EE05CAC" w14:textId="77777777" w:rsidR="00FC0A26" w:rsidRPr="00A46988" w:rsidRDefault="00FC0A26" w:rsidP="00531F3F">
            <w:pPr>
              <w:pStyle w:val="Bulletlist1"/>
              <w:spacing w:after="120"/>
              <w:ind w:left="545"/>
              <w:rPr>
                <w:b/>
                <w:lang w:bidi="ar-SA"/>
              </w:rPr>
            </w:pPr>
            <w:r w:rsidRPr="004957D9">
              <w:rPr>
                <w:lang w:bidi="ar-SA"/>
              </w:rPr>
              <w:t>Emergent or long-standing safeguards issues and/or the safeguards significance associated with the facilities in question</w:t>
            </w:r>
          </w:p>
        </w:tc>
      </w:tr>
      <w:tr w:rsidR="00FC0A26" w:rsidRPr="004957D9" w14:paraId="7F7E073A" w14:textId="77777777" w:rsidTr="00531F3F">
        <w:trPr>
          <w:cantSplit/>
        </w:trPr>
        <w:tc>
          <w:tcPr>
            <w:tcW w:w="735" w:type="pct"/>
          </w:tcPr>
          <w:p w14:paraId="496BA408" w14:textId="77777777" w:rsidR="00FC0A26" w:rsidRPr="004957D9" w:rsidRDefault="00FC0A26" w:rsidP="00713AC6">
            <w:pPr>
              <w:spacing w:before="60" w:after="60"/>
              <w:rPr>
                <w:sz w:val="22"/>
              </w:rPr>
            </w:pPr>
          </w:p>
        </w:tc>
        <w:tc>
          <w:tcPr>
            <w:tcW w:w="4265" w:type="pct"/>
          </w:tcPr>
          <w:p w14:paraId="4180A671" w14:textId="669D247D" w:rsidR="00FC0A26" w:rsidRPr="004957D9" w:rsidRDefault="00FC0A26" w:rsidP="00713AC6">
            <w:pPr>
              <w:spacing w:before="60" w:after="60"/>
              <w:rPr>
                <w:b/>
                <w:bCs/>
              </w:rPr>
            </w:pPr>
            <w:r w:rsidRPr="004957D9">
              <w:rPr>
                <w:b/>
                <w:bCs/>
              </w:rPr>
              <w:t xml:space="preserve">Transport </w:t>
            </w:r>
            <w:r w:rsidR="00531F3F">
              <w:rPr>
                <w:b/>
                <w:bCs/>
              </w:rPr>
              <w:t>p</w:t>
            </w:r>
            <w:r w:rsidRPr="004957D9">
              <w:rPr>
                <w:b/>
                <w:bCs/>
              </w:rPr>
              <w:t>urpose</w:t>
            </w:r>
            <w:r w:rsidRPr="004957D9">
              <w:t xml:space="preserve"> - Evidence of significant instances of non-compliance or other issues demanding ONR attention or enforcement to oversee effective resolution</w:t>
            </w:r>
            <w:r>
              <w:t>.</w:t>
            </w:r>
          </w:p>
        </w:tc>
      </w:tr>
    </w:tbl>
    <w:p w14:paraId="20E83588" w14:textId="77777777" w:rsidR="00FC0A26" w:rsidRPr="004957D9" w:rsidRDefault="00FC0A26" w:rsidP="00FC0A26">
      <w:pPr>
        <w:spacing w:before="240" w:after="120" w:line="240" w:lineRule="auto"/>
        <w:ind w:left="792"/>
        <w:rPr>
          <w:rFonts w:eastAsia="Times New Roman"/>
          <w:szCs w:val="24"/>
          <w:lang w:bidi="ar-SA"/>
        </w:rPr>
      </w:pPr>
    </w:p>
    <w:p w14:paraId="075A66D2" w14:textId="77777777" w:rsidR="00FC0A26" w:rsidRPr="004957D9" w:rsidRDefault="00FC0A26" w:rsidP="00FC0A26">
      <w:pPr>
        <w:spacing w:before="60" w:after="60"/>
        <w:rPr>
          <w:b/>
          <w:color w:val="FFFFFF" w:themeColor="background1"/>
        </w:rPr>
        <w:sectPr w:rsidR="00FC0A26" w:rsidRPr="004957D9" w:rsidSect="00FC0A26">
          <w:pgSz w:w="11906" w:h="16838" w:code="9"/>
          <w:pgMar w:top="1440" w:right="1440" w:bottom="1440" w:left="1440" w:header="397" w:footer="397" w:gutter="0"/>
          <w:cols w:space="312"/>
          <w:docGrid w:linePitch="360"/>
        </w:sectPr>
      </w:pPr>
    </w:p>
    <w:p w14:paraId="3227338C" w14:textId="77777777" w:rsidR="00FC0A26" w:rsidRPr="004957D9" w:rsidRDefault="00FC0A26" w:rsidP="00FC0A26">
      <w:pPr>
        <w:keepNext/>
        <w:spacing w:after="200" w:line="240" w:lineRule="auto"/>
        <w:rPr>
          <w:b/>
          <w:bCs/>
          <w:color w:val="000000" w:themeColor="text2"/>
          <w:sz w:val="22"/>
        </w:rPr>
        <w:sectPr w:rsidR="00FC0A26" w:rsidRPr="004957D9" w:rsidSect="00FC0A26">
          <w:type w:val="continuous"/>
          <w:pgSz w:w="11906" w:h="16838" w:code="9"/>
          <w:pgMar w:top="1440" w:right="1440" w:bottom="1440" w:left="1440" w:header="397" w:footer="397" w:gutter="0"/>
          <w:cols w:space="312"/>
          <w:docGrid w:linePitch="360"/>
        </w:sectPr>
      </w:pPr>
      <w:bookmarkStart w:id="11" w:name="_Ref150247606"/>
    </w:p>
    <w:p w14:paraId="24F1509C" w14:textId="23736D8A" w:rsidR="00FC0A26" w:rsidRPr="004957D9" w:rsidRDefault="00FC0A26" w:rsidP="00FC0A26">
      <w:pPr>
        <w:keepNext/>
        <w:spacing w:after="200" w:line="240" w:lineRule="auto"/>
        <w:rPr>
          <w:b/>
          <w:bCs/>
          <w:color w:val="000000" w:themeColor="text2"/>
          <w:sz w:val="22"/>
        </w:rPr>
      </w:pPr>
      <w:r w:rsidRPr="004957D9">
        <w:rPr>
          <w:b/>
          <w:bCs/>
          <w:color w:val="000000" w:themeColor="text2"/>
          <w:sz w:val="22"/>
        </w:rPr>
        <w:lastRenderedPageBreak/>
        <w:t xml:space="preserve">Table </w:t>
      </w:r>
      <w:r w:rsidRPr="004957D9">
        <w:rPr>
          <w:b/>
          <w:bCs/>
          <w:color w:val="000000" w:themeColor="text2"/>
          <w:sz w:val="22"/>
        </w:rPr>
        <w:fldChar w:fldCharType="begin"/>
      </w:r>
      <w:r w:rsidRPr="004957D9">
        <w:rPr>
          <w:b/>
          <w:bCs/>
          <w:color w:val="000000" w:themeColor="text2"/>
          <w:sz w:val="22"/>
        </w:rPr>
        <w:instrText xml:space="preserve"> SEQ Table \* ARABIC </w:instrText>
      </w:r>
      <w:r w:rsidRPr="004957D9">
        <w:rPr>
          <w:b/>
          <w:bCs/>
          <w:color w:val="000000" w:themeColor="text2"/>
          <w:sz w:val="22"/>
        </w:rPr>
        <w:fldChar w:fldCharType="separate"/>
      </w:r>
      <w:r w:rsidR="00160DB6">
        <w:rPr>
          <w:b/>
          <w:bCs/>
          <w:noProof/>
          <w:color w:val="000000" w:themeColor="text2"/>
          <w:sz w:val="22"/>
        </w:rPr>
        <w:t>3</w:t>
      </w:r>
      <w:r w:rsidRPr="004957D9">
        <w:rPr>
          <w:b/>
          <w:bCs/>
          <w:noProof/>
          <w:color w:val="000000" w:themeColor="text2"/>
          <w:sz w:val="22"/>
        </w:rPr>
        <w:fldChar w:fldCharType="end"/>
      </w:r>
      <w:bookmarkEnd w:id="11"/>
      <w:r w:rsidRPr="004957D9">
        <w:rPr>
          <w:b/>
          <w:bCs/>
          <w:color w:val="000000" w:themeColor="text2"/>
          <w:sz w:val="22"/>
        </w:rPr>
        <w:t xml:space="preserve"> - Regulatory attention level 1</w:t>
      </w:r>
    </w:p>
    <w:tbl>
      <w:tblPr>
        <w:tblW w:w="5000" w:type="pct"/>
        <w:tblBorders>
          <w:top w:val="single" w:sz="4" w:space="0" w:color="006D68"/>
          <w:bottom w:val="single" w:sz="4" w:space="0" w:color="006D68"/>
          <w:insideH w:val="single" w:sz="4" w:space="0" w:color="006D68"/>
        </w:tblBorders>
        <w:tblLook w:val="04A0" w:firstRow="1" w:lastRow="0" w:firstColumn="1" w:lastColumn="0" w:noHBand="0" w:noVBand="1"/>
      </w:tblPr>
      <w:tblGrid>
        <w:gridCol w:w="1327"/>
        <w:gridCol w:w="7699"/>
      </w:tblGrid>
      <w:tr w:rsidR="00FC0A26" w:rsidRPr="004957D9" w14:paraId="2EF28017" w14:textId="77777777" w:rsidTr="00531F3F">
        <w:trPr>
          <w:cantSplit/>
        </w:trPr>
        <w:tc>
          <w:tcPr>
            <w:tcW w:w="735" w:type="pct"/>
            <w:vMerge w:val="restart"/>
          </w:tcPr>
          <w:p w14:paraId="58AE46D7" w14:textId="77777777" w:rsidR="00FC0A26" w:rsidRPr="004957D9" w:rsidRDefault="00FC0A26" w:rsidP="00713AC6">
            <w:pPr>
              <w:spacing w:before="60" w:after="60"/>
              <w:rPr>
                <w:b/>
                <w:color w:val="FFFFFF" w:themeColor="background1"/>
              </w:rPr>
            </w:pPr>
            <w:r w:rsidRPr="004957D9">
              <w:rPr>
                <w:b/>
                <w:noProof/>
              </w:rPr>
              <mc:AlternateContent>
                <mc:Choice Requires="wps">
                  <w:drawing>
                    <wp:inline distT="0" distB="0" distL="0" distR="0" wp14:anchorId="1BF20D86" wp14:editId="2FFD95B0">
                      <wp:extent cx="698500" cy="571500"/>
                      <wp:effectExtent l="0" t="0" r="6350" b="0"/>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 cy="571500"/>
                              </a:xfrm>
                              <a:prstGeom prst="rect">
                                <a:avLst/>
                              </a:prstGeom>
                              <a:solidFill>
                                <a:srgbClr val="205867"/>
                              </a:solidFill>
                              <a:ln>
                                <a:noFill/>
                              </a:ln>
                              <a:effectLst/>
                            </wps:spPr>
                            <wps:txbx>
                              <w:txbxContent>
                                <w:p w14:paraId="2C0036A1" w14:textId="77777777" w:rsidR="00FC0A26" w:rsidRPr="006361F8" w:rsidRDefault="00FC0A26" w:rsidP="00FC0A26">
                                  <w:pPr>
                                    <w:spacing w:before="120" w:after="0"/>
                                    <w:jc w:val="center"/>
                                    <w:rPr>
                                      <w:b/>
                                      <w:color w:val="FFFFFF" w:themeColor="background1"/>
                                      <w:sz w:val="40"/>
                                      <w:szCs w:val="40"/>
                                    </w:rPr>
                                  </w:pPr>
                                  <w:r w:rsidRPr="006361F8">
                                    <w:rPr>
                                      <w:b/>
                                      <w:color w:val="FFFFFF" w:themeColor="background1"/>
                                      <w:sz w:val="40"/>
                                      <w:szCs w:val="40"/>
                                    </w:rPr>
                                    <w:t>1</w:t>
                                  </w:r>
                                </w:p>
                              </w:txbxContent>
                            </wps:txbx>
                            <wps:bodyPr rot="0" vert="horz" wrap="square" lIns="91440" tIns="45720" rIns="91440" bIns="45720" anchor="t" anchorCtr="0" upright="1">
                              <a:noAutofit/>
                            </wps:bodyPr>
                          </wps:wsp>
                        </a:graphicData>
                      </a:graphic>
                    </wp:inline>
                  </w:drawing>
                </mc:Choice>
                <mc:Fallback>
                  <w:pict>
                    <v:shape w14:anchorId="1BF20D86" id="Text Box 9" o:spid="_x0000_s1033" type="#_x0000_t202" style="width:55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" fillcolor="#205867" stroked="f">
                      <v:textbox>
                        <w:txbxContent>
                          <w:p w14:paraId="2C0036A1" w14:textId="77777777" w:rsidR="00FC0A26" w:rsidRPr="006361F8" w:rsidRDefault="00FC0A26" w:rsidP="00FC0A26">
                            <w:pPr>
                              <w:spacing w:before="120" w:after="0"/>
                              <w:jc w:val="center"/>
                              <w:rPr>
                                <w:b/>
                                <w:color w:val="FFFFFF" w:themeColor="background1"/>
                                <w:sz w:val="40"/>
                                <w:szCs w:val="40"/>
                              </w:rPr>
                            </w:pPr>
                            <w:r w:rsidRPr="006361F8">
                              <w:rPr>
                                <w:b/>
                                <w:color w:val="FFFFFF" w:themeColor="background1"/>
                                <w:sz w:val="40"/>
                                <w:szCs w:val="40"/>
                              </w:rPr>
                              <w:t>1</w:t>
                            </w:r>
                          </w:p>
                        </w:txbxContent>
                      </v:textbox>
                      <w10:anchorlock/>
                    </v:shape>
                  </w:pict>
                </mc:Fallback>
              </mc:AlternateContent>
            </w:r>
          </w:p>
        </w:tc>
        <w:tc>
          <w:tcPr>
            <w:tcW w:w="4265" w:type="pct"/>
            <w:shd w:val="clear" w:color="auto" w:fill="006D68"/>
          </w:tcPr>
          <w:p w14:paraId="30E07B9A" w14:textId="50A486E8" w:rsidR="00FC0A26" w:rsidRPr="004957D9" w:rsidRDefault="00FC0A26" w:rsidP="00713AC6">
            <w:pPr>
              <w:spacing w:before="60" w:after="60"/>
              <w:rPr>
                <w:b/>
                <w:color w:val="FFFFFF" w:themeColor="background1"/>
              </w:rPr>
            </w:pPr>
            <w:r w:rsidRPr="004957D9">
              <w:rPr>
                <w:b/>
                <w:color w:val="FFFFFF" w:themeColor="background1"/>
              </w:rPr>
              <w:t xml:space="preserve">Level 1 – Significantly </w:t>
            </w:r>
            <w:r w:rsidR="00531F3F">
              <w:rPr>
                <w:b/>
                <w:color w:val="FFFFFF" w:themeColor="background1"/>
              </w:rPr>
              <w:t>e</w:t>
            </w:r>
            <w:r w:rsidRPr="004957D9">
              <w:rPr>
                <w:b/>
                <w:color w:val="FFFFFF" w:themeColor="background1"/>
              </w:rPr>
              <w:t xml:space="preserve">nhanced </w:t>
            </w:r>
            <w:r w:rsidR="00531F3F">
              <w:rPr>
                <w:b/>
                <w:color w:val="FFFFFF" w:themeColor="background1"/>
              </w:rPr>
              <w:t>r</w:t>
            </w:r>
            <w:r w:rsidRPr="004957D9">
              <w:rPr>
                <w:b/>
                <w:color w:val="FFFFFF" w:themeColor="background1"/>
              </w:rPr>
              <w:t xml:space="preserve">egulatory </w:t>
            </w:r>
            <w:r w:rsidR="00531F3F">
              <w:rPr>
                <w:b/>
                <w:color w:val="FFFFFF" w:themeColor="background1"/>
              </w:rPr>
              <w:t>a</w:t>
            </w:r>
            <w:r w:rsidRPr="004957D9">
              <w:rPr>
                <w:b/>
                <w:color w:val="FFFFFF" w:themeColor="background1"/>
              </w:rPr>
              <w:t>ttention</w:t>
            </w:r>
          </w:p>
        </w:tc>
      </w:tr>
      <w:tr w:rsidR="00FC0A26" w:rsidRPr="004957D9" w14:paraId="47BA9DEC" w14:textId="77777777" w:rsidTr="00531F3F">
        <w:trPr>
          <w:cantSplit/>
        </w:trPr>
        <w:tc>
          <w:tcPr>
            <w:tcW w:w="735" w:type="pct"/>
            <w:vMerge/>
          </w:tcPr>
          <w:p w14:paraId="2828AE3A" w14:textId="77777777" w:rsidR="00FC0A26" w:rsidRPr="004957D9" w:rsidRDefault="00FC0A26" w:rsidP="00713AC6">
            <w:pPr>
              <w:spacing w:before="60" w:after="60"/>
              <w:rPr>
                <w:sz w:val="22"/>
              </w:rPr>
            </w:pPr>
          </w:p>
        </w:tc>
        <w:tc>
          <w:tcPr>
            <w:tcW w:w="4265" w:type="pct"/>
          </w:tcPr>
          <w:p w14:paraId="3BB09F91" w14:textId="0DA0E6A3" w:rsidR="00FC0A26" w:rsidRPr="004957D9" w:rsidRDefault="00FC0A26" w:rsidP="00713AC6">
            <w:pPr>
              <w:spacing w:before="60" w:after="60"/>
            </w:pPr>
            <w:r>
              <w:rPr>
                <w:b/>
                <w:bCs/>
              </w:rPr>
              <w:t xml:space="preserve">Nuclear </w:t>
            </w:r>
            <w:r w:rsidR="00531F3F">
              <w:rPr>
                <w:b/>
                <w:bCs/>
              </w:rPr>
              <w:t>s</w:t>
            </w:r>
            <w:r w:rsidRPr="004957D9">
              <w:rPr>
                <w:b/>
                <w:bCs/>
              </w:rPr>
              <w:t xml:space="preserve">afety </w:t>
            </w:r>
            <w:r w:rsidR="00531F3F">
              <w:rPr>
                <w:b/>
                <w:bCs/>
              </w:rPr>
              <w:t>p</w:t>
            </w:r>
            <w:r w:rsidRPr="004957D9">
              <w:rPr>
                <w:b/>
                <w:bCs/>
              </w:rPr>
              <w:t>urpose</w:t>
            </w:r>
            <w:r w:rsidRPr="004957D9">
              <w:t xml:space="preserve"> - Significantly enhanced attention is based upon the factors above at Level 2 but may also be influenced by:</w:t>
            </w:r>
          </w:p>
          <w:p w14:paraId="01E655DF" w14:textId="77777777" w:rsidR="00FC0A26" w:rsidRPr="004957D9" w:rsidRDefault="00FC0A26" w:rsidP="00531F3F">
            <w:pPr>
              <w:pStyle w:val="Bulletlist1"/>
              <w:spacing w:after="120"/>
              <w:ind w:left="403"/>
              <w:rPr>
                <w:lang w:bidi="ar-SA"/>
              </w:rPr>
            </w:pPr>
            <w:r w:rsidRPr="004957D9">
              <w:rPr>
                <w:lang w:bidi="ar-SA"/>
              </w:rPr>
              <w:t>Changes in our regulatory strategy to achieve hazard and risk reduction across sites over a shorter period of time</w:t>
            </w:r>
            <w:r>
              <w:rPr>
                <w:lang w:bidi="ar-SA"/>
              </w:rPr>
              <w:t>.</w:t>
            </w:r>
          </w:p>
          <w:p w14:paraId="7C78F777" w14:textId="77777777" w:rsidR="00FC0A26" w:rsidRPr="004957D9" w:rsidRDefault="00FC0A26" w:rsidP="00531F3F">
            <w:pPr>
              <w:pStyle w:val="Bulletlist1"/>
              <w:spacing w:after="120"/>
              <w:ind w:left="403"/>
              <w:rPr>
                <w:lang w:bidi="ar-SA"/>
              </w:rPr>
            </w:pPr>
            <w:r w:rsidRPr="004957D9">
              <w:rPr>
                <w:lang w:bidi="ar-SA"/>
              </w:rPr>
              <w:t>Sustained failure to address long-standing safety issues and/or the risk associated with the facilities in question despite current or previous enhanced regulatory attention</w:t>
            </w:r>
            <w:r>
              <w:rPr>
                <w:lang w:bidi="ar-SA"/>
              </w:rPr>
              <w:t>.</w:t>
            </w:r>
          </w:p>
        </w:tc>
      </w:tr>
      <w:tr w:rsidR="00FC0A26" w:rsidRPr="004957D9" w14:paraId="1D49AB2B" w14:textId="77777777" w:rsidTr="00531F3F">
        <w:trPr>
          <w:cantSplit/>
        </w:trPr>
        <w:tc>
          <w:tcPr>
            <w:tcW w:w="735" w:type="pct"/>
            <w:vMerge/>
          </w:tcPr>
          <w:p w14:paraId="5D4943B8" w14:textId="77777777" w:rsidR="00FC0A26" w:rsidRPr="004957D9" w:rsidRDefault="00FC0A26" w:rsidP="00713AC6">
            <w:pPr>
              <w:spacing w:before="60" w:after="60"/>
              <w:rPr>
                <w:sz w:val="22"/>
              </w:rPr>
            </w:pPr>
          </w:p>
        </w:tc>
        <w:tc>
          <w:tcPr>
            <w:tcW w:w="4265" w:type="pct"/>
          </w:tcPr>
          <w:p w14:paraId="5EB7D3A4" w14:textId="281F21FC" w:rsidR="00FC0A26" w:rsidRPr="00BE4923" w:rsidRDefault="00FC0A26" w:rsidP="00713AC6">
            <w:pPr>
              <w:spacing w:before="60" w:after="60"/>
            </w:pPr>
            <w:r w:rsidRPr="00BE4923">
              <w:rPr>
                <w:b/>
                <w:bCs/>
              </w:rPr>
              <w:t xml:space="preserve">Nuclear </w:t>
            </w:r>
            <w:r w:rsidR="00531F3F">
              <w:rPr>
                <w:b/>
                <w:bCs/>
              </w:rPr>
              <w:t>s</w:t>
            </w:r>
            <w:r w:rsidRPr="00BE4923">
              <w:rPr>
                <w:b/>
                <w:bCs/>
              </w:rPr>
              <w:t xml:space="preserve">ite </w:t>
            </w:r>
            <w:r w:rsidR="00531F3F">
              <w:rPr>
                <w:b/>
                <w:bCs/>
              </w:rPr>
              <w:t>h</w:t>
            </w:r>
            <w:r w:rsidRPr="00BE4923">
              <w:rPr>
                <w:b/>
                <w:bCs/>
              </w:rPr>
              <w:t xml:space="preserve">ealth and </w:t>
            </w:r>
            <w:r w:rsidR="00531F3F">
              <w:rPr>
                <w:b/>
                <w:bCs/>
              </w:rPr>
              <w:t>s</w:t>
            </w:r>
            <w:r w:rsidRPr="00BE4923">
              <w:rPr>
                <w:b/>
                <w:bCs/>
              </w:rPr>
              <w:t xml:space="preserve">afety </w:t>
            </w:r>
            <w:r w:rsidR="00531F3F">
              <w:rPr>
                <w:b/>
                <w:bCs/>
              </w:rPr>
              <w:t>p</w:t>
            </w:r>
            <w:r w:rsidRPr="00BE4923">
              <w:rPr>
                <w:b/>
                <w:bCs/>
              </w:rPr>
              <w:t xml:space="preserve">urpose – </w:t>
            </w:r>
            <w:r w:rsidRPr="00BE4923">
              <w:t>Significantly enhanced attention is based upon the factors at level 2 but may also be influenced by:</w:t>
            </w:r>
          </w:p>
          <w:p w14:paraId="4D3F26B3" w14:textId="77777777" w:rsidR="00FC0A26" w:rsidRPr="00BE4923" w:rsidRDefault="00FC0A26" w:rsidP="00531F3F">
            <w:pPr>
              <w:pStyle w:val="Bulletlist1"/>
              <w:spacing w:after="120"/>
              <w:ind w:left="403"/>
            </w:pPr>
            <w:r w:rsidRPr="00BE4923">
              <w:t>Sustained failure to respond to enhanced regulatory attention status.</w:t>
            </w:r>
          </w:p>
          <w:p w14:paraId="0ABC7EFE" w14:textId="77777777" w:rsidR="00FC0A26" w:rsidRPr="00BE4923" w:rsidRDefault="00FC0A26" w:rsidP="00531F3F">
            <w:pPr>
              <w:pStyle w:val="Bulletlist1"/>
              <w:spacing w:after="120"/>
              <w:ind w:left="403"/>
            </w:pPr>
            <w:r w:rsidRPr="00BE4923">
              <w:t>Repeated failure of leadership to address nuclear site health and safety poor performance.</w:t>
            </w:r>
          </w:p>
          <w:p w14:paraId="7C608134" w14:textId="77777777" w:rsidR="00FC0A26" w:rsidRPr="004957D9" w:rsidRDefault="00FC0A26" w:rsidP="00531F3F">
            <w:pPr>
              <w:pStyle w:val="Bulletlist1"/>
              <w:spacing w:after="120"/>
              <w:ind w:left="403"/>
            </w:pPr>
            <w:r w:rsidRPr="00BE4923">
              <w:t>Significant failures in the health and safety management systems, giving rise to repeated serious/high potential events/ROSPIs.</w:t>
            </w:r>
          </w:p>
        </w:tc>
      </w:tr>
      <w:tr w:rsidR="00FC0A26" w:rsidRPr="004957D9" w14:paraId="26F11C62" w14:textId="77777777" w:rsidTr="00531F3F">
        <w:trPr>
          <w:cantSplit/>
        </w:trPr>
        <w:tc>
          <w:tcPr>
            <w:tcW w:w="735" w:type="pct"/>
          </w:tcPr>
          <w:p w14:paraId="2E384D17" w14:textId="77777777" w:rsidR="00FC0A26" w:rsidRPr="004957D9" w:rsidRDefault="00FC0A26" w:rsidP="00713AC6">
            <w:pPr>
              <w:spacing w:before="60" w:after="60"/>
              <w:rPr>
                <w:sz w:val="22"/>
              </w:rPr>
            </w:pPr>
          </w:p>
        </w:tc>
        <w:tc>
          <w:tcPr>
            <w:tcW w:w="4265" w:type="pct"/>
          </w:tcPr>
          <w:p w14:paraId="4FE9EA03" w14:textId="53BCEA26" w:rsidR="003E679D" w:rsidRPr="004957D9" w:rsidRDefault="00FC0A26" w:rsidP="003E679D">
            <w:pPr>
              <w:spacing w:before="60" w:after="60"/>
            </w:pPr>
            <w:r>
              <w:rPr>
                <w:b/>
              </w:rPr>
              <w:t xml:space="preserve">Nuclear </w:t>
            </w:r>
            <w:r w:rsidR="00531F3F">
              <w:rPr>
                <w:b/>
              </w:rPr>
              <w:t>s</w:t>
            </w:r>
            <w:r w:rsidRPr="004957D9">
              <w:rPr>
                <w:b/>
              </w:rPr>
              <w:t xml:space="preserve">ecurity </w:t>
            </w:r>
            <w:r w:rsidR="00531F3F">
              <w:rPr>
                <w:b/>
              </w:rPr>
              <w:t>p</w:t>
            </w:r>
            <w:r w:rsidRPr="004957D9">
              <w:rPr>
                <w:b/>
              </w:rPr>
              <w:t>urpose</w:t>
            </w:r>
            <w:r w:rsidRPr="004957D9">
              <w:t xml:space="preserve"> - </w:t>
            </w:r>
            <w:r w:rsidR="003E679D" w:rsidRPr="004957D9">
              <w:t>Significantly enhanced attention is based upon the factors above at Level 2 but may also be influenced by:</w:t>
            </w:r>
          </w:p>
          <w:p w14:paraId="5BC3555F" w14:textId="77777777" w:rsidR="003E679D" w:rsidRPr="004957D9" w:rsidRDefault="003E679D" w:rsidP="00531F3F">
            <w:pPr>
              <w:pStyle w:val="Bulletlist1"/>
              <w:spacing w:after="120"/>
              <w:ind w:left="403"/>
              <w:rPr>
                <w:lang w:bidi="ar-SA"/>
              </w:rPr>
            </w:pPr>
            <w:r w:rsidRPr="004957D9">
              <w:rPr>
                <w:lang w:bidi="ar-SA"/>
              </w:rPr>
              <w:t>Changes in our regulatory strategy to achieve hazard and risk reduction across sites over a shorter period of time</w:t>
            </w:r>
            <w:r>
              <w:rPr>
                <w:lang w:bidi="ar-SA"/>
              </w:rPr>
              <w:t>.</w:t>
            </w:r>
          </w:p>
          <w:p w14:paraId="3D03B49B" w14:textId="77777777" w:rsidR="00FC0A26" w:rsidRPr="0005504A" w:rsidRDefault="003E679D" w:rsidP="00531F3F">
            <w:pPr>
              <w:pStyle w:val="Bulletlist1"/>
              <w:spacing w:after="120"/>
              <w:ind w:left="403"/>
              <w:rPr>
                <w:b/>
                <w:lang w:bidi="ar-SA"/>
              </w:rPr>
            </w:pPr>
            <w:r w:rsidRPr="004957D9">
              <w:rPr>
                <w:lang w:bidi="ar-SA"/>
              </w:rPr>
              <w:t xml:space="preserve">Sustained failure to address long-standing </w:t>
            </w:r>
            <w:r w:rsidR="00A668A4">
              <w:rPr>
                <w:lang w:bidi="ar-SA"/>
              </w:rPr>
              <w:t xml:space="preserve">security </w:t>
            </w:r>
            <w:r w:rsidRPr="004957D9">
              <w:rPr>
                <w:lang w:bidi="ar-SA"/>
              </w:rPr>
              <w:t>issues and/or the risk associated with the facilities in question despite current or previous enhanced regulatory attention</w:t>
            </w:r>
            <w:r>
              <w:rPr>
                <w:lang w:bidi="ar-SA"/>
              </w:rPr>
              <w:t>.</w:t>
            </w:r>
          </w:p>
          <w:p w14:paraId="40F2353C" w14:textId="278CF0DD" w:rsidR="0005504A" w:rsidRPr="0039695E" w:rsidRDefault="007D7E2A" w:rsidP="00531F3F">
            <w:pPr>
              <w:pStyle w:val="Bulletlist1"/>
              <w:spacing w:after="120"/>
              <w:ind w:left="403"/>
              <w:rPr>
                <w:lang w:bidi="ar-SA"/>
              </w:rPr>
            </w:pPr>
            <w:r w:rsidRPr="0039695E">
              <w:rPr>
                <w:lang w:bidi="ar-SA"/>
              </w:rPr>
              <w:t xml:space="preserve">Increasing </w:t>
            </w:r>
            <w:r w:rsidR="0039695E" w:rsidRPr="0039695E">
              <w:rPr>
                <w:lang w:bidi="ar-SA"/>
              </w:rPr>
              <w:t>and</w:t>
            </w:r>
            <w:r w:rsidRPr="0039695E">
              <w:rPr>
                <w:lang w:bidi="ar-SA"/>
              </w:rPr>
              <w:t xml:space="preserve"> repeated non-compliances </w:t>
            </w:r>
            <w:r w:rsidR="0039695E" w:rsidRPr="0039695E">
              <w:rPr>
                <w:lang w:bidi="ar-SA"/>
              </w:rPr>
              <w:t>over the period</w:t>
            </w:r>
            <w:r w:rsidR="0039695E">
              <w:rPr>
                <w:lang w:bidi="ar-SA"/>
              </w:rPr>
              <w:t>.</w:t>
            </w:r>
          </w:p>
        </w:tc>
      </w:tr>
      <w:tr w:rsidR="00FC0A26" w:rsidRPr="004957D9" w14:paraId="3888612E" w14:textId="77777777" w:rsidTr="00531F3F">
        <w:trPr>
          <w:cantSplit/>
        </w:trPr>
        <w:tc>
          <w:tcPr>
            <w:tcW w:w="735" w:type="pct"/>
          </w:tcPr>
          <w:p w14:paraId="0ADAB06D" w14:textId="77777777" w:rsidR="00FC0A26" w:rsidRPr="004957D9" w:rsidRDefault="00FC0A26" w:rsidP="00713AC6">
            <w:pPr>
              <w:spacing w:before="60" w:after="60"/>
              <w:rPr>
                <w:sz w:val="22"/>
              </w:rPr>
            </w:pPr>
          </w:p>
        </w:tc>
        <w:tc>
          <w:tcPr>
            <w:tcW w:w="4265" w:type="pct"/>
          </w:tcPr>
          <w:p w14:paraId="02AEEA64" w14:textId="5E89CF9A" w:rsidR="00FC0A26" w:rsidRPr="004957D9" w:rsidRDefault="00FC0A26" w:rsidP="00713AC6">
            <w:pPr>
              <w:spacing w:before="60" w:after="60"/>
            </w:pPr>
            <w:r>
              <w:rPr>
                <w:b/>
                <w:bCs/>
              </w:rPr>
              <w:t xml:space="preserve">Nuclear </w:t>
            </w:r>
            <w:r w:rsidR="00531F3F">
              <w:rPr>
                <w:b/>
                <w:bCs/>
              </w:rPr>
              <w:t>s</w:t>
            </w:r>
            <w:r w:rsidRPr="004957D9">
              <w:rPr>
                <w:b/>
                <w:bCs/>
              </w:rPr>
              <w:t xml:space="preserve">afeguards </w:t>
            </w:r>
            <w:r w:rsidR="00531F3F">
              <w:rPr>
                <w:b/>
                <w:bCs/>
              </w:rPr>
              <w:t>p</w:t>
            </w:r>
            <w:r w:rsidRPr="004957D9">
              <w:rPr>
                <w:b/>
                <w:bCs/>
              </w:rPr>
              <w:t>urpose</w:t>
            </w:r>
            <w:r w:rsidRPr="004957D9">
              <w:t xml:space="preserve"> - Significantly enhanced attention is based upon the factors above at level 2 but may also be influenced by:</w:t>
            </w:r>
          </w:p>
          <w:p w14:paraId="0B62B8ED" w14:textId="77777777" w:rsidR="00FC0A26" w:rsidRPr="004957D9" w:rsidRDefault="00FC0A26" w:rsidP="00531F3F">
            <w:pPr>
              <w:pStyle w:val="Bulletlist1"/>
              <w:spacing w:after="120"/>
              <w:ind w:left="403"/>
              <w:rPr>
                <w:lang w:bidi="ar-SA"/>
              </w:rPr>
            </w:pPr>
            <w:r w:rsidRPr="004957D9">
              <w:rPr>
                <w:lang w:bidi="ar-SA"/>
              </w:rPr>
              <w:t>Changes to our regulatory strategy to achieve safeguards improvements required over a short time period</w:t>
            </w:r>
            <w:r>
              <w:rPr>
                <w:lang w:bidi="ar-SA"/>
              </w:rPr>
              <w:t>.</w:t>
            </w:r>
          </w:p>
          <w:p w14:paraId="655D1139" w14:textId="77777777" w:rsidR="00FC0A26" w:rsidRPr="004957D9" w:rsidRDefault="00FC0A26" w:rsidP="00531F3F">
            <w:pPr>
              <w:pStyle w:val="Bulletlist1"/>
              <w:spacing w:after="120"/>
              <w:ind w:left="403"/>
              <w:rPr>
                <w:lang w:bidi="ar-SA"/>
              </w:rPr>
            </w:pPr>
            <w:r w:rsidRPr="004957D9">
              <w:rPr>
                <w:lang w:bidi="ar-SA"/>
              </w:rPr>
              <w:t>Sustained failure to address longstanding safeguards issues despite current or previous enhanced regulatory attention</w:t>
            </w:r>
            <w:r>
              <w:rPr>
                <w:lang w:bidi="ar-SA"/>
              </w:rPr>
              <w:t>.</w:t>
            </w:r>
          </w:p>
          <w:p w14:paraId="3E6AA039" w14:textId="77777777" w:rsidR="00FC0A26" w:rsidRPr="003F0908" w:rsidRDefault="00FC0A26" w:rsidP="00531F3F">
            <w:pPr>
              <w:pStyle w:val="Bulletlist1"/>
              <w:spacing w:after="120"/>
              <w:ind w:left="403"/>
              <w:rPr>
                <w:b/>
                <w:lang w:bidi="ar-SA"/>
              </w:rPr>
            </w:pPr>
            <w:r w:rsidRPr="004957D9">
              <w:rPr>
                <w:lang w:bidi="ar-SA"/>
              </w:rPr>
              <w:t>Failure to submit timely and adequate nuclear material accountancy reports</w:t>
            </w:r>
            <w:r>
              <w:rPr>
                <w:lang w:bidi="ar-SA"/>
              </w:rPr>
              <w:t>.</w:t>
            </w:r>
          </w:p>
          <w:p w14:paraId="1B91842D" w14:textId="77777777" w:rsidR="00FC0A26" w:rsidRPr="003F0908" w:rsidRDefault="00FC0A26" w:rsidP="00531F3F">
            <w:pPr>
              <w:pStyle w:val="Bulletlist1"/>
              <w:ind w:left="403"/>
              <w:rPr>
                <w:b/>
                <w:lang w:bidi="ar-SA"/>
              </w:rPr>
            </w:pPr>
            <w:r w:rsidRPr="004957D9">
              <w:rPr>
                <w:lang w:bidi="ar-SA"/>
              </w:rPr>
              <w:t>Failures in facilitation of IAEA safeguards activities which means the UK is unable to meet its international safeguards obligations</w:t>
            </w:r>
            <w:r>
              <w:rPr>
                <w:lang w:bidi="ar-SA"/>
              </w:rPr>
              <w:t>.</w:t>
            </w:r>
          </w:p>
        </w:tc>
      </w:tr>
      <w:tr w:rsidR="00FC0A26" w:rsidRPr="004957D9" w14:paraId="04D1A427" w14:textId="77777777" w:rsidTr="00531F3F">
        <w:trPr>
          <w:cantSplit/>
        </w:trPr>
        <w:tc>
          <w:tcPr>
            <w:tcW w:w="735" w:type="pct"/>
          </w:tcPr>
          <w:p w14:paraId="6304E957" w14:textId="77777777" w:rsidR="00FC0A26" w:rsidRPr="004957D9" w:rsidRDefault="00FC0A26" w:rsidP="00713AC6">
            <w:pPr>
              <w:spacing w:before="60" w:after="60"/>
              <w:rPr>
                <w:sz w:val="22"/>
              </w:rPr>
            </w:pPr>
          </w:p>
        </w:tc>
        <w:tc>
          <w:tcPr>
            <w:tcW w:w="4265" w:type="pct"/>
          </w:tcPr>
          <w:p w14:paraId="699B210A" w14:textId="3635C7A4" w:rsidR="00FC0A26" w:rsidRDefault="00FC0A26" w:rsidP="00713AC6">
            <w:pPr>
              <w:spacing w:before="60" w:after="60"/>
            </w:pPr>
            <w:r w:rsidRPr="004957D9">
              <w:rPr>
                <w:b/>
                <w:bCs/>
              </w:rPr>
              <w:t xml:space="preserve">Transport </w:t>
            </w:r>
            <w:r w:rsidR="00531F3F">
              <w:rPr>
                <w:b/>
                <w:bCs/>
              </w:rPr>
              <w:t>p</w:t>
            </w:r>
            <w:r w:rsidRPr="004957D9">
              <w:rPr>
                <w:b/>
                <w:bCs/>
              </w:rPr>
              <w:t>urpose</w:t>
            </w:r>
            <w:r w:rsidRPr="004957D9">
              <w:t xml:space="preserve"> - Evidence of serious instances of non-compliance or other issues, which demand ONR attention or enforcement to oversee effective resolution</w:t>
            </w:r>
            <w:r>
              <w:t>.</w:t>
            </w:r>
          </w:p>
          <w:p w14:paraId="5E943ADC" w14:textId="2C893C26" w:rsidR="002231DD" w:rsidRPr="002231DD" w:rsidRDefault="002231DD" w:rsidP="00531F3F">
            <w:pPr>
              <w:pStyle w:val="Bulletlist1"/>
              <w:spacing w:after="120"/>
              <w:ind w:left="403"/>
              <w:rPr>
                <w:b/>
              </w:rPr>
            </w:pPr>
            <w:r w:rsidRPr="002231DD">
              <w:t xml:space="preserve">Sustained failure to address long-standing </w:t>
            </w:r>
            <w:r>
              <w:t>transport</w:t>
            </w:r>
            <w:r w:rsidRPr="002231DD">
              <w:t xml:space="preserve"> issues despite current or previous enhanced regulatory attention.</w:t>
            </w:r>
          </w:p>
          <w:p w14:paraId="4E78A152" w14:textId="77A2E2A2" w:rsidR="002231DD" w:rsidRPr="004957D9" w:rsidRDefault="002231DD" w:rsidP="00531F3F">
            <w:pPr>
              <w:pStyle w:val="Bulletlist1"/>
              <w:spacing w:after="120"/>
              <w:ind w:left="403"/>
              <w:rPr>
                <w:b/>
              </w:rPr>
            </w:pPr>
            <w:r w:rsidRPr="002231DD">
              <w:t>Increasing and repeated non-compliances over the period.</w:t>
            </w:r>
          </w:p>
        </w:tc>
      </w:tr>
    </w:tbl>
    <w:p w14:paraId="79932C14" w14:textId="77777777" w:rsidR="00FC0A26" w:rsidRPr="004957D9" w:rsidRDefault="00FC0A26" w:rsidP="00FC0A26">
      <w:pPr>
        <w:ind w:left="851" w:hanging="851"/>
      </w:pPr>
    </w:p>
    <w:p w14:paraId="1E0EF926" w14:textId="77777777" w:rsidR="00FC0A26" w:rsidRDefault="00FC0A26" w:rsidP="00FC0A26">
      <w:pPr>
        <w:pStyle w:val="F9-Paragraph"/>
        <w:numPr>
          <w:ilvl w:val="0"/>
          <w:numId w:val="0"/>
        </w:numPr>
        <w:ind w:left="851" w:hanging="851"/>
      </w:pPr>
    </w:p>
    <w:p w14:paraId="3F78E046" w14:textId="77777777" w:rsidR="00FC0A26" w:rsidRDefault="00FC0A26" w:rsidP="00FC0A26"/>
    <w:p w14:paraId="1B40C37C" w14:textId="77777777" w:rsidR="00FC0A26" w:rsidRDefault="00FC0A26" w:rsidP="00FC0A26">
      <w:pPr>
        <w:spacing w:after="0" w:line="240" w:lineRule="auto"/>
      </w:pPr>
      <w:r>
        <w:br w:type="page"/>
      </w:r>
    </w:p>
    <w:p w14:paraId="1E982EA9" w14:textId="21E67DB4" w:rsidR="00FC0A26" w:rsidRDefault="00FC0A26" w:rsidP="00FC0A26">
      <w:pPr>
        <w:pStyle w:val="Heading1"/>
      </w:pPr>
      <w:bookmarkStart w:id="12" w:name="_Toc210742555"/>
      <w:bookmarkStart w:id="13" w:name="_Toc237421917"/>
      <w:r>
        <w:lastRenderedPageBreak/>
        <w:t xml:space="preserve">Governance of </w:t>
      </w:r>
      <w:r w:rsidR="00531F3F">
        <w:t>r</w:t>
      </w:r>
      <w:r>
        <w:t xml:space="preserve">egulatory </w:t>
      </w:r>
      <w:r w:rsidR="00531F3F">
        <w:t>a</w:t>
      </w:r>
      <w:r>
        <w:t xml:space="preserve">ttention </w:t>
      </w:r>
      <w:r w:rsidR="00531F3F">
        <w:t>l</w:t>
      </w:r>
      <w:r>
        <w:t>evels</w:t>
      </w:r>
      <w:bookmarkEnd w:id="12"/>
      <w:bookmarkEnd w:id="13"/>
    </w:p>
    <w:p w14:paraId="4F42CF3A" w14:textId="61C47775" w:rsidR="00FC0A26" w:rsidRDefault="00531F3F" w:rsidP="00FC0A26">
      <w:pPr>
        <w:pStyle w:val="F9-Paragraph"/>
      </w:pPr>
      <w:r>
        <w:t>Refer to</w:t>
      </w:r>
      <w:r w:rsidR="00FC0A26">
        <w:t xml:space="preserve"> the RAL timeline at </w:t>
      </w:r>
      <w:hyperlink w:anchor="_Appendix_A_–" w:history="1">
        <w:r w:rsidR="00FC0A26" w:rsidRPr="00531F3F">
          <w:rPr>
            <w:rStyle w:val="Hyperlink"/>
          </w:rPr>
          <w:t>Appendix A</w:t>
        </w:r>
      </w:hyperlink>
      <w:r w:rsidR="00FC0A26">
        <w:t xml:space="preserve"> for prompts. This process commences in October (</w:t>
      </w:r>
      <w:r w:rsidR="00764CA7">
        <w:t xml:space="preserve">with the purpose </w:t>
      </w:r>
      <w:r w:rsidR="00FC0A26">
        <w:t>to align with the ONR planning round) and completes at the end of March.</w:t>
      </w:r>
    </w:p>
    <w:p w14:paraId="5114C8FF" w14:textId="74F37584" w:rsidR="00FC0A26" w:rsidRDefault="00FC0A26" w:rsidP="00FC0A26">
      <w:pPr>
        <w:pStyle w:val="F9-Paragraph"/>
      </w:pPr>
      <w:r>
        <w:t>Sub</w:t>
      </w:r>
      <w:r w:rsidR="003B1F1A">
        <w:t>-d</w:t>
      </w:r>
      <w:r>
        <w:t xml:space="preserve">irectorates will take the proposed RAL’s through governance, confirming: </w:t>
      </w:r>
    </w:p>
    <w:p w14:paraId="256FD22E" w14:textId="77777777" w:rsidR="00FC0A26" w:rsidRPr="000334B0" w:rsidRDefault="00FC0A26" w:rsidP="002A6C64">
      <w:pPr>
        <w:pStyle w:val="F9-Paragraph"/>
        <w:numPr>
          <w:ilvl w:val="1"/>
          <w:numId w:val="4"/>
        </w:numPr>
      </w:pPr>
      <w:r w:rsidRPr="000334B0">
        <w:t xml:space="preserve">the correct </w:t>
      </w:r>
      <w:r>
        <w:t>template</w:t>
      </w:r>
      <w:r w:rsidRPr="000334B0">
        <w:t xml:space="preserve"> has been used.</w:t>
      </w:r>
    </w:p>
    <w:p w14:paraId="4DDEE5A2" w14:textId="3C80B388" w:rsidR="00FC0A26" w:rsidRPr="000334B0" w:rsidRDefault="00FC0A26" w:rsidP="002A6C64">
      <w:pPr>
        <w:pStyle w:val="F9-Paragraph"/>
        <w:numPr>
          <w:ilvl w:val="1"/>
          <w:numId w:val="4"/>
        </w:numPr>
      </w:pPr>
      <w:r w:rsidRPr="000334B0">
        <w:t>regulatory attention levels have been assigned for licensed sites and other specific dutyholders as appropriate</w:t>
      </w:r>
      <w:r>
        <w:t xml:space="preserve"> to the sub</w:t>
      </w:r>
      <w:r w:rsidR="003B1F1A">
        <w:t>-d</w:t>
      </w:r>
      <w:r>
        <w:t>irectorate</w:t>
      </w:r>
      <w:r w:rsidRPr="000334B0">
        <w:t>.</w:t>
      </w:r>
    </w:p>
    <w:p w14:paraId="7B1C5728" w14:textId="31C775A1" w:rsidR="00FC0A26" w:rsidRPr="000334B0" w:rsidRDefault="00FC0A26" w:rsidP="002A6C64">
      <w:pPr>
        <w:pStyle w:val="F9-Paragraph"/>
        <w:numPr>
          <w:ilvl w:val="1"/>
          <w:numId w:val="4"/>
        </w:numPr>
      </w:pPr>
      <w:r w:rsidRPr="000334B0">
        <w:t xml:space="preserve">evidence </w:t>
      </w:r>
      <w:r w:rsidR="00846E51">
        <w:t xml:space="preserve">based </w:t>
      </w:r>
      <w:r>
        <w:t>review</w:t>
      </w:r>
      <w:r w:rsidR="00846E51">
        <w:t>s</w:t>
      </w:r>
      <w:r>
        <w:t xml:space="preserve"> </w:t>
      </w:r>
      <w:r w:rsidR="00846E51">
        <w:t>are</w:t>
      </w:r>
      <w:r>
        <w:t xml:space="preserve"> </w:t>
      </w:r>
      <w:r w:rsidRPr="000334B0">
        <w:t xml:space="preserve">presented against </w:t>
      </w:r>
      <w:r>
        <w:t>attributes</w:t>
      </w:r>
      <w:r w:rsidRPr="000334B0">
        <w:t xml:space="preserve">. </w:t>
      </w:r>
    </w:p>
    <w:p w14:paraId="09489B89" w14:textId="249C44B8" w:rsidR="00FC0A26" w:rsidRPr="000334B0" w:rsidRDefault="00FC0A26" w:rsidP="002A6C64">
      <w:pPr>
        <w:pStyle w:val="F9-Paragraph"/>
        <w:numPr>
          <w:ilvl w:val="1"/>
          <w:numId w:val="4"/>
        </w:numPr>
      </w:pPr>
      <w:r w:rsidRPr="000334B0">
        <w:t xml:space="preserve">consistent approach adopted to assigning </w:t>
      </w:r>
      <w:r>
        <w:t xml:space="preserve">RALs </w:t>
      </w:r>
      <w:r w:rsidRPr="000334B0">
        <w:t xml:space="preserve">for </w:t>
      </w:r>
      <w:r>
        <w:t>indicators</w:t>
      </w:r>
      <w:r w:rsidRPr="000334B0">
        <w:t xml:space="preserve"> and the initial overall </w:t>
      </w:r>
      <w:r w:rsidR="003B1F1A">
        <w:t>RAL</w:t>
      </w:r>
      <w:r w:rsidRPr="000334B0">
        <w:t>.</w:t>
      </w:r>
    </w:p>
    <w:p w14:paraId="41838FF1" w14:textId="68AA2767" w:rsidR="00FC0A26" w:rsidRDefault="00FC0A26" w:rsidP="002A6C64">
      <w:pPr>
        <w:pStyle w:val="F9-Paragraph"/>
        <w:numPr>
          <w:ilvl w:val="1"/>
          <w:numId w:val="4"/>
        </w:numPr>
      </w:pPr>
      <w:r w:rsidRPr="000334B0">
        <w:t xml:space="preserve">brief justification for the initial overall </w:t>
      </w:r>
      <w:r w:rsidR="003B1F1A">
        <w:t>RAL</w:t>
      </w:r>
      <w:r w:rsidRPr="000334B0">
        <w:t xml:space="preserve"> is presented.</w:t>
      </w:r>
      <w:r>
        <w:t xml:space="preserve"> Any regulatory approach (RAL 2 or 1) demonstrates the application of RITE </w:t>
      </w:r>
      <w:sdt>
        <w:sdtPr>
          <w:id w:val="-1106571435"/>
          <w:citation/>
        </w:sdtPr>
        <w:sdtEndPr/>
        <w:sdtContent>
          <w:r>
            <w:fldChar w:fldCharType="begin"/>
          </w:r>
          <w:r w:rsidR="00833D14">
            <w:instrText xml:space="preserve">CITATION ONR23 \l 2057 </w:instrText>
          </w:r>
          <w:r>
            <w:fldChar w:fldCharType="separate"/>
          </w:r>
          <w:r w:rsidR="00ED34B5" w:rsidRPr="00ED34B5">
            <w:rPr>
              <w:noProof/>
            </w:rPr>
            <w:t>[2]</w:t>
          </w:r>
          <w:r>
            <w:fldChar w:fldCharType="end"/>
          </w:r>
        </w:sdtContent>
      </w:sdt>
      <w:r w:rsidR="003B1F1A">
        <w:t>.</w:t>
      </w:r>
    </w:p>
    <w:p w14:paraId="00150B09" w14:textId="6BCD60C1" w:rsidR="00FC0A26" w:rsidRDefault="00FC0A26" w:rsidP="002A6C64">
      <w:pPr>
        <w:pStyle w:val="F9-Paragraph"/>
        <w:numPr>
          <w:ilvl w:val="1"/>
          <w:numId w:val="4"/>
        </w:numPr>
      </w:pPr>
      <w:r>
        <w:t>Approval of those assessments</w:t>
      </w:r>
      <w:r w:rsidR="00CD7AB0">
        <w:t>.</w:t>
      </w:r>
    </w:p>
    <w:p w14:paraId="4254F651" w14:textId="6BCA002F" w:rsidR="00FC0A26" w:rsidRPr="000334B0" w:rsidRDefault="00FC0A26" w:rsidP="002A6C64">
      <w:pPr>
        <w:pStyle w:val="F9-Paragraph"/>
        <w:numPr>
          <w:ilvl w:val="1"/>
          <w:numId w:val="4"/>
        </w:numPr>
      </w:pPr>
      <w:r>
        <w:t>inspectors can indicate to the dutyholder the proposed RAL, noting that additional governance is taking place at which stage you can share the final assessment and details.</w:t>
      </w:r>
    </w:p>
    <w:p w14:paraId="507A550C" w14:textId="1552A631" w:rsidR="00FC0A26" w:rsidRDefault="00FC0A26" w:rsidP="00FC0A26">
      <w:pPr>
        <w:pStyle w:val="F9-Paragraph"/>
      </w:pPr>
      <w:r w:rsidRPr="000334B0">
        <w:t>Di</w:t>
      </w:r>
      <w:r>
        <w:t>rectorate</w:t>
      </w:r>
      <w:r w:rsidRPr="000334B0">
        <w:t xml:space="preserve"> moderation</w:t>
      </w:r>
      <w:r>
        <w:t xml:space="preserve"> by the DoR</w:t>
      </w:r>
      <w:r w:rsidRPr="000334B0">
        <w:t xml:space="preserve"> should be completed</w:t>
      </w:r>
      <w:r>
        <w:t xml:space="preserve"> </w:t>
      </w:r>
      <w:r w:rsidRPr="000334B0">
        <w:t xml:space="preserve">in </w:t>
      </w:r>
      <w:r>
        <w:t xml:space="preserve">relation to those assessments which are at overall level 2 ‘enhanced’ or 1 ‘significantly enhanced’ and any sample that the DoR requests. Confirming: </w:t>
      </w:r>
    </w:p>
    <w:p w14:paraId="001D89C0" w14:textId="77777777" w:rsidR="00FC0A26" w:rsidRDefault="00FC0A26" w:rsidP="002A6C64">
      <w:pPr>
        <w:pStyle w:val="F9-Paragraph"/>
        <w:numPr>
          <w:ilvl w:val="1"/>
          <w:numId w:val="4"/>
        </w:numPr>
      </w:pPr>
      <w:r>
        <w:t>consistent judgements are being made across the directorate.</w:t>
      </w:r>
    </w:p>
    <w:p w14:paraId="083A3CCE" w14:textId="77777777" w:rsidR="00FC0A26" w:rsidRDefault="00FC0A26" w:rsidP="002A6C64">
      <w:pPr>
        <w:pStyle w:val="F9-Paragraph"/>
        <w:numPr>
          <w:ilvl w:val="1"/>
          <w:numId w:val="4"/>
        </w:numPr>
      </w:pPr>
      <w:r>
        <w:t>adequate evidence is in place for the RAL being proposed.</w:t>
      </w:r>
    </w:p>
    <w:p w14:paraId="3D3B6B34" w14:textId="57681BB7" w:rsidR="00FC0A26" w:rsidRDefault="00FC0A26" w:rsidP="002A6C64">
      <w:pPr>
        <w:pStyle w:val="F9-Paragraph"/>
        <w:numPr>
          <w:ilvl w:val="1"/>
          <w:numId w:val="4"/>
        </w:numPr>
      </w:pPr>
      <w:bookmarkStart w:id="14" w:name="_Hlk210133974"/>
      <w:r>
        <w:t>that the proposed</w:t>
      </w:r>
      <w:r w:rsidR="00E11C9D">
        <w:t xml:space="preserve"> regulatory</w:t>
      </w:r>
      <w:r>
        <w:t xml:space="preserve"> approach is appropriate, in that it is risk informed and targeted, and will result in a return to a routine RAL over an acceptable timeframe.</w:t>
      </w:r>
    </w:p>
    <w:p w14:paraId="2B8C6CDE" w14:textId="0637DB6D" w:rsidR="00FC0A26" w:rsidRDefault="00FC0A26" w:rsidP="002A6C64">
      <w:pPr>
        <w:pStyle w:val="ListParagraph"/>
        <w:numPr>
          <w:ilvl w:val="1"/>
          <w:numId w:val="4"/>
        </w:numPr>
      </w:pPr>
      <w:r w:rsidRPr="008D6D86">
        <w:t>if RAL is the same as the previous year</w:t>
      </w:r>
      <w:r>
        <w:t>,</w:t>
      </w:r>
      <w:r w:rsidRPr="008D6D86">
        <w:t xml:space="preserve"> content that progress is being made.</w:t>
      </w:r>
      <w:r>
        <w:t xml:space="preserve"> If it is not being made confirm that the </w:t>
      </w:r>
      <w:r w:rsidR="00CF16C7">
        <w:t xml:space="preserve">regulatory </w:t>
      </w:r>
      <w:r>
        <w:t>approach is still appropriate.</w:t>
      </w:r>
    </w:p>
    <w:p w14:paraId="45395A0A" w14:textId="77777777" w:rsidR="00FC0A26" w:rsidRPr="000334B0" w:rsidRDefault="00FC0A26" w:rsidP="002A6C64">
      <w:pPr>
        <w:pStyle w:val="F9-Paragraph"/>
        <w:numPr>
          <w:ilvl w:val="1"/>
          <w:numId w:val="4"/>
        </w:numPr>
      </w:pPr>
      <w:r w:rsidRPr="000334B0">
        <w:t>whether an increase or decrease in overall regulatory attention level is anticipated within the next reporting year and record this.</w:t>
      </w:r>
    </w:p>
    <w:p w14:paraId="443FFFDC" w14:textId="35B306ED" w:rsidR="00FC0A26" w:rsidRDefault="00FC0A26" w:rsidP="002A6C64">
      <w:pPr>
        <w:pStyle w:val="F9-Paragraph"/>
        <w:numPr>
          <w:ilvl w:val="1"/>
          <w:numId w:val="4"/>
        </w:numPr>
      </w:pPr>
      <w:r>
        <w:lastRenderedPageBreak/>
        <w:t xml:space="preserve">approval of assessments which are at overall level </w:t>
      </w:r>
      <w:r w:rsidR="00800126">
        <w:t xml:space="preserve">1 ‘significantly enhanced’ and </w:t>
      </w:r>
      <w:r>
        <w:t>2 ‘enhanced’ RAL</w:t>
      </w:r>
    </w:p>
    <w:bookmarkEnd w:id="14"/>
    <w:p w14:paraId="5C3AC6D3" w14:textId="16BFBB23" w:rsidR="00FC0A26" w:rsidRDefault="00FC0A26" w:rsidP="002A6C64">
      <w:pPr>
        <w:pStyle w:val="F9-Paragraph"/>
        <w:numPr>
          <w:ilvl w:val="1"/>
          <w:numId w:val="4"/>
        </w:numPr>
      </w:pPr>
      <w:r>
        <w:t xml:space="preserve">Output is </w:t>
      </w:r>
      <w:r w:rsidR="00D067DC">
        <w:t xml:space="preserve">confirmation of the </w:t>
      </w:r>
      <w:r w:rsidR="004E639A">
        <w:t xml:space="preserve">directorate </w:t>
      </w:r>
      <w:r w:rsidR="00D067DC">
        <w:t xml:space="preserve">moderation on the RAL </w:t>
      </w:r>
      <w:r w:rsidR="00D94AE5">
        <w:t>template</w:t>
      </w:r>
      <w:r w:rsidR="00D067DC">
        <w:t xml:space="preserve"> </w:t>
      </w:r>
      <w:r w:rsidR="00D94AE5">
        <w:t xml:space="preserve">and </w:t>
      </w:r>
      <w:r>
        <w:t>a list of regulatory attention levels across the directorate for sites and purposes that apply.</w:t>
      </w:r>
    </w:p>
    <w:p w14:paraId="55EA6D89" w14:textId="10ADEE9A" w:rsidR="00FC0A26" w:rsidRDefault="0046149C" w:rsidP="00FC0A26">
      <w:pPr>
        <w:pStyle w:val="F9-Paragraph"/>
      </w:pPr>
      <w:r>
        <w:t>R</w:t>
      </w:r>
      <w:r w:rsidR="00B23D6D">
        <w:t xml:space="preserve">egulatory </w:t>
      </w:r>
      <w:r>
        <w:t>L</w:t>
      </w:r>
      <w:r w:rsidR="00B23D6D">
        <w:t>ead</w:t>
      </w:r>
      <w:r w:rsidR="00265A0A">
        <w:t>ership</w:t>
      </w:r>
      <w:r w:rsidR="00B23D6D">
        <w:t xml:space="preserve"> </w:t>
      </w:r>
      <w:r>
        <w:t>T</w:t>
      </w:r>
      <w:r w:rsidR="00B23D6D">
        <w:t>eam</w:t>
      </w:r>
      <w:r>
        <w:t xml:space="preserve"> </w:t>
      </w:r>
      <w:r w:rsidR="00265A0A">
        <w:t>(RLT) r</w:t>
      </w:r>
      <w:r>
        <w:t>eview</w:t>
      </w:r>
      <w:r w:rsidR="00FC0A26">
        <w:t xml:space="preserve"> </w:t>
      </w:r>
      <w:r w:rsidR="00362CA0">
        <w:t xml:space="preserve">of the </w:t>
      </w:r>
      <w:r w:rsidR="00B97C7D">
        <w:t xml:space="preserve">compiled </w:t>
      </w:r>
      <w:r w:rsidR="00362CA0">
        <w:t>list</w:t>
      </w:r>
      <w:r w:rsidR="00B97C7D">
        <w:t xml:space="preserve"> of </w:t>
      </w:r>
      <w:r w:rsidR="00265A0A">
        <w:t>RALs</w:t>
      </w:r>
      <w:r w:rsidR="00B97C7D">
        <w:t xml:space="preserve"> from directorates</w:t>
      </w:r>
      <w:r w:rsidR="00FC0A26" w:rsidRPr="000334B0">
        <w:t>.</w:t>
      </w:r>
      <w:r w:rsidR="00FC0A26">
        <w:t xml:space="preserve"> Confirming:</w:t>
      </w:r>
    </w:p>
    <w:p w14:paraId="1D78F54B" w14:textId="77777777" w:rsidR="00FC0A26" w:rsidRDefault="00FC0A26" w:rsidP="002A6C64">
      <w:pPr>
        <w:pStyle w:val="F9-Paragraph"/>
        <w:numPr>
          <w:ilvl w:val="1"/>
          <w:numId w:val="4"/>
        </w:numPr>
      </w:pPr>
      <w:r>
        <w:t>consistent judgements are being made across regulatory directorates.</w:t>
      </w:r>
      <w:r w:rsidRPr="000334B0">
        <w:t xml:space="preserve"> </w:t>
      </w:r>
    </w:p>
    <w:p w14:paraId="388CF684" w14:textId="77777777" w:rsidR="00FC0A26" w:rsidRDefault="00FC0A26" w:rsidP="002A6C64">
      <w:pPr>
        <w:pStyle w:val="F9-Paragraph"/>
        <w:numPr>
          <w:ilvl w:val="1"/>
          <w:numId w:val="4"/>
        </w:numPr>
      </w:pPr>
      <w:r>
        <w:t>that DoR will provide feedback to directorates and confirm the governance process has been finalised and dutyholders can be informed of this.</w:t>
      </w:r>
    </w:p>
    <w:p w14:paraId="12D9EAAA" w14:textId="116B5022" w:rsidR="00FC0A26" w:rsidRDefault="00FC0A26" w:rsidP="002A6C64">
      <w:pPr>
        <w:pStyle w:val="F9-Paragraph"/>
        <w:numPr>
          <w:ilvl w:val="1"/>
          <w:numId w:val="4"/>
        </w:numPr>
      </w:pPr>
      <w:r>
        <w:t>t</w:t>
      </w:r>
      <w:r w:rsidRPr="008D6D86">
        <w:t>he outcome of this moderation will inform the attention levels specified in the CNI’s annual report published</w:t>
      </w:r>
      <w:r>
        <w:t xml:space="preserve">, and that the consolidated </w:t>
      </w:r>
      <w:r w:rsidR="00EB3992">
        <w:t xml:space="preserve">and finalised </w:t>
      </w:r>
      <w:r>
        <w:t xml:space="preserve">list of </w:t>
      </w:r>
      <w:r w:rsidR="00265A0A">
        <w:t>RALs</w:t>
      </w:r>
      <w:r>
        <w:t xml:space="preserve"> is shared with the </w:t>
      </w:r>
      <w:r w:rsidR="00265A0A">
        <w:t>C</w:t>
      </w:r>
      <w:r>
        <w:t>ommunications team</w:t>
      </w:r>
      <w:r w:rsidRPr="008D6D86">
        <w:t>.</w:t>
      </w:r>
      <w:r>
        <w:t xml:space="preserve"> </w:t>
      </w:r>
    </w:p>
    <w:p w14:paraId="4D0C44E3" w14:textId="77777777" w:rsidR="00FC0A26" w:rsidRPr="00502DB9" w:rsidRDefault="00FC0A26" w:rsidP="00FC0A26"/>
    <w:p w14:paraId="6ABB9D17" w14:textId="77777777" w:rsidR="00FC0A26" w:rsidRDefault="00FC0A26" w:rsidP="00FC0A26">
      <w:pPr>
        <w:spacing w:after="0" w:line="240" w:lineRule="auto"/>
      </w:pPr>
      <w:r>
        <w:br w:type="page"/>
      </w:r>
    </w:p>
    <w:p w14:paraId="3A867963" w14:textId="14C0CDC0" w:rsidR="00FC0A26" w:rsidRDefault="00FC0A26" w:rsidP="00531F3F">
      <w:pPr>
        <w:pStyle w:val="Heading1"/>
      </w:pPr>
      <w:bookmarkStart w:id="15" w:name="_Toc210742556"/>
      <w:bookmarkStart w:id="16" w:name="_Toc237421918"/>
      <w:r>
        <w:lastRenderedPageBreak/>
        <w:t xml:space="preserve">Implications of </w:t>
      </w:r>
      <w:r w:rsidR="00531F3F">
        <w:t>e</w:t>
      </w:r>
      <w:r>
        <w:t xml:space="preserve">nhanced </w:t>
      </w:r>
      <w:r w:rsidR="00531F3F">
        <w:t>a</w:t>
      </w:r>
      <w:r>
        <w:t xml:space="preserve">ttention </w:t>
      </w:r>
      <w:r w:rsidR="00531F3F">
        <w:t>l</w:t>
      </w:r>
      <w:r>
        <w:t>evel</w:t>
      </w:r>
      <w:bookmarkEnd w:id="15"/>
      <w:r>
        <w:t>s</w:t>
      </w:r>
      <w:bookmarkEnd w:id="16"/>
    </w:p>
    <w:p w14:paraId="53EB925F" w14:textId="375B1052" w:rsidR="00FC0A26" w:rsidRDefault="00FC0A26" w:rsidP="00FC0A26">
      <w:pPr>
        <w:pStyle w:val="F9-Paragraph"/>
      </w:pPr>
      <w:r w:rsidRPr="001C1D22">
        <w:t xml:space="preserve">The assignment of </w:t>
      </w:r>
      <w:r w:rsidR="00265A0A">
        <w:t>‘</w:t>
      </w:r>
      <w:r w:rsidRPr="001C1D22">
        <w:t>enhanced</w:t>
      </w:r>
      <w:r w:rsidR="00265A0A">
        <w:t>’</w:t>
      </w:r>
      <w:r w:rsidRPr="001C1D22">
        <w:t xml:space="preserve"> attention levels </w:t>
      </w:r>
      <w:r w:rsidRPr="00243D26">
        <w:t xml:space="preserve">may </w:t>
      </w:r>
      <w:r w:rsidRPr="001C1D22">
        <w:t xml:space="preserve">result in additional regulatory resource allocated to a site to support an enhanced inspection programme or undertake additional specialist assessment. </w:t>
      </w:r>
      <w:r>
        <w:t>It may also result in a refocus of our regulatory approach resulting in a reduction of regulatory resource.</w:t>
      </w:r>
    </w:p>
    <w:p w14:paraId="0F5B2453" w14:textId="4DF68E1C" w:rsidR="00FC0A26" w:rsidRPr="001C1D22" w:rsidRDefault="00FC0A26" w:rsidP="00FC0A26">
      <w:pPr>
        <w:pStyle w:val="F9-Paragraph"/>
      </w:pPr>
      <w:r>
        <w:t>Sub</w:t>
      </w:r>
      <w:r w:rsidR="00265A0A">
        <w:t>-</w:t>
      </w:r>
      <w:r w:rsidRPr="001C1D22">
        <w:t>di</w:t>
      </w:r>
      <w:r>
        <w:t xml:space="preserve">rectorates, </w:t>
      </w:r>
      <w:r w:rsidRPr="001C1D22">
        <w:t xml:space="preserve">to </w:t>
      </w:r>
      <w:r>
        <w:t xml:space="preserve">support </w:t>
      </w:r>
      <w:r w:rsidRPr="001C1D22">
        <w:t>secur</w:t>
      </w:r>
      <w:r>
        <w:t xml:space="preserve">ing </w:t>
      </w:r>
      <w:r w:rsidRPr="001C1D22">
        <w:t>a return to routine attention</w:t>
      </w:r>
      <w:r>
        <w:t xml:space="preserve"> by the dutyholder, may consider the following tactics to inform the regulatory approach</w:t>
      </w:r>
      <w:r w:rsidRPr="001C1D22">
        <w:t>:</w:t>
      </w:r>
    </w:p>
    <w:p w14:paraId="368D4784" w14:textId="77777777" w:rsidR="00FC0A26" w:rsidRPr="001C1D22" w:rsidRDefault="00FC0A26" w:rsidP="002A6C64">
      <w:pPr>
        <w:pStyle w:val="F9-Paragraph"/>
        <w:numPr>
          <w:ilvl w:val="1"/>
          <w:numId w:val="4"/>
        </w:numPr>
      </w:pPr>
      <w:r w:rsidRPr="001C1D22">
        <w:t>Structured Improvement Plans developed by the dutyholder</w:t>
      </w:r>
      <w:r>
        <w:t xml:space="preserve"> and </w:t>
      </w:r>
      <w:r w:rsidRPr="001C1D22">
        <w:t xml:space="preserve">overseen by ONR. </w:t>
      </w:r>
    </w:p>
    <w:p w14:paraId="64FD51BE" w14:textId="4AEBAD82" w:rsidR="00FC0A26" w:rsidRPr="001C1D22" w:rsidRDefault="00FC0A26" w:rsidP="002A6C64">
      <w:pPr>
        <w:pStyle w:val="F9-Paragraph"/>
        <w:numPr>
          <w:ilvl w:val="1"/>
          <w:numId w:val="4"/>
        </w:numPr>
      </w:pPr>
      <w:r w:rsidRPr="001C1D22">
        <w:t>Level 1 and 2 regulatory issues where relevant to manage and track progress.</w:t>
      </w:r>
      <w:r>
        <w:t xml:space="preserve"> This also provides oversight of progress with dutyholder plans at DoR and </w:t>
      </w:r>
      <w:r w:rsidR="00265A0A">
        <w:t>Deputy CNI (DCNI)</w:t>
      </w:r>
      <w:r w:rsidR="001976A7">
        <w:t xml:space="preserve"> level</w:t>
      </w:r>
      <w:r>
        <w:t>.</w:t>
      </w:r>
    </w:p>
    <w:p w14:paraId="6535C81A" w14:textId="77777777" w:rsidR="00FC0A26" w:rsidRDefault="00FC0A26" w:rsidP="002A6C64">
      <w:pPr>
        <w:pStyle w:val="F9-Paragraph"/>
        <w:numPr>
          <w:ilvl w:val="1"/>
          <w:numId w:val="4"/>
        </w:numPr>
      </w:pPr>
      <w:r>
        <w:t>Changes we may need to make to ONR existing inspection plans and management of regulatory issues to prevent distractions from return to routine for the dutyholder.</w:t>
      </w:r>
    </w:p>
    <w:p w14:paraId="5B4A84BB" w14:textId="3630FEE9" w:rsidR="00FC0A26" w:rsidRDefault="00FC0A26" w:rsidP="002A6C64">
      <w:pPr>
        <w:pStyle w:val="F9-Paragraph"/>
        <w:numPr>
          <w:ilvl w:val="1"/>
          <w:numId w:val="4"/>
        </w:numPr>
      </w:pPr>
      <w:r>
        <w:t>Changes we need to make to the existing Regulatory Interface Meeting (RIM) structure to support regular progress, assurance and oversight. Identify any expectations for the inclusion of the dutyholder internal assurance function, safety representatives or committees, to provide assurance of the improvement plan progress.</w:t>
      </w:r>
    </w:p>
    <w:p w14:paraId="54D2DA5E" w14:textId="19AE0A20" w:rsidR="00FC0A26" w:rsidRDefault="00FC0A26" w:rsidP="002A6C64">
      <w:pPr>
        <w:pStyle w:val="F9-Paragraph"/>
        <w:numPr>
          <w:ilvl w:val="1"/>
          <w:numId w:val="4"/>
        </w:numPr>
      </w:pPr>
      <w:r>
        <w:t xml:space="preserve">Communicating the output of the </w:t>
      </w:r>
      <w:r w:rsidR="00265A0A">
        <w:t>RALs</w:t>
      </w:r>
      <w:r>
        <w:t xml:space="preserve">, it is useful to capture in writing but also consider the options of </w:t>
      </w:r>
      <w:r w:rsidR="00924255">
        <w:t>face-to-face</w:t>
      </w:r>
      <w:r>
        <w:t xml:space="preserve"> communication and a workshop approach to help dutyholders understand the attributes and the conclusion.</w:t>
      </w:r>
    </w:p>
    <w:p w14:paraId="5CA467B6" w14:textId="2BB94479" w:rsidR="00FC0A26" w:rsidRDefault="00FC0A26" w:rsidP="002A6C64">
      <w:pPr>
        <w:pStyle w:val="F9-Paragraph"/>
        <w:numPr>
          <w:ilvl w:val="1"/>
          <w:numId w:val="4"/>
        </w:numPr>
      </w:pPr>
      <w:r w:rsidRPr="001C1D22">
        <w:t xml:space="preserve">Notwithstanding the enabling approach we adopt, in cases of non-compliance we apply our formal powers of enforcement proportionately and in line with our Enforcement Policy Statement </w:t>
      </w:r>
      <w:sdt>
        <w:sdtPr>
          <w:id w:val="983974431"/>
          <w:citation/>
        </w:sdtPr>
        <w:sdtEndPr/>
        <w:sdtContent>
          <w:r>
            <w:fldChar w:fldCharType="begin"/>
          </w:r>
          <w:r w:rsidR="00833D14">
            <w:instrText xml:space="preserve">CITATION ONR25 \l 2057 </w:instrText>
          </w:r>
          <w:r>
            <w:fldChar w:fldCharType="separate"/>
          </w:r>
          <w:r w:rsidR="00ED34B5" w:rsidRPr="00ED34B5">
            <w:rPr>
              <w:noProof/>
            </w:rPr>
            <w:t>[3]</w:t>
          </w:r>
          <w:r>
            <w:fldChar w:fldCharType="end"/>
          </w:r>
        </w:sdtContent>
      </w:sdt>
      <w:r w:rsidRPr="001C1D22">
        <w:t xml:space="preserve"> and </w:t>
      </w:r>
      <w:r w:rsidR="00265A0A">
        <w:t xml:space="preserve">the </w:t>
      </w:r>
      <w:r w:rsidRPr="001C1D22">
        <w:t xml:space="preserve">Enforcement </w:t>
      </w:r>
      <w:r w:rsidR="00265A0A">
        <w:t>Management Model (EMM)</w:t>
      </w:r>
      <w:r>
        <w:t xml:space="preserve"> </w:t>
      </w:r>
      <w:sdt>
        <w:sdtPr>
          <w:id w:val="1517579324"/>
          <w:citation/>
        </w:sdtPr>
        <w:sdtEndPr/>
        <w:sdtContent>
          <w:r>
            <w:fldChar w:fldCharType="begin"/>
          </w:r>
          <w:r w:rsidR="00265A0A">
            <w:instrText xml:space="preserve">CITATION ONR32 \l 2057 </w:instrText>
          </w:r>
          <w:r>
            <w:fldChar w:fldCharType="separate"/>
          </w:r>
          <w:r w:rsidR="00ED34B5" w:rsidRPr="00ED34B5">
            <w:rPr>
              <w:noProof/>
            </w:rPr>
            <w:t>[11]</w:t>
          </w:r>
          <w:r>
            <w:fldChar w:fldCharType="end"/>
          </w:r>
        </w:sdtContent>
      </w:sdt>
      <w:r w:rsidRPr="001C1D22">
        <w:t xml:space="preserve">. </w:t>
      </w:r>
    </w:p>
    <w:p w14:paraId="2A2BA050" w14:textId="77DFCB68" w:rsidR="00FC0A26" w:rsidRDefault="00FC0A26" w:rsidP="002A6C64">
      <w:pPr>
        <w:pStyle w:val="F9-Paragraph"/>
        <w:numPr>
          <w:ilvl w:val="1"/>
          <w:numId w:val="4"/>
        </w:numPr>
      </w:pPr>
      <w:r>
        <w:t>If ONR consider that the attention level has changed in year either as a part of the dutyholder progress being or not being made, then the sub</w:t>
      </w:r>
      <w:r w:rsidR="00265A0A">
        <w:t>-</w:t>
      </w:r>
      <w:r>
        <w:t xml:space="preserve">directorate may wish to review the RAL status additional to the RAL timeline in </w:t>
      </w:r>
      <w:hyperlink w:anchor="_Appendix_A_–" w:history="1">
        <w:r w:rsidRPr="00265A0A">
          <w:rPr>
            <w:rStyle w:val="Hyperlink"/>
          </w:rPr>
          <w:t>Appendix A</w:t>
        </w:r>
      </w:hyperlink>
      <w:r>
        <w:t>, if this is the case escalate the intention through to directorate governance.</w:t>
      </w:r>
    </w:p>
    <w:p w14:paraId="66B1E5D1" w14:textId="77777777" w:rsidR="00FC0A26" w:rsidRDefault="00FC0A26" w:rsidP="00FC0A26">
      <w:pPr>
        <w:spacing w:after="0" w:line="240" w:lineRule="auto"/>
      </w:pPr>
    </w:p>
    <w:p w14:paraId="51CA6B13" w14:textId="77777777" w:rsidR="00FC0A26" w:rsidRDefault="00FC0A26" w:rsidP="00FC0A26">
      <w:pPr>
        <w:spacing w:after="0" w:line="240" w:lineRule="auto"/>
        <w:sectPr w:rsidR="00FC0A26" w:rsidSect="00FC0A26">
          <w:pgSz w:w="11906" w:h="16838" w:code="9"/>
          <w:pgMar w:top="1440" w:right="1440" w:bottom="1440" w:left="1440" w:header="397" w:footer="397" w:gutter="0"/>
          <w:cols w:space="312"/>
          <w:docGrid w:linePitch="360"/>
        </w:sectPr>
      </w:pPr>
    </w:p>
    <w:p w14:paraId="5D7AA42C" w14:textId="4D9CE695" w:rsidR="00FC0A26" w:rsidRDefault="00FC0A26" w:rsidP="00FC0A26">
      <w:pPr>
        <w:pStyle w:val="Heading1"/>
        <w:numPr>
          <w:ilvl w:val="0"/>
          <w:numId w:val="0"/>
        </w:numPr>
      </w:pPr>
      <w:bookmarkStart w:id="17" w:name="_Appendix_A_–"/>
      <w:bookmarkStart w:id="18" w:name="_Toc210742557"/>
      <w:bookmarkStart w:id="19" w:name="_Toc237421919"/>
      <w:bookmarkEnd w:id="17"/>
      <w:r>
        <w:lastRenderedPageBreak/>
        <w:t>Appendix A – R</w:t>
      </w:r>
      <w:r w:rsidR="00265A0A">
        <w:t>egulatory attention level t</w:t>
      </w:r>
      <w:r>
        <w:t>imeline</w:t>
      </w:r>
      <w:bookmarkEnd w:id="18"/>
      <w:bookmarkEnd w:id="19"/>
    </w:p>
    <w:p w14:paraId="44F917E2" w14:textId="77777777" w:rsidR="00FC0A26" w:rsidRPr="00DD4213" w:rsidRDefault="00FC0A26" w:rsidP="00FC0A26">
      <w:pPr>
        <w:spacing w:after="0" w:line="240" w:lineRule="auto"/>
        <w:rPr>
          <w:szCs w:val="24"/>
        </w:rPr>
      </w:pPr>
      <w:r w:rsidRPr="00DD4213">
        <w:rPr>
          <w:noProof/>
          <w:szCs w:val="24"/>
        </w:rPr>
        <w:drawing>
          <wp:inline distT="0" distB="0" distL="0" distR="0" wp14:anchorId="2E6449C5" wp14:editId="0B9BB0D2">
            <wp:extent cx="8601075" cy="4966652"/>
            <wp:effectExtent l="38100" t="0" r="9525" b="43815"/>
            <wp:docPr id="912854749"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23160229" w14:textId="77777777" w:rsidR="00FC0A26" w:rsidRDefault="00FC0A26" w:rsidP="00FC0A26">
      <w:pPr>
        <w:spacing w:after="0" w:line="240" w:lineRule="auto"/>
        <w:sectPr w:rsidR="00FC0A26" w:rsidSect="00FC0A26">
          <w:pgSz w:w="16838" w:h="11906" w:orient="landscape" w:code="9"/>
          <w:pgMar w:top="1440" w:right="1440" w:bottom="1440" w:left="1440" w:header="397" w:footer="397" w:gutter="0"/>
          <w:cols w:space="708"/>
          <w:docGrid w:linePitch="360"/>
        </w:sectPr>
      </w:pPr>
    </w:p>
    <w:p w14:paraId="1E5D9632" w14:textId="2CAC5E46" w:rsidR="00FC0A26" w:rsidRDefault="00FC0A26" w:rsidP="00FC0A26">
      <w:pPr>
        <w:pStyle w:val="Heading1"/>
        <w:numPr>
          <w:ilvl w:val="0"/>
          <w:numId w:val="0"/>
        </w:numPr>
      </w:pPr>
      <w:bookmarkStart w:id="20" w:name="_Toc210742558"/>
      <w:bookmarkStart w:id="21" w:name="_Toc237421920"/>
      <w:r>
        <w:lastRenderedPageBreak/>
        <w:t xml:space="preserve">Appendix B – Nuclear </w:t>
      </w:r>
      <w:r w:rsidR="00265A0A">
        <w:t>s</w:t>
      </w:r>
      <w:r>
        <w:t>ecurity attributes</w:t>
      </w:r>
      <w:bookmarkEnd w:id="20"/>
      <w:bookmarkEnd w:id="21"/>
    </w:p>
    <w:p w14:paraId="0757B197" w14:textId="6C2DD85A" w:rsidR="00FC0A26" w:rsidRDefault="00FC0A26" w:rsidP="00FC0A26">
      <w:pPr>
        <w:spacing w:after="0" w:line="240" w:lineRule="auto"/>
      </w:pPr>
      <w:r w:rsidRPr="003958EB">
        <w:t xml:space="preserve">The overall </w:t>
      </w:r>
      <w:r w:rsidR="00160DB6">
        <w:t>RAL</w:t>
      </w:r>
      <w:r w:rsidRPr="003958EB">
        <w:t xml:space="preserve"> considers the combined judgements across </w:t>
      </w:r>
      <w:r>
        <w:t xml:space="preserve">Security Delivery, Security Operations and Security Strategic Enablers </w:t>
      </w:r>
      <w:r w:rsidRPr="003958EB">
        <w:t>(</w:t>
      </w:r>
      <w:r w:rsidR="00160DB6">
        <w:t xml:space="preserve">refer to </w:t>
      </w:r>
      <w:r w:rsidR="00160DB6" w:rsidRPr="00160DB6">
        <w:rPr>
          <w:b/>
          <w:bCs/>
        </w:rPr>
        <w:fldChar w:fldCharType="begin"/>
      </w:r>
      <w:r w:rsidR="00160DB6" w:rsidRPr="00160DB6">
        <w:rPr>
          <w:b/>
          <w:bCs/>
        </w:rPr>
        <w:instrText xml:space="preserve"> REF _Ref237421436 \h </w:instrText>
      </w:r>
      <w:r w:rsidR="00160DB6">
        <w:rPr>
          <w:b/>
          <w:bCs/>
        </w:rPr>
        <w:instrText xml:space="preserve"> \* MERGEFORMAT </w:instrText>
      </w:r>
      <w:r w:rsidR="00160DB6" w:rsidRPr="00160DB6">
        <w:rPr>
          <w:b/>
          <w:bCs/>
        </w:rPr>
      </w:r>
      <w:r w:rsidR="00160DB6" w:rsidRPr="00160DB6">
        <w:rPr>
          <w:b/>
          <w:bCs/>
        </w:rPr>
        <w:fldChar w:fldCharType="separate"/>
      </w:r>
      <w:r w:rsidR="00160DB6" w:rsidRPr="00160DB6">
        <w:rPr>
          <w:b/>
          <w:bCs/>
        </w:rPr>
        <w:t xml:space="preserve">Table </w:t>
      </w:r>
      <w:r w:rsidR="00160DB6" w:rsidRPr="00160DB6">
        <w:rPr>
          <w:b/>
          <w:bCs/>
          <w:noProof/>
        </w:rPr>
        <w:t>4</w:t>
      </w:r>
      <w:r w:rsidR="00160DB6" w:rsidRPr="00160DB6">
        <w:rPr>
          <w:b/>
          <w:bCs/>
        </w:rPr>
        <w:fldChar w:fldCharType="end"/>
      </w:r>
      <w:r w:rsidRPr="003958EB">
        <w:t xml:space="preserve">). </w:t>
      </w:r>
    </w:p>
    <w:p w14:paraId="4A44B4E3" w14:textId="77777777" w:rsidR="00FC0A26" w:rsidRDefault="00FC0A26" w:rsidP="00FC0A26">
      <w:pPr>
        <w:spacing w:after="0" w:line="240" w:lineRule="auto"/>
      </w:pPr>
    </w:p>
    <w:p w14:paraId="48DC49CC" w14:textId="714B2DED" w:rsidR="00FC0A26" w:rsidRDefault="00FC0A26" w:rsidP="00FC0A26">
      <w:pPr>
        <w:spacing w:after="0" w:line="240" w:lineRule="auto"/>
      </w:pPr>
      <w:r w:rsidRPr="003958EB">
        <w:t xml:space="preserve">The attributes relating to strategy and operations are drawn from </w:t>
      </w:r>
      <w:r w:rsidR="00160DB6">
        <w:t>the Security Assessment Principles (SyAPs)</w:t>
      </w:r>
      <w:r w:rsidRPr="003958EB">
        <w:t xml:space="preserve">. Security delivery can be considered more to be a measure of compliance and closing compliance gaps. In all cases, the attributes correlate with ONR's nuclear security performance indicator framework </w:t>
      </w:r>
      <w:r>
        <w:t>(</w:t>
      </w:r>
      <w:r w:rsidR="00160DB6">
        <w:fldChar w:fldCharType="begin"/>
      </w:r>
      <w:r w:rsidR="00160DB6">
        <w:instrText xml:space="preserve"> REF _Ref150251523 \h </w:instrText>
      </w:r>
      <w:r w:rsidR="00160DB6">
        <w:fldChar w:fldCharType="separate"/>
      </w:r>
      <w:r w:rsidR="00160DB6" w:rsidRPr="00BD4B9E">
        <w:rPr>
          <w:b/>
          <w:bCs/>
        </w:rPr>
        <w:t xml:space="preserve">Figure </w:t>
      </w:r>
      <w:r w:rsidR="00160DB6">
        <w:rPr>
          <w:b/>
          <w:bCs/>
          <w:noProof/>
        </w:rPr>
        <w:t>2</w:t>
      </w:r>
      <w:r w:rsidR="00160DB6">
        <w:fldChar w:fldCharType="end"/>
      </w:r>
      <w:r>
        <w:t xml:space="preserve">) </w:t>
      </w:r>
      <w:r w:rsidRPr="003958EB">
        <w:t>but with greater regulatory emphasis - as represented by the close relationship to SyAPs.</w:t>
      </w:r>
    </w:p>
    <w:p w14:paraId="4607EF13" w14:textId="77777777" w:rsidR="00FC0A26" w:rsidRDefault="00FC0A26" w:rsidP="00FC0A26">
      <w:pPr>
        <w:spacing w:after="0" w:line="240" w:lineRule="auto"/>
      </w:pPr>
    </w:p>
    <w:p w14:paraId="396B8F2F" w14:textId="1BC23217" w:rsidR="00FC0A26" w:rsidRPr="003958EB" w:rsidRDefault="00FC0A26" w:rsidP="00FC0A26">
      <w:pPr>
        <w:spacing w:after="0" w:line="240" w:lineRule="auto"/>
      </w:pPr>
      <w:bookmarkStart w:id="22" w:name="_Hlk210657941"/>
      <w:r>
        <w:t xml:space="preserve">The template for recording the security RAL </w:t>
      </w:r>
      <w:sdt>
        <w:sdtPr>
          <w:id w:val="-1267155998"/>
          <w:citation/>
        </w:sdtPr>
        <w:sdtEndPr/>
        <w:sdtContent>
          <w:r>
            <w:fldChar w:fldCharType="begin"/>
          </w:r>
          <w:r w:rsidR="00ED34B5">
            <w:instrText xml:space="preserve">CITATION ONR27 \l 2057 </w:instrText>
          </w:r>
          <w:r>
            <w:fldChar w:fldCharType="separate"/>
          </w:r>
          <w:r w:rsidR="00ED34B5" w:rsidRPr="00ED34B5">
            <w:rPr>
              <w:noProof/>
            </w:rPr>
            <w:t>[5]</w:t>
          </w:r>
          <w:r>
            <w:fldChar w:fldCharType="end"/>
          </w:r>
        </w:sdtContent>
      </w:sdt>
      <w:r>
        <w:t xml:space="preserve"> has further detail on each of the attribute indicators to support inspectors in completing the RAL for a dutyholder</w:t>
      </w:r>
      <w:bookmarkEnd w:id="22"/>
      <w:r>
        <w:t>.</w:t>
      </w:r>
    </w:p>
    <w:p w14:paraId="6E60CB66" w14:textId="77777777" w:rsidR="00FC0A26" w:rsidRPr="003958EB" w:rsidRDefault="00FC0A26" w:rsidP="00FC0A26">
      <w:pPr>
        <w:spacing w:after="0" w:line="240" w:lineRule="auto"/>
        <w:rPr>
          <w:b/>
          <w:bCs/>
        </w:rPr>
      </w:pPr>
    </w:p>
    <w:p w14:paraId="08BF4E77" w14:textId="69AEB2EE" w:rsidR="00160DB6" w:rsidRDefault="00160DB6" w:rsidP="00160DB6">
      <w:pPr>
        <w:pStyle w:val="Caption"/>
        <w:keepNext/>
      </w:pPr>
      <w:bookmarkStart w:id="23" w:name="_Ref237421436"/>
      <w:r>
        <w:t xml:space="preserve">Table </w:t>
      </w:r>
      <w:fldSimple w:instr=" SEQ Table \* ARABIC ">
        <w:r>
          <w:rPr>
            <w:noProof/>
          </w:rPr>
          <w:t>4</w:t>
        </w:r>
      </w:fldSimple>
      <w:bookmarkEnd w:id="23"/>
      <w:r>
        <w:t xml:space="preserve"> – </w:t>
      </w:r>
      <w:r w:rsidRPr="00625C88">
        <w:t>Security</w:t>
      </w:r>
      <w:r>
        <w:t xml:space="preserve"> </w:t>
      </w:r>
      <w:r w:rsidRPr="00625C88">
        <w:t>performance attributes: Overall regulatory attention for security purposes</w:t>
      </w:r>
    </w:p>
    <w:tbl>
      <w:tblPr>
        <w:tblStyle w:val="ONRTable1"/>
        <w:tblW w:w="5000" w:type="pct"/>
        <w:tblInd w:w="0" w:type="dxa"/>
        <w:tblLook w:val="04A0" w:firstRow="1" w:lastRow="0" w:firstColumn="1" w:lastColumn="0" w:noHBand="0" w:noVBand="1"/>
        <w:tblCaption w:val="Table 1"/>
      </w:tblPr>
      <w:tblGrid>
        <w:gridCol w:w="3010"/>
        <w:gridCol w:w="3009"/>
        <w:gridCol w:w="3007"/>
      </w:tblGrid>
      <w:tr w:rsidR="00FC0A26" w:rsidRPr="003958EB" w14:paraId="1F365B8B" w14:textId="77777777" w:rsidTr="00160DB6">
        <w:trPr>
          <w:cnfStyle w:val="100000000000" w:firstRow="1" w:lastRow="0" w:firstColumn="0" w:lastColumn="0" w:oddVBand="0" w:evenVBand="0" w:oddHBand="0" w:evenHBand="0" w:firstRowFirstColumn="0" w:firstRowLastColumn="0" w:lastRowFirstColumn="0" w:lastRowLastColumn="0"/>
          <w:tblHeader/>
        </w:trPr>
        <w:tc>
          <w:tcPr>
            <w:tcW w:w="1667" w:type="pct"/>
          </w:tcPr>
          <w:p w14:paraId="38ECC1EF" w14:textId="77777777" w:rsidR="00FC0A26" w:rsidRPr="003958EB" w:rsidRDefault="00FC0A26" w:rsidP="00713AC6">
            <w:pPr>
              <w:spacing w:after="0" w:line="240" w:lineRule="auto"/>
              <w:rPr>
                <w:rFonts w:eastAsia="Calibri" w:cs="Arial"/>
                <w:b w:val="0"/>
                <w:bCs/>
              </w:rPr>
            </w:pPr>
            <w:r w:rsidRPr="003958EB">
              <w:rPr>
                <w:rFonts w:eastAsia="Calibri" w:cs="Arial"/>
                <w:b w:val="0"/>
                <w:bCs/>
              </w:rPr>
              <w:t>Security Delivery</w:t>
            </w:r>
          </w:p>
        </w:tc>
        <w:tc>
          <w:tcPr>
            <w:tcW w:w="1667" w:type="pct"/>
          </w:tcPr>
          <w:p w14:paraId="6DD8D12D" w14:textId="77777777" w:rsidR="00FC0A26" w:rsidRPr="003958EB" w:rsidRDefault="00FC0A26" w:rsidP="00713AC6">
            <w:pPr>
              <w:spacing w:after="0" w:line="240" w:lineRule="auto"/>
              <w:rPr>
                <w:rFonts w:eastAsia="Calibri" w:cs="Arial"/>
                <w:b w:val="0"/>
                <w:bCs/>
              </w:rPr>
            </w:pPr>
            <w:r w:rsidRPr="003958EB">
              <w:rPr>
                <w:rFonts w:eastAsia="Calibri" w:cs="Arial"/>
                <w:b w:val="0"/>
                <w:bCs/>
              </w:rPr>
              <w:t>Security Operations</w:t>
            </w:r>
          </w:p>
        </w:tc>
        <w:tc>
          <w:tcPr>
            <w:tcW w:w="1666" w:type="pct"/>
          </w:tcPr>
          <w:p w14:paraId="31DDA602" w14:textId="77777777" w:rsidR="00FC0A26" w:rsidRPr="003958EB" w:rsidRDefault="00FC0A26" w:rsidP="00713AC6">
            <w:pPr>
              <w:spacing w:after="0" w:line="240" w:lineRule="auto"/>
              <w:rPr>
                <w:rFonts w:eastAsia="Calibri" w:cs="Arial"/>
                <w:b w:val="0"/>
                <w:bCs/>
              </w:rPr>
            </w:pPr>
            <w:r w:rsidRPr="003958EB">
              <w:rPr>
                <w:rFonts w:eastAsia="Calibri" w:cs="Arial"/>
                <w:b w:val="0"/>
                <w:bCs/>
              </w:rPr>
              <w:t>Security Strategic Enablers</w:t>
            </w:r>
          </w:p>
        </w:tc>
      </w:tr>
      <w:tr w:rsidR="00FC0A26" w:rsidRPr="003958EB" w14:paraId="5176D2FB" w14:textId="77777777" w:rsidTr="00160DB6">
        <w:tc>
          <w:tcPr>
            <w:tcW w:w="1667" w:type="pct"/>
          </w:tcPr>
          <w:p w14:paraId="03629B8C" w14:textId="77777777" w:rsidR="00FC0A26" w:rsidRPr="003958EB" w:rsidRDefault="00FC0A26" w:rsidP="00713AC6">
            <w:pPr>
              <w:spacing w:after="0" w:line="240" w:lineRule="auto"/>
              <w:rPr>
                <w:rFonts w:eastAsia="Calibri" w:cs="Arial"/>
              </w:rPr>
            </w:pPr>
            <w:r w:rsidRPr="003958EB">
              <w:rPr>
                <w:rFonts w:eastAsia="Calibri" w:cs="Arial"/>
              </w:rPr>
              <w:t>Dutyholder Compliance record</w:t>
            </w:r>
          </w:p>
        </w:tc>
        <w:tc>
          <w:tcPr>
            <w:tcW w:w="1667" w:type="pct"/>
          </w:tcPr>
          <w:p w14:paraId="78F5F83D" w14:textId="77777777" w:rsidR="00FC0A26" w:rsidRPr="003958EB" w:rsidRDefault="00FC0A26" w:rsidP="00713AC6">
            <w:pPr>
              <w:spacing w:after="0" w:line="240" w:lineRule="auto"/>
              <w:rPr>
                <w:rFonts w:eastAsia="Calibri" w:cs="Arial"/>
              </w:rPr>
            </w:pPr>
            <w:r w:rsidRPr="003958EB">
              <w:rPr>
                <w:rFonts w:eastAsia="Calibri" w:cs="Arial"/>
              </w:rPr>
              <w:t>Physical Protection Systems</w:t>
            </w:r>
          </w:p>
        </w:tc>
        <w:tc>
          <w:tcPr>
            <w:tcW w:w="1666" w:type="pct"/>
          </w:tcPr>
          <w:p w14:paraId="0F4126B6" w14:textId="77777777" w:rsidR="00FC0A26" w:rsidRPr="003958EB" w:rsidRDefault="00FC0A26" w:rsidP="00713AC6">
            <w:pPr>
              <w:spacing w:after="0" w:line="240" w:lineRule="auto"/>
              <w:rPr>
                <w:rFonts w:eastAsia="Calibri" w:cs="Arial"/>
              </w:rPr>
            </w:pPr>
            <w:r w:rsidRPr="003958EB">
              <w:rPr>
                <w:rFonts w:eastAsia="Calibri" w:cs="Arial"/>
              </w:rPr>
              <w:t>Leadership and Management for Security</w:t>
            </w:r>
          </w:p>
        </w:tc>
      </w:tr>
      <w:tr w:rsidR="00FC0A26" w:rsidRPr="003958EB" w14:paraId="5B1B49E1" w14:textId="77777777" w:rsidTr="00160DB6">
        <w:tc>
          <w:tcPr>
            <w:tcW w:w="1667" w:type="pct"/>
          </w:tcPr>
          <w:p w14:paraId="5688D03B" w14:textId="77777777" w:rsidR="00FC0A26" w:rsidRPr="003958EB" w:rsidRDefault="00FC0A26" w:rsidP="00713AC6">
            <w:pPr>
              <w:spacing w:after="0" w:line="240" w:lineRule="auto"/>
              <w:rPr>
                <w:rFonts w:eastAsia="Calibri" w:cs="Arial"/>
              </w:rPr>
            </w:pPr>
            <w:r w:rsidRPr="003958EB">
              <w:rPr>
                <w:rFonts w:eastAsia="Calibri" w:cs="Arial"/>
              </w:rPr>
              <w:t>Number and significance of security regulatory issues and timeliness of resolution</w:t>
            </w:r>
          </w:p>
        </w:tc>
        <w:tc>
          <w:tcPr>
            <w:tcW w:w="1667" w:type="pct"/>
          </w:tcPr>
          <w:p w14:paraId="59A95A99" w14:textId="77777777" w:rsidR="00FC0A26" w:rsidRPr="003958EB" w:rsidRDefault="00FC0A26" w:rsidP="00713AC6">
            <w:pPr>
              <w:spacing w:after="0" w:line="240" w:lineRule="auto"/>
              <w:rPr>
                <w:rFonts w:eastAsia="Calibri" w:cs="Arial"/>
              </w:rPr>
            </w:pPr>
            <w:r w:rsidRPr="003958EB">
              <w:rPr>
                <w:rFonts w:eastAsia="Calibri" w:cs="Arial"/>
              </w:rPr>
              <w:t xml:space="preserve">Cyber Security and Information Assurance </w:t>
            </w:r>
          </w:p>
        </w:tc>
        <w:tc>
          <w:tcPr>
            <w:tcW w:w="1666" w:type="pct"/>
          </w:tcPr>
          <w:p w14:paraId="51058063" w14:textId="77777777" w:rsidR="00FC0A26" w:rsidRPr="003958EB" w:rsidRDefault="00FC0A26" w:rsidP="00713AC6">
            <w:pPr>
              <w:spacing w:after="0" w:line="240" w:lineRule="auto"/>
              <w:rPr>
                <w:rFonts w:eastAsia="Calibri" w:cs="Arial"/>
              </w:rPr>
            </w:pPr>
            <w:r w:rsidRPr="003958EB">
              <w:rPr>
                <w:rFonts w:eastAsia="Calibri" w:cs="Arial"/>
              </w:rPr>
              <w:t>Organisational Culture</w:t>
            </w:r>
          </w:p>
        </w:tc>
      </w:tr>
      <w:tr w:rsidR="00FC0A26" w:rsidRPr="003958EB" w14:paraId="2526FC4A" w14:textId="77777777" w:rsidTr="00160DB6">
        <w:trPr>
          <w:trHeight w:val="70"/>
        </w:trPr>
        <w:tc>
          <w:tcPr>
            <w:tcW w:w="1667" w:type="pct"/>
          </w:tcPr>
          <w:p w14:paraId="40EE1681" w14:textId="77777777" w:rsidR="00FC0A26" w:rsidRPr="003958EB" w:rsidRDefault="00FC0A26" w:rsidP="00713AC6">
            <w:pPr>
              <w:spacing w:after="0" w:line="240" w:lineRule="auto"/>
              <w:rPr>
                <w:rFonts w:eastAsia="Calibri" w:cs="Arial"/>
              </w:rPr>
            </w:pPr>
            <w:r w:rsidRPr="003958EB">
              <w:rPr>
                <w:rFonts w:eastAsia="Calibri" w:cs="Arial"/>
              </w:rPr>
              <w:t>Enforcement action taken or under consideration</w:t>
            </w:r>
          </w:p>
        </w:tc>
        <w:tc>
          <w:tcPr>
            <w:tcW w:w="1667" w:type="pct"/>
          </w:tcPr>
          <w:p w14:paraId="08E21D92" w14:textId="77777777" w:rsidR="00FC0A26" w:rsidRPr="003958EB" w:rsidRDefault="00FC0A26" w:rsidP="00713AC6">
            <w:pPr>
              <w:spacing w:after="0" w:line="240" w:lineRule="auto"/>
              <w:rPr>
                <w:rFonts w:eastAsia="Calibri" w:cs="Arial"/>
              </w:rPr>
            </w:pPr>
            <w:r w:rsidRPr="003958EB">
              <w:rPr>
                <w:rFonts w:eastAsia="Calibri" w:cs="Arial"/>
              </w:rPr>
              <w:t xml:space="preserve">Workforce Trustworthiness </w:t>
            </w:r>
          </w:p>
        </w:tc>
        <w:tc>
          <w:tcPr>
            <w:tcW w:w="1666" w:type="pct"/>
          </w:tcPr>
          <w:p w14:paraId="6595212F" w14:textId="77777777" w:rsidR="00FC0A26" w:rsidRPr="003958EB" w:rsidRDefault="00FC0A26" w:rsidP="00713AC6">
            <w:pPr>
              <w:spacing w:after="0" w:line="240" w:lineRule="auto"/>
              <w:rPr>
                <w:rFonts w:eastAsia="Calibri" w:cs="Arial"/>
              </w:rPr>
            </w:pPr>
            <w:r w:rsidRPr="003958EB">
              <w:rPr>
                <w:rFonts w:eastAsia="Calibri" w:cs="Arial"/>
              </w:rPr>
              <w:t>Management of Human Performance</w:t>
            </w:r>
          </w:p>
        </w:tc>
      </w:tr>
      <w:tr w:rsidR="00FC0A26" w:rsidRPr="003958EB" w14:paraId="5960069F" w14:textId="77777777" w:rsidTr="00160DB6">
        <w:tc>
          <w:tcPr>
            <w:tcW w:w="1667" w:type="pct"/>
          </w:tcPr>
          <w:p w14:paraId="63A97228" w14:textId="77777777" w:rsidR="00FC0A26" w:rsidRPr="003958EB" w:rsidRDefault="00FC0A26" w:rsidP="00713AC6">
            <w:pPr>
              <w:spacing w:after="0" w:line="240" w:lineRule="auto"/>
              <w:rPr>
                <w:rFonts w:eastAsia="Calibri" w:cs="Arial"/>
              </w:rPr>
            </w:pPr>
            <w:r w:rsidRPr="003958EB">
              <w:rPr>
                <w:rFonts w:eastAsia="Calibri" w:cs="Arial"/>
              </w:rPr>
              <w:t>Number and significance of Nuclear Security incidents on the site</w:t>
            </w:r>
          </w:p>
        </w:tc>
        <w:tc>
          <w:tcPr>
            <w:tcW w:w="1667" w:type="pct"/>
          </w:tcPr>
          <w:p w14:paraId="768D491C" w14:textId="77777777" w:rsidR="00FC0A26" w:rsidRPr="003958EB" w:rsidRDefault="00FC0A26" w:rsidP="00713AC6">
            <w:pPr>
              <w:spacing w:after="0" w:line="240" w:lineRule="auto"/>
              <w:rPr>
                <w:rFonts w:eastAsia="Calibri" w:cs="Arial"/>
              </w:rPr>
            </w:pPr>
            <w:r w:rsidRPr="003958EB">
              <w:rPr>
                <w:rFonts w:eastAsia="Calibri" w:cs="Arial"/>
              </w:rPr>
              <w:t>Policing and Guarding</w:t>
            </w:r>
          </w:p>
        </w:tc>
        <w:tc>
          <w:tcPr>
            <w:tcW w:w="1666" w:type="pct"/>
          </w:tcPr>
          <w:p w14:paraId="253ABC8C" w14:textId="77777777" w:rsidR="00FC0A26" w:rsidRPr="003958EB" w:rsidRDefault="00FC0A26" w:rsidP="00713AC6">
            <w:pPr>
              <w:spacing w:after="0" w:line="240" w:lineRule="auto"/>
              <w:rPr>
                <w:rFonts w:eastAsia="Calibri" w:cs="Arial"/>
              </w:rPr>
            </w:pPr>
            <w:r w:rsidRPr="003958EB">
              <w:rPr>
                <w:rFonts w:eastAsia="Calibri" w:cs="Arial"/>
              </w:rPr>
              <w:t xml:space="preserve">Nuclear Supply Chain Management </w:t>
            </w:r>
          </w:p>
        </w:tc>
      </w:tr>
      <w:tr w:rsidR="00FC0A26" w:rsidRPr="003958EB" w14:paraId="7A32416C" w14:textId="77777777" w:rsidTr="00160DB6">
        <w:tc>
          <w:tcPr>
            <w:tcW w:w="1667" w:type="pct"/>
          </w:tcPr>
          <w:p w14:paraId="53EAF1B4" w14:textId="77777777" w:rsidR="00FC0A26" w:rsidRPr="003958EB" w:rsidRDefault="00FC0A26" w:rsidP="00713AC6">
            <w:pPr>
              <w:spacing w:after="0" w:line="240" w:lineRule="auto"/>
              <w:rPr>
                <w:rFonts w:eastAsia="Calibri" w:cs="Arial"/>
              </w:rPr>
            </w:pPr>
            <w:r w:rsidRPr="003958EB">
              <w:rPr>
                <w:rFonts w:eastAsia="Calibri" w:cs="Arial"/>
              </w:rPr>
              <w:t>Delivery of agreed nuclear security improvements</w:t>
            </w:r>
          </w:p>
        </w:tc>
        <w:tc>
          <w:tcPr>
            <w:tcW w:w="1667" w:type="pct"/>
          </w:tcPr>
          <w:p w14:paraId="77476E77" w14:textId="77777777" w:rsidR="00FC0A26" w:rsidRPr="003958EB" w:rsidRDefault="00FC0A26" w:rsidP="00713AC6">
            <w:pPr>
              <w:spacing w:after="0" w:line="240" w:lineRule="auto"/>
              <w:rPr>
                <w:rFonts w:eastAsia="Calibri" w:cs="Arial"/>
              </w:rPr>
            </w:pPr>
            <w:r w:rsidRPr="003958EB">
              <w:rPr>
                <w:rFonts w:eastAsia="Calibri" w:cs="Arial"/>
              </w:rPr>
              <w:t>Emergency Preparedness and Response</w:t>
            </w:r>
          </w:p>
        </w:tc>
        <w:tc>
          <w:tcPr>
            <w:tcW w:w="1666" w:type="pct"/>
          </w:tcPr>
          <w:p w14:paraId="0A65B08A" w14:textId="77777777" w:rsidR="00FC0A26" w:rsidRPr="003958EB" w:rsidRDefault="00FC0A26" w:rsidP="00713AC6">
            <w:pPr>
              <w:spacing w:after="0" w:line="240" w:lineRule="auto"/>
              <w:rPr>
                <w:rFonts w:eastAsia="Calibri" w:cs="Arial"/>
              </w:rPr>
            </w:pPr>
            <w:r w:rsidRPr="003958EB">
              <w:rPr>
                <w:rFonts w:eastAsia="Calibri" w:cs="Arial"/>
              </w:rPr>
              <w:t>Reliability, Resilience and Sustainability</w:t>
            </w:r>
          </w:p>
        </w:tc>
      </w:tr>
    </w:tbl>
    <w:p w14:paraId="7504BB46" w14:textId="77777777" w:rsidR="00FC0A26" w:rsidRDefault="00FC0A26" w:rsidP="00FC0A26">
      <w:pPr>
        <w:spacing w:after="0" w:line="240" w:lineRule="auto"/>
      </w:pPr>
    </w:p>
    <w:p w14:paraId="51917420" w14:textId="77777777" w:rsidR="00FC0A26" w:rsidRDefault="00FC0A26" w:rsidP="00FC0A26">
      <w:pPr>
        <w:spacing w:after="0" w:line="240" w:lineRule="auto"/>
        <w:sectPr w:rsidR="00FC0A26" w:rsidSect="00FC0A26">
          <w:pgSz w:w="11906" w:h="16838" w:code="9"/>
          <w:pgMar w:top="1440" w:right="1440" w:bottom="1440" w:left="1440" w:header="397" w:footer="397" w:gutter="0"/>
          <w:cols w:space="708"/>
          <w:docGrid w:linePitch="360"/>
        </w:sectPr>
      </w:pPr>
    </w:p>
    <w:p w14:paraId="5420C7AA" w14:textId="77777777" w:rsidR="00FC0A26" w:rsidRPr="00BD4B9E" w:rsidRDefault="00FC0A26" w:rsidP="00FC0A26">
      <w:pPr>
        <w:spacing w:after="0" w:line="240" w:lineRule="auto"/>
        <w:jc w:val="center"/>
      </w:pPr>
      <w:r w:rsidRPr="00BD4B9E">
        <w:rPr>
          <w:noProof/>
        </w:rPr>
        <w:lastRenderedPageBreak/>
        <w:drawing>
          <wp:inline distT="0" distB="0" distL="0" distR="0" wp14:anchorId="2EADD8F1" wp14:editId="6B2138B9">
            <wp:extent cx="8326643" cy="5508346"/>
            <wp:effectExtent l="0" t="0" r="0" b="0"/>
            <wp:docPr id="4" name="Picture 4" descr="A diagram of security performance indicator framewo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iagram of security performance indicator framework&#10;&#10;AI-generated content may be incorrect."/>
                    <pic:cNvPicPr/>
                  </pic:nvPicPr>
                  <pic:blipFill>
                    <a:blip r:embed="rId33"/>
                    <a:stretch>
                      <a:fillRect/>
                    </a:stretch>
                  </pic:blipFill>
                  <pic:spPr>
                    <a:xfrm>
                      <a:off x="0" y="0"/>
                      <a:ext cx="8463254" cy="5598719"/>
                    </a:xfrm>
                    <a:prstGeom prst="rect">
                      <a:avLst/>
                    </a:prstGeom>
                  </pic:spPr>
                </pic:pic>
              </a:graphicData>
            </a:graphic>
          </wp:inline>
        </w:drawing>
      </w:r>
    </w:p>
    <w:p w14:paraId="647EA8EE" w14:textId="2A0B294D" w:rsidR="00FC0A26" w:rsidRPr="00BD4B9E" w:rsidRDefault="00FC0A26" w:rsidP="00160DB6">
      <w:pPr>
        <w:spacing w:after="0" w:line="240" w:lineRule="auto"/>
        <w:jc w:val="center"/>
        <w:rPr>
          <w:b/>
          <w:bCs/>
        </w:rPr>
        <w:sectPr w:rsidR="00FC0A26" w:rsidRPr="00BD4B9E" w:rsidSect="00FC0A26">
          <w:pgSz w:w="16838" w:h="11906" w:orient="landscape" w:code="9"/>
          <w:pgMar w:top="1440" w:right="1440" w:bottom="1440" w:left="1440" w:header="397" w:footer="397" w:gutter="0"/>
          <w:cols w:space="312"/>
          <w:docGrid w:linePitch="360"/>
        </w:sectPr>
      </w:pPr>
      <w:bookmarkStart w:id="24" w:name="_Ref150251523"/>
      <w:r w:rsidRPr="00BD4B9E">
        <w:rPr>
          <w:b/>
          <w:bCs/>
        </w:rPr>
        <w:t xml:space="preserve">Figure </w:t>
      </w:r>
      <w:r w:rsidRPr="00BD4B9E">
        <w:rPr>
          <w:b/>
          <w:bCs/>
        </w:rPr>
        <w:fldChar w:fldCharType="begin"/>
      </w:r>
      <w:r w:rsidRPr="00BD4B9E">
        <w:rPr>
          <w:b/>
          <w:bCs/>
        </w:rPr>
        <w:instrText xml:space="preserve"> SEQ Figure \* ARABIC </w:instrText>
      </w:r>
      <w:r w:rsidRPr="00BD4B9E">
        <w:rPr>
          <w:b/>
          <w:bCs/>
        </w:rPr>
        <w:fldChar w:fldCharType="separate"/>
      </w:r>
      <w:r w:rsidR="00160DB6">
        <w:rPr>
          <w:b/>
          <w:bCs/>
          <w:noProof/>
        </w:rPr>
        <w:t>2</w:t>
      </w:r>
      <w:r w:rsidRPr="00BD4B9E">
        <w:fldChar w:fldCharType="end"/>
      </w:r>
      <w:bookmarkEnd w:id="24"/>
      <w:r w:rsidRPr="00BD4B9E">
        <w:rPr>
          <w:b/>
          <w:bCs/>
        </w:rPr>
        <w:t xml:space="preserve"> - Security performance indicator framework</w:t>
      </w:r>
      <w:r w:rsidR="00160DB6">
        <w:rPr>
          <w:b/>
          <w:bCs/>
        </w:rPr>
        <w:t>.</w:t>
      </w:r>
    </w:p>
    <w:p w14:paraId="6A239E0E" w14:textId="3902B063" w:rsidR="00FC0A26" w:rsidRDefault="00FC0A26" w:rsidP="00FC0A26">
      <w:pPr>
        <w:pStyle w:val="Heading1"/>
        <w:numPr>
          <w:ilvl w:val="0"/>
          <w:numId w:val="0"/>
        </w:numPr>
      </w:pPr>
      <w:bookmarkStart w:id="25" w:name="_Toc210742559"/>
      <w:bookmarkStart w:id="26" w:name="_Toc237421921"/>
      <w:r>
        <w:lastRenderedPageBreak/>
        <w:t xml:space="preserve">Appendix C – Nuclear </w:t>
      </w:r>
      <w:r w:rsidR="00160DB6">
        <w:t>s</w:t>
      </w:r>
      <w:r>
        <w:t xml:space="preserve">afeguards </w:t>
      </w:r>
      <w:r w:rsidR="00160DB6">
        <w:t>a</w:t>
      </w:r>
      <w:r>
        <w:t>ttributes</w:t>
      </w:r>
      <w:bookmarkEnd w:id="25"/>
      <w:bookmarkEnd w:id="26"/>
    </w:p>
    <w:p w14:paraId="737378FE" w14:textId="44A1BC51" w:rsidR="00FC0A26" w:rsidRDefault="00FC0A26" w:rsidP="00FC0A26">
      <w:pPr>
        <w:spacing w:after="0" w:line="240" w:lineRule="auto"/>
      </w:pPr>
      <w:r w:rsidRPr="00976E35">
        <w:t xml:space="preserve">The overall </w:t>
      </w:r>
      <w:r w:rsidR="00160DB6">
        <w:t>RALs</w:t>
      </w:r>
      <w:r w:rsidRPr="00976E35">
        <w:t xml:space="preserve"> assigned for safeguards combines assessment across four performance attributes, capturing ONR’s safeguards related purpose. </w:t>
      </w:r>
    </w:p>
    <w:p w14:paraId="2FF5966B" w14:textId="77777777" w:rsidR="00FC0A26" w:rsidRDefault="00FC0A26" w:rsidP="00FC0A26">
      <w:pPr>
        <w:spacing w:after="0" w:line="240" w:lineRule="auto"/>
      </w:pPr>
    </w:p>
    <w:p w14:paraId="7B98614E" w14:textId="4E2A94A7" w:rsidR="00FC0A26" w:rsidRPr="00976E35" w:rsidRDefault="00FC0A26" w:rsidP="00FC0A26">
      <w:pPr>
        <w:spacing w:after="0" w:line="240" w:lineRule="auto"/>
      </w:pPr>
      <w:r w:rsidRPr="00976E35">
        <w:t xml:space="preserve">These indicators correlate with the statutory safeguards requirements and ONRs Nuclear Material Accountancy, Control and Safeguards (ONMACS) fundamental safeguards expectations (FSE) </w:t>
      </w:r>
      <w:sdt>
        <w:sdtPr>
          <w:id w:val="1579633382"/>
          <w:citation/>
        </w:sdtPr>
        <w:sdtEndPr/>
        <w:sdtContent>
          <w:r w:rsidRPr="00976E35">
            <w:fldChar w:fldCharType="begin"/>
          </w:r>
          <w:r w:rsidRPr="00976E35">
            <w:instrText xml:space="preserve"> CITATION ONR424 \l 2057 </w:instrText>
          </w:r>
          <w:r w:rsidRPr="00976E35">
            <w:fldChar w:fldCharType="separate"/>
          </w:r>
          <w:r w:rsidR="00ED34B5" w:rsidRPr="00ED34B5">
            <w:rPr>
              <w:noProof/>
            </w:rPr>
            <w:t>[12]</w:t>
          </w:r>
          <w:r w:rsidRPr="00976E35">
            <w:fldChar w:fldCharType="end"/>
          </w:r>
        </w:sdtContent>
      </w:sdt>
      <w:r w:rsidRPr="00976E35">
        <w:t xml:space="preserve">. </w:t>
      </w:r>
    </w:p>
    <w:p w14:paraId="1FD9F6C2" w14:textId="77777777" w:rsidR="00FC0A26" w:rsidRDefault="00FC0A26" w:rsidP="00FC0A26">
      <w:pPr>
        <w:spacing w:after="0" w:line="240" w:lineRule="auto"/>
      </w:pPr>
      <w:bookmarkStart w:id="27" w:name="_Hlk149040433"/>
    </w:p>
    <w:p w14:paraId="07DC290D" w14:textId="77777777" w:rsidR="00FC0A26" w:rsidRDefault="00FC0A26" w:rsidP="00FC0A26">
      <w:pPr>
        <w:spacing w:after="0" w:line="240" w:lineRule="auto"/>
      </w:pPr>
      <w:r w:rsidRPr="00976E35">
        <w:t>Evidence to support attributes and indicators should make use of the routine statutory reporting as well as site-based interventions and interactions.</w:t>
      </w:r>
    </w:p>
    <w:p w14:paraId="241F9085" w14:textId="77777777" w:rsidR="00FC0A26" w:rsidRPr="00976E35" w:rsidRDefault="00FC0A26" w:rsidP="00FC0A26">
      <w:pPr>
        <w:spacing w:after="0" w:line="240" w:lineRule="auto"/>
      </w:pPr>
    </w:p>
    <w:p w14:paraId="69F80C04" w14:textId="60DCD406" w:rsidR="00FC0A26" w:rsidRPr="00976E35" w:rsidRDefault="00FC0A26" w:rsidP="00FC0A26">
      <w:pPr>
        <w:spacing w:after="0" w:line="240" w:lineRule="auto"/>
      </w:pPr>
      <w:bookmarkStart w:id="28" w:name="_Hlk149040288"/>
      <w:bookmarkEnd w:id="27"/>
      <w:r w:rsidRPr="00976E35">
        <w:t xml:space="preserve">The four attributes, with recommended supporting indicators are summarised in </w:t>
      </w:r>
      <w:r w:rsidR="00160DB6" w:rsidRPr="00160DB6">
        <w:rPr>
          <w:b/>
          <w:bCs/>
        </w:rPr>
        <w:fldChar w:fldCharType="begin"/>
      </w:r>
      <w:r w:rsidR="00160DB6" w:rsidRPr="00160DB6">
        <w:rPr>
          <w:b/>
          <w:bCs/>
        </w:rPr>
        <w:instrText xml:space="preserve"> REF _Ref237421581 \h </w:instrText>
      </w:r>
      <w:r w:rsidR="00160DB6">
        <w:rPr>
          <w:b/>
          <w:bCs/>
        </w:rPr>
        <w:instrText xml:space="preserve"> \* MERGEFORMAT </w:instrText>
      </w:r>
      <w:r w:rsidR="00160DB6" w:rsidRPr="00160DB6">
        <w:rPr>
          <w:b/>
          <w:bCs/>
        </w:rPr>
      </w:r>
      <w:r w:rsidR="00160DB6" w:rsidRPr="00160DB6">
        <w:rPr>
          <w:b/>
          <w:bCs/>
        </w:rPr>
        <w:fldChar w:fldCharType="separate"/>
      </w:r>
      <w:r w:rsidR="00160DB6" w:rsidRPr="00160DB6">
        <w:rPr>
          <w:b/>
          <w:bCs/>
        </w:rPr>
        <w:t xml:space="preserve">Table </w:t>
      </w:r>
      <w:r w:rsidR="00160DB6" w:rsidRPr="00160DB6">
        <w:rPr>
          <w:b/>
          <w:bCs/>
          <w:noProof/>
        </w:rPr>
        <w:t>5</w:t>
      </w:r>
      <w:r w:rsidR="00160DB6" w:rsidRPr="00160DB6">
        <w:rPr>
          <w:b/>
          <w:bCs/>
        </w:rPr>
        <w:fldChar w:fldCharType="end"/>
      </w:r>
      <w:r w:rsidRPr="00976E35">
        <w:t xml:space="preserve">. </w:t>
      </w:r>
      <w:bookmarkStart w:id="29" w:name="_Hlk210659854"/>
      <w:r w:rsidRPr="00874191">
        <w:t>The template for recording the s</w:t>
      </w:r>
      <w:r>
        <w:t>afeguards</w:t>
      </w:r>
      <w:r w:rsidRPr="00874191">
        <w:t xml:space="preserve"> RAL </w:t>
      </w:r>
      <w:sdt>
        <w:sdtPr>
          <w:id w:val="-452553819"/>
          <w:citation/>
        </w:sdtPr>
        <w:sdtEndPr/>
        <w:sdtContent>
          <w:r>
            <w:fldChar w:fldCharType="begin"/>
          </w:r>
          <w:r w:rsidR="00ED34B5">
            <w:instrText xml:space="preserve">CITATION ONR26 \l 2057 </w:instrText>
          </w:r>
          <w:r>
            <w:fldChar w:fldCharType="separate"/>
          </w:r>
          <w:r w:rsidR="00ED34B5" w:rsidRPr="00ED34B5">
            <w:rPr>
              <w:noProof/>
            </w:rPr>
            <w:t>[4]</w:t>
          </w:r>
          <w:r>
            <w:fldChar w:fldCharType="end"/>
          </w:r>
        </w:sdtContent>
      </w:sdt>
      <w:r>
        <w:t xml:space="preserve"> </w:t>
      </w:r>
      <w:r w:rsidRPr="00874191">
        <w:t>has further detail on each of the attribute indicators to support inspectors in completing the RAL for a dutyholder</w:t>
      </w:r>
      <w:r>
        <w:t>.</w:t>
      </w:r>
      <w:bookmarkEnd w:id="29"/>
    </w:p>
    <w:p w14:paraId="6BF1DD27" w14:textId="77777777" w:rsidR="00FC0A26" w:rsidRPr="00976E35" w:rsidRDefault="00FC0A26" w:rsidP="00FC0A26">
      <w:pPr>
        <w:spacing w:after="0" w:line="240" w:lineRule="auto"/>
      </w:pPr>
    </w:p>
    <w:p w14:paraId="5399AF2E" w14:textId="769124F2" w:rsidR="00160DB6" w:rsidRDefault="00160DB6" w:rsidP="00160DB6">
      <w:pPr>
        <w:pStyle w:val="Caption"/>
        <w:keepNext/>
      </w:pPr>
      <w:bookmarkStart w:id="30" w:name="_Ref237421581"/>
      <w:bookmarkEnd w:id="28"/>
      <w:r>
        <w:t xml:space="preserve">Table </w:t>
      </w:r>
      <w:fldSimple w:instr=" SEQ Table \* ARABIC ">
        <w:r>
          <w:rPr>
            <w:noProof/>
          </w:rPr>
          <w:t>5</w:t>
        </w:r>
      </w:fldSimple>
      <w:bookmarkEnd w:id="30"/>
      <w:r>
        <w:t xml:space="preserve"> - </w:t>
      </w:r>
      <w:r w:rsidRPr="00BD4B20">
        <w:t>Safeguards performance attributes: Overall regulatory attention for safeguards purposes</w:t>
      </w:r>
      <w:r>
        <w:t>.</w:t>
      </w:r>
    </w:p>
    <w:tbl>
      <w:tblPr>
        <w:tblStyle w:val="ONRTable1"/>
        <w:tblW w:w="5000" w:type="pct"/>
        <w:tblInd w:w="0" w:type="dxa"/>
        <w:tblLook w:val="04A0" w:firstRow="1" w:lastRow="0" w:firstColumn="1" w:lastColumn="0" w:noHBand="0" w:noVBand="1"/>
        <w:tblCaption w:val="Table 1"/>
      </w:tblPr>
      <w:tblGrid>
        <w:gridCol w:w="3160"/>
        <w:gridCol w:w="1927"/>
        <w:gridCol w:w="2199"/>
        <w:gridCol w:w="1740"/>
      </w:tblGrid>
      <w:tr w:rsidR="00FC0A26" w:rsidRPr="00976E35" w14:paraId="7A00BE4B" w14:textId="77777777" w:rsidTr="00160DB6">
        <w:trPr>
          <w:cnfStyle w:val="100000000000" w:firstRow="1" w:lastRow="0" w:firstColumn="0" w:lastColumn="0" w:oddVBand="0" w:evenVBand="0" w:oddHBand="0" w:evenHBand="0" w:firstRowFirstColumn="0" w:firstRowLastColumn="0" w:lastRowFirstColumn="0" w:lastRowLastColumn="0"/>
          <w:trHeight w:val="246"/>
          <w:tblHeader/>
        </w:trPr>
        <w:tc>
          <w:tcPr>
            <w:tcW w:w="1750" w:type="pct"/>
          </w:tcPr>
          <w:p w14:paraId="6D92339B" w14:textId="77777777" w:rsidR="00FC0A26" w:rsidRPr="00976E35" w:rsidRDefault="00FC0A26" w:rsidP="00713AC6">
            <w:pPr>
              <w:spacing w:after="0" w:line="240" w:lineRule="auto"/>
              <w:rPr>
                <w:rFonts w:eastAsia="Calibri" w:cs="Arial"/>
                <w:b w:val="0"/>
                <w:bCs/>
              </w:rPr>
            </w:pPr>
            <w:r w:rsidRPr="00976E35">
              <w:rPr>
                <w:rFonts w:eastAsia="Calibri" w:cs="Arial"/>
                <w:b w:val="0"/>
                <w:bCs/>
              </w:rPr>
              <w:t>Safeguards delivery</w:t>
            </w:r>
          </w:p>
        </w:tc>
        <w:tc>
          <w:tcPr>
            <w:tcW w:w="1067" w:type="pct"/>
          </w:tcPr>
          <w:p w14:paraId="1CD2B573" w14:textId="77777777" w:rsidR="00FC0A26" w:rsidRPr="00976E35" w:rsidRDefault="00FC0A26" w:rsidP="00713AC6">
            <w:pPr>
              <w:spacing w:after="0" w:line="240" w:lineRule="auto"/>
              <w:rPr>
                <w:rFonts w:eastAsia="Calibri" w:cs="Arial"/>
                <w:b w:val="0"/>
                <w:bCs/>
              </w:rPr>
            </w:pPr>
            <w:r w:rsidRPr="00976E35">
              <w:rPr>
                <w:rFonts w:eastAsia="Calibri" w:cs="Arial"/>
                <w:b w:val="0"/>
                <w:bCs/>
              </w:rPr>
              <w:t>Strategic enablers</w:t>
            </w:r>
          </w:p>
        </w:tc>
        <w:tc>
          <w:tcPr>
            <w:tcW w:w="1218" w:type="pct"/>
          </w:tcPr>
          <w:p w14:paraId="5A87C53B" w14:textId="77777777" w:rsidR="00FC0A26" w:rsidRPr="00976E35" w:rsidRDefault="00FC0A26" w:rsidP="00713AC6">
            <w:pPr>
              <w:spacing w:after="0" w:line="240" w:lineRule="auto"/>
              <w:rPr>
                <w:rFonts w:eastAsia="Calibri" w:cs="Arial"/>
                <w:b w:val="0"/>
                <w:bCs/>
              </w:rPr>
            </w:pPr>
            <w:r w:rsidRPr="00976E35">
              <w:rPr>
                <w:rFonts w:eastAsia="Calibri" w:cs="Arial"/>
                <w:b w:val="0"/>
                <w:bCs/>
              </w:rPr>
              <w:t>NMAC system</w:t>
            </w:r>
          </w:p>
        </w:tc>
        <w:tc>
          <w:tcPr>
            <w:tcW w:w="964" w:type="pct"/>
          </w:tcPr>
          <w:p w14:paraId="25A65B13" w14:textId="77777777" w:rsidR="00FC0A26" w:rsidRPr="00976E35" w:rsidRDefault="00FC0A26" w:rsidP="00713AC6">
            <w:pPr>
              <w:spacing w:after="0" w:line="240" w:lineRule="auto"/>
              <w:rPr>
                <w:rFonts w:eastAsia="Calibri" w:cs="Arial"/>
                <w:b w:val="0"/>
                <w:bCs/>
              </w:rPr>
            </w:pPr>
            <w:r w:rsidRPr="00976E35">
              <w:rPr>
                <w:rFonts w:eastAsia="Calibri" w:cs="Arial"/>
                <w:b w:val="0"/>
                <w:bCs/>
              </w:rPr>
              <w:t>Nuclear Material Accountancy</w:t>
            </w:r>
          </w:p>
        </w:tc>
      </w:tr>
      <w:tr w:rsidR="00FC0A26" w:rsidRPr="00976E35" w14:paraId="126B77E2" w14:textId="77777777" w:rsidTr="00160DB6">
        <w:trPr>
          <w:trHeight w:val="680"/>
        </w:trPr>
        <w:tc>
          <w:tcPr>
            <w:tcW w:w="1750" w:type="pct"/>
          </w:tcPr>
          <w:p w14:paraId="09912DA6" w14:textId="77777777" w:rsidR="00FC0A26" w:rsidRDefault="00FC0A26" w:rsidP="00713AC6">
            <w:pPr>
              <w:spacing w:after="0" w:line="240" w:lineRule="auto"/>
              <w:rPr>
                <w:rFonts w:eastAsia="Calibri" w:cs="Arial"/>
                <w:bCs/>
              </w:rPr>
            </w:pPr>
            <w:r w:rsidRPr="00976E35">
              <w:rPr>
                <w:rFonts w:eastAsia="Calibri" w:cs="Arial"/>
                <w:bCs/>
              </w:rPr>
              <w:t xml:space="preserve">Operator </w:t>
            </w:r>
            <w:r>
              <w:rPr>
                <w:rFonts w:eastAsia="Calibri" w:cs="Arial"/>
                <w:bCs/>
              </w:rPr>
              <w:t xml:space="preserve">programme of </w:t>
            </w:r>
            <w:r w:rsidRPr="00976E35">
              <w:rPr>
                <w:rFonts w:eastAsia="Calibri" w:cs="Arial"/>
                <w:bCs/>
              </w:rPr>
              <w:t>activities</w:t>
            </w:r>
          </w:p>
          <w:p w14:paraId="2190EA16" w14:textId="77777777" w:rsidR="00FC0A26" w:rsidRPr="00976E35" w:rsidRDefault="00FC0A26" w:rsidP="00713AC6">
            <w:pPr>
              <w:spacing w:after="0" w:line="240" w:lineRule="auto"/>
              <w:rPr>
                <w:rFonts w:eastAsia="Calibri" w:cs="Arial"/>
                <w:bCs/>
              </w:rPr>
            </w:pPr>
          </w:p>
          <w:p w14:paraId="4F710AFC" w14:textId="77777777" w:rsidR="00FC0A26" w:rsidRDefault="00FC0A26" w:rsidP="00713AC6">
            <w:pPr>
              <w:spacing w:after="0" w:line="240" w:lineRule="auto"/>
              <w:rPr>
                <w:rFonts w:eastAsia="Calibri" w:cs="Arial"/>
                <w:bCs/>
              </w:rPr>
            </w:pPr>
            <w:r w:rsidRPr="00976E35">
              <w:rPr>
                <w:rFonts w:eastAsia="Calibri" w:cs="Arial"/>
                <w:bCs/>
              </w:rPr>
              <w:t>Nuclear safeguards incidents and follow-up</w:t>
            </w:r>
          </w:p>
          <w:p w14:paraId="3EBF39D7" w14:textId="77777777" w:rsidR="00FC0A26" w:rsidRPr="00976E35" w:rsidRDefault="00FC0A26" w:rsidP="00713AC6">
            <w:pPr>
              <w:spacing w:after="0" w:line="240" w:lineRule="auto"/>
              <w:rPr>
                <w:rFonts w:eastAsia="Calibri" w:cs="Arial"/>
                <w:bCs/>
              </w:rPr>
            </w:pPr>
          </w:p>
          <w:p w14:paraId="491AD435" w14:textId="77777777" w:rsidR="00FC0A26" w:rsidRDefault="00FC0A26" w:rsidP="00713AC6">
            <w:pPr>
              <w:spacing w:after="0" w:line="240" w:lineRule="auto"/>
              <w:rPr>
                <w:rFonts w:eastAsia="Calibri" w:cs="Arial"/>
                <w:bCs/>
              </w:rPr>
            </w:pPr>
            <w:r w:rsidRPr="00976E35">
              <w:rPr>
                <w:rFonts w:eastAsia="Calibri" w:cs="Arial"/>
                <w:bCs/>
              </w:rPr>
              <w:t>Regulatory issues and operator response</w:t>
            </w:r>
          </w:p>
          <w:p w14:paraId="254BCCB2" w14:textId="77777777" w:rsidR="00FC0A26" w:rsidRPr="00976E35" w:rsidRDefault="00FC0A26" w:rsidP="00713AC6">
            <w:pPr>
              <w:spacing w:after="0" w:line="240" w:lineRule="auto"/>
              <w:rPr>
                <w:rFonts w:eastAsia="Calibri" w:cs="Arial"/>
                <w:bCs/>
              </w:rPr>
            </w:pPr>
          </w:p>
          <w:p w14:paraId="67F8A187" w14:textId="77777777" w:rsidR="00FC0A26" w:rsidRDefault="00FC0A26" w:rsidP="00713AC6">
            <w:pPr>
              <w:spacing w:after="0" w:line="240" w:lineRule="auto"/>
              <w:rPr>
                <w:rFonts w:eastAsia="Calibri" w:cs="Arial"/>
                <w:bCs/>
              </w:rPr>
            </w:pPr>
            <w:r w:rsidRPr="00976E35">
              <w:rPr>
                <w:rFonts w:eastAsia="Calibri" w:cs="Arial"/>
                <w:bCs/>
              </w:rPr>
              <w:t>Formal enforcement action</w:t>
            </w:r>
          </w:p>
          <w:p w14:paraId="4859A237" w14:textId="77777777" w:rsidR="00FC0A26" w:rsidRPr="00976E35" w:rsidRDefault="00FC0A26" w:rsidP="00713AC6">
            <w:pPr>
              <w:spacing w:after="0" w:line="240" w:lineRule="auto"/>
              <w:rPr>
                <w:rFonts w:eastAsia="Calibri" w:cs="Arial"/>
                <w:bCs/>
              </w:rPr>
            </w:pPr>
          </w:p>
          <w:p w14:paraId="31B10095" w14:textId="77777777" w:rsidR="00FC0A26" w:rsidRDefault="00FC0A26" w:rsidP="00713AC6">
            <w:pPr>
              <w:spacing w:after="0" w:line="240" w:lineRule="auto"/>
              <w:rPr>
                <w:rFonts w:eastAsia="Calibri" w:cs="Arial"/>
                <w:bCs/>
              </w:rPr>
            </w:pPr>
            <w:r w:rsidRPr="00976E35">
              <w:rPr>
                <w:rFonts w:eastAsia="Calibri" w:cs="Arial"/>
                <w:bCs/>
              </w:rPr>
              <w:t xml:space="preserve">Observations and issues received in formal letters from the IAEA </w:t>
            </w:r>
          </w:p>
          <w:p w14:paraId="6E701D7B" w14:textId="77777777" w:rsidR="00FC0A26" w:rsidRPr="00976E35" w:rsidRDefault="00FC0A26" w:rsidP="00713AC6">
            <w:pPr>
              <w:spacing w:after="0" w:line="240" w:lineRule="auto"/>
              <w:rPr>
                <w:rFonts w:eastAsia="Calibri" w:cs="Arial"/>
                <w:bCs/>
              </w:rPr>
            </w:pPr>
          </w:p>
          <w:p w14:paraId="5E27F137" w14:textId="77777777" w:rsidR="00FC0A26" w:rsidRDefault="00FC0A26" w:rsidP="00713AC6">
            <w:pPr>
              <w:spacing w:after="0" w:line="240" w:lineRule="auto"/>
              <w:rPr>
                <w:rFonts w:eastAsia="Calibri" w:cs="Arial"/>
                <w:bCs/>
              </w:rPr>
            </w:pPr>
            <w:r w:rsidRPr="00976E35">
              <w:rPr>
                <w:rFonts w:eastAsia="Calibri" w:cs="Arial"/>
                <w:bCs/>
              </w:rPr>
              <w:t>Delivery of information required by NSR19</w:t>
            </w:r>
          </w:p>
          <w:p w14:paraId="3D5DBCCC" w14:textId="77777777" w:rsidR="00FC0A26" w:rsidRPr="00976E35" w:rsidRDefault="00FC0A26" w:rsidP="00713AC6">
            <w:pPr>
              <w:spacing w:after="0" w:line="240" w:lineRule="auto"/>
              <w:rPr>
                <w:rFonts w:eastAsia="Calibri" w:cs="Arial"/>
                <w:bCs/>
              </w:rPr>
            </w:pPr>
          </w:p>
          <w:p w14:paraId="5020B493" w14:textId="77777777" w:rsidR="00FC0A26" w:rsidRPr="00976E35" w:rsidRDefault="00FC0A26" w:rsidP="00713AC6">
            <w:pPr>
              <w:spacing w:after="0" w:line="240" w:lineRule="auto"/>
              <w:rPr>
                <w:rFonts w:eastAsia="Calibri" w:cs="Arial"/>
                <w:bCs/>
              </w:rPr>
            </w:pPr>
            <w:r w:rsidRPr="00976E35">
              <w:rPr>
                <w:rFonts w:eastAsia="Calibri" w:cs="Arial"/>
                <w:bCs/>
              </w:rPr>
              <w:t>Delivery of other required statutory information (NCAs, APs etc)</w:t>
            </w:r>
          </w:p>
        </w:tc>
        <w:tc>
          <w:tcPr>
            <w:tcW w:w="1067" w:type="pct"/>
          </w:tcPr>
          <w:p w14:paraId="11BC5CC6" w14:textId="77777777" w:rsidR="00FC0A26" w:rsidRDefault="00FC0A26" w:rsidP="00713AC6">
            <w:pPr>
              <w:spacing w:after="0" w:line="240" w:lineRule="auto"/>
              <w:rPr>
                <w:rFonts w:eastAsia="Calibri" w:cs="Arial"/>
                <w:bCs/>
              </w:rPr>
            </w:pPr>
            <w:r w:rsidRPr="00976E35">
              <w:rPr>
                <w:rFonts w:eastAsia="Calibri" w:cs="Arial"/>
                <w:bCs/>
              </w:rPr>
              <w:t xml:space="preserve">Leadership and culture </w:t>
            </w:r>
          </w:p>
          <w:p w14:paraId="023FC497" w14:textId="77777777" w:rsidR="00FC0A26" w:rsidRPr="00976E35" w:rsidRDefault="00FC0A26" w:rsidP="00713AC6">
            <w:pPr>
              <w:spacing w:after="0" w:line="240" w:lineRule="auto"/>
              <w:rPr>
                <w:rFonts w:eastAsia="Calibri" w:cs="Arial"/>
                <w:bCs/>
              </w:rPr>
            </w:pPr>
          </w:p>
          <w:p w14:paraId="63659238" w14:textId="77777777" w:rsidR="00FC0A26" w:rsidRDefault="00FC0A26" w:rsidP="00713AC6">
            <w:pPr>
              <w:spacing w:after="0" w:line="240" w:lineRule="auto"/>
              <w:rPr>
                <w:rFonts w:eastAsia="Calibri" w:cs="Arial"/>
                <w:bCs/>
              </w:rPr>
            </w:pPr>
            <w:r w:rsidRPr="00976E35">
              <w:rPr>
                <w:rFonts w:eastAsia="Calibri" w:cs="Arial"/>
                <w:bCs/>
              </w:rPr>
              <w:t>Organisational capability</w:t>
            </w:r>
          </w:p>
          <w:p w14:paraId="4AA7657B" w14:textId="77777777" w:rsidR="00FC0A26" w:rsidRPr="00976E35" w:rsidRDefault="00FC0A26" w:rsidP="00713AC6">
            <w:pPr>
              <w:spacing w:after="0" w:line="240" w:lineRule="auto"/>
              <w:rPr>
                <w:rFonts w:eastAsia="Calibri" w:cs="Arial"/>
                <w:bCs/>
              </w:rPr>
            </w:pPr>
          </w:p>
          <w:p w14:paraId="12ED0930" w14:textId="77777777" w:rsidR="00FC0A26" w:rsidRPr="00976E35" w:rsidRDefault="00FC0A26" w:rsidP="00713AC6">
            <w:pPr>
              <w:spacing w:after="0" w:line="240" w:lineRule="auto"/>
              <w:rPr>
                <w:rFonts w:eastAsia="Calibri" w:cs="Arial"/>
                <w:bCs/>
              </w:rPr>
            </w:pPr>
            <w:r w:rsidRPr="00976E35">
              <w:rPr>
                <w:rFonts w:eastAsia="Calibri" w:cs="Arial"/>
                <w:bCs/>
              </w:rPr>
              <w:t>Internal assurance and challenge</w:t>
            </w:r>
          </w:p>
        </w:tc>
        <w:tc>
          <w:tcPr>
            <w:tcW w:w="1218" w:type="pct"/>
          </w:tcPr>
          <w:p w14:paraId="2A862053" w14:textId="77777777" w:rsidR="00FC0A26" w:rsidRPr="00976E35" w:rsidRDefault="00FC0A26" w:rsidP="00713AC6">
            <w:pPr>
              <w:spacing w:after="0" w:line="240" w:lineRule="auto"/>
              <w:rPr>
                <w:rFonts w:eastAsia="Calibri" w:cs="Arial"/>
                <w:bCs/>
              </w:rPr>
            </w:pPr>
            <w:r>
              <w:rPr>
                <w:rFonts w:eastAsia="Calibri" w:cs="Arial"/>
                <w:bCs/>
              </w:rPr>
              <w:t>Nuclear m</w:t>
            </w:r>
            <w:r w:rsidRPr="00976E35">
              <w:rPr>
                <w:rFonts w:eastAsia="Calibri" w:cs="Arial"/>
                <w:bCs/>
              </w:rPr>
              <w:t>aterial control</w:t>
            </w:r>
          </w:p>
          <w:p w14:paraId="7692D83B" w14:textId="77777777" w:rsidR="00FC0A26" w:rsidRDefault="00FC0A26" w:rsidP="00713AC6">
            <w:pPr>
              <w:spacing w:after="0" w:line="240" w:lineRule="auto"/>
              <w:rPr>
                <w:rFonts w:eastAsia="Calibri" w:cs="Arial"/>
                <w:bCs/>
              </w:rPr>
            </w:pPr>
          </w:p>
          <w:p w14:paraId="7A7E4598" w14:textId="77777777" w:rsidR="00FC0A26" w:rsidRDefault="00FC0A26" w:rsidP="00713AC6">
            <w:pPr>
              <w:spacing w:after="0" w:line="240" w:lineRule="auto"/>
              <w:rPr>
                <w:rFonts w:eastAsia="Calibri" w:cs="Arial"/>
                <w:bCs/>
              </w:rPr>
            </w:pPr>
            <w:r w:rsidRPr="00976E35">
              <w:rPr>
                <w:rFonts w:eastAsia="Calibri" w:cs="Arial"/>
                <w:bCs/>
              </w:rPr>
              <w:t>Reliability, resilience and maintenance</w:t>
            </w:r>
          </w:p>
          <w:p w14:paraId="5940C34A" w14:textId="77777777" w:rsidR="00FC0A26" w:rsidRPr="00976E35" w:rsidRDefault="00FC0A26" w:rsidP="00713AC6">
            <w:pPr>
              <w:spacing w:after="0" w:line="240" w:lineRule="auto"/>
              <w:rPr>
                <w:rFonts w:eastAsia="Calibri" w:cs="Arial"/>
                <w:bCs/>
              </w:rPr>
            </w:pPr>
          </w:p>
          <w:p w14:paraId="2490DD74" w14:textId="77777777" w:rsidR="00FC0A26" w:rsidRPr="00976E35" w:rsidRDefault="00FC0A26" w:rsidP="00713AC6">
            <w:pPr>
              <w:spacing w:after="0" w:line="240" w:lineRule="auto"/>
              <w:rPr>
                <w:rFonts w:eastAsia="Calibri" w:cs="Arial"/>
                <w:bCs/>
              </w:rPr>
            </w:pPr>
            <w:r>
              <w:rPr>
                <w:rFonts w:eastAsia="Calibri" w:cs="Arial"/>
                <w:bCs/>
              </w:rPr>
              <w:t>Nuclear material accountancy s</w:t>
            </w:r>
            <w:r w:rsidRPr="00976E35">
              <w:rPr>
                <w:rFonts w:eastAsia="Calibri" w:cs="Arial"/>
                <w:bCs/>
              </w:rPr>
              <w:t>ystem changes</w:t>
            </w:r>
          </w:p>
          <w:p w14:paraId="648C705F" w14:textId="77777777" w:rsidR="00FC0A26" w:rsidRDefault="00FC0A26" w:rsidP="00713AC6">
            <w:pPr>
              <w:spacing w:after="0" w:line="240" w:lineRule="auto"/>
              <w:rPr>
                <w:rFonts w:eastAsia="Calibri" w:cs="Arial"/>
              </w:rPr>
            </w:pPr>
          </w:p>
          <w:p w14:paraId="7ABFE66B" w14:textId="77777777" w:rsidR="00FC0A26" w:rsidRPr="00976E35" w:rsidRDefault="00FC0A26" w:rsidP="00713AC6">
            <w:pPr>
              <w:spacing w:after="0" w:line="240" w:lineRule="auto"/>
              <w:rPr>
                <w:rFonts w:eastAsia="Calibri" w:cs="Arial"/>
              </w:rPr>
            </w:pPr>
            <w:r w:rsidRPr="00976E35">
              <w:rPr>
                <w:rFonts w:eastAsia="Calibri" w:cs="Arial"/>
              </w:rPr>
              <w:t>NMAC documentation and implementation</w:t>
            </w:r>
          </w:p>
        </w:tc>
        <w:tc>
          <w:tcPr>
            <w:tcW w:w="964" w:type="pct"/>
          </w:tcPr>
          <w:p w14:paraId="2EF78504" w14:textId="77777777" w:rsidR="00FC0A26" w:rsidRDefault="00FC0A26" w:rsidP="00713AC6">
            <w:pPr>
              <w:spacing w:after="0" w:line="240" w:lineRule="auto"/>
              <w:rPr>
                <w:rFonts w:eastAsia="Calibri" w:cs="Arial"/>
                <w:bCs/>
              </w:rPr>
            </w:pPr>
            <w:r w:rsidRPr="00976E35">
              <w:rPr>
                <w:rFonts w:eastAsia="Calibri" w:cs="Arial"/>
                <w:bCs/>
              </w:rPr>
              <w:t>Records and data processing</w:t>
            </w:r>
          </w:p>
          <w:p w14:paraId="68B6C4E4" w14:textId="77777777" w:rsidR="00FC0A26" w:rsidRPr="00976E35" w:rsidRDefault="00FC0A26" w:rsidP="00713AC6">
            <w:pPr>
              <w:spacing w:after="0" w:line="240" w:lineRule="auto"/>
              <w:rPr>
                <w:rFonts w:eastAsia="Calibri" w:cs="Arial"/>
                <w:bCs/>
              </w:rPr>
            </w:pPr>
          </w:p>
          <w:p w14:paraId="46AC41E2" w14:textId="77777777" w:rsidR="00FC0A26" w:rsidRPr="00976E35" w:rsidRDefault="00FC0A26" w:rsidP="00713AC6">
            <w:pPr>
              <w:spacing w:after="0" w:line="240" w:lineRule="auto"/>
              <w:rPr>
                <w:rFonts w:eastAsia="Calibri" w:cs="Arial"/>
                <w:bCs/>
              </w:rPr>
            </w:pPr>
            <w:r w:rsidRPr="00976E35">
              <w:rPr>
                <w:rFonts w:eastAsia="Calibri" w:cs="Arial"/>
                <w:bCs/>
              </w:rPr>
              <w:t>NMA reports</w:t>
            </w:r>
          </w:p>
          <w:p w14:paraId="596859E2" w14:textId="77777777" w:rsidR="00FC0A26" w:rsidRPr="00976E35" w:rsidRDefault="00FC0A26" w:rsidP="00713AC6">
            <w:pPr>
              <w:spacing w:after="0" w:line="240" w:lineRule="auto"/>
              <w:rPr>
                <w:rFonts w:eastAsia="Calibri" w:cs="Arial"/>
                <w:bCs/>
              </w:rPr>
            </w:pPr>
            <w:r w:rsidRPr="00976E35">
              <w:rPr>
                <w:rFonts w:eastAsia="Calibri" w:cs="Arial"/>
                <w:bCs/>
              </w:rPr>
              <w:t>Material balance performance</w:t>
            </w:r>
          </w:p>
          <w:p w14:paraId="134D2AB1" w14:textId="77777777" w:rsidR="00FC0A26" w:rsidRPr="00976E35" w:rsidRDefault="00FC0A26" w:rsidP="00713AC6">
            <w:pPr>
              <w:spacing w:after="0" w:line="240" w:lineRule="auto"/>
              <w:rPr>
                <w:rFonts w:eastAsia="Calibri" w:cs="Arial"/>
                <w:bCs/>
              </w:rPr>
            </w:pPr>
          </w:p>
        </w:tc>
      </w:tr>
    </w:tbl>
    <w:p w14:paraId="3FE2D9B1" w14:textId="77777777" w:rsidR="00FC0A26" w:rsidRDefault="00FC0A26" w:rsidP="00FC0A26">
      <w:pPr>
        <w:spacing w:after="0" w:line="240" w:lineRule="auto"/>
        <w:rPr>
          <w:b/>
          <w:bCs/>
        </w:rPr>
      </w:pPr>
      <w:bookmarkStart w:id="31" w:name="_Hlk149040579"/>
    </w:p>
    <w:p w14:paraId="7CC624CD" w14:textId="77777777" w:rsidR="00FC0A26" w:rsidRPr="00976E35" w:rsidRDefault="00FC0A26" w:rsidP="00FC0A26">
      <w:pPr>
        <w:spacing w:after="0" w:line="240" w:lineRule="auto"/>
        <w:rPr>
          <w:b/>
          <w:bCs/>
        </w:rPr>
        <w:sectPr w:rsidR="00FC0A26" w:rsidRPr="00976E35" w:rsidSect="00FC0A26">
          <w:pgSz w:w="11906" w:h="16838" w:code="9"/>
          <w:pgMar w:top="1440" w:right="1440" w:bottom="1440" w:left="1440" w:header="397" w:footer="397" w:gutter="0"/>
          <w:cols w:space="312"/>
          <w:docGrid w:linePitch="360"/>
        </w:sectPr>
      </w:pPr>
    </w:p>
    <w:p w14:paraId="587ED3F1" w14:textId="387C5B45" w:rsidR="00FC0A26" w:rsidRDefault="00FC0A26" w:rsidP="00FC0A26">
      <w:pPr>
        <w:pStyle w:val="Heading1"/>
        <w:numPr>
          <w:ilvl w:val="0"/>
          <w:numId w:val="0"/>
        </w:numPr>
      </w:pPr>
      <w:bookmarkStart w:id="32" w:name="_Toc210742560"/>
      <w:bookmarkStart w:id="33" w:name="_Toc237421922"/>
      <w:bookmarkEnd w:id="31"/>
      <w:r>
        <w:lastRenderedPageBreak/>
        <w:t xml:space="preserve">Appendix D – Transport </w:t>
      </w:r>
      <w:r w:rsidR="00160DB6">
        <w:t>a</w:t>
      </w:r>
      <w:r>
        <w:t>ttributes</w:t>
      </w:r>
      <w:bookmarkEnd w:id="32"/>
      <w:bookmarkEnd w:id="33"/>
    </w:p>
    <w:p w14:paraId="1495ADFA" w14:textId="009372C7" w:rsidR="00FC0A26" w:rsidRDefault="00FC0A26" w:rsidP="00FC0A26">
      <w:pPr>
        <w:spacing w:after="0" w:line="240" w:lineRule="auto"/>
      </w:pPr>
      <w:bookmarkStart w:id="34" w:name="_Hlk210661485"/>
      <w:r w:rsidRPr="00120E56">
        <w:t xml:space="preserve">The overall </w:t>
      </w:r>
      <w:r w:rsidR="00160DB6">
        <w:t>RALs</w:t>
      </w:r>
      <w:r w:rsidRPr="00120E56">
        <w:t xml:space="preserve"> assigned for </w:t>
      </w:r>
      <w:r w:rsidR="00160DB6">
        <w:t>t</w:t>
      </w:r>
      <w:r w:rsidRPr="00120E56">
        <w:t>ransport</w:t>
      </w:r>
      <w:r w:rsidRPr="0067153D">
        <w:rPr>
          <w:b/>
          <w:bCs/>
        </w:rPr>
        <w:t xml:space="preserve"> </w:t>
      </w:r>
      <w:r w:rsidRPr="0067153D">
        <w:t>is a product of dutyholder's regulatory performance with regards to general compliance with The Carriage of Dangerous Goods and Use of Transportable Pressure Equipment Regulations 2009 (as amended) (which invokes the Agreement concerning the International Carriage of Dangerous Goods by Road (ADR) and the Regulations concerning the International Carriage of Dangerous Goods by Rail (RID) into GB legislation) and the Ionising Radiation Regulations 2017</w:t>
      </w:r>
      <w:r w:rsidR="00160DB6">
        <w:t xml:space="preserve"> (IRR17)</w:t>
      </w:r>
      <w:r w:rsidRPr="0067153D">
        <w:t>.</w:t>
      </w:r>
    </w:p>
    <w:p w14:paraId="4D40191A" w14:textId="77777777" w:rsidR="00FC0A26" w:rsidRPr="0067153D" w:rsidRDefault="00FC0A26" w:rsidP="00FC0A26">
      <w:pPr>
        <w:spacing w:after="0" w:line="240" w:lineRule="auto"/>
      </w:pPr>
    </w:p>
    <w:p w14:paraId="2F0FC6A6" w14:textId="7CA88469" w:rsidR="00FC0A26" w:rsidRPr="0067153D" w:rsidRDefault="00FC0A26" w:rsidP="00FC0A26">
      <w:pPr>
        <w:spacing w:after="0" w:line="240" w:lineRule="auto"/>
      </w:pPr>
      <w:r w:rsidRPr="0067153D">
        <w:t xml:space="preserve">The three attributes, with recommended supporting indicators are summarised in </w:t>
      </w:r>
      <w:r w:rsidRPr="0067153D">
        <w:fldChar w:fldCharType="begin"/>
      </w:r>
      <w:r w:rsidRPr="0067153D">
        <w:instrText xml:space="preserve"> REF _Ref166832339 \h </w:instrText>
      </w:r>
      <w:r w:rsidRPr="0067153D">
        <w:fldChar w:fldCharType="separate"/>
      </w:r>
      <w:r w:rsidRPr="0067153D">
        <w:t>Table</w:t>
      </w:r>
      <w:r w:rsidRPr="0067153D">
        <w:fldChar w:fldCharType="end"/>
      </w:r>
      <w:r>
        <w:t xml:space="preserve"> 6</w:t>
      </w:r>
      <w:r w:rsidRPr="0067153D">
        <w:t xml:space="preserve">. </w:t>
      </w:r>
      <w:r w:rsidRPr="00E74306">
        <w:t xml:space="preserve">The template for recording the </w:t>
      </w:r>
      <w:r>
        <w:t>transport</w:t>
      </w:r>
      <w:r w:rsidRPr="00E74306">
        <w:t xml:space="preserve"> RAL </w:t>
      </w:r>
      <w:sdt>
        <w:sdtPr>
          <w:id w:val="991525482"/>
          <w:citation/>
        </w:sdtPr>
        <w:sdtEndPr/>
        <w:sdtContent>
          <w:r>
            <w:fldChar w:fldCharType="begin"/>
          </w:r>
          <w:r w:rsidR="00ED34B5">
            <w:instrText xml:space="preserve">CITATION ONR28 \l 2057 </w:instrText>
          </w:r>
          <w:r>
            <w:fldChar w:fldCharType="separate"/>
          </w:r>
          <w:r w:rsidR="00ED34B5" w:rsidRPr="00ED34B5">
            <w:rPr>
              <w:noProof/>
            </w:rPr>
            <w:t>[6]</w:t>
          </w:r>
          <w:r>
            <w:fldChar w:fldCharType="end"/>
          </w:r>
        </w:sdtContent>
      </w:sdt>
      <w:r>
        <w:t xml:space="preserve"> </w:t>
      </w:r>
      <w:r w:rsidRPr="00E74306">
        <w:t>has further detail to support inspectors in completing the RAL for a dutyholder.</w:t>
      </w:r>
    </w:p>
    <w:p w14:paraId="0B449DBB" w14:textId="77777777" w:rsidR="00FC0A26" w:rsidRDefault="00FC0A26" w:rsidP="00FC0A26">
      <w:pPr>
        <w:spacing w:after="0" w:line="240" w:lineRule="auto"/>
      </w:pPr>
    </w:p>
    <w:p w14:paraId="6263D716" w14:textId="64AE6B1A" w:rsidR="00FC0A26" w:rsidRDefault="00FC0A26" w:rsidP="00FC0A26">
      <w:pPr>
        <w:spacing w:after="0" w:line="240" w:lineRule="auto"/>
      </w:pPr>
      <w:r w:rsidRPr="0067153D">
        <w:t>Evidence to support attributes and indicators should make use of dutyholder compliance inspection history and any interactions such as incident reports, whistleblower concerns etc.</w:t>
      </w:r>
    </w:p>
    <w:bookmarkEnd w:id="34"/>
    <w:p w14:paraId="2B3F6420" w14:textId="77777777" w:rsidR="00FC0A26" w:rsidRPr="0067153D" w:rsidRDefault="00FC0A26" w:rsidP="00FC0A26">
      <w:pPr>
        <w:spacing w:after="0" w:line="240" w:lineRule="auto"/>
      </w:pPr>
    </w:p>
    <w:p w14:paraId="58F002AB" w14:textId="6B76D78A" w:rsidR="00160DB6" w:rsidRDefault="00160DB6" w:rsidP="00160DB6">
      <w:pPr>
        <w:pStyle w:val="Caption"/>
        <w:keepNext/>
      </w:pPr>
      <w:bookmarkStart w:id="35" w:name="_Hlk210661667"/>
      <w:r>
        <w:t xml:space="preserve">Table </w:t>
      </w:r>
      <w:fldSimple w:instr=" SEQ Table \* ARABIC ">
        <w:r>
          <w:rPr>
            <w:noProof/>
          </w:rPr>
          <w:t>6</w:t>
        </w:r>
      </w:fldSimple>
      <w:r>
        <w:t xml:space="preserve"> - </w:t>
      </w:r>
      <w:r w:rsidRPr="003D0447">
        <w:t>Transport performance attributes: Overall regulatory attention for transport purposes</w:t>
      </w:r>
      <w:r>
        <w:t>.</w:t>
      </w:r>
    </w:p>
    <w:tbl>
      <w:tblPr>
        <w:tblStyle w:val="ONRTable1"/>
        <w:tblW w:w="5000" w:type="pct"/>
        <w:tblInd w:w="0" w:type="dxa"/>
        <w:tblLook w:val="04A0" w:firstRow="1" w:lastRow="0" w:firstColumn="1" w:lastColumn="0" w:noHBand="0" w:noVBand="1"/>
        <w:tblCaption w:val="Table 1"/>
      </w:tblPr>
      <w:tblGrid>
        <w:gridCol w:w="3008"/>
        <w:gridCol w:w="3007"/>
        <w:gridCol w:w="3011"/>
      </w:tblGrid>
      <w:tr w:rsidR="00FC0A26" w:rsidRPr="0067153D" w14:paraId="34727F21" w14:textId="77777777" w:rsidTr="00160DB6">
        <w:trPr>
          <w:cnfStyle w:val="100000000000" w:firstRow="1" w:lastRow="0" w:firstColumn="0" w:lastColumn="0" w:oddVBand="0" w:evenVBand="0" w:oddHBand="0" w:evenHBand="0" w:firstRowFirstColumn="0" w:firstRowLastColumn="0" w:lastRowFirstColumn="0" w:lastRowLastColumn="0"/>
          <w:tblHeader/>
        </w:trPr>
        <w:tc>
          <w:tcPr>
            <w:tcW w:w="1666" w:type="pct"/>
          </w:tcPr>
          <w:bookmarkEnd w:id="35"/>
          <w:p w14:paraId="68D3879D" w14:textId="77777777" w:rsidR="00FC0A26" w:rsidRPr="0067153D" w:rsidRDefault="00FC0A26" w:rsidP="00713AC6">
            <w:pPr>
              <w:spacing w:after="0" w:line="240" w:lineRule="auto"/>
              <w:rPr>
                <w:rFonts w:eastAsia="Calibri" w:cs="Arial"/>
                <w:b w:val="0"/>
                <w:bCs/>
              </w:rPr>
            </w:pPr>
            <w:r w:rsidRPr="0067153D">
              <w:rPr>
                <w:rFonts w:eastAsia="Calibri" w:cs="Arial"/>
                <w:b w:val="0"/>
                <w:bCs/>
              </w:rPr>
              <w:t>Safety Performance</w:t>
            </w:r>
          </w:p>
        </w:tc>
        <w:tc>
          <w:tcPr>
            <w:tcW w:w="1666" w:type="pct"/>
          </w:tcPr>
          <w:p w14:paraId="16067744" w14:textId="77777777" w:rsidR="00FC0A26" w:rsidRPr="0067153D" w:rsidRDefault="00FC0A26" w:rsidP="00713AC6">
            <w:pPr>
              <w:spacing w:after="0" w:line="240" w:lineRule="auto"/>
              <w:rPr>
                <w:rFonts w:eastAsia="Calibri" w:cs="Arial"/>
                <w:b w:val="0"/>
                <w:bCs/>
              </w:rPr>
            </w:pPr>
            <w:r w:rsidRPr="0067153D">
              <w:rPr>
                <w:rFonts w:eastAsia="Calibri" w:cs="Arial"/>
                <w:b w:val="0"/>
                <w:bCs/>
              </w:rPr>
              <w:t>Control of Hazards and Risks</w:t>
            </w:r>
          </w:p>
        </w:tc>
        <w:tc>
          <w:tcPr>
            <w:tcW w:w="1668" w:type="pct"/>
          </w:tcPr>
          <w:p w14:paraId="111A2E64" w14:textId="77777777" w:rsidR="00FC0A26" w:rsidRPr="0067153D" w:rsidRDefault="00FC0A26" w:rsidP="00713AC6">
            <w:pPr>
              <w:spacing w:after="0" w:line="240" w:lineRule="auto"/>
              <w:rPr>
                <w:rFonts w:eastAsia="Calibri" w:cs="Arial"/>
                <w:b w:val="0"/>
                <w:bCs/>
              </w:rPr>
            </w:pPr>
            <w:r w:rsidRPr="0067153D">
              <w:rPr>
                <w:rFonts w:eastAsia="Calibri" w:cs="Arial"/>
                <w:b w:val="0"/>
                <w:bCs/>
              </w:rPr>
              <w:t>Safety Leadership and Culture</w:t>
            </w:r>
          </w:p>
        </w:tc>
      </w:tr>
      <w:tr w:rsidR="00FC0A26" w:rsidRPr="0067153D" w14:paraId="29CBA89A" w14:textId="77777777" w:rsidTr="00160DB6">
        <w:tc>
          <w:tcPr>
            <w:tcW w:w="1666" w:type="pct"/>
          </w:tcPr>
          <w:p w14:paraId="2783F5CC" w14:textId="77777777" w:rsidR="00FC0A26" w:rsidRPr="0067153D" w:rsidRDefault="00FC0A26" w:rsidP="00713AC6">
            <w:pPr>
              <w:spacing w:after="0" w:line="240" w:lineRule="auto"/>
              <w:rPr>
                <w:rFonts w:eastAsia="Calibri" w:cs="Arial"/>
              </w:rPr>
            </w:pPr>
            <w:r w:rsidRPr="0067153D">
              <w:rPr>
                <w:rFonts w:eastAsia="Calibri" w:cs="Arial"/>
              </w:rPr>
              <w:t>Dutyholder compliance record</w:t>
            </w:r>
          </w:p>
        </w:tc>
        <w:tc>
          <w:tcPr>
            <w:tcW w:w="1666" w:type="pct"/>
          </w:tcPr>
          <w:p w14:paraId="0C7960AA" w14:textId="77777777" w:rsidR="00FC0A26" w:rsidRPr="0067153D" w:rsidRDefault="00FC0A26" w:rsidP="00713AC6">
            <w:pPr>
              <w:spacing w:after="0" w:line="240" w:lineRule="auto"/>
              <w:rPr>
                <w:rFonts w:eastAsia="Calibri" w:cs="Arial"/>
              </w:rPr>
            </w:pPr>
            <w:r w:rsidRPr="0067153D">
              <w:rPr>
                <w:rFonts w:eastAsia="Calibri" w:cs="Arial"/>
              </w:rPr>
              <w:t>Level of hazard and risk posed by the dutyholder’s undertakings</w:t>
            </w:r>
          </w:p>
        </w:tc>
        <w:tc>
          <w:tcPr>
            <w:tcW w:w="1668" w:type="pct"/>
          </w:tcPr>
          <w:p w14:paraId="277E0D29" w14:textId="77777777" w:rsidR="00FC0A26" w:rsidRPr="0067153D" w:rsidRDefault="00FC0A26" w:rsidP="00713AC6">
            <w:pPr>
              <w:spacing w:after="0" w:line="240" w:lineRule="auto"/>
              <w:rPr>
                <w:rFonts w:eastAsia="Calibri" w:cs="Arial"/>
              </w:rPr>
            </w:pPr>
            <w:r w:rsidRPr="0067153D">
              <w:rPr>
                <w:rFonts w:eastAsia="Calibri" w:cs="Arial"/>
              </w:rPr>
              <w:t>Leadership</w:t>
            </w:r>
          </w:p>
        </w:tc>
      </w:tr>
      <w:tr w:rsidR="00FC0A26" w:rsidRPr="0067153D" w14:paraId="712802A4" w14:textId="77777777" w:rsidTr="00160DB6">
        <w:tc>
          <w:tcPr>
            <w:tcW w:w="1666" w:type="pct"/>
          </w:tcPr>
          <w:p w14:paraId="050FD319" w14:textId="77777777" w:rsidR="00FC0A26" w:rsidRPr="0067153D" w:rsidRDefault="00FC0A26" w:rsidP="00713AC6">
            <w:pPr>
              <w:spacing w:after="0" w:line="240" w:lineRule="auto"/>
              <w:rPr>
                <w:rFonts w:eastAsia="Calibri" w:cs="Arial"/>
              </w:rPr>
            </w:pPr>
            <w:r w:rsidRPr="0067153D">
              <w:rPr>
                <w:rFonts w:eastAsia="Calibri" w:cs="Arial"/>
              </w:rPr>
              <w:t>Number and significance of regulatory issues and timeliness of resolution</w:t>
            </w:r>
          </w:p>
        </w:tc>
        <w:tc>
          <w:tcPr>
            <w:tcW w:w="1666" w:type="pct"/>
          </w:tcPr>
          <w:p w14:paraId="4B220D92" w14:textId="77777777" w:rsidR="00FC0A26" w:rsidRPr="0067153D" w:rsidRDefault="00FC0A26" w:rsidP="00713AC6">
            <w:pPr>
              <w:spacing w:after="0" w:line="240" w:lineRule="auto"/>
              <w:rPr>
                <w:rFonts w:eastAsia="Calibri" w:cs="Arial"/>
              </w:rPr>
            </w:pPr>
            <w:r w:rsidRPr="0067153D">
              <w:rPr>
                <w:rFonts w:eastAsia="Calibri" w:cs="Arial"/>
              </w:rPr>
              <w:t>Package Design Safety Report (PDSR) adequacy and currency</w:t>
            </w:r>
          </w:p>
        </w:tc>
        <w:tc>
          <w:tcPr>
            <w:tcW w:w="1668" w:type="pct"/>
          </w:tcPr>
          <w:p w14:paraId="746F694F" w14:textId="77777777" w:rsidR="00FC0A26" w:rsidRPr="0067153D" w:rsidRDefault="00FC0A26" w:rsidP="00713AC6">
            <w:pPr>
              <w:spacing w:after="0" w:line="240" w:lineRule="auto"/>
              <w:rPr>
                <w:rFonts w:eastAsia="Calibri" w:cs="Arial"/>
              </w:rPr>
            </w:pPr>
            <w:r w:rsidRPr="0067153D">
              <w:rPr>
                <w:rFonts w:eastAsia="Calibri" w:cs="Arial"/>
              </w:rPr>
              <w:t>Capable Organisation</w:t>
            </w:r>
          </w:p>
        </w:tc>
      </w:tr>
      <w:tr w:rsidR="00FC0A26" w:rsidRPr="0067153D" w14:paraId="76D15896" w14:textId="77777777" w:rsidTr="00160DB6">
        <w:trPr>
          <w:trHeight w:val="70"/>
        </w:trPr>
        <w:tc>
          <w:tcPr>
            <w:tcW w:w="1666" w:type="pct"/>
          </w:tcPr>
          <w:p w14:paraId="26FA5307" w14:textId="77777777" w:rsidR="00FC0A26" w:rsidRPr="0067153D" w:rsidRDefault="00FC0A26" w:rsidP="00713AC6">
            <w:pPr>
              <w:spacing w:after="0" w:line="240" w:lineRule="auto"/>
              <w:rPr>
                <w:rFonts w:eastAsia="Calibri" w:cs="Arial"/>
              </w:rPr>
            </w:pPr>
            <w:r w:rsidRPr="0067153D">
              <w:rPr>
                <w:rFonts w:eastAsia="Calibri" w:cs="Arial"/>
              </w:rPr>
              <w:t>Enforcement action taken or under consideration</w:t>
            </w:r>
          </w:p>
        </w:tc>
        <w:tc>
          <w:tcPr>
            <w:tcW w:w="1666" w:type="pct"/>
          </w:tcPr>
          <w:p w14:paraId="6C4FFA59" w14:textId="77777777" w:rsidR="00FC0A26" w:rsidRPr="0067153D" w:rsidRDefault="00FC0A26" w:rsidP="00713AC6">
            <w:pPr>
              <w:spacing w:after="0" w:line="240" w:lineRule="auto"/>
              <w:rPr>
                <w:rFonts w:eastAsia="Calibri" w:cs="Arial"/>
              </w:rPr>
            </w:pPr>
            <w:r w:rsidRPr="0067153D">
              <w:rPr>
                <w:rFonts w:eastAsia="Calibri" w:cs="Arial"/>
              </w:rPr>
              <w:t xml:space="preserve">Radiation Risk Assessment (RRA) adequacy </w:t>
            </w:r>
          </w:p>
        </w:tc>
        <w:tc>
          <w:tcPr>
            <w:tcW w:w="1668" w:type="pct"/>
          </w:tcPr>
          <w:p w14:paraId="53441B1F" w14:textId="77777777" w:rsidR="00FC0A26" w:rsidRPr="0067153D" w:rsidRDefault="00FC0A26" w:rsidP="00713AC6">
            <w:pPr>
              <w:spacing w:after="0" w:line="240" w:lineRule="auto"/>
              <w:rPr>
                <w:rFonts w:eastAsia="Calibri" w:cs="Arial"/>
              </w:rPr>
            </w:pPr>
            <w:r w:rsidRPr="0067153D">
              <w:rPr>
                <w:rFonts w:eastAsia="Calibri" w:cs="Arial"/>
              </w:rPr>
              <w:t>Decision making</w:t>
            </w:r>
          </w:p>
        </w:tc>
      </w:tr>
      <w:tr w:rsidR="00FC0A26" w:rsidRPr="0067153D" w14:paraId="1464235E" w14:textId="77777777" w:rsidTr="00160DB6">
        <w:tc>
          <w:tcPr>
            <w:tcW w:w="1666" w:type="pct"/>
          </w:tcPr>
          <w:p w14:paraId="58407B03" w14:textId="77777777" w:rsidR="00FC0A26" w:rsidRPr="0067153D" w:rsidRDefault="00FC0A26" w:rsidP="00713AC6">
            <w:pPr>
              <w:spacing w:after="0" w:line="240" w:lineRule="auto"/>
              <w:rPr>
                <w:rFonts w:eastAsia="Calibri" w:cs="Arial"/>
              </w:rPr>
            </w:pPr>
            <w:r w:rsidRPr="0067153D">
              <w:rPr>
                <w:rFonts w:eastAsia="Calibri" w:cs="Arial"/>
              </w:rPr>
              <w:t xml:space="preserve">Number and significance of notifiable incidents </w:t>
            </w:r>
          </w:p>
        </w:tc>
        <w:tc>
          <w:tcPr>
            <w:tcW w:w="1666" w:type="pct"/>
          </w:tcPr>
          <w:p w14:paraId="3CBBFA22" w14:textId="77777777" w:rsidR="00FC0A26" w:rsidRPr="0067153D" w:rsidRDefault="00FC0A26" w:rsidP="00713AC6">
            <w:pPr>
              <w:spacing w:after="0" w:line="240" w:lineRule="auto"/>
              <w:rPr>
                <w:rFonts w:eastAsia="Calibri" w:cs="Arial"/>
              </w:rPr>
            </w:pPr>
            <w:r w:rsidRPr="0067153D">
              <w:rPr>
                <w:rFonts w:eastAsia="Calibri" w:cs="Arial"/>
              </w:rPr>
              <w:t>Emergency preparedness and response capability</w:t>
            </w:r>
          </w:p>
        </w:tc>
        <w:tc>
          <w:tcPr>
            <w:tcW w:w="1668" w:type="pct"/>
          </w:tcPr>
          <w:p w14:paraId="1277AE3D" w14:textId="77777777" w:rsidR="00FC0A26" w:rsidRPr="0067153D" w:rsidRDefault="00FC0A26" w:rsidP="00713AC6">
            <w:pPr>
              <w:spacing w:after="0" w:line="240" w:lineRule="auto"/>
              <w:rPr>
                <w:rFonts w:eastAsia="Calibri" w:cs="Arial"/>
              </w:rPr>
            </w:pPr>
            <w:r w:rsidRPr="0067153D">
              <w:rPr>
                <w:rFonts w:eastAsia="Calibri" w:cs="Arial"/>
              </w:rPr>
              <w:t>Learning</w:t>
            </w:r>
          </w:p>
        </w:tc>
      </w:tr>
    </w:tbl>
    <w:p w14:paraId="60AD9261" w14:textId="77777777" w:rsidR="00FC0A26" w:rsidRDefault="00FC0A26" w:rsidP="00FC0A26">
      <w:pPr>
        <w:spacing w:after="0" w:line="240" w:lineRule="auto"/>
      </w:pPr>
      <w:r>
        <w:br w:type="page"/>
      </w:r>
    </w:p>
    <w:p w14:paraId="7DD58D25" w14:textId="1A106069" w:rsidR="00FC0A26" w:rsidRDefault="00FC0A26" w:rsidP="00FC0A26">
      <w:pPr>
        <w:pStyle w:val="Heading1"/>
        <w:numPr>
          <w:ilvl w:val="0"/>
          <w:numId w:val="0"/>
        </w:numPr>
      </w:pPr>
      <w:bookmarkStart w:id="36" w:name="_Toc210742561"/>
      <w:bookmarkStart w:id="37" w:name="_Toc237421923"/>
      <w:r>
        <w:lastRenderedPageBreak/>
        <w:t xml:space="preserve">Appendix E – Nuclear </w:t>
      </w:r>
      <w:r w:rsidR="00160DB6">
        <w:t>s</w:t>
      </w:r>
      <w:r>
        <w:t xml:space="preserve">ite </w:t>
      </w:r>
      <w:r w:rsidR="00160DB6">
        <w:t>h</w:t>
      </w:r>
      <w:r>
        <w:t xml:space="preserve">ealth and </w:t>
      </w:r>
      <w:r w:rsidR="00160DB6">
        <w:t>s</w:t>
      </w:r>
      <w:r>
        <w:t xml:space="preserve">afety </w:t>
      </w:r>
      <w:r w:rsidR="00160DB6">
        <w:t>a</w:t>
      </w:r>
      <w:r>
        <w:t>ttributes</w:t>
      </w:r>
      <w:bookmarkEnd w:id="36"/>
      <w:bookmarkEnd w:id="37"/>
    </w:p>
    <w:p w14:paraId="0494B297" w14:textId="168B8F97" w:rsidR="00FC0A26" w:rsidRPr="00D918E2" w:rsidRDefault="00FC0A26" w:rsidP="00FC0A26">
      <w:r w:rsidRPr="00160DB6">
        <w:t xml:space="preserve">Nuclear </w:t>
      </w:r>
      <w:r w:rsidR="00160DB6" w:rsidRPr="00160DB6">
        <w:t>s</w:t>
      </w:r>
      <w:r w:rsidRPr="00160DB6">
        <w:t xml:space="preserve">ite </w:t>
      </w:r>
      <w:r w:rsidR="00160DB6" w:rsidRPr="00160DB6">
        <w:t>h</w:t>
      </w:r>
      <w:r w:rsidRPr="00160DB6">
        <w:t xml:space="preserve">ealth and </w:t>
      </w:r>
      <w:r w:rsidR="00160DB6" w:rsidRPr="00160DB6">
        <w:t>s</w:t>
      </w:r>
      <w:r w:rsidRPr="00160DB6">
        <w:t>afety</w:t>
      </w:r>
      <w:r w:rsidRPr="002D030A">
        <w:t xml:space="preserve"> </w:t>
      </w:r>
      <w:r>
        <w:t xml:space="preserve">(NS H&amp;S) </w:t>
      </w:r>
      <w:r w:rsidRPr="002D030A">
        <w:t xml:space="preserve">is a product of dutyholder's regulatory performance with regards to general compliance </w:t>
      </w:r>
      <w:r>
        <w:t xml:space="preserve">with </w:t>
      </w:r>
      <w:r w:rsidRPr="00D918E2">
        <w:t>relevant statutory provisions and associated guidance, including:</w:t>
      </w:r>
    </w:p>
    <w:p w14:paraId="5793FEEE" w14:textId="77777777" w:rsidR="00FC0A26" w:rsidRDefault="00FC0A26" w:rsidP="00160DB6">
      <w:pPr>
        <w:pStyle w:val="Bulletlist1"/>
        <w:ind w:left="426"/>
      </w:pPr>
      <w:r w:rsidRPr="00D918E2">
        <w:t>The Management of Health and Safety at Work Regulations 1999, Managing for Health and Safety (HSG65), Leading Health and Safety at Work (INDG417).</w:t>
      </w:r>
    </w:p>
    <w:p w14:paraId="63A7D384" w14:textId="77777777" w:rsidR="00FC0A26" w:rsidRDefault="00FC0A26" w:rsidP="00160DB6">
      <w:pPr>
        <w:pStyle w:val="Bulletlist1"/>
        <w:ind w:left="426"/>
      </w:pPr>
      <w:r w:rsidRPr="00D918E2">
        <w:t>The Construction (Design and Management) Regulations 2015, Managing Health and Safety in Construction (L153)</w:t>
      </w:r>
    </w:p>
    <w:p w14:paraId="386A4DBD" w14:textId="77777777" w:rsidR="00FC0A26" w:rsidRPr="00D918E2" w:rsidRDefault="00FC0A26" w:rsidP="00160DB6">
      <w:pPr>
        <w:pStyle w:val="Bulletlist1"/>
        <w:ind w:left="426"/>
      </w:pPr>
      <w:r w:rsidRPr="00D918E2">
        <w:t>The Control of Major Accident Hazards Regulations 2015, The Control of Major Accident Hazards Regulations – Guidance on the Regulations (L111)</w:t>
      </w:r>
    </w:p>
    <w:p w14:paraId="61351CE1" w14:textId="66F49F75" w:rsidR="00FC0A26" w:rsidRPr="002D030A" w:rsidRDefault="00FC0A26" w:rsidP="00FC0A26">
      <w:r w:rsidRPr="002D030A">
        <w:t>The three attributes, with recommended supporting indicators</w:t>
      </w:r>
      <w:r w:rsidR="00160DB6">
        <w:t>,</w:t>
      </w:r>
      <w:r w:rsidRPr="002D030A">
        <w:t xml:space="preserve"> are summarised in</w:t>
      </w:r>
      <w:r>
        <w:t xml:space="preserve"> </w:t>
      </w:r>
      <w:r w:rsidR="00160DB6" w:rsidRPr="00160DB6">
        <w:rPr>
          <w:b/>
          <w:bCs/>
        </w:rPr>
        <w:fldChar w:fldCharType="begin"/>
      </w:r>
      <w:r w:rsidR="00160DB6" w:rsidRPr="00160DB6">
        <w:rPr>
          <w:b/>
          <w:bCs/>
        </w:rPr>
        <w:instrText xml:space="preserve"> REF _Ref237421719 \h </w:instrText>
      </w:r>
      <w:r w:rsidR="00160DB6">
        <w:rPr>
          <w:b/>
          <w:bCs/>
        </w:rPr>
        <w:instrText xml:space="preserve"> \* MERGEFORMAT </w:instrText>
      </w:r>
      <w:r w:rsidR="00160DB6" w:rsidRPr="00160DB6">
        <w:rPr>
          <w:b/>
          <w:bCs/>
        </w:rPr>
      </w:r>
      <w:r w:rsidR="00160DB6" w:rsidRPr="00160DB6">
        <w:rPr>
          <w:b/>
          <w:bCs/>
        </w:rPr>
        <w:fldChar w:fldCharType="separate"/>
      </w:r>
      <w:r w:rsidR="00160DB6" w:rsidRPr="00160DB6">
        <w:rPr>
          <w:b/>
          <w:bCs/>
        </w:rPr>
        <w:t xml:space="preserve">Table </w:t>
      </w:r>
      <w:r w:rsidR="00160DB6" w:rsidRPr="00160DB6">
        <w:rPr>
          <w:b/>
          <w:bCs/>
          <w:noProof/>
        </w:rPr>
        <w:t>7</w:t>
      </w:r>
      <w:r w:rsidR="00160DB6" w:rsidRPr="00160DB6">
        <w:rPr>
          <w:b/>
          <w:bCs/>
        </w:rPr>
        <w:fldChar w:fldCharType="end"/>
      </w:r>
      <w:r w:rsidRPr="002D030A">
        <w:t xml:space="preserve">. The template for recording the </w:t>
      </w:r>
      <w:r>
        <w:t>NS H&amp;S</w:t>
      </w:r>
      <w:r w:rsidRPr="002D030A">
        <w:t xml:space="preserve"> RAL </w:t>
      </w:r>
      <w:sdt>
        <w:sdtPr>
          <w:id w:val="491685825"/>
          <w:citation/>
        </w:sdtPr>
        <w:sdtEndPr/>
        <w:sdtContent>
          <w:r>
            <w:fldChar w:fldCharType="begin"/>
          </w:r>
          <w:r w:rsidR="00ED34B5">
            <w:instrText xml:space="preserve">CITATION ONR30 \l 2057 </w:instrText>
          </w:r>
          <w:r>
            <w:fldChar w:fldCharType="separate"/>
          </w:r>
          <w:r w:rsidR="00ED34B5" w:rsidRPr="00ED34B5">
            <w:rPr>
              <w:noProof/>
            </w:rPr>
            <w:t>[8]</w:t>
          </w:r>
          <w:r>
            <w:fldChar w:fldCharType="end"/>
          </w:r>
        </w:sdtContent>
      </w:sdt>
      <w:r w:rsidRPr="002D030A">
        <w:t xml:space="preserve"> has further detail on each of the attribute indicators to support inspectors in completing the RAL.</w:t>
      </w:r>
    </w:p>
    <w:p w14:paraId="4DA1E00B" w14:textId="122D0C3E" w:rsidR="00FC0A26" w:rsidRDefault="00FC0A26" w:rsidP="00FC0A26">
      <w:r w:rsidRPr="002D030A">
        <w:t>Evidence to support attributes and indicators should make use of dutyholder compliance inspection history and any interactions such as incident reports, whistleblower concerns etc.</w:t>
      </w:r>
    </w:p>
    <w:p w14:paraId="7AB666C6" w14:textId="596E2D7F" w:rsidR="00160DB6" w:rsidRDefault="00160DB6" w:rsidP="00160DB6">
      <w:pPr>
        <w:pStyle w:val="Caption"/>
        <w:keepNext/>
      </w:pPr>
      <w:bookmarkStart w:id="38" w:name="_Ref237421719"/>
      <w:bookmarkStart w:id="39" w:name="_Hlk210739075"/>
      <w:r>
        <w:t xml:space="preserve">Table </w:t>
      </w:r>
      <w:fldSimple w:instr=" SEQ Table \* ARABIC ">
        <w:r>
          <w:rPr>
            <w:noProof/>
          </w:rPr>
          <w:t>7</w:t>
        </w:r>
      </w:fldSimple>
      <w:bookmarkEnd w:id="38"/>
      <w:r>
        <w:t xml:space="preserve"> - </w:t>
      </w:r>
      <w:r w:rsidRPr="00093513">
        <w:t>NS H&amp;S performance attributes: Overall regulatory attention for NS H&amp;S purposes</w:t>
      </w:r>
      <w:r>
        <w:t>.</w:t>
      </w:r>
    </w:p>
    <w:tbl>
      <w:tblPr>
        <w:tblStyle w:val="ONRTable1"/>
        <w:tblW w:w="5000" w:type="pct"/>
        <w:tblInd w:w="0" w:type="dxa"/>
        <w:tblLook w:val="04A0" w:firstRow="1" w:lastRow="0" w:firstColumn="1" w:lastColumn="0" w:noHBand="0" w:noVBand="1"/>
      </w:tblPr>
      <w:tblGrid>
        <w:gridCol w:w="3051"/>
        <w:gridCol w:w="3054"/>
        <w:gridCol w:w="2921"/>
      </w:tblGrid>
      <w:tr w:rsidR="00FC0A26" w:rsidRPr="00160DB6" w14:paraId="09A95FFD" w14:textId="77777777" w:rsidTr="00160DB6">
        <w:trPr>
          <w:cnfStyle w:val="100000000000" w:firstRow="1" w:lastRow="0" w:firstColumn="0" w:lastColumn="0" w:oddVBand="0" w:evenVBand="0" w:oddHBand="0" w:evenHBand="0" w:firstRowFirstColumn="0" w:firstRowLastColumn="0" w:lastRowFirstColumn="0" w:lastRowLastColumn="0"/>
          <w:tblHeader/>
        </w:trPr>
        <w:tc>
          <w:tcPr>
            <w:tcW w:w="1690" w:type="pct"/>
          </w:tcPr>
          <w:bookmarkEnd w:id="39"/>
          <w:p w14:paraId="2EBAEFC9" w14:textId="77777777" w:rsidR="00FC0A26" w:rsidRPr="00160DB6" w:rsidRDefault="00FC0A26" w:rsidP="00713AC6">
            <w:pPr>
              <w:spacing w:after="0" w:line="240" w:lineRule="auto"/>
              <w:rPr>
                <w:rFonts w:eastAsia="Calibri" w:cs="Arial"/>
                <w:b w:val="0"/>
                <w:bCs/>
              </w:rPr>
            </w:pPr>
            <w:r w:rsidRPr="00160DB6">
              <w:rPr>
                <w:rFonts w:eastAsia="Calibri" w:cs="Arial"/>
                <w:b w:val="0"/>
                <w:bCs/>
              </w:rPr>
              <w:t>Safety Performance</w:t>
            </w:r>
          </w:p>
        </w:tc>
        <w:tc>
          <w:tcPr>
            <w:tcW w:w="1692" w:type="pct"/>
          </w:tcPr>
          <w:p w14:paraId="548DACC3" w14:textId="77777777" w:rsidR="00FC0A26" w:rsidRPr="00160DB6" w:rsidRDefault="00FC0A26" w:rsidP="00713AC6">
            <w:pPr>
              <w:spacing w:after="0" w:line="240" w:lineRule="auto"/>
              <w:rPr>
                <w:rFonts w:eastAsia="Calibri" w:cs="Arial"/>
                <w:b w:val="0"/>
                <w:bCs/>
              </w:rPr>
            </w:pPr>
            <w:r w:rsidRPr="00160DB6">
              <w:rPr>
                <w:rFonts w:eastAsia="Calibri" w:cs="Arial"/>
                <w:b w:val="0"/>
                <w:bCs/>
              </w:rPr>
              <w:t>Control of Hazards and Risks</w:t>
            </w:r>
          </w:p>
        </w:tc>
        <w:tc>
          <w:tcPr>
            <w:tcW w:w="1618" w:type="pct"/>
          </w:tcPr>
          <w:p w14:paraId="5A299E43" w14:textId="77777777" w:rsidR="00FC0A26" w:rsidRPr="00160DB6" w:rsidRDefault="00FC0A26" w:rsidP="00713AC6">
            <w:pPr>
              <w:spacing w:after="0" w:line="240" w:lineRule="auto"/>
              <w:rPr>
                <w:rFonts w:eastAsia="Calibri" w:cs="Arial"/>
                <w:b w:val="0"/>
                <w:bCs/>
              </w:rPr>
            </w:pPr>
            <w:r w:rsidRPr="00160DB6">
              <w:rPr>
                <w:rFonts w:eastAsia="Calibri" w:cs="Arial"/>
                <w:b w:val="0"/>
                <w:bCs/>
              </w:rPr>
              <w:t>Safety Leadership and Culture</w:t>
            </w:r>
          </w:p>
        </w:tc>
      </w:tr>
      <w:tr w:rsidR="00FC0A26" w:rsidRPr="00691360" w14:paraId="0714573D" w14:textId="77777777" w:rsidTr="00160DB6">
        <w:tc>
          <w:tcPr>
            <w:tcW w:w="1690" w:type="pct"/>
          </w:tcPr>
          <w:p w14:paraId="41D412C0" w14:textId="77777777" w:rsidR="00FC0A26" w:rsidRPr="00691360" w:rsidRDefault="00FC0A26" w:rsidP="00713AC6">
            <w:pPr>
              <w:spacing w:after="0" w:line="240" w:lineRule="auto"/>
              <w:rPr>
                <w:rFonts w:eastAsia="Calibri" w:cs="Arial"/>
              </w:rPr>
            </w:pPr>
            <w:r>
              <w:rPr>
                <w:rFonts w:eastAsia="Calibri" w:cs="Arial"/>
              </w:rPr>
              <w:t>Dutyholder</w:t>
            </w:r>
            <w:r w:rsidRPr="00691360">
              <w:rPr>
                <w:rFonts w:eastAsia="Calibri" w:cs="Arial"/>
              </w:rPr>
              <w:t xml:space="preserve"> compliance record</w:t>
            </w:r>
          </w:p>
        </w:tc>
        <w:tc>
          <w:tcPr>
            <w:tcW w:w="1692" w:type="pct"/>
          </w:tcPr>
          <w:p w14:paraId="7FE01F2C" w14:textId="77777777" w:rsidR="00FC0A26" w:rsidRPr="00691360" w:rsidRDefault="00FC0A26" w:rsidP="00713AC6">
            <w:pPr>
              <w:spacing w:after="0" w:line="240" w:lineRule="auto"/>
              <w:rPr>
                <w:rFonts w:eastAsia="Calibri" w:cs="Arial"/>
              </w:rPr>
            </w:pPr>
            <w:r w:rsidRPr="00691360">
              <w:rPr>
                <w:rFonts w:eastAsia="Calibri" w:cs="Arial"/>
              </w:rPr>
              <w:t>Level of hazard and risk posed by dutyholders undertaking.</w:t>
            </w:r>
          </w:p>
        </w:tc>
        <w:tc>
          <w:tcPr>
            <w:tcW w:w="1618" w:type="pct"/>
          </w:tcPr>
          <w:p w14:paraId="5418C981" w14:textId="77777777" w:rsidR="00FC0A26" w:rsidRPr="00691360" w:rsidRDefault="00FC0A26" w:rsidP="00713AC6">
            <w:pPr>
              <w:spacing w:after="0" w:line="240" w:lineRule="auto"/>
              <w:rPr>
                <w:rFonts w:eastAsia="Calibri" w:cs="Arial"/>
              </w:rPr>
            </w:pPr>
            <w:r w:rsidRPr="00691360">
              <w:rPr>
                <w:rFonts w:eastAsia="Calibri" w:cs="Arial"/>
              </w:rPr>
              <w:t>Leadership</w:t>
            </w:r>
            <w:r>
              <w:rPr>
                <w:rFonts w:eastAsia="Calibri" w:cs="Arial"/>
              </w:rPr>
              <w:t xml:space="preserve"> for NS H&amp;S</w:t>
            </w:r>
          </w:p>
          <w:p w14:paraId="55F730B4" w14:textId="77777777" w:rsidR="00FC0A26" w:rsidRPr="00691360" w:rsidRDefault="00FC0A26" w:rsidP="00713AC6">
            <w:pPr>
              <w:spacing w:after="0" w:line="240" w:lineRule="auto"/>
              <w:rPr>
                <w:rFonts w:eastAsia="Calibri" w:cs="Arial"/>
              </w:rPr>
            </w:pPr>
          </w:p>
        </w:tc>
      </w:tr>
      <w:tr w:rsidR="00FC0A26" w:rsidRPr="00691360" w14:paraId="7C3F4ECB" w14:textId="77777777" w:rsidTr="00160DB6">
        <w:tc>
          <w:tcPr>
            <w:tcW w:w="1690" w:type="pct"/>
          </w:tcPr>
          <w:p w14:paraId="32637D94" w14:textId="77777777" w:rsidR="00FC0A26" w:rsidRDefault="00FC0A26" w:rsidP="00713AC6">
            <w:pPr>
              <w:spacing w:after="0" w:line="240" w:lineRule="auto"/>
            </w:pPr>
            <w:r w:rsidRPr="00337E7C">
              <w:t>Number and significance of Industrial Safety incidents and RIDDOR reportable events</w:t>
            </w:r>
          </w:p>
        </w:tc>
        <w:tc>
          <w:tcPr>
            <w:tcW w:w="1692" w:type="pct"/>
          </w:tcPr>
          <w:p w14:paraId="2DD55602" w14:textId="77777777" w:rsidR="00FC0A26" w:rsidRPr="00691360" w:rsidRDefault="00FC0A26" w:rsidP="00713AC6">
            <w:pPr>
              <w:spacing w:after="0" w:line="240" w:lineRule="auto"/>
            </w:pPr>
            <w:r w:rsidRPr="00691360">
              <w:rPr>
                <w:rFonts w:eastAsia="Calibri" w:cs="Arial"/>
              </w:rPr>
              <w:t>Maturity of nuclear site safety risk profiling and prioritisation.</w:t>
            </w:r>
          </w:p>
        </w:tc>
        <w:tc>
          <w:tcPr>
            <w:tcW w:w="1618" w:type="pct"/>
          </w:tcPr>
          <w:p w14:paraId="6C5149E4" w14:textId="77777777" w:rsidR="00FC0A26" w:rsidRPr="00691360" w:rsidRDefault="00FC0A26" w:rsidP="00713AC6">
            <w:pPr>
              <w:spacing w:after="0" w:line="240" w:lineRule="auto"/>
              <w:rPr>
                <w:rFonts w:eastAsia="Calibri" w:cs="Arial"/>
              </w:rPr>
            </w:pPr>
            <w:r w:rsidRPr="00691360">
              <w:rPr>
                <w:rFonts w:eastAsia="Calibri" w:cs="Arial"/>
              </w:rPr>
              <w:t>Nuclear Site Health and Safety Culture</w:t>
            </w:r>
          </w:p>
          <w:p w14:paraId="058C8E64" w14:textId="77777777" w:rsidR="00FC0A26" w:rsidRPr="00691360" w:rsidRDefault="00FC0A26" w:rsidP="00713AC6">
            <w:pPr>
              <w:spacing w:after="0" w:line="240" w:lineRule="auto"/>
            </w:pPr>
          </w:p>
        </w:tc>
      </w:tr>
      <w:tr w:rsidR="00FC0A26" w:rsidRPr="00691360" w14:paraId="11BED9F9" w14:textId="77777777" w:rsidTr="00160DB6">
        <w:tc>
          <w:tcPr>
            <w:tcW w:w="1690" w:type="pct"/>
          </w:tcPr>
          <w:p w14:paraId="23BEB1FE" w14:textId="77777777" w:rsidR="00FC0A26" w:rsidRPr="00691360" w:rsidRDefault="00FC0A26" w:rsidP="00713AC6">
            <w:pPr>
              <w:spacing w:after="0" w:line="240" w:lineRule="auto"/>
              <w:rPr>
                <w:rFonts w:eastAsia="Calibri" w:cs="Arial"/>
              </w:rPr>
            </w:pPr>
            <w:r w:rsidRPr="00691360">
              <w:rPr>
                <w:rFonts w:eastAsia="Calibri" w:cs="Arial"/>
              </w:rPr>
              <w:t>Number and significance of regulatory issues and timeliness of resolution</w:t>
            </w:r>
          </w:p>
        </w:tc>
        <w:tc>
          <w:tcPr>
            <w:tcW w:w="1692" w:type="pct"/>
          </w:tcPr>
          <w:p w14:paraId="65BF14A5" w14:textId="77777777" w:rsidR="00FC0A26" w:rsidRPr="00691360" w:rsidRDefault="00FC0A26" w:rsidP="00713AC6">
            <w:pPr>
              <w:spacing w:after="0" w:line="240" w:lineRule="auto"/>
              <w:rPr>
                <w:rFonts w:eastAsia="Calibri" w:cs="Arial"/>
              </w:rPr>
            </w:pPr>
            <w:bookmarkStart w:id="40" w:name="_Hlk165298617"/>
            <w:r w:rsidRPr="00691360">
              <w:rPr>
                <w:rFonts w:eastAsia="Calibri" w:cs="Arial"/>
              </w:rPr>
              <w:t>Effectiveness of arrangements for risk assessment</w:t>
            </w:r>
            <w:bookmarkEnd w:id="40"/>
          </w:p>
        </w:tc>
        <w:tc>
          <w:tcPr>
            <w:tcW w:w="1618" w:type="pct"/>
          </w:tcPr>
          <w:p w14:paraId="6E87E0B2" w14:textId="77777777" w:rsidR="00FC0A26" w:rsidRPr="00691360" w:rsidRDefault="00FC0A26" w:rsidP="00713AC6">
            <w:pPr>
              <w:spacing w:after="0" w:line="240" w:lineRule="auto"/>
              <w:rPr>
                <w:rFonts w:eastAsia="Calibri" w:cs="Arial"/>
              </w:rPr>
            </w:pPr>
            <w:bookmarkStart w:id="41" w:name="_Hlk165300215"/>
            <w:r w:rsidRPr="00691360">
              <w:rPr>
                <w:rFonts w:eastAsia="Calibri" w:cs="Arial"/>
              </w:rPr>
              <w:t>Capable Organisation</w:t>
            </w:r>
          </w:p>
          <w:bookmarkEnd w:id="41"/>
          <w:p w14:paraId="6DC3F5F0" w14:textId="77777777" w:rsidR="00FC0A26" w:rsidRPr="00691360" w:rsidRDefault="00FC0A26" w:rsidP="00713AC6">
            <w:pPr>
              <w:spacing w:after="0" w:line="240" w:lineRule="auto"/>
              <w:rPr>
                <w:rFonts w:eastAsia="Calibri" w:cs="Arial"/>
              </w:rPr>
            </w:pPr>
          </w:p>
        </w:tc>
      </w:tr>
      <w:tr w:rsidR="00FC0A26" w:rsidRPr="00691360" w14:paraId="11E414BB" w14:textId="77777777" w:rsidTr="00160DB6">
        <w:tc>
          <w:tcPr>
            <w:tcW w:w="1690" w:type="pct"/>
          </w:tcPr>
          <w:p w14:paraId="61BCDA94" w14:textId="77777777" w:rsidR="00FC0A26" w:rsidRPr="00691360" w:rsidRDefault="00FC0A26" w:rsidP="00713AC6">
            <w:pPr>
              <w:spacing w:after="0" w:line="240" w:lineRule="auto"/>
              <w:rPr>
                <w:rFonts w:eastAsia="Calibri" w:cs="Arial"/>
              </w:rPr>
            </w:pPr>
            <w:bookmarkStart w:id="42" w:name="_Hlk165300033"/>
            <w:r w:rsidRPr="00D42756">
              <w:rPr>
                <w:rFonts w:eastAsia="Calibri" w:cs="Arial"/>
              </w:rPr>
              <w:t>Enforcement action taken or under consideration</w:t>
            </w:r>
          </w:p>
        </w:tc>
        <w:tc>
          <w:tcPr>
            <w:tcW w:w="1692" w:type="pct"/>
          </w:tcPr>
          <w:p w14:paraId="251A57A7" w14:textId="77777777" w:rsidR="00FC0A26" w:rsidRPr="00691360" w:rsidRDefault="00FC0A26" w:rsidP="00713AC6">
            <w:pPr>
              <w:spacing w:after="0" w:line="240" w:lineRule="auto"/>
              <w:rPr>
                <w:rFonts w:eastAsia="Calibri" w:cs="Arial"/>
              </w:rPr>
            </w:pPr>
            <w:r w:rsidRPr="00691360">
              <w:rPr>
                <w:rFonts w:eastAsia="Calibri" w:cs="Arial"/>
              </w:rPr>
              <w:t>Adequacy of risk control measures</w:t>
            </w:r>
          </w:p>
        </w:tc>
        <w:tc>
          <w:tcPr>
            <w:tcW w:w="1618" w:type="pct"/>
          </w:tcPr>
          <w:p w14:paraId="7EA16D1E" w14:textId="77777777" w:rsidR="00FC0A26" w:rsidRPr="00691360" w:rsidRDefault="00FC0A26" w:rsidP="00713AC6">
            <w:pPr>
              <w:spacing w:after="0" w:line="240" w:lineRule="auto"/>
              <w:rPr>
                <w:rFonts w:eastAsia="Calibri" w:cs="Arial"/>
              </w:rPr>
            </w:pPr>
            <w:bookmarkStart w:id="43" w:name="_Hlk165302503"/>
            <w:r w:rsidRPr="00691360">
              <w:rPr>
                <w:rFonts w:eastAsia="Calibri" w:cs="Arial"/>
              </w:rPr>
              <w:t>Learning</w:t>
            </w:r>
            <w:bookmarkEnd w:id="43"/>
          </w:p>
        </w:tc>
      </w:tr>
      <w:bookmarkEnd w:id="42"/>
      <w:tr w:rsidR="00FC0A26" w:rsidRPr="00691360" w14:paraId="5DD6F677" w14:textId="77777777" w:rsidTr="00160DB6">
        <w:trPr>
          <w:trHeight w:val="70"/>
        </w:trPr>
        <w:tc>
          <w:tcPr>
            <w:tcW w:w="1690" w:type="pct"/>
          </w:tcPr>
          <w:p w14:paraId="75FC1515" w14:textId="77777777" w:rsidR="00FC0A26" w:rsidRPr="00705080" w:rsidRDefault="00FC0A26" w:rsidP="00713AC6">
            <w:pPr>
              <w:spacing w:after="0" w:line="240" w:lineRule="auto"/>
            </w:pPr>
            <w:r w:rsidRPr="00631831">
              <w:t>Delivery of Industrial and Fire Safety Improvements</w:t>
            </w:r>
          </w:p>
        </w:tc>
        <w:tc>
          <w:tcPr>
            <w:tcW w:w="1692" w:type="pct"/>
          </w:tcPr>
          <w:p w14:paraId="62C1CDF3" w14:textId="77777777" w:rsidR="00FC0A26" w:rsidRPr="00691360" w:rsidRDefault="00FC0A26" w:rsidP="00713AC6">
            <w:pPr>
              <w:spacing w:after="0" w:line="240" w:lineRule="auto"/>
              <w:rPr>
                <w:rFonts w:eastAsia="Calibri" w:cs="Arial"/>
              </w:rPr>
            </w:pPr>
          </w:p>
        </w:tc>
        <w:tc>
          <w:tcPr>
            <w:tcW w:w="1618" w:type="pct"/>
          </w:tcPr>
          <w:p w14:paraId="4006BEEA" w14:textId="77777777" w:rsidR="00FC0A26" w:rsidRPr="00691360" w:rsidRDefault="00FC0A26" w:rsidP="00713AC6">
            <w:pPr>
              <w:spacing w:after="0" w:line="240" w:lineRule="auto"/>
              <w:rPr>
                <w:rFonts w:eastAsia="Calibri" w:cs="Arial"/>
              </w:rPr>
            </w:pPr>
            <w:r w:rsidRPr="00691360">
              <w:rPr>
                <w:rFonts w:eastAsia="Calibri" w:cs="Arial"/>
              </w:rPr>
              <w:t>Internal Assurance and Challenge</w:t>
            </w:r>
          </w:p>
        </w:tc>
      </w:tr>
    </w:tbl>
    <w:p w14:paraId="1ABA1CCF" w14:textId="77777777" w:rsidR="00FC0A26" w:rsidRDefault="00FC0A26" w:rsidP="00FC0A26">
      <w:pPr>
        <w:spacing w:after="0" w:line="240" w:lineRule="auto"/>
      </w:pPr>
    </w:p>
    <w:p w14:paraId="70EFE20D" w14:textId="77777777" w:rsidR="00FC0A26" w:rsidRDefault="00FC0A26" w:rsidP="00FC0A26">
      <w:pPr>
        <w:spacing w:after="0" w:line="240" w:lineRule="auto"/>
      </w:pPr>
    </w:p>
    <w:p w14:paraId="3DBFF70C" w14:textId="77777777" w:rsidR="00FC0A26" w:rsidRDefault="00FC0A26" w:rsidP="00FC0A26">
      <w:pPr>
        <w:spacing w:after="0" w:line="240" w:lineRule="auto"/>
      </w:pPr>
      <w:r>
        <w:br w:type="page"/>
      </w:r>
    </w:p>
    <w:p w14:paraId="0875579C" w14:textId="7E6C9032" w:rsidR="00FC0A26" w:rsidRDefault="00FC0A26" w:rsidP="00FC0A26">
      <w:pPr>
        <w:pStyle w:val="Heading1"/>
        <w:numPr>
          <w:ilvl w:val="0"/>
          <w:numId w:val="0"/>
        </w:numPr>
      </w:pPr>
      <w:bookmarkStart w:id="44" w:name="_Toc210742562"/>
      <w:bookmarkStart w:id="45" w:name="_Toc237421924"/>
      <w:r>
        <w:lastRenderedPageBreak/>
        <w:t xml:space="preserve">Appendix F – Nuclear </w:t>
      </w:r>
      <w:r w:rsidR="00160DB6">
        <w:t>s</w:t>
      </w:r>
      <w:r>
        <w:t xml:space="preserve">afety </w:t>
      </w:r>
      <w:r w:rsidR="00160DB6">
        <w:t>a</w:t>
      </w:r>
      <w:r>
        <w:t>ttributes</w:t>
      </w:r>
      <w:bookmarkEnd w:id="44"/>
      <w:bookmarkEnd w:id="45"/>
    </w:p>
    <w:p w14:paraId="18AEC3C1" w14:textId="3048D625" w:rsidR="00FC0A26" w:rsidRDefault="00FC0A26" w:rsidP="00FC0A26">
      <w:r w:rsidRPr="002E0D75">
        <w:t xml:space="preserve">The overall </w:t>
      </w:r>
      <w:r w:rsidR="00160DB6">
        <w:t>RALs</w:t>
      </w:r>
      <w:r w:rsidRPr="002E0D75">
        <w:t xml:space="preserve"> assigned for </w:t>
      </w:r>
      <w:r>
        <w:t xml:space="preserve">nuclear </w:t>
      </w:r>
      <w:r w:rsidRPr="002E0D75">
        <w:t>safety combines assessment across three performance attributes</w:t>
      </w:r>
      <w:r>
        <w:t xml:space="preserve">. </w:t>
      </w:r>
    </w:p>
    <w:p w14:paraId="039892EA" w14:textId="7D01350A" w:rsidR="00FC0A26" w:rsidRDefault="00FC0A26" w:rsidP="00FC0A26">
      <w:r w:rsidRPr="002E0D75">
        <w:t>These indicators correlate with ONR’s Nuclear Safety Performance Indicator framework but with greater regulatory emphasis. ONR, in consultation with the Safety Directors Forum</w:t>
      </w:r>
      <w:r w:rsidR="00160DB6">
        <w:t xml:space="preserve"> (SDF)</w:t>
      </w:r>
      <w:r w:rsidRPr="002E0D75">
        <w:t xml:space="preserve">, has tailored the safety performance indicator framework </w:t>
      </w:r>
      <w:sdt>
        <w:sdtPr>
          <w:id w:val="1926842319"/>
          <w:citation/>
        </w:sdtPr>
        <w:sdtEndPr/>
        <w:sdtContent>
          <w:r w:rsidRPr="002E0D75">
            <w:fldChar w:fldCharType="begin"/>
          </w:r>
          <w:r w:rsidRPr="002E0D75">
            <w:instrText xml:space="preserve"> CITATION IAE001 \l 2057 </w:instrText>
          </w:r>
          <w:r w:rsidRPr="002E0D75">
            <w:fldChar w:fldCharType="separate"/>
          </w:r>
          <w:r w:rsidR="00ED34B5" w:rsidRPr="00ED34B5">
            <w:rPr>
              <w:noProof/>
            </w:rPr>
            <w:t>[13]</w:t>
          </w:r>
          <w:r w:rsidRPr="002E0D75">
            <w:fldChar w:fldCharType="end"/>
          </w:r>
        </w:sdtContent>
      </w:sdt>
      <w:r w:rsidRPr="002E0D75">
        <w:t>, which was originally designed with nuclear power plant operations in mind and broadened the application to the wider nuclear industry (</w:t>
      </w:r>
      <w:r w:rsidRPr="00594178">
        <w:fldChar w:fldCharType="begin"/>
      </w:r>
      <w:r w:rsidRPr="00594178">
        <w:instrText xml:space="preserve"> REF _Ref150247975 \h  \* MERGEFORMAT </w:instrText>
      </w:r>
      <w:r w:rsidRPr="00594178">
        <w:fldChar w:fldCharType="separate"/>
      </w:r>
      <w:r w:rsidR="00160DB6" w:rsidRPr="00160DB6">
        <w:t>Figure 3</w:t>
      </w:r>
      <w:r w:rsidRPr="00594178">
        <w:fldChar w:fldCharType="end"/>
      </w:r>
      <w:r w:rsidRPr="00594178">
        <w:t>).</w:t>
      </w:r>
    </w:p>
    <w:p w14:paraId="0F48DFA5" w14:textId="067F661A" w:rsidR="00FC0A26" w:rsidRPr="00064D20" w:rsidRDefault="00FC0A26" w:rsidP="00FC0A26">
      <w:r w:rsidRPr="00064D20">
        <w:rPr>
          <w:b/>
          <w:bCs/>
        </w:rPr>
        <w:t>‘Safety Performance’</w:t>
      </w:r>
      <w:r w:rsidRPr="00064D20">
        <w:t xml:space="preserve"> is a product of dutyholder compliance record, incidents on the site and delivery against agreed or required safety enhancements. This aligns closely to the ‘sustained excellence of operations’ attribute in the nuclear safety performance indicator framework. Dutyholders maintain a wide variety of metric-based indicators to measure safety performance. </w:t>
      </w:r>
      <w:r w:rsidR="002049D9" w:rsidRPr="00064D20">
        <w:t>For</w:t>
      </w:r>
      <w:r w:rsidRPr="00064D20">
        <w:t xml:space="preserve"> attention level assessment, inspector judgement is required </w:t>
      </w:r>
      <w:r w:rsidR="002049D9" w:rsidRPr="00064D20">
        <w:t>considering</w:t>
      </w:r>
      <w:r w:rsidRPr="00064D20">
        <w:t xml:space="preserve"> their interactions with and tacit knowledge of the site and its performance in-year. This may </w:t>
      </w:r>
      <w:r w:rsidR="002049D9" w:rsidRPr="00064D20">
        <w:t>consider</w:t>
      </w:r>
      <w:r w:rsidRPr="00064D20">
        <w:t xml:space="preserve"> the dutyholder’s own performance indicators.</w:t>
      </w:r>
    </w:p>
    <w:p w14:paraId="79B87F1A" w14:textId="27A9AE17" w:rsidR="00FC0A26" w:rsidRPr="00064D20" w:rsidRDefault="00FC0A26" w:rsidP="00FC0A26">
      <w:r w:rsidRPr="00064D20">
        <w:t>The ‘</w:t>
      </w:r>
      <w:r w:rsidRPr="00064D20">
        <w:rPr>
          <w:b/>
          <w:bCs/>
        </w:rPr>
        <w:t>Control of Hazard and Risk’</w:t>
      </w:r>
      <w:r w:rsidRPr="00064D20">
        <w:t xml:space="preserve"> attribute is a product of the level of hazard and risk posed by the licensee’s undertakings and the adequacy with which the licensee demonstrates that risks are controlled so far as is reasonably practicable in accordance with an adequate and live safety case. As part of this consideration, the licensee’s onsite emergency preparedness and response capability should be considered in terms of their capability to manage and respond to fault progression within and beyond the design basis. The adequacy of conventional health and safety risk profiling should also be </w:t>
      </w:r>
      <w:r w:rsidR="002049D9" w:rsidRPr="00064D20">
        <w:t>considered</w:t>
      </w:r>
      <w:r w:rsidRPr="00064D20">
        <w:t>.</w:t>
      </w:r>
    </w:p>
    <w:p w14:paraId="35F0F132" w14:textId="18197CE2" w:rsidR="00FC0A26" w:rsidRPr="00064D20" w:rsidRDefault="00FC0A26" w:rsidP="00FC0A26">
      <w:r w:rsidRPr="00064D20">
        <w:t xml:space="preserve">ONRs Technical Inspection Guide </w:t>
      </w:r>
      <w:r w:rsidR="00160DB6">
        <w:t xml:space="preserve">(TIG) </w:t>
      </w:r>
      <w:r w:rsidRPr="00064D20">
        <w:t>on ‘</w:t>
      </w:r>
      <w:r>
        <w:t>Organisational</w:t>
      </w:r>
      <w:r w:rsidRPr="00064D20">
        <w:t xml:space="preserve"> Culture Guide for Inspectors’ </w:t>
      </w:r>
      <w:sdt>
        <w:sdtPr>
          <w:id w:val="-1382098820"/>
          <w:citation/>
        </w:sdtPr>
        <w:sdtEndPr/>
        <w:sdtContent>
          <w:r w:rsidRPr="00064D20">
            <w:fldChar w:fldCharType="begin"/>
          </w:r>
          <w:r>
            <w:instrText xml:space="preserve">CITATION ONR129 \l 2057 </w:instrText>
          </w:r>
          <w:r w:rsidRPr="00064D20">
            <w:fldChar w:fldCharType="separate"/>
          </w:r>
          <w:r w:rsidR="00ED34B5" w:rsidRPr="00ED34B5">
            <w:rPr>
              <w:noProof/>
            </w:rPr>
            <w:t>[14]</w:t>
          </w:r>
          <w:r w:rsidRPr="00064D20">
            <w:fldChar w:fldCharType="end"/>
          </w:r>
        </w:sdtContent>
      </w:sdt>
      <w:r w:rsidRPr="00064D20">
        <w:t xml:space="preserve"> advocates the use of cultural warning flags as a way of routinely gathering insights from interventions on site. The LMfS SAP</w:t>
      </w:r>
      <w:r>
        <w:t>s</w:t>
      </w:r>
      <w:r w:rsidRPr="00064D20">
        <w:t xml:space="preserve"> are the basis for the attention level assessment </w:t>
      </w:r>
      <w:r w:rsidRPr="00064D20">
        <w:rPr>
          <w:b/>
          <w:bCs/>
        </w:rPr>
        <w:t>'Positive Safety Culture</w:t>
      </w:r>
      <w:r w:rsidRPr="00064D20">
        <w:t xml:space="preserve">' attribute, and the health of the warning flags can be used </w:t>
      </w:r>
      <w:r>
        <w:t xml:space="preserve">as further indicators to highlight a deteriorating organisational culture and </w:t>
      </w:r>
      <w:r w:rsidRPr="00064D20">
        <w:t xml:space="preserve">to inform the regulatory attention level assessment. </w:t>
      </w:r>
      <w:r w:rsidR="00160DB6">
        <w:br/>
      </w:r>
      <w:r w:rsidRPr="00064D20">
        <w:t>The outcome from this assessment can be used to inform the 'safety leadership and culture' indicator to reflect those areas that have emerged during engagements with dutyholders.</w:t>
      </w:r>
      <w:r>
        <w:t xml:space="preserve"> </w:t>
      </w:r>
    </w:p>
    <w:p w14:paraId="7761E29A" w14:textId="4C9B867F" w:rsidR="00FC0A26" w:rsidRDefault="00FC0A26" w:rsidP="00FC0A26">
      <w:r w:rsidRPr="002E0D75">
        <w:t xml:space="preserve">The three attributes, with recommended supporting indicators are summarised in </w:t>
      </w:r>
      <w:r w:rsidR="00160DB6" w:rsidRPr="00160DB6">
        <w:rPr>
          <w:b/>
          <w:bCs/>
        </w:rPr>
        <w:fldChar w:fldCharType="begin"/>
      </w:r>
      <w:r w:rsidR="00160DB6" w:rsidRPr="00160DB6">
        <w:rPr>
          <w:b/>
          <w:bCs/>
        </w:rPr>
        <w:instrText xml:space="preserve"> REF _Ref237421788 \h </w:instrText>
      </w:r>
      <w:r w:rsidR="00160DB6">
        <w:rPr>
          <w:b/>
          <w:bCs/>
        </w:rPr>
        <w:instrText xml:space="preserve"> \* MERGEFORMAT </w:instrText>
      </w:r>
      <w:r w:rsidR="00160DB6" w:rsidRPr="00160DB6">
        <w:rPr>
          <w:b/>
          <w:bCs/>
        </w:rPr>
      </w:r>
      <w:r w:rsidR="00160DB6" w:rsidRPr="00160DB6">
        <w:rPr>
          <w:b/>
          <w:bCs/>
        </w:rPr>
        <w:fldChar w:fldCharType="separate"/>
      </w:r>
      <w:r w:rsidR="00160DB6" w:rsidRPr="00160DB6">
        <w:rPr>
          <w:b/>
          <w:bCs/>
        </w:rPr>
        <w:t xml:space="preserve">Table </w:t>
      </w:r>
      <w:r w:rsidR="00160DB6" w:rsidRPr="00160DB6">
        <w:rPr>
          <w:b/>
          <w:bCs/>
          <w:noProof/>
        </w:rPr>
        <w:t>8</w:t>
      </w:r>
      <w:r w:rsidR="00160DB6" w:rsidRPr="00160DB6">
        <w:rPr>
          <w:b/>
          <w:bCs/>
        </w:rPr>
        <w:fldChar w:fldCharType="end"/>
      </w:r>
      <w:r w:rsidRPr="002E0D75">
        <w:t xml:space="preserve">. </w:t>
      </w:r>
      <w:r w:rsidRPr="00410C23">
        <w:t xml:space="preserve">The template for recording the </w:t>
      </w:r>
      <w:r>
        <w:t>nuclear safety</w:t>
      </w:r>
      <w:r w:rsidRPr="00410C23">
        <w:t xml:space="preserve"> RAL </w:t>
      </w:r>
      <w:sdt>
        <w:sdtPr>
          <w:id w:val="1878815743"/>
          <w:citation/>
        </w:sdtPr>
        <w:sdtEndPr/>
        <w:sdtContent>
          <w:r>
            <w:fldChar w:fldCharType="begin"/>
          </w:r>
          <w:r w:rsidR="00ED34B5">
            <w:instrText xml:space="preserve">CITATION ONR29 \l 2057 </w:instrText>
          </w:r>
          <w:r>
            <w:fldChar w:fldCharType="separate"/>
          </w:r>
          <w:r w:rsidR="00ED34B5" w:rsidRPr="00ED34B5">
            <w:rPr>
              <w:noProof/>
            </w:rPr>
            <w:t>[7]</w:t>
          </w:r>
          <w:r>
            <w:fldChar w:fldCharType="end"/>
          </w:r>
        </w:sdtContent>
      </w:sdt>
      <w:r>
        <w:t xml:space="preserve"> </w:t>
      </w:r>
      <w:r w:rsidRPr="00410C23">
        <w:t>has further detail on each of the attribute indicators to support inspectors in completing the RAL.</w:t>
      </w:r>
    </w:p>
    <w:p w14:paraId="013F2D2D" w14:textId="77777777" w:rsidR="00FC0A26" w:rsidRDefault="00FC0A26" w:rsidP="00FC0A26">
      <w:pPr>
        <w:rPr>
          <w:b/>
          <w:bCs/>
        </w:rPr>
      </w:pPr>
    </w:p>
    <w:p w14:paraId="6FB4DB4E" w14:textId="77777777" w:rsidR="00FC0A26" w:rsidRDefault="00FC0A26" w:rsidP="00FC0A26">
      <w:pPr>
        <w:rPr>
          <w:b/>
          <w:bCs/>
        </w:rPr>
      </w:pPr>
    </w:p>
    <w:p w14:paraId="084E35E1" w14:textId="77777777" w:rsidR="00FC0A26" w:rsidRDefault="00FC0A26" w:rsidP="00FC0A26">
      <w:pPr>
        <w:rPr>
          <w:b/>
          <w:bCs/>
        </w:rPr>
      </w:pPr>
    </w:p>
    <w:p w14:paraId="0BB65A6F" w14:textId="7B8DEDF2" w:rsidR="00160DB6" w:rsidRDefault="00160DB6" w:rsidP="00160DB6">
      <w:pPr>
        <w:pStyle w:val="Caption"/>
        <w:keepNext/>
      </w:pPr>
      <w:bookmarkStart w:id="46" w:name="_Ref237421788"/>
      <w:r>
        <w:lastRenderedPageBreak/>
        <w:t xml:space="preserve">Table </w:t>
      </w:r>
      <w:fldSimple w:instr=" SEQ Table \* ARABIC ">
        <w:r>
          <w:rPr>
            <w:noProof/>
          </w:rPr>
          <w:t>8</w:t>
        </w:r>
      </w:fldSimple>
      <w:bookmarkEnd w:id="46"/>
      <w:r>
        <w:t xml:space="preserve"> - </w:t>
      </w:r>
      <w:r w:rsidRPr="002B5D9D">
        <w:t>Nuclear safety performance attributes: Overall regulatory attention for nuclear safety purposes.</w:t>
      </w:r>
    </w:p>
    <w:tbl>
      <w:tblPr>
        <w:tblStyle w:val="ONRTable1"/>
        <w:tblW w:w="5000" w:type="pct"/>
        <w:tblInd w:w="0" w:type="dxa"/>
        <w:tblLook w:val="04A0" w:firstRow="1" w:lastRow="0" w:firstColumn="1" w:lastColumn="0" w:noHBand="0" w:noVBand="1"/>
      </w:tblPr>
      <w:tblGrid>
        <w:gridCol w:w="3008"/>
        <w:gridCol w:w="3009"/>
        <w:gridCol w:w="3009"/>
      </w:tblGrid>
      <w:tr w:rsidR="00FC0A26" w:rsidRPr="00DB10C9" w14:paraId="3F7BF7A8" w14:textId="77777777" w:rsidTr="00160DB6">
        <w:trPr>
          <w:cnfStyle w:val="100000000000" w:firstRow="1" w:lastRow="0" w:firstColumn="0" w:lastColumn="0" w:oddVBand="0" w:evenVBand="0" w:oddHBand="0" w:evenHBand="0" w:firstRowFirstColumn="0" w:firstRowLastColumn="0" w:lastRowFirstColumn="0" w:lastRowLastColumn="0"/>
          <w:tblHeader/>
        </w:trPr>
        <w:tc>
          <w:tcPr>
            <w:tcW w:w="1666" w:type="pct"/>
          </w:tcPr>
          <w:p w14:paraId="2A62A26A" w14:textId="77777777" w:rsidR="00FC0A26" w:rsidRPr="00DB10C9" w:rsidRDefault="00FC0A26" w:rsidP="00713AC6">
            <w:pPr>
              <w:rPr>
                <w:rFonts w:eastAsia="Calibri" w:cs="Arial"/>
                <w:b w:val="0"/>
                <w:bCs/>
              </w:rPr>
            </w:pPr>
            <w:bookmarkStart w:id="47" w:name="_Hlk149139889"/>
            <w:r w:rsidRPr="00DB10C9">
              <w:rPr>
                <w:rFonts w:eastAsia="Calibri" w:cs="Arial"/>
                <w:b w:val="0"/>
                <w:bCs/>
              </w:rPr>
              <w:t>Safety Performance</w:t>
            </w:r>
          </w:p>
        </w:tc>
        <w:tc>
          <w:tcPr>
            <w:tcW w:w="1667" w:type="pct"/>
          </w:tcPr>
          <w:p w14:paraId="24FD924D" w14:textId="77777777" w:rsidR="00FC0A26" w:rsidRPr="00DB10C9" w:rsidRDefault="00FC0A26" w:rsidP="00713AC6">
            <w:pPr>
              <w:rPr>
                <w:rFonts w:eastAsia="Calibri" w:cs="Arial"/>
                <w:b w:val="0"/>
                <w:bCs/>
              </w:rPr>
            </w:pPr>
            <w:r w:rsidRPr="00DB10C9">
              <w:rPr>
                <w:rFonts w:eastAsia="Calibri" w:cs="Arial"/>
                <w:b w:val="0"/>
                <w:bCs/>
              </w:rPr>
              <w:t>Control of Hazards and Risks</w:t>
            </w:r>
          </w:p>
        </w:tc>
        <w:tc>
          <w:tcPr>
            <w:tcW w:w="1667" w:type="pct"/>
          </w:tcPr>
          <w:p w14:paraId="2EE26CFD" w14:textId="77777777" w:rsidR="00FC0A26" w:rsidRPr="00DB10C9" w:rsidRDefault="00FC0A26" w:rsidP="00713AC6">
            <w:pPr>
              <w:rPr>
                <w:rFonts w:eastAsia="Calibri" w:cs="Arial"/>
                <w:b w:val="0"/>
                <w:bCs/>
              </w:rPr>
            </w:pPr>
            <w:r w:rsidRPr="00DB10C9">
              <w:rPr>
                <w:rFonts w:eastAsia="Calibri" w:cs="Arial"/>
                <w:b w:val="0"/>
                <w:bCs/>
              </w:rPr>
              <w:t>Safety Leadership and Culture</w:t>
            </w:r>
          </w:p>
        </w:tc>
      </w:tr>
      <w:tr w:rsidR="00FC0A26" w:rsidRPr="00DB10C9" w14:paraId="649B7E98" w14:textId="77777777" w:rsidTr="00160DB6">
        <w:tc>
          <w:tcPr>
            <w:tcW w:w="1666" w:type="pct"/>
          </w:tcPr>
          <w:p w14:paraId="11D8C864" w14:textId="77777777" w:rsidR="00FC0A26" w:rsidRPr="00DB10C9" w:rsidRDefault="00FC0A26" w:rsidP="00713AC6">
            <w:pPr>
              <w:rPr>
                <w:rFonts w:eastAsia="Calibri" w:cs="Arial"/>
              </w:rPr>
            </w:pPr>
            <w:r w:rsidRPr="00DB10C9">
              <w:rPr>
                <w:rFonts w:eastAsia="Calibri" w:cs="Arial"/>
              </w:rPr>
              <w:t>Licensee Compliance record</w:t>
            </w:r>
          </w:p>
        </w:tc>
        <w:tc>
          <w:tcPr>
            <w:tcW w:w="1667" w:type="pct"/>
          </w:tcPr>
          <w:p w14:paraId="448C6E6F" w14:textId="77777777" w:rsidR="00FC0A26" w:rsidRPr="00DB10C9" w:rsidRDefault="00FC0A26" w:rsidP="00713AC6">
            <w:pPr>
              <w:rPr>
                <w:rFonts w:eastAsia="Calibri" w:cs="Arial"/>
              </w:rPr>
            </w:pPr>
            <w:r w:rsidRPr="00DB10C9">
              <w:rPr>
                <w:rFonts w:eastAsia="Calibri" w:cs="Arial"/>
              </w:rPr>
              <w:t>Level of Hazard and Risk posed by the dutyholder’s undertakings</w:t>
            </w:r>
          </w:p>
        </w:tc>
        <w:tc>
          <w:tcPr>
            <w:tcW w:w="1667" w:type="pct"/>
          </w:tcPr>
          <w:p w14:paraId="5A756473" w14:textId="77777777" w:rsidR="00FC0A26" w:rsidRPr="00DB10C9" w:rsidRDefault="00FC0A26" w:rsidP="00713AC6">
            <w:pPr>
              <w:rPr>
                <w:rFonts w:eastAsia="Calibri" w:cs="Arial"/>
              </w:rPr>
            </w:pPr>
            <w:r w:rsidRPr="00DB10C9">
              <w:rPr>
                <w:rFonts w:eastAsia="Calibri" w:cs="Arial"/>
              </w:rPr>
              <w:t>Leadership</w:t>
            </w:r>
          </w:p>
        </w:tc>
      </w:tr>
      <w:tr w:rsidR="00FC0A26" w:rsidRPr="00DB10C9" w14:paraId="5D5FAA02" w14:textId="77777777" w:rsidTr="00160DB6">
        <w:tc>
          <w:tcPr>
            <w:tcW w:w="1666" w:type="pct"/>
          </w:tcPr>
          <w:p w14:paraId="3C547FDC" w14:textId="77777777" w:rsidR="00FC0A26" w:rsidRPr="00DB10C9" w:rsidRDefault="00FC0A26" w:rsidP="00713AC6">
            <w:pPr>
              <w:rPr>
                <w:rFonts w:eastAsia="Calibri" w:cs="Arial"/>
              </w:rPr>
            </w:pPr>
            <w:r w:rsidRPr="00DB10C9">
              <w:rPr>
                <w:rFonts w:eastAsia="Calibri" w:cs="Arial"/>
              </w:rPr>
              <w:t>Number and significance of regulatory issues and timeliness of resolution</w:t>
            </w:r>
          </w:p>
        </w:tc>
        <w:tc>
          <w:tcPr>
            <w:tcW w:w="1667" w:type="pct"/>
          </w:tcPr>
          <w:p w14:paraId="10B9F151" w14:textId="77777777" w:rsidR="00FC0A26" w:rsidRPr="00DB10C9" w:rsidRDefault="00FC0A26" w:rsidP="00713AC6">
            <w:pPr>
              <w:rPr>
                <w:rFonts w:eastAsia="Calibri" w:cs="Arial"/>
              </w:rPr>
            </w:pPr>
            <w:r w:rsidRPr="00DB10C9">
              <w:rPr>
                <w:rFonts w:eastAsia="Calibri" w:cs="Arial"/>
              </w:rPr>
              <w:t>Nuclear safety case adequacy and currency</w:t>
            </w:r>
          </w:p>
        </w:tc>
        <w:tc>
          <w:tcPr>
            <w:tcW w:w="1667" w:type="pct"/>
          </w:tcPr>
          <w:p w14:paraId="486B7476" w14:textId="77777777" w:rsidR="00FC0A26" w:rsidRPr="00DB10C9" w:rsidRDefault="00FC0A26" w:rsidP="00713AC6">
            <w:pPr>
              <w:rPr>
                <w:rFonts w:eastAsia="Calibri" w:cs="Arial"/>
              </w:rPr>
            </w:pPr>
            <w:r w:rsidRPr="00DB10C9">
              <w:rPr>
                <w:rFonts w:eastAsia="Calibri" w:cs="Arial"/>
              </w:rPr>
              <w:t>Capable Organisation</w:t>
            </w:r>
          </w:p>
        </w:tc>
      </w:tr>
      <w:tr w:rsidR="00FC0A26" w:rsidRPr="00DB10C9" w14:paraId="546ED82F" w14:textId="77777777" w:rsidTr="00160DB6">
        <w:trPr>
          <w:trHeight w:val="70"/>
        </w:trPr>
        <w:tc>
          <w:tcPr>
            <w:tcW w:w="1666" w:type="pct"/>
          </w:tcPr>
          <w:p w14:paraId="3A09F215" w14:textId="77777777" w:rsidR="00FC0A26" w:rsidRPr="00DB10C9" w:rsidRDefault="00FC0A26" w:rsidP="00713AC6">
            <w:pPr>
              <w:rPr>
                <w:rFonts w:eastAsia="Calibri" w:cs="Arial"/>
              </w:rPr>
            </w:pPr>
            <w:r w:rsidRPr="00DB10C9">
              <w:rPr>
                <w:rFonts w:eastAsia="Calibri" w:cs="Arial"/>
              </w:rPr>
              <w:t>Enforcement action taken or under consideration</w:t>
            </w:r>
          </w:p>
        </w:tc>
        <w:tc>
          <w:tcPr>
            <w:tcW w:w="1667" w:type="pct"/>
          </w:tcPr>
          <w:p w14:paraId="2A98E3ED" w14:textId="77777777" w:rsidR="00FC0A26" w:rsidRPr="00DB10C9" w:rsidRDefault="00FC0A26" w:rsidP="00713AC6">
            <w:pPr>
              <w:rPr>
                <w:rFonts w:eastAsia="Calibri" w:cs="Arial"/>
              </w:rPr>
            </w:pPr>
            <w:r w:rsidRPr="00DB10C9">
              <w:rPr>
                <w:rFonts w:eastAsia="Calibri" w:cs="Arial"/>
              </w:rPr>
              <w:t>Emergency preparedness and response capability</w:t>
            </w:r>
          </w:p>
        </w:tc>
        <w:tc>
          <w:tcPr>
            <w:tcW w:w="1667" w:type="pct"/>
          </w:tcPr>
          <w:p w14:paraId="466CBBD6" w14:textId="77777777" w:rsidR="00FC0A26" w:rsidRPr="00DB10C9" w:rsidRDefault="00FC0A26" w:rsidP="00713AC6">
            <w:pPr>
              <w:rPr>
                <w:rFonts w:eastAsia="Calibri" w:cs="Arial"/>
              </w:rPr>
            </w:pPr>
            <w:r w:rsidRPr="00DB10C9">
              <w:rPr>
                <w:rFonts w:eastAsia="Calibri" w:cs="Arial"/>
              </w:rPr>
              <w:t>Decision making</w:t>
            </w:r>
          </w:p>
        </w:tc>
      </w:tr>
      <w:tr w:rsidR="00FC0A26" w:rsidRPr="00DB10C9" w14:paraId="69CBC988" w14:textId="77777777" w:rsidTr="00160DB6">
        <w:tc>
          <w:tcPr>
            <w:tcW w:w="1666" w:type="pct"/>
          </w:tcPr>
          <w:p w14:paraId="3B685BF1" w14:textId="77777777" w:rsidR="00FC0A26" w:rsidRPr="00DB10C9" w:rsidRDefault="00FC0A26" w:rsidP="00713AC6">
            <w:pPr>
              <w:rPr>
                <w:rFonts w:eastAsia="Calibri" w:cs="Arial"/>
              </w:rPr>
            </w:pPr>
            <w:r w:rsidRPr="00DB10C9">
              <w:rPr>
                <w:rFonts w:eastAsia="Calibri" w:cs="Arial"/>
              </w:rPr>
              <w:t>Number and significance of Nuclear Safety incidents on the site</w:t>
            </w:r>
          </w:p>
        </w:tc>
        <w:tc>
          <w:tcPr>
            <w:tcW w:w="1667" w:type="pct"/>
          </w:tcPr>
          <w:p w14:paraId="2D9BF05D" w14:textId="77777777" w:rsidR="00FC0A26" w:rsidRPr="00DB10C9" w:rsidRDefault="00FC0A26" w:rsidP="00713AC6">
            <w:pPr>
              <w:rPr>
                <w:rFonts w:eastAsia="Calibri" w:cs="Arial"/>
              </w:rPr>
            </w:pPr>
            <w:r w:rsidRPr="0013425C">
              <w:rPr>
                <w:rFonts w:eastAsia="Calibri" w:cs="Arial"/>
              </w:rPr>
              <w:t xml:space="preserve">Management of </w:t>
            </w:r>
            <w:r>
              <w:rPr>
                <w:rFonts w:eastAsia="Calibri" w:cs="Arial"/>
              </w:rPr>
              <w:t>Radioa</w:t>
            </w:r>
            <w:r>
              <w:t>ctive</w:t>
            </w:r>
            <w:r>
              <w:rPr>
                <w:rFonts w:eastAsia="Calibri" w:cs="Arial"/>
              </w:rPr>
              <w:t xml:space="preserve"> </w:t>
            </w:r>
            <w:r w:rsidRPr="0013425C">
              <w:rPr>
                <w:rFonts w:eastAsia="Calibri" w:cs="Arial"/>
              </w:rPr>
              <w:t>Waste</w:t>
            </w:r>
            <w:r w:rsidRPr="00DB10C9" w:rsidDel="00C46803">
              <w:rPr>
                <w:rFonts w:eastAsia="Calibri" w:cs="Arial"/>
              </w:rPr>
              <w:t xml:space="preserve"> </w:t>
            </w:r>
          </w:p>
        </w:tc>
        <w:tc>
          <w:tcPr>
            <w:tcW w:w="1667" w:type="pct"/>
          </w:tcPr>
          <w:p w14:paraId="5260E205" w14:textId="77777777" w:rsidR="00FC0A26" w:rsidRPr="00DB10C9" w:rsidRDefault="00FC0A26" w:rsidP="00713AC6">
            <w:pPr>
              <w:rPr>
                <w:rFonts w:eastAsia="Calibri" w:cs="Arial"/>
              </w:rPr>
            </w:pPr>
            <w:r w:rsidRPr="00DB10C9">
              <w:rPr>
                <w:rFonts w:eastAsia="Calibri" w:cs="Arial"/>
              </w:rPr>
              <w:t>Learning</w:t>
            </w:r>
          </w:p>
        </w:tc>
      </w:tr>
      <w:tr w:rsidR="00FC0A26" w:rsidRPr="00DB10C9" w14:paraId="0D603A9B" w14:textId="77777777" w:rsidTr="00160DB6">
        <w:tc>
          <w:tcPr>
            <w:tcW w:w="1666" w:type="pct"/>
          </w:tcPr>
          <w:p w14:paraId="49FF5FF1" w14:textId="77777777" w:rsidR="00FC0A26" w:rsidRPr="00DB10C9" w:rsidRDefault="00FC0A26" w:rsidP="00713AC6">
            <w:pPr>
              <w:rPr>
                <w:rFonts w:eastAsia="Calibri" w:cs="Arial"/>
              </w:rPr>
            </w:pPr>
            <w:r w:rsidRPr="00DB10C9">
              <w:rPr>
                <w:rFonts w:eastAsia="Calibri" w:cs="Arial"/>
              </w:rPr>
              <w:t>Delivery of agreed Nuclear Safety Enhancements</w:t>
            </w:r>
          </w:p>
        </w:tc>
        <w:tc>
          <w:tcPr>
            <w:tcW w:w="1667" w:type="pct"/>
          </w:tcPr>
          <w:p w14:paraId="65106BDA" w14:textId="77777777" w:rsidR="00FC0A26" w:rsidRPr="00DB10C9" w:rsidRDefault="00FC0A26" w:rsidP="00713AC6">
            <w:pPr>
              <w:rPr>
                <w:rFonts w:eastAsia="Calibri" w:cs="Arial"/>
              </w:rPr>
            </w:pPr>
            <w:r w:rsidRPr="0080090C">
              <w:rPr>
                <w:rFonts w:eastAsia="Calibri" w:cs="Arial"/>
              </w:rPr>
              <w:t>Timely Decommissioning to reduce risk</w:t>
            </w:r>
          </w:p>
        </w:tc>
        <w:tc>
          <w:tcPr>
            <w:tcW w:w="1667" w:type="pct"/>
          </w:tcPr>
          <w:p w14:paraId="42067917" w14:textId="77777777" w:rsidR="00FC0A26" w:rsidRPr="00DB10C9" w:rsidRDefault="00FC0A26" w:rsidP="00713AC6">
            <w:pPr>
              <w:rPr>
                <w:rFonts w:eastAsia="Calibri" w:cs="Arial"/>
              </w:rPr>
            </w:pPr>
            <w:r w:rsidRPr="00DB10C9">
              <w:rPr>
                <w:rFonts w:eastAsia="Calibri" w:cs="Arial"/>
              </w:rPr>
              <w:t>Internal Assurance and Challenge</w:t>
            </w:r>
          </w:p>
        </w:tc>
      </w:tr>
      <w:tr w:rsidR="00FC0A26" w:rsidRPr="00DB10C9" w14:paraId="6E1A9E0B" w14:textId="77777777" w:rsidTr="00160DB6">
        <w:tc>
          <w:tcPr>
            <w:tcW w:w="1666" w:type="pct"/>
          </w:tcPr>
          <w:p w14:paraId="3FB4F838" w14:textId="77777777" w:rsidR="00FC0A26" w:rsidRPr="00DB10C9" w:rsidRDefault="00FC0A26" w:rsidP="00713AC6">
            <w:pPr>
              <w:rPr>
                <w:rFonts w:eastAsia="Calibri" w:cs="Arial"/>
              </w:rPr>
            </w:pPr>
            <w:r w:rsidRPr="00DB10C9">
              <w:rPr>
                <w:rFonts w:eastAsia="Calibri" w:cs="Arial"/>
              </w:rPr>
              <w:t>Plant status (control of modifications and maintenance)</w:t>
            </w:r>
          </w:p>
        </w:tc>
        <w:tc>
          <w:tcPr>
            <w:tcW w:w="1667" w:type="pct"/>
          </w:tcPr>
          <w:p w14:paraId="1CA340C1" w14:textId="12F263FA" w:rsidR="00FC0A26" w:rsidRPr="00997EED" w:rsidRDefault="00FC0A26" w:rsidP="00713AC6">
            <w:pPr>
              <w:rPr>
                <w:rFonts w:eastAsia="Calibri" w:cs="Arial"/>
              </w:rPr>
            </w:pPr>
            <w:r w:rsidRPr="00997EED">
              <w:rPr>
                <w:rFonts w:eastAsia="Calibri" w:cs="Arial"/>
              </w:rPr>
              <w:t>Transport</w:t>
            </w:r>
          </w:p>
        </w:tc>
        <w:tc>
          <w:tcPr>
            <w:tcW w:w="1667" w:type="pct"/>
          </w:tcPr>
          <w:p w14:paraId="3DF7FFBC" w14:textId="77777777" w:rsidR="00FC0A26" w:rsidRPr="00DB10C9" w:rsidRDefault="00FC0A26" w:rsidP="00713AC6">
            <w:pPr>
              <w:rPr>
                <w:rFonts w:eastAsia="Calibri" w:cs="Arial"/>
              </w:rPr>
            </w:pPr>
          </w:p>
        </w:tc>
      </w:tr>
      <w:bookmarkEnd w:id="47"/>
    </w:tbl>
    <w:p w14:paraId="0E2E0888" w14:textId="77777777" w:rsidR="00FC0A26" w:rsidRPr="00E401B3" w:rsidRDefault="00FC0A26" w:rsidP="00FC0A26">
      <w:pPr>
        <w:sectPr w:rsidR="00FC0A26" w:rsidRPr="00E401B3" w:rsidSect="00FC0A26">
          <w:type w:val="continuous"/>
          <w:pgSz w:w="11906" w:h="16838" w:code="9"/>
          <w:pgMar w:top="1440" w:right="1440" w:bottom="1440" w:left="1440" w:header="397" w:footer="397" w:gutter="0"/>
          <w:cols w:space="708"/>
          <w:docGrid w:linePitch="360"/>
        </w:sectPr>
      </w:pPr>
    </w:p>
    <w:p w14:paraId="1709F8B0" w14:textId="77777777" w:rsidR="00FC0A26" w:rsidRPr="00717876" w:rsidRDefault="00FC0A26" w:rsidP="00FC0A26">
      <w:pPr>
        <w:keepNext/>
        <w:spacing w:before="240" w:after="120" w:line="240" w:lineRule="auto"/>
        <w:jc w:val="center"/>
        <w:rPr>
          <w:rFonts w:eastAsia="Times New Roman"/>
          <w:szCs w:val="24"/>
          <w:lang w:bidi="ar-SA"/>
        </w:rPr>
      </w:pPr>
      <w:r w:rsidRPr="00717876">
        <w:rPr>
          <w:rFonts w:eastAsia="Times New Roman"/>
          <w:noProof/>
          <w:szCs w:val="24"/>
          <w:lang w:eastAsia="en-GB" w:bidi="ar-SA"/>
        </w:rPr>
        <w:lastRenderedPageBreak/>
        <w:drawing>
          <wp:inline distT="0" distB="0" distL="0" distR="0" wp14:anchorId="64898366" wp14:editId="6112386B">
            <wp:extent cx="8565566" cy="5237683"/>
            <wp:effectExtent l="0" t="0" r="6985" b="1270"/>
            <wp:docPr id="3" name="Picture 3" descr="A diagram of a nuclear safety performa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diagram of a nuclear safety performance&#10;&#10;AI-generated content may be incorrec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597146" cy="5256994"/>
                    </a:xfrm>
                    <a:prstGeom prst="rect">
                      <a:avLst/>
                    </a:prstGeom>
                    <a:noFill/>
                  </pic:spPr>
                </pic:pic>
              </a:graphicData>
            </a:graphic>
          </wp:inline>
        </w:drawing>
      </w:r>
    </w:p>
    <w:p w14:paraId="2E29C979" w14:textId="036E3DAB" w:rsidR="002042C2" w:rsidRDefault="00FC0A26" w:rsidP="00160DB6">
      <w:pPr>
        <w:spacing w:after="200" w:line="240" w:lineRule="auto"/>
        <w:jc w:val="center"/>
        <w:rPr>
          <w:bCs/>
        </w:rPr>
      </w:pPr>
      <w:bookmarkStart w:id="48" w:name="_Ref150247975"/>
      <w:r w:rsidRPr="00717876">
        <w:rPr>
          <w:b/>
          <w:bCs/>
          <w:color w:val="000000" w:themeColor="text2"/>
          <w:sz w:val="22"/>
        </w:rPr>
        <w:t xml:space="preserve">Figure </w:t>
      </w:r>
      <w:r w:rsidRPr="00717876">
        <w:rPr>
          <w:b/>
          <w:bCs/>
          <w:color w:val="000000" w:themeColor="text2"/>
          <w:sz w:val="22"/>
        </w:rPr>
        <w:fldChar w:fldCharType="begin"/>
      </w:r>
      <w:r w:rsidRPr="00717876">
        <w:rPr>
          <w:b/>
          <w:bCs/>
          <w:color w:val="000000" w:themeColor="text2"/>
          <w:sz w:val="22"/>
        </w:rPr>
        <w:instrText xml:space="preserve"> SEQ Figure \* ARABIC </w:instrText>
      </w:r>
      <w:r w:rsidRPr="00717876">
        <w:rPr>
          <w:b/>
          <w:bCs/>
          <w:color w:val="000000" w:themeColor="text2"/>
          <w:sz w:val="22"/>
        </w:rPr>
        <w:fldChar w:fldCharType="separate"/>
      </w:r>
      <w:r w:rsidR="00160DB6">
        <w:rPr>
          <w:b/>
          <w:bCs/>
          <w:noProof/>
          <w:color w:val="000000" w:themeColor="text2"/>
          <w:sz w:val="22"/>
        </w:rPr>
        <w:t>3</w:t>
      </w:r>
      <w:r w:rsidRPr="00717876">
        <w:rPr>
          <w:b/>
          <w:bCs/>
          <w:noProof/>
          <w:color w:val="000000" w:themeColor="text2"/>
          <w:sz w:val="22"/>
        </w:rPr>
        <w:fldChar w:fldCharType="end"/>
      </w:r>
      <w:bookmarkEnd w:id="48"/>
      <w:r w:rsidRPr="00717876">
        <w:rPr>
          <w:b/>
          <w:bCs/>
          <w:color w:val="000000" w:themeColor="text2"/>
          <w:sz w:val="22"/>
        </w:rPr>
        <w:t xml:space="preserve"> - Nuclear safety performance indicator framework</w:t>
      </w:r>
      <w:r w:rsidR="00160DB6">
        <w:rPr>
          <w:b/>
          <w:bCs/>
          <w:color w:val="000000" w:themeColor="text2"/>
          <w:sz w:val="22"/>
        </w:rPr>
        <w:t>.</w:t>
      </w:r>
    </w:p>
    <w:p w14:paraId="02DA1C3F" w14:textId="77777777" w:rsidR="003E56EC" w:rsidRDefault="003E56EC" w:rsidP="003E56EC">
      <w:pPr>
        <w:pStyle w:val="Heading1"/>
        <w:numPr>
          <w:ilvl w:val="0"/>
          <w:numId w:val="0"/>
        </w:numPr>
        <w:ind w:left="851" w:hanging="851"/>
        <w:sectPr w:rsidR="003E56EC" w:rsidSect="00BD757B">
          <w:headerReference w:type="even" r:id="rId35"/>
          <w:headerReference w:type="default" r:id="rId36"/>
          <w:footerReference w:type="even" r:id="rId37"/>
          <w:pgSz w:w="16838" w:h="11906" w:orient="landscape" w:code="9"/>
          <w:pgMar w:top="1440" w:right="1440" w:bottom="1440" w:left="1440" w:header="397" w:footer="397" w:gutter="0"/>
          <w:cols w:space="312"/>
          <w:docGrid w:linePitch="360"/>
        </w:sectPr>
      </w:pPr>
    </w:p>
    <w:bookmarkStart w:id="49" w:name="_Toc237421925" w:displacedByCustomXml="next"/>
    <w:sdt>
      <w:sdtPr>
        <w:rPr>
          <w:color w:val="auto"/>
          <w:sz w:val="24"/>
        </w:rPr>
        <w:id w:val="-652758001"/>
        <w:docPartObj>
          <w:docPartGallery w:val="Bibliographies"/>
          <w:docPartUnique/>
        </w:docPartObj>
      </w:sdtPr>
      <w:sdtEndPr/>
      <w:sdtContent>
        <w:p w14:paraId="5F37DAE5" w14:textId="77777777" w:rsidR="002042C2" w:rsidRDefault="002042C2" w:rsidP="002042C2">
          <w:pPr>
            <w:pStyle w:val="Heading1"/>
            <w:numPr>
              <w:ilvl w:val="0"/>
              <w:numId w:val="0"/>
            </w:numPr>
            <w:ind w:left="851" w:hanging="851"/>
          </w:pPr>
          <w:r>
            <w:t>References</w:t>
          </w:r>
          <w:bookmarkEnd w:id="49"/>
        </w:p>
        <w:sdt>
          <w:sdtPr>
            <w:id w:val="-573587230"/>
            <w:bibliography/>
          </w:sdtPr>
          <w:sdtEndPr/>
          <w:sdtContent>
            <w:p w14:paraId="0D0D21CC" w14:textId="77777777" w:rsidR="00E54392" w:rsidRDefault="002042C2" w:rsidP="00A86472">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E54392" w14:paraId="19C57CF3" w14:textId="77777777">
                <w:trPr>
                  <w:divId w:val="833910570"/>
                  <w:tblCellSpacing w:w="15" w:type="dxa"/>
                </w:trPr>
                <w:tc>
                  <w:tcPr>
                    <w:tcW w:w="50" w:type="pct"/>
                    <w:hideMark/>
                  </w:tcPr>
                  <w:p w14:paraId="3468DE5C" w14:textId="111C7DA7" w:rsidR="00E54392" w:rsidRDefault="00E54392" w:rsidP="00E54392">
                    <w:pPr>
                      <w:pStyle w:val="Bibliography"/>
                      <w:spacing w:after="120"/>
                      <w:rPr>
                        <w:noProof/>
                        <w:szCs w:val="24"/>
                      </w:rPr>
                    </w:pPr>
                    <w:r>
                      <w:rPr>
                        <w:noProof/>
                      </w:rPr>
                      <w:t xml:space="preserve">[1] </w:t>
                    </w:r>
                  </w:p>
                </w:tc>
                <w:tc>
                  <w:tcPr>
                    <w:tcW w:w="0" w:type="auto"/>
                    <w:hideMark/>
                  </w:tcPr>
                  <w:p w14:paraId="36273914" w14:textId="77777777" w:rsidR="00E54392" w:rsidRDefault="00E54392" w:rsidP="00E54392">
                    <w:pPr>
                      <w:pStyle w:val="Bibliography"/>
                      <w:spacing w:after="120"/>
                      <w:rPr>
                        <w:noProof/>
                      </w:rPr>
                    </w:pPr>
                    <w:r>
                      <w:rPr>
                        <w:noProof/>
                      </w:rPr>
                      <w:t>HM Government, “Regulators' Code,” 2014. [Online]. Available: https://assets.publishing.service.gov.uk/media/5f4e14e2e90e071c745ff2df/14-705-regulators-code.pdf.</w:t>
                    </w:r>
                  </w:p>
                </w:tc>
              </w:tr>
              <w:tr w:rsidR="00E54392" w14:paraId="1F0B5BB2" w14:textId="77777777">
                <w:trPr>
                  <w:divId w:val="833910570"/>
                  <w:tblCellSpacing w:w="15" w:type="dxa"/>
                </w:trPr>
                <w:tc>
                  <w:tcPr>
                    <w:tcW w:w="50" w:type="pct"/>
                    <w:hideMark/>
                  </w:tcPr>
                  <w:p w14:paraId="48573119" w14:textId="77777777" w:rsidR="00E54392" w:rsidRDefault="00E54392" w:rsidP="00E54392">
                    <w:pPr>
                      <w:pStyle w:val="Bibliography"/>
                      <w:spacing w:after="120"/>
                      <w:rPr>
                        <w:noProof/>
                      </w:rPr>
                    </w:pPr>
                    <w:r>
                      <w:rPr>
                        <w:noProof/>
                      </w:rPr>
                      <w:t xml:space="preserve">[2] </w:t>
                    </w:r>
                  </w:p>
                </w:tc>
                <w:tc>
                  <w:tcPr>
                    <w:tcW w:w="0" w:type="auto"/>
                    <w:hideMark/>
                  </w:tcPr>
                  <w:p w14:paraId="5403561C" w14:textId="77777777" w:rsidR="00E54392" w:rsidRDefault="00E54392" w:rsidP="00E54392">
                    <w:pPr>
                      <w:pStyle w:val="Bibliography"/>
                      <w:spacing w:after="120"/>
                      <w:rPr>
                        <w:noProof/>
                      </w:rPr>
                    </w:pPr>
                    <w:r>
                      <w:rPr>
                        <w:noProof/>
                      </w:rPr>
                      <w:t>ONR, “ONR-RD-POL-002 - Risk-Informed and Targeted Engagements”.</w:t>
                    </w:r>
                  </w:p>
                </w:tc>
              </w:tr>
              <w:tr w:rsidR="00E54392" w14:paraId="720AF582" w14:textId="77777777">
                <w:trPr>
                  <w:divId w:val="833910570"/>
                  <w:tblCellSpacing w:w="15" w:type="dxa"/>
                </w:trPr>
                <w:tc>
                  <w:tcPr>
                    <w:tcW w:w="50" w:type="pct"/>
                    <w:hideMark/>
                  </w:tcPr>
                  <w:p w14:paraId="11C9883E" w14:textId="77777777" w:rsidR="00E54392" w:rsidRDefault="00E54392" w:rsidP="00E54392">
                    <w:pPr>
                      <w:pStyle w:val="Bibliography"/>
                      <w:spacing w:after="120"/>
                      <w:rPr>
                        <w:noProof/>
                      </w:rPr>
                    </w:pPr>
                    <w:r>
                      <w:rPr>
                        <w:noProof/>
                      </w:rPr>
                      <w:t xml:space="preserve">[3] </w:t>
                    </w:r>
                  </w:p>
                </w:tc>
                <w:tc>
                  <w:tcPr>
                    <w:tcW w:w="0" w:type="auto"/>
                    <w:hideMark/>
                  </w:tcPr>
                  <w:p w14:paraId="7B7C7E6C" w14:textId="77777777" w:rsidR="00E54392" w:rsidRDefault="00E54392" w:rsidP="00E54392">
                    <w:pPr>
                      <w:pStyle w:val="Bibliography"/>
                      <w:spacing w:after="120"/>
                      <w:rPr>
                        <w:noProof/>
                      </w:rPr>
                    </w:pPr>
                    <w:r>
                      <w:rPr>
                        <w:noProof/>
                      </w:rPr>
                      <w:t>ONR, “ONR-ENF-POL-001 - Enforcement Policy Statement”.</w:t>
                    </w:r>
                  </w:p>
                </w:tc>
              </w:tr>
              <w:tr w:rsidR="00E54392" w14:paraId="2EC2B6DD" w14:textId="77777777">
                <w:trPr>
                  <w:divId w:val="833910570"/>
                  <w:tblCellSpacing w:w="15" w:type="dxa"/>
                </w:trPr>
                <w:tc>
                  <w:tcPr>
                    <w:tcW w:w="50" w:type="pct"/>
                    <w:hideMark/>
                  </w:tcPr>
                  <w:p w14:paraId="29797B3B" w14:textId="77777777" w:rsidR="00E54392" w:rsidRDefault="00E54392" w:rsidP="00E54392">
                    <w:pPr>
                      <w:pStyle w:val="Bibliography"/>
                      <w:spacing w:after="120"/>
                      <w:rPr>
                        <w:noProof/>
                      </w:rPr>
                    </w:pPr>
                    <w:r>
                      <w:rPr>
                        <w:noProof/>
                      </w:rPr>
                      <w:t xml:space="preserve">[4] </w:t>
                    </w:r>
                  </w:p>
                </w:tc>
                <w:tc>
                  <w:tcPr>
                    <w:tcW w:w="0" w:type="auto"/>
                    <w:hideMark/>
                  </w:tcPr>
                  <w:p w14:paraId="34795BC7" w14:textId="77777777" w:rsidR="00E54392" w:rsidRDefault="00E54392" w:rsidP="00E54392">
                    <w:pPr>
                      <w:pStyle w:val="Bibliography"/>
                      <w:spacing w:after="120"/>
                      <w:rPr>
                        <w:noProof/>
                      </w:rPr>
                    </w:pPr>
                    <w:r>
                      <w:rPr>
                        <w:noProof/>
                      </w:rPr>
                      <w:t>ONR, “ONR-DOC-TEMP-452 - Recording nuclear safeguards purpose attention levels (RALs) assessment for licensed sites”.</w:t>
                    </w:r>
                  </w:p>
                </w:tc>
              </w:tr>
              <w:tr w:rsidR="00E54392" w14:paraId="7B3597B4" w14:textId="77777777">
                <w:trPr>
                  <w:divId w:val="833910570"/>
                  <w:tblCellSpacing w:w="15" w:type="dxa"/>
                </w:trPr>
                <w:tc>
                  <w:tcPr>
                    <w:tcW w:w="50" w:type="pct"/>
                    <w:hideMark/>
                  </w:tcPr>
                  <w:p w14:paraId="7EEE0064" w14:textId="77777777" w:rsidR="00E54392" w:rsidRDefault="00E54392" w:rsidP="00E54392">
                    <w:pPr>
                      <w:pStyle w:val="Bibliography"/>
                      <w:spacing w:after="120"/>
                      <w:rPr>
                        <w:noProof/>
                      </w:rPr>
                    </w:pPr>
                    <w:r>
                      <w:rPr>
                        <w:noProof/>
                      </w:rPr>
                      <w:t xml:space="preserve">[5] </w:t>
                    </w:r>
                  </w:p>
                </w:tc>
                <w:tc>
                  <w:tcPr>
                    <w:tcW w:w="0" w:type="auto"/>
                    <w:hideMark/>
                  </w:tcPr>
                  <w:p w14:paraId="0B9200CE" w14:textId="77777777" w:rsidR="00E54392" w:rsidRDefault="00E54392" w:rsidP="00E54392">
                    <w:pPr>
                      <w:pStyle w:val="Bibliography"/>
                      <w:spacing w:after="120"/>
                      <w:rPr>
                        <w:noProof/>
                      </w:rPr>
                    </w:pPr>
                    <w:r>
                      <w:rPr>
                        <w:noProof/>
                      </w:rPr>
                      <w:t>ONR, “ONR-DOC-TEMP-449 - Security purpose dutyholder attention levels assessment template”.</w:t>
                    </w:r>
                  </w:p>
                </w:tc>
              </w:tr>
              <w:tr w:rsidR="00E54392" w14:paraId="5DF3E580" w14:textId="77777777">
                <w:trPr>
                  <w:divId w:val="833910570"/>
                  <w:tblCellSpacing w:w="15" w:type="dxa"/>
                </w:trPr>
                <w:tc>
                  <w:tcPr>
                    <w:tcW w:w="50" w:type="pct"/>
                    <w:hideMark/>
                  </w:tcPr>
                  <w:p w14:paraId="5209CF6C" w14:textId="77777777" w:rsidR="00E54392" w:rsidRDefault="00E54392" w:rsidP="00E54392">
                    <w:pPr>
                      <w:pStyle w:val="Bibliography"/>
                      <w:spacing w:after="120"/>
                      <w:rPr>
                        <w:noProof/>
                      </w:rPr>
                    </w:pPr>
                    <w:r>
                      <w:rPr>
                        <w:noProof/>
                      </w:rPr>
                      <w:t xml:space="preserve">[6] </w:t>
                    </w:r>
                  </w:p>
                </w:tc>
                <w:tc>
                  <w:tcPr>
                    <w:tcW w:w="0" w:type="auto"/>
                    <w:hideMark/>
                  </w:tcPr>
                  <w:p w14:paraId="5D6745F6" w14:textId="77777777" w:rsidR="00E54392" w:rsidRDefault="00E54392" w:rsidP="00E54392">
                    <w:pPr>
                      <w:pStyle w:val="Bibliography"/>
                      <w:spacing w:after="120"/>
                      <w:rPr>
                        <w:noProof/>
                      </w:rPr>
                    </w:pPr>
                    <w:r>
                      <w:rPr>
                        <w:noProof/>
                      </w:rPr>
                      <w:t>ONR, “ONR-DOC-TEMP-451 - Recording attention levels for transport template”.</w:t>
                    </w:r>
                  </w:p>
                </w:tc>
              </w:tr>
              <w:tr w:rsidR="00E54392" w14:paraId="29970BEB" w14:textId="77777777">
                <w:trPr>
                  <w:divId w:val="833910570"/>
                  <w:tblCellSpacing w:w="15" w:type="dxa"/>
                </w:trPr>
                <w:tc>
                  <w:tcPr>
                    <w:tcW w:w="50" w:type="pct"/>
                    <w:hideMark/>
                  </w:tcPr>
                  <w:p w14:paraId="70B8585B" w14:textId="77777777" w:rsidR="00E54392" w:rsidRDefault="00E54392" w:rsidP="00E54392">
                    <w:pPr>
                      <w:pStyle w:val="Bibliography"/>
                      <w:spacing w:after="120"/>
                      <w:rPr>
                        <w:noProof/>
                      </w:rPr>
                    </w:pPr>
                    <w:r>
                      <w:rPr>
                        <w:noProof/>
                      </w:rPr>
                      <w:t xml:space="preserve">[7] </w:t>
                    </w:r>
                  </w:p>
                </w:tc>
                <w:tc>
                  <w:tcPr>
                    <w:tcW w:w="0" w:type="auto"/>
                    <w:hideMark/>
                  </w:tcPr>
                  <w:p w14:paraId="6B229ABC" w14:textId="77777777" w:rsidR="00E54392" w:rsidRDefault="00E54392" w:rsidP="00E54392">
                    <w:pPr>
                      <w:pStyle w:val="Bibliography"/>
                      <w:spacing w:after="120"/>
                      <w:rPr>
                        <w:noProof/>
                      </w:rPr>
                    </w:pPr>
                    <w:r>
                      <w:rPr>
                        <w:noProof/>
                      </w:rPr>
                      <w:t>ONR, “ONR-DOC-TEMP-447 - Recording nuclear safety purpose attention levels (RALs) assessment for licensed sites”.</w:t>
                    </w:r>
                  </w:p>
                </w:tc>
              </w:tr>
              <w:tr w:rsidR="00E54392" w14:paraId="15CD8BB5" w14:textId="77777777">
                <w:trPr>
                  <w:divId w:val="833910570"/>
                  <w:tblCellSpacing w:w="15" w:type="dxa"/>
                </w:trPr>
                <w:tc>
                  <w:tcPr>
                    <w:tcW w:w="50" w:type="pct"/>
                    <w:hideMark/>
                  </w:tcPr>
                  <w:p w14:paraId="22B10652" w14:textId="77777777" w:rsidR="00E54392" w:rsidRDefault="00E54392" w:rsidP="00E54392">
                    <w:pPr>
                      <w:pStyle w:val="Bibliography"/>
                      <w:spacing w:after="120"/>
                      <w:rPr>
                        <w:noProof/>
                      </w:rPr>
                    </w:pPr>
                    <w:r>
                      <w:rPr>
                        <w:noProof/>
                      </w:rPr>
                      <w:t xml:space="preserve">[8] </w:t>
                    </w:r>
                  </w:p>
                </w:tc>
                <w:tc>
                  <w:tcPr>
                    <w:tcW w:w="0" w:type="auto"/>
                    <w:hideMark/>
                  </w:tcPr>
                  <w:p w14:paraId="7C4C4A5B" w14:textId="77777777" w:rsidR="00E54392" w:rsidRDefault="00E54392" w:rsidP="00E54392">
                    <w:pPr>
                      <w:pStyle w:val="Bibliography"/>
                      <w:spacing w:after="120"/>
                      <w:rPr>
                        <w:noProof/>
                      </w:rPr>
                    </w:pPr>
                    <w:r>
                      <w:rPr>
                        <w:noProof/>
                      </w:rPr>
                      <w:t>ONR, “ONR-DOC-TEMP-448 - Recording nuclear site health and safety purpose attention levels (RALs) assessment for licensed sites”.</w:t>
                    </w:r>
                  </w:p>
                </w:tc>
              </w:tr>
              <w:tr w:rsidR="00E54392" w14:paraId="576F893C" w14:textId="77777777">
                <w:trPr>
                  <w:divId w:val="833910570"/>
                  <w:tblCellSpacing w:w="15" w:type="dxa"/>
                </w:trPr>
                <w:tc>
                  <w:tcPr>
                    <w:tcW w:w="50" w:type="pct"/>
                    <w:hideMark/>
                  </w:tcPr>
                  <w:p w14:paraId="097561F8" w14:textId="77777777" w:rsidR="00E54392" w:rsidRDefault="00E54392" w:rsidP="00E54392">
                    <w:pPr>
                      <w:pStyle w:val="Bibliography"/>
                      <w:spacing w:after="120"/>
                      <w:rPr>
                        <w:noProof/>
                      </w:rPr>
                    </w:pPr>
                    <w:r>
                      <w:rPr>
                        <w:noProof/>
                      </w:rPr>
                      <w:t xml:space="preserve">[9] </w:t>
                    </w:r>
                  </w:p>
                </w:tc>
                <w:tc>
                  <w:tcPr>
                    <w:tcW w:w="0" w:type="auto"/>
                    <w:hideMark/>
                  </w:tcPr>
                  <w:p w14:paraId="773C17F2" w14:textId="77777777" w:rsidR="00E54392" w:rsidRDefault="00E54392" w:rsidP="00E54392">
                    <w:pPr>
                      <w:pStyle w:val="Bibliography"/>
                      <w:spacing w:after="120"/>
                      <w:rPr>
                        <w:noProof/>
                      </w:rPr>
                    </w:pPr>
                    <w:r>
                      <w:rPr>
                        <w:noProof/>
                      </w:rPr>
                      <w:t>ONR, “ONR-DOC-TEMP-450 - Recording combined safety (nuclear safety and nuclear site health and safety (NS H&amp;S)) attention levels assessment for licensed sites”.</w:t>
                    </w:r>
                  </w:p>
                </w:tc>
              </w:tr>
              <w:tr w:rsidR="00E54392" w14:paraId="789FB604" w14:textId="77777777">
                <w:trPr>
                  <w:divId w:val="833910570"/>
                  <w:tblCellSpacing w:w="15" w:type="dxa"/>
                </w:trPr>
                <w:tc>
                  <w:tcPr>
                    <w:tcW w:w="50" w:type="pct"/>
                    <w:hideMark/>
                  </w:tcPr>
                  <w:p w14:paraId="6CF0B968" w14:textId="77777777" w:rsidR="00E54392" w:rsidRDefault="00E54392" w:rsidP="00E54392">
                    <w:pPr>
                      <w:pStyle w:val="Bibliography"/>
                      <w:spacing w:after="120"/>
                      <w:rPr>
                        <w:noProof/>
                      </w:rPr>
                    </w:pPr>
                    <w:r>
                      <w:rPr>
                        <w:noProof/>
                      </w:rPr>
                      <w:t xml:space="preserve">[10] </w:t>
                    </w:r>
                  </w:p>
                </w:tc>
                <w:tc>
                  <w:tcPr>
                    <w:tcW w:w="0" w:type="auto"/>
                    <w:hideMark/>
                  </w:tcPr>
                  <w:p w14:paraId="6A05B939" w14:textId="77777777" w:rsidR="00E54392" w:rsidRDefault="00E54392" w:rsidP="00E54392">
                    <w:pPr>
                      <w:pStyle w:val="Bibliography"/>
                      <w:spacing w:after="120"/>
                      <w:rPr>
                        <w:noProof/>
                      </w:rPr>
                    </w:pPr>
                    <w:r>
                      <w:rPr>
                        <w:noProof/>
                      </w:rPr>
                      <w:t>ONR, “ONR-DOC-TEMP-453 - Recording attention levels for other dutyholders (including licensee corporate bodies) template”.</w:t>
                    </w:r>
                  </w:p>
                </w:tc>
              </w:tr>
              <w:tr w:rsidR="00E54392" w14:paraId="64F16820" w14:textId="77777777">
                <w:trPr>
                  <w:divId w:val="833910570"/>
                  <w:tblCellSpacing w:w="15" w:type="dxa"/>
                </w:trPr>
                <w:tc>
                  <w:tcPr>
                    <w:tcW w:w="50" w:type="pct"/>
                    <w:hideMark/>
                  </w:tcPr>
                  <w:p w14:paraId="2216B064" w14:textId="77777777" w:rsidR="00E54392" w:rsidRDefault="00E54392" w:rsidP="00E54392">
                    <w:pPr>
                      <w:pStyle w:val="Bibliography"/>
                      <w:spacing w:after="120"/>
                      <w:rPr>
                        <w:noProof/>
                      </w:rPr>
                    </w:pPr>
                    <w:r>
                      <w:rPr>
                        <w:noProof/>
                      </w:rPr>
                      <w:t xml:space="preserve">[11] </w:t>
                    </w:r>
                  </w:p>
                </w:tc>
                <w:tc>
                  <w:tcPr>
                    <w:tcW w:w="0" w:type="auto"/>
                    <w:hideMark/>
                  </w:tcPr>
                  <w:p w14:paraId="5B79A665" w14:textId="77777777" w:rsidR="00E54392" w:rsidRDefault="00E54392" w:rsidP="00E54392">
                    <w:pPr>
                      <w:pStyle w:val="Bibliography"/>
                      <w:spacing w:after="120"/>
                      <w:rPr>
                        <w:noProof/>
                      </w:rPr>
                    </w:pPr>
                    <w:r>
                      <w:rPr>
                        <w:noProof/>
                      </w:rPr>
                      <w:t>ONR, “ONR-ENF-GD-006 - Enforcement Management Model (EMM)”.</w:t>
                    </w:r>
                  </w:p>
                </w:tc>
              </w:tr>
              <w:tr w:rsidR="00E54392" w14:paraId="35F5B05A" w14:textId="77777777">
                <w:trPr>
                  <w:divId w:val="833910570"/>
                  <w:tblCellSpacing w:w="15" w:type="dxa"/>
                </w:trPr>
                <w:tc>
                  <w:tcPr>
                    <w:tcW w:w="50" w:type="pct"/>
                    <w:hideMark/>
                  </w:tcPr>
                  <w:p w14:paraId="1C3481FF" w14:textId="77777777" w:rsidR="00E54392" w:rsidRDefault="00E54392" w:rsidP="00E54392">
                    <w:pPr>
                      <w:pStyle w:val="Bibliography"/>
                      <w:spacing w:after="120"/>
                      <w:rPr>
                        <w:noProof/>
                      </w:rPr>
                    </w:pPr>
                    <w:r>
                      <w:rPr>
                        <w:noProof/>
                      </w:rPr>
                      <w:t xml:space="preserve">[12] </w:t>
                    </w:r>
                  </w:p>
                </w:tc>
                <w:tc>
                  <w:tcPr>
                    <w:tcW w:w="0" w:type="auto"/>
                    <w:hideMark/>
                  </w:tcPr>
                  <w:p w14:paraId="256BDC78" w14:textId="77777777" w:rsidR="00E54392" w:rsidRDefault="00E54392" w:rsidP="00E54392">
                    <w:pPr>
                      <w:pStyle w:val="Bibliography"/>
                      <w:spacing w:after="120"/>
                      <w:rPr>
                        <w:noProof/>
                      </w:rPr>
                    </w:pPr>
                    <w:r>
                      <w:rPr>
                        <w:noProof/>
                      </w:rPr>
                      <w:t>ONR, “ONR-CNSS-MAN-001 - ONR Nuclear Material Accountancy Control and Safeguards Assessment Principles”.</w:t>
                    </w:r>
                  </w:p>
                </w:tc>
              </w:tr>
              <w:tr w:rsidR="00E54392" w14:paraId="159E4C8A" w14:textId="77777777">
                <w:trPr>
                  <w:divId w:val="833910570"/>
                  <w:tblCellSpacing w:w="15" w:type="dxa"/>
                </w:trPr>
                <w:tc>
                  <w:tcPr>
                    <w:tcW w:w="50" w:type="pct"/>
                    <w:hideMark/>
                  </w:tcPr>
                  <w:p w14:paraId="2D7B2E7C" w14:textId="77777777" w:rsidR="00E54392" w:rsidRDefault="00E54392" w:rsidP="00E54392">
                    <w:pPr>
                      <w:pStyle w:val="Bibliography"/>
                      <w:spacing w:after="120"/>
                      <w:rPr>
                        <w:noProof/>
                      </w:rPr>
                    </w:pPr>
                    <w:r>
                      <w:rPr>
                        <w:noProof/>
                      </w:rPr>
                      <w:t xml:space="preserve">[13] </w:t>
                    </w:r>
                  </w:p>
                </w:tc>
                <w:tc>
                  <w:tcPr>
                    <w:tcW w:w="0" w:type="auto"/>
                    <w:hideMark/>
                  </w:tcPr>
                  <w:p w14:paraId="69B310F4" w14:textId="77777777" w:rsidR="00E54392" w:rsidRDefault="00E54392" w:rsidP="00E54392">
                    <w:pPr>
                      <w:pStyle w:val="Bibliography"/>
                      <w:spacing w:after="120"/>
                      <w:rPr>
                        <w:noProof/>
                      </w:rPr>
                    </w:pPr>
                    <w:r>
                      <w:rPr>
                        <w:noProof/>
                      </w:rPr>
                      <w:t>IAEA, “TECDOC-1141 - Operational Safety Performance Indicators for Nuclear Power Plants,” 2000. [Online]. Available: https://www.iaea.org/publications/5945/operational-safety-performance-indicators-for-nuclear-power-plants.</w:t>
                    </w:r>
                  </w:p>
                </w:tc>
              </w:tr>
              <w:tr w:rsidR="00E54392" w14:paraId="722CF904" w14:textId="77777777">
                <w:trPr>
                  <w:divId w:val="833910570"/>
                  <w:tblCellSpacing w:w="15" w:type="dxa"/>
                </w:trPr>
                <w:tc>
                  <w:tcPr>
                    <w:tcW w:w="50" w:type="pct"/>
                    <w:hideMark/>
                  </w:tcPr>
                  <w:p w14:paraId="74EB132F" w14:textId="77777777" w:rsidR="00E54392" w:rsidRDefault="00E54392" w:rsidP="00E54392">
                    <w:pPr>
                      <w:pStyle w:val="Bibliography"/>
                      <w:spacing w:after="120"/>
                      <w:rPr>
                        <w:noProof/>
                      </w:rPr>
                    </w:pPr>
                    <w:r>
                      <w:rPr>
                        <w:noProof/>
                      </w:rPr>
                      <w:t xml:space="preserve">[14] </w:t>
                    </w:r>
                  </w:p>
                </w:tc>
                <w:tc>
                  <w:tcPr>
                    <w:tcW w:w="0" w:type="auto"/>
                    <w:hideMark/>
                  </w:tcPr>
                  <w:p w14:paraId="794BF618" w14:textId="77777777" w:rsidR="00E54392" w:rsidRDefault="00E54392" w:rsidP="00E54392">
                    <w:pPr>
                      <w:pStyle w:val="Bibliography"/>
                      <w:spacing w:after="120"/>
                      <w:rPr>
                        <w:noProof/>
                      </w:rPr>
                    </w:pPr>
                    <w:r>
                      <w:rPr>
                        <w:noProof/>
                      </w:rPr>
                      <w:t>ONR, “NS-INSP-GD-070 - Organisational Culture Guide for Inspectors”.</w:t>
                    </w:r>
                  </w:p>
                </w:tc>
              </w:tr>
            </w:tbl>
            <w:p w14:paraId="425A09DC" w14:textId="77777777" w:rsidR="00E54392" w:rsidRDefault="00E54392">
              <w:pPr>
                <w:divId w:val="833910570"/>
                <w:rPr>
                  <w:rFonts w:eastAsia="Times New Roman"/>
                  <w:noProof/>
                </w:rPr>
              </w:pPr>
            </w:p>
            <w:p w14:paraId="03973FCE" w14:textId="77503D40" w:rsidR="00930E37" w:rsidRDefault="002042C2" w:rsidP="00A86472">
              <w:r>
                <w:rPr>
                  <w:b/>
                  <w:bCs/>
                  <w:noProof/>
                </w:rPr>
                <w:fldChar w:fldCharType="end"/>
              </w:r>
            </w:p>
          </w:sdtContent>
        </w:sdt>
      </w:sdtContent>
    </w:sdt>
    <w:p w14:paraId="6DB6E9BC" w14:textId="77777777" w:rsidR="00084ABE" w:rsidRDefault="00084ABE" w:rsidP="00930E37">
      <w:pPr>
        <w:pStyle w:val="Heading1"/>
        <w:numPr>
          <w:ilvl w:val="0"/>
          <w:numId w:val="0"/>
        </w:numPr>
        <w:ind w:left="851" w:hanging="851"/>
        <w:sectPr w:rsidR="00084ABE" w:rsidSect="00B23A5E">
          <w:pgSz w:w="11906" w:h="16838" w:code="9"/>
          <w:pgMar w:top="1440" w:right="1440" w:bottom="1440" w:left="1440" w:header="397" w:footer="397" w:gutter="0"/>
          <w:cols w:space="312"/>
          <w:docGrid w:linePitch="360"/>
        </w:sectPr>
      </w:pPr>
    </w:p>
    <w:p w14:paraId="07D791C5" w14:textId="77777777" w:rsidR="00930E37" w:rsidRPr="00595C8C" w:rsidRDefault="00930E37" w:rsidP="00930E37">
      <w:pPr>
        <w:pStyle w:val="Heading1"/>
        <w:numPr>
          <w:ilvl w:val="0"/>
          <w:numId w:val="0"/>
        </w:numPr>
        <w:ind w:left="851" w:hanging="851"/>
      </w:pPr>
      <w:bookmarkStart w:id="50" w:name="_Toc237421926"/>
      <w:r>
        <w:lastRenderedPageBreak/>
        <w:t>Document control information</w:t>
      </w:r>
      <w:bookmarkEnd w:id="50"/>
    </w:p>
    <w:p w14:paraId="47B60150" w14:textId="24D5E610" w:rsidR="00930E37" w:rsidRPr="00196ADB" w:rsidRDefault="00930E37" w:rsidP="00930E37">
      <w:pPr>
        <w:rPr>
          <w:szCs w:val="24"/>
        </w:rPr>
      </w:pPr>
      <w:r w:rsidRPr="00196ADB">
        <w:rPr>
          <w:b/>
          <w:bCs/>
          <w:szCs w:val="24"/>
        </w:rPr>
        <w:t>Authored by</w:t>
      </w:r>
      <w:r w:rsidRPr="00196ADB">
        <w:rPr>
          <w:szCs w:val="24"/>
        </w:rPr>
        <w:t xml:space="preserve"> – </w:t>
      </w:r>
      <w:r w:rsidR="00AB0669">
        <w:rPr>
          <w:szCs w:val="24"/>
        </w:rPr>
        <w:t xml:space="preserve">Head of </w:t>
      </w:r>
      <w:r w:rsidR="00290B2C">
        <w:rPr>
          <w:szCs w:val="24"/>
        </w:rPr>
        <w:t>Function</w:t>
      </w:r>
      <w:r w:rsidR="00C61C14">
        <w:rPr>
          <w:szCs w:val="24"/>
        </w:rPr>
        <w:t xml:space="preserve"> for </w:t>
      </w:r>
      <w:r w:rsidR="00290B2C">
        <w:rPr>
          <w:szCs w:val="24"/>
        </w:rPr>
        <w:t>Site Inspection</w:t>
      </w:r>
    </w:p>
    <w:p w14:paraId="2C5D42AA" w14:textId="52C5D790" w:rsidR="00930E37" w:rsidRPr="00196ADB" w:rsidRDefault="00930E37" w:rsidP="00930E37">
      <w:pPr>
        <w:rPr>
          <w:szCs w:val="24"/>
        </w:rPr>
      </w:pPr>
      <w:r w:rsidRPr="00196ADB">
        <w:rPr>
          <w:b/>
          <w:bCs/>
          <w:szCs w:val="24"/>
        </w:rPr>
        <w:t>Approved by</w:t>
      </w:r>
      <w:r w:rsidRPr="00196ADB">
        <w:rPr>
          <w:szCs w:val="24"/>
        </w:rPr>
        <w:t xml:space="preserve"> – </w:t>
      </w:r>
      <w:r w:rsidR="00924255" w:rsidRPr="007A51B9">
        <w:rPr>
          <w:szCs w:val="24"/>
        </w:rPr>
        <w:t>Deputy</w:t>
      </w:r>
      <w:r w:rsidR="007A51B9" w:rsidRPr="007A51B9">
        <w:rPr>
          <w:szCs w:val="24"/>
        </w:rPr>
        <w:t xml:space="preserve"> Director Capability and Standards</w:t>
      </w:r>
    </w:p>
    <w:p w14:paraId="10D33D1E" w14:textId="75558D95" w:rsidR="00930E37" w:rsidRPr="00196ADB" w:rsidRDefault="00930E37" w:rsidP="00930E37">
      <w:pPr>
        <w:rPr>
          <w:szCs w:val="24"/>
        </w:rPr>
      </w:pPr>
      <w:r w:rsidRPr="00196ADB">
        <w:rPr>
          <w:b/>
          <w:bCs/>
          <w:szCs w:val="24"/>
        </w:rPr>
        <w:t>Issue</w:t>
      </w:r>
      <w:r>
        <w:rPr>
          <w:b/>
          <w:bCs/>
          <w:szCs w:val="24"/>
        </w:rPr>
        <w:t>:</w:t>
      </w:r>
      <w:r w:rsidRPr="00196ADB">
        <w:rPr>
          <w:szCs w:val="24"/>
        </w:rPr>
        <w:t xml:space="preserve"> </w:t>
      </w:r>
      <w:sdt>
        <w:sdtPr>
          <w:rPr>
            <w:szCs w:val="24"/>
          </w:rPr>
          <w:alias w:val="Issue No."/>
          <w:tag w:val=""/>
          <w:id w:val="-894428327"/>
          <w:placeholder>
            <w:docPart w:val="4BFF33CE9ACF45B4BD9D9653F86AF5B6"/>
          </w:placeholder>
          <w:dataBinding w:prefixMappings="xmlns:ns0='http://purl.org/dc/elements/1.1/' xmlns:ns1='http://schemas.openxmlformats.org/package/2006/metadata/core-properties' " w:xpath="/ns1:coreProperties[1]/ns1:contentStatus[1]" w:storeItemID="{6C3C8BC8-F283-45AE-878A-BAB7291924A1}"/>
          <w:text/>
        </w:sdtPr>
        <w:sdtEndPr/>
        <w:sdtContent>
          <w:r w:rsidR="00C61C14">
            <w:rPr>
              <w:szCs w:val="24"/>
            </w:rPr>
            <w:t>4</w:t>
          </w:r>
        </w:sdtContent>
      </w:sdt>
    </w:p>
    <w:p w14:paraId="12DC54B5" w14:textId="356E53DC" w:rsidR="00930E37" w:rsidRPr="00196ADB" w:rsidRDefault="00930E37" w:rsidP="00930E37">
      <w:pPr>
        <w:rPr>
          <w:szCs w:val="24"/>
        </w:rPr>
      </w:pPr>
      <w:r>
        <w:rPr>
          <w:b/>
          <w:bCs/>
          <w:szCs w:val="24"/>
        </w:rPr>
        <w:t>Published</w:t>
      </w:r>
      <w:r w:rsidRPr="00196ADB">
        <w:rPr>
          <w:szCs w:val="24"/>
        </w:rPr>
        <w:t xml:space="preserve">: </w:t>
      </w:r>
      <w:r w:rsidR="00833D14">
        <w:rPr>
          <w:szCs w:val="24"/>
        </w:rPr>
        <w:t>August</w:t>
      </w:r>
      <w:r w:rsidR="00C61C14">
        <w:rPr>
          <w:szCs w:val="24"/>
        </w:rPr>
        <w:t xml:space="preserve"> 2026</w:t>
      </w:r>
    </w:p>
    <w:p w14:paraId="29AA6F0F" w14:textId="5A709919" w:rsidR="00930E37" w:rsidRPr="00196ADB" w:rsidRDefault="00930E37" w:rsidP="00930E37">
      <w:pPr>
        <w:rPr>
          <w:szCs w:val="24"/>
        </w:rPr>
      </w:pPr>
      <w:r w:rsidRPr="00196ADB">
        <w:rPr>
          <w:b/>
          <w:bCs/>
          <w:szCs w:val="24"/>
        </w:rPr>
        <w:t xml:space="preserve">Next </w:t>
      </w:r>
      <w:r>
        <w:rPr>
          <w:b/>
          <w:bCs/>
          <w:szCs w:val="24"/>
        </w:rPr>
        <w:t>scheduled review</w:t>
      </w:r>
      <w:r w:rsidRPr="00196ADB">
        <w:rPr>
          <w:szCs w:val="24"/>
        </w:rPr>
        <w:t xml:space="preserve">: </w:t>
      </w:r>
      <w:r w:rsidR="00833D14">
        <w:rPr>
          <w:szCs w:val="24"/>
        </w:rPr>
        <w:t xml:space="preserve">August </w:t>
      </w:r>
      <w:r w:rsidR="00A86472">
        <w:rPr>
          <w:szCs w:val="24"/>
        </w:rPr>
        <w:t>2030</w:t>
      </w:r>
    </w:p>
    <w:p w14:paraId="0A735AFC" w14:textId="009D70BE" w:rsidR="00930E37" w:rsidRPr="00196ADB" w:rsidRDefault="00930E37" w:rsidP="00930E37">
      <w:pPr>
        <w:rPr>
          <w:szCs w:val="24"/>
        </w:rPr>
      </w:pPr>
      <w:r w:rsidRPr="00196ADB">
        <w:rPr>
          <w:b/>
          <w:bCs/>
          <w:szCs w:val="24"/>
        </w:rPr>
        <w:t>Doc</w:t>
      </w:r>
      <w:r>
        <w:rPr>
          <w:b/>
          <w:bCs/>
          <w:szCs w:val="24"/>
        </w:rPr>
        <w:t>ument reference</w:t>
      </w:r>
      <w:r w:rsidRPr="00196ADB">
        <w:rPr>
          <w:szCs w:val="24"/>
        </w:rPr>
        <w:t xml:space="preserve">: </w:t>
      </w:r>
      <w:r w:rsidR="00833D14" w:rsidRPr="00833D14">
        <w:rPr>
          <w:szCs w:val="24"/>
        </w:rPr>
        <w:t>ONR-</w:t>
      </w:r>
      <w:r w:rsidR="00160DB6">
        <w:rPr>
          <w:szCs w:val="24"/>
        </w:rPr>
        <w:t>RD-FW-002</w:t>
      </w:r>
    </w:p>
    <w:p w14:paraId="127FF799" w14:textId="77777777" w:rsidR="00833D14" w:rsidRDefault="00833D14" w:rsidP="00930E37">
      <w:pPr>
        <w:pStyle w:val="Caption"/>
        <w:keepNext/>
      </w:pPr>
    </w:p>
    <w:p w14:paraId="7629CA34" w14:textId="04B44321" w:rsidR="00930E37" w:rsidRDefault="00930E37" w:rsidP="00930E37">
      <w:pPr>
        <w:pStyle w:val="Caption"/>
        <w:keepNext/>
      </w:pPr>
      <w:r>
        <w:t>Revision commentary</w:t>
      </w:r>
    </w:p>
    <w:tbl>
      <w:tblPr>
        <w:tblStyle w:val="ONRTable1"/>
        <w:tblW w:w="0" w:type="auto"/>
        <w:tblInd w:w="10" w:type="dxa"/>
        <w:tblLook w:val="04A0" w:firstRow="1" w:lastRow="0" w:firstColumn="1" w:lastColumn="0" w:noHBand="0" w:noVBand="1"/>
      </w:tblPr>
      <w:tblGrid>
        <w:gridCol w:w="983"/>
        <w:gridCol w:w="8033"/>
      </w:tblGrid>
      <w:tr w:rsidR="00960B84" w:rsidRPr="00B23A5E" w14:paraId="766743EA" w14:textId="77777777" w:rsidTr="00833D14">
        <w:trPr>
          <w:cnfStyle w:val="100000000000" w:firstRow="1" w:lastRow="0" w:firstColumn="0" w:lastColumn="0" w:oddVBand="0" w:evenVBand="0" w:oddHBand="0" w:evenHBand="0" w:firstRowFirstColumn="0" w:firstRowLastColumn="0" w:lastRowFirstColumn="0" w:lastRowLastColumn="0"/>
        </w:trPr>
        <w:tc>
          <w:tcPr>
            <w:tcW w:w="983" w:type="dxa"/>
          </w:tcPr>
          <w:p w14:paraId="18EDBD2E" w14:textId="77777777" w:rsidR="00960B84" w:rsidRPr="00B23A5E" w:rsidRDefault="00960B84" w:rsidP="00713AC6">
            <w:pPr>
              <w:spacing w:before="60" w:after="60"/>
              <w:rPr>
                <w:b w:val="0"/>
                <w:bCs/>
              </w:rPr>
            </w:pPr>
            <w:r w:rsidRPr="00B23A5E">
              <w:rPr>
                <w:b w:val="0"/>
                <w:bCs/>
              </w:rPr>
              <w:t>Issue</w:t>
            </w:r>
          </w:p>
        </w:tc>
        <w:tc>
          <w:tcPr>
            <w:tcW w:w="8033" w:type="dxa"/>
          </w:tcPr>
          <w:p w14:paraId="737F5185" w14:textId="77777777" w:rsidR="00960B84" w:rsidRPr="00B23A5E" w:rsidRDefault="00960B84" w:rsidP="00713AC6">
            <w:pPr>
              <w:spacing w:before="60" w:after="60"/>
              <w:rPr>
                <w:b w:val="0"/>
                <w:bCs/>
              </w:rPr>
            </w:pPr>
            <w:r w:rsidRPr="00B23A5E">
              <w:rPr>
                <w:b w:val="0"/>
                <w:bCs/>
              </w:rPr>
              <w:t xml:space="preserve">Description of </w:t>
            </w:r>
            <w:r>
              <w:rPr>
                <w:b w:val="0"/>
                <w:bCs/>
              </w:rPr>
              <w:t>u</w:t>
            </w:r>
            <w:r w:rsidRPr="00B23A5E">
              <w:rPr>
                <w:b w:val="0"/>
                <w:bCs/>
              </w:rPr>
              <w:t>pdate(s)</w:t>
            </w:r>
          </w:p>
        </w:tc>
      </w:tr>
      <w:tr w:rsidR="00960B84" w14:paraId="2BAFBF0A" w14:textId="77777777" w:rsidTr="00833D14">
        <w:tc>
          <w:tcPr>
            <w:tcW w:w="983" w:type="dxa"/>
          </w:tcPr>
          <w:p w14:paraId="72A557B9" w14:textId="1944EE51" w:rsidR="00960B84" w:rsidRDefault="00960B84" w:rsidP="00713AC6">
            <w:pPr>
              <w:spacing w:before="60" w:after="60"/>
            </w:pPr>
            <w:r>
              <w:t>4</w:t>
            </w:r>
          </w:p>
        </w:tc>
        <w:tc>
          <w:tcPr>
            <w:tcW w:w="8033" w:type="dxa"/>
          </w:tcPr>
          <w:p w14:paraId="4C234DD1" w14:textId="77777777" w:rsidR="00960B84" w:rsidRDefault="00960B84" w:rsidP="00713AC6">
            <w:pPr>
              <w:spacing w:before="60" w:after="60"/>
            </w:pPr>
            <w:r>
              <w:t xml:space="preserve">Major review (on the basis </w:t>
            </w:r>
            <w:r w:rsidRPr="001303A1">
              <w:t>content has substantially changed from the previous issue</w:t>
            </w:r>
            <w:r>
              <w:t xml:space="preserve">) to: </w:t>
            </w:r>
          </w:p>
          <w:p w14:paraId="016D1D47" w14:textId="77777777" w:rsidR="00960B84" w:rsidRDefault="00960B84" w:rsidP="00160DB6">
            <w:pPr>
              <w:pStyle w:val="Bulletlist1"/>
              <w:spacing w:after="120"/>
              <w:ind w:left="454"/>
            </w:pPr>
            <w:r w:rsidRPr="00B915DF">
              <w:t>Clarify the alignment with ONR policies e.g. RITE</w:t>
            </w:r>
            <w:r>
              <w:t>.</w:t>
            </w:r>
          </w:p>
          <w:p w14:paraId="5208D1CF" w14:textId="77777777" w:rsidR="00960B84" w:rsidRDefault="00960B84" w:rsidP="00160DB6">
            <w:pPr>
              <w:pStyle w:val="Bulletlist1"/>
              <w:spacing w:after="120"/>
              <w:ind w:left="454"/>
            </w:pPr>
            <w:r>
              <w:t>Include a process flow for completing the RAL and associated governance.</w:t>
            </w:r>
          </w:p>
          <w:p w14:paraId="3765C1B3" w14:textId="77777777" w:rsidR="00960B84" w:rsidRDefault="00960B84" w:rsidP="00160DB6">
            <w:pPr>
              <w:pStyle w:val="Bulletlist1"/>
              <w:spacing w:after="120"/>
              <w:ind w:left="454"/>
            </w:pPr>
            <w:r>
              <w:t>Clarify when a RAL is required and discretionary areas.</w:t>
            </w:r>
          </w:p>
          <w:p w14:paraId="55C4CA9D" w14:textId="424E92A7" w:rsidR="00960B84" w:rsidRDefault="00960B84" w:rsidP="00160DB6">
            <w:pPr>
              <w:pStyle w:val="Bulletlist1"/>
              <w:spacing w:after="120"/>
              <w:ind w:left="454"/>
            </w:pPr>
            <w:r>
              <w:t>Update and remove the RAL tables from the guidance and include as templates on HOW2</w:t>
            </w:r>
            <w:r w:rsidR="00833D14">
              <w:t xml:space="preserve"> Hub</w:t>
            </w:r>
            <w:r>
              <w:t>.</w:t>
            </w:r>
          </w:p>
          <w:p w14:paraId="0B2539F7" w14:textId="77777777" w:rsidR="00960B84" w:rsidRDefault="00960B84" w:rsidP="00160DB6">
            <w:pPr>
              <w:pStyle w:val="Bulletlist1"/>
              <w:spacing w:after="120"/>
              <w:ind w:left="454"/>
            </w:pPr>
            <w:r>
              <w:t>Incorporate feedback from Regulatory Directorate on the use and areas where it can be improved e.g. NS H&amp;S, management of radioactive waste.</w:t>
            </w:r>
          </w:p>
          <w:p w14:paraId="37C21516" w14:textId="0D4E2591" w:rsidR="00A67EFC" w:rsidRPr="00833D14" w:rsidRDefault="00A67EFC" w:rsidP="00160DB6">
            <w:pPr>
              <w:pStyle w:val="Bulletlist1"/>
              <w:spacing w:after="120"/>
              <w:ind w:left="454"/>
            </w:pPr>
            <w:r>
              <w:t>Document changed from a guide to a framework document to bring it inline with ONR management system hierarchy. Document reference updated from ONR-GEN-GD-013 to reflect the change.</w:t>
            </w:r>
          </w:p>
        </w:tc>
      </w:tr>
    </w:tbl>
    <w:p w14:paraId="5AB38FA4" w14:textId="77777777" w:rsidR="00084ABE" w:rsidRDefault="00084ABE" w:rsidP="002042C2">
      <w:pPr>
        <w:rPr>
          <w:b/>
          <w:bCs/>
          <w:sz w:val="20"/>
          <w:szCs w:val="18"/>
        </w:rPr>
      </w:pPr>
    </w:p>
    <w:sectPr w:rsidR="00084ABE" w:rsidSect="00B23A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12203" w14:textId="77777777" w:rsidR="00BC210B" w:rsidRDefault="00BC210B" w:rsidP="007D199A">
      <w:pPr>
        <w:spacing w:after="0"/>
      </w:pPr>
      <w:r>
        <w:separator/>
      </w:r>
    </w:p>
    <w:p w14:paraId="0942927A" w14:textId="77777777" w:rsidR="00BC210B" w:rsidRDefault="00BC210B"/>
  </w:endnote>
  <w:endnote w:type="continuationSeparator" w:id="0">
    <w:p w14:paraId="68E26796" w14:textId="77777777" w:rsidR="00BC210B" w:rsidRDefault="00BC210B" w:rsidP="007D199A">
      <w:pPr>
        <w:spacing w:after="0"/>
      </w:pPr>
      <w:r>
        <w:continuationSeparator/>
      </w:r>
    </w:p>
    <w:p w14:paraId="50ACE6E5" w14:textId="77777777" w:rsidR="00BC210B" w:rsidRDefault="00BC21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47AC9C34" w:rsidR="007C3C1D" w:rsidRPr="00196ADB" w:rsidRDefault="006A525B" w:rsidP="007C3C1D">
    <w:pPr>
      <w:pStyle w:val="Footer"/>
      <w:jc w:val="left"/>
      <w:rPr>
        <w:sz w:val="22"/>
      </w:rPr>
    </w:pPr>
    <w:r w:rsidRPr="00196ADB">
      <w:rPr>
        <w:sz w:val="22"/>
      </w:rPr>
      <w:t>ONR-DOC-TEMP-</w:t>
    </w:r>
    <w:r w:rsidR="00821337" w:rsidRPr="00196ADB">
      <w:rPr>
        <w:sz w:val="22"/>
      </w:rPr>
      <w:t>003</w:t>
    </w:r>
    <w:r w:rsidRPr="00196ADB">
      <w:rPr>
        <w:sz w:val="22"/>
      </w:rPr>
      <w:t xml:space="preserve"> (Issue </w:t>
    </w:r>
    <w:r w:rsidR="00821337" w:rsidRPr="00196ADB">
      <w:rPr>
        <w:sz w:val="22"/>
      </w:rPr>
      <w:t>3</w:t>
    </w:r>
    <w:r w:rsidR="00B23A5E" w:rsidRPr="00196ADB">
      <w:rPr>
        <w:sz w:val="22"/>
      </w:rPr>
      <w:t>.</w:t>
    </w:r>
    <w:r w:rsidR="00EB6ECB">
      <w:rPr>
        <w:sz w:val="22"/>
      </w:rPr>
      <w:t>5</w:t>
    </w:r>
    <w:r w:rsidRPr="00196ADB">
      <w:rPr>
        <w:sz w:val="2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DD047" w14:textId="61416359" w:rsidR="00084ABE" w:rsidRDefault="00084ABE" w:rsidP="00084ABE">
    <w:pPr>
      <w:pStyle w:val="Footer"/>
      <w:jc w:val="left"/>
    </w:pPr>
    <w:r>
      <w:tab/>
    </w:r>
    <w:r>
      <w:tab/>
      <w:t xml:space="preserve">Page | </w:t>
    </w:r>
    <w:r>
      <w:fldChar w:fldCharType="begin"/>
    </w:r>
    <w:r>
      <w:instrText>PAGE   \* MERGEFORMAT</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4C0D" w14:textId="77777777" w:rsidR="00CE6198" w:rsidRDefault="00CE6198" w:rsidP="008229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08BD" w14:textId="369599C1" w:rsidR="00CE6198" w:rsidRPr="00833D14" w:rsidRDefault="00833D14" w:rsidP="00B23A5E">
    <w:pPr>
      <w:pStyle w:val="Footer"/>
      <w:rPr>
        <w:rStyle w:val="PageNumber"/>
        <w:color w:val="22413A"/>
        <w:sz w:val="24"/>
      </w:rPr>
    </w:pPr>
    <w:r w:rsidRPr="00833D14">
      <w:rPr>
        <w:rStyle w:val="PageNumber"/>
        <w:color w:val="22413A"/>
        <w:sz w:val="24"/>
      </w:rPr>
      <w:t xml:space="preserve">Page </w:t>
    </w:r>
    <w:r w:rsidRPr="00833D14">
      <w:rPr>
        <w:rStyle w:val="PageNumber"/>
        <w:color w:val="22413A"/>
        <w:sz w:val="24"/>
      </w:rPr>
      <w:fldChar w:fldCharType="begin"/>
    </w:r>
    <w:r w:rsidRPr="00833D14">
      <w:rPr>
        <w:rStyle w:val="PageNumber"/>
        <w:color w:val="22413A"/>
        <w:sz w:val="24"/>
      </w:rPr>
      <w:instrText>PAGE  \* Arabic  \* MERGEFORMAT</w:instrText>
    </w:r>
    <w:r w:rsidRPr="00833D14">
      <w:rPr>
        <w:rStyle w:val="PageNumber"/>
        <w:color w:val="22413A"/>
        <w:sz w:val="24"/>
      </w:rPr>
      <w:fldChar w:fldCharType="separate"/>
    </w:r>
    <w:r w:rsidRPr="00833D14">
      <w:rPr>
        <w:rStyle w:val="PageNumber"/>
        <w:color w:val="22413A"/>
        <w:sz w:val="24"/>
      </w:rPr>
      <w:t>1</w:t>
    </w:r>
    <w:r w:rsidRPr="00833D14">
      <w:rPr>
        <w:rStyle w:val="PageNumber"/>
        <w:color w:val="22413A"/>
        <w:sz w:val="24"/>
      </w:rPr>
      <w:fldChar w:fldCharType="end"/>
    </w:r>
    <w:r w:rsidRPr="00833D14">
      <w:rPr>
        <w:rStyle w:val="PageNumber"/>
        <w:color w:val="22413A"/>
        <w:sz w:val="24"/>
      </w:rPr>
      <w:t xml:space="preserve"> of </w:t>
    </w:r>
    <w:r w:rsidRPr="00833D14">
      <w:rPr>
        <w:rStyle w:val="PageNumber"/>
        <w:color w:val="22413A"/>
        <w:sz w:val="24"/>
      </w:rPr>
      <w:fldChar w:fldCharType="begin"/>
    </w:r>
    <w:r w:rsidRPr="00833D14">
      <w:rPr>
        <w:rStyle w:val="PageNumber"/>
        <w:color w:val="22413A"/>
        <w:sz w:val="24"/>
      </w:rPr>
      <w:instrText>NUMPAGES  \* Arabic  \* MERGEFORMAT</w:instrText>
    </w:r>
    <w:r w:rsidRPr="00833D14">
      <w:rPr>
        <w:rStyle w:val="PageNumber"/>
        <w:color w:val="22413A"/>
        <w:sz w:val="24"/>
      </w:rPr>
      <w:fldChar w:fldCharType="separate"/>
    </w:r>
    <w:r w:rsidRPr="00833D14">
      <w:rPr>
        <w:rStyle w:val="PageNumber"/>
        <w:color w:val="22413A"/>
        <w:sz w:val="24"/>
      </w:rPr>
      <w:t>2</w:t>
    </w:r>
    <w:r w:rsidRPr="00833D14">
      <w:rPr>
        <w:rStyle w:val="PageNumber"/>
        <w:color w:val="22413A"/>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ADBD3" w14:textId="77777777" w:rsidR="00FC0A26" w:rsidRPr="008C50C3" w:rsidRDefault="00FC0A26" w:rsidP="008229B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0C272" w14:textId="77777777" w:rsidR="00BC210B" w:rsidRPr="005E0344" w:rsidRDefault="00BC210B" w:rsidP="005E0344">
      <w:pPr>
        <w:spacing w:after="120"/>
        <w:rPr>
          <w:color w:val="000000" w:themeColor="text2"/>
        </w:rPr>
      </w:pPr>
      <w:r w:rsidRPr="005E0344">
        <w:rPr>
          <w:color w:val="000000" w:themeColor="text2"/>
        </w:rPr>
        <w:separator/>
      </w:r>
    </w:p>
  </w:footnote>
  <w:footnote w:type="continuationSeparator" w:id="0">
    <w:p w14:paraId="234A4A96" w14:textId="77777777" w:rsidR="00BC210B" w:rsidRPr="005E0344" w:rsidRDefault="00BC210B" w:rsidP="0090581D">
      <w:pPr>
        <w:spacing w:after="120"/>
        <w:rPr>
          <w:color w:val="000000" w:themeColor="text2"/>
        </w:rPr>
      </w:pPr>
      <w:r w:rsidRPr="005E0344">
        <w:rPr>
          <w:color w:val="000000" w:themeColor="text2"/>
        </w:rPr>
        <w:continuationSeparator/>
      </w:r>
    </w:p>
    <w:p w14:paraId="741C33B5" w14:textId="77777777" w:rsidR="00BC210B" w:rsidRDefault="00BC210B"/>
  </w:footnote>
  <w:footnote w:type="continuationNotice" w:id="1">
    <w:p w14:paraId="72E27C83" w14:textId="77777777" w:rsidR="00BC210B" w:rsidRDefault="00BC210B">
      <w:pPr>
        <w:spacing w:after="0"/>
      </w:pPr>
    </w:p>
    <w:p w14:paraId="75CF9C1B" w14:textId="77777777" w:rsidR="00BC210B" w:rsidRDefault="00BC210B"/>
  </w:footnote>
  <w:footnote w:id="2">
    <w:p w14:paraId="575E329E" w14:textId="74A04879" w:rsidR="00FC0A26" w:rsidRDefault="00FC0A26" w:rsidP="00833D14">
      <w:pPr>
        <w:pStyle w:val="FootnoteText"/>
        <w:ind w:left="0" w:firstLine="0"/>
      </w:pPr>
      <w:r>
        <w:rPr>
          <w:rStyle w:val="FootnoteReference"/>
        </w:rPr>
        <w:footnoteRef/>
      </w:r>
      <w:r>
        <w:t xml:space="preserve"> </w:t>
      </w:r>
      <w:r w:rsidRPr="00CA1BDA">
        <w:t xml:space="preserve">Safety purposes covering </w:t>
      </w:r>
      <w:r w:rsidR="00E97D00">
        <w:t>n</w:t>
      </w:r>
      <w:r w:rsidRPr="00CA1BDA">
        <w:t xml:space="preserve">uclear </w:t>
      </w:r>
      <w:r w:rsidR="00E97D00">
        <w:t>s</w:t>
      </w:r>
      <w:r w:rsidRPr="00CA1BDA">
        <w:t xml:space="preserve">afety, </w:t>
      </w:r>
      <w:r w:rsidR="003B1F1A">
        <w:t>n</w:t>
      </w:r>
      <w:r w:rsidRPr="00CA1BDA">
        <w:t xml:space="preserve">uclear </w:t>
      </w:r>
      <w:r w:rsidR="003B1F1A">
        <w:t>s</w:t>
      </w:r>
      <w:r w:rsidRPr="00CA1BDA">
        <w:t xml:space="preserve">ite </w:t>
      </w:r>
      <w:r w:rsidR="003B1F1A">
        <w:t>h</w:t>
      </w:r>
      <w:r w:rsidRPr="00CA1BDA">
        <w:t xml:space="preserve">ealth and </w:t>
      </w:r>
      <w:r w:rsidR="003B1F1A">
        <w:t>s</w:t>
      </w:r>
      <w:r w:rsidRPr="00CA1BDA">
        <w:t xml:space="preserve">afety (including </w:t>
      </w:r>
      <w:r w:rsidR="003B1F1A">
        <w:t>c</w:t>
      </w:r>
      <w:r w:rsidRPr="00CA1BDA">
        <w:t xml:space="preserve">onventional </w:t>
      </w:r>
      <w:r w:rsidR="003B1F1A">
        <w:t>h</w:t>
      </w:r>
      <w:r w:rsidRPr="00CA1BDA">
        <w:t xml:space="preserve">ealth and </w:t>
      </w:r>
      <w:r w:rsidR="003B1F1A">
        <w:t>f</w:t>
      </w:r>
      <w:r w:rsidRPr="00CA1BDA">
        <w:t xml:space="preserve">ire </w:t>
      </w:r>
      <w:r w:rsidR="003B1F1A">
        <w:t>l</w:t>
      </w:r>
      <w:r w:rsidRPr="00CA1BDA">
        <w:t xml:space="preserve">ife </w:t>
      </w:r>
      <w:r w:rsidR="003B1F1A">
        <w:t>s</w:t>
      </w:r>
      <w:r w:rsidRPr="00CA1BDA">
        <w:t>afety), storage and use of nuclear matter and arrangements for the decommissioning of relevant nuclear installations.</w:t>
      </w:r>
      <w:r w:rsidR="002C6C43">
        <w:t xml:space="preserve"> </w:t>
      </w:r>
    </w:p>
  </w:footnote>
  <w:footnote w:id="3">
    <w:p w14:paraId="53C8B32F" w14:textId="77777777" w:rsidR="00FC0A26" w:rsidRDefault="00FC0A26" w:rsidP="00833D14">
      <w:pPr>
        <w:pStyle w:val="FootnoteText"/>
        <w:ind w:left="0" w:firstLine="0"/>
      </w:pPr>
      <w:r>
        <w:rPr>
          <w:rStyle w:val="FootnoteReference"/>
        </w:rPr>
        <w:footnoteRef/>
      </w:r>
      <w:r>
        <w:t xml:space="preserve"> For relevant licensed sites as n</w:t>
      </w:r>
      <w:r w:rsidRPr="00140555">
        <w:t>ot deemed proportionate for qualifying nuclear facilities with limited operations (QNFLO) dutyholders</w:t>
      </w:r>
      <w:r>
        <w:t>.</w:t>
      </w:r>
    </w:p>
  </w:footnote>
  <w:footnote w:id="4">
    <w:p w14:paraId="70AC5027" w14:textId="7A2C0EF4" w:rsidR="00564E00" w:rsidRDefault="00564E00" w:rsidP="00833D14">
      <w:pPr>
        <w:pStyle w:val="FootnoteText"/>
        <w:ind w:left="0" w:firstLine="0"/>
      </w:pPr>
      <w:r>
        <w:rPr>
          <w:rStyle w:val="FootnoteReference"/>
        </w:rPr>
        <w:footnoteRef/>
      </w:r>
      <w:r>
        <w:t xml:space="preserve"> There </w:t>
      </w:r>
      <w:r w:rsidR="00924255">
        <w:t>are</w:t>
      </w:r>
      <w:r>
        <w:t xml:space="preserve"> a combined </w:t>
      </w:r>
      <w:r w:rsidR="003B1F1A">
        <w:t>s</w:t>
      </w:r>
      <w:r>
        <w:t xml:space="preserve">afety template </w:t>
      </w:r>
      <w:r w:rsidR="00445B28">
        <w:t xml:space="preserve">or separate </w:t>
      </w:r>
      <w:r w:rsidR="000C373F">
        <w:t xml:space="preserve">templates for </w:t>
      </w:r>
      <w:r w:rsidR="003B1F1A">
        <w:t>n</w:t>
      </w:r>
      <w:r w:rsidR="003B1F1A" w:rsidRPr="00CA1BDA">
        <w:t xml:space="preserve">uclear </w:t>
      </w:r>
      <w:r w:rsidR="003B1F1A">
        <w:t>s</w:t>
      </w:r>
      <w:r w:rsidR="003B1F1A" w:rsidRPr="00CA1BDA">
        <w:t xml:space="preserve">ite </w:t>
      </w:r>
      <w:r w:rsidR="003B1F1A">
        <w:t>h</w:t>
      </w:r>
      <w:r w:rsidR="003B1F1A" w:rsidRPr="00CA1BDA">
        <w:t xml:space="preserve">ealth and </w:t>
      </w:r>
      <w:r w:rsidR="003B1F1A">
        <w:t>s</w:t>
      </w:r>
      <w:r w:rsidR="003B1F1A" w:rsidRPr="00CA1BDA">
        <w:t xml:space="preserve">afety </w:t>
      </w:r>
      <w:r w:rsidR="000C373F">
        <w:t xml:space="preserve">and </w:t>
      </w:r>
      <w:r w:rsidR="003B1F1A">
        <w:t>n</w:t>
      </w:r>
      <w:r w:rsidR="000C373F">
        <w:t xml:space="preserve">uclear </w:t>
      </w:r>
      <w:r w:rsidR="003B1F1A">
        <w:t>s</w:t>
      </w:r>
      <w:r w:rsidR="000C373F">
        <w:t xml:space="preserve">afety </w:t>
      </w:r>
      <w:r w:rsidR="00445B28">
        <w:t xml:space="preserve">depending on which </w:t>
      </w:r>
      <w:r w:rsidR="001B5A67">
        <w:t xml:space="preserve">best </w:t>
      </w:r>
      <w:r w:rsidR="00445B28">
        <w:t>suits your needs as a sub</w:t>
      </w:r>
      <w:r w:rsidR="003B1F1A">
        <w:t>-</w:t>
      </w:r>
      <w:r w:rsidR="00ED34B5">
        <w:t>d</w:t>
      </w:r>
      <w:r w:rsidR="00445B28">
        <w:t>irectorate</w:t>
      </w:r>
      <w:r w:rsidR="000C373F">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35CE5" w14:textId="77777777" w:rsidR="00084ABE" w:rsidRDefault="00084ABE" w:rsidP="00084ABE">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88BC" w14:textId="77777777" w:rsidR="00267815" w:rsidRPr="00267815" w:rsidRDefault="00267815"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A3E0" w14:textId="77777777" w:rsidR="00CE6198" w:rsidRDefault="00CE6198" w:rsidP="00091EEA">
    <w:pPr>
      <w:pStyle w:val="Header"/>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EFF78" w14:textId="77777777" w:rsidR="00FC0A26" w:rsidRPr="008C50C3" w:rsidRDefault="00FC0A26" w:rsidP="0025728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01A69" w14:textId="0E653FDA" w:rsidR="00FC0A26" w:rsidRPr="00196ADB" w:rsidRDefault="00BC210B" w:rsidP="009E0E52">
    <w:pPr>
      <w:pStyle w:val="Header"/>
      <w:rPr>
        <w:sz w:val="20"/>
        <w:szCs w:val="24"/>
      </w:rPr>
    </w:pPr>
    <w:sdt>
      <w:sdtPr>
        <w:rPr>
          <w:sz w:val="20"/>
          <w:szCs w:val="24"/>
        </w:rPr>
        <w:alias w:val="Title"/>
        <w:tag w:val=""/>
        <w:id w:val="355394019"/>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833D14">
          <w:rPr>
            <w:sz w:val="20"/>
            <w:szCs w:val="24"/>
          </w:rPr>
          <w:t>Framework for the assignment of regulatory attention levels</w:t>
        </w:r>
      </w:sdtContent>
    </w:sdt>
    <w:r w:rsidR="00FC0A26" w:rsidRPr="00196ADB">
      <w:rPr>
        <w:sz w:val="20"/>
        <w:szCs w:val="24"/>
      </w:rPr>
      <w:t xml:space="preserve"> | Issue: </w:t>
    </w:r>
    <w:sdt>
      <w:sdtPr>
        <w:rPr>
          <w:sz w:val="20"/>
          <w:szCs w:val="24"/>
        </w:rPr>
        <w:alias w:val="Status"/>
        <w:tag w:val=""/>
        <w:id w:val="1045640820"/>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833D14">
          <w:rPr>
            <w:sz w:val="20"/>
            <w:szCs w:val="24"/>
          </w:rPr>
          <w:t>4</w:t>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54A93D11" w:rsidR="00177666" w:rsidRPr="00196ADB" w:rsidRDefault="00BC210B" w:rsidP="009E0E52">
    <w:pPr>
      <w:pStyle w:val="Header"/>
      <w:rPr>
        <w:sz w:val="20"/>
        <w:szCs w:val="24"/>
      </w:rPr>
    </w:pPr>
    <w:sdt>
      <w:sdtPr>
        <w:rPr>
          <w:sz w:val="20"/>
          <w:szCs w:val="24"/>
        </w:rPr>
        <w:alias w:val="Title"/>
        <w:tag w:val=""/>
        <w:id w:val="-545993998"/>
        <w:dataBinding w:prefixMappings="xmlns:ns0='http://purl.org/dc/elements/1.1/' xmlns:ns1='http://schemas.openxmlformats.org/package/2006/metadata/core-properties' " w:xpath="/ns1:coreProperties[1]/ns0:title[1]" w:storeItemID="{6C3C8BC8-F283-45AE-878A-BAB7291924A1}"/>
        <w:text/>
      </w:sdtPr>
      <w:sdtEndPr/>
      <w:sdtContent>
        <w:r w:rsidR="00833D14">
          <w:rPr>
            <w:sz w:val="20"/>
            <w:szCs w:val="24"/>
          </w:rPr>
          <w:t>Framework for the assignment of regulatory attention levels</w:t>
        </w:r>
      </w:sdtContent>
    </w:sdt>
    <w:r w:rsidR="004E3932" w:rsidRPr="00196ADB">
      <w:rPr>
        <w:sz w:val="20"/>
        <w:szCs w:val="24"/>
      </w:rPr>
      <w:t xml:space="preserve"> | Issue: </w:t>
    </w:r>
    <w:sdt>
      <w:sdtPr>
        <w:rPr>
          <w:sz w:val="20"/>
          <w:szCs w:val="24"/>
        </w:rPr>
        <w:alias w:val="Status"/>
        <w:tag w:val=""/>
        <w:id w:val="-1486926938"/>
        <w:dataBinding w:prefixMappings="xmlns:ns0='http://purl.org/dc/elements/1.1/' xmlns:ns1='http://schemas.openxmlformats.org/package/2006/metadata/core-properties' " w:xpath="/ns1:coreProperties[1]/ns1:contentStatus[1]" w:storeItemID="{6C3C8BC8-F283-45AE-878A-BAB7291924A1}"/>
        <w:text/>
      </w:sdtPr>
      <w:sdtEndPr/>
      <w:sdtContent>
        <w:r w:rsidR="00833D14">
          <w:rPr>
            <w:sz w:val="20"/>
            <w:szCs w:val="24"/>
          </w:rPr>
          <w:t>4</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02AA3"/>
    <w:multiLevelType w:val="hybridMultilevel"/>
    <w:tmpl w:val="3E92C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6D14A2"/>
    <w:multiLevelType w:val="multilevel"/>
    <w:tmpl w:val="26E68F70"/>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4E83E54"/>
    <w:multiLevelType w:val="hybridMultilevel"/>
    <w:tmpl w:val="CBB0C0C8"/>
    <w:lvl w:ilvl="0" w:tplc="51300A06">
      <w:start w:val="1"/>
      <w:numFmt w:val="decimal"/>
      <w:pStyle w:val="F9-Paragraph"/>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1A07EDA"/>
    <w:multiLevelType w:val="hybridMultilevel"/>
    <w:tmpl w:val="83EEC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065C3E"/>
    <w:multiLevelType w:val="hybridMultilevel"/>
    <w:tmpl w:val="F2C40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75F46359"/>
    <w:multiLevelType w:val="hybridMultilevel"/>
    <w:tmpl w:val="2A2C22D4"/>
    <w:lvl w:ilvl="0" w:tplc="8070D336">
      <w:start w:val="1"/>
      <w:numFmt w:val="bullet"/>
      <w:pStyle w:val="Bulletlist1"/>
      <w:lvlText w:val=""/>
      <w:lvlJc w:val="left"/>
      <w:pPr>
        <w:ind w:left="360" w:hanging="360"/>
      </w:pPr>
      <w:rPr>
        <w:rFonts w:ascii="Symbol" w:hAnsi="Symbol" w:hint="default"/>
        <w:strike w:val="0"/>
        <w:dstrike w:val="0"/>
        <w:color w:val="07716C" w:themeColor="accent1"/>
        <w:sz w:val="24"/>
      </w:rPr>
    </w:lvl>
    <w:lvl w:ilvl="1" w:tplc="AE78E28A">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863EDD"/>
    <w:multiLevelType w:val="multilevel"/>
    <w:tmpl w:val="92F0A820"/>
    <w:lvl w:ilvl="0">
      <w:start w:val="1"/>
      <w:numFmt w:val="decimal"/>
      <w:lvlText w:val="%1."/>
      <w:lvlJc w:val="left"/>
      <w:pPr>
        <w:ind w:left="360" w:hanging="360"/>
      </w:pPr>
    </w:lvl>
    <w:lvl w:ilvl="1">
      <w:start w:val="1"/>
      <w:numFmt w:val="decimal"/>
      <w:pStyle w:val="NumberedParagraph"/>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5146277">
    <w:abstractNumId w:val="7"/>
  </w:num>
  <w:num w:numId="2" w16cid:durableId="802893121">
    <w:abstractNumId w:val="6"/>
  </w:num>
  <w:num w:numId="3" w16cid:durableId="874538197">
    <w:abstractNumId w:val="1"/>
  </w:num>
  <w:num w:numId="4" w16cid:durableId="1864591591">
    <w:abstractNumId w:val="2"/>
  </w:num>
  <w:num w:numId="5" w16cid:durableId="832574242">
    <w:abstractNumId w:val="5"/>
  </w:num>
  <w:num w:numId="6" w16cid:durableId="1391732823">
    <w:abstractNumId w:val="2"/>
    <w:lvlOverride w:ilvl="0">
      <w:startOverride w:val="1"/>
    </w:lvlOverride>
  </w:num>
  <w:num w:numId="7" w16cid:durableId="1671832733">
    <w:abstractNumId w:val="4"/>
  </w:num>
  <w:num w:numId="8" w16cid:durableId="1563059639">
    <w:abstractNumId w:val="8"/>
  </w:num>
  <w:num w:numId="9" w16cid:durableId="1806923883">
    <w:abstractNumId w:val="0"/>
  </w:num>
  <w:num w:numId="10" w16cid:durableId="895776454">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04C16"/>
    <w:rsid w:val="00011177"/>
    <w:rsid w:val="00014814"/>
    <w:rsid w:val="00022033"/>
    <w:rsid w:val="00024522"/>
    <w:rsid w:val="00024B2E"/>
    <w:rsid w:val="00027F4F"/>
    <w:rsid w:val="00030430"/>
    <w:rsid w:val="0003078E"/>
    <w:rsid w:val="00031B89"/>
    <w:rsid w:val="000325A8"/>
    <w:rsid w:val="0003693D"/>
    <w:rsid w:val="0004440F"/>
    <w:rsid w:val="00052C8A"/>
    <w:rsid w:val="000548C8"/>
    <w:rsid w:val="0005504A"/>
    <w:rsid w:val="00055850"/>
    <w:rsid w:val="00064A1B"/>
    <w:rsid w:val="000711F2"/>
    <w:rsid w:val="00075605"/>
    <w:rsid w:val="00075C66"/>
    <w:rsid w:val="00076E2F"/>
    <w:rsid w:val="00080866"/>
    <w:rsid w:val="000817D4"/>
    <w:rsid w:val="00082879"/>
    <w:rsid w:val="00084ABE"/>
    <w:rsid w:val="00091EEA"/>
    <w:rsid w:val="0009225F"/>
    <w:rsid w:val="000A105C"/>
    <w:rsid w:val="000B37F2"/>
    <w:rsid w:val="000C2DDC"/>
    <w:rsid w:val="000C373F"/>
    <w:rsid w:val="000C5F5A"/>
    <w:rsid w:val="000D2FD4"/>
    <w:rsid w:val="000D3232"/>
    <w:rsid w:val="000D4089"/>
    <w:rsid w:val="000F1B7B"/>
    <w:rsid w:val="000F1C1A"/>
    <w:rsid w:val="000F2ED4"/>
    <w:rsid w:val="001028E8"/>
    <w:rsid w:val="00103043"/>
    <w:rsid w:val="00122FCC"/>
    <w:rsid w:val="00124C2B"/>
    <w:rsid w:val="00126752"/>
    <w:rsid w:val="00130B30"/>
    <w:rsid w:val="00140E1C"/>
    <w:rsid w:val="0014170D"/>
    <w:rsid w:val="00147AE4"/>
    <w:rsid w:val="001520EC"/>
    <w:rsid w:val="001571E5"/>
    <w:rsid w:val="001574B0"/>
    <w:rsid w:val="00160DB6"/>
    <w:rsid w:val="00176DB5"/>
    <w:rsid w:val="00177666"/>
    <w:rsid w:val="00177D95"/>
    <w:rsid w:val="001849CA"/>
    <w:rsid w:val="00185410"/>
    <w:rsid w:val="00186D98"/>
    <w:rsid w:val="00192352"/>
    <w:rsid w:val="00194E3D"/>
    <w:rsid w:val="00196ADB"/>
    <w:rsid w:val="001976A7"/>
    <w:rsid w:val="001A1D58"/>
    <w:rsid w:val="001B4D5A"/>
    <w:rsid w:val="001B5A67"/>
    <w:rsid w:val="001C4D63"/>
    <w:rsid w:val="001D0DE0"/>
    <w:rsid w:val="001D5AFF"/>
    <w:rsid w:val="001D74B4"/>
    <w:rsid w:val="001E03E1"/>
    <w:rsid w:val="001E1E40"/>
    <w:rsid w:val="001F059F"/>
    <w:rsid w:val="00200811"/>
    <w:rsid w:val="00200CA1"/>
    <w:rsid w:val="002042C2"/>
    <w:rsid w:val="002049D9"/>
    <w:rsid w:val="002050DA"/>
    <w:rsid w:val="0021338D"/>
    <w:rsid w:val="00214D43"/>
    <w:rsid w:val="00223090"/>
    <w:rsid w:val="002231DD"/>
    <w:rsid w:val="002238B4"/>
    <w:rsid w:val="002255BF"/>
    <w:rsid w:val="002319AB"/>
    <w:rsid w:val="002319AC"/>
    <w:rsid w:val="00234342"/>
    <w:rsid w:val="0024040D"/>
    <w:rsid w:val="00251CD7"/>
    <w:rsid w:val="00255FA3"/>
    <w:rsid w:val="00257288"/>
    <w:rsid w:val="00261FB6"/>
    <w:rsid w:val="002629F8"/>
    <w:rsid w:val="00263396"/>
    <w:rsid w:val="002659FA"/>
    <w:rsid w:val="00265A0A"/>
    <w:rsid w:val="00267815"/>
    <w:rsid w:val="00280DDF"/>
    <w:rsid w:val="00284E52"/>
    <w:rsid w:val="00285046"/>
    <w:rsid w:val="00290B2C"/>
    <w:rsid w:val="002917FF"/>
    <w:rsid w:val="00292ADF"/>
    <w:rsid w:val="00296DBB"/>
    <w:rsid w:val="002A0DEC"/>
    <w:rsid w:val="002A6C64"/>
    <w:rsid w:val="002B1C53"/>
    <w:rsid w:val="002B6666"/>
    <w:rsid w:val="002C6C43"/>
    <w:rsid w:val="002E0BE4"/>
    <w:rsid w:val="002E3B58"/>
    <w:rsid w:val="002E3E8A"/>
    <w:rsid w:val="002E4FD6"/>
    <w:rsid w:val="002E6A6A"/>
    <w:rsid w:val="002E6E13"/>
    <w:rsid w:val="002F15B4"/>
    <w:rsid w:val="002F3397"/>
    <w:rsid w:val="00301C78"/>
    <w:rsid w:val="0030380D"/>
    <w:rsid w:val="00312411"/>
    <w:rsid w:val="00323E71"/>
    <w:rsid w:val="00326F77"/>
    <w:rsid w:val="003401B0"/>
    <w:rsid w:val="00345D54"/>
    <w:rsid w:val="00346C8E"/>
    <w:rsid w:val="00362CA0"/>
    <w:rsid w:val="00365423"/>
    <w:rsid w:val="003664DA"/>
    <w:rsid w:val="00367B30"/>
    <w:rsid w:val="00367BD5"/>
    <w:rsid w:val="00390327"/>
    <w:rsid w:val="00393B78"/>
    <w:rsid w:val="0039695E"/>
    <w:rsid w:val="003A01E9"/>
    <w:rsid w:val="003B0C9A"/>
    <w:rsid w:val="003B1F1A"/>
    <w:rsid w:val="003C0306"/>
    <w:rsid w:val="003C114C"/>
    <w:rsid w:val="003C465D"/>
    <w:rsid w:val="003D0718"/>
    <w:rsid w:val="003D495D"/>
    <w:rsid w:val="003D5793"/>
    <w:rsid w:val="003E022D"/>
    <w:rsid w:val="003E098E"/>
    <w:rsid w:val="003E2FAE"/>
    <w:rsid w:val="003E56EC"/>
    <w:rsid w:val="003E679D"/>
    <w:rsid w:val="003F3BC4"/>
    <w:rsid w:val="00407CF7"/>
    <w:rsid w:val="00415ED6"/>
    <w:rsid w:val="00416ED8"/>
    <w:rsid w:val="00417CAF"/>
    <w:rsid w:val="00420A11"/>
    <w:rsid w:val="00422265"/>
    <w:rsid w:val="004236A7"/>
    <w:rsid w:val="004373A7"/>
    <w:rsid w:val="00437D94"/>
    <w:rsid w:val="0044030C"/>
    <w:rsid w:val="00445483"/>
    <w:rsid w:val="00445B28"/>
    <w:rsid w:val="004605BD"/>
    <w:rsid w:val="0046149C"/>
    <w:rsid w:val="004648A4"/>
    <w:rsid w:val="00471380"/>
    <w:rsid w:val="00494F0D"/>
    <w:rsid w:val="00496BFD"/>
    <w:rsid w:val="004A05BF"/>
    <w:rsid w:val="004A3DF2"/>
    <w:rsid w:val="004B1276"/>
    <w:rsid w:val="004B50A0"/>
    <w:rsid w:val="004B60E6"/>
    <w:rsid w:val="004C361D"/>
    <w:rsid w:val="004C4891"/>
    <w:rsid w:val="004D06A5"/>
    <w:rsid w:val="004D2C89"/>
    <w:rsid w:val="004E3932"/>
    <w:rsid w:val="004E5086"/>
    <w:rsid w:val="004E639A"/>
    <w:rsid w:val="004F1E79"/>
    <w:rsid w:val="004F5F33"/>
    <w:rsid w:val="0050103A"/>
    <w:rsid w:val="0050758C"/>
    <w:rsid w:val="00511B0F"/>
    <w:rsid w:val="00531F3F"/>
    <w:rsid w:val="0054633B"/>
    <w:rsid w:val="0055388E"/>
    <w:rsid w:val="00561108"/>
    <w:rsid w:val="00564E00"/>
    <w:rsid w:val="005754AE"/>
    <w:rsid w:val="00577FB5"/>
    <w:rsid w:val="005852D1"/>
    <w:rsid w:val="00587A22"/>
    <w:rsid w:val="0059299D"/>
    <w:rsid w:val="00595C8C"/>
    <w:rsid w:val="00597747"/>
    <w:rsid w:val="005A49B8"/>
    <w:rsid w:val="005A4CDD"/>
    <w:rsid w:val="005A7C66"/>
    <w:rsid w:val="005B57E4"/>
    <w:rsid w:val="005B5ABD"/>
    <w:rsid w:val="005B5DA6"/>
    <w:rsid w:val="005C140A"/>
    <w:rsid w:val="005C1E52"/>
    <w:rsid w:val="005C3367"/>
    <w:rsid w:val="005C6763"/>
    <w:rsid w:val="005D3164"/>
    <w:rsid w:val="005D5270"/>
    <w:rsid w:val="005E0344"/>
    <w:rsid w:val="005E2A28"/>
    <w:rsid w:val="005E2CE2"/>
    <w:rsid w:val="005E440B"/>
    <w:rsid w:val="005F2C85"/>
    <w:rsid w:val="00604EC0"/>
    <w:rsid w:val="00605ADB"/>
    <w:rsid w:val="00611C9F"/>
    <w:rsid w:val="006248DE"/>
    <w:rsid w:val="00627555"/>
    <w:rsid w:val="006322A0"/>
    <w:rsid w:val="006361FD"/>
    <w:rsid w:val="0064226F"/>
    <w:rsid w:val="00642DDB"/>
    <w:rsid w:val="00653298"/>
    <w:rsid w:val="00663A7C"/>
    <w:rsid w:val="00667DF2"/>
    <w:rsid w:val="00670DF1"/>
    <w:rsid w:val="00671345"/>
    <w:rsid w:val="00672A9B"/>
    <w:rsid w:val="00675884"/>
    <w:rsid w:val="00696EE0"/>
    <w:rsid w:val="00697980"/>
    <w:rsid w:val="006A19EF"/>
    <w:rsid w:val="006A43D5"/>
    <w:rsid w:val="006A525B"/>
    <w:rsid w:val="006B0D5E"/>
    <w:rsid w:val="006C045F"/>
    <w:rsid w:val="006C4196"/>
    <w:rsid w:val="006C51F8"/>
    <w:rsid w:val="006C63B0"/>
    <w:rsid w:val="006C76A2"/>
    <w:rsid w:val="006C792E"/>
    <w:rsid w:val="006D116C"/>
    <w:rsid w:val="006E7C42"/>
    <w:rsid w:val="006F168A"/>
    <w:rsid w:val="006F5076"/>
    <w:rsid w:val="006F6009"/>
    <w:rsid w:val="006F7E5F"/>
    <w:rsid w:val="0070321D"/>
    <w:rsid w:val="007068BA"/>
    <w:rsid w:val="00716AB1"/>
    <w:rsid w:val="00721D63"/>
    <w:rsid w:val="00723B63"/>
    <w:rsid w:val="00724B2B"/>
    <w:rsid w:val="00732C7B"/>
    <w:rsid w:val="00734D2B"/>
    <w:rsid w:val="00737705"/>
    <w:rsid w:val="007408D4"/>
    <w:rsid w:val="007420AC"/>
    <w:rsid w:val="00742617"/>
    <w:rsid w:val="007528EA"/>
    <w:rsid w:val="00764CA7"/>
    <w:rsid w:val="00766908"/>
    <w:rsid w:val="00783AFA"/>
    <w:rsid w:val="00785427"/>
    <w:rsid w:val="00790540"/>
    <w:rsid w:val="007968CA"/>
    <w:rsid w:val="007A1BCC"/>
    <w:rsid w:val="007A43FF"/>
    <w:rsid w:val="007A51B9"/>
    <w:rsid w:val="007A72FA"/>
    <w:rsid w:val="007B3918"/>
    <w:rsid w:val="007C3C1D"/>
    <w:rsid w:val="007D199A"/>
    <w:rsid w:val="007D2924"/>
    <w:rsid w:val="007D2EBE"/>
    <w:rsid w:val="007D7E2A"/>
    <w:rsid w:val="007E1C07"/>
    <w:rsid w:val="007F24B6"/>
    <w:rsid w:val="00800126"/>
    <w:rsid w:val="00803D94"/>
    <w:rsid w:val="00821337"/>
    <w:rsid w:val="008229BA"/>
    <w:rsid w:val="00824151"/>
    <w:rsid w:val="00824A90"/>
    <w:rsid w:val="00825157"/>
    <w:rsid w:val="00827C7C"/>
    <w:rsid w:val="00833317"/>
    <w:rsid w:val="00833D14"/>
    <w:rsid w:val="00845390"/>
    <w:rsid w:val="0084601B"/>
    <w:rsid w:val="00846E51"/>
    <w:rsid w:val="00847AC0"/>
    <w:rsid w:val="008606F0"/>
    <w:rsid w:val="00865489"/>
    <w:rsid w:val="0086553D"/>
    <w:rsid w:val="00874FEB"/>
    <w:rsid w:val="008767C6"/>
    <w:rsid w:val="00881B6F"/>
    <w:rsid w:val="00882AA4"/>
    <w:rsid w:val="00883E22"/>
    <w:rsid w:val="00884E43"/>
    <w:rsid w:val="00887EC6"/>
    <w:rsid w:val="0089084C"/>
    <w:rsid w:val="00893409"/>
    <w:rsid w:val="00893D9F"/>
    <w:rsid w:val="00894510"/>
    <w:rsid w:val="008A2379"/>
    <w:rsid w:val="008A4329"/>
    <w:rsid w:val="008A578E"/>
    <w:rsid w:val="008B015A"/>
    <w:rsid w:val="008B1519"/>
    <w:rsid w:val="008B3834"/>
    <w:rsid w:val="008B401D"/>
    <w:rsid w:val="008B7BCC"/>
    <w:rsid w:val="008C3143"/>
    <w:rsid w:val="008C50C3"/>
    <w:rsid w:val="008C7094"/>
    <w:rsid w:val="008D1E7A"/>
    <w:rsid w:val="008D2B97"/>
    <w:rsid w:val="008D438A"/>
    <w:rsid w:val="008D49A5"/>
    <w:rsid w:val="008D6C81"/>
    <w:rsid w:val="008E6162"/>
    <w:rsid w:val="008E6CF0"/>
    <w:rsid w:val="008F1439"/>
    <w:rsid w:val="008F7051"/>
    <w:rsid w:val="00900ADE"/>
    <w:rsid w:val="009033A9"/>
    <w:rsid w:val="0090581D"/>
    <w:rsid w:val="0091439C"/>
    <w:rsid w:val="00920572"/>
    <w:rsid w:val="00920BF2"/>
    <w:rsid w:val="00924255"/>
    <w:rsid w:val="00930E37"/>
    <w:rsid w:val="009349A9"/>
    <w:rsid w:val="00936C52"/>
    <w:rsid w:val="009436C1"/>
    <w:rsid w:val="0095489B"/>
    <w:rsid w:val="00960B84"/>
    <w:rsid w:val="00960C4C"/>
    <w:rsid w:val="00966FB9"/>
    <w:rsid w:val="009671CD"/>
    <w:rsid w:val="009751A9"/>
    <w:rsid w:val="00980F9C"/>
    <w:rsid w:val="0098632B"/>
    <w:rsid w:val="00997BFB"/>
    <w:rsid w:val="00997EED"/>
    <w:rsid w:val="009A1F9C"/>
    <w:rsid w:val="009A7348"/>
    <w:rsid w:val="009B462C"/>
    <w:rsid w:val="009C15F3"/>
    <w:rsid w:val="009C3689"/>
    <w:rsid w:val="009C7500"/>
    <w:rsid w:val="009E07C2"/>
    <w:rsid w:val="009E0E52"/>
    <w:rsid w:val="009F1755"/>
    <w:rsid w:val="009F72F9"/>
    <w:rsid w:val="009F7A07"/>
    <w:rsid w:val="009F7B1F"/>
    <w:rsid w:val="00A00205"/>
    <w:rsid w:val="00A00AF0"/>
    <w:rsid w:val="00A14B5A"/>
    <w:rsid w:val="00A23816"/>
    <w:rsid w:val="00A3567F"/>
    <w:rsid w:val="00A37698"/>
    <w:rsid w:val="00A41ED3"/>
    <w:rsid w:val="00A473A8"/>
    <w:rsid w:val="00A668A4"/>
    <w:rsid w:val="00A67EFC"/>
    <w:rsid w:val="00A81D82"/>
    <w:rsid w:val="00A82DE9"/>
    <w:rsid w:val="00A86472"/>
    <w:rsid w:val="00A9118F"/>
    <w:rsid w:val="00A93E33"/>
    <w:rsid w:val="00AB0669"/>
    <w:rsid w:val="00AB3129"/>
    <w:rsid w:val="00AB6970"/>
    <w:rsid w:val="00AC1939"/>
    <w:rsid w:val="00AC7C05"/>
    <w:rsid w:val="00AD167C"/>
    <w:rsid w:val="00AD17C7"/>
    <w:rsid w:val="00AD4041"/>
    <w:rsid w:val="00AD411A"/>
    <w:rsid w:val="00AD7587"/>
    <w:rsid w:val="00AE2699"/>
    <w:rsid w:val="00AE302B"/>
    <w:rsid w:val="00B0248D"/>
    <w:rsid w:val="00B024C5"/>
    <w:rsid w:val="00B16BE5"/>
    <w:rsid w:val="00B23A5E"/>
    <w:rsid w:val="00B23D6D"/>
    <w:rsid w:val="00B259DF"/>
    <w:rsid w:val="00B44B1F"/>
    <w:rsid w:val="00B64141"/>
    <w:rsid w:val="00B64E72"/>
    <w:rsid w:val="00B77913"/>
    <w:rsid w:val="00B824FB"/>
    <w:rsid w:val="00B82646"/>
    <w:rsid w:val="00B833B6"/>
    <w:rsid w:val="00B97359"/>
    <w:rsid w:val="00B97A8F"/>
    <w:rsid w:val="00B97C7D"/>
    <w:rsid w:val="00BA18CB"/>
    <w:rsid w:val="00BA4E58"/>
    <w:rsid w:val="00BA7074"/>
    <w:rsid w:val="00BB7829"/>
    <w:rsid w:val="00BC210B"/>
    <w:rsid w:val="00BD1457"/>
    <w:rsid w:val="00BD757B"/>
    <w:rsid w:val="00BE08CE"/>
    <w:rsid w:val="00BE2AD9"/>
    <w:rsid w:val="00BE662E"/>
    <w:rsid w:val="00BF27FE"/>
    <w:rsid w:val="00C043B3"/>
    <w:rsid w:val="00C079AB"/>
    <w:rsid w:val="00C10E61"/>
    <w:rsid w:val="00C14787"/>
    <w:rsid w:val="00C1596D"/>
    <w:rsid w:val="00C15B8D"/>
    <w:rsid w:val="00C17010"/>
    <w:rsid w:val="00C2048F"/>
    <w:rsid w:val="00C20562"/>
    <w:rsid w:val="00C215C3"/>
    <w:rsid w:val="00C23A96"/>
    <w:rsid w:val="00C249C6"/>
    <w:rsid w:val="00C32CC1"/>
    <w:rsid w:val="00C426EC"/>
    <w:rsid w:val="00C575DF"/>
    <w:rsid w:val="00C57E7F"/>
    <w:rsid w:val="00C61C14"/>
    <w:rsid w:val="00C6483C"/>
    <w:rsid w:val="00C64AE9"/>
    <w:rsid w:val="00C70CFF"/>
    <w:rsid w:val="00C718FE"/>
    <w:rsid w:val="00C86CEC"/>
    <w:rsid w:val="00C8773D"/>
    <w:rsid w:val="00C87ABB"/>
    <w:rsid w:val="00C91831"/>
    <w:rsid w:val="00C953DF"/>
    <w:rsid w:val="00C963E6"/>
    <w:rsid w:val="00CA491F"/>
    <w:rsid w:val="00CB2BED"/>
    <w:rsid w:val="00CD0A0B"/>
    <w:rsid w:val="00CD5401"/>
    <w:rsid w:val="00CD7AB0"/>
    <w:rsid w:val="00CE2709"/>
    <w:rsid w:val="00CE2D64"/>
    <w:rsid w:val="00CE6198"/>
    <w:rsid w:val="00CE6CD6"/>
    <w:rsid w:val="00CF16C7"/>
    <w:rsid w:val="00CF6230"/>
    <w:rsid w:val="00D017FC"/>
    <w:rsid w:val="00D0226A"/>
    <w:rsid w:val="00D067DC"/>
    <w:rsid w:val="00D13147"/>
    <w:rsid w:val="00D37079"/>
    <w:rsid w:val="00D463FF"/>
    <w:rsid w:val="00D5715A"/>
    <w:rsid w:val="00D60BCB"/>
    <w:rsid w:val="00D71687"/>
    <w:rsid w:val="00D724D0"/>
    <w:rsid w:val="00D74813"/>
    <w:rsid w:val="00D80A9B"/>
    <w:rsid w:val="00D947AA"/>
    <w:rsid w:val="00D94AE5"/>
    <w:rsid w:val="00DA30BC"/>
    <w:rsid w:val="00DA69C2"/>
    <w:rsid w:val="00DA6D70"/>
    <w:rsid w:val="00DB6050"/>
    <w:rsid w:val="00DC2C34"/>
    <w:rsid w:val="00DC5B12"/>
    <w:rsid w:val="00DD7A46"/>
    <w:rsid w:val="00DE0AAD"/>
    <w:rsid w:val="00DE2C87"/>
    <w:rsid w:val="00DE459A"/>
    <w:rsid w:val="00DE626B"/>
    <w:rsid w:val="00DF27DA"/>
    <w:rsid w:val="00DF4DBE"/>
    <w:rsid w:val="00DF6D59"/>
    <w:rsid w:val="00E11C9D"/>
    <w:rsid w:val="00E213AA"/>
    <w:rsid w:val="00E3449C"/>
    <w:rsid w:val="00E40820"/>
    <w:rsid w:val="00E4658F"/>
    <w:rsid w:val="00E54392"/>
    <w:rsid w:val="00E54A67"/>
    <w:rsid w:val="00E607CD"/>
    <w:rsid w:val="00E61C0D"/>
    <w:rsid w:val="00E63EB4"/>
    <w:rsid w:val="00E66160"/>
    <w:rsid w:val="00E71329"/>
    <w:rsid w:val="00E73109"/>
    <w:rsid w:val="00E74FE0"/>
    <w:rsid w:val="00E816CC"/>
    <w:rsid w:val="00E8363B"/>
    <w:rsid w:val="00E84966"/>
    <w:rsid w:val="00E92383"/>
    <w:rsid w:val="00E97D00"/>
    <w:rsid w:val="00EA1B3A"/>
    <w:rsid w:val="00EA2109"/>
    <w:rsid w:val="00EB057A"/>
    <w:rsid w:val="00EB0AF3"/>
    <w:rsid w:val="00EB3992"/>
    <w:rsid w:val="00EB6ECB"/>
    <w:rsid w:val="00EC64F4"/>
    <w:rsid w:val="00ED34B5"/>
    <w:rsid w:val="00ED4D4E"/>
    <w:rsid w:val="00ED51FA"/>
    <w:rsid w:val="00ED7BF8"/>
    <w:rsid w:val="00EE0C77"/>
    <w:rsid w:val="00EE4E54"/>
    <w:rsid w:val="00EF08CC"/>
    <w:rsid w:val="00EF4334"/>
    <w:rsid w:val="00F20582"/>
    <w:rsid w:val="00F436BB"/>
    <w:rsid w:val="00F47145"/>
    <w:rsid w:val="00F52699"/>
    <w:rsid w:val="00F545BF"/>
    <w:rsid w:val="00F5613B"/>
    <w:rsid w:val="00F71B56"/>
    <w:rsid w:val="00F832C8"/>
    <w:rsid w:val="00F873B3"/>
    <w:rsid w:val="00FA00BE"/>
    <w:rsid w:val="00FA33FE"/>
    <w:rsid w:val="00FA42B9"/>
    <w:rsid w:val="00FA755A"/>
    <w:rsid w:val="00FB2B0F"/>
    <w:rsid w:val="00FB44DB"/>
    <w:rsid w:val="00FB4F6B"/>
    <w:rsid w:val="00FB5FE1"/>
    <w:rsid w:val="00FC0A26"/>
    <w:rsid w:val="00FC0E8D"/>
    <w:rsid w:val="00FC46EF"/>
    <w:rsid w:val="00FD31B3"/>
    <w:rsid w:val="00FD3673"/>
    <w:rsid w:val="00FD4204"/>
    <w:rsid w:val="00FE3C44"/>
    <w:rsid w:val="00FE772F"/>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3"/>
      </w:numPr>
      <w:spacing w:before="240"/>
      <w:ind w:left="851" w:hanging="851"/>
      <w:outlineLvl w:val="0"/>
    </w:pPr>
    <w:rPr>
      <w:color w:val="22413A"/>
      <w:sz w:val="48"/>
    </w:rPr>
  </w:style>
  <w:style w:type="paragraph" w:styleId="Heading2">
    <w:name w:val="heading 2"/>
    <w:basedOn w:val="Normal"/>
    <w:next w:val="Normal"/>
    <w:link w:val="Heading2Char"/>
    <w:qFormat/>
    <w:rsid w:val="002042C2"/>
    <w:pPr>
      <w:keepNext/>
      <w:numPr>
        <w:ilvl w:val="1"/>
        <w:numId w:val="3"/>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2042C2"/>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833D14"/>
    <w:pPr>
      <w:numPr>
        <w:numId w:val="1"/>
      </w:numPr>
      <w:ind w:left="1276"/>
    </w:pPr>
    <w:rPr>
      <w:bCs/>
    </w:rPr>
  </w:style>
  <w:style w:type="paragraph" w:customStyle="1" w:styleId="Bulletlist2">
    <w:name w:val="Bullet list 2"/>
    <w:basedOn w:val="Bulletlist1"/>
    <w:uiPriority w:val="1"/>
    <w:qFormat/>
    <w:rsid w:val="00B23A5E"/>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B23A5E"/>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B23A5E"/>
    <w:pPr>
      <w:numPr>
        <w:numId w:val="5"/>
      </w:numPr>
      <w:ind w:left="1276" w:hanging="283"/>
    </w:pPr>
    <w:rPr>
      <w:rFonts w:asciiTheme="minorHAnsi" w:eastAsiaTheme="minorHAnsi" w:hAnsiTheme="minorHAnsi" w:cstheme="minorBidi"/>
      <w:bCs/>
      <w:lang w:bidi="ar-SA"/>
    </w:rPr>
  </w:style>
  <w:style w:type="paragraph" w:customStyle="1" w:styleId="NumList2">
    <w:name w:val="Num List 2"/>
    <w:basedOn w:val="Normal"/>
    <w:uiPriority w:val="1"/>
    <w:qFormat/>
    <w:rsid w:val="00B23A5E"/>
    <w:pPr>
      <w:numPr>
        <w:ilvl w:val="1"/>
        <w:numId w:val="2"/>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B23A5E"/>
    <w:pPr>
      <w:numPr>
        <w:ilvl w:val="2"/>
      </w:numPr>
      <w:ind w:left="1985"/>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B23A5E"/>
    <w:pPr>
      <w:numPr>
        <w:numId w:val="4"/>
      </w:numPr>
      <w:spacing w:before="240" w:after="120"/>
      <w:ind w:left="851" w:hanging="851"/>
      <w:contextualSpacing w:val="0"/>
    </w:pPr>
  </w:style>
  <w:style w:type="character" w:customStyle="1" w:styleId="F9-ParagraphChar">
    <w:name w:val="F9 - # Paragraph Char"/>
    <w:basedOn w:val="DefaultParagraphFont"/>
    <w:link w:val="F9-Paragraph"/>
    <w:rsid w:val="00B23A5E"/>
    <w:rPr>
      <w:rFonts w:ascii="Arial" w:hAnsi="Arial"/>
      <w:sz w:val="24"/>
      <w:szCs w:val="22"/>
      <w:lang w:eastAsia="en-US" w:bidi="he-IL"/>
    </w:rPr>
  </w:style>
  <w:style w:type="paragraph" w:styleId="NormalWeb">
    <w:name w:val="Normal (Web)"/>
    <w:basedOn w:val="Normal"/>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qFormat/>
    <w:rsid w:val="00FA00BE"/>
    <w:rPr>
      <w:b/>
      <w:bCs/>
    </w:rPr>
  </w:style>
  <w:style w:type="paragraph" w:customStyle="1" w:styleId="NumberedParagraph">
    <w:name w:val="Numbered Paragraph"/>
    <w:basedOn w:val="Normal"/>
    <w:qFormat/>
    <w:rsid w:val="00FC0A26"/>
    <w:pPr>
      <w:numPr>
        <w:ilvl w:val="1"/>
        <w:numId w:val="8"/>
      </w:numPr>
      <w:spacing w:before="240" w:after="120" w:line="240" w:lineRule="auto"/>
    </w:pPr>
    <w:rPr>
      <w:rFonts w:eastAsia="Times New Roman"/>
      <w:szCs w:val="24"/>
      <w:lang w:bidi="ar-SA"/>
    </w:rPr>
  </w:style>
  <w:style w:type="paragraph" w:styleId="CommentSubject">
    <w:name w:val="annotation subject"/>
    <w:basedOn w:val="CommentText"/>
    <w:next w:val="CommentText"/>
    <w:link w:val="CommentSubjectChar"/>
    <w:uiPriority w:val="99"/>
    <w:semiHidden/>
    <w:unhideWhenUsed/>
    <w:rsid w:val="00FC0A26"/>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C0A26"/>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5550">
      <w:bodyDiv w:val="1"/>
      <w:marLeft w:val="0"/>
      <w:marRight w:val="0"/>
      <w:marTop w:val="0"/>
      <w:marBottom w:val="0"/>
      <w:divBdr>
        <w:top w:val="none" w:sz="0" w:space="0" w:color="auto"/>
        <w:left w:val="none" w:sz="0" w:space="0" w:color="auto"/>
        <w:bottom w:val="none" w:sz="0" w:space="0" w:color="auto"/>
        <w:right w:val="none" w:sz="0" w:space="0" w:color="auto"/>
      </w:divBdr>
    </w:div>
    <w:div w:id="15619726">
      <w:bodyDiv w:val="1"/>
      <w:marLeft w:val="0"/>
      <w:marRight w:val="0"/>
      <w:marTop w:val="0"/>
      <w:marBottom w:val="0"/>
      <w:divBdr>
        <w:top w:val="none" w:sz="0" w:space="0" w:color="auto"/>
        <w:left w:val="none" w:sz="0" w:space="0" w:color="auto"/>
        <w:bottom w:val="none" w:sz="0" w:space="0" w:color="auto"/>
        <w:right w:val="none" w:sz="0" w:space="0" w:color="auto"/>
      </w:divBdr>
    </w:div>
    <w:div w:id="16544741">
      <w:bodyDiv w:val="1"/>
      <w:marLeft w:val="0"/>
      <w:marRight w:val="0"/>
      <w:marTop w:val="0"/>
      <w:marBottom w:val="0"/>
      <w:divBdr>
        <w:top w:val="none" w:sz="0" w:space="0" w:color="auto"/>
        <w:left w:val="none" w:sz="0" w:space="0" w:color="auto"/>
        <w:bottom w:val="none" w:sz="0" w:space="0" w:color="auto"/>
        <w:right w:val="none" w:sz="0" w:space="0" w:color="auto"/>
      </w:divBdr>
    </w:div>
    <w:div w:id="19207300">
      <w:bodyDiv w:val="1"/>
      <w:marLeft w:val="0"/>
      <w:marRight w:val="0"/>
      <w:marTop w:val="0"/>
      <w:marBottom w:val="0"/>
      <w:divBdr>
        <w:top w:val="none" w:sz="0" w:space="0" w:color="auto"/>
        <w:left w:val="none" w:sz="0" w:space="0" w:color="auto"/>
        <w:bottom w:val="none" w:sz="0" w:space="0" w:color="auto"/>
        <w:right w:val="none" w:sz="0" w:space="0" w:color="auto"/>
      </w:divBdr>
    </w:div>
    <w:div w:id="21327979">
      <w:bodyDiv w:val="1"/>
      <w:marLeft w:val="0"/>
      <w:marRight w:val="0"/>
      <w:marTop w:val="0"/>
      <w:marBottom w:val="0"/>
      <w:divBdr>
        <w:top w:val="none" w:sz="0" w:space="0" w:color="auto"/>
        <w:left w:val="none" w:sz="0" w:space="0" w:color="auto"/>
        <w:bottom w:val="none" w:sz="0" w:space="0" w:color="auto"/>
        <w:right w:val="none" w:sz="0" w:space="0" w:color="auto"/>
      </w:divBdr>
    </w:div>
    <w:div w:id="32848463">
      <w:bodyDiv w:val="1"/>
      <w:marLeft w:val="0"/>
      <w:marRight w:val="0"/>
      <w:marTop w:val="0"/>
      <w:marBottom w:val="0"/>
      <w:divBdr>
        <w:top w:val="none" w:sz="0" w:space="0" w:color="auto"/>
        <w:left w:val="none" w:sz="0" w:space="0" w:color="auto"/>
        <w:bottom w:val="none" w:sz="0" w:space="0" w:color="auto"/>
        <w:right w:val="none" w:sz="0" w:space="0" w:color="auto"/>
      </w:divBdr>
    </w:div>
    <w:div w:id="36469410">
      <w:bodyDiv w:val="1"/>
      <w:marLeft w:val="0"/>
      <w:marRight w:val="0"/>
      <w:marTop w:val="0"/>
      <w:marBottom w:val="0"/>
      <w:divBdr>
        <w:top w:val="none" w:sz="0" w:space="0" w:color="auto"/>
        <w:left w:val="none" w:sz="0" w:space="0" w:color="auto"/>
        <w:bottom w:val="none" w:sz="0" w:space="0" w:color="auto"/>
        <w:right w:val="none" w:sz="0" w:space="0" w:color="auto"/>
      </w:divBdr>
    </w:div>
    <w:div w:id="47070454">
      <w:bodyDiv w:val="1"/>
      <w:marLeft w:val="0"/>
      <w:marRight w:val="0"/>
      <w:marTop w:val="0"/>
      <w:marBottom w:val="0"/>
      <w:divBdr>
        <w:top w:val="none" w:sz="0" w:space="0" w:color="auto"/>
        <w:left w:val="none" w:sz="0" w:space="0" w:color="auto"/>
        <w:bottom w:val="none" w:sz="0" w:space="0" w:color="auto"/>
        <w:right w:val="none" w:sz="0" w:space="0" w:color="auto"/>
      </w:divBdr>
    </w:div>
    <w:div w:id="71395315">
      <w:bodyDiv w:val="1"/>
      <w:marLeft w:val="0"/>
      <w:marRight w:val="0"/>
      <w:marTop w:val="0"/>
      <w:marBottom w:val="0"/>
      <w:divBdr>
        <w:top w:val="none" w:sz="0" w:space="0" w:color="auto"/>
        <w:left w:val="none" w:sz="0" w:space="0" w:color="auto"/>
        <w:bottom w:val="none" w:sz="0" w:space="0" w:color="auto"/>
        <w:right w:val="none" w:sz="0" w:space="0" w:color="auto"/>
      </w:divBdr>
    </w:div>
    <w:div w:id="84691266">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2363171">
      <w:bodyDiv w:val="1"/>
      <w:marLeft w:val="0"/>
      <w:marRight w:val="0"/>
      <w:marTop w:val="0"/>
      <w:marBottom w:val="0"/>
      <w:divBdr>
        <w:top w:val="none" w:sz="0" w:space="0" w:color="auto"/>
        <w:left w:val="none" w:sz="0" w:space="0" w:color="auto"/>
        <w:bottom w:val="none" w:sz="0" w:space="0" w:color="auto"/>
        <w:right w:val="none" w:sz="0" w:space="0" w:color="auto"/>
      </w:divBdr>
    </w:div>
    <w:div w:id="116992957">
      <w:bodyDiv w:val="1"/>
      <w:marLeft w:val="0"/>
      <w:marRight w:val="0"/>
      <w:marTop w:val="0"/>
      <w:marBottom w:val="0"/>
      <w:divBdr>
        <w:top w:val="none" w:sz="0" w:space="0" w:color="auto"/>
        <w:left w:val="none" w:sz="0" w:space="0" w:color="auto"/>
        <w:bottom w:val="none" w:sz="0" w:space="0" w:color="auto"/>
        <w:right w:val="none" w:sz="0" w:space="0" w:color="auto"/>
      </w:divBdr>
    </w:div>
    <w:div w:id="136343387">
      <w:bodyDiv w:val="1"/>
      <w:marLeft w:val="0"/>
      <w:marRight w:val="0"/>
      <w:marTop w:val="0"/>
      <w:marBottom w:val="0"/>
      <w:divBdr>
        <w:top w:val="none" w:sz="0" w:space="0" w:color="auto"/>
        <w:left w:val="none" w:sz="0" w:space="0" w:color="auto"/>
        <w:bottom w:val="none" w:sz="0" w:space="0" w:color="auto"/>
        <w:right w:val="none" w:sz="0" w:space="0" w:color="auto"/>
      </w:divBdr>
    </w:div>
    <w:div w:id="157884174">
      <w:bodyDiv w:val="1"/>
      <w:marLeft w:val="0"/>
      <w:marRight w:val="0"/>
      <w:marTop w:val="0"/>
      <w:marBottom w:val="0"/>
      <w:divBdr>
        <w:top w:val="none" w:sz="0" w:space="0" w:color="auto"/>
        <w:left w:val="none" w:sz="0" w:space="0" w:color="auto"/>
        <w:bottom w:val="none" w:sz="0" w:space="0" w:color="auto"/>
        <w:right w:val="none" w:sz="0" w:space="0" w:color="auto"/>
      </w:divBdr>
    </w:div>
    <w:div w:id="168369148">
      <w:bodyDiv w:val="1"/>
      <w:marLeft w:val="0"/>
      <w:marRight w:val="0"/>
      <w:marTop w:val="0"/>
      <w:marBottom w:val="0"/>
      <w:divBdr>
        <w:top w:val="none" w:sz="0" w:space="0" w:color="auto"/>
        <w:left w:val="none" w:sz="0" w:space="0" w:color="auto"/>
        <w:bottom w:val="none" w:sz="0" w:space="0" w:color="auto"/>
        <w:right w:val="none" w:sz="0" w:space="0" w:color="auto"/>
      </w:divBdr>
    </w:div>
    <w:div w:id="179244184">
      <w:bodyDiv w:val="1"/>
      <w:marLeft w:val="0"/>
      <w:marRight w:val="0"/>
      <w:marTop w:val="0"/>
      <w:marBottom w:val="0"/>
      <w:divBdr>
        <w:top w:val="none" w:sz="0" w:space="0" w:color="auto"/>
        <w:left w:val="none" w:sz="0" w:space="0" w:color="auto"/>
        <w:bottom w:val="none" w:sz="0" w:space="0" w:color="auto"/>
        <w:right w:val="none" w:sz="0" w:space="0" w:color="auto"/>
      </w:divBdr>
    </w:div>
    <w:div w:id="187373132">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2711609">
      <w:bodyDiv w:val="1"/>
      <w:marLeft w:val="0"/>
      <w:marRight w:val="0"/>
      <w:marTop w:val="0"/>
      <w:marBottom w:val="0"/>
      <w:divBdr>
        <w:top w:val="none" w:sz="0" w:space="0" w:color="auto"/>
        <w:left w:val="none" w:sz="0" w:space="0" w:color="auto"/>
        <w:bottom w:val="none" w:sz="0" w:space="0" w:color="auto"/>
        <w:right w:val="none" w:sz="0" w:space="0" w:color="auto"/>
      </w:divBdr>
    </w:div>
    <w:div w:id="208341534">
      <w:bodyDiv w:val="1"/>
      <w:marLeft w:val="0"/>
      <w:marRight w:val="0"/>
      <w:marTop w:val="0"/>
      <w:marBottom w:val="0"/>
      <w:divBdr>
        <w:top w:val="none" w:sz="0" w:space="0" w:color="auto"/>
        <w:left w:val="none" w:sz="0" w:space="0" w:color="auto"/>
        <w:bottom w:val="none" w:sz="0" w:space="0" w:color="auto"/>
        <w:right w:val="none" w:sz="0" w:space="0" w:color="auto"/>
      </w:divBdr>
    </w:div>
    <w:div w:id="276377889">
      <w:bodyDiv w:val="1"/>
      <w:marLeft w:val="0"/>
      <w:marRight w:val="0"/>
      <w:marTop w:val="0"/>
      <w:marBottom w:val="0"/>
      <w:divBdr>
        <w:top w:val="none" w:sz="0" w:space="0" w:color="auto"/>
        <w:left w:val="none" w:sz="0" w:space="0" w:color="auto"/>
        <w:bottom w:val="none" w:sz="0" w:space="0" w:color="auto"/>
        <w:right w:val="none" w:sz="0" w:space="0" w:color="auto"/>
      </w:divBdr>
    </w:div>
    <w:div w:id="298999954">
      <w:bodyDiv w:val="1"/>
      <w:marLeft w:val="0"/>
      <w:marRight w:val="0"/>
      <w:marTop w:val="0"/>
      <w:marBottom w:val="0"/>
      <w:divBdr>
        <w:top w:val="none" w:sz="0" w:space="0" w:color="auto"/>
        <w:left w:val="none" w:sz="0" w:space="0" w:color="auto"/>
        <w:bottom w:val="none" w:sz="0" w:space="0" w:color="auto"/>
        <w:right w:val="none" w:sz="0" w:space="0" w:color="auto"/>
      </w:divBdr>
    </w:div>
    <w:div w:id="307170660">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6388188">
      <w:bodyDiv w:val="1"/>
      <w:marLeft w:val="0"/>
      <w:marRight w:val="0"/>
      <w:marTop w:val="0"/>
      <w:marBottom w:val="0"/>
      <w:divBdr>
        <w:top w:val="none" w:sz="0" w:space="0" w:color="auto"/>
        <w:left w:val="none" w:sz="0" w:space="0" w:color="auto"/>
        <w:bottom w:val="none" w:sz="0" w:space="0" w:color="auto"/>
        <w:right w:val="none" w:sz="0" w:space="0" w:color="auto"/>
      </w:divBdr>
    </w:div>
    <w:div w:id="357394295">
      <w:bodyDiv w:val="1"/>
      <w:marLeft w:val="0"/>
      <w:marRight w:val="0"/>
      <w:marTop w:val="0"/>
      <w:marBottom w:val="0"/>
      <w:divBdr>
        <w:top w:val="none" w:sz="0" w:space="0" w:color="auto"/>
        <w:left w:val="none" w:sz="0" w:space="0" w:color="auto"/>
        <w:bottom w:val="none" w:sz="0" w:space="0" w:color="auto"/>
        <w:right w:val="none" w:sz="0" w:space="0" w:color="auto"/>
      </w:divBdr>
    </w:div>
    <w:div w:id="371612186">
      <w:bodyDiv w:val="1"/>
      <w:marLeft w:val="0"/>
      <w:marRight w:val="0"/>
      <w:marTop w:val="0"/>
      <w:marBottom w:val="0"/>
      <w:divBdr>
        <w:top w:val="none" w:sz="0" w:space="0" w:color="auto"/>
        <w:left w:val="none" w:sz="0" w:space="0" w:color="auto"/>
        <w:bottom w:val="none" w:sz="0" w:space="0" w:color="auto"/>
        <w:right w:val="none" w:sz="0" w:space="0" w:color="auto"/>
      </w:divBdr>
    </w:div>
    <w:div w:id="374046328">
      <w:bodyDiv w:val="1"/>
      <w:marLeft w:val="0"/>
      <w:marRight w:val="0"/>
      <w:marTop w:val="0"/>
      <w:marBottom w:val="0"/>
      <w:divBdr>
        <w:top w:val="none" w:sz="0" w:space="0" w:color="auto"/>
        <w:left w:val="none" w:sz="0" w:space="0" w:color="auto"/>
        <w:bottom w:val="none" w:sz="0" w:space="0" w:color="auto"/>
        <w:right w:val="none" w:sz="0" w:space="0" w:color="auto"/>
      </w:divBdr>
    </w:div>
    <w:div w:id="374933390">
      <w:bodyDiv w:val="1"/>
      <w:marLeft w:val="0"/>
      <w:marRight w:val="0"/>
      <w:marTop w:val="0"/>
      <w:marBottom w:val="0"/>
      <w:divBdr>
        <w:top w:val="none" w:sz="0" w:space="0" w:color="auto"/>
        <w:left w:val="none" w:sz="0" w:space="0" w:color="auto"/>
        <w:bottom w:val="none" w:sz="0" w:space="0" w:color="auto"/>
        <w:right w:val="none" w:sz="0" w:space="0" w:color="auto"/>
      </w:divBdr>
    </w:div>
    <w:div w:id="388116472">
      <w:bodyDiv w:val="1"/>
      <w:marLeft w:val="0"/>
      <w:marRight w:val="0"/>
      <w:marTop w:val="0"/>
      <w:marBottom w:val="0"/>
      <w:divBdr>
        <w:top w:val="none" w:sz="0" w:space="0" w:color="auto"/>
        <w:left w:val="none" w:sz="0" w:space="0" w:color="auto"/>
        <w:bottom w:val="none" w:sz="0" w:space="0" w:color="auto"/>
        <w:right w:val="none" w:sz="0" w:space="0" w:color="auto"/>
      </w:divBdr>
    </w:div>
    <w:div w:id="402679461">
      <w:bodyDiv w:val="1"/>
      <w:marLeft w:val="0"/>
      <w:marRight w:val="0"/>
      <w:marTop w:val="0"/>
      <w:marBottom w:val="0"/>
      <w:divBdr>
        <w:top w:val="none" w:sz="0" w:space="0" w:color="auto"/>
        <w:left w:val="none" w:sz="0" w:space="0" w:color="auto"/>
        <w:bottom w:val="none" w:sz="0" w:space="0" w:color="auto"/>
        <w:right w:val="none" w:sz="0" w:space="0" w:color="auto"/>
      </w:divBdr>
    </w:div>
    <w:div w:id="405032122">
      <w:bodyDiv w:val="1"/>
      <w:marLeft w:val="0"/>
      <w:marRight w:val="0"/>
      <w:marTop w:val="0"/>
      <w:marBottom w:val="0"/>
      <w:divBdr>
        <w:top w:val="none" w:sz="0" w:space="0" w:color="auto"/>
        <w:left w:val="none" w:sz="0" w:space="0" w:color="auto"/>
        <w:bottom w:val="none" w:sz="0" w:space="0" w:color="auto"/>
        <w:right w:val="none" w:sz="0" w:space="0" w:color="auto"/>
      </w:divBdr>
    </w:div>
    <w:div w:id="414210981">
      <w:bodyDiv w:val="1"/>
      <w:marLeft w:val="0"/>
      <w:marRight w:val="0"/>
      <w:marTop w:val="0"/>
      <w:marBottom w:val="0"/>
      <w:divBdr>
        <w:top w:val="none" w:sz="0" w:space="0" w:color="auto"/>
        <w:left w:val="none" w:sz="0" w:space="0" w:color="auto"/>
        <w:bottom w:val="none" w:sz="0" w:space="0" w:color="auto"/>
        <w:right w:val="none" w:sz="0" w:space="0" w:color="auto"/>
      </w:divBdr>
    </w:div>
    <w:div w:id="417988840">
      <w:bodyDiv w:val="1"/>
      <w:marLeft w:val="0"/>
      <w:marRight w:val="0"/>
      <w:marTop w:val="0"/>
      <w:marBottom w:val="0"/>
      <w:divBdr>
        <w:top w:val="none" w:sz="0" w:space="0" w:color="auto"/>
        <w:left w:val="none" w:sz="0" w:space="0" w:color="auto"/>
        <w:bottom w:val="none" w:sz="0" w:space="0" w:color="auto"/>
        <w:right w:val="none" w:sz="0" w:space="0" w:color="auto"/>
      </w:divBdr>
    </w:div>
    <w:div w:id="419450527">
      <w:bodyDiv w:val="1"/>
      <w:marLeft w:val="0"/>
      <w:marRight w:val="0"/>
      <w:marTop w:val="0"/>
      <w:marBottom w:val="0"/>
      <w:divBdr>
        <w:top w:val="none" w:sz="0" w:space="0" w:color="auto"/>
        <w:left w:val="none" w:sz="0" w:space="0" w:color="auto"/>
        <w:bottom w:val="none" w:sz="0" w:space="0" w:color="auto"/>
        <w:right w:val="none" w:sz="0" w:space="0" w:color="auto"/>
      </w:divBdr>
    </w:div>
    <w:div w:id="420496031">
      <w:bodyDiv w:val="1"/>
      <w:marLeft w:val="0"/>
      <w:marRight w:val="0"/>
      <w:marTop w:val="0"/>
      <w:marBottom w:val="0"/>
      <w:divBdr>
        <w:top w:val="none" w:sz="0" w:space="0" w:color="auto"/>
        <w:left w:val="none" w:sz="0" w:space="0" w:color="auto"/>
        <w:bottom w:val="none" w:sz="0" w:space="0" w:color="auto"/>
        <w:right w:val="none" w:sz="0" w:space="0" w:color="auto"/>
      </w:divBdr>
    </w:div>
    <w:div w:id="423495186">
      <w:bodyDiv w:val="1"/>
      <w:marLeft w:val="0"/>
      <w:marRight w:val="0"/>
      <w:marTop w:val="0"/>
      <w:marBottom w:val="0"/>
      <w:divBdr>
        <w:top w:val="none" w:sz="0" w:space="0" w:color="auto"/>
        <w:left w:val="none" w:sz="0" w:space="0" w:color="auto"/>
        <w:bottom w:val="none" w:sz="0" w:space="0" w:color="auto"/>
        <w:right w:val="none" w:sz="0" w:space="0" w:color="auto"/>
      </w:divBdr>
    </w:div>
    <w:div w:id="423503295">
      <w:bodyDiv w:val="1"/>
      <w:marLeft w:val="0"/>
      <w:marRight w:val="0"/>
      <w:marTop w:val="0"/>
      <w:marBottom w:val="0"/>
      <w:divBdr>
        <w:top w:val="none" w:sz="0" w:space="0" w:color="auto"/>
        <w:left w:val="none" w:sz="0" w:space="0" w:color="auto"/>
        <w:bottom w:val="none" w:sz="0" w:space="0" w:color="auto"/>
        <w:right w:val="none" w:sz="0" w:space="0" w:color="auto"/>
      </w:divBdr>
    </w:div>
    <w:div w:id="438911047">
      <w:bodyDiv w:val="1"/>
      <w:marLeft w:val="0"/>
      <w:marRight w:val="0"/>
      <w:marTop w:val="0"/>
      <w:marBottom w:val="0"/>
      <w:divBdr>
        <w:top w:val="none" w:sz="0" w:space="0" w:color="auto"/>
        <w:left w:val="none" w:sz="0" w:space="0" w:color="auto"/>
        <w:bottom w:val="none" w:sz="0" w:space="0" w:color="auto"/>
        <w:right w:val="none" w:sz="0" w:space="0" w:color="auto"/>
      </w:divBdr>
    </w:div>
    <w:div w:id="456604848">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3817011">
      <w:bodyDiv w:val="1"/>
      <w:marLeft w:val="0"/>
      <w:marRight w:val="0"/>
      <w:marTop w:val="0"/>
      <w:marBottom w:val="0"/>
      <w:divBdr>
        <w:top w:val="none" w:sz="0" w:space="0" w:color="auto"/>
        <w:left w:val="none" w:sz="0" w:space="0" w:color="auto"/>
        <w:bottom w:val="none" w:sz="0" w:space="0" w:color="auto"/>
        <w:right w:val="none" w:sz="0" w:space="0" w:color="auto"/>
      </w:divBdr>
    </w:div>
    <w:div w:id="464737433">
      <w:bodyDiv w:val="1"/>
      <w:marLeft w:val="0"/>
      <w:marRight w:val="0"/>
      <w:marTop w:val="0"/>
      <w:marBottom w:val="0"/>
      <w:divBdr>
        <w:top w:val="none" w:sz="0" w:space="0" w:color="auto"/>
        <w:left w:val="none" w:sz="0" w:space="0" w:color="auto"/>
        <w:bottom w:val="none" w:sz="0" w:space="0" w:color="auto"/>
        <w:right w:val="none" w:sz="0" w:space="0" w:color="auto"/>
      </w:divBdr>
    </w:div>
    <w:div w:id="472334404">
      <w:bodyDiv w:val="1"/>
      <w:marLeft w:val="0"/>
      <w:marRight w:val="0"/>
      <w:marTop w:val="0"/>
      <w:marBottom w:val="0"/>
      <w:divBdr>
        <w:top w:val="none" w:sz="0" w:space="0" w:color="auto"/>
        <w:left w:val="none" w:sz="0" w:space="0" w:color="auto"/>
        <w:bottom w:val="none" w:sz="0" w:space="0" w:color="auto"/>
        <w:right w:val="none" w:sz="0" w:space="0" w:color="auto"/>
      </w:divBdr>
    </w:div>
    <w:div w:id="487018405">
      <w:bodyDiv w:val="1"/>
      <w:marLeft w:val="0"/>
      <w:marRight w:val="0"/>
      <w:marTop w:val="0"/>
      <w:marBottom w:val="0"/>
      <w:divBdr>
        <w:top w:val="none" w:sz="0" w:space="0" w:color="auto"/>
        <w:left w:val="none" w:sz="0" w:space="0" w:color="auto"/>
        <w:bottom w:val="none" w:sz="0" w:space="0" w:color="auto"/>
        <w:right w:val="none" w:sz="0" w:space="0" w:color="auto"/>
      </w:divBdr>
    </w:div>
    <w:div w:id="488980662">
      <w:bodyDiv w:val="1"/>
      <w:marLeft w:val="0"/>
      <w:marRight w:val="0"/>
      <w:marTop w:val="0"/>
      <w:marBottom w:val="0"/>
      <w:divBdr>
        <w:top w:val="none" w:sz="0" w:space="0" w:color="auto"/>
        <w:left w:val="none" w:sz="0" w:space="0" w:color="auto"/>
        <w:bottom w:val="none" w:sz="0" w:space="0" w:color="auto"/>
        <w:right w:val="none" w:sz="0" w:space="0" w:color="auto"/>
      </w:divBdr>
    </w:div>
    <w:div w:id="494339861">
      <w:bodyDiv w:val="1"/>
      <w:marLeft w:val="0"/>
      <w:marRight w:val="0"/>
      <w:marTop w:val="0"/>
      <w:marBottom w:val="0"/>
      <w:divBdr>
        <w:top w:val="none" w:sz="0" w:space="0" w:color="auto"/>
        <w:left w:val="none" w:sz="0" w:space="0" w:color="auto"/>
        <w:bottom w:val="none" w:sz="0" w:space="0" w:color="auto"/>
        <w:right w:val="none" w:sz="0" w:space="0" w:color="auto"/>
      </w:divBdr>
    </w:div>
    <w:div w:id="513805204">
      <w:bodyDiv w:val="1"/>
      <w:marLeft w:val="0"/>
      <w:marRight w:val="0"/>
      <w:marTop w:val="0"/>
      <w:marBottom w:val="0"/>
      <w:divBdr>
        <w:top w:val="none" w:sz="0" w:space="0" w:color="auto"/>
        <w:left w:val="none" w:sz="0" w:space="0" w:color="auto"/>
        <w:bottom w:val="none" w:sz="0" w:space="0" w:color="auto"/>
        <w:right w:val="none" w:sz="0" w:space="0" w:color="auto"/>
      </w:divBdr>
    </w:div>
    <w:div w:id="516625514">
      <w:bodyDiv w:val="1"/>
      <w:marLeft w:val="0"/>
      <w:marRight w:val="0"/>
      <w:marTop w:val="0"/>
      <w:marBottom w:val="0"/>
      <w:divBdr>
        <w:top w:val="none" w:sz="0" w:space="0" w:color="auto"/>
        <w:left w:val="none" w:sz="0" w:space="0" w:color="auto"/>
        <w:bottom w:val="none" w:sz="0" w:space="0" w:color="auto"/>
        <w:right w:val="none" w:sz="0" w:space="0" w:color="auto"/>
      </w:divBdr>
    </w:div>
    <w:div w:id="519319177">
      <w:bodyDiv w:val="1"/>
      <w:marLeft w:val="0"/>
      <w:marRight w:val="0"/>
      <w:marTop w:val="0"/>
      <w:marBottom w:val="0"/>
      <w:divBdr>
        <w:top w:val="none" w:sz="0" w:space="0" w:color="auto"/>
        <w:left w:val="none" w:sz="0" w:space="0" w:color="auto"/>
        <w:bottom w:val="none" w:sz="0" w:space="0" w:color="auto"/>
        <w:right w:val="none" w:sz="0" w:space="0" w:color="auto"/>
      </w:divBdr>
    </w:div>
    <w:div w:id="524172392">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4998220">
      <w:bodyDiv w:val="1"/>
      <w:marLeft w:val="0"/>
      <w:marRight w:val="0"/>
      <w:marTop w:val="0"/>
      <w:marBottom w:val="0"/>
      <w:divBdr>
        <w:top w:val="none" w:sz="0" w:space="0" w:color="auto"/>
        <w:left w:val="none" w:sz="0" w:space="0" w:color="auto"/>
        <w:bottom w:val="none" w:sz="0" w:space="0" w:color="auto"/>
        <w:right w:val="none" w:sz="0" w:space="0" w:color="auto"/>
      </w:divBdr>
    </w:div>
    <w:div w:id="537817471">
      <w:bodyDiv w:val="1"/>
      <w:marLeft w:val="0"/>
      <w:marRight w:val="0"/>
      <w:marTop w:val="0"/>
      <w:marBottom w:val="0"/>
      <w:divBdr>
        <w:top w:val="none" w:sz="0" w:space="0" w:color="auto"/>
        <w:left w:val="none" w:sz="0" w:space="0" w:color="auto"/>
        <w:bottom w:val="none" w:sz="0" w:space="0" w:color="auto"/>
        <w:right w:val="none" w:sz="0" w:space="0" w:color="auto"/>
      </w:divBdr>
    </w:div>
    <w:div w:id="549536506">
      <w:bodyDiv w:val="1"/>
      <w:marLeft w:val="0"/>
      <w:marRight w:val="0"/>
      <w:marTop w:val="0"/>
      <w:marBottom w:val="0"/>
      <w:divBdr>
        <w:top w:val="none" w:sz="0" w:space="0" w:color="auto"/>
        <w:left w:val="none" w:sz="0" w:space="0" w:color="auto"/>
        <w:bottom w:val="none" w:sz="0" w:space="0" w:color="auto"/>
        <w:right w:val="none" w:sz="0" w:space="0" w:color="auto"/>
      </w:divBdr>
    </w:div>
    <w:div w:id="549653724">
      <w:bodyDiv w:val="1"/>
      <w:marLeft w:val="0"/>
      <w:marRight w:val="0"/>
      <w:marTop w:val="0"/>
      <w:marBottom w:val="0"/>
      <w:divBdr>
        <w:top w:val="none" w:sz="0" w:space="0" w:color="auto"/>
        <w:left w:val="none" w:sz="0" w:space="0" w:color="auto"/>
        <w:bottom w:val="none" w:sz="0" w:space="0" w:color="auto"/>
        <w:right w:val="none" w:sz="0" w:space="0" w:color="auto"/>
      </w:divBdr>
    </w:div>
    <w:div w:id="555943359">
      <w:bodyDiv w:val="1"/>
      <w:marLeft w:val="0"/>
      <w:marRight w:val="0"/>
      <w:marTop w:val="0"/>
      <w:marBottom w:val="0"/>
      <w:divBdr>
        <w:top w:val="none" w:sz="0" w:space="0" w:color="auto"/>
        <w:left w:val="none" w:sz="0" w:space="0" w:color="auto"/>
        <w:bottom w:val="none" w:sz="0" w:space="0" w:color="auto"/>
        <w:right w:val="none" w:sz="0" w:space="0" w:color="auto"/>
      </w:divBdr>
    </w:div>
    <w:div w:id="596475864">
      <w:bodyDiv w:val="1"/>
      <w:marLeft w:val="0"/>
      <w:marRight w:val="0"/>
      <w:marTop w:val="0"/>
      <w:marBottom w:val="0"/>
      <w:divBdr>
        <w:top w:val="none" w:sz="0" w:space="0" w:color="auto"/>
        <w:left w:val="none" w:sz="0" w:space="0" w:color="auto"/>
        <w:bottom w:val="none" w:sz="0" w:space="0" w:color="auto"/>
        <w:right w:val="none" w:sz="0" w:space="0" w:color="auto"/>
      </w:divBdr>
    </w:div>
    <w:div w:id="602029027">
      <w:bodyDiv w:val="1"/>
      <w:marLeft w:val="0"/>
      <w:marRight w:val="0"/>
      <w:marTop w:val="0"/>
      <w:marBottom w:val="0"/>
      <w:divBdr>
        <w:top w:val="none" w:sz="0" w:space="0" w:color="auto"/>
        <w:left w:val="none" w:sz="0" w:space="0" w:color="auto"/>
        <w:bottom w:val="none" w:sz="0" w:space="0" w:color="auto"/>
        <w:right w:val="none" w:sz="0" w:space="0" w:color="auto"/>
      </w:divBdr>
    </w:div>
    <w:div w:id="617369149">
      <w:bodyDiv w:val="1"/>
      <w:marLeft w:val="0"/>
      <w:marRight w:val="0"/>
      <w:marTop w:val="0"/>
      <w:marBottom w:val="0"/>
      <w:divBdr>
        <w:top w:val="none" w:sz="0" w:space="0" w:color="auto"/>
        <w:left w:val="none" w:sz="0" w:space="0" w:color="auto"/>
        <w:bottom w:val="none" w:sz="0" w:space="0" w:color="auto"/>
        <w:right w:val="none" w:sz="0" w:space="0" w:color="auto"/>
      </w:divBdr>
    </w:div>
    <w:div w:id="641813453">
      <w:bodyDiv w:val="1"/>
      <w:marLeft w:val="0"/>
      <w:marRight w:val="0"/>
      <w:marTop w:val="0"/>
      <w:marBottom w:val="0"/>
      <w:divBdr>
        <w:top w:val="none" w:sz="0" w:space="0" w:color="auto"/>
        <w:left w:val="none" w:sz="0" w:space="0" w:color="auto"/>
        <w:bottom w:val="none" w:sz="0" w:space="0" w:color="auto"/>
        <w:right w:val="none" w:sz="0" w:space="0" w:color="auto"/>
      </w:divBdr>
    </w:div>
    <w:div w:id="648559757">
      <w:bodyDiv w:val="1"/>
      <w:marLeft w:val="0"/>
      <w:marRight w:val="0"/>
      <w:marTop w:val="0"/>
      <w:marBottom w:val="0"/>
      <w:divBdr>
        <w:top w:val="none" w:sz="0" w:space="0" w:color="auto"/>
        <w:left w:val="none" w:sz="0" w:space="0" w:color="auto"/>
        <w:bottom w:val="none" w:sz="0" w:space="0" w:color="auto"/>
        <w:right w:val="none" w:sz="0" w:space="0" w:color="auto"/>
      </w:divBdr>
    </w:div>
    <w:div w:id="653993114">
      <w:bodyDiv w:val="1"/>
      <w:marLeft w:val="0"/>
      <w:marRight w:val="0"/>
      <w:marTop w:val="0"/>
      <w:marBottom w:val="0"/>
      <w:divBdr>
        <w:top w:val="none" w:sz="0" w:space="0" w:color="auto"/>
        <w:left w:val="none" w:sz="0" w:space="0" w:color="auto"/>
        <w:bottom w:val="none" w:sz="0" w:space="0" w:color="auto"/>
        <w:right w:val="none" w:sz="0" w:space="0" w:color="auto"/>
      </w:divBdr>
    </w:div>
    <w:div w:id="659582362">
      <w:bodyDiv w:val="1"/>
      <w:marLeft w:val="0"/>
      <w:marRight w:val="0"/>
      <w:marTop w:val="0"/>
      <w:marBottom w:val="0"/>
      <w:divBdr>
        <w:top w:val="none" w:sz="0" w:space="0" w:color="auto"/>
        <w:left w:val="none" w:sz="0" w:space="0" w:color="auto"/>
        <w:bottom w:val="none" w:sz="0" w:space="0" w:color="auto"/>
        <w:right w:val="none" w:sz="0" w:space="0" w:color="auto"/>
      </w:divBdr>
    </w:div>
    <w:div w:id="672755730">
      <w:bodyDiv w:val="1"/>
      <w:marLeft w:val="0"/>
      <w:marRight w:val="0"/>
      <w:marTop w:val="0"/>
      <w:marBottom w:val="0"/>
      <w:divBdr>
        <w:top w:val="none" w:sz="0" w:space="0" w:color="auto"/>
        <w:left w:val="none" w:sz="0" w:space="0" w:color="auto"/>
        <w:bottom w:val="none" w:sz="0" w:space="0" w:color="auto"/>
        <w:right w:val="none" w:sz="0" w:space="0" w:color="auto"/>
      </w:divBdr>
    </w:div>
    <w:div w:id="681317653">
      <w:bodyDiv w:val="1"/>
      <w:marLeft w:val="0"/>
      <w:marRight w:val="0"/>
      <w:marTop w:val="0"/>
      <w:marBottom w:val="0"/>
      <w:divBdr>
        <w:top w:val="none" w:sz="0" w:space="0" w:color="auto"/>
        <w:left w:val="none" w:sz="0" w:space="0" w:color="auto"/>
        <w:bottom w:val="none" w:sz="0" w:space="0" w:color="auto"/>
        <w:right w:val="none" w:sz="0" w:space="0" w:color="auto"/>
      </w:divBdr>
    </w:div>
    <w:div w:id="682827937">
      <w:bodyDiv w:val="1"/>
      <w:marLeft w:val="0"/>
      <w:marRight w:val="0"/>
      <w:marTop w:val="0"/>
      <w:marBottom w:val="0"/>
      <w:divBdr>
        <w:top w:val="none" w:sz="0" w:space="0" w:color="auto"/>
        <w:left w:val="none" w:sz="0" w:space="0" w:color="auto"/>
        <w:bottom w:val="none" w:sz="0" w:space="0" w:color="auto"/>
        <w:right w:val="none" w:sz="0" w:space="0" w:color="auto"/>
      </w:divBdr>
    </w:div>
    <w:div w:id="689140463">
      <w:bodyDiv w:val="1"/>
      <w:marLeft w:val="0"/>
      <w:marRight w:val="0"/>
      <w:marTop w:val="0"/>
      <w:marBottom w:val="0"/>
      <w:divBdr>
        <w:top w:val="none" w:sz="0" w:space="0" w:color="auto"/>
        <w:left w:val="none" w:sz="0" w:space="0" w:color="auto"/>
        <w:bottom w:val="none" w:sz="0" w:space="0" w:color="auto"/>
        <w:right w:val="none" w:sz="0" w:space="0" w:color="auto"/>
      </w:divBdr>
    </w:div>
    <w:div w:id="700132960">
      <w:bodyDiv w:val="1"/>
      <w:marLeft w:val="0"/>
      <w:marRight w:val="0"/>
      <w:marTop w:val="0"/>
      <w:marBottom w:val="0"/>
      <w:divBdr>
        <w:top w:val="none" w:sz="0" w:space="0" w:color="auto"/>
        <w:left w:val="none" w:sz="0" w:space="0" w:color="auto"/>
        <w:bottom w:val="none" w:sz="0" w:space="0" w:color="auto"/>
        <w:right w:val="none" w:sz="0" w:space="0" w:color="auto"/>
      </w:divBdr>
    </w:div>
    <w:div w:id="714620726">
      <w:bodyDiv w:val="1"/>
      <w:marLeft w:val="0"/>
      <w:marRight w:val="0"/>
      <w:marTop w:val="0"/>
      <w:marBottom w:val="0"/>
      <w:divBdr>
        <w:top w:val="none" w:sz="0" w:space="0" w:color="auto"/>
        <w:left w:val="none" w:sz="0" w:space="0" w:color="auto"/>
        <w:bottom w:val="none" w:sz="0" w:space="0" w:color="auto"/>
        <w:right w:val="none" w:sz="0" w:space="0" w:color="auto"/>
      </w:divBdr>
    </w:div>
    <w:div w:id="743338937">
      <w:bodyDiv w:val="1"/>
      <w:marLeft w:val="0"/>
      <w:marRight w:val="0"/>
      <w:marTop w:val="0"/>
      <w:marBottom w:val="0"/>
      <w:divBdr>
        <w:top w:val="none" w:sz="0" w:space="0" w:color="auto"/>
        <w:left w:val="none" w:sz="0" w:space="0" w:color="auto"/>
        <w:bottom w:val="none" w:sz="0" w:space="0" w:color="auto"/>
        <w:right w:val="none" w:sz="0" w:space="0" w:color="auto"/>
      </w:divBdr>
    </w:div>
    <w:div w:id="748815621">
      <w:bodyDiv w:val="1"/>
      <w:marLeft w:val="0"/>
      <w:marRight w:val="0"/>
      <w:marTop w:val="0"/>
      <w:marBottom w:val="0"/>
      <w:divBdr>
        <w:top w:val="none" w:sz="0" w:space="0" w:color="auto"/>
        <w:left w:val="none" w:sz="0" w:space="0" w:color="auto"/>
        <w:bottom w:val="none" w:sz="0" w:space="0" w:color="auto"/>
        <w:right w:val="none" w:sz="0" w:space="0" w:color="auto"/>
      </w:divBdr>
    </w:div>
    <w:div w:id="752897663">
      <w:bodyDiv w:val="1"/>
      <w:marLeft w:val="0"/>
      <w:marRight w:val="0"/>
      <w:marTop w:val="0"/>
      <w:marBottom w:val="0"/>
      <w:divBdr>
        <w:top w:val="none" w:sz="0" w:space="0" w:color="auto"/>
        <w:left w:val="none" w:sz="0" w:space="0" w:color="auto"/>
        <w:bottom w:val="none" w:sz="0" w:space="0" w:color="auto"/>
        <w:right w:val="none" w:sz="0" w:space="0" w:color="auto"/>
      </w:divBdr>
    </w:div>
    <w:div w:id="790519591">
      <w:bodyDiv w:val="1"/>
      <w:marLeft w:val="0"/>
      <w:marRight w:val="0"/>
      <w:marTop w:val="0"/>
      <w:marBottom w:val="0"/>
      <w:divBdr>
        <w:top w:val="none" w:sz="0" w:space="0" w:color="auto"/>
        <w:left w:val="none" w:sz="0" w:space="0" w:color="auto"/>
        <w:bottom w:val="none" w:sz="0" w:space="0" w:color="auto"/>
        <w:right w:val="none" w:sz="0" w:space="0" w:color="auto"/>
      </w:divBdr>
    </w:div>
    <w:div w:id="801922093">
      <w:bodyDiv w:val="1"/>
      <w:marLeft w:val="0"/>
      <w:marRight w:val="0"/>
      <w:marTop w:val="0"/>
      <w:marBottom w:val="0"/>
      <w:divBdr>
        <w:top w:val="none" w:sz="0" w:space="0" w:color="auto"/>
        <w:left w:val="none" w:sz="0" w:space="0" w:color="auto"/>
        <w:bottom w:val="none" w:sz="0" w:space="0" w:color="auto"/>
        <w:right w:val="none" w:sz="0" w:space="0" w:color="auto"/>
      </w:divBdr>
    </w:div>
    <w:div w:id="810367445">
      <w:bodyDiv w:val="1"/>
      <w:marLeft w:val="0"/>
      <w:marRight w:val="0"/>
      <w:marTop w:val="0"/>
      <w:marBottom w:val="0"/>
      <w:divBdr>
        <w:top w:val="none" w:sz="0" w:space="0" w:color="auto"/>
        <w:left w:val="none" w:sz="0" w:space="0" w:color="auto"/>
        <w:bottom w:val="none" w:sz="0" w:space="0" w:color="auto"/>
        <w:right w:val="none" w:sz="0" w:space="0" w:color="auto"/>
      </w:divBdr>
    </w:div>
    <w:div w:id="811481415">
      <w:bodyDiv w:val="1"/>
      <w:marLeft w:val="0"/>
      <w:marRight w:val="0"/>
      <w:marTop w:val="0"/>
      <w:marBottom w:val="0"/>
      <w:divBdr>
        <w:top w:val="none" w:sz="0" w:space="0" w:color="auto"/>
        <w:left w:val="none" w:sz="0" w:space="0" w:color="auto"/>
        <w:bottom w:val="none" w:sz="0" w:space="0" w:color="auto"/>
        <w:right w:val="none" w:sz="0" w:space="0" w:color="auto"/>
      </w:divBdr>
    </w:div>
    <w:div w:id="833573330">
      <w:bodyDiv w:val="1"/>
      <w:marLeft w:val="0"/>
      <w:marRight w:val="0"/>
      <w:marTop w:val="0"/>
      <w:marBottom w:val="0"/>
      <w:divBdr>
        <w:top w:val="none" w:sz="0" w:space="0" w:color="auto"/>
        <w:left w:val="none" w:sz="0" w:space="0" w:color="auto"/>
        <w:bottom w:val="none" w:sz="0" w:space="0" w:color="auto"/>
        <w:right w:val="none" w:sz="0" w:space="0" w:color="auto"/>
      </w:divBdr>
    </w:div>
    <w:div w:id="833910570">
      <w:bodyDiv w:val="1"/>
      <w:marLeft w:val="0"/>
      <w:marRight w:val="0"/>
      <w:marTop w:val="0"/>
      <w:marBottom w:val="0"/>
      <w:divBdr>
        <w:top w:val="none" w:sz="0" w:space="0" w:color="auto"/>
        <w:left w:val="none" w:sz="0" w:space="0" w:color="auto"/>
        <w:bottom w:val="none" w:sz="0" w:space="0" w:color="auto"/>
        <w:right w:val="none" w:sz="0" w:space="0" w:color="auto"/>
      </w:divBdr>
    </w:div>
    <w:div w:id="846405959">
      <w:bodyDiv w:val="1"/>
      <w:marLeft w:val="0"/>
      <w:marRight w:val="0"/>
      <w:marTop w:val="0"/>
      <w:marBottom w:val="0"/>
      <w:divBdr>
        <w:top w:val="none" w:sz="0" w:space="0" w:color="auto"/>
        <w:left w:val="none" w:sz="0" w:space="0" w:color="auto"/>
        <w:bottom w:val="none" w:sz="0" w:space="0" w:color="auto"/>
        <w:right w:val="none" w:sz="0" w:space="0" w:color="auto"/>
      </w:divBdr>
    </w:div>
    <w:div w:id="846676304">
      <w:bodyDiv w:val="1"/>
      <w:marLeft w:val="0"/>
      <w:marRight w:val="0"/>
      <w:marTop w:val="0"/>
      <w:marBottom w:val="0"/>
      <w:divBdr>
        <w:top w:val="none" w:sz="0" w:space="0" w:color="auto"/>
        <w:left w:val="none" w:sz="0" w:space="0" w:color="auto"/>
        <w:bottom w:val="none" w:sz="0" w:space="0" w:color="auto"/>
        <w:right w:val="none" w:sz="0" w:space="0" w:color="auto"/>
      </w:divBdr>
    </w:div>
    <w:div w:id="870069758">
      <w:bodyDiv w:val="1"/>
      <w:marLeft w:val="0"/>
      <w:marRight w:val="0"/>
      <w:marTop w:val="0"/>
      <w:marBottom w:val="0"/>
      <w:divBdr>
        <w:top w:val="none" w:sz="0" w:space="0" w:color="auto"/>
        <w:left w:val="none" w:sz="0" w:space="0" w:color="auto"/>
        <w:bottom w:val="none" w:sz="0" w:space="0" w:color="auto"/>
        <w:right w:val="none" w:sz="0" w:space="0" w:color="auto"/>
      </w:divBdr>
    </w:div>
    <w:div w:id="875703648">
      <w:bodyDiv w:val="1"/>
      <w:marLeft w:val="0"/>
      <w:marRight w:val="0"/>
      <w:marTop w:val="0"/>
      <w:marBottom w:val="0"/>
      <w:divBdr>
        <w:top w:val="none" w:sz="0" w:space="0" w:color="auto"/>
        <w:left w:val="none" w:sz="0" w:space="0" w:color="auto"/>
        <w:bottom w:val="none" w:sz="0" w:space="0" w:color="auto"/>
        <w:right w:val="none" w:sz="0" w:space="0" w:color="auto"/>
      </w:divBdr>
    </w:div>
    <w:div w:id="879048069">
      <w:bodyDiv w:val="1"/>
      <w:marLeft w:val="0"/>
      <w:marRight w:val="0"/>
      <w:marTop w:val="0"/>
      <w:marBottom w:val="0"/>
      <w:divBdr>
        <w:top w:val="none" w:sz="0" w:space="0" w:color="auto"/>
        <w:left w:val="none" w:sz="0" w:space="0" w:color="auto"/>
        <w:bottom w:val="none" w:sz="0" w:space="0" w:color="auto"/>
        <w:right w:val="none" w:sz="0" w:space="0" w:color="auto"/>
      </w:divBdr>
    </w:div>
    <w:div w:id="879586908">
      <w:bodyDiv w:val="1"/>
      <w:marLeft w:val="0"/>
      <w:marRight w:val="0"/>
      <w:marTop w:val="0"/>
      <w:marBottom w:val="0"/>
      <w:divBdr>
        <w:top w:val="none" w:sz="0" w:space="0" w:color="auto"/>
        <w:left w:val="none" w:sz="0" w:space="0" w:color="auto"/>
        <w:bottom w:val="none" w:sz="0" w:space="0" w:color="auto"/>
        <w:right w:val="none" w:sz="0" w:space="0" w:color="auto"/>
      </w:divBdr>
    </w:div>
    <w:div w:id="895312764">
      <w:bodyDiv w:val="1"/>
      <w:marLeft w:val="0"/>
      <w:marRight w:val="0"/>
      <w:marTop w:val="0"/>
      <w:marBottom w:val="0"/>
      <w:divBdr>
        <w:top w:val="none" w:sz="0" w:space="0" w:color="auto"/>
        <w:left w:val="none" w:sz="0" w:space="0" w:color="auto"/>
        <w:bottom w:val="none" w:sz="0" w:space="0" w:color="auto"/>
        <w:right w:val="none" w:sz="0" w:space="0" w:color="auto"/>
      </w:divBdr>
    </w:div>
    <w:div w:id="908424207">
      <w:bodyDiv w:val="1"/>
      <w:marLeft w:val="0"/>
      <w:marRight w:val="0"/>
      <w:marTop w:val="0"/>
      <w:marBottom w:val="0"/>
      <w:divBdr>
        <w:top w:val="none" w:sz="0" w:space="0" w:color="auto"/>
        <w:left w:val="none" w:sz="0" w:space="0" w:color="auto"/>
        <w:bottom w:val="none" w:sz="0" w:space="0" w:color="auto"/>
        <w:right w:val="none" w:sz="0" w:space="0" w:color="auto"/>
      </w:divBdr>
    </w:div>
    <w:div w:id="908617873">
      <w:bodyDiv w:val="1"/>
      <w:marLeft w:val="0"/>
      <w:marRight w:val="0"/>
      <w:marTop w:val="0"/>
      <w:marBottom w:val="0"/>
      <w:divBdr>
        <w:top w:val="none" w:sz="0" w:space="0" w:color="auto"/>
        <w:left w:val="none" w:sz="0" w:space="0" w:color="auto"/>
        <w:bottom w:val="none" w:sz="0" w:space="0" w:color="auto"/>
        <w:right w:val="none" w:sz="0" w:space="0" w:color="auto"/>
      </w:divBdr>
    </w:div>
    <w:div w:id="912275957">
      <w:bodyDiv w:val="1"/>
      <w:marLeft w:val="0"/>
      <w:marRight w:val="0"/>
      <w:marTop w:val="0"/>
      <w:marBottom w:val="0"/>
      <w:divBdr>
        <w:top w:val="none" w:sz="0" w:space="0" w:color="auto"/>
        <w:left w:val="none" w:sz="0" w:space="0" w:color="auto"/>
        <w:bottom w:val="none" w:sz="0" w:space="0" w:color="auto"/>
        <w:right w:val="none" w:sz="0" w:space="0" w:color="auto"/>
      </w:divBdr>
    </w:div>
    <w:div w:id="946038812">
      <w:bodyDiv w:val="1"/>
      <w:marLeft w:val="0"/>
      <w:marRight w:val="0"/>
      <w:marTop w:val="0"/>
      <w:marBottom w:val="0"/>
      <w:divBdr>
        <w:top w:val="none" w:sz="0" w:space="0" w:color="auto"/>
        <w:left w:val="none" w:sz="0" w:space="0" w:color="auto"/>
        <w:bottom w:val="none" w:sz="0" w:space="0" w:color="auto"/>
        <w:right w:val="none" w:sz="0" w:space="0" w:color="auto"/>
      </w:divBdr>
    </w:div>
    <w:div w:id="946815863">
      <w:bodyDiv w:val="1"/>
      <w:marLeft w:val="0"/>
      <w:marRight w:val="0"/>
      <w:marTop w:val="0"/>
      <w:marBottom w:val="0"/>
      <w:divBdr>
        <w:top w:val="none" w:sz="0" w:space="0" w:color="auto"/>
        <w:left w:val="none" w:sz="0" w:space="0" w:color="auto"/>
        <w:bottom w:val="none" w:sz="0" w:space="0" w:color="auto"/>
        <w:right w:val="none" w:sz="0" w:space="0" w:color="auto"/>
      </w:divBdr>
    </w:div>
    <w:div w:id="947933660">
      <w:bodyDiv w:val="1"/>
      <w:marLeft w:val="0"/>
      <w:marRight w:val="0"/>
      <w:marTop w:val="0"/>
      <w:marBottom w:val="0"/>
      <w:divBdr>
        <w:top w:val="none" w:sz="0" w:space="0" w:color="auto"/>
        <w:left w:val="none" w:sz="0" w:space="0" w:color="auto"/>
        <w:bottom w:val="none" w:sz="0" w:space="0" w:color="auto"/>
        <w:right w:val="none" w:sz="0" w:space="0" w:color="auto"/>
      </w:divBdr>
    </w:div>
    <w:div w:id="954168846">
      <w:bodyDiv w:val="1"/>
      <w:marLeft w:val="0"/>
      <w:marRight w:val="0"/>
      <w:marTop w:val="0"/>
      <w:marBottom w:val="0"/>
      <w:divBdr>
        <w:top w:val="none" w:sz="0" w:space="0" w:color="auto"/>
        <w:left w:val="none" w:sz="0" w:space="0" w:color="auto"/>
        <w:bottom w:val="none" w:sz="0" w:space="0" w:color="auto"/>
        <w:right w:val="none" w:sz="0" w:space="0" w:color="auto"/>
      </w:divBdr>
    </w:div>
    <w:div w:id="959652313">
      <w:bodyDiv w:val="1"/>
      <w:marLeft w:val="0"/>
      <w:marRight w:val="0"/>
      <w:marTop w:val="0"/>
      <w:marBottom w:val="0"/>
      <w:divBdr>
        <w:top w:val="none" w:sz="0" w:space="0" w:color="auto"/>
        <w:left w:val="none" w:sz="0" w:space="0" w:color="auto"/>
        <w:bottom w:val="none" w:sz="0" w:space="0" w:color="auto"/>
        <w:right w:val="none" w:sz="0" w:space="0" w:color="auto"/>
      </w:divBdr>
    </w:div>
    <w:div w:id="972906484">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4795527">
      <w:bodyDiv w:val="1"/>
      <w:marLeft w:val="0"/>
      <w:marRight w:val="0"/>
      <w:marTop w:val="0"/>
      <w:marBottom w:val="0"/>
      <w:divBdr>
        <w:top w:val="none" w:sz="0" w:space="0" w:color="auto"/>
        <w:left w:val="none" w:sz="0" w:space="0" w:color="auto"/>
        <w:bottom w:val="none" w:sz="0" w:space="0" w:color="auto"/>
        <w:right w:val="none" w:sz="0" w:space="0" w:color="auto"/>
      </w:divBdr>
    </w:div>
    <w:div w:id="976225305">
      <w:bodyDiv w:val="1"/>
      <w:marLeft w:val="0"/>
      <w:marRight w:val="0"/>
      <w:marTop w:val="0"/>
      <w:marBottom w:val="0"/>
      <w:divBdr>
        <w:top w:val="none" w:sz="0" w:space="0" w:color="auto"/>
        <w:left w:val="none" w:sz="0" w:space="0" w:color="auto"/>
        <w:bottom w:val="none" w:sz="0" w:space="0" w:color="auto"/>
        <w:right w:val="none" w:sz="0" w:space="0" w:color="auto"/>
      </w:divBdr>
    </w:div>
    <w:div w:id="993872724">
      <w:bodyDiv w:val="1"/>
      <w:marLeft w:val="0"/>
      <w:marRight w:val="0"/>
      <w:marTop w:val="0"/>
      <w:marBottom w:val="0"/>
      <w:divBdr>
        <w:top w:val="none" w:sz="0" w:space="0" w:color="auto"/>
        <w:left w:val="none" w:sz="0" w:space="0" w:color="auto"/>
        <w:bottom w:val="none" w:sz="0" w:space="0" w:color="auto"/>
        <w:right w:val="none" w:sz="0" w:space="0" w:color="auto"/>
      </w:divBdr>
    </w:div>
    <w:div w:id="1001156619">
      <w:bodyDiv w:val="1"/>
      <w:marLeft w:val="0"/>
      <w:marRight w:val="0"/>
      <w:marTop w:val="0"/>
      <w:marBottom w:val="0"/>
      <w:divBdr>
        <w:top w:val="none" w:sz="0" w:space="0" w:color="auto"/>
        <w:left w:val="none" w:sz="0" w:space="0" w:color="auto"/>
        <w:bottom w:val="none" w:sz="0" w:space="0" w:color="auto"/>
        <w:right w:val="none" w:sz="0" w:space="0" w:color="auto"/>
      </w:divBdr>
    </w:div>
    <w:div w:id="1014310725">
      <w:bodyDiv w:val="1"/>
      <w:marLeft w:val="0"/>
      <w:marRight w:val="0"/>
      <w:marTop w:val="0"/>
      <w:marBottom w:val="0"/>
      <w:divBdr>
        <w:top w:val="none" w:sz="0" w:space="0" w:color="auto"/>
        <w:left w:val="none" w:sz="0" w:space="0" w:color="auto"/>
        <w:bottom w:val="none" w:sz="0" w:space="0" w:color="auto"/>
        <w:right w:val="none" w:sz="0" w:space="0" w:color="auto"/>
      </w:divBdr>
    </w:div>
    <w:div w:id="1022781963">
      <w:bodyDiv w:val="1"/>
      <w:marLeft w:val="0"/>
      <w:marRight w:val="0"/>
      <w:marTop w:val="0"/>
      <w:marBottom w:val="0"/>
      <w:divBdr>
        <w:top w:val="none" w:sz="0" w:space="0" w:color="auto"/>
        <w:left w:val="none" w:sz="0" w:space="0" w:color="auto"/>
        <w:bottom w:val="none" w:sz="0" w:space="0" w:color="auto"/>
        <w:right w:val="none" w:sz="0" w:space="0" w:color="auto"/>
      </w:divBdr>
    </w:div>
    <w:div w:id="1040394570">
      <w:bodyDiv w:val="1"/>
      <w:marLeft w:val="0"/>
      <w:marRight w:val="0"/>
      <w:marTop w:val="0"/>
      <w:marBottom w:val="0"/>
      <w:divBdr>
        <w:top w:val="none" w:sz="0" w:space="0" w:color="auto"/>
        <w:left w:val="none" w:sz="0" w:space="0" w:color="auto"/>
        <w:bottom w:val="none" w:sz="0" w:space="0" w:color="auto"/>
        <w:right w:val="none" w:sz="0" w:space="0" w:color="auto"/>
      </w:divBdr>
    </w:div>
    <w:div w:id="1069694818">
      <w:bodyDiv w:val="1"/>
      <w:marLeft w:val="0"/>
      <w:marRight w:val="0"/>
      <w:marTop w:val="0"/>
      <w:marBottom w:val="0"/>
      <w:divBdr>
        <w:top w:val="none" w:sz="0" w:space="0" w:color="auto"/>
        <w:left w:val="none" w:sz="0" w:space="0" w:color="auto"/>
        <w:bottom w:val="none" w:sz="0" w:space="0" w:color="auto"/>
        <w:right w:val="none" w:sz="0" w:space="0" w:color="auto"/>
      </w:divBdr>
    </w:div>
    <w:div w:id="1070159224">
      <w:bodyDiv w:val="1"/>
      <w:marLeft w:val="0"/>
      <w:marRight w:val="0"/>
      <w:marTop w:val="0"/>
      <w:marBottom w:val="0"/>
      <w:divBdr>
        <w:top w:val="none" w:sz="0" w:space="0" w:color="auto"/>
        <w:left w:val="none" w:sz="0" w:space="0" w:color="auto"/>
        <w:bottom w:val="none" w:sz="0" w:space="0" w:color="auto"/>
        <w:right w:val="none" w:sz="0" w:space="0" w:color="auto"/>
      </w:divBdr>
    </w:div>
    <w:div w:id="1073088750">
      <w:bodyDiv w:val="1"/>
      <w:marLeft w:val="0"/>
      <w:marRight w:val="0"/>
      <w:marTop w:val="0"/>
      <w:marBottom w:val="0"/>
      <w:divBdr>
        <w:top w:val="none" w:sz="0" w:space="0" w:color="auto"/>
        <w:left w:val="none" w:sz="0" w:space="0" w:color="auto"/>
        <w:bottom w:val="none" w:sz="0" w:space="0" w:color="auto"/>
        <w:right w:val="none" w:sz="0" w:space="0" w:color="auto"/>
      </w:divBdr>
    </w:div>
    <w:div w:id="1087112104">
      <w:bodyDiv w:val="1"/>
      <w:marLeft w:val="0"/>
      <w:marRight w:val="0"/>
      <w:marTop w:val="0"/>
      <w:marBottom w:val="0"/>
      <w:divBdr>
        <w:top w:val="none" w:sz="0" w:space="0" w:color="auto"/>
        <w:left w:val="none" w:sz="0" w:space="0" w:color="auto"/>
        <w:bottom w:val="none" w:sz="0" w:space="0" w:color="auto"/>
        <w:right w:val="none" w:sz="0" w:space="0" w:color="auto"/>
      </w:divBdr>
    </w:div>
    <w:div w:id="1108769298">
      <w:bodyDiv w:val="1"/>
      <w:marLeft w:val="0"/>
      <w:marRight w:val="0"/>
      <w:marTop w:val="0"/>
      <w:marBottom w:val="0"/>
      <w:divBdr>
        <w:top w:val="none" w:sz="0" w:space="0" w:color="auto"/>
        <w:left w:val="none" w:sz="0" w:space="0" w:color="auto"/>
        <w:bottom w:val="none" w:sz="0" w:space="0" w:color="auto"/>
        <w:right w:val="none" w:sz="0" w:space="0" w:color="auto"/>
      </w:divBdr>
    </w:div>
    <w:div w:id="1109010606">
      <w:bodyDiv w:val="1"/>
      <w:marLeft w:val="0"/>
      <w:marRight w:val="0"/>
      <w:marTop w:val="0"/>
      <w:marBottom w:val="0"/>
      <w:divBdr>
        <w:top w:val="none" w:sz="0" w:space="0" w:color="auto"/>
        <w:left w:val="none" w:sz="0" w:space="0" w:color="auto"/>
        <w:bottom w:val="none" w:sz="0" w:space="0" w:color="auto"/>
        <w:right w:val="none" w:sz="0" w:space="0" w:color="auto"/>
      </w:divBdr>
    </w:div>
    <w:div w:id="1113281380">
      <w:bodyDiv w:val="1"/>
      <w:marLeft w:val="0"/>
      <w:marRight w:val="0"/>
      <w:marTop w:val="0"/>
      <w:marBottom w:val="0"/>
      <w:divBdr>
        <w:top w:val="none" w:sz="0" w:space="0" w:color="auto"/>
        <w:left w:val="none" w:sz="0" w:space="0" w:color="auto"/>
        <w:bottom w:val="none" w:sz="0" w:space="0" w:color="auto"/>
        <w:right w:val="none" w:sz="0" w:space="0" w:color="auto"/>
      </w:divBdr>
    </w:div>
    <w:div w:id="1118724375">
      <w:bodyDiv w:val="1"/>
      <w:marLeft w:val="0"/>
      <w:marRight w:val="0"/>
      <w:marTop w:val="0"/>
      <w:marBottom w:val="0"/>
      <w:divBdr>
        <w:top w:val="none" w:sz="0" w:space="0" w:color="auto"/>
        <w:left w:val="none" w:sz="0" w:space="0" w:color="auto"/>
        <w:bottom w:val="none" w:sz="0" w:space="0" w:color="auto"/>
        <w:right w:val="none" w:sz="0" w:space="0" w:color="auto"/>
      </w:divBdr>
    </w:div>
    <w:div w:id="1127940887">
      <w:bodyDiv w:val="1"/>
      <w:marLeft w:val="0"/>
      <w:marRight w:val="0"/>
      <w:marTop w:val="0"/>
      <w:marBottom w:val="0"/>
      <w:divBdr>
        <w:top w:val="none" w:sz="0" w:space="0" w:color="auto"/>
        <w:left w:val="none" w:sz="0" w:space="0" w:color="auto"/>
        <w:bottom w:val="none" w:sz="0" w:space="0" w:color="auto"/>
        <w:right w:val="none" w:sz="0" w:space="0" w:color="auto"/>
      </w:divBdr>
    </w:div>
    <w:div w:id="1129013537">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41119352">
      <w:bodyDiv w:val="1"/>
      <w:marLeft w:val="0"/>
      <w:marRight w:val="0"/>
      <w:marTop w:val="0"/>
      <w:marBottom w:val="0"/>
      <w:divBdr>
        <w:top w:val="none" w:sz="0" w:space="0" w:color="auto"/>
        <w:left w:val="none" w:sz="0" w:space="0" w:color="auto"/>
        <w:bottom w:val="none" w:sz="0" w:space="0" w:color="auto"/>
        <w:right w:val="none" w:sz="0" w:space="0" w:color="auto"/>
      </w:divBdr>
    </w:div>
    <w:div w:id="1141536935">
      <w:bodyDiv w:val="1"/>
      <w:marLeft w:val="0"/>
      <w:marRight w:val="0"/>
      <w:marTop w:val="0"/>
      <w:marBottom w:val="0"/>
      <w:divBdr>
        <w:top w:val="none" w:sz="0" w:space="0" w:color="auto"/>
        <w:left w:val="none" w:sz="0" w:space="0" w:color="auto"/>
        <w:bottom w:val="none" w:sz="0" w:space="0" w:color="auto"/>
        <w:right w:val="none" w:sz="0" w:space="0" w:color="auto"/>
      </w:divBdr>
    </w:div>
    <w:div w:id="1143162541">
      <w:bodyDiv w:val="1"/>
      <w:marLeft w:val="0"/>
      <w:marRight w:val="0"/>
      <w:marTop w:val="0"/>
      <w:marBottom w:val="0"/>
      <w:divBdr>
        <w:top w:val="none" w:sz="0" w:space="0" w:color="auto"/>
        <w:left w:val="none" w:sz="0" w:space="0" w:color="auto"/>
        <w:bottom w:val="none" w:sz="0" w:space="0" w:color="auto"/>
        <w:right w:val="none" w:sz="0" w:space="0" w:color="auto"/>
      </w:divBdr>
    </w:div>
    <w:div w:id="1144008131">
      <w:bodyDiv w:val="1"/>
      <w:marLeft w:val="0"/>
      <w:marRight w:val="0"/>
      <w:marTop w:val="0"/>
      <w:marBottom w:val="0"/>
      <w:divBdr>
        <w:top w:val="none" w:sz="0" w:space="0" w:color="auto"/>
        <w:left w:val="none" w:sz="0" w:space="0" w:color="auto"/>
        <w:bottom w:val="none" w:sz="0" w:space="0" w:color="auto"/>
        <w:right w:val="none" w:sz="0" w:space="0" w:color="auto"/>
      </w:divBdr>
    </w:div>
    <w:div w:id="1145202657">
      <w:bodyDiv w:val="1"/>
      <w:marLeft w:val="0"/>
      <w:marRight w:val="0"/>
      <w:marTop w:val="0"/>
      <w:marBottom w:val="0"/>
      <w:divBdr>
        <w:top w:val="none" w:sz="0" w:space="0" w:color="auto"/>
        <w:left w:val="none" w:sz="0" w:space="0" w:color="auto"/>
        <w:bottom w:val="none" w:sz="0" w:space="0" w:color="auto"/>
        <w:right w:val="none" w:sz="0" w:space="0" w:color="auto"/>
      </w:divBdr>
    </w:div>
    <w:div w:id="1174951657">
      <w:bodyDiv w:val="1"/>
      <w:marLeft w:val="0"/>
      <w:marRight w:val="0"/>
      <w:marTop w:val="0"/>
      <w:marBottom w:val="0"/>
      <w:divBdr>
        <w:top w:val="none" w:sz="0" w:space="0" w:color="auto"/>
        <w:left w:val="none" w:sz="0" w:space="0" w:color="auto"/>
        <w:bottom w:val="none" w:sz="0" w:space="0" w:color="auto"/>
        <w:right w:val="none" w:sz="0" w:space="0" w:color="auto"/>
      </w:divBdr>
    </w:div>
    <w:div w:id="1178806843">
      <w:bodyDiv w:val="1"/>
      <w:marLeft w:val="0"/>
      <w:marRight w:val="0"/>
      <w:marTop w:val="0"/>
      <w:marBottom w:val="0"/>
      <w:divBdr>
        <w:top w:val="none" w:sz="0" w:space="0" w:color="auto"/>
        <w:left w:val="none" w:sz="0" w:space="0" w:color="auto"/>
        <w:bottom w:val="none" w:sz="0" w:space="0" w:color="auto"/>
        <w:right w:val="none" w:sz="0" w:space="0" w:color="auto"/>
      </w:divBdr>
    </w:div>
    <w:div w:id="1179656443">
      <w:bodyDiv w:val="1"/>
      <w:marLeft w:val="0"/>
      <w:marRight w:val="0"/>
      <w:marTop w:val="0"/>
      <w:marBottom w:val="0"/>
      <w:divBdr>
        <w:top w:val="none" w:sz="0" w:space="0" w:color="auto"/>
        <w:left w:val="none" w:sz="0" w:space="0" w:color="auto"/>
        <w:bottom w:val="none" w:sz="0" w:space="0" w:color="auto"/>
        <w:right w:val="none" w:sz="0" w:space="0" w:color="auto"/>
      </w:divBdr>
    </w:div>
    <w:div w:id="1187251267">
      <w:bodyDiv w:val="1"/>
      <w:marLeft w:val="0"/>
      <w:marRight w:val="0"/>
      <w:marTop w:val="0"/>
      <w:marBottom w:val="0"/>
      <w:divBdr>
        <w:top w:val="none" w:sz="0" w:space="0" w:color="auto"/>
        <w:left w:val="none" w:sz="0" w:space="0" w:color="auto"/>
        <w:bottom w:val="none" w:sz="0" w:space="0" w:color="auto"/>
        <w:right w:val="none" w:sz="0" w:space="0" w:color="auto"/>
      </w:divBdr>
    </w:div>
    <w:div w:id="1203832538">
      <w:bodyDiv w:val="1"/>
      <w:marLeft w:val="0"/>
      <w:marRight w:val="0"/>
      <w:marTop w:val="0"/>
      <w:marBottom w:val="0"/>
      <w:divBdr>
        <w:top w:val="none" w:sz="0" w:space="0" w:color="auto"/>
        <w:left w:val="none" w:sz="0" w:space="0" w:color="auto"/>
        <w:bottom w:val="none" w:sz="0" w:space="0" w:color="auto"/>
        <w:right w:val="none" w:sz="0" w:space="0" w:color="auto"/>
      </w:divBdr>
    </w:div>
    <w:div w:id="1235162880">
      <w:bodyDiv w:val="1"/>
      <w:marLeft w:val="0"/>
      <w:marRight w:val="0"/>
      <w:marTop w:val="0"/>
      <w:marBottom w:val="0"/>
      <w:divBdr>
        <w:top w:val="none" w:sz="0" w:space="0" w:color="auto"/>
        <w:left w:val="none" w:sz="0" w:space="0" w:color="auto"/>
        <w:bottom w:val="none" w:sz="0" w:space="0" w:color="auto"/>
        <w:right w:val="none" w:sz="0" w:space="0" w:color="auto"/>
      </w:divBdr>
    </w:div>
    <w:div w:id="1249657196">
      <w:bodyDiv w:val="1"/>
      <w:marLeft w:val="0"/>
      <w:marRight w:val="0"/>
      <w:marTop w:val="0"/>
      <w:marBottom w:val="0"/>
      <w:divBdr>
        <w:top w:val="none" w:sz="0" w:space="0" w:color="auto"/>
        <w:left w:val="none" w:sz="0" w:space="0" w:color="auto"/>
        <w:bottom w:val="none" w:sz="0" w:space="0" w:color="auto"/>
        <w:right w:val="none" w:sz="0" w:space="0" w:color="auto"/>
      </w:divBdr>
    </w:div>
    <w:div w:id="1298611039">
      <w:bodyDiv w:val="1"/>
      <w:marLeft w:val="0"/>
      <w:marRight w:val="0"/>
      <w:marTop w:val="0"/>
      <w:marBottom w:val="0"/>
      <w:divBdr>
        <w:top w:val="none" w:sz="0" w:space="0" w:color="auto"/>
        <w:left w:val="none" w:sz="0" w:space="0" w:color="auto"/>
        <w:bottom w:val="none" w:sz="0" w:space="0" w:color="auto"/>
        <w:right w:val="none" w:sz="0" w:space="0" w:color="auto"/>
      </w:divBdr>
    </w:div>
    <w:div w:id="1308393377">
      <w:bodyDiv w:val="1"/>
      <w:marLeft w:val="0"/>
      <w:marRight w:val="0"/>
      <w:marTop w:val="0"/>
      <w:marBottom w:val="0"/>
      <w:divBdr>
        <w:top w:val="none" w:sz="0" w:space="0" w:color="auto"/>
        <w:left w:val="none" w:sz="0" w:space="0" w:color="auto"/>
        <w:bottom w:val="none" w:sz="0" w:space="0" w:color="auto"/>
        <w:right w:val="none" w:sz="0" w:space="0" w:color="auto"/>
      </w:divBdr>
    </w:div>
    <w:div w:id="1310593468">
      <w:bodyDiv w:val="1"/>
      <w:marLeft w:val="0"/>
      <w:marRight w:val="0"/>
      <w:marTop w:val="0"/>
      <w:marBottom w:val="0"/>
      <w:divBdr>
        <w:top w:val="none" w:sz="0" w:space="0" w:color="auto"/>
        <w:left w:val="none" w:sz="0" w:space="0" w:color="auto"/>
        <w:bottom w:val="none" w:sz="0" w:space="0" w:color="auto"/>
        <w:right w:val="none" w:sz="0" w:space="0" w:color="auto"/>
      </w:divBdr>
    </w:div>
    <w:div w:id="1324892962">
      <w:bodyDiv w:val="1"/>
      <w:marLeft w:val="0"/>
      <w:marRight w:val="0"/>
      <w:marTop w:val="0"/>
      <w:marBottom w:val="0"/>
      <w:divBdr>
        <w:top w:val="none" w:sz="0" w:space="0" w:color="auto"/>
        <w:left w:val="none" w:sz="0" w:space="0" w:color="auto"/>
        <w:bottom w:val="none" w:sz="0" w:space="0" w:color="auto"/>
        <w:right w:val="none" w:sz="0" w:space="0" w:color="auto"/>
      </w:divBdr>
    </w:div>
    <w:div w:id="1330523540">
      <w:bodyDiv w:val="1"/>
      <w:marLeft w:val="0"/>
      <w:marRight w:val="0"/>
      <w:marTop w:val="0"/>
      <w:marBottom w:val="0"/>
      <w:divBdr>
        <w:top w:val="none" w:sz="0" w:space="0" w:color="auto"/>
        <w:left w:val="none" w:sz="0" w:space="0" w:color="auto"/>
        <w:bottom w:val="none" w:sz="0" w:space="0" w:color="auto"/>
        <w:right w:val="none" w:sz="0" w:space="0" w:color="auto"/>
      </w:divBdr>
    </w:div>
    <w:div w:id="1331759322">
      <w:bodyDiv w:val="1"/>
      <w:marLeft w:val="0"/>
      <w:marRight w:val="0"/>
      <w:marTop w:val="0"/>
      <w:marBottom w:val="0"/>
      <w:divBdr>
        <w:top w:val="none" w:sz="0" w:space="0" w:color="auto"/>
        <w:left w:val="none" w:sz="0" w:space="0" w:color="auto"/>
        <w:bottom w:val="none" w:sz="0" w:space="0" w:color="auto"/>
        <w:right w:val="none" w:sz="0" w:space="0" w:color="auto"/>
      </w:divBdr>
    </w:div>
    <w:div w:id="1335642277">
      <w:bodyDiv w:val="1"/>
      <w:marLeft w:val="0"/>
      <w:marRight w:val="0"/>
      <w:marTop w:val="0"/>
      <w:marBottom w:val="0"/>
      <w:divBdr>
        <w:top w:val="none" w:sz="0" w:space="0" w:color="auto"/>
        <w:left w:val="none" w:sz="0" w:space="0" w:color="auto"/>
        <w:bottom w:val="none" w:sz="0" w:space="0" w:color="auto"/>
        <w:right w:val="none" w:sz="0" w:space="0" w:color="auto"/>
      </w:divBdr>
    </w:div>
    <w:div w:id="1366980650">
      <w:bodyDiv w:val="1"/>
      <w:marLeft w:val="0"/>
      <w:marRight w:val="0"/>
      <w:marTop w:val="0"/>
      <w:marBottom w:val="0"/>
      <w:divBdr>
        <w:top w:val="none" w:sz="0" w:space="0" w:color="auto"/>
        <w:left w:val="none" w:sz="0" w:space="0" w:color="auto"/>
        <w:bottom w:val="none" w:sz="0" w:space="0" w:color="auto"/>
        <w:right w:val="none" w:sz="0" w:space="0" w:color="auto"/>
      </w:divBdr>
    </w:div>
    <w:div w:id="1373119334">
      <w:bodyDiv w:val="1"/>
      <w:marLeft w:val="0"/>
      <w:marRight w:val="0"/>
      <w:marTop w:val="0"/>
      <w:marBottom w:val="0"/>
      <w:divBdr>
        <w:top w:val="none" w:sz="0" w:space="0" w:color="auto"/>
        <w:left w:val="none" w:sz="0" w:space="0" w:color="auto"/>
        <w:bottom w:val="none" w:sz="0" w:space="0" w:color="auto"/>
        <w:right w:val="none" w:sz="0" w:space="0" w:color="auto"/>
      </w:divBdr>
    </w:div>
    <w:div w:id="1373766837">
      <w:bodyDiv w:val="1"/>
      <w:marLeft w:val="0"/>
      <w:marRight w:val="0"/>
      <w:marTop w:val="0"/>
      <w:marBottom w:val="0"/>
      <w:divBdr>
        <w:top w:val="none" w:sz="0" w:space="0" w:color="auto"/>
        <w:left w:val="none" w:sz="0" w:space="0" w:color="auto"/>
        <w:bottom w:val="none" w:sz="0" w:space="0" w:color="auto"/>
        <w:right w:val="none" w:sz="0" w:space="0" w:color="auto"/>
      </w:divBdr>
    </w:div>
    <w:div w:id="1401709961">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20982642">
      <w:bodyDiv w:val="1"/>
      <w:marLeft w:val="0"/>
      <w:marRight w:val="0"/>
      <w:marTop w:val="0"/>
      <w:marBottom w:val="0"/>
      <w:divBdr>
        <w:top w:val="none" w:sz="0" w:space="0" w:color="auto"/>
        <w:left w:val="none" w:sz="0" w:space="0" w:color="auto"/>
        <w:bottom w:val="none" w:sz="0" w:space="0" w:color="auto"/>
        <w:right w:val="none" w:sz="0" w:space="0" w:color="auto"/>
      </w:divBdr>
    </w:div>
    <w:div w:id="1427000270">
      <w:bodyDiv w:val="1"/>
      <w:marLeft w:val="0"/>
      <w:marRight w:val="0"/>
      <w:marTop w:val="0"/>
      <w:marBottom w:val="0"/>
      <w:divBdr>
        <w:top w:val="none" w:sz="0" w:space="0" w:color="auto"/>
        <w:left w:val="none" w:sz="0" w:space="0" w:color="auto"/>
        <w:bottom w:val="none" w:sz="0" w:space="0" w:color="auto"/>
        <w:right w:val="none" w:sz="0" w:space="0" w:color="auto"/>
      </w:divBdr>
    </w:div>
    <w:div w:id="1435251760">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53553599">
      <w:bodyDiv w:val="1"/>
      <w:marLeft w:val="0"/>
      <w:marRight w:val="0"/>
      <w:marTop w:val="0"/>
      <w:marBottom w:val="0"/>
      <w:divBdr>
        <w:top w:val="none" w:sz="0" w:space="0" w:color="auto"/>
        <w:left w:val="none" w:sz="0" w:space="0" w:color="auto"/>
        <w:bottom w:val="none" w:sz="0" w:space="0" w:color="auto"/>
        <w:right w:val="none" w:sz="0" w:space="0" w:color="auto"/>
      </w:divBdr>
    </w:div>
    <w:div w:id="1453935978">
      <w:bodyDiv w:val="1"/>
      <w:marLeft w:val="0"/>
      <w:marRight w:val="0"/>
      <w:marTop w:val="0"/>
      <w:marBottom w:val="0"/>
      <w:divBdr>
        <w:top w:val="none" w:sz="0" w:space="0" w:color="auto"/>
        <w:left w:val="none" w:sz="0" w:space="0" w:color="auto"/>
        <w:bottom w:val="none" w:sz="0" w:space="0" w:color="auto"/>
        <w:right w:val="none" w:sz="0" w:space="0" w:color="auto"/>
      </w:divBdr>
    </w:div>
    <w:div w:id="1454710833">
      <w:bodyDiv w:val="1"/>
      <w:marLeft w:val="0"/>
      <w:marRight w:val="0"/>
      <w:marTop w:val="0"/>
      <w:marBottom w:val="0"/>
      <w:divBdr>
        <w:top w:val="none" w:sz="0" w:space="0" w:color="auto"/>
        <w:left w:val="none" w:sz="0" w:space="0" w:color="auto"/>
        <w:bottom w:val="none" w:sz="0" w:space="0" w:color="auto"/>
        <w:right w:val="none" w:sz="0" w:space="0" w:color="auto"/>
      </w:divBdr>
    </w:div>
    <w:div w:id="1456290897">
      <w:bodyDiv w:val="1"/>
      <w:marLeft w:val="0"/>
      <w:marRight w:val="0"/>
      <w:marTop w:val="0"/>
      <w:marBottom w:val="0"/>
      <w:divBdr>
        <w:top w:val="none" w:sz="0" w:space="0" w:color="auto"/>
        <w:left w:val="none" w:sz="0" w:space="0" w:color="auto"/>
        <w:bottom w:val="none" w:sz="0" w:space="0" w:color="auto"/>
        <w:right w:val="none" w:sz="0" w:space="0" w:color="auto"/>
      </w:divBdr>
    </w:div>
    <w:div w:id="1462189204">
      <w:bodyDiv w:val="1"/>
      <w:marLeft w:val="0"/>
      <w:marRight w:val="0"/>
      <w:marTop w:val="0"/>
      <w:marBottom w:val="0"/>
      <w:divBdr>
        <w:top w:val="none" w:sz="0" w:space="0" w:color="auto"/>
        <w:left w:val="none" w:sz="0" w:space="0" w:color="auto"/>
        <w:bottom w:val="none" w:sz="0" w:space="0" w:color="auto"/>
        <w:right w:val="none" w:sz="0" w:space="0" w:color="auto"/>
      </w:divBdr>
    </w:div>
    <w:div w:id="1473715388">
      <w:bodyDiv w:val="1"/>
      <w:marLeft w:val="0"/>
      <w:marRight w:val="0"/>
      <w:marTop w:val="0"/>
      <w:marBottom w:val="0"/>
      <w:divBdr>
        <w:top w:val="none" w:sz="0" w:space="0" w:color="auto"/>
        <w:left w:val="none" w:sz="0" w:space="0" w:color="auto"/>
        <w:bottom w:val="none" w:sz="0" w:space="0" w:color="auto"/>
        <w:right w:val="none" w:sz="0" w:space="0" w:color="auto"/>
      </w:divBdr>
    </w:div>
    <w:div w:id="1481115405">
      <w:bodyDiv w:val="1"/>
      <w:marLeft w:val="0"/>
      <w:marRight w:val="0"/>
      <w:marTop w:val="0"/>
      <w:marBottom w:val="0"/>
      <w:divBdr>
        <w:top w:val="none" w:sz="0" w:space="0" w:color="auto"/>
        <w:left w:val="none" w:sz="0" w:space="0" w:color="auto"/>
        <w:bottom w:val="none" w:sz="0" w:space="0" w:color="auto"/>
        <w:right w:val="none" w:sz="0" w:space="0" w:color="auto"/>
      </w:divBdr>
    </w:div>
    <w:div w:id="1483812907">
      <w:bodyDiv w:val="1"/>
      <w:marLeft w:val="0"/>
      <w:marRight w:val="0"/>
      <w:marTop w:val="0"/>
      <w:marBottom w:val="0"/>
      <w:divBdr>
        <w:top w:val="none" w:sz="0" w:space="0" w:color="auto"/>
        <w:left w:val="none" w:sz="0" w:space="0" w:color="auto"/>
        <w:bottom w:val="none" w:sz="0" w:space="0" w:color="auto"/>
        <w:right w:val="none" w:sz="0" w:space="0" w:color="auto"/>
      </w:divBdr>
    </w:div>
    <w:div w:id="1484466426">
      <w:bodyDiv w:val="1"/>
      <w:marLeft w:val="0"/>
      <w:marRight w:val="0"/>
      <w:marTop w:val="0"/>
      <w:marBottom w:val="0"/>
      <w:divBdr>
        <w:top w:val="none" w:sz="0" w:space="0" w:color="auto"/>
        <w:left w:val="none" w:sz="0" w:space="0" w:color="auto"/>
        <w:bottom w:val="none" w:sz="0" w:space="0" w:color="auto"/>
        <w:right w:val="none" w:sz="0" w:space="0" w:color="auto"/>
      </w:divBdr>
    </w:div>
    <w:div w:id="1492863758">
      <w:bodyDiv w:val="1"/>
      <w:marLeft w:val="0"/>
      <w:marRight w:val="0"/>
      <w:marTop w:val="0"/>
      <w:marBottom w:val="0"/>
      <w:divBdr>
        <w:top w:val="none" w:sz="0" w:space="0" w:color="auto"/>
        <w:left w:val="none" w:sz="0" w:space="0" w:color="auto"/>
        <w:bottom w:val="none" w:sz="0" w:space="0" w:color="auto"/>
        <w:right w:val="none" w:sz="0" w:space="0" w:color="auto"/>
      </w:divBdr>
    </w:div>
    <w:div w:id="1493788647">
      <w:bodyDiv w:val="1"/>
      <w:marLeft w:val="0"/>
      <w:marRight w:val="0"/>
      <w:marTop w:val="0"/>
      <w:marBottom w:val="0"/>
      <w:divBdr>
        <w:top w:val="none" w:sz="0" w:space="0" w:color="auto"/>
        <w:left w:val="none" w:sz="0" w:space="0" w:color="auto"/>
        <w:bottom w:val="none" w:sz="0" w:space="0" w:color="auto"/>
        <w:right w:val="none" w:sz="0" w:space="0" w:color="auto"/>
      </w:divBdr>
    </w:div>
    <w:div w:id="1495297376">
      <w:bodyDiv w:val="1"/>
      <w:marLeft w:val="0"/>
      <w:marRight w:val="0"/>
      <w:marTop w:val="0"/>
      <w:marBottom w:val="0"/>
      <w:divBdr>
        <w:top w:val="none" w:sz="0" w:space="0" w:color="auto"/>
        <w:left w:val="none" w:sz="0" w:space="0" w:color="auto"/>
        <w:bottom w:val="none" w:sz="0" w:space="0" w:color="auto"/>
        <w:right w:val="none" w:sz="0" w:space="0" w:color="auto"/>
      </w:divBdr>
    </w:div>
    <w:div w:id="1498425618">
      <w:bodyDiv w:val="1"/>
      <w:marLeft w:val="0"/>
      <w:marRight w:val="0"/>
      <w:marTop w:val="0"/>
      <w:marBottom w:val="0"/>
      <w:divBdr>
        <w:top w:val="none" w:sz="0" w:space="0" w:color="auto"/>
        <w:left w:val="none" w:sz="0" w:space="0" w:color="auto"/>
        <w:bottom w:val="none" w:sz="0" w:space="0" w:color="auto"/>
        <w:right w:val="none" w:sz="0" w:space="0" w:color="auto"/>
      </w:divBdr>
    </w:div>
    <w:div w:id="1514416796">
      <w:bodyDiv w:val="1"/>
      <w:marLeft w:val="0"/>
      <w:marRight w:val="0"/>
      <w:marTop w:val="0"/>
      <w:marBottom w:val="0"/>
      <w:divBdr>
        <w:top w:val="none" w:sz="0" w:space="0" w:color="auto"/>
        <w:left w:val="none" w:sz="0" w:space="0" w:color="auto"/>
        <w:bottom w:val="none" w:sz="0" w:space="0" w:color="auto"/>
        <w:right w:val="none" w:sz="0" w:space="0" w:color="auto"/>
      </w:divBdr>
    </w:div>
    <w:div w:id="1515876797">
      <w:bodyDiv w:val="1"/>
      <w:marLeft w:val="0"/>
      <w:marRight w:val="0"/>
      <w:marTop w:val="0"/>
      <w:marBottom w:val="0"/>
      <w:divBdr>
        <w:top w:val="none" w:sz="0" w:space="0" w:color="auto"/>
        <w:left w:val="none" w:sz="0" w:space="0" w:color="auto"/>
        <w:bottom w:val="none" w:sz="0" w:space="0" w:color="auto"/>
        <w:right w:val="none" w:sz="0" w:space="0" w:color="auto"/>
      </w:divBdr>
    </w:div>
    <w:div w:id="1531068403">
      <w:bodyDiv w:val="1"/>
      <w:marLeft w:val="0"/>
      <w:marRight w:val="0"/>
      <w:marTop w:val="0"/>
      <w:marBottom w:val="0"/>
      <w:divBdr>
        <w:top w:val="none" w:sz="0" w:space="0" w:color="auto"/>
        <w:left w:val="none" w:sz="0" w:space="0" w:color="auto"/>
        <w:bottom w:val="none" w:sz="0" w:space="0" w:color="auto"/>
        <w:right w:val="none" w:sz="0" w:space="0" w:color="auto"/>
      </w:divBdr>
    </w:div>
    <w:div w:id="1539194821">
      <w:bodyDiv w:val="1"/>
      <w:marLeft w:val="0"/>
      <w:marRight w:val="0"/>
      <w:marTop w:val="0"/>
      <w:marBottom w:val="0"/>
      <w:divBdr>
        <w:top w:val="none" w:sz="0" w:space="0" w:color="auto"/>
        <w:left w:val="none" w:sz="0" w:space="0" w:color="auto"/>
        <w:bottom w:val="none" w:sz="0" w:space="0" w:color="auto"/>
        <w:right w:val="none" w:sz="0" w:space="0" w:color="auto"/>
      </w:divBdr>
    </w:div>
    <w:div w:id="1548033952">
      <w:bodyDiv w:val="1"/>
      <w:marLeft w:val="0"/>
      <w:marRight w:val="0"/>
      <w:marTop w:val="0"/>
      <w:marBottom w:val="0"/>
      <w:divBdr>
        <w:top w:val="none" w:sz="0" w:space="0" w:color="auto"/>
        <w:left w:val="none" w:sz="0" w:space="0" w:color="auto"/>
        <w:bottom w:val="none" w:sz="0" w:space="0" w:color="auto"/>
        <w:right w:val="none" w:sz="0" w:space="0" w:color="auto"/>
      </w:divBdr>
    </w:div>
    <w:div w:id="1553930212">
      <w:bodyDiv w:val="1"/>
      <w:marLeft w:val="0"/>
      <w:marRight w:val="0"/>
      <w:marTop w:val="0"/>
      <w:marBottom w:val="0"/>
      <w:divBdr>
        <w:top w:val="none" w:sz="0" w:space="0" w:color="auto"/>
        <w:left w:val="none" w:sz="0" w:space="0" w:color="auto"/>
        <w:bottom w:val="none" w:sz="0" w:space="0" w:color="auto"/>
        <w:right w:val="none" w:sz="0" w:space="0" w:color="auto"/>
      </w:divBdr>
    </w:div>
    <w:div w:id="1587883852">
      <w:bodyDiv w:val="1"/>
      <w:marLeft w:val="0"/>
      <w:marRight w:val="0"/>
      <w:marTop w:val="0"/>
      <w:marBottom w:val="0"/>
      <w:divBdr>
        <w:top w:val="none" w:sz="0" w:space="0" w:color="auto"/>
        <w:left w:val="none" w:sz="0" w:space="0" w:color="auto"/>
        <w:bottom w:val="none" w:sz="0" w:space="0" w:color="auto"/>
        <w:right w:val="none" w:sz="0" w:space="0" w:color="auto"/>
      </w:divBdr>
    </w:div>
    <w:div w:id="1592666615">
      <w:bodyDiv w:val="1"/>
      <w:marLeft w:val="0"/>
      <w:marRight w:val="0"/>
      <w:marTop w:val="0"/>
      <w:marBottom w:val="0"/>
      <w:divBdr>
        <w:top w:val="none" w:sz="0" w:space="0" w:color="auto"/>
        <w:left w:val="none" w:sz="0" w:space="0" w:color="auto"/>
        <w:bottom w:val="none" w:sz="0" w:space="0" w:color="auto"/>
        <w:right w:val="none" w:sz="0" w:space="0" w:color="auto"/>
      </w:divBdr>
    </w:div>
    <w:div w:id="1619675918">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66936572">
      <w:bodyDiv w:val="1"/>
      <w:marLeft w:val="0"/>
      <w:marRight w:val="0"/>
      <w:marTop w:val="0"/>
      <w:marBottom w:val="0"/>
      <w:divBdr>
        <w:top w:val="none" w:sz="0" w:space="0" w:color="auto"/>
        <w:left w:val="none" w:sz="0" w:space="0" w:color="auto"/>
        <w:bottom w:val="none" w:sz="0" w:space="0" w:color="auto"/>
        <w:right w:val="none" w:sz="0" w:space="0" w:color="auto"/>
      </w:divBdr>
    </w:div>
    <w:div w:id="1680430968">
      <w:bodyDiv w:val="1"/>
      <w:marLeft w:val="0"/>
      <w:marRight w:val="0"/>
      <w:marTop w:val="0"/>
      <w:marBottom w:val="0"/>
      <w:divBdr>
        <w:top w:val="none" w:sz="0" w:space="0" w:color="auto"/>
        <w:left w:val="none" w:sz="0" w:space="0" w:color="auto"/>
        <w:bottom w:val="none" w:sz="0" w:space="0" w:color="auto"/>
        <w:right w:val="none" w:sz="0" w:space="0" w:color="auto"/>
      </w:divBdr>
    </w:div>
    <w:div w:id="1687904996">
      <w:bodyDiv w:val="1"/>
      <w:marLeft w:val="0"/>
      <w:marRight w:val="0"/>
      <w:marTop w:val="0"/>
      <w:marBottom w:val="0"/>
      <w:divBdr>
        <w:top w:val="none" w:sz="0" w:space="0" w:color="auto"/>
        <w:left w:val="none" w:sz="0" w:space="0" w:color="auto"/>
        <w:bottom w:val="none" w:sz="0" w:space="0" w:color="auto"/>
        <w:right w:val="none" w:sz="0" w:space="0" w:color="auto"/>
      </w:divBdr>
    </w:div>
    <w:div w:id="1694112798">
      <w:bodyDiv w:val="1"/>
      <w:marLeft w:val="0"/>
      <w:marRight w:val="0"/>
      <w:marTop w:val="0"/>
      <w:marBottom w:val="0"/>
      <w:divBdr>
        <w:top w:val="none" w:sz="0" w:space="0" w:color="auto"/>
        <w:left w:val="none" w:sz="0" w:space="0" w:color="auto"/>
        <w:bottom w:val="none" w:sz="0" w:space="0" w:color="auto"/>
        <w:right w:val="none" w:sz="0" w:space="0" w:color="auto"/>
      </w:divBdr>
    </w:div>
    <w:div w:id="1706445171">
      <w:bodyDiv w:val="1"/>
      <w:marLeft w:val="0"/>
      <w:marRight w:val="0"/>
      <w:marTop w:val="0"/>
      <w:marBottom w:val="0"/>
      <w:divBdr>
        <w:top w:val="none" w:sz="0" w:space="0" w:color="auto"/>
        <w:left w:val="none" w:sz="0" w:space="0" w:color="auto"/>
        <w:bottom w:val="none" w:sz="0" w:space="0" w:color="auto"/>
        <w:right w:val="none" w:sz="0" w:space="0" w:color="auto"/>
      </w:divBdr>
    </w:div>
    <w:div w:id="1714498661">
      <w:bodyDiv w:val="1"/>
      <w:marLeft w:val="0"/>
      <w:marRight w:val="0"/>
      <w:marTop w:val="0"/>
      <w:marBottom w:val="0"/>
      <w:divBdr>
        <w:top w:val="none" w:sz="0" w:space="0" w:color="auto"/>
        <w:left w:val="none" w:sz="0" w:space="0" w:color="auto"/>
        <w:bottom w:val="none" w:sz="0" w:space="0" w:color="auto"/>
        <w:right w:val="none" w:sz="0" w:space="0" w:color="auto"/>
      </w:divBdr>
    </w:div>
    <w:div w:id="1715497153">
      <w:bodyDiv w:val="1"/>
      <w:marLeft w:val="0"/>
      <w:marRight w:val="0"/>
      <w:marTop w:val="0"/>
      <w:marBottom w:val="0"/>
      <w:divBdr>
        <w:top w:val="none" w:sz="0" w:space="0" w:color="auto"/>
        <w:left w:val="none" w:sz="0" w:space="0" w:color="auto"/>
        <w:bottom w:val="none" w:sz="0" w:space="0" w:color="auto"/>
        <w:right w:val="none" w:sz="0" w:space="0" w:color="auto"/>
      </w:divBdr>
    </w:div>
    <w:div w:id="1742480163">
      <w:bodyDiv w:val="1"/>
      <w:marLeft w:val="0"/>
      <w:marRight w:val="0"/>
      <w:marTop w:val="0"/>
      <w:marBottom w:val="0"/>
      <w:divBdr>
        <w:top w:val="none" w:sz="0" w:space="0" w:color="auto"/>
        <w:left w:val="none" w:sz="0" w:space="0" w:color="auto"/>
        <w:bottom w:val="none" w:sz="0" w:space="0" w:color="auto"/>
        <w:right w:val="none" w:sz="0" w:space="0" w:color="auto"/>
      </w:divBdr>
    </w:div>
    <w:div w:id="1744790282">
      <w:bodyDiv w:val="1"/>
      <w:marLeft w:val="0"/>
      <w:marRight w:val="0"/>
      <w:marTop w:val="0"/>
      <w:marBottom w:val="0"/>
      <w:divBdr>
        <w:top w:val="none" w:sz="0" w:space="0" w:color="auto"/>
        <w:left w:val="none" w:sz="0" w:space="0" w:color="auto"/>
        <w:bottom w:val="none" w:sz="0" w:space="0" w:color="auto"/>
        <w:right w:val="none" w:sz="0" w:space="0" w:color="auto"/>
      </w:divBdr>
    </w:div>
    <w:div w:id="1751586345">
      <w:bodyDiv w:val="1"/>
      <w:marLeft w:val="0"/>
      <w:marRight w:val="0"/>
      <w:marTop w:val="0"/>
      <w:marBottom w:val="0"/>
      <w:divBdr>
        <w:top w:val="none" w:sz="0" w:space="0" w:color="auto"/>
        <w:left w:val="none" w:sz="0" w:space="0" w:color="auto"/>
        <w:bottom w:val="none" w:sz="0" w:space="0" w:color="auto"/>
        <w:right w:val="none" w:sz="0" w:space="0" w:color="auto"/>
      </w:divBdr>
    </w:div>
    <w:div w:id="1752310571">
      <w:bodyDiv w:val="1"/>
      <w:marLeft w:val="0"/>
      <w:marRight w:val="0"/>
      <w:marTop w:val="0"/>
      <w:marBottom w:val="0"/>
      <w:divBdr>
        <w:top w:val="none" w:sz="0" w:space="0" w:color="auto"/>
        <w:left w:val="none" w:sz="0" w:space="0" w:color="auto"/>
        <w:bottom w:val="none" w:sz="0" w:space="0" w:color="auto"/>
        <w:right w:val="none" w:sz="0" w:space="0" w:color="auto"/>
      </w:divBdr>
    </w:div>
    <w:div w:id="1759517509">
      <w:bodyDiv w:val="1"/>
      <w:marLeft w:val="0"/>
      <w:marRight w:val="0"/>
      <w:marTop w:val="0"/>
      <w:marBottom w:val="0"/>
      <w:divBdr>
        <w:top w:val="none" w:sz="0" w:space="0" w:color="auto"/>
        <w:left w:val="none" w:sz="0" w:space="0" w:color="auto"/>
        <w:bottom w:val="none" w:sz="0" w:space="0" w:color="auto"/>
        <w:right w:val="none" w:sz="0" w:space="0" w:color="auto"/>
      </w:divBdr>
    </w:div>
    <w:div w:id="1784379287">
      <w:bodyDiv w:val="1"/>
      <w:marLeft w:val="0"/>
      <w:marRight w:val="0"/>
      <w:marTop w:val="0"/>
      <w:marBottom w:val="0"/>
      <w:divBdr>
        <w:top w:val="none" w:sz="0" w:space="0" w:color="auto"/>
        <w:left w:val="none" w:sz="0" w:space="0" w:color="auto"/>
        <w:bottom w:val="none" w:sz="0" w:space="0" w:color="auto"/>
        <w:right w:val="none" w:sz="0" w:space="0" w:color="auto"/>
      </w:divBdr>
    </w:div>
    <w:div w:id="1791514100">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7816005">
      <w:bodyDiv w:val="1"/>
      <w:marLeft w:val="0"/>
      <w:marRight w:val="0"/>
      <w:marTop w:val="0"/>
      <w:marBottom w:val="0"/>
      <w:divBdr>
        <w:top w:val="none" w:sz="0" w:space="0" w:color="auto"/>
        <w:left w:val="none" w:sz="0" w:space="0" w:color="auto"/>
        <w:bottom w:val="none" w:sz="0" w:space="0" w:color="auto"/>
        <w:right w:val="none" w:sz="0" w:space="0" w:color="auto"/>
      </w:divBdr>
    </w:div>
    <w:div w:id="18156829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9397276">
      <w:bodyDiv w:val="1"/>
      <w:marLeft w:val="0"/>
      <w:marRight w:val="0"/>
      <w:marTop w:val="0"/>
      <w:marBottom w:val="0"/>
      <w:divBdr>
        <w:top w:val="none" w:sz="0" w:space="0" w:color="auto"/>
        <w:left w:val="none" w:sz="0" w:space="0" w:color="auto"/>
        <w:bottom w:val="none" w:sz="0" w:space="0" w:color="auto"/>
        <w:right w:val="none" w:sz="0" w:space="0" w:color="auto"/>
      </w:divBdr>
    </w:div>
    <w:div w:id="1848136750">
      <w:bodyDiv w:val="1"/>
      <w:marLeft w:val="0"/>
      <w:marRight w:val="0"/>
      <w:marTop w:val="0"/>
      <w:marBottom w:val="0"/>
      <w:divBdr>
        <w:top w:val="none" w:sz="0" w:space="0" w:color="auto"/>
        <w:left w:val="none" w:sz="0" w:space="0" w:color="auto"/>
        <w:bottom w:val="none" w:sz="0" w:space="0" w:color="auto"/>
        <w:right w:val="none" w:sz="0" w:space="0" w:color="auto"/>
      </w:divBdr>
    </w:div>
    <w:div w:id="1858156679">
      <w:bodyDiv w:val="1"/>
      <w:marLeft w:val="0"/>
      <w:marRight w:val="0"/>
      <w:marTop w:val="0"/>
      <w:marBottom w:val="0"/>
      <w:divBdr>
        <w:top w:val="none" w:sz="0" w:space="0" w:color="auto"/>
        <w:left w:val="none" w:sz="0" w:space="0" w:color="auto"/>
        <w:bottom w:val="none" w:sz="0" w:space="0" w:color="auto"/>
        <w:right w:val="none" w:sz="0" w:space="0" w:color="auto"/>
      </w:divBdr>
    </w:div>
    <w:div w:id="1860923632">
      <w:bodyDiv w:val="1"/>
      <w:marLeft w:val="0"/>
      <w:marRight w:val="0"/>
      <w:marTop w:val="0"/>
      <w:marBottom w:val="0"/>
      <w:divBdr>
        <w:top w:val="none" w:sz="0" w:space="0" w:color="auto"/>
        <w:left w:val="none" w:sz="0" w:space="0" w:color="auto"/>
        <w:bottom w:val="none" w:sz="0" w:space="0" w:color="auto"/>
        <w:right w:val="none" w:sz="0" w:space="0" w:color="auto"/>
      </w:divBdr>
    </w:div>
    <w:div w:id="1872330691">
      <w:bodyDiv w:val="1"/>
      <w:marLeft w:val="0"/>
      <w:marRight w:val="0"/>
      <w:marTop w:val="0"/>
      <w:marBottom w:val="0"/>
      <w:divBdr>
        <w:top w:val="none" w:sz="0" w:space="0" w:color="auto"/>
        <w:left w:val="none" w:sz="0" w:space="0" w:color="auto"/>
        <w:bottom w:val="none" w:sz="0" w:space="0" w:color="auto"/>
        <w:right w:val="none" w:sz="0" w:space="0" w:color="auto"/>
      </w:divBdr>
    </w:div>
    <w:div w:id="1885677745">
      <w:bodyDiv w:val="1"/>
      <w:marLeft w:val="0"/>
      <w:marRight w:val="0"/>
      <w:marTop w:val="0"/>
      <w:marBottom w:val="0"/>
      <w:divBdr>
        <w:top w:val="none" w:sz="0" w:space="0" w:color="auto"/>
        <w:left w:val="none" w:sz="0" w:space="0" w:color="auto"/>
        <w:bottom w:val="none" w:sz="0" w:space="0" w:color="auto"/>
        <w:right w:val="none" w:sz="0" w:space="0" w:color="auto"/>
      </w:divBdr>
    </w:div>
    <w:div w:id="1899970132">
      <w:bodyDiv w:val="1"/>
      <w:marLeft w:val="0"/>
      <w:marRight w:val="0"/>
      <w:marTop w:val="0"/>
      <w:marBottom w:val="0"/>
      <w:divBdr>
        <w:top w:val="none" w:sz="0" w:space="0" w:color="auto"/>
        <w:left w:val="none" w:sz="0" w:space="0" w:color="auto"/>
        <w:bottom w:val="none" w:sz="0" w:space="0" w:color="auto"/>
        <w:right w:val="none" w:sz="0" w:space="0" w:color="auto"/>
      </w:divBdr>
    </w:div>
    <w:div w:id="1905529197">
      <w:bodyDiv w:val="1"/>
      <w:marLeft w:val="0"/>
      <w:marRight w:val="0"/>
      <w:marTop w:val="0"/>
      <w:marBottom w:val="0"/>
      <w:divBdr>
        <w:top w:val="none" w:sz="0" w:space="0" w:color="auto"/>
        <w:left w:val="none" w:sz="0" w:space="0" w:color="auto"/>
        <w:bottom w:val="none" w:sz="0" w:space="0" w:color="auto"/>
        <w:right w:val="none" w:sz="0" w:space="0" w:color="auto"/>
      </w:divBdr>
    </w:div>
    <w:div w:id="1913849024">
      <w:bodyDiv w:val="1"/>
      <w:marLeft w:val="0"/>
      <w:marRight w:val="0"/>
      <w:marTop w:val="0"/>
      <w:marBottom w:val="0"/>
      <w:divBdr>
        <w:top w:val="none" w:sz="0" w:space="0" w:color="auto"/>
        <w:left w:val="none" w:sz="0" w:space="0" w:color="auto"/>
        <w:bottom w:val="none" w:sz="0" w:space="0" w:color="auto"/>
        <w:right w:val="none" w:sz="0" w:space="0" w:color="auto"/>
      </w:divBdr>
    </w:div>
    <w:div w:id="1940596546">
      <w:bodyDiv w:val="1"/>
      <w:marLeft w:val="0"/>
      <w:marRight w:val="0"/>
      <w:marTop w:val="0"/>
      <w:marBottom w:val="0"/>
      <w:divBdr>
        <w:top w:val="none" w:sz="0" w:space="0" w:color="auto"/>
        <w:left w:val="none" w:sz="0" w:space="0" w:color="auto"/>
        <w:bottom w:val="none" w:sz="0" w:space="0" w:color="auto"/>
        <w:right w:val="none" w:sz="0" w:space="0" w:color="auto"/>
      </w:divBdr>
    </w:div>
    <w:div w:id="1984962221">
      <w:bodyDiv w:val="1"/>
      <w:marLeft w:val="0"/>
      <w:marRight w:val="0"/>
      <w:marTop w:val="0"/>
      <w:marBottom w:val="0"/>
      <w:divBdr>
        <w:top w:val="none" w:sz="0" w:space="0" w:color="auto"/>
        <w:left w:val="none" w:sz="0" w:space="0" w:color="auto"/>
        <w:bottom w:val="none" w:sz="0" w:space="0" w:color="auto"/>
        <w:right w:val="none" w:sz="0" w:space="0" w:color="auto"/>
      </w:divBdr>
    </w:div>
    <w:div w:id="1989481509">
      <w:bodyDiv w:val="1"/>
      <w:marLeft w:val="0"/>
      <w:marRight w:val="0"/>
      <w:marTop w:val="0"/>
      <w:marBottom w:val="0"/>
      <w:divBdr>
        <w:top w:val="none" w:sz="0" w:space="0" w:color="auto"/>
        <w:left w:val="none" w:sz="0" w:space="0" w:color="auto"/>
        <w:bottom w:val="none" w:sz="0" w:space="0" w:color="auto"/>
        <w:right w:val="none" w:sz="0" w:space="0" w:color="auto"/>
      </w:divBdr>
    </w:div>
    <w:div w:id="2003853447">
      <w:bodyDiv w:val="1"/>
      <w:marLeft w:val="0"/>
      <w:marRight w:val="0"/>
      <w:marTop w:val="0"/>
      <w:marBottom w:val="0"/>
      <w:divBdr>
        <w:top w:val="none" w:sz="0" w:space="0" w:color="auto"/>
        <w:left w:val="none" w:sz="0" w:space="0" w:color="auto"/>
        <w:bottom w:val="none" w:sz="0" w:space="0" w:color="auto"/>
        <w:right w:val="none" w:sz="0" w:space="0" w:color="auto"/>
      </w:divBdr>
    </w:div>
    <w:div w:id="2018657571">
      <w:bodyDiv w:val="1"/>
      <w:marLeft w:val="0"/>
      <w:marRight w:val="0"/>
      <w:marTop w:val="0"/>
      <w:marBottom w:val="0"/>
      <w:divBdr>
        <w:top w:val="none" w:sz="0" w:space="0" w:color="auto"/>
        <w:left w:val="none" w:sz="0" w:space="0" w:color="auto"/>
        <w:bottom w:val="none" w:sz="0" w:space="0" w:color="auto"/>
        <w:right w:val="none" w:sz="0" w:space="0" w:color="auto"/>
      </w:divBdr>
    </w:div>
    <w:div w:id="2021858033">
      <w:bodyDiv w:val="1"/>
      <w:marLeft w:val="0"/>
      <w:marRight w:val="0"/>
      <w:marTop w:val="0"/>
      <w:marBottom w:val="0"/>
      <w:divBdr>
        <w:top w:val="none" w:sz="0" w:space="0" w:color="auto"/>
        <w:left w:val="none" w:sz="0" w:space="0" w:color="auto"/>
        <w:bottom w:val="none" w:sz="0" w:space="0" w:color="auto"/>
        <w:right w:val="none" w:sz="0" w:space="0" w:color="auto"/>
      </w:divBdr>
    </w:div>
    <w:div w:id="2055612385">
      <w:bodyDiv w:val="1"/>
      <w:marLeft w:val="0"/>
      <w:marRight w:val="0"/>
      <w:marTop w:val="0"/>
      <w:marBottom w:val="0"/>
      <w:divBdr>
        <w:top w:val="none" w:sz="0" w:space="0" w:color="auto"/>
        <w:left w:val="none" w:sz="0" w:space="0" w:color="auto"/>
        <w:bottom w:val="none" w:sz="0" w:space="0" w:color="auto"/>
        <w:right w:val="none" w:sz="0" w:space="0" w:color="auto"/>
      </w:divBdr>
    </w:div>
    <w:div w:id="2068532059">
      <w:bodyDiv w:val="1"/>
      <w:marLeft w:val="0"/>
      <w:marRight w:val="0"/>
      <w:marTop w:val="0"/>
      <w:marBottom w:val="0"/>
      <w:divBdr>
        <w:top w:val="none" w:sz="0" w:space="0" w:color="auto"/>
        <w:left w:val="none" w:sz="0" w:space="0" w:color="auto"/>
        <w:bottom w:val="none" w:sz="0" w:space="0" w:color="auto"/>
        <w:right w:val="none" w:sz="0" w:space="0" w:color="auto"/>
      </w:divBdr>
    </w:div>
    <w:div w:id="2081099226">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93892341">
      <w:bodyDiv w:val="1"/>
      <w:marLeft w:val="0"/>
      <w:marRight w:val="0"/>
      <w:marTop w:val="0"/>
      <w:marBottom w:val="0"/>
      <w:divBdr>
        <w:top w:val="none" w:sz="0" w:space="0" w:color="auto"/>
        <w:left w:val="none" w:sz="0" w:space="0" w:color="auto"/>
        <w:bottom w:val="none" w:sz="0" w:space="0" w:color="auto"/>
        <w:right w:val="none" w:sz="0" w:space="0" w:color="auto"/>
      </w:divBdr>
    </w:div>
    <w:div w:id="2098363823">
      <w:bodyDiv w:val="1"/>
      <w:marLeft w:val="0"/>
      <w:marRight w:val="0"/>
      <w:marTop w:val="0"/>
      <w:marBottom w:val="0"/>
      <w:divBdr>
        <w:top w:val="none" w:sz="0" w:space="0" w:color="auto"/>
        <w:left w:val="none" w:sz="0" w:space="0" w:color="auto"/>
        <w:bottom w:val="none" w:sz="0" w:space="0" w:color="auto"/>
        <w:right w:val="none" w:sz="0" w:space="0" w:color="auto"/>
      </w:divBdr>
    </w:div>
    <w:div w:id="2108118288">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21951498">
      <w:bodyDiv w:val="1"/>
      <w:marLeft w:val="0"/>
      <w:marRight w:val="0"/>
      <w:marTop w:val="0"/>
      <w:marBottom w:val="0"/>
      <w:divBdr>
        <w:top w:val="none" w:sz="0" w:space="0" w:color="auto"/>
        <w:left w:val="none" w:sz="0" w:space="0" w:color="auto"/>
        <w:bottom w:val="none" w:sz="0" w:space="0" w:color="auto"/>
        <w:right w:val="none" w:sz="0" w:space="0" w:color="auto"/>
      </w:divBdr>
    </w:div>
    <w:div w:id="2125686223">
      <w:bodyDiv w:val="1"/>
      <w:marLeft w:val="0"/>
      <w:marRight w:val="0"/>
      <w:marTop w:val="0"/>
      <w:marBottom w:val="0"/>
      <w:divBdr>
        <w:top w:val="none" w:sz="0" w:space="0" w:color="auto"/>
        <w:left w:val="none" w:sz="0" w:space="0" w:color="auto"/>
        <w:bottom w:val="none" w:sz="0" w:space="0" w:color="auto"/>
        <w:right w:val="none" w:sz="0" w:space="0" w:color="auto"/>
      </w:divBdr>
    </w:div>
    <w:div w:id="2129204630">
      <w:bodyDiv w:val="1"/>
      <w:marLeft w:val="0"/>
      <w:marRight w:val="0"/>
      <w:marTop w:val="0"/>
      <w:marBottom w:val="0"/>
      <w:divBdr>
        <w:top w:val="none" w:sz="0" w:space="0" w:color="auto"/>
        <w:left w:val="none" w:sz="0" w:space="0" w:color="auto"/>
        <w:bottom w:val="none" w:sz="0" w:space="0" w:color="auto"/>
        <w:right w:val="none" w:sz="0" w:space="0" w:color="auto"/>
      </w:divBdr>
    </w:div>
    <w:div w:id="2134472557">
      <w:bodyDiv w:val="1"/>
      <w:marLeft w:val="0"/>
      <w:marRight w:val="0"/>
      <w:marTop w:val="0"/>
      <w:marBottom w:val="0"/>
      <w:divBdr>
        <w:top w:val="none" w:sz="0" w:space="0" w:color="auto"/>
        <w:left w:val="none" w:sz="0" w:space="0" w:color="auto"/>
        <w:bottom w:val="none" w:sz="0" w:space="0" w:color="auto"/>
        <w:right w:val="none" w:sz="0" w:space="0" w:color="auto"/>
      </w:divBdr>
    </w:div>
    <w:div w:id="2136438088">
      <w:bodyDiv w:val="1"/>
      <w:marLeft w:val="0"/>
      <w:marRight w:val="0"/>
      <w:marTop w:val="0"/>
      <w:marBottom w:val="0"/>
      <w:divBdr>
        <w:top w:val="none" w:sz="0" w:space="0" w:color="auto"/>
        <w:left w:val="none" w:sz="0" w:space="0" w:color="auto"/>
        <w:bottom w:val="none" w:sz="0" w:space="0" w:color="auto"/>
        <w:right w:val="none" w:sz="0" w:space="0" w:color="auto"/>
      </w:divBdr>
    </w:div>
    <w:div w:id="2138182407">
      <w:bodyDiv w:val="1"/>
      <w:marLeft w:val="0"/>
      <w:marRight w:val="0"/>
      <w:marTop w:val="0"/>
      <w:marBottom w:val="0"/>
      <w:divBdr>
        <w:top w:val="none" w:sz="0" w:space="0" w:color="auto"/>
        <w:left w:val="none" w:sz="0" w:space="0" w:color="auto"/>
        <w:bottom w:val="none" w:sz="0" w:space="0" w:color="auto"/>
        <w:right w:val="none" w:sz="0" w:space="0" w:color="auto"/>
      </w:divBdr>
    </w:div>
    <w:div w:id="213891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header" Target="header2.xml"/><Relationship Id="rId26" Type="http://schemas.openxmlformats.org/officeDocument/2006/relationships/footer" Target="footer5.xml"/><Relationship Id="rId39" Type="http://schemas.openxmlformats.org/officeDocument/2006/relationships/glossaryDocument" Target="glossary/document.xml"/><Relationship Id="rId21" Type="http://schemas.openxmlformats.org/officeDocument/2006/relationships/header" Target="header4.xml"/><Relationship Id="rId34" Type="http://schemas.openxmlformats.org/officeDocument/2006/relationships/image" Target="media/image4.png"/><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footer" Target="footer1.xml"/><Relationship Id="rId25" Type="http://schemas.openxmlformats.org/officeDocument/2006/relationships/header" Target="header6.xml"/><Relationship Id="rId33" Type="http://schemas.openxmlformats.org/officeDocument/2006/relationships/image" Target="media/image3.png"/><Relationship Id="rId38"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diagramLayout" Target="diagrams/layout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24" Type="http://schemas.openxmlformats.org/officeDocument/2006/relationships/header" Target="header5.xml"/><Relationship Id="rId32" Type="http://schemas.microsoft.com/office/2007/relationships/diagramDrawing" Target="diagrams/drawing1.xml"/><Relationship Id="rId37" Type="http://schemas.openxmlformats.org/officeDocument/2006/relationships/footer" Target="footer6.xml"/><Relationship Id="rId40" Type="http://schemas.openxmlformats.org/officeDocument/2006/relationships/theme" Target="theme/theme1.xml"/><Relationship Id="rId5" Type="http://schemas.openxmlformats.org/officeDocument/2006/relationships/customXml" Target="../customXml/item4.xml"/><Relationship Id="rId15" Type="http://schemas.openxmlformats.org/officeDocument/2006/relationships/image" Target="media/image1.png"/><Relationship Id="rId23" Type="http://schemas.openxmlformats.org/officeDocument/2006/relationships/footer" Target="footer4.xml"/><Relationship Id="rId28" Type="http://schemas.openxmlformats.org/officeDocument/2006/relationships/diagramData" Target="diagrams/data1.xml"/><Relationship Id="rId36" Type="http://schemas.openxmlformats.org/officeDocument/2006/relationships/header" Target="header8.xml"/><Relationship Id="rId10" Type="http://schemas.openxmlformats.org/officeDocument/2006/relationships/styles" Target="styles.xml"/><Relationship Id="rId19" Type="http://schemas.openxmlformats.org/officeDocument/2006/relationships/footer" Target="footer2.xml"/><Relationship Id="rId31" Type="http://schemas.openxmlformats.org/officeDocument/2006/relationships/diagramColors" Target="diagrams/colors1.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 Id="rId27" Type="http://schemas.openxmlformats.org/officeDocument/2006/relationships/image" Target="media/image2.png"/><Relationship Id="rId30" Type="http://schemas.openxmlformats.org/officeDocument/2006/relationships/diagramQuickStyle" Target="diagrams/quickStyle1.xml"/><Relationship Id="rId35" Type="http://schemas.openxmlformats.org/officeDocument/2006/relationships/header" Target="header7.xml"/><Relationship Id="rId8" Type="http://schemas.openxmlformats.org/officeDocument/2006/relationships/customXml" Target="../customXml/item7.xml"/><Relationship Id="rId3"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560BAB2-EFB7-469A-813B-DCC9E0855B37}"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GB"/>
        </a:p>
      </dgm:t>
    </dgm:pt>
    <dgm:pt modelId="{B626DC88-CC25-43DB-B97B-13CB9658F961}">
      <dgm:prSet phldrT="[Text]" custT="1"/>
      <dgm:spPr>
        <a:xfrm rot="5400000">
          <a:off x="-195152" y="374981"/>
          <a:ext cx="1301019" cy="910713"/>
        </a:xfrm>
        <a:prstGeom prst="chevron">
          <a:avLst/>
        </a:prstGeom>
        <a:solidFill>
          <a:srgbClr val="07716C">
            <a:hueOff val="0"/>
            <a:satOff val="0"/>
            <a:lumOff val="0"/>
            <a:alphaOff val="0"/>
          </a:srgbClr>
        </a:solidFill>
        <a:ln w="12700" cap="flat" cmpd="sng" algn="ctr">
          <a:solidFill>
            <a:srgbClr val="07716C">
              <a:hueOff val="0"/>
              <a:satOff val="0"/>
              <a:lumOff val="0"/>
              <a:alphaOff val="0"/>
            </a:srgbClr>
          </a:solidFill>
          <a:prstDash val="solid"/>
          <a:miter lim="800000"/>
        </a:ln>
        <a:effectLst/>
      </dgm:spPr>
      <dgm:t>
        <a:bodyPr/>
        <a:lstStyle/>
        <a:p>
          <a:pPr>
            <a:buNone/>
          </a:pPr>
          <a:r>
            <a:rPr lang="en-GB" sz="1200">
              <a:solidFill>
                <a:srgbClr val="FFFFFF"/>
              </a:solidFill>
              <a:latin typeface="Arial"/>
              <a:ea typeface="+mn-ea"/>
              <a:cs typeface="+mn-cs"/>
            </a:rPr>
            <a:t>Commence - October</a:t>
          </a:r>
        </a:p>
      </dgm:t>
    </dgm:pt>
    <dgm:pt modelId="{1838451F-E94D-43D5-8329-49F04B34EA93}" type="parTrans" cxnId="{3BF624C3-F506-4AC2-B61C-C1E97D88DC15}">
      <dgm:prSet/>
      <dgm:spPr/>
      <dgm:t>
        <a:bodyPr/>
        <a:lstStyle/>
        <a:p>
          <a:endParaRPr lang="en-GB"/>
        </a:p>
      </dgm:t>
    </dgm:pt>
    <dgm:pt modelId="{F6BE69A2-E68A-4565-B782-23FA2A0BBC36}" type="sibTrans" cxnId="{3BF624C3-F506-4AC2-B61C-C1E97D88DC15}">
      <dgm:prSet/>
      <dgm:spPr/>
      <dgm:t>
        <a:bodyPr/>
        <a:lstStyle/>
        <a:p>
          <a:endParaRPr lang="en-GB"/>
        </a:p>
      </dgm:t>
    </dgm:pt>
    <dgm:pt modelId="{E7E58666-6117-4846-B4D5-14BDE40B9AA8}">
      <dgm:prSet phldrT="[Text]" custT="1"/>
      <dgm:spPr>
        <a:xfrm rot="5400000">
          <a:off x="4156723" y="-3242298"/>
          <a:ext cx="1198341" cy="7690361"/>
        </a:xfrm>
        <a:prstGeom prst="round2SameRect">
          <a:avLst/>
        </a:prstGeom>
        <a:solidFill>
          <a:srgbClr val="FFFFFF">
            <a:alpha val="90000"/>
            <a:hueOff val="0"/>
            <a:satOff val="0"/>
            <a:lumOff val="0"/>
            <a:alphaOff val="0"/>
          </a:srgbClr>
        </a:solidFill>
        <a:ln w="12700" cap="flat" cmpd="sng" algn="ctr">
          <a:solidFill>
            <a:srgbClr val="07716C">
              <a:hueOff val="0"/>
              <a:satOff val="0"/>
              <a:lumOff val="0"/>
              <a:alphaOff val="0"/>
            </a:srgbClr>
          </a:solidFill>
          <a:prstDash val="solid"/>
          <a:miter lim="800000"/>
        </a:ln>
        <a:effectLst/>
      </dgm:spPr>
      <dgm:t>
        <a:bodyPr/>
        <a:lstStyle/>
        <a:p>
          <a:pPr>
            <a:buNone/>
          </a:pPr>
          <a:r>
            <a:rPr lang="en-GB" sz="1200">
              <a:solidFill>
                <a:sysClr val="windowText" lastClr="000000">
                  <a:hueOff val="0"/>
                  <a:satOff val="0"/>
                  <a:lumOff val="0"/>
                  <a:alphaOff val="0"/>
                </a:sysClr>
              </a:solidFill>
              <a:latin typeface="Arial"/>
              <a:ea typeface="+mn-ea"/>
              <a:cs typeface="+mn-cs"/>
            </a:rPr>
            <a:t>Aligned</a:t>
          </a:r>
          <a:r>
            <a:rPr lang="en-GB" sz="1200" baseline="0">
              <a:solidFill>
                <a:sysClr val="windowText" lastClr="000000">
                  <a:hueOff val="0"/>
                  <a:satOff val="0"/>
                  <a:lumOff val="0"/>
                  <a:alphaOff val="0"/>
                </a:sysClr>
              </a:solidFill>
              <a:latin typeface="Arial"/>
              <a:ea typeface="+mn-ea"/>
              <a:cs typeface="+mn-cs"/>
            </a:rPr>
            <a:t> with the planning round:</a:t>
          </a:r>
          <a:endParaRPr lang="en-GB" sz="1200">
            <a:solidFill>
              <a:sysClr val="windowText" lastClr="000000">
                <a:hueOff val="0"/>
                <a:satOff val="0"/>
                <a:lumOff val="0"/>
                <a:alphaOff val="0"/>
              </a:sysClr>
            </a:solidFill>
            <a:latin typeface="Arial"/>
            <a:ea typeface="+mn-ea"/>
            <a:cs typeface="+mn-cs"/>
          </a:endParaRPr>
        </a:p>
      </dgm:t>
    </dgm:pt>
    <dgm:pt modelId="{B8FB9396-3BAE-4F7B-8B88-EF2150B6E8FE}" type="parTrans" cxnId="{0EE412F9-8DA5-4354-BC40-C1A5B3674C1A}">
      <dgm:prSet/>
      <dgm:spPr/>
      <dgm:t>
        <a:bodyPr/>
        <a:lstStyle/>
        <a:p>
          <a:endParaRPr lang="en-GB"/>
        </a:p>
      </dgm:t>
    </dgm:pt>
    <dgm:pt modelId="{4EC57BF8-A358-4862-93B5-2CBD98F6FA46}" type="sibTrans" cxnId="{0EE412F9-8DA5-4354-BC40-C1A5B3674C1A}">
      <dgm:prSet/>
      <dgm:spPr/>
      <dgm:t>
        <a:bodyPr/>
        <a:lstStyle/>
        <a:p>
          <a:endParaRPr lang="en-GB"/>
        </a:p>
      </dgm:t>
    </dgm:pt>
    <dgm:pt modelId="{CB1EA15E-A133-46F9-9F32-7D1265EA6A25}">
      <dgm:prSet phldrT="[Text]" custT="1"/>
      <dgm:spPr>
        <a:xfrm rot="5400000">
          <a:off x="4156723" y="-3242298"/>
          <a:ext cx="1198341" cy="7690361"/>
        </a:xfrm>
        <a:prstGeom prst="round2SameRect">
          <a:avLst/>
        </a:prstGeom>
        <a:solidFill>
          <a:srgbClr val="FFFFFF">
            <a:alpha val="90000"/>
            <a:hueOff val="0"/>
            <a:satOff val="0"/>
            <a:lumOff val="0"/>
            <a:alphaOff val="0"/>
          </a:srgbClr>
        </a:solidFill>
        <a:ln w="12700" cap="flat" cmpd="sng" algn="ctr">
          <a:solidFill>
            <a:srgbClr val="07716C">
              <a:hueOff val="0"/>
              <a:satOff val="0"/>
              <a:lumOff val="0"/>
              <a:alphaOff val="0"/>
            </a:srgbClr>
          </a:solidFill>
          <a:prstDash val="solid"/>
          <a:miter lim="800000"/>
        </a:ln>
        <a:effectLst/>
      </dgm:spPr>
      <dgm:t>
        <a:bodyPr/>
        <a:lstStyle/>
        <a:p>
          <a:pPr>
            <a:buChar char="•"/>
          </a:pPr>
          <a:r>
            <a:rPr lang="en-GB" sz="1200">
              <a:solidFill>
                <a:sysClr val="windowText" lastClr="000000">
                  <a:hueOff val="0"/>
                  <a:satOff val="0"/>
                  <a:lumOff val="0"/>
                  <a:alphaOff val="0"/>
                </a:sysClr>
              </a:solidFill>
              <a:latin typeface="Arial"/>
              <a:ea typeface="+mn-ea"/>
              <a:cs typeface="+mn-cs"/>
            </a:rPr>
            <a:t>DoR request to HoR to draft RAL's and take through governance.</a:t>
          </a:r>
        </a:p>
      </dgm:t>
    </dgm:pt>
    <dgm:pt modelId="{B636E6D4-6A92-48F4-8957-8E60CBC252C7}" type="parTrans" cxnId="{C812C6EB-73B7-4FE5-B9A2-D890A1FD4230}">
      <dgm:prSet/>
      <dgm:spPr/>
      <dgm:t>
        <a:bodyPr/>
        <a:lstStyle/>
        <a:p>
          <a:endParaRPr lang="en-GB"/>
        </a:p>
      </dgm:t>
    </dgm:pt>
    <dgm:pt modelId="{6E9EB34C-D36B-4C64-933D-8A1A404F7783}" type="sibTrans" cxnId="{C812C6EB-73B7-4FE5-B9A2-D890A1FD4230}">
      <dgm:prSet/>
      <dgm:spPr/>
      <dgm:t>
        <a:bodyPr/>
        <a:lstStyle/>
        <a:p>
          <a:endParaRPr lang="en-GB"/>
        </a:p>
      </dgm:t>
    </dgm:pt>
    <dgm:pt modelId="{39342675-4BCB-4E0D-BAB4-A43B21407D95}">
      <dgm:prSet phldrT="[Text]" custT="1"/>
      <dgm:spPr>
        <a:xfrm rot="5400000">
          <a:off x="-195152" y="1535679"/>
          <a:ext cx="1301019" cy="910713"/>
        </a:xfrm>
        <a:prstGeom prst="chevron">
          <a:avLst/>
        </a:prstGeom>
        <a:solidFill>
          <a:srgbClr val="07716C">
            <a:hueOff val="0"/>
            <a:satOff val="0"/>
            <a:lumOff val="0"/>
            <a:alphaOff val="0"/>
          </a:srgbClr>
        </a:solidFill>
        <a:ln w="12700" cap="flat" cmpd="sng" algn="ctr">
          <a:solidFill>
            <a:srgbClr val="07716C">
              <a:hueOff val="0"/>
              <a:satOff val="0"/>
              <a:lumOff val="0"/>
              <a:alphaOff val="0"/>
            </a:srgbClr>
          </a:solidFill>
          <a:prstDash val="solid"/>
          <a:miter lim="800000"/>
        </a:ln>
        <a:effectLst/>
      </dgm:spPr>
      <dgm:t>
        <a:bodyPr/>
        <a:lstStyle/>
        <a:p>
          <a:pPr>
            <a:buNone/>
          </a:pPr>
          <a:r>
            <a:rPr lang="en-GB" sz="1200">
              <a:solidFill>
                <a:srgbClr val="FFFFFF"/>
              </a:solidFill>
              <a:latin typeface="Arial"/>
              <a:ea typeface="+mn-ea"/>
              <a:cs typeface="+mn-cs"/>
            </a:rPr>
            <a:t>Directorate governance - January</a:t>
          </a:r>
        </a:p>
      </dgm:t>
    </dgm:pt>
    <dgm:pt modelId="{598712F4-26EF-4000-94A8-5538A0B495C5}" type="parTrans" cxnId="{A866CEA8-3E80-4681-B5C8-833AE0DD274F}">
      <dgm:prSet/>
      <dgm:spPr/>
      <dgm:t>
        <a:bodyPr/>
        <a:lstStyle/>
        <a:p>
          <a:endParaRPr lang="en-GB"/>
        </a:p>
      </dgm:t>
    </dgm:pt>
    <dgm:pt modelId="{A1503CE8-2A5A-4806-B525-DFA35F050DBF}" type="sibTrans" cxnId="{A866CEA8-3E80-4681-B5C8-833AE0DD274F}">
      <dgm:prSet/>
      <dgm:spPr/>
      <dgm:t>
        <a:bodyPr/>
        <a:lstStyle/>
        <a:p>
          <a:endParaRPr lang="en-GB"/>
        </a:p>
      </dgm:t>
    </dgm:pt>
    <dgm:pt modelId="{C79CBA1E-4CBF-42C9-B733-D41E3A2943EC}">
      <dgm:prSet phldrT="[Text]" custT="1"/>
      <dgm:spPr>
        <a:xfrm rot="5400000">
          <a:off x="4333062" y="-2081823"/>
          <a:ext cx="845662" cy="7690361"/>
        </a:xfrm>
        <a:prstGeom prst="round2SameRect">
          <a:avLst/>
        </a:prstGeom>
        <a:solidFill>
          <a:srgbClr val="FFFFFF">
            <a:alpha val="90000"/>
            <a:hueOff val="0"/>
            <a:satOff val="0"/>
            <a:lumOff val="0"/>
            <a:alphaOff val="0"/>
          </a:srgbClr>
        </a:solidFill>
        <a:ln w="12700" cap="flat" cmpd="sng" algn="ctr">
          <a:solidFill>
            <a:srgbClr val="07716C">
              <a:hueOff val="0"/>
              <a:satOff val="0"/>
              <a:lumOff val="0"/>
              <a:alphaOff val="0"/>
            </a:srgbClr>
          </a:solidFill>
          <a:prstDash val="solid"/>
          <a:miter lim="800000"/>
        </a:ln>
        <a:effectLst/>
      </dgm:spPr>
      <dgm:t>
        <a:bodyPr/>
        <a:lstStyle/>
        <a:p>
          <a:pPr>
            <a:buChar char="•"/>
          </a:pPr>
          <a:r>
            <a:rPr lang="en-GB" sz="1200">
              <a:solidFill>
                <a:sysClr val="windowText" lastClr="000000">
                  <a:hueOff val="0"/>
                  <a:satOff val="0"/>
                  <a:lumOff val="0"/>
                  <a:alphaOff val="0"/>
                </a:sysClr>
              </a:solidFill>
              <a:latin typeface="Arial"/>
              <a:ea typeface="+mn-ea"/>
              <a:cs typeface="+mn-cs"/>
            </a:rPr>
            <a:t>DoR apply proportionate governance to the sub-directorate delivery and decisions, as per section 3.</a:t>
          </a:r>
        </a:p>
      </dgm:t>
    </dgm:pt>
    <dgm:pt modelId="{FC469DCB-B9D5-4E76-A541-950C44569E5A}" type="parTrans" cxnId="{7B7FF612-FF00-43E3-8E5F-0071D027FFE1}">
      <dgm:prSet/>
      <dgm:spPr/>
      <dgm:t>
        <a:bodyPr/>
        <a:lstStyle/>
        <a:p>
          <a:endParaRPr lang="en-GB"/>
        </a:p>
      </dgm:t>
    </dgm:pt>
    <dgm:pt modelId="{9298282F-556B-45D5-B4AD-79B8DEE2C4DA}" type="sibTrans" cxnId="{7B7FF612-FF00-43E3-8E5F-0071D027FFE1}">
      <dgm:prSet/>
      <dgm:spPr/>
      <dgm:t>
        <a:bodyPr/>
        <a:lstStyle/>
        <a:p>
          <a:endParaRPr lang="en-GB"/>
        </a:p>
      </dgm:t>
    </dgm:pt>
    <dgm:pt modelId="{91333C93-6981-40ED-9D7C-7E180352FA35}">
      <dgm:prSet phldrT="[Text]" custT="1"/>
      <dgm:spPr>
        <a:xfrm rot="5400000">
          <a:off x="-195152" y="2696376"/>
          <a:ext cx="1301019" cy="910713"/>
        </a:xfrm>
        <a:prstGeom prst="chevron">
          <a:avLst/>
        </a:prstGeom>
        <a:solidFill>
          <a:srgbClr val="07716C">
            <a:hueOff val="0"/>
            <a:satOff val="0"/>
            <a:lumOff val="0"/>
            <a:alphaOff val="0"/>
          </a:srgbClr>
        </a:solidFill>
        <a:ln w="12700" cap="flat" cmpd="sng" algn="ctr">
          <a:solidFill>
            <a:srgbClr val="07716C">
              <a:hueOff val="0"/>
              <a:satOff val="0"/>
              <a:lumOff val="0"/>
              <a:alphaOff val="0"/>
            </a:srgbClr>
          </a:solidFill>
          <a:prstDash val="solid"/>
          <a:miter lim="800000"/>
        </a:ln>
        <a:effectLst/>
      </dgm:spPr>
      <dgm:t>
        <a:bodyPr/>
        <a:lstStyle/>
        <a:p>
          <a:pPr>
            <a:buNone/>
          </a:pPr>
          <a:r>
            <a:rPr lang="en-GB" sz="1200">
              <a:solidFill>
                <a:srgbClr val="FFFFFF"/>
              </a:solidFill>
              <a:latin typeface="Arial"/>
              <a:ea typeface="+mn-ea"/>
              <a:cs typeface="+mn-cs"/>
            </a:rPr>
            <a:t>RLT governance -  February</a:t>
          </a:r>
        </a:p>
      </dgm:t>
    </dgm:pt>
    <dgm:pt modelId="{01EBBBFA-2016-4DE9-A346-BF893CA9CE58}" type="parTrans" cxnId="{57A4DE7D-9665-412D-A279-0442B2ACC780}">
      <dgm:prSet/>
      <dgm:spPr/>
      <dgm:t>
        <a:bodyPr/>
        <a:lstStyle/>
        <a:p>
          <a:endParaRPr lang="en-GB"/>
        </a:p>
      </dgm:t>
    </dgm:pt>
    <dgm:pt modelId="{488E038F-8F16-4530-BFC1-449C94B1B150}" type="sibTrans" cxnId="{57A4DE7D-9665-412D-A279-0442B2ACC780}">
      <dgm:prSet/>
      <dgm:spPr/>
      <dgm:t>
        <a:bodyPr/>
        <a:lstStyle/>
        <a:p>
          <a:endParaRPr lang="en-GB"/>
        </a:p>
      </dgm:t>
    </dgm:pt>
    <dgm:pt modelId="{471EF2B7-F59D-4021-A3BB-7E15D04D7A21}">
      <dgm:prSet phldrT="[Text]" custT="1"/>
      <dgm:spPr>
        <a:xfrm rot="5400000">
          <a:off x="4333062" y="-921125"/>
          <a:ext cx="845662" cy="7690361"/>
        </a:xfrm>
        <a:prstGeom prst="round2SameRect">
          <a:avLst/>
        </a:prstGeom>
        <a:solidFill>
          <a:srgbClr val="FFFFFF">
            <a:alpha val="90000"/>
            <a:hueOff val="0"/>
            <a:satOff val="0"/>
            <a:lumOff val="0"/>
            <a:alphaOff val="0"/>
          </a:srgbClr>
        </a:solidFill>
        <a:ln w="12700" cap="flat" cmpd="sng" algn="ctr">
          <a:solidFill>
            <a:srgbClr val="07716C">
              <a:hueOff val="0"/>
              <a:satOff val="0"/>
              <a:lumOff val="0"/>
              <a:alphaOff val="0"/>
            </a:srgbClr>
          </a:solidFill>
          <a:prstDash val="solid"/>
          <a:miter lim="800000"/>
        </a:ln>
        <a:effectLst/>
      </dgm:spPr>
      <dgm:t>
        <a:bodyPr/>
        <a:lstStyle/>
        <a:p>
          <a:pPr>
            <a:buChar char="•"/>
          </a:pPr>
          <a:r>
            <a:rPr lang="en-GB" sz="1200">
              <a:solidFill>
                <a:sysClr val="windowText" lastClr="000000">
                  <a:hueOff val="0"/>
                  <a:satOff val="0"/>
                  <a:lumOff val="0"/>
                  <a:alphaOff val="0"/>
                </a:sysClr>
              </a:solidFill>
              <a:latin typeface="Arial"/>
              <a:ea typeface="+mn-ea"/>
              <a:cs typeface="+mn-cs"/>
            </a:rPr>
            <a:t>DCNI apply proportionate governance, as per section 3.</a:t>
          </a:r>
        </a:p>
      </dgm:t>
    </dgm:pt>
    <dgm:pt modelId="{37323A56-99A0-4872-8C06-000F14846CEE}" type="parTrans" cxnId="{B2BF522B-4EB1-4F6F-ACE4-0263B4C81923}">
      <dgm:prSet/>
      <dgm:spPr/>
      <dgm:t>
        <a:bodyPr/>
        <a:lstStyle/>
        <a:p>
          <a:endParaRPr lang="en-GB"/>
        </a:p>
      </dgm:t>
    </dgm:pt>
    <dgm:pt modelId="{50C11372-0573-44EA-BDA1-ED372E8E512B}" type="sibTrans" cxnId="{B2BF522B-4EB1-4F6F-ACE4-0263B4C81923}">
      <dgm:prSet/>
      <dgm:spPr/>
      <dgm:t>
        <a:bodyPr/>
        <a:lstStyle/>
        <a:p>
          <a:endParaRPr lang="en-GB"/>
        </a:p>
      </dgm:t>
    </dgm:pt>
    <dgm:pt modelId="{470AA8D4-CFA7-4057-AFDB-BED6520D8943}">
      <dgm:prSet phldrT="[Text]" custT="1"/>
      <dgm:spPr>
        <a:xfrm rot="5400000">
          <a:off x="4156723" y="-3242298"/>
          <a:ext cx="1198341" cy="7690361"/>
        </a:xfrm>
        <a:prstGeom prst="round2SameRect">
          <a:avLst/>
        </a:prstGeom>
        <a:solidFill>
          <a:srgbClr val="FFFFFF">
            <a:alpha val="90000"/>
            <a:hueOff val="0"/>
            <a:satOff val="0"/>
            <a:lumOff val="0"/>
            <a:alphaOff val="0"/>
          </a:srgbClr>
        </a:solidFill>
        <a:ln w="12700" cap="flat" cmpd="sng" algn="ctr">
          <a:solidFill>
            <a:srgbClr val="07716C">
              <a:hueOff val="0"/>
              <a:satOff val="0"/>
              <a:lumOff val="0"/>
              <a:alphaOff val="0"/>
            </a:srgbClr>
          </a:solidFill>
          <a:prstDash val="solid"/>
          <a:miter lim="800000"/>
        </a:ln>
        <a:effectLst/>
      </dgm:spPr>
      <dgm:t>
        <a:bodyPr/>
        <a:lstStyle/>
        <a:p>
          <a:pPr>
            <a:buChar char="•"/>
          </a:pPr>
          <a:r>
            <a:rPr lang="en-GB" sz="1200">
              <a:solidFill>
                <a:sysClr val="windowText" lastClr="000000">
                  <a:hueOff val="0"/>
                  <a:satOff val="0"/>
                  <a:lumOff val="0"/>
                  <a:alphaOff val="0"/>
                </a:sysClr>
              </a:solidFill>
              <a:latin typeface="Arial"/>
              <a:ea typeface="+mn-ea"/>
              <a:cs typeface="+mn-cs"/>
            </a:rPr>
            <a:t>NSI's/regulatory purpose Site Leads coordinate the drafting of the RAL's, utilising management information (MI) from WIReD and regulatory intelligence.</a:t>
          </a:r>
        </a:p>
      </dgm:t>
    </dgm:pt>
    <dgm:pt modelId="{B36C7777-CDC9-44CE-AB7F-78C80DD2F22C}" type="parTrans" cxnId="{E3454A34-5AF7-4FC3-8241-E3436576AB90}">
      <dgm:prSet/>
      <dgm:spPr/>
      <dgm:t>
        <a:bodyPr/>
        <a:lstStyle/>
        <a:p>
          <a:endParaRPr lang="en-GB"/>
        </a:p>
      </dgm:t>
    </dgm:pt>
    <dgm:pt modelId="{1ABD529C-EA94-4ED9-8652-65F463D0961A}" type="sibTrans" cxnId="{E3454A34-5AF7-4FC3-8241-E3436576AB90}">
      <dgm:prSet/>
      <dgm:spPr/>
      <dgm:t>
        <a:bodyPr/>
        <a:lstStyle/>
        <a:p>
          <a:endParaRPr lang="en-GB"/>
        </a:p>
      </dgm:t>
    </dgm:pt>
    <dgm:pt modelId="{4E31E6BC-02C2-49E2-A1EB-31FB71467FF9}">
      <dgm:prSet phldrT="[Text]" custT="1"/>
      <dgm:spPr>
        <a:xfrm rot="5400000">
          <a:off x="4156723" y="-3242298"/>
          <a:ext cx="1198341" cy="7690361"/>
        </a:xfrm>
        <a:prstGeom prst="round2SameRect">
          <a:avLst/>
        </a:prstGeom>
        <a:solidFill>
          <a:srgbClr val="FFFFFF">
            <a:alpha val="90000"/>
            <a:hueOff val="0"/>
            <a:satOff val="0"/>
            <a:lumOff val="0"/>
            <a:alphaOff val="0"/>
          </a:srgbClr>
        </a:solidFill>
        <a:ln w="12700" cap="flat" cmpd="sng" algn="ctr">
          <a:solidFill>
            <a:srgbClr val="07716C">
              <a:hueOff val="0"/>
              <a:satOff val="0"/>
              <a:lumOff val="0"/>
              <a:alphaOff val="0"/>
            </a:srgbClr>
          </a:solidFill>
          <a:prstDash val="solid"/>
          <a:miter lim="800000"/>
        </a:ln>
        <a:effectLst/>
      </dgm:spPr>
      <dgm:t>
        <a:bodyPr/>
        <a:lstStyle/>
        <a:p>
          <a:pPr>
            <a:buChar char="•"/>
          </a:pPr>
          <a:r>
            <a:rPr lang="en-GB" sz="1200">
              <a:solidFill>
                <a:sysClr val="windowText" lastClr="000000">
                  <a:hueOff val="0"/>
                  <a:satOff val="0"/>
                  <a:lumOff val="0"/>
                  <a:alphaOff val="0"/>
                </a:sysClr>
              </a:solidFill>
              <a:latin typeface="Arial"/>
              <a:ea typeface="+mn-ea"/>
              <a:cs typeface="+mn-cs"/>
            </a:rPr>
            <a:t>HoR apply governance, as set out in section 3.</a:t>
          </a:r>
        </a:p>
      </dgm:t>
    </dgm:pt>
    <dgm:pt modelId="{ED4BC70C-874E-43ED-A30B-21DC1AACE2EE}" type="parTrans" cxnId="{22921452-C6A5-414A-8759-B5B71D1E5271}">
      <dgm:prSet/>
      <dgm:spPr/>
      <dgm:t>
        <a:bodyPr/>
        <a:lstStyle/>
        <a:p>
          <a:endParaRPr lang="en-GB"/>
        </a:p>
      </dgm:t>
    </dgm:pt>
    <dgm:pt modelId="{E26A0E4F-A420-48BD-A5E8-B6B9875BD94A}" type="sibTrans" cxnId="{22921452-C6A5-414A-8759-B5B71D1E5271}">
      <dgm:prSet/>
      <dgm:spPr/>
      <dgm:t>
        <a:bodyPr/>
        <a:lstStyle/>
        <a:p>
          <a:endParaRPr lang="en-GB"/>
        </a:p>
      </dgm:t>
    </dgm:pt>
    <dgm:pt modelId="{D12EE97D-70FF-4A7D-B9EA-E93F4F15B288}">
      <dgm:prSet phldrT="[Text]" custT="1"/>
      <dgm:spPr>
        <a:xfrm rot="5400000">
          <a:off x="4333062" y="-2081823"/>
          <a:ext cx="845662" cy="7690361"/>
        </a:xfrm>
        <a:prstGeom prst="round2SameRect">
          <a:avLst/>
        </a:prstGeom>
        <a:solidFill>
          <a:srgbClr val="FFFFFF">
            <a:alpha val="90000"/>
            <a:hueOff val="0"/>
            <a:satOff val="0"/>
            <a:lumOff val="0"/>
            <a:alphaOff val="0"/>
          </a:srgbClr>
        </a:solidFill>
        <a:ln w="12700" cap="flat" cmpd="sng" algn="ctr">
          <a:solidFill>
            <a:srgbClr val="07716C">
              <a:hueOff val="0"/>
              <a:satOff val="0"/>
              <a:lumOff val="0"/>
              <a:alphaOff val="0"/>
            </a:srgbClr>
          </a:solidFill>
          <a:prstDash val="solid"/>
          <a:miter lim="800000"/>
        </a:ln>
        <a:effectLst/>
      </dgm:spPr>
      <dgm:t>
        <a:bodyPr/>
        <a:lstStyle/>
        <a:p>
          <a:pPr>
            <a:buChar char="•"/>
          </a:pPr>
          <a:r>
            <a:rPr lang="en-GB" sz="1200">
              <a:solidFill>
                <a:sysClr val="windowText" lastClr="000000">
                  <a:hueOff val="0"/>
                  <a:satOff val="0"/>
                  <a:lumOff val="0"/>
                  <a:alphaOff val="0"/>
                </a:sysClr>
              </a:solidFill>
              <a:latin typeface="Arial"/>
              <a:ea typeface="+mn-ea"/>
              <a:cs typeface="+mn-cs"/>
            </a:rPr>
            <a:t>Approval of RALs at 'enhanced' and 'significantly enhanced' RALs.</a:t>
          </a:r>
        </a:p>
      </dgm:t>
    </dgm:pt>
    <dgm:pt modelId="{37CFE759-6D9C-4674-B295-1703784323CB}" type="parTrans" cxnId="{DD61C5B3-527F-4495-8C1E-1BC849318585}">
      <dgm:prSet/>
      <dgm:spPr/>
      <dgm:t>
        <a:bodyPr/>
        <a:lstStyle/>
        <a:p>
          <a:endParaRPr lang="en-GB"/>
        </a:p>
      </dgm:t>
    </dgm:pt>
    <dgm:pt modelId="{60073096-6152-40F1-9AEB-E6A386C713C7}" type="sibTrans" cxnId="{DD61C5B3-527F-4495-8C1E-1BC849318585}">
      <dgm:prSet/>
      <dgm:spPr/>
      <dgm:t>
        <a:bodyPr/>
        <a:lstStyle/>
        <a:p>
          <a:endParaRPr lang="en-GB"/>
        </a:p>
      </dgm:t>
    </dgm:pt>
    <dgm:pt modelId="{164E6DFA-146D-43B2-BAE7-9F1A5E315C89}">
      <dgm:prSet phldrT="[Text]" custT="1"/>
      <dgm:spPr>
        <a:xfrm rot="5400000">
          <a:off x="4333062" y="-2081823"/>
          <a:ext cx="845662" cy="7690361"/>
        </a:xfrm>
        <a:prstGeom prst="round2SameRect">
          <a:avLst/>
        </a:prstGeom>
        <a:solidFill>
          <a:srgbClr val="FFFFFF">
            <a:alpha val="90000"/>
            <a:hueOff val="0"/>
            <a:satOff val="0"/>
            <a:lumOff val="0"/>
            <a:alphaOff val="0"/>
          </a:srgbClr>
        </a:solidFill>
        <a:ln w="12700" cap="flat" cmpd="sng" algn="ctr">
          <a:solidFill>
            <a:srgbClr val="07716C">
              <a:hueOff val="0"/>
              <a:satOff val="0"/>
              <a:lumOff val="0"/>
              <a:alphaOff val="0"/>
            </a:srgbClr>
          </a:solidFill>
          <a:prstDash val="solid"/>
          <a:miter lim="800000"/>
        </a:ln>
        <a:effectLst/>
      </dgm:spPr>
      <dgm:t>
        <a:bodyPr/>
        <a:lstStyle/>
        <a:p>
          <a:pPr>
            <a:buChar char="•"/>
          </a:pPr>
          <a:r>
            <a:rPr lang="en-GB" sz="1200">
              <a:solidFill>
                <a:sysClr val="windowText" lastClr="000000">
                  <a:hueOff val="0"/>
                  <a:satOff val="0"/>
                  <a:lumOff val="0"/>
                  <a:alphaOff val="0"/>
                </a:sysClr>
              </a:solidFill>
              <a:latin typeface="Arial"/>
              <a:ea typeface="+mn-ea"/>
              <a:cs typeface="+mn-cs"/>
            </a:rPr>
            <a:t>Compiled list of sites and the associated RALs listed to support RLT governance.</a:t>
          </a:r>
        </a:p>
      </dgm:t>
    </dgm:pt>
    <dgm:pt modelId="{D8EA683A-EC7C-4B26-8E30-63517B37E752}" type="parTrans" cxnId="{C8EC2437-8790-48CD-9568-179F1C13DC5A}">
      <dgm:prSet/>
      <dgm:spPr/>
      <dgm:t>
        <a:bodyPr/>
        <a:lstStyle/>
        <a:p>
          <a:endParaRPr lang="en-GB"/>
        </a:p>
      </dgm:t>
    </dgm:pt>
    <dgm:pt modelId="{B08C006B-966C-4CCE-864D-688E39D13BDF}" type="sibTrans" cxnId="{C8EC2437-8790-48CD-9568-179F1C13DC5A}">
      <dgm:prSet/>
      <dgm:spPr/>
      <dgm:t>
        <a:bodyPr/>
        <a:lstStyle/>
        <a:p>
          <a:endParaRPr lang="en-GB"/>
        </a:p>
      </dgm:t>
    </dgm:pt>
    <dgm:pt modelId="{C209B0CF-9F5B-4724-A459-B46162C9619B}">
      <dgm:prSet phldrT="[Text]" custT="1"/>
      <dgm:spPr>
        <a:xfrm rot="5400000">
          <a:off x="4333062" y="-921125"/>
          <a:ext cx="845662" cy="7690361"/>
        </a:xfrm>
        <a:prstGeom prst="round2SameRect">
          <a:avLst/>
        </a:prstGeom>
        <a:solidFill>
          <a:srgbClr val="FFFFFF">
            <a:alpha val="90000"/>
            <a:hueOff val="0"/>
            <a:satOff val="0"/>
            <a:lumOff val="0"/>
            <a:alphaOff val="0"/>
          </a:srgbClr>
        </a:solidFill>
        <a:ln w="12700" cap="flat" cmpd="sng" algn="ctr">
          <a:solidFill>
            <a:srgbClr val="07716C">
              <a:hueOff val="0"/>
              <a:satOff val="0"/>
              <a:lumOff val="0"/>
              <a:alphaOff val="0"/>
            </a:srgbClr>
          </a:solidFill>
          <a:prstDash val="solid"/>
          <a:miter lim="800000"/>
        </a:ln>
        <a:effectLst/>
      </dgm:spPr>
      <dgm:t>
        <a:bodyPr/>
        <a:lstStyle/>
        <a:p>
          <a:pPr>
            <a:buChar char="•"/>
          </a:pPr>
          <a:r>
            <a:rPr lang="en-GB" sz="1200">
              <a:solidFill>
                <a:sysClr val="windowText" lastClr="000000">
                  <a:hueOff val="0"/>
                  <a:satOff val="0"/>
                  <a:lumOff val="0"/>
                  <a:alphaOff val="0"/>
                </a:sysClr>
              </a:solidFill>
              <a:latin typeface="Arial"/>
              <a:ea typeface="+mn-ea"/>
              <a:cs typeface="+mn-cs"/>
            </a:rPr>
            <a:t>Output of consolidated list of sites and the associated RALs to support communication back to regulatory directorates and the ONR Communications team for ONR publications.</a:t>
          </a:r>
        </a:p>
      </dgm:t>
    </dgm:pt>
    <dgm:pt modelId="{49D6C45D-40A3-49D8-B1B4-91ED81BD6E32}" type="parTrans" cxnId="{F83AC393-B7FB-4D51-AB99-1926512462FC}">
      <dgm:prSet/>
      <dgm:spPr/>
      <dgm:t>
        <a:bodyPr/>
        <a:lstStyle/>
        <a:p>
          <a:endParaRPr lang="en-GB"/>
        </a:p>
      </dgm:t>
    </dgm:pt>
    <dgm:pt modelId="{41074098-9606-4C93-8B4F-4E1D4C708BA3}" type="sibTrans" cxnId="{F83AC393-B7FB-4D51-AB99-1926512462FC}">
      <dgm:prSet/>
      <dgm:spPr/>
      <dgm:t>
        <a:bodyPr/>
        <a:lstStyle/>
        <a:p>
          <a:endParaRPr lang="en-GB"/>
        </a:p>
      </dgm:t>
    </dgm:pt>
    <dgm:pt modelId="{F7CC864A-AE24-4EF3-94B7-10F5B8D1CC6A}">
      <dgm:prSet phldrT="[Text]" custT="1"/>
      <dgm:spPr>
        <a:xfrm rot="5400000">
          <a:off x="-195152" y="3857073"/>
          <a:ext cx="1301019" cy="910713"/>
        </a:xfrm>
        <a:prstGeom prst="chevron">
          <a:avLst/>
        </a:prstGeom>
        <a:solidFill>
          <a:srgbClr val="07716C">
            <a:hueOff val="0"/>
            <a:satOff val="0"/>
            <a:lumOff val="0"/>
            <a:alphaOff val="0"/>
          </a:srgbClr>
        </a:solidFill>
        <a:ln w="12700" cap="flat" cmpd="sng" algn="ctr">
          <a:solidFill>
            <a:srgbClr val="07716C">
              <a:hueOff val="0"/>
              <a:satOff val="0"/>
              <a:lumOff val="0"/>
              <a:alphaOff val="0"/>
            </a:srgbClr>
          </a:solidFill>
          <a:prstDash val="solid"/>
          <a:miter lim="800000"/>
        </a:ln>
        <a:effectLst/>
      </dgm:spPr>
      <dgm:t>
        <a:bodyPr/>
        <a:lstStyle/>
        <a:p>
          <a:pPr>
            <a:buNone/>
          </a:pPr>
          <a:r>
            <a:rPr lang="en-GB" sz="1200">
              <a:solidFill>
                <a:srgbClr val="FFFFFF"/>
              </a:solidFill>
              <a:latin typeface="Arial"/>
              <a:ea typeface="+mn-ea"/>
              <a:cs typeface="+mn-cs"/>
            </a:rPr>
            <a:t>Finalise - March</a:t>
          </a:r>
        </a:p>
      </dgm:t>
    </dgm:pt>
    <dgm:pt modelId="{21B7A443-EDC5-4725-A297-B0FA9E902DBC}" type="parTrans" cxnId="{7203B2EB-E95E-4BAB-AE21-74B37BD17D63}">
      <dgm:prSet/>
      <dgm:spPr/>
      <dgm:t>
        <a:bodyPr/>
        <a:lstStyle/>
        <a:p>
          <a:endParaRPr lang="en-GB"/>
        </a:p>
      </dgm:t>
    </dgm:pt>
    <dgm:pt modelId="{59483BC0-6274-44E6-AD43-7F10B8527276}" type="sibTrans" cxnId="{7203B2EB-E95E-4BAB-AE21-74B37BD17D63}">
      <dgm:prSet/>
      <dgm:spPr/>
      <dgm:t>
        <a:bodyPr/>
        <a:lstStyle/>
        <a:p>
          <a:endParaRPr lang="en-GB"/>
        </a:p>
      </dgm:t>
    </dgm:pt>
    <dgm:pt modelId="{1A3E83E9-C261-4061-A5D2-94596B88B302}">
      <dgm:prSet phldrT="[Text]" custT="1"/>
      <dgm:spPr>
        <a:xfrm rot="5400000">
          <a:off x="4333062" y="239571"/>
          <a:ext cx="845662" cy="7690361"/>
        </a:xfrm>
        <a:prstGeom prst="round2SameRect">
          <a:avLst/>
        </a:prstGeom>
        <a:solidFill>
          <a:srgbClr val="FFFFFF">
            <a:alpha val="90000"/>
            <a:hueOff val="0"/>
            <a:satOff val="0"/>
            <a:lumOff val="0"/>
            <a:alphaOff val="0"/>
          </a:srgbClr>
        </a:solidFill>
        <a:ln w="12700" cap="flat" cmpd="sng" algn="ctr">
          <a:solidFill>
            <a:srgbClr val="07716C">
              <a:hueOff val="0"/>
              <a:satOff val="0"/>
              <a:lumOff val="0"/>
              <a:alphaOff val="0"/>
            </a:srgbClr>
          </a:solidFill>
          <a:prstDash val="solid"/>
          <a:miter lim="800000"/>
        </a:ln>
        <a:effectLst/>
      </dgm:spPr>
      <dgm:t>
        <a:bodyPr/>
        <a:lstStyle/>
        <a:p>
          <a:pPr>
            <a:buChar char="•"/>
          </a:pPr>
          <a:r>
            <a:rPr lang="en-GB" sz="1200">
              <a:solidFill>
                <a:sysClr val="windowText" lastClr="000000">
                  <a:hueOff val="0"/>
                  <a:satOff val="0"/>
                  <a:lumOff val="0"/>
                  <a:alphaOff val="0"/>
                </a:sysClr>
              </a:solidFill>
              <a:latin typeface="Arial"/>
              <a:ea typeface="+mn-ea"/>
              <a:cs typeface="+mn-cs"/>
            </a:rPr>
            <a:t>HoR (or requests the NSI and regulatory purpose-specific Site Leads) to communicate the RAL outcome to dutyholders.</a:t>
          </a:r>
        </a:p>
      </dgm:t>
    </dgm:pt>
    <dgm:pt modelId="{22F61045-504B-48A2-9584-81EE129CC36D}" type="parTrans" cxnId="{3E5F185D-897A-485E-99D1-C3D7FD0DACFA}">
      <dgm:prSet/>
      <dgm:spPr/>
      <dgm:t>
        <a:bodyPr/>
        <a:lstStyle/>
        <a:p>
          <a:endParaRPr lang="en-GB"/>
        </a:p>
      </dgm:t>
    </dgm:pt>
    <dgm:pt modelId="{3CED4B5F-5971-46D4-8911-FB51B07C2F4C}" type="sibTrans" cxnId="{3E5F185D-897A-485E-99D1-C3D7FD0DACFA}">
      <dgm:prSet/>
      <dgm:spPr/>
      <dgm:t>
        <a:bodyPr/>
        <a:lstStyle/>
        <a:p>
          <a:endParaRPr lang="en-GB"/>
        </a:p>
      </dgm:t>
    </dgm:pt>
    <dgm:pt modelId="{910B2756-9A76-484F-A5B3-F2B494D90783}" type="pres">
      <dgm:prSet presAssocID="{4560BAB2-EFB7-469A-813B-DCC9E0855B37}" presName="linearFlow" presStyleCnt="0">
        <dgm:presLayoutVars>
          <dgm:dir/>
          <dgm:animLvl val="lvl"/>
          <dgm:resizeHandles val="exact"/>
        </dgm:presLayoutVars>
      </dgm:prSet>
      <dgm:spPr/>
    </dgm:pt>
    <dgm:pt modelId="{63049923-D9A3-4836-BBF4-0024E1876B25}" type="pres">
      <dgm:prSet presAssocID="{B626DC88-CC25-43DB-B97B-13CB9658F961}" presName="composite" presStyleCnt="0"/>
      <dgm:spPr/>
    </dgm:pt>
    <dgm:pt modelId="{C683B274-D91B-4834-A6FD-57C4D5346CCD}" type="pres">
      <dgm:prSet presAssocID="{B626DC88-CC25-43DB-B97B-13CB9658F961}" presName="parentText" presStyleLbl="alignNode1" presStyleIdx="0" presStyleCnt="4">
        <dgm:presLayoutVars>
          <dgm:chMax val="1"/>
          <dgm:bulletEnabled val="1"/>
        </dgm:presLayoutVars>
      </dgm:prSet>
      <dgm:spPr/>
    </dgm:pt>
    <dgm:pt modelId="{F4634F9B-C365-4C8D-9D20-FA4597911230}" type="pres">
      <dgm:prSet presAssocID="{B626DC88-CC25-43DB-B97B-13CB9658F961}" presName="descendantText" presStyleLbl="alignAcc1" presStyleIdx="0" presStyleCnt="4" custScaleY="141630">
        <dgm:presLayoutVars>
          <dgm:bulletEnabled val="1"/>
        </dgm:presLayoutVars>
      </dgm:prSet>
      <dgm:spPr/>
    </dgm:pt>
    <dgm:pt modelId="{0648EAD6-47C5-426A-957C-157AF68BD6C9}" type="pres">
      <dgm:prSet presAssocID="{F6BE69A2-E68A-4565-B782-23FA2A0BBC36}" presName="sp" presStyleCnt="0"/>
      <dgm:spPr/>
    </dgm:pt>
    <dgm:pt modelId="{B9E7F12B-443C-4EDC-ACC2-D09A72F27785}" type="pres">
      <dgm:prSet presAssocID="{39342675-4BCB-4E0D-BAB4-A43B21407D95}" presName="composite" presStyleCnt="0"/>
      <dgm:spPr/>
    </dgm:pt>
    <dgm:pt modelId="{0AAB4AFB-6A6D-41F9-A1A1-00B1A1B183A2}" type="pres">
      <dgm:prSet presAssocID="{39342675-4BCB-4E0D-BAB4-A43B21407D95}" presName="parentText" presStyleLbl="alignNode1" presStyleIdx="1" presStyleCnt="4">
        <dgm:presLayoutVars>
          <dgm:chMax val="1"/>
          <dgm:bulletEnabled val="1"/>
        </dgm:presLayoutVars>
      </dgm:prSet>
      <dgm:spPr/>
    </dgm:pt>
    <dgm:pt modelId="{68D80C18-F2AF-46B4-B3E9-6B70621F9862}" type="pres">
      <dgm:prSet presAssocID="{39342675-4BCB-4E0D-BAB4-A43B21407D95}" presName="descendantText" presStyleLbl="alignAcc1" presStyleIdx="1" presStyleCnt="4">
        <dgm:presLayoutVars>
          <dgm:bulletEnabled val="1"/>
        </dgm:presLayoutVars>
      </dgm:prSet>
      <dgm:spPr/>
    </dgm:pt>
    <dgm:pt modelId="{F9396070-0C67-4652-883D-8E495AABF3A1}" type="pres">
      <dgm:prSet presAssocID="{A1503CE8-2A5A-4806-B525-DFA35F050DBF}" presName="sp" presStyleCnt="0"/>
      <dgm:spPr/>
    </dgm:pt>
    <dgm:pt modelId="{6B3A95CB-1F91-4083-8CD0-FF7C9EB3B1C6}" type="pres">
      <dgm:prSet presAssocID="{91333C93-6981-40ED-9D7C-7E180352FA35}" presName="composite" presStyleCnt="0"/>
      <dgm:spPr/>
    </dgm:pt>
    <dgm:pt modelId="{2A01C666-4EE6-40E1-90C9-B8ED2F1CA7B3}" type="pres">
      <dgm:prSet presAssocID="{91333C93-6981-40ED-9D7C-7E180352FA35}" presName="parentText" presStyleLbl="alignNode1" presStyleIdx="2" presStyleCnt="4">
        <dgm:presLayoutVars>
          <dgm:chMax val="1"/>
          <dgm:bulletEnabled val="1"/>
        </dgm:presLayoutVars>
      </dgm:prSet>
      <dgm:spPr/>
    </dgm:pt>
    <dgm:pt modelId="{11591194-CD5A-40CB-BF90-24759F24D55B}" type="pres">
      <dgm:prSet presAssocID="{91333C93-6981-40ED-9D7C-7E180352FA35}" presName="descendantText" presStyleLbl="alignAcc1" presStyleIdx="2" presStyleCnt="4">
        <dgm:presLayoutVars>
          <dgm:bulletEnabled val="1"/>
        </dgm:presLayoutVars>
      </dgm:prSet>
      <dgm:spPr/>
    </dgm:pt>
    <dgm:pt modelId="{5C8D8F0D-0C4C-4E55-8629-FE9BC46AC067}" type="pres">
      <dgm:prSet presAssocID="{488E038F-8F16-4530-BFC1-449C94B1B150}" presName="sp" presStyleCnt="0"/>
      <dgm:spPr/>
    </dgm:pt>
    <dgm:pt modelId="{83B50072-3F16-455D-A97B-F14AAA93D9B5}" type="pres">
      <dgm:prSet presAssocID="{F7CC864A-AE24-4EF3-94B7-10F5B8D1CC6A}" presName="composite" presStyleCnt="0"/>
      <dgm:spPr/>
    </dgm:pt>
    <dgm:pt modelId="{FA7C1A00-D24F-4824-9C2C-742EF8EEC34E}" type="pres">
      <dgm:prSet presAssocID="{F7CC864A-AE24-4EF3-94B7-10F5B8D1CC6A}" presName="parentText" presStyleLbl="alignNode1" presStyleIdx="3" presStyleCnt="4">
        <dgm:presLayoutVars>
          <dgm:chMax val="1"/>
          <dgm:bulletEnabled val="1"/>
        </dgm:presLayoutVars>
      </dgm:prSet>
      <dgm:spPr/>
    </dgm:pt>
    <dgm:pt modelId="{666F9395-F639-4FF5-B288-05F2CE881A5D}" type="pres">
      <dgm:prSet presAssocID="{F7CC864A-AE24-4EF3-94B7-10F5B8D1CC6A}" presName="descendantText" presStyleLbl="alignAcc1" presStyleIdx="3" presStyleCnt="4">
        <dgm:presLayoutVars>
          <dgm:bulletEnabled val="1"/>
        </dgm:presLayoutVars>
      </dgm:prSet>
      <dgm:spPr/>
    </dgm:pt>
  </dgm:ptLst>
  <dgm:cxnLst>
    <dgm:cxn modelId="{9AAA9303-87B5-4528-BBBB-AAAEF646CD5B}" type="presOf" srcId="{CB1EA15E-A133-46F9-9F32-7D1265EA6A25}" destId="{F4634F9B-C365-4C8D-9D20-FA4597911230}" srcOrd="0" destOrd="1" presId="urn:microsoft.com/office/officeart/2005/8/layout/chevron2"/>
    <dgm:cxn modelId="{CDDED408-1477-42E2-9657-EFFEA8244742}" type="presOf" srcId="{39342675-4BCB-4E0D-BAB4-A43B21407D95}" destId="{0AAB4AFB-6A6D-41F9-A1A1-00B1A1B183A2}" srcOrd="0" destOrd="0" presId="urn:microsoft.com/office/officeart/2005/8/layout/chevron2"/>
    <dgm:cxn modelId="{7B7FF612-FF00-43E3-8E5F-0071D027FFE1}" srcId="{39342675-4BCB-4E0D-BAB4-A43B21407D95}" destId="{C79CBA1E-4CBF-42C9-B733-D41E3A2943EC}" srcOrd="0" destOrd="0" parTransId="{FC469DCB-B9D5-4E76-A541-950C44569E5A}" sibTransId="{9298282F-556B-45D5-B4AD-79B8DEE2C4DA}"/>
    <dgm:cxn modelId="{F03A931A-8FB8-4773-A8F1-311E2117A3E7}" type="presOf" srcId="{C79CBA1E-4CBF-42C9-B733-D41E3A2943EC}" destId="{68D80C18-F2AF-46B4-B3E9-6B70621F9862}" srcOrd="0" destOrd="0" presId="urn:microsoft.com/office/officeart/2005/8/layout/chevron2"/>
    <dgm:cxn modelId="{B2BF522B-4EB1-4F6F-ACE4-0263B4C81923}" srcId="{91333C93-6981-40ED-9D7C-7E180352FA35}" destId="{471EF2B7-F59D-4021-A3BB-7E15D04D7A21}" srcOrd="0" destOrd="0" parTransId="{37323A56-99A0-4872-8C06-000F14846CEE}" sibTransId="{50C11372-0573-44EA-BDA1-ED372E8E512B}"/>
    <dgm:cxn modelId="{675E9133-04AB-4659-BB0D-27FF7B5E4653}" type="presOf" srcId="{470AA8D4-CFA7-4057-AFDB-BED6520D8943}" destId="{F4634F9B-C365-4C8D-9D20-FA4597911230}" srcOrd="0" destOrd="2" presId="urn:microsoft.com/office/officeart/2005/8/layout/chevron2"/>
    <dgm:cxn modelId="{E3454A34-5AF7-4FC3-8241-E3436576AB90}" srcId="{B626DC88-CC25-43DB-B97B-13CB9658F961}" destId="{470AA8D4-CFA7-4057-AFDB-BED6520D8943}" srcOrd="2" destOrd="0" parTransId="{B36C7777-CDC9-44CE-AB7F-78C80DD2F22C}" sibTransId="{1ABD529C-EA94-4ED9-8652-65F463D0961A}"/>
    <dgm:cxn modelId="{C8EC2437-8790-48CD-9568-179F1C13DC5A}" srcId="{39342675-4BCB-4E0D-BAB4-A43B21407D95}" destId="{164E6DFA-146D-43B2-BAE7-9F1A5E315C89}" srcOrd="2" destOrd="0" parTransId="{D8EA683A-EC7C-4B26-8E30-63517B37E752}" sibTransId="{B08C006B-966C-4CCE-864D-688E39D13BDF}"/>
    <dgm:cxn modelId="{B042853D-84C9-4894-BBF2-87C699003B47}" type="presOf" srcId="{164E6DFA-146D-43B2-BAE7-9F1A5E315C89}" destId="{68D80C18-F2AF-46B4-B3E9-6B70621F9862}" srcOrd="0" destOrd="2" presId="urn:microsoft.com/office/officeart/2005/8/layout/chevron2"/>
    <dgm:cxn modelId="{3E5F185D-897A-485E-99D1-C3D7FD0DACFA}" srcId="{F7CC864A-AE24-4EF3-94B7-10F5B8D1CC6A}" destId="{1A3E83E9-C261-4061-A5D2-94596B88B302}" srcOrd="0" destOrd="0" parTransId="{22F61045-504B-48A2-9584-81EE129CC36D}" sibTransId="{3CED4B5F-5971-46D4-8911-FB51B07C2F4C}"/>
    <dgm:cxn modelId="{E60A4742-6753-4A01-897E-CE2A0CA90823}" type="presOf" srcId="{4560BAB2-EFB7-469A-813B-DCC9E0855B37}" destId="{910B2756-9A76-484F-A5B3-F2B494D90783}" srcOrd="0" destOrd="0" presId="urn:microsoft.com/office/officeart/2005/8/layout/chevron2"/>
    <dgm:cxn modelId="{8E3DFE67-F68A-47E5-9274-4A710C284835}" type="presOf" srcId="{C209B0CF-9F5B-4724-A459-B46162C9619B}" destId="{11591194-CD5A-40CB-BF90-24759F24D55B}" srcOrd="0" destOrd="1" presId="urn:microsoft.com/office/officeart/2005/8/layout/chevron2"/>
    <dgm:cxn modelId="{0AC0326D-5562-4181-9B52-61C6513D83A0}" type="presOf" srcId="{471EF2B7-F59D-4021-A3BB-7E15D04D7A21}" destId="{11591194-CD5A-40CB-BF90-24759F24D55B}" srcOrd="0" destOrd="0" presId="urn:microsoft.com/office/officeart/2005/8/layout/chevron2"/>
    <dgm:cxn modelId="{F832656F-914F-45A4-B4F6-C7750BDBD79D}" type="presOf" srcId="{4E31E6BC-02C2-49E2-A1EB-31FB71467FF9}" destId="{F4634F9B-C365-4C8D-9D20-FA4597911230}" srcOrd="0" destOrd="3" presId="urn:microsoft.com/office/officeart/2005/8/layout/chevron2"/>
    <dgm:cxn modelId="{22921452-C6A5-414A-8759-B5B71D1E5271}" srcId="{B626DC88-CC25-43DB-B97B-13CB9658F961}" destId="{4E31E6BC-02C2-49E2-A1EB-31FB71467FF9}" srcOrd="3" destOrd="0" parTransId="{ED4BC70C-874E-43ED-A30B-21DC1AACE2EE}" sibTransId="{E26A0E4F-A420-48BD-A5E8-B6B9875BD94A}"/>
    <dgm:cxn modelId="{57A4DE7D-9665-412D-A279-0442B2ACC780}" srcId="{4560BAB2-EFB7-469A-813B-DCC9E0855B37}" destId="{91333C93-6981-40ED-9D7C-7E180352FA35}" srcOrd="2" destOrd="0" parTransId="{01EBBBFA-2016-4DE9-A346-BF893CA9CE58}" sibTransId="{488E038F-8F16-4530-BFC1-449C94B1B150}"/>
    <dgm:cxn modelId="{9731C382-85FC-45F6-91E0-09DFAFD1646B}" type="presOf" srcId="{91333C93-6981-40ED-9D7C-7E180352FA35}" destId="{2A01C666-4EE6-40E1-90C9-B8ED2F1CA7B3}" srcOrd="0" destOrd="0" presId="urn:microsoft.com/office/officeart/2005/8/layout/chevron2"/>
    <dgm:cxn modelId="{72FC568F-518E-4489-BBF0-C04B7F69AAEE}" type="presOf" srcId="{E7E58666-6117-4846-B4D5-14BDE40B9AA8}" destId="{F4634F9B-C365-4C8D-9D20-FA4597911230}" srcOrd="0" destOrd="0" presId="urn:microsoft.com/office/officeart/2005/8/layout/chevron2"/>
    <dgm:cxn modelId="{F83AC393-B7FB-4D51-AB99-1926512462FC}" srcId="{91333C93-6981-40ED-9D7C-7E180352FA35}" destId="{C209B0CF-9F5B-4724-A459-B46162C9619B}" srcOrd="1" destOrd="0" parTransId="{49D6C45D-40A3-49D8-B1B4-91ED81BD6E32}" sibTransId="{41074098-9606-4C93-8B4F-4E1D4C708BA3}"/>
    <dgm:cxn modelId="{A866CEA8-3E80-4681-B5C8-833AE0DD274F}" srcId="{4560BAB2-EFB7-469A-813B-DCC9E0855B37}" destId="{39342675-4BCB-4E0D-BAB4-A43B21407D95}" srcOrd="1" destOrd="0" parTransId="{598712F4-26EF-4000-94A8-5538A0B495C5}" sibTransId="{A1503CE8-2A5A-4806-B525-DFA35F050DBF}"/>
    <dgm:cxn modelId="{92BCDFB0-9D49-4E03-8A16-9DCA35732F36}" type="presOf" srcId="{1A3E83E9-C261-4061-A5D2-94596B88B302}" destId="{666F9395-F639-4FF5-B288-05F2CE881A5D}" srcOrd="0" destOrd="0" presId="urn:microsoft.com/office/officeart/2005/8/layout/chevron2"/>
    <dgm:cxn modelId="{DD61C5B3-527F-4495-8C1E-1BC849318585}" srcId="{39342675-4BCB-4E0D-BAB4-A43B21407D95}" destId="{D12EE97D-70FF-4A7D-B9EA-E93F4F15B288}" srcOrd="1" destOrd="0" parTransId="{37CFE759-6D9C-4674-B295-1703784323CB}" sibTransId="{60073096-6152-40F1-9AEB-E6A386C713C7}"/>
    <dgm:cxn modelId="{3BF624C3-F506-4AC2-B61C-C1E97D88DC15}" srcId="{4560BAB2-EFB7-469A-813B-DCC9E0855B37}" destId="{B626DC88-CC25-43DB-B97B-13CB9658F961}" srcOrd="0" destOrd="0" parTransId="{1838451F-E94D-43D5-8329-49F04B34EA93}" sibTransId="{F6BE69A2-E68A-4565-B782-23FA2A0BBC36}"/>
    <dgm:cxn modelId="{7203B2EB-E95E-4BAB-AE21-74B37BD17D63}" srcId="{4560BAB2-EFB7-469A-813B-DCC9E0855B37}" destId="{F7CC864A-AE24-4EF3-94B7-10F5B8D1CC6A}" srcOrd="3" destOrd="0" parTransId="{21B7A443-EDC5-4725-A297-B0FA9E902DBC}" sibTransId="{59483BC0-6274-44E6-AD43-7F10B8527276}"/>
    <dgm:cxn modelId="{C812C6EB-73B7-4FE5-B9A2-D890A1FD4230}" srcId="{B626DC88-CC25-43DB-B97B-13CB9658F961}" destId="{CB1EA15E-A133-46F9-9F32-7D1265EA6A25}" srcOrd="1" destOrd="0" parTransId="{B636E6D4-6A92-48F4-8957-8E60CBC252C7}" sibTransId="{6E9EB34C-D36B-4C64-933D-8A1A404F7783}"/>
    <dgm:cxn modelId="{0305DBCD-7AB0-4985-9728-A6418D0971C0}" type="presOf" srcId="{F7CC864A-AE24-4EF3-94B7-10F5B8D1CC6A}" destId="{FA7C1A00-D24F-4824-9C2C-742EF8EEC34E}" srcOrd="0" destOrd="0" presId="urn:microsoft.com/office/officeart/2005/8/layout/chevron2"/>
    <dgm:cxn modelId="{2133C7EF-3526-4CFC-9A5D-C6465B0D1301}" type="presOf" srcId="{B626DC88-CC25-43DB-B97B-13CB9658F961}" destId="{C683B274-D91B-4834-A6FD-57C4D5346CCD}" srcOrd="0" destOrd="0" presId="urn:microsoft.com/office/officeart/2005/8/layout/chevron2"/>
    <dgm:cxn modelId="{756AF2F1-8A2B-4CA0-AF06-B2570CC23169}" type="presOf" srcId="{D12EE97D-70FF-4A7D-B9EA-E93F4F15B288}" destId="{68D80C18-F2AF-46B4-B3E9-6B70621F9862}" srcOrd="0" destOrd="1" presId="urn:microsoft.com/office/officeart/2005/8/layout/chevron2"/>
    <dgm:cxn modelId="{0EE412F9-8DA5-4354-BC40-C1A5B3674C1A}" srcId="{B626DC88-CC25-43DB-B97B-13CB9658F961}" destId="{E7E58666-6117-4846-B4D5-14BDE40B9AA8}" srcOrd="0" destOrd="0" parTransId="{B8FB9396-3BAE-4F7B-8B88-EF2150B6E8FE}" sibTransId="{4EC57BF8-A358-4862-93B5-2CBD98F6FA46}"/>
    <dgm:cxn modelId="{40BFF0DC-8F29-4F4E-B6D9-22EBD49B70AF}" type="presParOf" srcId="{910B2756-9A76-484F-A5B3-F2B494D90783}" destId="{63049923-D9A3-4836-BBF4-0024E1876B25}" srcOrd="0" destOrd="0" presId="urn:microsoft.com/office/officeart/2005/8/layout/chevron2"/>
    <dgm:cxn modelId="{F4CB9D32-16E3-4855-B858-3BF07740C0CF}" type="presParOf" srcId="{63049923-D9A3-4836-BBF4-0024E1876B25}" destId="{C683B274-D91B-4834-A6FD-57C4D5346CCD}" srcOrd="0" destOrd="0" presId="urn:microsoft.com/office/officeart/2005/8/layout/chevron2"/>
    <dgm:cxn modelId="{7327BFE3-F923-4BCC-9907-FE00A8AD67B5}" type="presParOf" srcId="{63049923-D9A3-4836-BBF4-0024E1876B25}" destId="{F4634F9B-C365-4C8D-9D20-FA4597911230}" srcOrd="1" destOrd="0" presId="urn:microsoft.com/office/officeart/2005/8/layout/chevron2"/>
    <dgm:cxn modelId="{0EB48A81-21F8-4C14-AB5E-9CA59EA5A788}" type="presParOf" srcId="{910B2756-9A76-484F-A5B3-F2B494D90783}" destId="{0648EAD6-47C5-426A-957C-157AF68BD6C9}" srcOrd="1" destOrd="0" presId="urn:microsoft.com/office/officeart/2005/8/layout/chevron2"/>
    <dgm:cxn modelId="{8DA6CFEE-64FE-4F6C-A75B-D00CF28D8A32}" type="presParOf" srcId="{910B2756-9A76-484F-A5B3-F2B494D90783}" destId="{B9E7F12B-443C-4EDC-ACC2-D09A72F27785}" srcOrd="2" destOrd="0" presId="urn:microsoft.com/office/officeart/2005/8/layout/chevron2"/>
    <dgm:cxn modelId="{4B3FC8D3-CA77-4DF6-8EA8-F4A889A149DD}" type="presParOf" srcId="{B9E7F12B-443C-4EDC-ACC2-D09A72F27785}" destId="{0AAB4AFB-6A6D-41F9-A1A1-00B1A1B183A2}" srcOrd="0" destOrd="0" presId="urn:microsoft.com/office/officeart/2005/8/layout/chevron2"/>
    <dgm:cxn modelId="{F4080B3D-7256-4330-BF11-0BAF78A2F0E1}" type="presParOf" srcId="{B9E7F12B-443C-4EDC-ACC2-D09A72F27785}" destId="{68D80C18-F2AF-46B4-B3E9-6B70621F9862}" srcOrd="1" destOrd="0" presId="urn:microsoft.com/office/officeart/2005/8/layout/chevron2"/>
    <dgm:cxn modelId="{1AAA08F2-40DA-4A01-9386-D8FE173165E1}" type="presParOf" srcId="{910B2756-9A76-484F-A5B3-F2B494D90783}" destId="{F9396070-0C67-4652-883D-8E495AABF3A1}" srcOrd="3" destOrd="0" presId="urn:microsoft.com/office/officeart/2005/8/layout/chevron2"/>
    <dgm:cxn modelId="{9DD5B508-55F1-4BC6-8686-C996EB87501A}" type="presParOf" srcId="{910B2756-9A76-484F-A5B3-F2B494D90783}" destId="{6B3A95CB-1F91-4083-8CD0-FF7C9EB3B1C6}" srcOrd="4" destOrd="0" presId="urn:microsoft.com/office/officeart/2005/8/layout/chevron2"/>
    <dgm:cxn modelId="{A38FEFB7-F9A1-4AB4-9070-516EBB0C83D5}" type="presParOf" srcId="{6B3A95CB-1F91-4083-8CD0-FF7C9EB3B1C6}" destId="{2A01C666-4EE6-40E1-90C9-B8ED2F1CA7B3}" srcOrd="0" destOrd="0" presId="urn:microsoft.com/office/officeart/2005/8/layout/chevron2"/>
    <dgm:cxn modelId="{65CAC2D1-3719-4688-AC72-4EDDA6202235}" type="presParOf" srcId="{6B3A95CB-1F91-4083-8CD0-FF7C9EB3B1C6}" destId="{11591194-CD5A-40CB-BF90-24759F24D55B}" srcOrd="1" destOrd="0" presId="urn:microsoft.com/office/officeart/2005/8/layout/chevron2"/>
    <dgm:cxn modelId="{9CB85C92-9739-4A89-A969-1F1D26E3316E}" type="presParOf" srcId="{910B2756-9A76-484F-A5B3-F2B494D90783}" destId="{5C8D8F0D-0C4C-4E55-8629-FE9BC46AC067}" srcOrd="5" destOrd="0" presId="urn:microsoft.com/office/officeart/2005/8/layout/chevron2"/>
    <dgm:cxn modelId="{F0A5BE8E-622F-40C2-8422-A8292FB69B1C}" type="presParOf" srcId="{910B2756-9A76-484F-A5B3-F2B494D90783}" destId="{83B50072-3F16-455D-A97B-F14AAA93D9B5}" srcOrd="6" destOrd="0" presId="urn:microsoft.com/office/officeart/2005/8/layout/chevron2"/>
    <dgm:cxn modelId="{0C816E1A-77B6-4807-BCAC-2C97899CF72D}" type="presParOf" srcId="{83B50072-3F16-455D-A97B-F14AAA93D9B5}" destId="{FA7C1A00-D24F-4824-9C2C-742EF8EEC34E}" srcOrd="0" destOrd="0" presId="urn:microsoft.com/office/officeart/2005/8/layout/chevron2"/>
    <dgm:cxn modelId="{617B2ACB-B291-42DB-B5AD-8D24DE6C9BE1}" type="presParOf" srcId="{83B50072-3F16-455D-A97B-F14AAA93D9B5}" destId="{666F9395-F639-4FF5-B288-05F2CE881A5D}" srcOrd="1" destOrd="0" presId="urn:microsoft.com/office/officeart/2005/8/layout/chevron2"/>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83B274-D91B-4834-A6FD-57C4D5346CCD}">
      <dsp:nvSpPr>
        <dsp:cNvPr id="0" name=""/>
        <dsp:cNvSpPr/>
      </dsp:nvSpPr>
      <dsp:spPr>
        <a:xfrm rot="5400000">
          <a:off x="-195152" y="374935"/>
          <a:ext cx="1301019" cy="910713"/>
        </a:xfrm>
        <a:prstGeom prst="chevron">
          <a:avLst/>
        </a:prstGeom>
        <a:solidFill>
          <a:srgbClr val="07716C">
            <a:hueOff val="0"/>
            <a:satOff val="0"/>
            <a:lumOff val="0"/>
            <a:alphaOff val="0"/>
          </a:srgbClr>
        </a:solidFill>
        <a:ln w="12700" cap="flat" cmpd="sng" algn="ctr">
          <a:solidFill>
            <a:srgbClr val="07716C">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solidFill>
                <a:srgbClr val="FFFFFF"/>
              </a:solidFill>
              <a:latin typeface="Arial"/>
              <a:ea typeface="+mn-ea"/>
              <a:cs typeface="+mn-cs"/>
            </a:rPr>
            <a:t>Commence - October</a:t>
          </a:r>
        </a:p>
      </dsp:txBody>
      <dsp:txXfrm rot="-5400000">
        <a:off x="2" y="635139"/>
        <a:ext cx="910713" cy="390306"/>
      </dsp:txXfrm>
    </dsp:sp>
    <dsp:sp modelId="{F4634F9B-C365-4C8D-9D20-FA4597911230}">
      <dsp:nvSpPr>
        <dsp:cNvPr id="0" name=""/>
        <dsp:cNvSpPr/>
      </dsp:nvSpPr>
      <dsp:spPr>
        <a:xfrm rot="5400000">
          <a:off x="4157038" y="-3242566"/>
          <a:ext cx="1197711" cy="7690361"/>
        </a:xfrm>
        <a:prstGeom prst="round2SameRect">
          <a:avLst/>
        </a:prstGeom>
        <a:solidFill>
          <a:srgbClr val="FFFFFF">
            <a:alpha val="90000"/>
            <a:hueOff val="0"/>
            <a:satOff val="0"/>
            <a:lumOff val="0"/>
            <a:alphaOff val="0"/>
          </a:srgbClr>
        </a:solidFill>
        <a:ln w="12700" cap="flat" cmpd="sng" algn="ctr">
          <a:solidFill>
            <a:srgbClr val="07716C">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None/>
          </a:pPr>
          <a:r>
            <a:rPr lang="en-GB" sz="1200" kern="1200">
              <a:solidFill>
                <a:sysClr val="windowText" lastClr="000000">
                  <a:hueOff val="0"/>
                  <a:satOff val="0"/>
                  <a:lumOff val="0"/>
                  <a:alphaOff val="0"/>
                </a:sysClr>
              </a:solidFill>
              <a:latin typeface="Arial"/>
              <a:ea typeface="+mn-ea"/>
              <a:cs typeface="+mn-cs"/>
            </a:rPr>
            <a:t>Aligned</a:t>
          </a:r>
          <a:r>
            <a:rPr lang="en-GB" sz="1200" kern="1200" baseline="0">
              <a:solidFill>
                <a:sysClr val="windowText" lastClr="000000">
                  <a:hueOff val="0"/>
                  <a:satOff val="0"/>
                  <a:lumOff val="0"/>
                  <a:alphaOff val="0"/>
                </a:sysClr>
              </a:solidFill>
              <a:latin typeface="Arial"/>
              <a:ea typeface="+mn-ea"/>
              <a:cs typeface="+mn-cs"/>
            </a:rPr>
            <a:t> with the planning round:</a:t>
          </a:r>
          <a:endParaRPr lang="en-GB" sz="1200" kern="1200">
            <a:solidFill>
              <a:sysClr val="windowText" lastClr="000000">
                <a:hueOff val="0"/>
                <a:satOff val="0"/>
                <a:lumOff val="0"/>
                <a:alphaOff val="0"/>
              </a:sysClr>
            </a:solidFill>
            <a:latin typeface="Arial"/>
            <a:ea typeface="+mn-ea"/>
            <a:cs typeface="+mn-cs"/>
          </a:endParaRPr>
        </a:p>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Arial"/>
              <a:ea typeface="+mn-ea"/>
              <a:cs typeface="+mn-cs"/>
            </a:rPr>
            <a:t>DoR request to HoR to draft RAL's and take through governance.</a:t>
          </a:r>
        </a:p>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Arial"/>
              <a:ea typeface="+mn-ea"/>
              <a:cs typeface="+mn-cs"/>
            </a:rPr>
            <a:t>NSI's/regulatory purpose Site Leads coordinate the drafting of the RAL's, utilising management information (MI) from WIReD and regulatory intelligence.</a:t>
          </a:r>
        </a:p>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Arial"/>
              <a:ea typeface="+mn-ea"/>
              <a:cs typeface="+mn-cs"/>
            </a:rPr>
            <a:t>HoR apply governance, as set out in section 3.</a:t>
          </a:r>
        </a:p>
      </dsp:txBody>
      <dsp:txXfrm rot="-5400000">
        <a:off x="910714" y="62225"/>
        <a:ext cx="7631894" cy="1080777"/>
      </dsp:txXfrm>
    </dsp:sp>
    <dsp:sp modelId="{0AAB4AFB-6A6D-41F9-A1A1-00B1A1B183A2}">
      <dsp:nvSpPr>
        <dsp:cNvPr id="0" name=""/>
        <dsp:cNvSpPr/>
      </dsp:nvSpPr>
      <dsp:spPr>
        <a:xfrm rot="5400000">
          <a:off x="-195152" y="1535632"/>
          <a:ext cx="1301019" cy="910713"/>
        </a:xfrm>
        <a:prstGeom prst="chevron">
          <a:avLst/>
        </a:prstGeom>
        <a:solidFill>
          <a:srgbClr val="07716C">
            <a:hueOff val="0"/>
            <a:satOff val="0"/>
            <a:lumOff val="0"/>
            <a:alphaOff val="0"/>
          </a:srgbClr>
        </a:solidFill>
        <a:ln w="12700" cap="flat" cmpd="sng" algn="ctr">
          <a:solidFill>
            <a:srgbClr val="07716C">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solidFill>
                <a:srgbClr val="FFFFFF"/>
              </a:solidFill>
              <a:latin typeface="Arial"/>
              <a:ea typeface="+mn-ea"/>
              <a:cs typeface="+mn-cs"/>
            </a:rPr>
            <a:t>Directorate governance - January</a:t>
          </a:r>
        </a:p>
      </dsp:txBody>
      <dsp:txXfrm rot="-5400000">
        <a:off x="2" y="1795836"/>
        <a:ext cx="910713" cy="390306"/>
      </dsp:txXfrm>
    </dsp:sp>
    <dsp:sp modelId="{68D80C18-F2AF-46B4-B3E9-6B70621F9862}">
      <dsp:nvSpPr>
        <dsp:cNvPr id="0" name=""/>
        <dsp:cNvSpPr/>
      </dsp:nvSpPr>
      <dsp:spPr>
        <a:xfrm rot="5400000">
          <a:off x="4332840" y="-2081647"/>
          <a:ext cx="846107" cy="7690361"/>
        </a:xfrm>
        <a:prstGeom prst="round2SameRect">
          <a:avLst/>
        </a:prstGeom>
        <a:solidFill>
          <a:srgbClr val="FFFFFF">
            <a:alpha val="90000"/>
            <a:hueOff val="0"/>
            <a:satOff val="0"/>
            <a:lumOff val="0"/>
            <a:alphaOff val="0"/>
          </a:srgbClr>
        </a:solidFill>
        <a:ln w="12700" cap="flat" cmpd="sng" algn="ctr">
          <a:solidFill>
            <a:srgbClr val="07716C">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Arial"/>
              <a:ea typeface="+mn-ea"/>
              <a:cs typeface="+mn-cs"/>
            </a:rPr>
            <a:t>DoR apply proportionate governance to the sub-directorate delivery and decisions, as per section 3.</a:t>
          </a:r>
        </a:p>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Arial"/>
              <a:ea typeface="+mn-ea"/>
              <a:cs typeface="+mn-cs"/>
            </a:rPr>
            <a:t>Approval of RALs at 'enhanced' and 'significantly enhanced' RALs.</a:t>
          </a:r>
        </a:p>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Arial"/>
              <a:ea typeface="+mn-ea"/>
              <a:cs typeface="+mn-cs"/>
            </a:rPr>
            <a:t>Compiled list of sites and the associated RALs listed to support RLT governance.</a:t>
          </a:r>
        </a:p>
      </dsp:txBody>
      <dsp:txXfrm rot="-5400000">
        <a:off x="910713" y="1381784"/>
        <a:ext cx="7649057" cy="763499"/>
      </dsp:txXfrm>
    </dsp:sp>
    <dsp:sp modelId="{2A01C666-4EE6-40E1-90C9-B8ED2F1CA7B3}">
      <dsp:nvSpPr>
        <dsp:cNvPr id="0" name=""/>
        <dsp:cNvSpPr/>
      </dsp:nvSpPr>
      <dsp:spPr>
        <a:xfrm rot="5400000">
          <a:off x="-195152" y="2696330"/>
          <a:ext cx="1301019" cy="910713"/>
        </a:xfrm>
        <a:prstGeom prst="chevron">
          <a:avLst/>
        </a:prstGeom>
        <a:solidFill>
          <a:srgbClr val="07716C">
            <a:hueOff val="0"/>
            <a:satOff val="0"/>
            <a:lumOff val="0"/>
            <a:alphaOff val="0"/>
          </a:srgbClr>
        </a:solidFill>
        <a:ln w="12700" cap="flat" cmpd="sng" algn="ctr">
          <a:solidFill>
            <a:srgbClr val="07716C">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solidFill>
                <a:srgbClr val="FFFFFF"/>
              </a:solidFill>
              <a:latin typeface="Arial"/>
              <a:ea typeface="+mn-ea"/>
              <a:cs typeface="+mn-cs"/>
            </a:rPr>
            <a:t>RLT governance -  February</a:t>
          </a:r>
        </a:p>
      </dsp:txBody>
      <dsp:txXfrm rot="-5400000">
        <a:off x="2" y="2956534"/>
        <a:ext cx="910713" cy="390306"/>
      </dsp:txXfrm>
    </dsp:sp>
    <dsp:sp modelId="{11591194-CD5A-40CB-BF90-24759F24D55B}">
      <dsp:nvSpPr>
        <dsp:cNvPr id="0" name=""/>
        <dsp:cNvSpPr/>
      </dsp:nvSpPr>
      <dsp:spPr>
        <a:xfrm rot="5400000">
          <a:off x="4333062" y="-921172"/>
          <a:ext cx="845662" cy="7690361"/>
        </a:xfrm>
        <a:prstGeom prst="round2SameRect">
          <a:avLst/>
        </a:prstGeom>
        <a:solidFill>
          <a:srgbClr val="FFFFFF">
            <a:alpha val="90000"/>
            <a:hueOff val="0"/>
            <a:satOff val="0"/>
            <a:lumOff val="0"/>
            <a:alphaOff val="0"/>
          </a:srgbClr>
        </a:solidFill>
        <a:ln w="12700" cap="flat" cmpd="sng" algn="ctr">
          <a:solidFill>
            <a:srgbClr val="07716C">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Arial"/>
              <a:ea typeface="+mn-ea"/>
              <a:cs typeface="+mn-cs"/>
            </a:rPr>
            <a:t>DCNI apply proportionate governance, as per section 3.</a:t>
          </a:r>
        </a:p>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Arial"/>
              <a:ea typeface="+mn-ea"/>
              <a:cs typeface="+mn-cs"/>
            </a:rPr>
            <a:t>Output of consolidated list of sites and the associated RALs to support communication back to regulatory directorates and the ONR Communications team for ONR publications.</a:t>
          </a:r>
        </a:p>
      </dsp:txBody>
      <dsp:txXfrm rot="-5400000">
        <a:off x="910713" y="2542459"/>
        <a:ext cx="7649079" cy="763098"/>
      </dsp:txXfrm>
    </dsp:sp>
    <dsp:sp modelId="{FA7C1A00-D24F-4824-9C2C-742EF8EEC34E}">
      <dsp:nvSpPr>
        <dsp:cNvPr id="0" name=""/>
        <dsp:cNvSpPr/>
      </dsp:nvSpPr>
      <dsp:spPr>
        <a:xfrm rot="5400000">
          <a:off x="-195152" y="3857027"/>
          <a:ext cx="1301019" cy="910713"/>
        </a:xfrm>
        <a:prstGeom prst="chevron">
          <a:avLst/>
        </a:prstGeom>
        <a:solidFill>
          <a:srgbClr val="07716C">
            <a:hueOff val="0"/>
            <a:satOff val="0"/>
            <a:lumOff val="0"/>
            <a:alphaOff val="0"/>
          </a:srgbClr>
        </a:solidFill>
        <a:ln w="12700" cap="flat" cmpd="sng" algn="ctr">
          <a:solidFill>
            <a:srgbClr val="07716C">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solidFill>
                <a:srgbClr val="FFFFFF"/>
              </a:solidFill>
              <a:latin typeface="Arial"/>
              <a:ea typeface="+mn-ea"/>
              <a:cs typeface="+mn-cs"/>
            </a:rPr>
            <a:t>Finalise - March</a:t>
          </a:r>
        </a:p>
      </dsp:txBody>
      <dsp:txXfrm rot="-5400000">
        <a:off x="2" y="4117231"/>
        <a:ext cx="910713" cy="390306"/>
      </dsp:txXfrm>
    </dsp:sp>
    <dsp:sp modelId="{666F9395-F639-4FF5-B288-05F2CE881A5D}">
      <dsp:nvSpPr>
        <dsp:cNvPr id="0" name=""/>
        <dsp:cNvSpPr/>
      </dsp:nvSpPr>
      <dsp:spPr>
        <a:xfrm rot="5400000">
          <a:off x="4333062" y="239525"/>
          <a:ext cx="845662" cy="7690361"/>
        </a:xfrm>
        <a:prstGeom prst="round2SameRect">
          <a:avLst/>
        </a:prstGeom>
        <a:solidFill>
          <a:srgbClr val="FFFFFF">
            <a:alpha val="90000"/>
            <a:hueOff val="0"/>
            <a:satOff val="0"/>
            <a:lumOff val="0"/>
            <a:alphaOff val="0"/>
          </a:srgbClr>
        </a:solidFill>
        <a:ln w="12700" cap="flat" cmpd="sng" algn="ctr">
          <a:solidFill>
            <a:srgbClr val="07716C">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Arial"/>
              <a:ea typeface="+mn-ea"/>
              <a:cs typeface="+mn-cs"/>
            </a:rPr>
            <a:t>HoR (or requests the NSI and regulatory purpose-specific Site Leads) to communicate the RAL outcome to dutyholders.</a:t>
          </a:r>
        </a:p>
      </dsp:txBody>
      <dsp:txXfrm rot="-5400000">
        <a:off x="910713" y="3703156"/>
        <a:ext cx="7649079" cy="763098"/>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4BFF33CE9ACF45B4BD9D9653F86AF5B6"/>
        <w:category>
          <w:name w:val="General"/>
          <w:gallery w:val="placeholder"/>
        </w:category>
        <w:types>
          <w:type w:val="bbPlcHdr"/>
        </w:types>
        <w:behaviors>
          <w:behavior w:val="content"/>
        </w:behaviors>
        <w:guid w:val="{7CD666C1-130E-4748-A724-97987CA52528}"/>
      </w:docPartPr>
      <w:docPartBody>
        <w:p w:rsidR="00EB73F1" w:rsidRDefault="00EB73F1" w:rsidP="00EB73F1">
          <w:pPr>
            <w:pStyle w:val="4BFF33CE9ACF45B4BD9D9653F86AF5B6"/>
          </w:pPr>
          <w:r w:rsidRPr="00812B1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325A8"/>
    <w:rsid w:val="000B45D1"/>
    <w:rsid w:val="000C42F3"/>
    <w:rsid w:val="001101B7"/>
    <w:rsid w:val="00176DB5"/>
    <w:rsid w:val="00183F29"/>
    <w:rsid w:val="002550FD"/>
    <w:rsid w:val="00280CDE"/>
    <w:rsid w:val="002D7ED1"/>
    <w:rsid w:val="002E6E13"/>
    <w:rsid w:val="00333F8E"/>
    <w:rsid w:val="00350199"/>
    <w:rsid w:val="00365423"/>
    <w:rsid w:val="003D5793"/>
    <w:rsid w:val="00443ECE"/>
    <w:rsid w:val="004B50A0"/>
    <w:rsid w:val="005A49B8"/>
    <w:rsid w:val="007154C5"/>
    <w:rsid w:val="00764F6F"/>
    <w:rsid w:val="0083336C"/>
    <w:rsid w:val="00835E07"/>
    <w:rsid w:val="00856461"/>
    <w:rsid w:val="008767C6"/>
    <w:rsid w:val="009F1755"/>
    <w:rsid w:val="009F5DD0"/>
    <w:rsid w:val="00A009A6"/>
    <w:rsid w:val="00A657B0"/>
    <w:rsid w:val="00BA18CB"/>
    <w:rsid w:val="00C17C1E"/>
    <w:rsid w:val="00C41BCC"/>
    <w:rsid w:val="00D60C28"/>
    <w:rsid w:val="00DD7BA4"/>
    <w:rsid w:val="00E27559"/>
    <w:rsid w:val="00E318CE"/>
    <w:rsid w:val="00E3449C"/>
    <w:rsid w:val="00E646E1"/>
    <w:rsid w:val="00EB73F1"/>
    <w:rsid w:val="00EF08C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73F1"/>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4BFF33CE9ACF45B4BD9D9653F86AF5B6">
    <w:name w:val="4BFF33CE9ACF45B4BD9D9653F86AF5B6"/>
    <w:rsid w:val="00EB73F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21" ma:contentTypeDescription="" ma:contentTypeScope="" ma:versionID="2a0239fb57c581bced025e54e7cca7e9">
  <xsd:schema xmlns:xsd="http://www.w3.org/2001/XMLSchema" xmlns:xs="http://www.w3.org/2001/XMLSchema" xmlns:p="http://schemas.microsoft.com/office/2006/metadata/properties" xmlns:ns2="8c4e2855-9588-4bc9-9890-af639bd565eb" xmlns:ns3="05350e14-297a-489c-ad04-faf6563b232c" xmlns:ns4="fbd4c4c3-96d4-4265-b68e-6a383a5dca66" targetNamespace="http://schemas.microsoft.com/office/2006/metadata/properties" ma:root="true" ma:fieldsID="f04dd8d70902c340475265b30303215b" ns2:_="" ns3:_="" ns4:_="">
    <xsd:import namespace="8c4e2855-9588-4bc9-9890-af639bd565eb"/>
    <xsd:import namespace="05350e14-297a-489c-ad04-faf6563b232c"/>
    <xsd:import namespace="fbd4c4c3-96d4-4265-b68e-6a383a5dca66"/>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element ref="ns3:TaxKeywordTaxHTField" minOccurs="0"/>
                <xsd:element ref="ns3:TaxCatchAll" minOccurs="0"/>
                <xsd:element ref="ns4:dd2817321d504f1caee75a1112d299d4" minOccurs="0"/>
                <xsd:element ref="ns4:PC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union memberTypes="dms:Text">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un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union memberTypes="dms:Text">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Technical Director"/>
            </xsd:restriction>
          </xsd:simpleType>
        </xsd:un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rporate Security Manager"/>
              <xsd:enumeration value="Data Protection Compliance Lead"/>
              <xsd:enumeration value="Deputy Director of Regulation (TD)"/>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Privat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ory Policy and Standards"/>
              <xsd:enumeration value="Head of Risk and Assurance"/>
              <xsd:enumeration value="HoR - Advanced Nuclear Technologies (ANTs) and Holtec SMR-300 GDA"/>
              <xsd:enumeration value="HoR - Emergency Preparedness and Response"/>
              <xsd:enumeration value="HoR - Rolls-Royce SMR (GDA)"/>
              <xsd:enumeration value="HoR - Transport Competent Authority (TCA)"/>
              <xsd:enumeration value="HoR - Sellafield Compliance Intelligence and Enforcement"/>
              <xsd:enumeration value="HoR - Sellafield Project Delivery"/>
              <xsd:enumeration value="HoR - Sellafield Decommissioning"/>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SW Manager"/>
              <xsd:enumeration value="Information Management Manage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TaxKeywordTaxHTField" ma:index="30"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31" nillable="true" ma:displayName="Taxonomy Catch All Column" ma:hidden="true" ma:list="{85a4ca9d-4aea-456d-868e-8e20a97dbaed}" ma:internalName="TaxCatchAll" ma:showField="CatchAllData" ma:web="05350e14-297a-489c-ad04-faf6563b2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d4c4c3-96d4-4265-b68e-6a383a5dca66" elementFormDefault="qualified">
    <xsd:import namespace="http://schemas.microsoft.com/office/2006/documentManagement/types"/>
    <xsd:import namespace="http://schemas.microsoft.com/office/infopath/2007/PartnerControls"/>
    <xsd:element name="dd2817321d504f1caee75a1112d299d4" ma:index="33" nillable="true" ma:taxonomy="true" ma:internalName="dd2817321d504f1caee75a1112d299d4" ma:taxonomyFieldName="Topic" ma:displayName="Topic" ma:default="" ma:fieldId="{dd281732-1d50-4f1c-aee7-5a1112d299d4}" ma:taxonomyMulti="true" ma:sspId="66693000-3e12-4b44-a742-9a2ba35b7d28" ma:termSetId="7b4e1cbc-bd02-4183-9474-8a15f7a1216f" ma:anchorId="00000000-0000-0000-0000-000000000000" ma:open="false" ma:isKeyword="false">
      <xsd:complexType>
        <xsd:sequence>
          <xsd:element ref="pc:Terms" minOccurs="0" maxOccurs="1"/>
        </xsd:sequence>
      </xsd:complexType>
    </xsd:element>
    <xsd:element name="PCR_x003f_" ma:index="34" nillable="true" ma:displayName="PCR?" ma:default="0" ma:description="Document forms part of the Policy Compliance Report for ARAC." ma:format="Dropdown" ma:internalName="PCR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IEEE2006OfficeOnline.xsl" StyleName="IEEE" Version="2006">
  <b:Source>
    <b:Tag>ONR424</b:Tag>
    <b:SourceType>ElectronicSource</b:SourceType>
    <b:Guid>{B5E18265-8978-470B-A0F0-77A0254B9FEC}</b:Guid>
    <b:Title>ONR-CNSS-MAN-001 - ONR Nuclear Material Accountancy Control and Safeguards Assessment Principles</b:Title>
    <b:Author>
      <b:Author>
        <b:Corporate>ONR</b:Corporate>
      </b:Author>
    </b:Author>
    <b:RefOrder>12</b:RefOrder>
  </b:Source>
  <b:Source>
    <b:Tag>IAE001</b:Tag>
    <b:SourceType>DocumentFromInternetSite</b:SourceType>
    <b:Guid>{AEBA8966-D038-4434-9D6E-6F1BA7566B20}</b:Guid>
    <b:Title>TECDOC-1141 - Operational Safety Performance Indicators for Nuclear Power Plants</b:Title>
    <b:Year>2000</b:Year>
    <b:Author>
      <b:Author>
        <b:Corporate>IAEA</b:Corporate>
      </b:Author>
    </b:Author>
    <b:URL>https://www.iaea.org/publications/5945/operational-safety-performance-indicators-for-nuclear-power-plants</b:URL>
    <b:RefOrder>13</b:RefOrder>
  </b:Source>
  <b:Source>
    <b:Tag>ONR129</b:Tag>
    <b:SourceType>ElectronicSource</b:SourceType>
    <b:Guid>{1DD5EFB0-A983-4CEF-9318-1A85E8F010A9}</b:Guid>
    <b:Author>
      <b:Author>
        <b:Corporate>ONR</b:Corporate>
      </b:Author>
    </b:Author>
    <b:Title>NS-INSP-GD-070 - Organisational Culture Guide for Inspectors </b:Title>
    <b:RefOrder>14</b:RefOrder>
  </b:Source>
  <b:Source>
    <b:Tag>ONR23</b:Tag>
    <b:SourceType>ElectronicSource</b:SourceType>
    <b:Guid>{B228A474-6A35-41CB-B63B-1883EB71C29D}</b:Guid>
    <b:Author>
      <b:Author>
        <b:Corporate>ONR</b:Corporate>
      </b:Author>
    </b:Author>
    <b:Title>ONR-RD-POL-002 - Risk-Informed and Targeted Engagements</b:Title>
    <b:RefOrder>2</b:RefOrder>
  </b:Source>
  <b:Source>
    <b:Tag>ONR25</b:Tag>
    <b:SourceType>ElectronicSource</b:SourceType>
    <b:Guid>{794F4F62-DF4A-4332-8BF5-AC9D9185F0F8}</b:Guid>
    <b:Author>
      <b:Author>
        <b:Corporate>ONR</b:Corporate>
      </b:Author>
    </b:Author>
    <b:Title>ONR-ENF-POL-001 - Enforcement Policy Statement</b:Title>
    <b:RefOrder>3</b:RefOrder>
  </b:Source>
  <b:Source>
    <b:Tag>ONR32</b:Tag>
    <b:SourceType>ElectronicSource</b:SourceType>
    <b:Guid>{F201F7EA-6FFD-4BCE-B725-71DE15EAD45A}</b:Guid>
    <b:Author>
      <b:Author>
        <b:Corporate>ONR</b:Corporate>
      </b:Author>
    </b:Author>
    <b:Title>ONR-ENF-GD-006 - Enforcement Management Model (EMM)</b:Title>
    <b:RefOrder>11</b:RefOrder>
  </b:Source>
  <b:Source>
    <b:Tag>ONR27</b:Tag>
    <b:SourceType>ElectronicSource</b:SourceType>
    <b:Guid>{C2841B82-4FF3-4470-B55B-217B62C6C48E}</b:Guid>
    <b:Author>
      <b:Author>
        <b:Corporate>ONR</b:Corporate>
      </b:Author>
    </b:Author>
    <b:Title>ONR-DOC-TEMP-449 - Security purpose dutyholder attention levels assessment template</b:Title>
    <b:RefOrder>5</b:RefOrder>
  </b:Source>
  <b:Source>
    <b:Tag>ONR28</b:Tag>
    <b:SourceType>ElectronicSource</b:SourceType>
    <b:Guid>{67C22EE0-512B-43DC-B744-C7777DEDDB4D}</b:Guid>
    <b:Author>
      <b:Author>
        <b:Corporate>ONR</b:Corporate>
      </b:Author>
    </b:Author>
    <b:Title>ONR-DOC-TEMP-451 - Recording attention levels for transport template</b:Title>
    <b:RefOrder>6</b:RefOrder>
  </b:Source>
  <b:Source>
    <b:Tag>ONR29</b:Tag>
    <b:SourceType>ElectronicSource</b:SourceType>
    <b:Guid>{33FC7604-FA8D-4048-9C75-A34E68D124CF}</b:Guid>
    <b:Author>
      <b:Author>
        <b:Corporate>ONR</b:Corporate>
      </b:Author>
    </b:Author>
    <b:Title>ONR-DOC-TEMP-447 - Recording nuclear safety purpose attention levels (RALs) assessment for licensed sites</b:Title>
    <b:RefOrder>7</b:RefOrder>
  </b:Source>
  <b:Source>
    <b:Tag>ONR30</b:Tag>
    <b:SourceType>ElectronicSource</b:SourceType>
    <b:Guid>{D1FA54A4-5F6A-4EF0-A5EC-C4B044D121B0}</b:Guid>
    <b:Author>
      <b:Author>
        <b:Corporate>ONR</b:Corporate>
      </b:Author>
    </b:Author>
    <b:Title>ONR-DOC-TEMP-448 - Recording nuclear site health and safety purpose attention levels (RALs) assessment  for licensed sites</b:Title>
    <b:RefOrder>8</b:RefOrder>
  </b:Source>
  <b:Source>
    <b:Tag>ONR26</b:Tag>
    <b:SourceType>ElectronicSource</b:SourceType>
    <b:Guid>{DCDD8682-6AF6-4DC3-AAA8-9FEDF198E117}</b:Guid>
    <b:Author>
      <b:Author>
        <b:NameList>
          <b:Person>
            <b:Last>ONR</b:Last>
          </b:Person>
        </b:NameList>
      </b:Author>
    </b:Author>
    <b:Title>ONR-DOC-TEMP-452 - Recording nuclear safeguards purpose attention levels (RALs) assessment for licensed sites</b:Title>
    <b:RefOrder>4</b:RefOrder>
  </b:Source>
  <b:Source>
    <b:Tag>ONR54</b:Tag>
    <b:SourceType>ElectronicSource</b:SourceType>
    <b:Guid>{753941FC-98AD-431E-9F48-CB7BC71342EC}</b:Guid>
    <b:Author>
      <b:Author>
        <b:Corporate>ONR</b:Corporate>
      </b:Author>
    </b:Author>
    <b:Title>ONR-DOC-TEMP-450 - Recording combined safety (nuclear safety and nuclear site health and safety (NS H&amp;S)) attention levels assessment for licensed sites</b:Title>
    <b:RefOrder>9</b:RefOrder>
  </b:Source>
  <b:Source>
    <b:Tag>Dep1</b:Tag>
    <b:SourceType>InternetSite</b:SourceType>
    <b:Guid>{E9931A03-569B-4EE9-9C27-E99E4AFE9242}</b:Guid>
    <b:Author>
      <b:Author>
        <b:Corporate>HM Government</b:Corporate>
      </b:Author>
    </b:Author>
    <b:Title>Regulators' Code</b:Title>
    <b:Year>2014</b:Year>
    <b:URL>https://assets.publishing.service.gov.uk/media/5f4e14e2e90e071c745ff2df/14-705-regulators-code.pdf</b:URL>
    <b:RefOrder>1</b:RefOrder>
  </b:Source>
  <b:Source>
    <b:Tag>ONR31</b:Tag>
    <b:SourceType>ElectronicSource</b:SourceType>
    <b:Guid>{36E45EAE-9302-484F-8D7E-E27359C44ECF}</b:Guid>
    <b:Author>
      <b:Author>
        <b:Corporate>ONR</b:Corporate>
      </b:Author>
    </b:Author>
    <b:Title>ONR-DOC-TEMP-453 - Recording attention levels for other dutyholders (including licensee corporate bodies) template</b:Title>
    <b:RefOrder>10</b:RefOrder>
  </b:Source>
</b:Sources>
</file>

<file path=customXml/item6.xml><?xml version="1.0" encoding="utf-8"?>
<?mso-contentType ?>
<SharedContentType xmlns="Microsoft.SharePoint.Taxonomy.ContentTypeSync" SourceId="66693000-3e12-4b44-a742-9a2ba35b7d28" ContentTypeId="0x0101000C70A82DFAAC384DB9F6EBA2C8B87C57" PreviousValue="false"/>
</file>

<file path=customXml/item7.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PolicyPortalDocRef xmlns="8c4e2855-9588-4bc9-9890-af639bd565eb" xsi:nil="true"/>
    <PolicyPortalDocType xmlns="8c4e2855-9588-4bc9-9890-af639bd565eb" xsi:nil="true"/>
    <PolicyPortalIssueDate xmlns="8c4e2855-9588-4bc9-9890-af639bd565eb" xsi:nil="true"/>
    <PolicyPortalOldDocRef xmlns="8c4e2855-9588-4bc9-9890-af639bd565eb" xsi:nil="true"/>
    <PolicyPortalOldRecordRef xmlns="8c4e2855-9588-4bc9-9890-af639bd565eb" xsi:nil="true"/>
    <PolicyPortalIssueNo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PolicyPortalReviewDate xmlns="8c4e2855-9588-4bc9-9890-af639bd565eb" xsi:nil="true"/>
    <PolicyPortalIssueHistoryComments xmlns="8c4e2855-9588-4bc9-9890-af639bd565eb" xsi:nil="true"/>
    <TaxKeywordTaxHTField xmlns="05350e14-297a-489c-ad04-faf6563b232c">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TaxCatchAll xmlns="05350e14-297a-489c-ad04-faf6563b232c"/>
    <dd2817321d504f1caee75a1112d299d4 xmlns="fbd4c4c3-96d4-4265-b68e-6a383a5dca66">
      <Terms xmlns="http://schemas.microsoft.com/office/infopath/2007/PartnerControls"/>
    </dd2817321d504f1caee75a1112d299d4>
    <PCR_x003f_ xmlns="fbd4c4c3-96d4-4265-b68e-6a383a5dca66">false</PCR_x003f_>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851D515-EB2B-4153-A2E8-9DA8656287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fbd4c4c3-96d4-4265-b68e-6a383a5dc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0ED5B9-84BB-4E11-AB53-C0B8C211310C}">
  <ds:schemaRefs>
    <ds:schemaRef ds:uri="http://schemas.microsoft.com/sharepoint/events"/>
  </ds:schemaRefs>
</ds:datastoreItem>
</file>

<file path=customXml/itemProps4.xml><?xml version="1.0" encoding="utf-8"?>
<ds:datastoreItem xmlns:ds="http://schemas.openxmlformats.org/officeDocument/2006/customXml" ds:itemID="{2F1E7696-64D0-4E76-BD09-5F47C27AB98C}">
  <ds:schemaRefs>
    <ds:schemaRef ds:uri="http://schemas.microsoft.com/sharepoint/v3/contenttype/forms"/>
  </ds:schemaRefs>
</ds:datastoreItem>
</file>

<file path=customXml/itemProps5.xml><?xml version="1.0" encoding="utf-8"?>
<ds:datastoreItem xmlns:ds="http://schemas.openxmlformats.org/officeDocument/2006/customXml" ds:itemID="{DA8123A9-1170-4FCC-84BD-75E135B5036C}">
  <ds:schemaRefs>
    <ds:schemaRef ds:uri="http://schemas.openxmlformats.org/officeDocument/2006/bibliography"/>
  </ds:schemaRefs>
</ds:datastoreItem>
</file>

<file path=customXml/itemProps6.xml><?xml version="1.0" encoding="utf-8"?>
<ds:datastoreItem xmlns:ds="http://schemas.openxmlformats.org/officeDocument/2006/customXml" ds:itemID="{B9419ACF-FD9B-4EEB-B545-BB3F91B9B619}">
  <ds:schemaRefs>
    <ds:schemaRef ds:uri="Microsoft.SharePoint.Taxonomy.ContentTypeSync"/>
  </ds:schemaRefs>
</ds:datastoreItem>
</file>

<file path=customXml/itemProps7.xml><?xml version="1.0" encoding="utf-8"?>
<ds:datastoreItem xmlns:ds="http://schemas.openxmlformats.org/officeDocument/2006/customXml" ds:itemID="{302464A8-7BA5-4131-8D06-4B18A77BE91D}">
  <ds:schemaRefs>
    <ds:schemaRef ds:uri="http://schemas.microsoft.com/office/2006/metadata/properties"/>
    <ds:schemaRef ds:uri="http://schemas.microsoft.com/office/infopath/2007/PartnerControls"/>
    <ds:schemaRef ds:uri="8c4e2855-9588-4bc9-9890-af639bd565eb"/>
    <ds:schemaRef ds:uri="05350e14-297a-489c-ad04-faf6563b232c"/>
    <ds:schemaRef ds:uri="fbd4c4c3-96d4-4265-b68e-6a383a5dca66"/>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25</Pages>
  <Words>4784</Words>
  <Characters>27273</Characters>
  <Application>Microsoft Office Word</Application>
  <DocSecurity>4</DocSecurity>
  <Lines>227</Lines>
  <Paragraphs>63</Paragraphs>
  <ScaleCrop>false</ScaleCrop>
  <HeadingPairs>
    <vt:vector size="2" baseType="variant">
      <vt:variant>
        <vt:lpstr>Title</vt:lpstr>
      </vt:variant>
      <vt:variant>
        <vt:i4>1</vt:i4>
      </vt:variant>
    </vt:vector>
  </HeadingPairs>
  <TitlesOfParts>
    <vt:vector size="1" baseType="lpstr">
      <vt:lpstr>Framework for the assignment of regulatory attention levels</vt:lpstr>
    </vt:vector>
  </TitlesOfParts>
  <Manager>Office for Nuclear Regulation</Manager>
  <Company>Office for Nuclear Regulation</Company>
  <LinksUpToDate>false</LinksUpToDate>
  <CharactersWithSpaces>31994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Framework for the assignment of regulatory attention levels</dc:title>
  <dc:subject>[Subtitle or description]</dc:subject>
  <dc:creator>Liam Dunning</dc:creator>
  <cp:keywords>[Key words separated by commas]</cp:keywords>
  <dc:description/>
  <cp:lastModifiedBy>Linda Beckett</cp:lastModifiedBy>
  <cp:revision>2</cp:revision>
  <cp:lastPrinted>2016-11-28T11:35:00Z</cp:lastPrinted>
  <dcterms:created xsi:type="dcterms:W3CDTF">2026-08-18T10:58:00Z</dcterms:created>
  <dcterms:modified xsi:type="dcterms:W3CDTF">2026-08-18T10:58:00Z</dcterms:modified>
  <cp:contentStatus>4</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ies>
</file>