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E34D0A6" w:rsidR="00D0226A" w:rsidRPr="001E03E1" w:rsidRDefault="00A40E91"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376E0" w:rsidRPr="0002207C">
                      <w:rPr>
                        <w:sz w:val="72"/>
                        <w:szCs w:val="72"/>
                      </w:rPr>
                      <w:t>Containment</w:t>
                    </w:r>
                    <w:r w:rsidR="00BB07DC" w:rsidRPr="0002207C">
                      <w:rPr>
                        <w:sz w:val="72"/>
                        <w:szCs w:val="72"/>
                      </w:rPr>
                      <w:t xml:space="preserve"> on </w:t>
                    </w:r>
                    <w:r w:rsidR="0002207C">
                      <w:rPr>
                        <w:sz w:val="72"/>
                        <w:szCs w:val="72"/>
                      </w:rPr>
                      <w:t>n</w:t>
                    </w:r>
                    <w:r w:rsidR="00BB07DC" w:rsidRPr="0002207C">
                      <w:rPr>
                        <w:sz w:val="72"/>
                        <w:szCs w:val="72"/>
                      </w:rPr>
                      <w:t xml:space="preserve">uclear </w:t>
                    </w:r>
                    <w:r w:rsidR="0002207C">
                      <w:rPr>
                        <w:sz w:val="72"/>
                        <w:szCs w:val="72"/>
                      </w:rPr>
                      <w:t>f</w:t>
                    </w:r>
                    <w:r w:rsidR="00BB07DC" w:rsidRPr="0002207C">
                      <w:rPr>
                        <w:sz w:val="72"/>
                        <w:szCs w:val="72"/>
                      </w:rPr>
                      <w:t>acilities</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58240"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27A670E4" w:rsidR="00004C16" w:rsidRPr="00F63AA5" w:rsidRDefault="00A40E91"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02207C">
            <w:rPr>
              <w:rStyle w:val="Style2"/>
              <w:sz w:val="36"/>
              <w:szCs w:val="16"/>
            </w:rPr>
            <w:t>Containment on nuclear facilities</w:t>
          </w:r>
        </w:sdtContent>
      </w:sdt>
    </w:p>
    <w:p w14:paraId="10432EBB" w14:textId="2603F480" w:rsidR="002D5F2E" w:rsidRDefault="002D5F2E" w:rsidP="002D5F2E">
      <w:pPr>
        <w:rPr>
          <w:sz w:val="28"/>
          <w:szCs w:val="28"/>
        </w:rPr>
      </w:pPr>
      <w:r w:rsidRPr="002D5F2E">
        <w:rPr>
          <w:b/>
          <w:bCs/>
          <w:sz w:val="28"/>
          <w:szCs w:val="28"/>
        </w:rPr>
        <w:t>Professional Lead</w:t>
      </w:r>
      <w:r>
        <w:rPr>
          <w:sz w:val="28"/>
          <w:szCs w:val="28"/>
        </w:rPr>
        <w:t xml:space="preserve">: Professional Lead – </w:t>
      </w:r>
      <w:r w:rsidR="00F3540E">
        <w:rPr>
          <w:sz w:val="28"/>
          <w:szCs w:val="28"/>
        </w:rPr>
        <w:t xml:space="preserve">Mechanical Engineering </w:t>
      </w:r>
      <w:r w:rsidR="0002207C">
        <w:rPr>
          <w:sz w:val="28"/>
          <w:szCs w:val="28"/>
        </w:rPr>
        <w:t xml:space="preserve">and Structural Integrity </w:t>
      </w:r>
    </w:p>
    <w:p w14:paraId="61A25C0F" w14:textId="77777777" w:rsidR="00004C16" w:rsidRDefault="00004C16" w:rsidP="00004C16">
      <w:pPr>
        <w:rPr>
          <w:sz w:val="28"/>
          <w:szCs w:val="28"/>
        </w:rPr>
      </w:pPr>
    </w:p>
    <w:p w14:paraId="4C7A948F" w14:textId="352A320E" w:rsidR="00245A0D" w:rsidRPr="002D5F2E" w:rsidRDefault="00245A0D" w:rsidP="00245A0D">
      <w:pPr>
        <w:rPr>
          <w:szCs w:val="24"/>
        </w:rPr>
      </w:pPr>
      <w:r w:rsidRPr="002D5F2E">
        <w:rPr>
          <w:b/>
          <w:bCs/>
          <w:szCs w:val="24"/>
        </w:rPr>
        <w:t>Authored by</w:t>
      </w:r>
      <w:r w:rsidR="00CE1DB2" w:rsidRPr="002D5F2E">
        <w:rPr>
          <w:szCs w:val="24"/>
        </w:rPr>
        <w:t>:</w:t>
      </w:r>
      <w:r w:rsidRPr="002D5F2E">
        <w:rPr>
          <w:szCs w:val="24"/>
        </w:rPr>
        <w:t xml:space="preserve"> </w:t>
      </w:r>
      <w:r w:rsidR="00592336">
        <w:rPr>
          <w:szCs w:val="24"/>
        </w:rPr>
        <w:t xml:space="preserve">Mechanical Engineering Specialist Inspector </w:t>
      </w:r>
    </w:p>
    <w:p w14:paraId="15A21CF3" w14:textId="0B57CCDE" w:rsidR="00245A0D" w:rsidRPr="002D5F2E" w:rsidRDefault="00245A0D" w:rsidP="00245A0D">
      <w:pPr>
        <w:rPr>
          <w:szCs w:val="24"/>
        </w:rPr>
      </w:pPr>
      <w:r w:rsidRPr="002D5F2E">
        <w:rPr>
          <w:b/>
          <w:bCs/>
          <w:szCs w:val="24"/>
        </w:rPr>
        <w:t>Approved by</w:t>
      </w:r>
      <w:r w:rsidR="00CE1DB2" w:rsidRPr="002D5F2E">
        <w:rPr>
          <w:szCs w:val="24"/>
        </w:rPr>
        <w:t>:</w:t>
      </w:r>
      <w:r w:rsidRPr="002D5F2E">
        <w:rPr>
          <w:szCs w:val="24"/>
        </w:rPr>
        <w:t xml:space="preserve"> </w:t>
      </w:r>
      <w:r w:rsidR="00592336">
        <w:rPr>
          <w:szCs w:val="24"/>
        </w:rPr>
        <w:t xml:space="preserve">Professional Lead – Mechanical Engineering </w:t>
      </w:r>
    </w:p>
    <w:p w14:paraId="247E3769" w14:textId="09813056" w:rsidR="00004C16" w:rsidRPr="002D5F2E" w:rsidRDefault="00004C16" w:rsidP="00004C16">
      <w:pPr>
        <w:rPr>
          <w:szCs w:val="24"/>
        </w:rPr>
      </w:pPr>
      <w:r w:rsidRPr="002D5F2E">
        <w:rPr>
          <w:b/>
          <w:bCs/>
          <w:szCs w:val="24"/>
        </w:rPr>
        <w:t xml:space="preserve">Issue </w:t>
      </w:r>
      <w:r w:rsidR="0002207C">
        <w:rPr>
          <w:b/>
          <w:bCs/>
          <w:szCs w:val="24"/>
        </w:rPr>
        <w:t>number</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560FB">
            <w:rPr>
              <w:szCs w:val="24"/>
            </w:rPr>
            <w:t>6.1</w:t>
          </w:r>
        </w:sdtContent>
      </w:sdt>
    </w:p>
    <w:p w14:paraId="19206F45" w14:textId="1F88882C" w:rsidR="00004C16" w:rsidRPr="002D5F2E" w:rsidRDefault="00004C16" w:rsidP="00004C16">
      <w:pPr>
        <w:rPr>
          <w:szCs w:val="24"/>
        </w:rPr>
      </w:pPr>
      <w:r w:rsidRPr="002D5F2E">
        <w:rPr>
          <w:b/>
          <w:bCs/>
          <w:szCs w:val="24"/>
        </w:rPr>
        <w:t xml:space="preserve">Publication </w:t>
      </w:r>
      <w:r w:rsidR="0002207C">
        <w:rPr>
          <w:b/>
          <w:bCs/>
          <w:szCs w:val="24"/>
        </w:rPr>
        <w:t>d</w:t>
      </w:r>
      <w:r w:rsidRPr="002D5F2E">
        <w:rPr>
          <w:b/>
          <w:bCs/>
          <w:szCs w:val="24"/>
        </w:rPr>
        <w:t>ate</w:t>
      </w:r>
      <w:r w:rsidRPr="002D5F2E">
        <w:rPr>
          <w:szCs w:val="24"/>
        </w:rPr>
        <w:t xml:space="preserve">: </w:t>
      </w:r>
      <w:r w:rsidR="0002207C">
        <w:rPr>
          <w:szCs w:val="24"/>
        </w:rPr>
        <w:t>June 2024</w:t>
      </w:r>
    </w:p>
    <w:p w14:paraId="06A6B3A5" w14:textId="2B2CD990" w:rsidR="00E57DB9" w:rsidRPr="002D5F2E" w:rsidRDefault="00E57DB9" w:rsidP="00E57DB9">
      <w:pPr>
        <w:rPr>
          <w:szCs w:val="24"/>
        </w:rPr>
      </w:pPr>
      <w:r w:rsidRPr="002D5F2E">
        <w:rPr>
          <w:b/>
          <w:bCs/>
          <w:szCs w:val="24"/>
        </w:rPr>
        <w:t xml:space="preserve">Next </w:t>
      </w:r>
      <w:r w:rsidR="0002207C">
        <w:rPr>
          <w:b/>
          <w:bCs/>
          <w:szCs w:val="24"/>
        </w:rPr>
        <w:t>scheduled review</w:t>
      </w:r>
      <w:r w:rsidRPr="002D5F2E">
        <w:rPr>
          <w:szCs w:val="24"/>
        </w:rPr>
        <w:t>:</w:t>
      </w:r>
      <w:r w:rsidR="00AE4F54" w:rsidRPr="002D5F2E">
        <w:rPr>
          <w:szCs w:val="24"/>
        </w:rPr>
        <w:t xml:space="preserve"> </w:t>
      </w:r>
      <w:r w:rsidR="0002207C">
        <w:rPr>
          <w:szCs w:val="24"/>
        </w:rPr>
        <w:t>June 2026</w:t>
      </w:r>
    </w:p>
    <w:p w14:paraId="6DA341A1" w14:textId="69F360E5" w:rsidR="00347CA8" w:rsidRPr="002D5F2E" w:rsidRDefault="00347CA8" w:rsidP="00E57DB9">
      <w:pPr>
        <w:rPr>
          <w:szCs w:val="24"/>
        </w:rPr>
      </w:pPr>
      <w:r w:rsidRPr="002D5F2E">
        <w:rPr>
          <w:b/>
          <w:bCs/>
          <w:szCs w:val="24"/>
        </w:rPr>
        <w:t>Doc</w:t>
      </w:r>
      <w:r w:rsidR="0002207C">
        <w:rPr>
          <w:b/>
          <w:bCs/>
          <w:szCs w:val="24"/>
        </w:rPr>
        <w:t>ument reference</w:t>
      </w:r>
      <w:r w:rsidRPr="002D5F2E">
        <w:rPr>
          <w:szCs w:val="24"/>
        </w:rPr>
        <w:t xml:space="preserve">.: </w:t>
      </w:r>
      <w:r w:rsidR="00592336">
        <w:rPr>
          <w:szCs w:val="24"/>
        </w:rPr>
        <w:t>NS</w:t>
      </w:r>
      <w:r w:rsidR="00FF0BFE">
        <w:rPr>
          <w:szCs w:val="24"/>
        </w:rPr>
        <w:t>-TAST-GD-021</w:t>
      </w:r>
    </w:p>
    <w:p w14:paraId="55057C62" w14:textId="3906779C" w:rsidR="00004C16" w:rsidRPr="002D5F2E" w:rsidRDefault="00004C16" w:rsidP="00FF0BFE">
      <w:pPr>
        <w:rPr>
          <w:szCs w:val="24"/>
        </w:rPr>
      </w:pPr>
      <w:r w:rsidRPr="002D5F2E">
        <w:rPr>
          <w:b/>
          <w:bCs/>
          <w:szCs w:val="24"/>
        </w:rPr>
        <w:t xml:space="preserve">Record </w:t>
      </w:r>
      <w:r w:rsidR="0002207C">
        <w:rPr>
          <w:b/>
          <w:bCs/>
          <w:szCs w:val="24"/>
        </w:rPr>
        <w:t>reference number</w:t>
      </w:r>
      <w:r w:rsidRPr="002D5F2E">
        <w:rPr>
          <w:szCs w:val="24"/>
        </w:rPr>
        <w:t xml:space="preserve">: </w:t>
      </w:r>
      <w:r w:rsidR="0002207C" w:rsidRPr="0002207C">
        <w:rPr>
          <w:szCs w:val="24"/>
        </w:rPr>
        <w:t>2020/139188</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2D5F2E"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2D5F2E" w:rsidRDefault="00595C8C" w:rsidP="00595C8C">
            <w:pPr>
              <w:spacing w:before="60" w:after="60"/>
              <w:rPr>
                <w:b w:val="0"/>
                <w:bCs/>
                <w:szCs w:val="24"/>
              </w:rPr>
            </w:pPr>
            <w:r w:rsidRPr="002D5F2E">
              <w:rPr>
                <w:b w:val="0"/>
                <w:bCs/>
                <w:szCs w:val="24"/>
              </w:rPr>
              <w:t>Issue</w:t>
            </w:r>
            <w:r w:rsidR="004E3932" w:rsidRPr="002D5F2E">
              <w:rPr>
                <w:b w:val="0"/>
                <w:bCs/>
                <w:szCs w:val="24"/>
              </w:rPr>
              <w:t xml:space="preserve"> No.</w:t>
            </w:r>
          </w:p>
        </w:tc>
        <w:tc>
          <w:tcPr>
            <w:tcW w:w="7466" w:type="dxa"/>
          </w:tcPr>
          <w:p w14:paraId="2D00C3FD" w14:textId="26176D05" w:rsidR="00595C8C" w:rsidRPr="002D5F2E" w:rsidRDefault="00595C8C" w:rsidP="00595C8C">
            <w:pPr>
              <w:spacing w:before="60" w:after="60"/>
              <w:rPr>
                <w:b w:val="0"/>
                <w:bCs/>
                <w:szCs w:val="24"/>
              </w:rPr>
            </w:pPr>
            <w:r w:rsidRPr="002D5F2E">
              <w:rPr>
                <w:b w:val="0"/>
                <w:bCs/>
                <w:szCs w:val="24"/>
              </w:rPr>
              <w:t>Description of Update(s)</w:t>
            </w:r>
          </w:p>
        </w:tc>
      </w:tr>
      <w:tr w:rsidR="00595C8C" w:rsidRPr="002D5F2E" w14:paraId="0B4E4E42" w14:textId="77777777" w:rsidTr="00E20B32">
        <w:tc>
          <w:tcPr>
            <w:tcW w:w="1550" w:type="dxa"/>
          </w:tcPr>
          <w:p w14:paraId="65482A03" w14:textId="36A8F5EC" w:rsidR="00595C8C" w:rsidRPr="002D5F2E" w:rsidRDefault="0002207C" w:rsidP="00595C8C">
            <w:pPr>
              <w:spacing w:before="60" w:after="60"/>
              <w:rPr>
                <w:szCs w:val="24"/>
              </w:rPr>
            </w:pPr>
            <w:r>
              <w:rPr>
                <w:szCs w:val="24"/>
              </w:rPr>
              <w:t>6.1</w:t>
            </w:r>
          </w:p>
        </w:tc>
        <w:tc>
          <w:tcPr>
            <w:tcW w:w="7466" w:type="dxa"/>
          </w:tcPr>
          <w:p w14:paraId="1C80912E" w14:textId="1C1819E5" w:rsidR="00595C8C" w:rsidRPr="002D5F2E" w:rsidRDefault="0002207C" w:rsidP="00595C8C">
            <w:pPr>
              <w:spacing w:before="60" w:after="60"/>
              <w:rPr>
                <w:szCs w:val="24"/>
              </w:rPr>
            </w:pPr>
            <w:r w:rsidRPr="0002207C">
              <w:rPr>
                <w:b/>
                <w:bCs/>
              </w:rPr>
              <w:t>Minor update</w:t>
            </w:r>
            <w:r>
              <w:t xml:space="preserve"> – document </w:t>
            </w:r>
            <w:r w:rsidR="00844618">
              <w:t xml:space="preserve">revised </w:t>
            </w:r>
            <w:r w:rsidR="00A16BD5">
              <w:t xml:space="preserve">to use </w:t>
            </w:r>
            <w:r w:rsidR="00220F71">
              <w:t xml:space="preserve">latest ONR template, </w:t>
            </w:r>
            <w:r w:rsidR="000331FF">
              <w:t>title change</w:t>
            </w:r>
            <w:r>
              <w:t>d (previously titled, ‘Containment: Chemical Plants’)</w:t>
            </w:r>
            <w:r w:rsidR="000331FF">
              <w:t xml:space="preserve">, </w:t>
            </w:r>
            <w:r w:rsidR="00FD7439">
              <w:t>minor rewording to align text with ONR terminology and an update to references</w:t>
            </w:r>
            <w:r>
              <w:t>.</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8805DB8" w14:textId="25A0D5B2" w:rsidR="00B8284F"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0218745" w:history="1">
        <w:r w:rsidR="00B8284F" w:rsidRPr="00AD0BA3">
          <w:rPr>
            <w:rStyle w:val="Hyperlink"/>
          </w:rPr>
          <w:t>1.</w:t>
        </w:r>
        <w:r w:rsidR="00B8284F">
          <w:rPr>
            <w:rFonts w:asciiTheme="minorHAnsi" w:eastAsiaTheme="minorEastAsia" w:hAnsiTheme="minorHAnsi" w:cstheme="minorBidi"/>
            <w:kern w:val="2"/>
            <w:sz w:val="22"/>
            <w:lang w:eastAsia="en-GB" w:bidi="ar-SA"/>
            <w14:ligatures w14:val="standardContextual"/>
          </w:rPr>
          <w:tab/>
        </w:r>
        <w:r w:rsidR="00B8284F" w:rsidRPr="00AD0BA3">
          <w:rPr>
            <w:rStyle w:val="Hyperlink"/>
          </w:rPr>
          <w:t>Introduction</w:t>
        </w:r>
        <w:r w:rsidR="00B8284F">
          <w:rPr>
            <w:webHidden/>
          </w:rPr>
          <w:tab/>
        </w:r>
        <w:r w:rsidR="00B8284F">
          <w:rPr>
            <w:webHidden/>
          </w:rPr>
          <w:fldChar w:fldCharType="begin"/>
        </w:r>
        <w:r w:rsidR="00B8284F">
          <w:rPr>
            <w:webHidden/>
          </w:rPr>
          <w:instrText xml:space="preserve"> PAGEREF _Toc170218745 \h </w:instrText>
        </w:r>
        <w:r w:rsidR="00B8284F">
          <w:rPr>
            <w:webHidden/>
          </w:rPr>
        </w:r>
        <w:r w:rsidR="00B8284F">
          <w:rPr>
            <w:webHidden/>
          </w:rPr>
          <w:fldChar w:fldCharType="separate"/>
        </w:r>
        <w:r w:rsidR="00B8284F">
          <w:rPr>
            <w:webHidden/>
          </w:rPr>
          <w:t>4</w:t>
        </w:r>
        <w:r w:rsidR="00B8284F">
          <w:rPr>
            <w:webHidden/>
          </w:rPr>
          <w:fldChar w:fldCharType="end"/>
        </w:r>
      </w:hyperlink>
    </w:p>
    <w:p w14:paraId="4F983B3A" w14:textId="77F9EC72" w:rsidR="00B8284F" w:rsidRDefault="00A40E9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218746" w:history="1">
        <w:r w:rsidR="00B8284F" w:rsidRPr="00AD0BA3">
          <w:rPr>
            <w:rStyle w:val="Hyperlink"/>
          </w:rPr>
          <w:t>2.</w:t>
        </w:r>
        <w:r w:rsidR="00B8284F">
          <w:rPr>
            <w:rFonts w:asciiTheme="minorHAnsi" w:eastAsiaTheme="minorEastAsia" w:hAnsiTheme="minorHAnsi" w:cstheme="minorBidi"/>
            <w:kern w:val="2"/>
            <w:sz w:val="22"/>
            <w:lang w:eastAsia="en-GB" w:bidi="ar-SA"/>
            <w14:ligatures w14:val="standardContextual"/>
          </w:rPr>
          <w:tab/>
        </w:r>
        <w:r w:rsidR="00B8284F" w:rsidRPr="00AD0BA3">
          <w:rPr>
            <w:rStyle w:val="Hyperlink"/>
          </w:rPr>
          <w:t>Purpose and scope</w:t>
        </w:r>
        <w:r w:rsidR="00B8284F">
          <w:rPr>
            <w:webHidden/>
          </w:rPr>
          <w:tab/>
        </w:r>
        <w:r w:rsidR="00B8284F">
          <w:rPr>
            <w:webHidden/>
          </w:rPr>
          <w:fldChar w:fldCharType="begin"/>
        </w:r>
        <w:r w:rsidR="00B8284F">
          <w:rPr>
            <w:webHidden/>
          </w:rPr>
          <w:instrText xml:space="preserve"> PAGEREF _Toc170218746 \h </w:instrText>
        </w:r>
        <w:r w:rsidR="00B8284F">
          <w:rPr>
            <w:webHidden/>
          </w:rPr>
        </w:r>
        <w:r w:rsidR="00B8284F">
          <w:rPr>
            <w:webHidden/>
          </w:rPr>
          <w:fldChar w:fldCharType="separate"/>
        </w:r>
        <w:r w:rsidR="00B8284F">
          <w:rPr>
            <w:webHidden/>
          </w:rPr>
          <w:t>5</w:t>
        </w:r>
        <w:r w:rsidR="00B8284F">
          <w:rPr>
            <w:webHidden/>
          </w:rPr>
          <w:fldChar w:fldCharType="end"/>
        </w:r>
      </w:hyperlink>
    </w:p>
    <w:p w14:paraId="1E2502AE" w14:textId="13AAF23F" w:rsidR="00B8284F" w:rsidRDefault="00A40E9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218747" w:history="1">
        <w:r w:rsidR="00B8284F" w:rsidRPr="00AD0BA3">
          <w:rPr>
            <w:rStyle w:val="Hyperlink"/>
          </w:rPr>
          <w:t>3.</w:t>
        </w:r>
        <w:r w:rsidR="00B8284F">
          <w:rPr>
            <w:rFonts w:asciiTheme="minorHAnsi" w:eastAsiaTheme="minorEastAsia" w:hAnsiTheme="minorHAnsi" w:cstheme="minorBidi"/>
            <w:kern w:val="2"/>
            <w:sz w:val="22"/>
            <w:lang w:eastAsia="en-GB" w:bidi="ar-SA"/>
            <w14:ligatures w14:val="standardContextual"/>
          </w:rPr>
          <w:tab/>
        </w:r>
        <w:r w:rsidR="00B8284F" w:rsidRPr="00AD0BA3">
          <w:rPr>
            <w:rStyle w:val="Hyperlink"/>
          </w:rPr>
          <w:t>Relationship to licence and other relevant legislation</w:t>
        </w:r>
        <w:r w:rsidR="00B8284F">
          <w:rPr>
            <w:webHidden/>
          </w:rPr>
          <w:tab/>
        </w:r>
        <w:r w:rsidR="00B8284F">
          <w:rPr>
            <w:webHidden/>
          </w:rPr>
          <w:fldChar w:fldCharType="begin"/>
        </w:r>
        <w:r w:rsidR="00B8284F">
          <w:rPr>
            <w:webHidden/>
          </w:rPr>
          <w:instrText xml:space="preserve"> PAGEREF _Toc170218747 \h </w:instrText>
        </w:r>
        <w:r w:rsidR="00B8284F">
          <w:rPr>
            <w:webHidden/>
          </w:rPr>
        </w:r>
        <w:r w:rsidR="00B8284F">
          <w:rPr>
            <w:webHidden/>
          </w:rPr>
          <w:fldChar w:fldCharType="separate"/>
        </w:r>
        <w:r w:rsidR="00B8284F">
          <w:rPr>
            <w:webHidden/>
          </w:rPr>
          <w:t>7</w:t>
        </w:r>
        <w:r w:rsidR="00B8284F">
          <w:rPr>
            <w:webHidden/>
          </w:rPr>
          <w:fldChar w:fldCharType="end"/>
        </w:r>
      </w:hyperlink>
    </w:p>
    <w:p w14:paraId="0CE48230" w14:textId="5ACB4C0B" w:rsidR="00B8284F" w:rsidRDefault="00A40E9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218748" w:history="1">
        <w:r w:rsidR="00B8284F" w:rsidRPr="00AD0BA3">
          <w:rPr>
            <w:rStyle w:val="Hyperlink"/>
          </w:rPr>
          <w:t>4.</w:t>
        </w:r>
        <w:r w:rsidR="00B8284F">
          <w:rPr>
            <w:rFonts w:asciiTheme="minorHAnsi" w:eastAsiaTheme="minorEastAsia" w:hAnsiTheme="minorHAnsi" w:cstheme="minorBidi"/>
            <w:kern w:val="2"/>
            <w:sz w:val="22"/>
            <w:lang w:eastAsia="en-GB" w:bidi="ar-SA"/>
            <w14:ligatures w14:val="standardContextual"/>
          </w:rPr>
          <w:tab/>
        </w:r>
        <w:r w:rsidR="00B8284F" w:rsidRPr="00AD0BA3">
          <w:rPr>
            <w:rStyle w:val="Hyperlink"/>
          </w:rPr>
          <w:t>Relationship to Safety Assessment Principles, WENRA Reference Levels, and IAEA Safety Standards and Guides</w:t>
        </w:r>
        <w:r w:rsidR="00B8284F">
          <w:rPr>
            <w:webHidden/>
          </w:rPr>
          <w:tab/>
        </w:r>
        <w:r w:rsidR="00B8284F">
          <w:rPr>
            <w:webHidden/>
          </w:rPr>
          <w:fldChar w:fldCharType="begin"/>
        </w:r>
        <w:r w:rsidR="00B8284F">
          <w:rPr>
            <w:webHidden/>
          </w:rPr>
          <w:instrText xml:space="preserve"> PAGEREF _Toc170218748 \h </w:instrText>
        </w:r>
        <w:r w:rsidR="00B8284F">
          <w:rPr>
            <w:webHidden/>
          </w:rPr>
        </w:r>
        <w:r w:rsidR="00B8284F">
          <w:rPr>
            <w:webHidden/>
          </w:rPr>
          <w:fldChar w:fldCharType="separate"/>
        </w:r>
        <w:r w:rsidR="00B8284F">
          <w:rPr>
            <w:webHidden/>
          </w:rPr>
          <w:t>9</w:t>
        </w:r>
        <w:r w:rsidR="00B8284F">
          <w:rPr>
            <w:webHidden/>
          </w:rPr>
          <w:fldChar w:fldCharType="end"/>
        </w:r>
      </w:hyperlink>
    </w:p>
    <w:p w14:paraId="35632F06" w14:textId="279F4E8A" w:rsidR="00B8284F" w:rsidRDefault="00A40E9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0218749" w:history="1">
        <w:r w:rsidR="00B8284F" w:rsidRPr="00AD0BA3">
          <w:rPr>
            <w:rStyle w:val="Hyperlink"/>
          </w:rPr>
          <w:t>5.</w:t>
        </w:r>
        <w:r w:rsidR="00B8284F">
          <w:rPr>
            <w:rFonts w:asciiTheme="minorHAnsi" w:eastAsiaTheme="minorEastAsia" w:hAnsiTheme="minorHAnsi" w:cstheme="minorBidi"/>
            <w:kern w:val="2"/>
            <w:sz w:val="22"/>
            <w:lang w:eastAsia="en-GB" w:bidi="ar-SA"/>
            <w14:ligatures w14:val="standardContextual"/>
          </w:rPr>
          <w:tab/>
        </w:r>
        <w:r w:rsidR="00B8284F" w:rsidRPr="00AD0BA3">
          <w:rPr>
            <w:rStyle w:val="Hyperlink"/>
          </w:rPr>
          <w:t>Advice to Inspectors</w:t>
        </w:r>
        <w:r w:rsidR="00B8284F">
          <w:rPr>
            <w:webHidden/>
          </w:rPr>
          <w:tab/>
        </w:r>
        <w:r w:rsidR="00B8284F">
          <w:rPr>
            <w:webHidden/>
          </w:rPr>
          <w:fldChar w:fldCharType="begin"/>
        </w:r>
        <w:r w:rsidR="00B8284F">
          <w:rPr>
            <w:webHidden/>
          </w:rPr>
          <w:instrText xml:space="preserve"> PAGEREF _Toc170218749 \h </w:instrText>
        </w:r>
        <w:r w:rsidR="00B8284F">
          <w:rPr>
            <w:webHidden/>
          </w:rPr>
        </w:r>
        <w:r w:rsidR="00B8284F">
          <w:rPr>
            <w:webHidden/>
          </w:rPr>
          <w:fldChar w:fldCharType="separate"/>
        </w:r>
        <w:r w:rsidR="00B8284F">
          <w:rPr>
            <w:webHidden/>
          </w:rPr>
          <w:t>12</w:t>
        </w:r>
        <w:r w:rsidR="00B8284F">
          <w:rPr>
            <w:webHidden/>
          </w:rPr>
          <w:fldChar w:fldCharType="end"/>
        </w:r>
      </w:hyperlink>
    </w:p>
    <w:p w14:paraId="390FCCE0" w14:textId="2085F871" w:rsidR="00B8284F" w:rsidRDefault="00A40E91">
      <w:pPr>
        <w:pStyle w:val="TOC1"/>
        <w:rPr>
          <w:rFonts w:asciiTheme="minorHAnsi" w:eastAsiaTheme="minorEastAsia" w:hAnsiTheme="minorHAnsi" w:cstheme="minorBidi"/>
          <w:kern w:val="2"/>
          <w:sz w:val="22"/>
          <w:lang w:eastAsia="en-GB" w:bidi="ar-SA"/>
          <w14:ligatures w14:val="standardContextual"/>
        </w:rPr>
      </w:pPr>
      <w:hyperlink w:anchor="_Toc170218750" w:history="1">
        <w:r w:rsidR="00B8284F" w:rsidRPr="00AD0BA3">
          <w:rPr>
            <w:rStyle w:val="Hyperlink"/>
          </w:rPr>
          <w:t>References</w:t>
        </w:r>
        <w:r w:rsidR="00B8284F">
          <w:rPr>
            <w:webHidden/>
          </w:rPr>
          <w:tab/>
        </w:r>
        <w:r w:rsidR="00B8284F">
          <w:rPr>
            <w:webHidden/>
          </w:rPr>
          <w:fldChar w:fldCharType="begin"/>
        </w:r>
        <w:r w:rsidR="00B8284F">
          <w:rPr>
            <w:webHidden/>
          </w:rPr>
          <w:instrText xml:space="preserve"> PAGEREF _Toc170218750 \h </w:instrText>
        </w:r>
        <w:r w:rsidR="00B8284F">
          <w:rPr>
            <w:webHidden/>
          </w:rPr>
        </w:r>
        <w:r w:rsidR="00B8284F">
          <w:rPr>
            <w:webHidden/>
          </w:rPr>
          <w:fldChar w:fldCharType="separate"/>
        </w:r>
        <w:r w:rsidR="00B8284F">
          <w:rPr>
            <w:webHidden/>
          </w:rPr>
          <w:t>16</w:t>
        </w:r>
        <w:r w:rsidR="00B8284F">
          <w:rPr>
            <w:webHidden/>
          </w:rPr>
          <w:fldChar w:fldCharType="end"/>
        </w:r>
      </w:hyperlink>
    </w:p>
    <w:p w14:paraId="2E338318" w14:textId="1A72FD3B" w:rsidR="00B8284F" w:rsidRDefault="00A40E91">
      <w:pPr>
        <w:pStyle w:val="TOC1"/>
        <w:rPr>
          <w:rFonts w:asciiTheme="minorHAnsi" w:eastAsiaTheme="minorEastAsia" w:hAnsiTheme="minorHAnsi" w:cstheme="minorBidi"/>
          <w:kern w:val="2"/>
          <w:sz w:val="22"/>
          <w:lang w:eastAsia="en-GB" w:bidi="ar-SA"/>
          <w14:ligatures w14:val="standardContextual"/>
        </w:rPr>
      </w:pPr>
      <w:hyperlink w:anchor="_Toc170218751" w:history="1">
        <w:r w:rsidR="00B8284F" w:rsidRPr="00AD0BA3">
          <w:rPr>
            <w:rStyle w:val="Hyperlink"/>
          </w:rPr>
          <w:t>Glossary and Abbreviations</w:t>
        </w:r>
        <w:r w:rsidR="00B8284F">
          <w:rPr>
            <w:webHidden/>
          </w:rPr>
          <w:tab/>
        </w:r>
        <w:r w:rsidR="00B8284F">
          <w:rPr>
            <w:webHidden/>
          </w:rPr>
          <w:fldChar w:fldCharType="begin"/>
        </w:r>
        <w:r w:rsidR="00B8284F">
          <w:rPr>
            <w:webHidden/>
          </w:rPr>
          <w:instrText xml:space="preserve"> PAGEREF _Toc170218751 \h </w:instrText>
        </w:r>
        <w:r w:rsidR="00B8284F">
          <w:rPr>
            <w:webHidden/>
          </w:rPr>
        </w:r>
        <w:r w:rsidR="00B8284F">
          <w:rPr>
            <w:webHidden/>
          </w:rPr>
          <w:fldChar w:fldCharType="separate"/>
        </w:r>
        <w:r w:rsidR="00B8284F">
          <w:rPr>
            <w:webHidden/>
          </w:rPr>
          <w:t>18</w:t>
        </w:r>
        <w:r w:rsidR="00B8284F">
          <w:rPr>
            <w:webHidden/>
          </w:rPr>
          <w:fldChar w:fldCharType="end"/>
        </w:r>
      </w:hyperlink>
    </w:p>
    <w:p w14:paraId="0CC4B54A" w14:textId="093901C5" w:rsidR="00267815" w:rsidRDefault="00404B0C" w:rsidP="006864A8">
      <w:pPr>
        <w:tabs>
          <w:tab w:val="left" w:pos="851"/>
        </w:tabs>
        <w:ind w:left="851" w:hanging="851"/>
      </w:pPr>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5DEDA49A" w:rsidR="008D49A5" w:rsidRPr="0002207C" w:rsidRDefault="008D49A5" w:rsidP="0002207C">
      <w:pPr>
        <w:pStyle w:val="Heading1"/>
      </w:pPr>
      <w:bookmarkStart w:id="1" w:name="_Toc170218745"/>
      <w:bookmarkEnd w:id="0"/>
      <w:r w:rsidRPr="0002207C">
        <w:lastRenderedPageBreak/>
        <w:t>Introduction</w:t>
      </w:r>
      <w:bookmarkEnd w:id="1"/>
    </w:p>
    <w:p w14:paraId="4DBA223A" w14:textId="12200A9F" w:rsidR="000A51C3" w:rsidRDefault="000950B3" w:rsidP="006864A8">
      <w:pPr>
        <w:pStyle w:val="F9-Paragraph"/>
        <w:numPr>
          <w:ilvl w:val="0"/>
          <w:numId w:val="29"/>
        </w:numPr>
        <w:spacing w:line="21" w:lineRule="atLeast"/>
        <w:ind w:left="851" w:hanging="851"/>
      </w:pPr>
      <w:bookmarkStart w:id="2" w:name="_Hlk64448648"/>
      <w:r w:rsidRPr="00712FD1">
        <w:t xml:space="preserve">ONR has established its </w:t>
      </w:r>
      <w:hyperlink r:id="rId17" w:history="1">
        <w:r w:rsidRPr="00F7687C">
          <w:rPr>
            <w:rStyle w:val="Hyperlink"/>
          </w:rPr>
          <w:t>Safety Assessment Principles</w:t>
        </w:r>
      </w:hyperlink>
      <w:r w:rsidRPr="00712FD1">
        <w:t xml:space="preserve"> (SAPs) </w:t>
      </w:r>
      <w:sdt>
        <w:sdtPr>
          <w:id w:val="-1891410551"/>
          <w:citation/>
        </w:sdtPr>
        <w:sdtEndPr/>
        <w:sdtContent>
          <w:r>
            <w:fldChar w:fldCharType="begin"/>
          </w:r>
          <w:r w:rsidR="000331FF">
            <w:instrText xml:space="preserve">CITATION ONR2013 \l 2057 </w:instrText>
          </w:r>
          <w:r>
            <w:fldChar w:fldCharType="separate"/>
          </w:r>
          <w:r w:rsidR="0002207C">
            <w:rPr>
              <w:noProof/>
            </w:rPr>
            <w:t>[1]</w:t>
          </w:r>
          <w:r>
            <w:fldChar w:fldCharType="end"/>
          </w:r>
        </w:sdtContent>
      </w:sdt>
      <w:r>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w:t>
      </w:r>
      <w:r w:rsidR="00D63A3A">
        <w:t xml:space="preserve"> </w:t>
      </w:r>
      <w:r w:rsidRPr="00712FD1">
        <w:t xml:space="preserve">This </w:t>
      </w:r>
      <w:r w:rsidR="00205AF7" w:rsidRPr="00205AF7">
        <w:t>Technical Assessment Guide</w:t>
      </w:r>
      <w:r w:rsidRPr="00712FD1">
        <w:t xml:space="preserve"> (TAG)</w:t>
      </w:r>
      <w:sdt>
        <w:sdtPr>
          <w:id w:val="1038548410"/>
          <w:citation/>
        </w:sdtPr>
        <w:sdtEndPr/>
        <w:sdtContent>
          <w:r w:rsidR="0052329B">
            <w:fldChar w:fldCharType="begin"/>
          </w:r>
          <w:r w:rsidR="000331FF">
            <w:instrText xml:space="preserve">CITATION TAGS \l 2057 </w:instrText>
          </w:r>
          <w:r w:rsidR="0052329B">
            <w:fldChar w:fldCharType="separate"/>
          </w:r>
          <w:r w:rsidR="0002207C">
            <w:rPr>
              <w:noProof/>
            </w:rPr>
            <w:t xml:space="preserve"> [2]</w:t>
          </w:r>
          <w:r w:rsidR="0052329B">
            <w:fldChar w:fldCharType="end"/>
          </w:r>
        </w:sdtContent>
      </w:sdt>
      <w:r w:rsidRPr="00712FD1">
        <w:t xml:space="preserve"> is one of these guides.</w:t>
      </w:r>
      <w:bookmarkEnd w:id="2"/>
    </w:p>
    <w:p w14:paraId="74FFBE88" w14:textId="0053064B" w:rsidR="00FD4086" w:rsidRDefault="00FD4086" w:rsidP="006864A8">
      <w:pPr>
        <w:pStyle w:val="F9-Paragraph"/>
        <w:numPr>
          <w:ilvl w:val="0"/>
          <w:numId w:val="29"/>
        </w:numPr>
        <w:spacing w:line="21" w:lineRule="atLeast"/>
        <w:ind w:left="851" w:hanging="851"/>
      </w:pPr>
      <w:r w:rsidRPr="00FD4086">
        <w:t>The TAGs assist ONR inspectors to interpret and apply the assessment principles. They also include guidance on principles relevant to Licence Conditions (LCs)</w:t>
      </w:r>
      <w:sdt>
        <w:sdtPr>
          <w:id w:val="-514839717"/>
          <w:citation/>
        </w:sdtPr>
        <w:sdtEndPr/>
        <w:sdtContent>
          <w:r w:rsidR="0052329B">
            <w:fldChar w:fldCharType="begin"/>
          </w:r>
          <w:r w:rsidR="000331FF">
            <w:instrText xml:space="preserve">CITATION Lic17 \l 2057 </w:instrText>
          </w:r>
          <w:r w:rsidR="0052329B">
            <w:fldChar w:fldCharType="separate"/>
          </w:r>
          <w:r w:rsidR="0002207C">
            <w:rPr>
              <w:noProof/>
            </w:rPr>
            <w:t xml:space="preserve"> [3]</w:t>
          </w:r>
          <w:r w:rsidR="0052329B">
            <w:fldChar w:fldCharType="end"/>
          </w:r>
        </w:sdtContent>
      </w:sdt>
      <w:r w:rsidRPr="00FD4086">
        <w:t xml:space="preserve">, which supplement the </w:t>
      </w:r>
      <w:r w:rsidR="005D0E3D" w:rsidRPr="00FD4086">
        <w:t>Technical Inspection Guides</w:t>
      </w:r>
      <w:r w:rsidRPr="00FD4086">
        <w:t xml:space="preserve"> (TIGs)</w:t>
      </w:r>
      <w:sdt>
        <w:sdtPr>
          <w:id w:val="-428359442"/>
          <w:citation/>
        </w:sdtPr>
        <w:sdtEndPr/>
        <w:sdtContent>
          <w:r w:rsidR="00663C5F">
            <w:fldChar w:fldCharType="begin"/>
          </w:r>
          <w:r w:rsidR="000331FF">
            <w:instrText xml:space="preserve">CITATION TIGS \l 2057 </w:instrText>
          </w:r>
          <w:r w:rsidR="00663C5F">
            <w:fldChar w:fldCharType="separate"/>
          </w:r>
          <w:r w:rsidR="0002207C">
            <w:rPr>
              <w:noProof/>
            </w:rPr>
            <w:t xml:space="preserve"> [4]</w:t>
          </w:r>
          <w:r w:rsidR="00663C5F">
            <w:fldChar w:fldCharType="end"/>
          </w:r>
        </w:sdtContent>
      </w:sdt>
      <w:r w:rsidRPr="00FD4086">
        <w:t>. Thus, the TAGs are relevant to all ONR inspectors, regardless of their function. The guides also inform licensees of ONR expectations of the nature and content of the relevant technical elements of licensees' submissions.</w:t>
      </w:r>
    </w:p>
    <w:p w14:paraId="66BA8C9C" w14:textId="366CA4B4" w:rsidR="006A0537" w:rsidRDefault="006A0537" w:rsidP="006864A8">
      <w:pPr>
        <w:pStyle w:val="F9-Paragraph"/>
        <w:numPr>
          <w:ilvl w:val="0"/>
          <w:numId w:val="29"/>
        </w:numPr>
        <w:spacing w:line="21" w:lineRule="atLeast"/>
        <w:ind w:left="851" w:hanging="851"/>
      </w:pPr>
      <w:r>
        <w:t xml:space="preserve">This guide explains what ONR considers relevant good practice (RGP) when looking at </w:t>
      </w:r>
      <w:r w:rsidR="00BB07DC">
        <w:t>containment on nuclear facilities</w:t>
      </w:r>
      <w:r>
        <w:t>. This RGP may be used to assess dutyholders activities and safety submissions. Examples of these include:</w:t>
      </w:r>
    </w:p>
    <w:p w14:paraId="531AF445" w14:textId="13DC6D81" w:rsidR="003F5EB1" w:rsidRPr="004E3314" w:rsidRDefault="00D46367" w:rsidP="006864A8">
      <w:pPr>
        <w:pStyle w:val="Bulletlist1"/>
        <w:numPr>
          <w:ilvl w:val="0"/>
          <w:numId w:val="12"/>
        </w:numPr>
        <w:spacing w:line="21" w:lineRule="atLeast"/>
        <w:ind w:left="1418" w:hanging="357"/>
      </w:pPr>
      <w:r>
        <w:t>P</w:t>
      </w:r>
      <w:r w:rsidRPr="004E3314">
        <w:t xml:space="preserve">eriodic </w:t>
      </w:r>
      <w:r w:rsidR="003F5EB1" w:rsidRPr="004E3314">
        <w:t>reviews of safety cases;</w:t>
      </w:r>
    </w:p>
    <w:p w14:paraId="4C19D2CF" w14:textId="0A61B1D4" w:rsidR="003F5EB1" w:rsidRPr="004E3314" w:rsidRDefault="00D46367" w:rsidP="006864A8">
      <w:pPr>
        <w:pStyle w:val="Bulletlist1"/>
        <w:numPr>
          <w:ilvl w:val="0"/>
          <w:numId w:val="12"/>
        </w:numPr>
        <w:spacing w:line="21" w:lineRule="atLeast"/>
        <w:ind w:left="1418" w:hanging="357"/>
      </w:pPr>
      <w:r>
        <w:t>Design</w:t>
      </w:r>
      <w:r w:rsidR="003F5EB1">
        <w:t xml:space="preserve">, </w:t>
      </w:r>
      <w:r w:rsidR="003F5EB1" w:rsidRPr="004E3314">
        <w:t xml:space="preserve">construction or installation of new plant; </w:t>
      </w:r>
    </w:p>
    <w:p w14:paraId="15B91D94" w14:textId="60EFBBD3" w:rsidR="003F5EB1" w:rsidRPr="004E3314" w:rsidRDefault="00D46367" w:rsidP="006864A8">
      <w:pPr>
        <w:pStyle w:val="Bulletlist1"/>
        <w:numPr>
          <w:ilvl w:val="0"/>
          <w:numId w:val="12"/>
        </w:numPr>
        <w:spacing w:line="21" w:lineRule="atLeast"/>
        <w:ind w:left="1418" w:hanging="357"/>
      </w:pPr>
      <w:r>
        <w:t>M</w:t>
      </w:r>
      <w:r w:rsidRPr="004E3314">
        <w:t xml:space="preserve">odification </w:t>
      </w:r>
      <w:r w:rsidR="003F5EB1" w:rsidRPr="004E3314">
        <w:t>or experiment on existing plant; and</w:t>
      </w:r>
      <w:r w:rsidR="007F63FD">
        <w:t>,</w:t>
      </w:r>
    </w:p>
    <w:p w14:paraId="79B06A17" w14:textId="68057520" w:rsidR="003F5EB1" w:rsidRPr="004E3314" w:rsidRDefault="00D46367" w:rsidP="006864A8">
      <w:pPr>
        <w:pStyle w:val="Bulletlist1"/>
        <w:numPr>
          <w:ilvl w:val="0"/>
          <w:numId w:val="12"/>
        </w:numPr>
        <w:spacing w:line="21" w:lineRule="atLeast"/>
        <w:ind w:left="1418" w:hanging="357"/>
      </w:pPr>
      <w:r>
        <w:t>C</w:t>
      </w:r>
      <w:r w:rsidRPr="004E3314">
        <w:t xml:space="preserve">hanges </w:t>
      </w:r>
      <w:r w:rsidR="003F5EB1" w:rsidRPr="004E3314">
        <w:t>to examination, inspection maintenance and testing (EIMT).</w:t>
      </w:r>
    </w:p>
    <w:p w14:paraId="3EB88E95" w14:textId="77777777" w:rsidR="003F5EB1" w:rsidRDefault="003F5EB1" w:rsidP="006864A8">
      <w:pPr>
        <w:pStyle w:val="F9-Paragraph"/>
        <w:spacing w:line="21" w:lineRule="atLeast"/>
      </w:pPr>
    </w:p>
    <w:p w14:paraId="28C51E6B" w14:textId="77777777" w:rsidR="00496329" w:rsidRDefault="00496329" w:rsidP="006864A8">
      <w:pPr>
        <w:pStyle w:val="F9-Paragraph"/>
        <w:spacing w:line="21" w:lineRule="atLeast"/>
        <w:ind w:left="851" w:hanging="851"/>
      </w:pPr>
    </w:p>
    <w:p w14:paraId="10B3BEA3" w14:textId="5758F837" w:rsidR="00496329" w:rsidRPr="000A51C3" w:rsidRDefault="00496329" w:rsidP="0002207C">
      <w:pPr>
        <w:pStyle w:val="Heading1"/>
        <w:numPr>
          <w:ilvl w:val="0"/>
          <w:numId w:val="0"/>
        </w:numPr>
        <w:ind w:left="360"/>
        <w:sectPr w:rsidR="00496329" w:rsidRPr="000A51C3" w:rsidSect="000B2BCD">
          <w:headerReference w:type="default" r:id="rId18"/>
          <w:footerReference w:type="default" r:id="rId19"/>
          <w:pgSz w:w="11906" w:h="16838" w:code="9"/>
          <w:pgMar w:top="1440" w:right="1440" w:bottom="1440" w:left="1440" w:header="397" w:footer="397" w:gutter="0"/>
          <w:cols w:space="312"/>
          <w:docGrid w:linePitch="360"/>
        </w:sectPr>
      </w:pPr>
    </w:p>
    <w:p w14:paraId="33DD5BB8" w14:textId="27D2E13D" w:rsidR="000A51C3" w:rsidRDefault="000950B3" w:rsidP="0002207C">
      <w:pPr>
        <w:pStyle w:val="Heading1"/>
      </w:pPr>
      <w:bookmarkStart w:id="3" w:name="_Toc170218746"/>
      <w:r>
        <w:lastRenderedPageBreak/>
        <w:t xml:space="preserve">Purpose and </w:t>
      </w:r>
      <w:r w:rsidR="0002207C">
        <w:t>s</w:t>
      </w:r>
      <w:r>
        <w:t>cope</w:t>
      </w:r>
      <w:bookmarkEnd w:id="3"/>
    </w:p>
    <w:p w14:paraId="1917AEA8" w14:textId="768F0C73" w:rsidR="00C9090F" w:rsidRDefault="003D64E3" w:rsidP="006864A8">
      <w:pPr>
        <w:pStyle w:val="F9-Paragraph"/>
        <w:numPr>
          <w:ilvl w:val="0"/>
          <w:numId w:val="29"/>
        </w:numPr>
        <w:spacing w:line="21" w:lineRule="atLeast"/>
        <w:ind w:left="851" w:hanging="851"/>
      </w:pPr>
      <w:r w:rsidRPr="004E3314">
        <w:t>This TAG</w:t>
      </w:r>
      <w:r w:rsidR="00D46367">
        <w:t>’</w:t>
      </w:r>
      <w:r w:rsidR="00A453CC">
        <w:t>s</w:t>
      </w:r>
      <w:r w:rsidRPr="004E3314">
        <w:t xml:space="preserve"> </w:t>
      </w:r>
      <w:r>
        <w:t xml:space="preserve">principal </w:t>
      </w:r>
      <w:r w:rsidRPr="004E3314">
        <w:t>purposes</w:t>
      </w:r>
      <w:r w:rsidR="006139B2">
        <w:t>, i</w:t>
      </w:r>
      <w:r w:rsidR="00A453CC">
        <w:t>s</w:t>
      </w:r>
      <w:r>
        <w:t xml:space="preserve"> to</w:t>
      </w:r>
      <w:r w:rsidR="00A453CC">
        <w:t xml:space="preserve"> </w:t>
      </w:r>
      <w:r>
        <w:t xml:space="preserve">promote consistency in inspector’s </w:t>
      </w:r>
      <w:r w:rsidR="00D46367">
        <w:t xml:space="preserve">judgements </w:t>
      </w:r>
      <w:r w:rsidR="00763E27">
        <w:t>associated with containment related</w:t>
      </w:r>
      <w:r w:rsidR="006C41CF">
        <w:t xml:space="preserve"> </w:t>
      </w:r>
      <w:r w:rsidR="00FF6473" w:rsidRPr="004E3314">
        <w:t>structures, systems and components (SSCs)</w:t>
      </w:r>
      <w:r w:rsidR="00763E27">
        <w:t xml:space="preserve"> </w:t>
      </w:r>
      <w:r w:rsidR="00A453CC">
        <w:t>on nuclear facilities.</w:t>
      </w:r>
    </w:p>
    <w:p w14:paraId="5462B952" w14:textId="6017A9D7" w:rsidR="009C4699" w:rsidRDefault="00556CD6" w:rsidP="006864A8">
      <w:pPr>
        <w:pStyle w:val="F9-Paragraph"/>
        <w:numPr>
          <w:ilvl w:val="0"/>
          <w:numId w:val="29"/>
        </w:numPr>
        <w:spacing w:line="21" w:lineRule="atLeast"/>
        <w:ind w:left="851" w:hanging="851"/>
      </w:pPr>
      <w:r w:rsidRPr="0011019A">
        <w:t>Containment is provided to retain nuclear material and prevent its uncontrolled spread from the process plant into other parts of the facility</w:t>
      </w:r>
      <w:r w:rsidR="00FB240E">
        <w:t xml:space="preserve">. </w:t>
      </w:r>
      <w:r w:rsidR="0002207C">
        <w:br/>
      </w:r>
      <w:r w:rsidR="00FB240E">
        <w:t>It also protect</w:t>
      </w:r>
      <w:r w:rsidR="00AF48F8">
        <w:t xml:space="preserve">s against </w:t>
      </w:r>
      <w:r w:rsidRPr="0011019A">
        <w:t>potent</w:t>
      </w:r>
      <w:r w:rsidR="00A37180">
        <w:t>ial release</w:t>
      </w:r>
      <w:r w:rsidRPr="0011019A">
        <w:t xml:space="preserve"> into the environment</w:t>
      </w:r>
      <w:r w:rsidR="00A37180">
        <w:t>. This is relevant</w:t>
      </w:r>
      <w:r w:rsidRPr="0011019A">
        <w:t xml:space="preserve"> both in normal operation and fault conditions. </w:t>
      </w:r>
    </w:p>
    <w:p w14:paraId="50662E9F" w14:textId="2277598F" w:rsidR="00A23D80" w:rsidRDefault="00556CD6" w:rsidP="006864A8">
      <w:pPr>
        <w:pStyle w:val="F9-Paragraph"/>
        <w:numPr>
          <w:ilvl w:val="0"/>
          <w:numId w:val="29"/>
        </w:numPr>
        <w:spacing w:line="21" w:lineRule="atLeast"/>
        <w:ind w:left="851" w:hanging="851"/>
      </w:pPr>
      <w:r w:rsidRPr="0011019A">
        <w:t xml:space="preserve">The term 'containment' encompasses a wide range of </w:t>
      </w:r>
      <w:r w:rsidR="00D459A5">
        <w:t>structures, systems and components (</w:t>
      </w:r>
      <w:r w:rsidRPr="0011019A">
        <w:t>SSCs</w:t>
      </w:r>
      <w:r w:rsidR="00D459A5">
        <w:t>)</w:t>
      </w:r>
      <w:r w:rsidRPr="0011019A">
        <w:t xml:space="preserve"> from large civil structures surrounding reactors</w:t>
      </w:r>
      <w:r w:rsidR="00FD0182">
        <w:t>,</w:t>
      </w:r>
      <w:r w:rsidRPr="0011019A">
        <w:t xml:space="preserve"> to gloveboxes handling small quantities of nuclear material. </w:t>
      </w:r>
    </w:p>
    <w:p w14:paraId="652D2885" w14:textId="327920D8" w:rsidR="00F14441" w:rsidRDefault="00556CD6" w:rsidP="006864A8">
      <w:pPr>
        <w:pStyle w:val="F9-Paragraph"/>
        <w:numPr>
          <w:ilvl w:val="0"/>
          <w:numId w:val="29"/>
        </w:numPr>
        <w:spacing w:line="21" w:lineRule="atLeast"/>
        <w:ind w:left="851" w:hanging="851"/>
      </w:pPr>
      <w:r w:rsidRPr="0011019A">
        <w:t xml:space="preserve">This </w:t>
      </w:r>
      <w:r w:rsidR="004D38E6">
        <w:t>a</w:t>
      </w:r>
      <w:r w:rsidRPr="0011019A">
        <w:t xml:space="preserve">ssessment </w:t>
      </w:r>
      <w:r w:rsidR="004D38E6">
        <w:t>g</w:t>
      </w:r>
      <w:r w:rsidRPr="0011019A">
        <w:t xml:space="preserve">uide has been prepared to consider the factors which are relevant to </w:t>
      </w:r>
      <w:r w:rsidR="00F14441">
        <w:t>nuclear facilities</w:t>
      </w:r>
      <w:r w:rsidRPr="0011019A">
        <w:t xml:space="preserve">. </w:t>
      </w:r>
      <w:r w:rsidR="00F14441">
        <w:t xml:space="preserve">These </w:t>
      </w:r>
      <w:r w:rsidR="00A81C14">
        <w:t xml:space="preserve">nuclear facilities are </w:t>
      </w:r>
      <w:r w:rsidR="00DF20C5">
        <w:t xml:space="preserve">essentially any facility </w:t>
      </w:r>
      <w:r w:rsidR="00412063">
        <w:t xml:space="preserve">housing </w:t>
      </w:r>
      <w:r w:rsidR="000752B1">
        <w:t>nuclear material</w:t>
      </w:r>
      <w:r w:rsidR="00E74DF9">
        <w:t xml:space="preserve">, which are not </w:t>
      </w:r>
      <w:r w:rsidR="009A0491">
        <w:t xml:space="preserve">specifically </w:t>
      </w:r>
      <w:r w:rsidR="00B44007">
        <w:t xml:space="preserve">a </w:t>
      </w:r>
      <w:r w:rsidR="0086780F">
        <w:t xml:space="preserve">reactor. </w:t>
      </w:r>
      <w:r w:rsidR="0002207C">
        <w:br/>
      </w:r>
      <w:r w:rsidR="002E7147">
        <w:t xml:space="preserve">Such facilities may be </w:t>
      </w:r>
      <w:r w:rsidR="00F732FE">
        <w:t xml:space="preserve">those such as </w:t>
      </w:r>
      <w:r w:rsidR="005C3BC3">
        <w:t xml:space="preserve">storage facilities, </w:t>
      </w:r>
      <w:r w:rsidR="005B5802">
        <w:t>processing</w:t>
      </w:r>
      <w:r w:rsidR="003A7A75">
        <w:t>, manufacture</w:t>
      </w:r>
      <w:r w:rsidR="00A427C5">
        <w:t xml:space="preserve"> or enrichment</w:t>
      </w:r>
      <w:r w:rsidR="000D5759">
        <w:t>.</w:t>
      </w:r>
    </w:p>
    <w:p w14:paraId="07B753AC" w14:textId="7976B3A1" w:rsidR="0011019A" w:rsidRDefault="00556CD6" w:rsidP="006864A8">
      <w:pPr>
        <w:pStyle w:val="F9-Paragraph"/>
        <w:numPr>
          <w:ilvl w:val="0"/>
          <w:numId w:val="29"/>
        </w:numPr>
        <w:spacing w:line="21" w:lineRule="atLeast"/>
        <w:ind w:left="851" w:hanging="851"/>
      </w:pPr>
      <w:r w:rsidRPr="0011019A">
        <w:t>In some cases</w:t>
      </w:r>
      <w:r w:rsidR="00054F20">
        <w:t>,</w:t>
      </w:r>
      <w:r w:rsidRPr="0011019A">
        <w:t xml:space="preserve"> containment is a physical barrier which is robust enough to prevent the spread of radioactive material. In others there may be engineered SSCs designed to prevent the release of radioactive material</w:t>
      </w:r>
      <w:r w:rsidR="00F45881">
        <w:t>, for example</w:t>
      </w:r>
      <w:r w:rsidR="00F45881" w:rsidRPr="0011019A">
        <w:t xml:space="preserve"> </w:t>
      </w:r>
      <w:r w:rsidR="004A18F1">
        <w:t>f</w:t>
      </w:r>
      <w:r w:rsidRPr="0011019A">
        <w:t xml:space="preserve">iltration, scrubbing or ventilation systems providing dynamic containment. Specific guidance on the latter is set out in </w:t>
      </w:r>
      <w:r w:rsidR="00B8284F">
        <w:t xml:space="preserve">an </w:t>
      </w:r>
      <w:r w:rsidRPr="0011019A">
        <w:t>ONR TAG</w:t>
      </w:r>
      <w:r w:rsidR="00B8284F">
        <w:t xml:space="preserve"> </w:t>
      </w:r>
      <w:r w:rsidR="00B8284F">
        <w:br/>
        <w:t>(</w:t>
      </w:r>
      <w:r w:rsidRPr="0011019A">
        <w:t>NS-TAST-GD-022</w:t>
      </w:r>
      <w:r w:rsidR="00B8284F">
        <w:t>)</w:t>
      </w:r>
      <w:sdt>
        <w:sdtPr>
          <w:id w:val="-1653974683"/>
          <w:citation/>
        </w:sdtPr>
        <w:sdtEndPr/>
        <w:sdtContent>
          <w:r w:rsidR="00B06C7D">
            <w:fldChar w:fldCharType="begin"/>
          </w:r>
          <w:r w:rsidR="000331FF">
            <w:instrText xml:space="preserve">CITATION TAG22 \l 2057 </w:instrText>
          </w:r>
          <w:r w:rsidR="00B06C7D">
            <w:fldChar w:fldCharType="separate"/>
          </w:r>
          <w:r w:rsidR="0002207C">
            <w:rPr>
              <w:noProof/>
            </w:rPr>
            <w:t xml:space="preserve"> [5]</w:t>
          </w:r>
          <w:r w:rsidR="00B06C7D">
            <w:fldChar w:fldCharType="end"/>
          </w:r>
        </w:sdtContent>
      </w:sdt>
      <w:r w:rsidRPr="0011019A">
        <w:t>.</w:t>
      </w:r>
    </w:p>
    <w:p w14:paraId="1EED25A7" w14:textId="61B1CB08" w:rsidR="007F0ED9" w:rsidRPr="009B6DB4" w:rsidRDefault="0011019A" w:rsidP="006864A8">
      <w:pPr>
        <w:pStyle w:val="F9-Paragraph"/>
        <w:numPr>
          <w:ilvl w:val="0"/>
          <w:numId w:val="29"/>
        </w:numPr>
        <w:spacing w:line="21" w:lineRule="atLeast"/>
        <w:ind w:left="851" w:hanging="851"/>
      </w:pPr>
      <w:r w:rsidRPr="009B6DB4">
        <w:t>Where SSCs forming part of containment provide a safety function, general engineering and safety principles should be applied.</w:t>
      </w:r>
    </w:p>
    <w:p w14:paraId="2E6EF2B2" w14:textId="63A82853" w:rsidR="00626F3B" w:rsidRDefault="007F0ED9" w:rsidP="006864A8">
      <w:pPr>
        <w:pStyle w:val="F9-Paragraph"/>
        <w:numPr>
          <w:ilvl w:val="0"/>
          <w:numId w:val="29"/>
        </w:numPr>
        <w:spacing w:line="21" w:lineRule="atLeast"/>
        <w:ind w:left="851" w:hanging="851"/>
      </w:pPr>
      <w:r w:rsidRPr="007F0ED9">
        <w:t xml:space="preserve">Containment may consist of </w:t>
      </w:r>
      <w:r w:rsidR="005A55BF" w:rsidRPr="007F0ED9">
        <w:t>several</w:t>
      </w:r>
      <w:r w:rsidRPr="007F0ED9">
        <w:t xml:space="preserve"> different barriers. The </w:t>
      </w:r>
      <w:r w:rsidR="00350BDE">
        <w:t>‘</w:t>
      </w:r>
      <w:r w:rsidRPr="007F0ED9">
        <w:t>primary</w:t>
      </w:r>
      <w:r w:rsidR="00350BDE">
        <w:t>’</w:t>
      </w:r>
      <w:r w:rsidRPr="007F0ED9">
        <w:t xml:space="preserve"> containment on a </w:t>
      </w:r>
      <w:r w:rsidR="00B1510D">
        <w:t>nuclear facility</w:t>
      </w:r>
      <w:r w:rsidRPr="007F0ED9">
        <w:t xml:space="preserve"> invariably refers to the boundary immediately in contact with the nuclear material and additional layers of protection may be incorporated in the design dependent on the significance of process risk. </w:t>
      </w:r>
      <w:r w:rsidR="00626F3B">
        <w:t>‘</w:t>
      </w:r>
      <w:r w:rsidRPr="007F0ED9">
        <w:t>Secondary</w:t>
      </w:r>
      <w:r w:rsidR="00626F3B">
        <w:t>’</w:t>
      </w:r>
      <w:r w:rsidRPr="007F0ED9">
        <w:t xml:space="preserve"> containment is generally the barrier which is incorporated to contain spills resulting from failure of the primary containment. The term containment may be used differently in the context of nuclear reactors. Specific guidance on containment for reactor plant</w:t>
      </w:r>
      <w:r w:rsidR="00B8284F">
        <w:t>s</w:t>
      </w:r>
      <w:r w:rsidRPr="007F0ED9">
        <w:t xml:space="preserve"> is set out in </w:t>
      </w:r>
      <w:bookmarkStart w:id="4" w:name="_Hlk164070755"/>
      <w:r w:rsidR="00B8284F">
        <w:t xml:space="preserve">an ONR </w:t>
      </w:r>
      <w:r w:rsidRPr="007F0ED9">
        <w:t>TAG</w:t>
      </w:r>
      <w:r w:rsidR="00B8284F">
        <w:t xml:space="preserve"> (</w:t>
      </w:r>
      <w:r w:rsidRPr="007F0ED9">
        <w:t>NS-TAST-GD-020</w:t>
      </w:r>
      <w:bookmarkEnd w:id="4"/>
      <w:r w:rsidR="00B8284F">
        <w:t>)</w:t>
      </w:r>
      <w:sdt>
        <w:sdtPr>
          <w:id w:val="-1807924327"/>
          <w:citation/>
        </w:sdtPr>
        <w:sdtEndPr/>
        <w:sdtContent>
          <w:r w:rsidR="00B06C7D">
            <w:fldChar w:fldCharType="begin"/>
          </w:r>
          <w:r w:rsidR="000331FF">
            <w:instrText xml:space="preserve">CITATION TAG20 \l 2057 </w:instrText>
          </w:r>
          <w:r w:rsidR="00B06C7D">
            <w:fldChar w:fldCharType="separate"/>
          </w:r>
          <w:r w:rsidR="0002207C">
            <w:rPr>
              <w:noProof/>
            </w:rPr>
            <w:t xml:space="preserve"> [6]</w:t>
          </w:r>
          <w:r w:rsidR="00B06C7D">
            <w:fldChar w:fldCharType="end"/>
          </w:r>
        </w:sdtContent>
      </w:sdt>
      <w:r w:rsidRPr="007F0ED9">
        <w:t>.</w:t>
      </w:r>
    </w:p>
    <w:p w14:paraId="62D80363" w14:textId="3A9AC3B7" w:rsidR="00626F3B" w:rsidRDefault="007F0ED9" w:rsidP="006864A8">
      <w:pPr>
        <w:pStyle w:val="F9-Paragraph"/>
        <w:numPr>
          <w:ilvl w:val="0"/>
          <w:numId w:val="29"/>
        </w:numPr>
        <w:spacing w:line="21" w:lineRule="atLeast"/>
        <w:ind w:left="851" w:hanging="851"/>
      </w:pPr>
      <w:r w:rsidRPr="007F0ED9">
        <w:t xml:space="preserve">In </w:t>
      </w:r>
      <w:r w:rsidR="00597CB7" w:rsidRPr="007F0ED9">
        <w:t>general,</w:t>
      </w:r>
      <w:r w:rsidRPr="007F0ED9">
        <w:t xml:space="preserve"> nuclear material in </w:t>
      </w:r>
      <w:r w:rsidR="00E7445B">
        <w:t>these nuclear facilities</w:t>
      </w:r>
      <w:r w:rsidRPr="007F0ED9">
        <w:t xml:space="preserve"> is not in such an energetic state as fuel in a reactor. However</w:t>
      </w:r>
      <w:r w:rsidR="00C646DB">
        <w:t>,</w:t>
      </w:r>
      <w:r w:rsidRPr="007F0ED9">
        <w:t xml:space="preserve"> the nuclear material in </w:t>
      </w:r>
      <w:r w:rsidR="00C646DB">
        <w:t>nuclear facilities</w:t>
      </w:r>
      <w:r w:rsidRPr="007F0ED9">
        <w:t xml:space="preserve"> is likely to be in a more easily dispersible form such that the number of containment barriers may be equal to or higher than those on reactors. </w:t>
      </w:r>
    </w:p>
    <w:p w14:paraId="5147EF33" w14:textId="77777777" w:rsidR="0002207C" w:rsidRDefault="0002207C" w:rsidP="006864A8">
      <w:pPr>
        <w:pStyle w:val="F9-Paragraph"/>
        <w:numPr>
          <w:ilvl w:val="0"/>
          <w:numId w:val="29"/>
        </w:numPr>
        <w:spacing w:line="21" w:lineRule="atLeast"/>
        <w:ind w:left="851" w:hanging="851"/>
        <w:sectPr w:rsidR="0002207C" w:rsidSect="000B2BCD">
          <w:pgSz w:w="11906" w:h="16838" w:code="9"/>
          <w:pgMar w:top="1440" w:right="1440" w:bottom="1440" w:left="1440" w:header="397" w:footer="397" w:gutter="0"/>
          <w:cols w:space="312"/>
          <w:docGrid w:linePitch="360"/>
        </w:sectPr>
      </w:pPr>
    </w:p>
    <w:p w14:paraId="4F263FE5" w14:textId="69483010" w:rsidR="005174B6" w:rsidRDefault="007F0ED9" w:rsidP="006864A8">
      <w:pPr>
        <w:pStyle w:val="F9-Paragraph"/>
        <w:numPr>
          <w:ilvl w:val="0"/>
          <w:numId w:val="29"/>
        </w:numPr>
        <w:spacing w:line="21" w:lineRule="atLeast"/>
        <w:ind w:left="851" w:hanging="851"/>
      </w:pPr>
      <w:r w:rsidRPr="007F0ED9">
        <w:lastRenderedPageBreak/>
        <w:t xml:space="preserve">Some dispersal mechanisms generally considered are impact, fire, explosion, pressure release, boiling of liquors and entrainment in ventilation systems. However, other failures, for example failure of a glove, seal or window in a glovebox will also represent a loss of containment. </w:t>
      </w:r>
    </w:p>
    <w:p w14:paraId="004070E6" w14:textId="2E716BEE" w:rsidR="001B3567" w:rsidRPr="009B6DB4" w:rsidRDefault="005174B6" w:rsidP="006864A8">
      <w:pPr>
        <w:pStyle w:val="F9-Paragraph"/>
        <w:numPr>
          <w:ilvl w:val="0"/>
          <w:numId w:val="29"/>
        </w:numPr>
        <w:spacing w:line="21" w:lineRule="atLeast"/>
        <w:ind w:left="851" w:hanging="851"/>
      </w:pPr>
      <w:r w:rsidRPr="009B6DB4">
        <w:t xml:space="preserve">Depending on the functional requirement of the containment system the licensee may need to consider </w:t>
      </w:r>
      <w:r w:rsidRPr="00E52F23">
        <w:t>how</w:t>
      </w:r>
      <w:r w:rsidRPr="009B6DB4">
        <w:t xml:space="preserve"> material or equipment can be safely imported or exported from the containment. For example</w:t>
      </w:r>
      <w:r w:rsidR="00C646DB">
        <w:t>,</w:t>
      </w:r>
      <w:r w:rsidRPr="009B6DB4">
        <w:t xml:space="preserve"> for processing, sampling, maintenance or test. Facilities provided for such purposes may be at variance with the requirement for permanent containment and shielding but may be necessary to ensure safe operation of the facility. </w:t>
      </w:r>
    </w:p>
    <w:p w14:paraId="4EE62EA5" w14:textId="3B9E4444" w:rsidR="009B6DB4" w:rsidRPr="0077221D" w:rsidRDefault="009B6DB4" w:rsidP="006864A8">
      <w:pPr>
        <w:pStyle w:val="F9-Paragraph"/>
        <w:numPr>
          <w:ilvl w:val="0"/>
          <w:numId w:val="29"/>
        </w:numPr>
        <w:spacing w:line="21" w:lineRule="atLeast"/>
        <w:ind w:left="851" w:hanging="851"/>
      </w:pPr>
      <w:r w:rsidRPr="009B6DB4">
        <w:t>This TAG contains guidance to advise and inform ONR staff in the exercise of their professional regulatory judgement.</w:t>
      </w:r>
      <w:r w:rsidR="0002207C">
        <w:t xml:space="preserve"> </w:t>
      </w:r>
      <w:r w:rsidRPr="009B6DB4">
        <w:t>Other relevant TAGs that may be consulted are</w:t>
      </w:r>
      <w:r w:rsidR="00CC02CE">
        <w:t>:</w:t>
      </w:r>
    </w:p>
    <w:p w14:paraId="708D0A5C" w14:textId="61E27154" w:rsidR="0077221D" w:rsidRPr="0077221D" w:rsidRDefault="009B6DB4" w:rsidP="006864A8">
      <w:pPr>
        <w:pStyle w:val="Bulletlist1"/>
        <w:numPr>
          <w:ilvl w:val="0"/>
          <w:numId w:val="12"/>
        </w:numPr>
        <w:spacing w:line="21" w:lineRule="atLeast"/>
        <w:ind w:left="1418" w:hanging="357"/>
      </w:pPr>
      <w:r w:rsidRPr="0077221D">
        <w:t>NS</w:t>
      </w:r>
      <w:r w:rsidR="00385A1E" w:rsidRPr="0077221D">
        <w:t>-TAST-GD-005 – Regulating duties to reduce risks to ALARP</w:t>
      </w:r>
      <w:sdt>
        <w:sdtPr>
          <w:id w:val="-1537109748"/>
          <w:citation/>
        </w:sdtPr>
        <w:sdtEndPr/>
        <w:sdtContent>
          <w:r w:rsidR="00B06C7D">
            <w:fldChar w:fldCharType="begin"/>
          </w:r>
          <w:r w:rsidR="000331FF">
            <w:instrText xml:space="preserve">CITATION TAG5 \l 2057 </w:instrText>
          </w:r>
          <w:r w:rsidR="00B06C7D">
            <w:fldChar w:fldCharType="separate"/>
          </w:r>
          <w:r w:rsidR="0002207C">
            <w:t xml:space="preserve"> </w:t>
          </w:r>
          <w:r w:rsidR="0002207C" w:rsidRPr="0002207C">
            <w:t>[7]</w:t>
          </w:r>
          <w:r w:rsidR="00B06C7D">
            <w:fldChar w:fldCharType="end"/>
          </w:r>
        </w:sdtContent>
      </w:sdt>
      <w:r w:rsidR="0077221D" w:rsidRPr="0077221D">
        <w:t xml:space="preserve"> </w:t>
      </w:r>
    </w:p>
    <w:p w14:paraId="14796E54" w14:textId="7273ED7E" w:rsidR="0077221D" w:rsidRPr="0077221D" w:rsidRDefault="0077221D" w:rsidP="006864A8">
      <w:pPr>
        <w:pStyle w:val="Bulletlist1"/>
        <w:numPr>
          <w:ilvl w:val="0"/>
          <w:numId w:val="12"/>
        </w:numPr>
        <w:spacing w:line="21" w:lineRule="atLeast"/>
        <w:ind w:left="1418" w:hanging="357"/>
      </w:pPr>
      <w:r w:rsidRPr="0077221D">
        <w:t xml:space="preserve">NS-TAST-GD-009 </w:t>
      </w:r>
      <w:r w:rsidR="007F63FD">
        <w:t>–</w:t>
      </w:r>
      <w:r w:rsidRPr="0077221D">
        <w:t xml:space="preserve"> Examination, Inspection, Maintenance </w:t>
      </w:r>
      <w:r w:rsidR="008E372E">
        <w:t>and</w:t>
      </w:r>
      <w:r w:rsidRPr="0077221D">
        <w:t xml:space="preserve"> Testing of Items Important to Safety</w:t>
      </w:r>
      <w:sdt>
        <w:sdtPr>
          <w:id w:val="-1535576891"/>
          <w:citation/>
        </w:sdtPr>
        <w:sdtEndPr/>
        <w:sdtContent>
          <w:r w:rsidR="003E7622">
            <w:fldChar w:fldCharType="begin"/>
          </w:r>
          <w:r w:rsidR="0002207C">
            <w:instrText xml:space="preserve">CITATION TAG9 \l 2057 </w:instrText>
          </w:r>
          <w:r w:rsidR="003E7622">
            <w:fldChar w:fldCharType="separate"/>
          </w:r>
          <w:r w:rsidR="0002207C">
            <w:t xml:space="preserve"> </w:t>
          </w:r>
          <w:r w:rsidR="0002207C" w:rsidRPr="0002207C">
            <w:t>[8]</w:t>
          </w:r>
          <w:r w:rsidR="003E7622">
            <w:fldChar w:fldCharType="end"/>
          </w:r>
        </w:sdtContent>
      </w:sdt>
    </w:p>
    <w:p w14:paraId="118A5247" w14:textId="77EC865D" w:rsidR="0077221D" w:rsidRPr="0077221D" w:rsidRDefault="0077221D" w:rsidP="006864A8">
      <w:pPr>
        <w:pStyle w:val="Bulletlist1"/>
        <w:numPr>
          <w:ilvl w:val="0"/>
          <w:numId w:val="12"/>
        </w:numPr>
        <w:spacing w:line="21" w:lineRule="atLeast"/>
        <w:ind w:left="1418" w:hanging="357"/>
      </w:pPr>
      <w:r w:rsidRPr="00297FA1">
        <w:t>NS-TAST-GD-</w:t>
      </w:r>
      <w:r w:rsidRPr="0077221D">
        <w:t>016 – Integrity of Metal Components and Structures</w:t>
      </w:r>
      <w:sdt>
        <w:sdtPr>
          <w:id w:val="439653895"/>
          <w:citation/>
        </w:sdtPr>
        <w:sdtEndPr/>
        <w:sdtContent>
          <w:r w:rsidR="003E7622">
            <w:fldChar w:fldCharType="begin"/>
          </w:r>
          <w:r w:rsidR="000331FF">
            <w:instrText xml:space="preserve">CITATION TAG16 \l 2057 </w:instrText>
          </w:r>
          <w:r w:rsidR="003E7622">
            <w:fldChar w:fldCharType="separate"/>
          </w:r>
          <w:r w:rsidR="0002207C">
            <w:t xml:space="preserve"> </w:t>
          </w:r>
          <w:r w:rsidR="0002207C" w:rsidRPr="0002207C">
            <w:t>[9]</w:t>
          </w:r>
          <w:r w:rsidR="003E7622">
            <w:fldChar w:fldCharType="end"/>
          </w:r>
        </w:sdtContent>
      </w:sdt>
    </w:p>
    <w:p w14:paraId="02832565" w14:textId="6E588F90" w:rsidR="0077221D" w:rsidRPr="0077221D" w:rsidRDefault="0077221D" w:rsidP="006864A8">
      <w:pPr>
        <w:pStyle w:val="Bulletlist1"/>
        <w:numPr>
          <w:ilvl w:val="0"/>
          <w:numId w:val="12"/>
        </w:numPr>
        <w:spacing w:line="21" w:lineRule="atLeast"/>
        <w:ind w:left="1418" w:hanging="357"/>
      </w:pPr>
      <w:r w:rsidRPr="00297FA1">
        <w:t>NS-TAST-GD-</w:t>
      </w:r>
      <w:r w:rsidRPr="0077221D">
        <w:t>020 – Civil Engineering Containment for Reactor Plant</w:t>
      </w:r>
      <w:r w:rsidR="00E925BE">
        <w:t xml:space="preserve"> </w:t>
      </w:r>
      <w:sdt>
        <w:sdtPr>
          <w:id w:val="-1767685299"/>
          <w:citation/>
        </w:sdtPr>
        <w:sdtEndPr/>
        <w:sdtContent>
          <w:r w:rsidR="0053703A">
            <w:fldChar w:fldCharType="begin"/>
          </w:r>
          <w:r w:rsidR="0053703A">
            <w:instrText xml:space="preserve"> CITATION TAG20 \l 2057 </w:instrText>
          </w:r>
          <w:r w:rsidR="0053703A">
            <w:fldChar w:fldCharType="separate"/>
          </w:r>
          <w:r w:rsidR="0002207C" w:rsidRPr="0002207C">
            <w:t>[6]</w:t>
          </w:r>
          <w:r w:rsidR="0053703A">
            <w:fldChar w:fldCharType="end"/>
          </w:r>
        </w:sdtContent>
      </w:sdt>
    </w:p>
    <w:p w14:paraId="7C3E3E9F" w14:textId="2D40E56E" w:rsidR="0077221D" w:rsidRPr="0077221D" w:rsidRDefault="0077221D" w:rsidP="006864A8">
      <w:pPr>
        <w:pStyle w:val="Bulletlist1"/>
        <w:numPr>
          <w:ilvl w:val="0"/>
          <w:numId w:val="12"/>
        </w:numPr>
        <w:spacing w:line="21" w:lineRule="atLeast"/>
        <w:ind w:left="1418" w:hanging="357"/>
      </w:pPr>
      <w:r w:rsidRPr="0077221D">
        <w:t>NS-TAST-GD-022 – Ventilation</w:t>
      </w:r>
      <w:sdt>
        <w:sdtPr>
          <w:id w:val="-1091705914"/>
          <w:citation/>
        </w:sdtPr>
        <w:sdtEndPr/>
        <w:sdtContent>
          <w:r w:rsidR="00690574">
            <w:fldChar w:fldCharType="begin"/>
          </w:r>
          <w:r w:rsidR="000331FF">
            <w:instrText xml:space="preserve">CITATION TAG22 \l 2057 </w:instrText>
          </w:r>
          <w:r w:rsidR="00690574">
            <w:fldChar w:fldCharType="separate"/>
          </w:r>
          <w:r w:rsidR="0002207C">
            <w:t xml:space="preserve"> </w:t>
          </w:r>
          <w:r w:rsidR="0002207C" w:rsidRPr="0002207C">
            <w:t>[5]</w:t>
          </w:r>
          <w:r w:rsidR="00690574">
            <w:fldChar w:fldCharType="end"/>
          </w:r>
        </w:sdtContent>
      </w:sdt>
    </w:p>
    <w:p w14:paraId="47FE78DD" w14:textId="4F32F398" w:rsidR="009B6DB4" w:rsidRDefault="0077221D" w:rsidP="006864A8">
      <w:pPr>
        <w:pStyle w:val="Bulletlist1"/>
        <w:numPr>
          <w:ilvl w:val="0"/>
          <w:numId w:val="12"/>
        </w:numPr>
        <w:spacing w:line="21" w:lineRule="atLeast"/>
        <w:ind w:left="1418" w:hanging="357"/>
      </w:pPr>
      <w:r w:rsidRPr="0077221D">
        <w:t>NS-TAST-GD-098 – Asset Management</w:t>
      </w:r>
      <w:sdt>
        <w:sdtPr>
          <w:rPr>
            <w:bCs w:val="0"/>
          </w:rPr>
          <w:id w:val="967091510"/>
          <w:citation/>
        </w:sdtPr>
        <w:sdtEndPr/>
        <w:sdtContent>
          <w:r w:rsidR="00690574">
            <w:rPr>
              <w:bCs w:val="0"/>
            </w:rPr>
            <w:fldChar w:fldCharType="begin"/>
          </w:r>
          <w:r w:rsidR="000331FF">
            <w:instrText xml:space="preserve">CITATION TAG98 \l 2057 </w:instrText>
          </w:r>
          <w:r w:rsidR="00690574">
            <w:rPr>
              <w:bCs w:val="0"/>
            </w:rPr>
            <w:fldChar w:fldCharType="separate"/>
          </w:r>
          <w:r w:rsidR="0002207C">
            <w:rPr>
              <w:bCs w:val="0"/>
            </w:rPr>
            <w:t xml:space="preserve"> </w:t>
          </w:r>
          <w:r w:rsidR="0002207C" w:rsidRPr="0002207C">
            <w:t>[10]</w:t>
          </w:r>
          <w:r w:rsidR="00690574">
            <w:rPr>
              <w:bCs w:val="0"/>
            </w:rPr>
            <w:fldChar w:fldCharType="end"/>
          </w:r>
        </w:sdtContent>
      </w:sdt>
    </w:p>
    <w:p w14:paraId="007C384D" w14:textId="77777777" w:rsidR="00F54C37" w:rsidRPr="00F54C37" w:rsidRDefault="00F54C37" w:rsidP="006864A8">
      <w:pPr>
        <w:pStyle w:val="F9-Paragraph"/>
        <w:numPr>
          <w:ilvl w:val="0"/>
          <w:numId w:val="29"/>
        </w:numPr>
        <w:spacing w:line="21" w:lineRule="atLeast"/>
        <w:ind w:left="851" w:hanging="851"/>
      </w:pPr>
      <w:r w:rsidRPr="00F54C37">
        <w:t>Comments on this guide, and suggestions for future revisions, should be recorded in accordance with ONR’s standard procedures.</w:t>
      </w:r>
    </w:p>
    <w:p w14:paraId="3A0A8599" w14:textId="31FF1C2E" w:rsidR="00F54C37" w:rsidRPr="00556CD6" w:rsidRDefault="00F54C37" w:rsidP="006864A8">
      <w:pPr>
        <w:spacing w:line="21" w:lineRule="atLeast"/>
        <w:sectPr w:rsidR="00F54C37" w:rsidRPr="00556CD6" w:rsidSect="000B2BCD">
          <w:pgSz w:w="11906" w:h="16838" w:code="9"/>
          <w:pgMar w:top="1440" w:right="1440" w:bottom="1440" w:left="1440" w:header="397" w:footer="397" w:gutter="0"/>
          <w:cols w:space="312"/>
          <w:docGrid w:linePitch="360"/>
        </w:sectPr>
      </w:pPr>
    </w:p>
    <w:p w14:paraId="65AFBEC3" w14:textId="41AD2F40" w:rsidR="00A6623E" w:rsidRDefault="000950B3" w:rsidP="0002207C">
      <w:pPr>
        <w:pStyle w:val="Heading1"/>
      </w:pPr>
      <w:bookmarkStart w:id="5" w:name="_Toc170218747"/>
      <w:r>
        <w:lastRenderedPageBreak/>
        <w:t xml:space="preserve">Relationship to </w:t>
      </w:r>
      <w:r w:rsidR="0002207C">
        <w:t>l</w:t>
      </w:r>
      <w:r>
        <w:t xml:space="preserve">icence and other </w:t>
      </w:r>
      <w:r w:rsidR="0002207C">
        <w:t>r</w:t>
      </w:r>
      <w:r>
        <w:t xml:space="preserve">elevant </w:t>
      </w:r>
      <w:r w:rsidR="0002207C">
        <w:t>l</w:t>
      </w:r>
      <w:r>
        <w:t>egislatio</w:t>
      </w:r>
      <w:r w:rsidR="00A6623E">
        <w:t>n</w:t>
      </w:r>
      <w:bookmarkEnd w:id="5"/>
    </w:p>
    <w:p w14:paraId="4E7FF9C9" w14:textId="77777777" w:rsidR="00203244" w:rsidRPr="004E3314" w:rsidRDefault="00203244" w:rsidP="0002207C">
      <w:pPr>
        <w:pStyle w:val="Heading2"/>
      </w:pPr>
      <w:bookmarkStart w:id="6" w:name="_Toc125529427"/>
      <w:r w:rsidRPr="004E3314">
        <w:t>Licence Conditions</w:t>
      </w:r>
      <w:bookmarkEnd w:id="6"/>
    </w:p>
    <w:p w14:paraId="1DC3EDCE" w14:textId="40172A0D" w:rsidR="00EB2115" w:rsidRDefault="00EB2115" w:rsidP="006864A8">
      <w:pPr>
        <w:pStyle w:val="F9-Paragraph"/>
        <w:numPr>
          <w:ilvl w:val="0"/>
          <w:numId w:val="21"/>
        </w:numPr>
        <w:spacing w:line="21" w:lineRule="atLeast"/>
        <w:ind w:left="851" w:hanging="851"/>
      </w:pPr>
      <w:r w:rsidRPr="004E3314">
        <w:t>The Nuclear Installations Act 1965 includes a set of 36 standard LCs</w:t>
      </w:r>
      <w:r>
        <w:t xml:space="preserve">. </w:t>
      </w:r>
      <w:r>
        <w:br/>
        <w:t>These</w:t>
      </w:r>
      <w:r w:rsidRPr="004E3314">
        <w:t xml:space="preserve"> are attached to each nuclear site licence</w:t>
      </w:r>
      <w:sdt>
        <w:sdtPr>
          <w:id w:val="-703172788"/>
          <w:citation/>
        </w:sdtPr>
        <w:sdtEndPr/>
        <w:sdtContent>
          <w:r>
            <w:fldChar w:fldCharType="begin"/>
          </w:r>
          <w:r w:rsidR="000331FF">
            <w:instrText xml:space="preserve">CITATION Lic17 \l 2057 </w:instrText>
          </w:r>
          <w:r>
            <w:fldChar w:fldCharType="separate"/>
          </w:r>
          <w:r w:rsidR="0002207C">
            <w:rPr>
              <w:noProof/>
            </w:rPr>
            <w:t xml:space="preserve"> [3]</w:t>
          </w:r>
          <w:r>
            <w:fldChar w:fldCharType="end"/>
          </w:r>
        </w:sdtContent>
      </w:sdt>
      <w:r w:rsidRPr="004E3314">
        <w:t xml:space="preserve">. These </w:t>
      </w:r>
      <w:r>
        <w:t>LCs</w:t>
      </w:r>
      <w:r w:rsidRPr="004E3314">
        <w:t xml:space="preserve"> cover the whole facility life cycle. This includes</w:t>
      </w:r>
      <w:r>
        <w:t>:</w:t>
      </w:r>
    </w:p>
    <w:p w14:paraId="7E1E422F" w14:textId="28B97F1C" w:rsidR="000D7131" w:rsidRDefault="007F63FD" w:rsidP="006864A8">
      <w:pPr>
        <w:pStyle w:val="Bulletlist1"/>
        <w:numPr>
          <w:ilvl w:val="0"/>
          <w:numId w:val="12"/>
        </w:numPr>
        <w:spacing w:line="21" w:lineRule="atLeast"/>
        <w:ind w:left="1418" w:hanging="357"/>
      </w:pPr>
      <w:r>
        <w:t>D</w:t>
      </w:r>
      <w:r w:rsidRPr="004E3314">
        <w:t>esign</w:t>
      </w:r>
      <w:r w:rsidR="000D7131">
        <w:t>;</w:t>
      </w:r>
    </w:p>
    <w:p w14:paraId="69DDEE7F" w14:textId="6F4E2382" w:rsidR="000D7131" w:rsidRDefault="007F63FD" w:rsidP="006864A8">
      <w:pPr>
        <w:pStyle w:val="Bulletlist1"/>
        <w:numPr>
          <w:ilvl w:val="0"/>
          <w:numId w:val="12"/>
        </w:numPr>
        <w:spacing w:line="21" w:lineRule="atLeast"/>
        <w:ind w:left="1418" w:hanging="357"/>
      </w:pPr>
      <w:r>
        <w:t>C</w:t>
      </w:r>
      <w:r w:rsidRPr="004E3314">
        <w:t>onstruction</w:t>
      </w:r>
      <w:r w:rsidR="000D7131">
        <w:t>;</w:t>
      </w:r>
    </w:p>
    <w:p w14:paraId="02136DDC" w14:textId="23B51B9E" w:rsidR="000D7131" w:rsidRDefault="007F63FD" w:rsidP="006864A8">
      <w:pPr>
        <w:pStyle w:val="Bulletlist1"/>
        <w:numPr>
          <w:ilvl w:val="0"/>
          <w:numId w:val="12"/>
        </w:numPr>
        <w:spacing w:line="21" w:lineRule="atLeast"/>
        <w:ind w:left="1418" w:hanging="357"/>
      </w:pPr>
      <w:r>
        <w:t>Commissioning</w:t>
      </w:r>
      <w:r w:rsidR="000D7131">
        <w:t>;</w:t>
      </w:r>
    </w:p>
    <w:p w14:paraId="3E6A3DBB" w14:textId="75F12F1F" w:rsidR="000D7131" w:rsidRDefault="007F63FD" w:rsidP="006864A8">
      <w:pPr>
        <w:pStyle w:val="Bulletlist1"/>
        <w:numPr>
          <w:ilvl w:val="0"/>
          <w:numId w:val="12"/>
        </w:numPr>
        <w:spacing w:line="21" w:lineRule="atLeast"/>
        <w:ind w:left="1418" w:hanging="357"/>
      </w:pPr>
      <w:r>
        <w:t>O</w:t>
      </w:r>
      <w:r w:rsidRPr="004E3314">
        <w:t>peration</w:t>
      </w:r>
      <w:r w:rsidR="000D7131">
        <w:t>;</w:t>
      </w:r>
    </w:p>
    <w:p w14:paraId="25F4B548" w14:textId="40A9B757" w:rsidR="000D7131" w:rsidRDefault="007F63FD" w:rsidP="006864A8">
      <w:pPr>
        <w:pStyle w:val="Bulletlist1"/>
        <w:numPr>
          <w:ilvl w:val="0"/>
          <w:numId w:val="12"/>
        </w:numPr>
        <w:spacing w:line="21" w:lineRule="atLeast"/>
        <w:ind w:left="1418" w:hanging="357"/>
      </w:pPr>
      <w:r>
        <w:t>D</w:t>
      </w:r>
      <w:r w:rsidRPr="004E3314">
        <w:t>ecommissioning</w:t>
      </w:r>
      <w:r w:rsidR="000D7131">
        <w:t>;</w:t>
      </w:r>
      <w:r w:rsidR="000D7131" w:rsidRPr="004E3314">
        <w:t xml:space="preserve"> and</w:t>
      </w:r>
      <w:r>
        <w:t>,</w:t>
      </w:r>
      <w:r w:rsidR="000D7131">
        <w:t xml:space="preserve"> </w:t>
      </w:r>
    </w:p>
    <w:p w14:paraId="096A20C4" w14:textId="430F2A51" w:rsidR="00AF4040" w:rsidRDefault="007F63FD" w:rsidP="006864A8">
      <w:pPr>
        <w:pStyle w:val="Bulletlist1"/>
        <w:numPr>
          <w:ilvl w:val="0"/>
          <w:numId w:val="12"/>
        </w:numPr>
        <w:spacing w:line="21" w:lineRule="atLeast"/>
        <w:ind w:left="1418" w:hanging="357"/>
      </w:pPr>
      <w:r>
        <w:t>M</w:t>
      </w:r>
      <w:r w:rsidRPr="000D7131">
        <w:t xml:space="preserve">anagement </w:t>
      </w:r>
      <w:r w:rsidR="000D7131" w:rsidRPr="000D7131">
        <w:t>oversight and revie</w:t>
      </w:r>
      <w:r w:rsidR="000D7131">
        <w:t>w</w:t>
      </w:r>
      <w:r>
        <w:t>.</w:t>
      </w:r>
    </w:p>
    <w:p w14:paraId="29169FF8" w14:textId="37D73394" w:rsidR="00AF4040" w:rsidRDefault="00AF4040" w:rsidP="006864A8">
      <w:pPr>
        <w:pStyle w:val="F9-Paragraph"/>
        <w:numPr>
          <w:ilvl w:val="0"/>
          <w:numId w:val="21"/>
        </w:numPr>
        <w:spacing w:line="21" w:lineRule="atLeast"/>
        <w:ind w:left="851" w:hanging="851"/>
      </w:pPr>
      <w:r>
        <w:t xml:space="preserve">LCs </w:t>
      </w:r>
      <w:r w:rsidRPr="004E3314">
        <w:t xml:space="preserve">require licensees to implement arrangements to ensure compliance. </w:t>
      </w:r>
      <w:r>
        <w:br/>
      </w:r>
      <w:r w:rsidRPr="004E3314">
        <w:t>The following LCs are considered particularly relevant to</w:t>
      </w:r>
      <w:r w:rsidR="00C9686F">
        <w:t xml:space="preserve"> Containment</w:t>
      </w:r>
      <w:r w:rsidRPr="004E3314">
        <w:t>, but the list is not exhaustive:</w:t>
      </w:r>
    </w:p>
    <w:p w14:paraId="738A2416" w14:textId="6745F314" w:rsidR="00A80905" w:rsidRPr="00A80905" w:rsidRDefault="00A80905" w:rsidP="006864A8">
      <w:pPr>
        <w:pStyle w:val="Bulletlist1"/>
        <w:numPr>
          <w:ilvl w:val="0"/>
          <w:numId w:val="12"/>
        </w:numPr>
        <w:spacing w:line="21" w:lineRule="atLeast"/>
        <w:ind w:left="1418" w:hanging="357"/>
        <w:rPr>
          <w:b/>
        </w:rPr>
      </w:pPr>
      <w:r w:rsidRPr="00957DC3">
        <w:rPr>
          <w:b/>
        </w:rPr>
        <w:t>LC 7 – Incidents on the Site</w:t>
      </w:r>
      <w:r w:rsidRPr="00A80905">
        <w:rPr>
          <w:b/>
        </w:rPr>
        <w:t xml:space="preserve">: </w:t>
      </w:r>
      <w:r w:rsidR="008E5A3A" w:rsidRPr="008E5A3A">
        <w:rPr>
          <w:bCs w:val="0"/>
        </w:rPr>
        <w:t>N</w:t>
      </w:r>
      <w:r w:rsidR="008E5A3A" w:rsidRPr="008E5A3A">
        <w:rPr>
          <w:color w:val="000000"/>
        </w:rPr>
        <w:t>o such leak or escape of radioactive material or radioactive waste can occur without being detected, and that any such leak or escape is then notified, recorded, investigated and reported.</w:t>
      </w:r>
    </w:p>
    <w:p w14:paraId="77A2A45F" w14:textId="73D3A910" w:rsidR="00E71687" w:rsidRPr="00957DC3" w:rsidRDefault="00E71687" w:rsidP="006864A8">
      <w:pPr>
        <w:pStyle w:val="Bulletlist1"/>
        <w:numPr>
          <w:ilvl w:val="0"/>
          <w:numId w:val="12"/>
        </w:numPr>
        <w:spacing w:line="21" w:lineRule="atLeast"/>
        <w:ind w:left="1418" w:hanging="357"/>
      </w:pPr>
      <w:r w:rsidRPr="00957DC3">
        <w:rPr>
          <w:b/>
        </w:rPr>
        <w:t>LC28 – Examination, Inspection, Maintenance and Testing (EIMT):</w:t>
      </w:r>
      <w:r w:rsidRPr="00957DC3">
        <w:t xml:space="preserve"> This applies to establishing preventative actions to control </w:t>
      </w:r>
      <w:r>
        <w:t>containment</w:t>
      </w:r>
      <w:r w:rsidRPr="00957DC3">
        <w:t xml:space="preserve"> through:</w:t>
      </w:r>
    </w:p>
    <w:p w14:paraId="3588C63A" w14:textId="52EF6B55" w:rsidR="00E71687" w:rsidRPr="00957DC3" w:rsidRDefault="00A44BAD" w:rsidP="006864A8">
      <w:pPr>
        <w:pStyle w:val="Bulletlist2"/>
        <w:numPr>
          <w:ilvl w:val="1"/>
          <w:numId w:val="12"/>
        </w:numPr>
        <w:spacing w:line="21" w:lineRule="atLeast"/>
        <w:ind w:left="1843"/>
      </w:pPr>
      <w:r>
        <w:t>D</w:t>
      </w:r>
      <w:r w:rsidRPr="00957DC3">
        <w:t>etection</w:t>
      </w:r>
      <w:r w:rsidR="00E71687" w:rsidRPr="00957DC3">
        <w:t>;</w:t>
      </w:r>
    </w:p>
    <w:p w14:paraId="5B296055" w14:textId="45F5842E" w:rsidR="00E71687" w:rsidRPr="00957DC3" w:rsidRDefault="00A44BAD" w:rsidP="006864A8">
      <w:pPr>
        <w:pStyle w:val="Bulletlist2"/>
        <w:numPr>
          <w:ilvl w:val="1"/>
          <w:numId w:val="12"/>
        </w:numPr>
        <w:spacing w:line="21" w:lineRule="atLeast"/>
        <w:ind w:left="1843"/>
      </w:pPr>
      <w:r>
        <w:t>M</w:t>
      </w:r>
      <w:r w:rsidRPr="00957DC3">
        <w:t xml:space="preserve">onitoring </w:t>
      </w:r>
      <w:r w:rsidR="00E71687" w:rsidRPr="00957DC3">
        <w:t>and trending;</w:t>
      </w:r>
    </w:p>
    <w:p w14:paraId="5D617EBC" w14:textId="76DCAC8D" w:rsidR="00E71687" w:rsidRPr="00957DC3" w:rsidRDefault="00A44BAD" w:rsidP="006864A8">
      <w:pPr>
        <w:pStyle w:val="Bulletlist2"/>
        <w:numPr>
          <w:ilvl w:val="1"/>
          <w:numId w:val="12"/>
        </w:numPr>
        <w:spacing w:line="21" w:lineRule="atLeast"/>
        <w:ind w:left="1843"/>
      </w:pPr>
      <w:r>
        <w:t>M</w:t>
      </w:r>
      <w:r w:rsidRPr="00957DC3">
        <w:t>itigation</w:t>
      </w:r>
      <w:r w:rsidR="00E71687" w:rsidRPr="00957DC3">
        <w:t>;</w:t>
      </w:r>
    </w:p>
    <w:p w14:paraId="0047D4AF" w14:textId="0AD4A73F" w:rsidR="00E71687" w:rsidRPr="00957DC3" w:rsidRDefault="00A44BAD" w:rsidP="006864A8">
      <w:pPr>
        <w:pStyle w:val="Bulletlist2"/>
        <w:numPr>
          <w:ilvl w:val="1"/>
          <w:numId w:val="12"/>
        </w:numPr>
        <w:spacing w:line="21" w:lineRule="atLeast"/>
        <w:ind w:left="1843"/>
      </w:pPr>
      <w:r>
        <w:t>E</w:t>
      </w:r>
      <w:r w:rsidRPr="00957DC3">
        <w:t>valuation</w:t>
      </w:r>
      <w:r w:rsidR="00E71687" w:rsidRPr="00957DC3">
        <w:t>; and</w:t>
      </w:r>
      <w:r>
        <w:t>,</w:t>
      </w:r>
    </w:p>
    <w:p w14:paraId="5EB6DDA4" w14:textId="1B20BF7B" w:rsidR="00E71687" w:rsidRPr="00957DC3" w:rsidRDefault="00A44BAD" w:rsidP="006864A8">
      <w:pPr>
        <w:pStyle w:val="Bulletlist2"/>
        <w:numPr>
          <w:ilvl w:val="1"/>
          <w:numId w:val="12"/>
        </w:numPr>
        <w:spacing w:line="21" w:lineRule="atLeast"/>
        <w:ind w:left="1843"/>
      </w:pPr>
      <w:r>
        <w:t>C</w:t>
      </w:r>
      <w:r w:rsidRPr="00957DC3">
        <w:t xml:space="preserve">orrective </w:t>
      </w:r>
      <w:r w:rsidR="00E71687" w:rsidRPr="00957DC3">
        <w:t>action.</w:t>
      </w:r>
    </w:p>
    <w:p w14:paraId="152195E2" w14:textId="2B9B9DBE" w:rsidR="00BC73DD" w:rsidRPr="00C46929" w:rsidRDefault="00BC73DD" w:rsidP="006864A8">
      <w:pPr>
        <w:pStyle w:val="Bulletlist1"/>
        <w:numPr>
          <w:ilvl w:val="0"/>
          <w:numId w:val="12"/>
        </w:numPr>
        <w:spacing w:line="21" w:lineRule="atLeast"/>
        <w:ind w:left="1418" w:hanging="357"/>
        <w:rPr>
          <w:bCs w:val="0"/>
        </w:rPr>
      </w:pPr>
      <w:r w:rsidRPr="00957DC3">
        <w:rPr>
          <w:b/>
        </w:rPr>
        <w:t>L</w:t>
      </w:r>
      <w:r w:rsidRPr="00C46929">
        <w:rPr>
          <w:b/>
        </w:rPr>
        <w:t xml:space="preserve">C32 – Accumulation of radioactive waste: </w:t>
      </w:r>
      <w:r w:rsidR="00C46929" w:rsidRPr="00C46929">
        <w:rPr>
          <w:bCs w:val="0"/>
        </w:rPr>
        <w:t>Make and implement adequate arrangements for minimising, so far as is reasonably practicable, the rate of production and total quantity of radioactive waste accumulated on or within any containment structure or facility and maintain suitable storage arrangements and adequate records.</w:t>
      </w:r>
    </w:p>
    <w:p w14:paraId="19B79134" w14:textId="525E8FE0" w:rsidR="00134A81" w:rsidRPr="00530152" w:rsidRDefault="00134A81" w:rsidP="006864A8">
      <w:pPr>
        <w:pStyle w:val="ListParagraph"/>
        <w:numPr>
          <w:ilvl w:val="0"/>
          <w:numId w:val="12"/>
        </w:numPr>
        <w:spacing w:line="21" w:lineRule="atLeast"/>
        <w:ind w:left="1491" w:hanging="357"/>
        <w:contextualSpacing w:val="0"/>
        <w:rPr>
          <w:bCs/>
          <w:noProof/>
        </w:rPr>
      </w:pPr>
      <w:r w:rsidRPr="00530152">
        <w:rPr>
          <w:b/>
        </w:rPr>
        <w:lastRenderedPageBreak/>
        <w:t>LC33 –</w:t>
      </w:r>
      <w:r w:rsidR="00A44BAD">
        <w:rPr>
          <w:b/>
        </w:rPr>
        <w:t xml:space="preserve"> </w:t>
      </w:r>
      <w:r w:rsidRPr="00530152">
        <w:rPr>
          <w:b/>
        </w:rPr>
        <w:t xml:space="preserve">Disposal of radioactive </w:t>
      </w:r>
      <w:r w:rsidR="00DC0132" w:rsidRPr="00530152">
        <w:rPr>
          <w:b/>
        </w:rPr>
        <w:t>waste:</w:t>
      </w:r>
      <w:r w:rsidR="00DC0132" w:rsidRPr="00530152">
        <w:rPr>
          <w:bCs/>
          <w:noProof/>
        </w:rPr>
        <w:t xml:space="preserve"> If</w:t>
      </w:r>
      <w:r w:rsidR="00530152" w:rsidRPr="00530152">
        <w:rPr>
          <w:bCs/>
          <w:noProof/>
        </w:rPr>
        <w:t xml:space="preserve"> so directed by ONR, ensure that radioactive waste accumulated through a containment structure or facility is disposed of as ONR may specify and in accordance with an</w:t>
      </w:r>
      <w:r w:rsidR="00A44BAD">
        <w:rPr>
          <w:bCs/>
          <w:noProof/>
        </w:rPr>
        <w:t xml:space="preserve"> </w:t>
      </w:r>
      <w:r w:rsidR="00530152" w:rsidRPr="00530152">
        <w:rPr>
          <w:bCs/>
          <w:noProof/>
        </w:rPr>
        <w:t>environmental permit.</w:t>
      </w:r>
    </w:p>
    <w:p w14:paraId="048ABBF9" w14:textId="287AD8B1" w:rsidR="00BE3250" w:rsidRDefault="00E80EDF" w:rsidP="006864A8">
      <w:pPr>
        <w:pStyle w:val="ListParagraph"/>
        <w:numPr>
          <w:ilvl w:val="0"/>
          <w:numId w:val="12"/>
        </w:numPr>
        <w:spacing w:line="21" w:lineRule="atLeast"/>
        <w:ind w:left="1491" w:hanging="357"/>
        <w:contextualSpacing w:val="0"/>
      </w:pPr>
      <w:bookmarkStart w:id="7" w:name="_Hlk164684082"/>
      <w:r w:rsidRPr="00957DC3">
        <w:rPr>
          <w:b/>
        </w:rPr>
        <w:t>LC34 – Leakage and Escape of Radioactive Material and Radioactive Waste:</w:t>
      </w:r>
      <w:r w:rsidRPr="00957DC3">
        <w:t xml:space="preserve"> </w:t>
      </w:r>
      <w:bookmarkEnd w:id="7"/>
      <w:r w:rsidR="00741C4E" w:rsidRPr="00741C4E">
        <w:t>That radioactive material is at all times adequately controlled or contained so that it cannot leak or otherwise escape from such control or containment</w:t>
      </w:r>
      <w:r w:rsidR="00741C4E">
        <w:t>.</w:t>
      </w:r>
    </w:p>
    <w:p w14:paraId="3EF5059B" w14:textId="4316B63E" w:rsidR="00EF7CC2" w:rsidRPr="004E3314" w:rsidRDefault="00EF7CC2" w:rsidP="0002207C">
      <w:pPr>
        <w:pStyle w:val="Heading2"/>
      </w:pPr>
      <w:bookmarkStart w:id="8" w:name="_Toc125529428"/>
      <w:r w:rsidRPr="004E3314">
        <w:t xml:space="preserve">Other </w:t>
      </w:r>
      <w:r w:rsidR="0002207C">
        <w:t>r</w:t>
      </w:r>
      <w:r w:rsidRPr="004E3314">
        <w:t xml:space="preserve">elevant </w:t>
      </w:r>
      <w:r w:rsidR="0002207C">
        <w:t>l</w:t>
      </w:r>
      <w:r w:rsidRPr="004E3314">
        <w:t>egislation</w:t>
      </w:r>
      <w:bookmarkEnd w:id="8"/>
      <w:r w:rsidR="00DB049B">
        <w:t xml:space="preserve"> and</w:t>
      </w:r>
      <w:r w:rsidR="00C14834">
        <w:t xml:space="preserve"> Approved Codes of Practice </w:t>
      </w:r>
    </w:p>
    <w:p w14:paraId="095C8F60" w14:textId="595A4A74" w:rsidR="00EF7CC2" w:rsidRDefault="00DB049B" w:rsidP="006864A8">
      <w:pPr>
        <w:pStyle w:val="F9-Paragraph"/>
        <w:numPr>
          <w:ilvl w:val="0"/>
          <w:numId w:val="21"/>
        </w:numPr>
        <w:spacing w:line="21" w:lineRule="atLeast"/>
        <w:ind w:left="851" w:hanging="851"/>
      </w:pPr>
      <w:r w:rsidRPr="00DB049B">
        <w:t xml:space="preserve">Several statutory instruments relate to management of </w:t>
      </w:r>
      <w:r w:rsidR="00656E58">
        <w:t>containment</w:t>
      </w:r>
      <w:r w:rsidRPr="00DB049B">
        <w:t xml:space="preserve">. </w:t>
      </w:r>
      <w:r w:rsidR="0002207C">
        <w:br/>
      </w:r>
      <w:r w:rsidRPr="00DB049B">
        <w:t>These include</w:t>
      </w:r>
      <w:r>
        <w:t>:</w:t>
      </w:r>
    </w:p>
    <w:p w14:paraId="717C1F33" w14:textId="48E57845" w:rsidR="00097B61" w:rsidRDefault="00097B61" w:rsidP="006864A8">
      <w:pPr>
        <w:pStyle w:val="Bulletlist1"/>
        <w:numPr>
          <w:ilvl w:val="0"/>
          <w:numId w:val="12"/>
        </w:numPr>
        <w:spacing w:line="21" w:lineRule="atLeast"/>
        <w:ind w:left="1418" w:hanging="357"/>
      </w:pPr>
      <w:r>
        <w:t xml:space="preserve">The </w:t>
      </w:r>
      <w:r w:rsidRPr="004E3314">
        <w:t>Health and Safety at Work etc. Act 1974</w:t>
      </w:r>
      <w:sdt>
        <w:sdtPr>
          <w:id w:val="-1142267001"/>
          <w:citation/>
        </w:sdtPr>
        <w:sdtEndPr/>
        <w:sdtContent>
          <w:r w:rsidR="00817A06">
            <w:fldChar w:fldCharType="begin"/>
          </w:r>
          <w:r w:rsidR="000331FF">
            <w:instrText xml:space="preserve">CITATION HSE \l 2057 </w:instrText>
          </w:r>
          <w:r w:rsidR="00817A06">
            <w:fldChar w:fldCharType="separate"/>
          </w:r>
          <w:r w:rsidR="0002207C">
            <w:t xml:space="preserve"> </w:t>
          </w:r>
          <w:r w:rsidR="0002207C" w:rsidRPr="0002207C">
            <w:t>[11]</w:t>
          </w:r>
          <w:r w:rsidR="00817A06">
            <w:fldChar w:fldCharType="end"/>
          </w:r>
        </w:sdtContent>
      </w:sdt>
      <w:r w:rsidRPr="004E3314">
        <w:t>;</w:t>
      </w:r>
    </w:p>
    <w:p w14:paraId="5F8CF905" w14:textId="2DDBD8D1" w:rsidR="00097B61" w:rsidRDefault="00097B61" w:rsidP="006864A8">
      <w:pPr>
        <w:pStyle w:val="Bulletlist1"/>
        <w:numPr>
          <w:ilvl w:val="0"/>
          <w:numId w:val="12"/>
        </w:numPr>
        <w:spacing w:line="21" w:lineRule="atLeast"/>
        <w:ind w:left="1418" w:hanging="357"/>
      </w:pPr>
      <w:r w:rsidRPr="00097B61">
        <w:t>Nuclear Installations Act 1965</w:t>
      </w:r>
      <w:sdt>
        <w:sdtPr>
          <w:id w:val="2111539997"/>
          <w:citation/>
        </w:sdtPr>
        <w:sdtEndPr/>
        <w:sdtContent>
          <w:r w:rsidR="00CE037A">
            <w:fldChar w:fldCharType="begin"/>
          </w:r>
          <w:r w:rsidR="000331FF">
            <w:instrText xml:space="preserve">CITATION NIA65 \l 2057 </w:instrText>
          </w:r>
          <w:r w:rsidR="00CE037A">
            <w:fldChar w:fldCharType="separate"/>
          </w:r>
          <w:r w:rsidR="0002207C">
            <w:t xml:space="preserve"> </w:t>
          </w:r>
          <w:r w:rsidR="0002207C" w:rsidRPr="0002207C">
            <w:t>[12]</w:t>
          </w:r>
          <w:r w:rsidR="00CE037A">
            <w:fldChar w:fldCharType="end"/>
          </w:r>
        </w:sdtContent>
      </w:sdt>
      <w:r>
        <w:t>;</w:t>
      </w:r>
    </w:p>
    <w:p w14:paraId="484677AA" w14:textId="78906F2B" w:rsidR="00097B61" w:rsidRDefault="00097B61" w:rsidP="006864A8">
      <w:pPr>
        <w:pStyle w:val="Bulletlist1"/>
        <w:numPr>
          <w:ilvl w:val="0"/>
          <w:numId w:val="12"/>
        </w:numPr>
        <w:spacing w:line="21" w:lineRule="atLeast"/>
        <w:ind w:left="1418" w:hanging="357"/>
      </w:pPr>
      <w:r>
        <w:t>Ion</w:t>
      </w:r>
      <w:r w:rsidR="00A607B6">
        <w:t>ising Radiations Regulations 2017</w:t>
      </w:r>
      <w:sdt>
        <w:sdtPr>
          <w:id w:val="-859892982"/>
          <w:citation/>
        </w:sdtPr>
        <w:sdtEndPr/>
        <w:sdtContent>
          <w:r w:rsidR="00E662C1">
            <w:fldChar w:fldCharType="begin"/>
          </w:r>
          <w:r w:rsidR="000331FF">
            <w:instrText xml:space="preserve">CITATION IRR17 \l 2057 </w:instrText>
          </w:r>
          <w:r w:rsidR="00E662C1">
            <w:fldChar w:fldCharType="separate"/>
          </w:r>
          <w:r w:rsidR="0002207C">
            <w:t xml:space="preserve"> </w:t>
          </w:r>
          <w:r w:rsidR="0002207C" w:rsidRPr="0002207C">
            <w:t>[13]</w:t>
          </w:r>
          <w:r w:rsidR="00E662C1">
            <w:fldChar w:fldCharType="end"/>
          </w:r>
        </w:sdtContent>
      </w:sdt>
      <w:r w:rsidR="00A607B6">
        <w:t>;</w:t>
      </w:r>
      <w:r w:rsidR="00A44BAD">
        <w:t xml:space="preserve"> and,</w:t>
      </w:r>
    </w:p>
    <w:p w14:paraId="374FF426" w14:textId="0215346E" w:rsidR="000950B3" w:rsidRDefault="00A607B6" w:rsidP="006864A8">
      <w:pPr>
        <w:pStyle w:val="Bulletlist1"/>
        <w:numPr>
          <w:ilvl w:val="0"/>
          <w:numId w:val="12"/>
        </w:numPr>
        <w:spacing w:line="21" w:lineRule="atLeast"/>
        <w:ind w:left="1418" w:hanging="357"/>
      </w:pPr>
      <w:r w:rsidRPr="00A607B6">
        <w:t xml:space="preserve">Ionising Radiations Regulations 2017 </w:t>
      </w:r>
      <w:r w:rsidR="00A44BAD">
        <w:t>Approved Code of Practice</w:t>
      </w:r>
      <w:r w:rsidRPr="00A607B6">
        <w:t xml:space="preserve"> – specific reference should be made to paragraphs 104 and 109</w:t>
      </w:r>
      <w:sdt>
        <w:sdtPr>
          <w:id w:val="-917790937"/>
          <w:citation/>
        </w:sdtPr>
        <w:sdtEndPr/>
        <w:sdtContent>
          <w:r w:rsidR="00DA025F">
            <w:fldChar w:fldCharType="begin"/>
          </w:r>
          <w:r w:rsidR="000331FF">
            <w:instrText xml:space="preserve">CITATION TIGS \l 2057 </w:instrText>
          </w:r>
          <w:r w:rsidR="00DA025F">
            <w:fldChar w:fldCharType="separate"/>
          </w:r>
          <w:r w:rsidR="0002207C">
            <w:t xml:space="preserve"> </w:t>
          </w:r>
          <w:r w:rsidR="0002207C" w:rsidRPr="0002207C">
            <w:t>[4]</w:t>
          </w:r>
          <w:r w:rsidR="00DA025F">
            <w:fldChar w:fldCharType="end"/>
          </w:r>
        </w:sdtContent>
      </w:sdt>
      <w:r w:rsidRPr="00A607B6">
        <w:t>.</w:t>
      </w:r>
    </w:p>
    <w:p w14:paraId="61743AA0" w14:textId="32DCB44C" w:rsidR="00A6623E" w:rsidRDefault="00A6623E" w:rsidP="006864A8">
      <w:pPr>
        <w:pStyle w:val="F9-Paragraph"/>
        <w:spacing w:line="21" w:lineRule="atLeast"/>
        <w:sectPr w:rsidR="00A6623E" w:rsidSect="000B2BCD">
          <w:pgSz w:w="11906" w:h="16838" w:code="9"/>
          <w:pgMar w:top="1440" w:right="1440" w:bottom="1440" w:left="1440" w:header="397" w:footer="397" w:gutter="0"/>
          <w:cols w:space="312"/>
          <w:docGrid w:linePitch="360"/>
        </w:sectPr>
      </w:pPr>
    </w:p>
    <w:p w14:paraId="219A98D5" w14:textId="603D8CE6" w:rsidR="00140E1C" w:rsidRDefault="000950B3" w:rsidP="0002207C">
      <w:pPr>
        <w:pStyle w:val="Heading1"/>
      </w:pPr>
      <w:bookmarkStart w:id="9" w:name="_Toc170218748"/>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w:t>
      </w:r>
      <w:r w:rsidR="0002207C">
        <w:t>G</w:t>
      </w:r>
      <w:r w:rsidR="00F7687C">
        <w:t>uides</w:t>
      </w:r>
      <w:bookmarkEnd w:id="9"/>
    </w:p>
    <w:p w14:paraId="6BC7D76C" w14:textId="2976739B" w:rsidR="00530E09" w:rsidRPr="00530E09" w:rsidRDefault="003D1265" w:rsidP="0002207C">
      <w:pPr>
        <w:pStyle w:val="Heading2"/>
      </w:pPr>
      <w:bookmarkStart w:id="10" w:name="_Toc125529430"/>
      <w:r w:rsidRPr="004E3314">
        <w:t>Safety Assessment Principles</w:t>
      </w:r>
      <w:bookmarkEnd w:id="10"/>
    </w:p>
    <w:p w14:paraId="48C60D62" w14:textId="587FDE38" w:rsidR="009843EC" w:rsidRPr="009843EC" w:rsidRDefault="007937BF" w:rsidP="006864A8">
      <w:pPr>
        <w:pStyle w:val="F9-Paragraph"/>
        <w:numPr>
          <w:ilvl w:val="0"/>
          <w:numId w:val="29"/>
        </w:numPr>
        <w:spacing w:line="21" w:lineRule="atLeast"/>
        <w:ind w:left="851" w:hanging="851"/>
      </w:pPr>
      <w:r w:rsidRPr="009843EC">
        <w:t>ONR’s Safety Assessment Principles</w:t>
      </w:r>
      <w:r w:rsidR="0002207C">
        <w:t xml:space="preserve"> (SAPs)</w:t>
      </w:r>
      <w:r w:rsidRPr="009843EC">
        <w:t xml:space="preserve"> </w:t>
      </w:r>
      <w:sdt>
        <w:sdtPr>
          <w:id w:val="-1706169075"/>
          <w:citation/>
        </w:sdtPr>
        <w:sdtEndPr/>
        <w:sdtContent>
          <w:r w:rsidRPr="009843EC">
            <w:fldChar w:fldCharType="begin"/>
          </w:r>
          <w:r w:rsidR="000331FF">
            <w:instrText xml:space="preserve">CITATION ONR2013 \l 2057 </w:instrText>
          </w:r>
          <w:r w:rsidRPr="009843EC">
            <w:fldChar w:fldCharType="separate"/>
          </w:r>
          <w:r w:rsidR="0002207C">
            <w:rPr>
              <w:noProof/>
            </w:rPr>
            <w:t>[1]</w:t>
          </w:r>
          <w:r w:rsidRPr="009843EC">
            <w:fldChar w:fldCharType="end"/>
          </w:r>
        </w:sdtContent>
      </w:sdt>
      <w:r w:rsidRPr="009843EC">
        <w:t xml:space="preserve"> set out Engineering Key Principles which drive for high levels of plant safety to be achieved through the application of sound engineering concepts.</w:t>
      </w:r>
    </w:p>
    <w:p w14:paraId="291F1067" w14:textId="08970AE0" w:rsidR="00BF6692" w:rsidRDefault="007937BF" w:rsidP="006864A8">
      <w:pPr>
        <w:pStyle w:val="F9-Paragraph"/>
        <w:numPr>
          <w:ilvl w:val="0"/>
          <w:numId w:val="29"/>
        </w:numPr>
        <w:spacing w:line="21" w:lineRule="atLeast"/>
        <w:ind w:left="851" w:hanging="851"/>
      </w:pPr>
      <w:r w:rsidRPr="009843EC">
        <w:t>One of these Engineering Key Principles, EKP.3</w:t>
      </w:r>
      <w:r w:rsidR="009C0D38" w:rsidRPr="009843EC">
        <w:t xml:space="preserve"> (Defence in depth)</w:t>
      </w:r>
      <w:r w:rsidRPr="009843EC">
        <w:t>, refers to defence in depth through containment barriers. This Key Engineering Principle states “An important aspect of the implementation of defence in depth is the provision of multiple, and as far as practicable independent, physical barriers to the release of radioactive material to the environment, and to ensure the confinement of radioactive material at specified locations. The number of barriers will depend on the magnitude of the radiological hazard and the consequences of their failure”. Many of the other Engineering Key Principles are relevant to the provision of suitable and adequate containment and should also be used as appropriate.</w:t>
      </w:r>
    </w:p>
    <w:p w14:paraId="234C7343" w14:textId="4C11EFA4" w:rsidR="000745B8" w:rsidRPr="009843EC" w:rsidRDefault="000745B8" w:rsidP="006864A8">
      <w:pPr>
        <w:pStyle w:val="F9-Paragraph"/>
        <w:numPr>
          <w:ilvl w:val="0"/>
          <w:numId w:val="29"/>
        </w:numPr>
        <w:spacing w:line="21" w:lineRule="atLeast"/>
        <w:ind w:left="851" w:hanging="851"/>
      </w:pPr>
      <w:r w:rsidRPr="009843EC">
        <w:t xml:space="preserve">Additionally, there are </w:t>
      </w:r>
      <w:r w:rsidR="00A44BAD" w:rsidRPr="009843EC">
        <w:t>several</w:t>
      </w:r>
      <w:r w:rsidRPr="009843EC">
        <w:t xml:space="preserve"> general engineering principles which are particularly relevant to the assessment of </w:t>
      </w:r>
      <w:r w:rsidR="00A44BAD">
        <w:t>nuclear facilities</w:t>
      </w:r>
      <w:r w:rsidRPr="009843EC">
        <w:t>. Of particular note are the Engineering Containment and Ventilation (ECV) principles which are listed below</w:t>
      </w:r>
      <w:r w:rsidR="00A44BAD">
        <w:t>:</w:t>
      </w:r>
    </w:p>
    <w:p w14:paraId="46EE9261" w14:textId="72CA8683" w:rsidR="000745B8" w:rsidRPr="00382A46" w:rsidRDefault="000745B8" w:rsidP="006864A8">
      <w:pPr>
        <w:pStyle w:val="Bulletlist1"/>
        <w:numPr>
          <w:ilvl w:val="0"/>
          <w:numId w:val="12"/>
        </w:numPr>
        <w:spacing w:line="21" w:lineRule="atLeast"/>
        <w:ind w:left="1418" w:hanging="357"/>
      </w:pPr>
      <w:r w:rsidRPr="00382A46">
        <w:t>ECV.1</w:t>
      </w:r>
      <w:r w:rsidRPr="00382A46">
        <w:tab/>
        <w:t>Prevention of leakage</w:t>
      </w:r>
    </w:p>
    <w:p w14:paraId="49726030" w14:textId="5E973770" w:rsidR="000745B8" w:rsidRPr="00382A46" w:rsidRDefault="000745B8" w:rsidP="006864A8">
      <w:pPr>
        <w:pStyle w:val="Bulletlist1"/>
        <w:numPr>
          <w:ilvl w:val="0"/>
          <w:numId w:val="12"/>
        </w:numPr>
        <w:spacing w:line="21" w:lineRule="atLeast"/>
        <w:ind w:left="1418" w:hanging="357"/>
      </w:pPr>
      <w:r w:rsidRPr="00382A46">
        <w:t>ECV.2</w:t>
      </w:r>
      <w:r w:rsidRPr="00382A46">
        <w:tab/>
        <w:t>Minimisation of releases</w:t>
      </w:r>
    </w:p>
    <w:p w14:paraId="43E1002E" w14:textId="6A36BA99" w:rsidR="000745B8" w:rsidRPr="00382A46" w:rsidRDefault="000745B8" w:rsidP="006864A8">
      <w:pPr>
        <w:pStyle w:val="Bulletlist1"/>
        <w:numPr>
          <w:ilvl w:val="0"/>
          <w:numId w:val="12"/>
        </w:numPr>
        <w:spacing w:line="21" w:lineRule="atLeast"/>
        <w:ind w:left="1418" w:hanging="357"/>
      </w:pPr>
      <w:r w:rsidRPr="00382A46">
        <w:t>ECV.3</w:t>
      </w:r>
      <w:r w:rsidRPr="00382A46">
        <w:tab/>
        <w:t>Means of confinement</w:t>
      </w:r>
    </w:p>
    <w:p w14:paraId="29D0D062" w14:textId="50A16389" w:rsidR="000745B8" w:rsidRPr="00382A46" w:rsidRDefault="000745B8" w:rsidP="006864A8">
      <w:pPr>
        <w:pStyle w:val="Bulletlist1"/>
        <w:numPr>
          <w:ilvl w:val="0"/>
          <w:numId w:val="12"/>
        </w:numPr>
        <w:spacing w:line="21" w:lineRule="atLeast"/>
        <w:ind w:left="1418" w:hanging="357"/>
      </w:pPr>
      <w:r w:rsidRPr="00382A46">
        <w:t>ECV.4</w:t>
      </w:r>
      <w:r w:rsidRPr="00382A46">
        <w:tab/>
        <w:t>Provision of further containment barriers</w:t>
      </w:r>
    </w:p>
    <w:p w14:paraId="4AD71A1D" w14:textId="5A746472" w:rsidR="000745B8" w:rsidRPr="00382A46" w:rsidRDefault="000745B8" w:rsidP="006864A8">
      <w:pPr>
        <w:pStyle w:val="Bulletlist1"/>
        <w:numPr>
          <w:ilvl w:val="0"/>
          <w:numId w:val="12"/>
        </w:numPr>
        <w:spacing w:line="21" w:lineRule="atLeast"/>
        <w:ind w:left="1418" w:hanging="357"/>
      </w:pPr>
      <w:r w:rsidRPr="00382A46">
        <w:t>ECV.5</w:t>
      </w:r>
      <w:r w:rsidRPr="00382A46">
        <w:tab/>
        <w:t>Minimisation of personnel access</w:t>
      </w:r>
    </w:p>
    <w:p w14:paraId="3911B48F" w14:textId="3E3E55E9" w:rsidR="000745B8" w:rsidRPr="00382A46" w:rsidRDefault="000745B8" w:rsidP="006864A8">
      <w:pPr>
        <w:pStyle w:val="Bulletlist1"/>
        <w:numPr>
          <w:ilvl w:val="0"/>
          <w:numId w:val="12"/>
        </w:numPr>
        <w:spacing w:line="21" w:lineRule="atLeast"/>
        <w:ind w:left="1418" w:hanging="357"/>
      </w:pPr>
      <w:r w:rsidRPr="00382A46">
        <w:t>ECV.6</w:t>
      </w:r>
      <w:r w:rsidRPr="00382A46">
        <w:tab/>
        <w:t>Monitoring devices</w:t>
      </w:r>
    </w:p>
    <w:p w14:paraId="7748AC9C" w14:textId="7872A614" w:rsidR="000745B8" w:rsidRPr="00382A46" w:rsidRDefault="000745B8" w:rsidP="006864A8">
      <w:pPr>
        <w:pStyle w:val="Bulletlist1"/>
        <w:numPr>
          <w:ilvl w:val="0"/>
          <w:numId w:val="12"/>
        </w:numPr>
        <w:spacing w:line="21" w:lineRule="atLeast"/>
        <w:ind w:left="1418" w:hanging="357"/>
      </w:pPr>
      <w:r w:rsidRPr="00382A46">
        <w:t>ECV.7</w:t>
      </w:r>
      <w:r w:rsidRPr="00382A46">
        <w:tab/>
        <w:t>Leakage monitoring</w:t>
      </w:r>
    </w:p>
    <w:p w14:paraId="3A12D4A2" w14:textId="615A56AF" w:rsidR="000745B8" w:rsidRPr="00382A46" w:rsidRDefault="000745B8" w:rsidP="006864A8">
      <w:pPr>
        <w:pStyle w:val="Bulletlist1"/>
        <w:numPr>
          <w:ilvl w:val="0"/>
          <w:numId w:val="12"/>
        </w:numPr>
        <w:spacing w:line="21" w:lineRule="atLeast"/>
        <w:ind w:left="1418" w:hanging="357"/>
      </w:pPr>
      <w:r w:rsidRPr="00382A46">
        <w:t>ECV.8</w:t>
      </w:r>
      <w:r w:rsidRPr="00382A46">
        <w:tab/>
        <w:t>Minimisation of provisions for import or export of materials or equipment</w:t>
      </w:r>
    </w:p>
    <w:p w14:paraId="7F741D58" w14:textId="61BC5682" w:rsidR="000745B8" w:rsidRPr="00382A46" w:rsidRDefault="000745B8" w:rsidP="006864A8">
      <w:pPr>
        <w:pStyle w:val="Bulletlist1"/>
        <w:numPr>
          <w:ilvl w:val="0"/>
          <w:numId w:val="12"/>
        </w:numPr>
        <w:spacing w:line="21" w:lineRule="atLeast"/>
        <w:ind w:left="1418" w:hanging="357"/>
      </w:pPr>
      <w:r w:rsidRPr="00382A46">
        <w:t>ECV.9</w:t>
      </w:r>
      <w:r w:rsidRPr="00382A46">
        <w:tab/>
        <w:t>Containment and ventilation system design</w:t>
      </w:r>
    </w:p>
    <w:p w14:paraId="3B153F10" w14:textId="66D955C2" w:rsidR="007937BF" w:rsidRPr="00974474" w:rsidRDefault="000745B8" w:rsidP="006864A8">
      <w:pPr>
        <w:pStyle w:val="Bulletlist1"/>
        <w:numPr>
          <w:ilvl w:val="0"/>
          <w:numId w:val="12"/>
        </w:numPr>
        <w:spacing w:line="21" w:lineRule="atLeast"/>
        <w:ind w:left="1418" w:hanging="357"/>
      </w:pPr>
      <w:r w:rsidRPr="00382A46">
        <w:lastRenderedPageBreak/>
        <w:t>ECV.10 Ventilation system safety functions</w:t>
      </w:r>
    </w:p>
    <w:p w14:paraId="7F957F7D" w14:textId="272E7D98" w:rsidR="000B20B7" w:rsidRDefault="00256166" w:rsidP="006864A8">
      <w:pPr>
        <w:pStyle w:val="F9-Paragraph"/>
        <w:numPr>
          <w:ilvl w:val="0"/>
          <w:numId w:val="29"/>
        </w:numPr>
        <w:spacing w:line="21" w:lineRule="atLeast"/>
        <w:ind w:left="851" w:hanging="851"/>
      </w:pPr>
      <w:r w:rsidRPr="00AD648E">
        <w:t>The main objective of these SAPs is to ensure the safe containment of nuclear material. The adequacy of such barriers should be justified by the use of engineering and quality standards consistent with the maximum potential hazard in both normal and fault conditions.</w:t>
      </w:r>
    </w:p>
    <w:p w14:paraId="6D1E8C1F" w14:textId="7DB5FD64" w:rsidR="00C15E0F" w:rsidRDefault="004E741D" w:rsidP="006864A8">
      <w:pPr>
        <w:pStyle w:val="F9-Paragraph"/>
        <w:numPr>
          <w:ilvl w:val="0"/>
          <w:numId w:val="29"/>
        </w:numPr>
        <w:spacing w:line="21" w:lineRule="atLeast"/>
        <w:ind w:left="851" w:hanging="851"/>
      </w:pPr>
      <w:r w:rsidRPr="00AD648E">
        <w:t xml:space="preserve">The </w:t>
      </w:r>
      <w:r w:rsidR="00762CA8" w:rsidRPr="00AD648E">
        <w:t>principles</w:t>
      </w:r>
      <w:r w:rsidRPr="00AD648E">
        <w:t xml:space="preserve"> relating to containment do not specify quantitative standards but state goals that a particular facility should achieve. </w:t>
      </w:r>
      <w:r w:rsidR="00762CA8" w:rsidRPr="00AD648E">
        <w:t>However,</w:t>
      </w:r>
      <w:r w:rsidRPr="00AD648E">
        <w:t xml:space="preserve"> the safety case should demonstrate that the containment barriers are capable of reducing risks to workers and others to at least below the Basic Safety Level (BSL) and to </w:t>
      </w:r>
      <w:r w:rsidR="00762CA8" w:rsidRPr="00AD648E">
        <w:t xml:space="preserve">as low as reasonably practicable </w:t>
      </w:r>
      <w:r w:rsidRPr="00AD648E">
        <w:t>(ALARP). ONR SAPs for safety cases (SC</w:t>
      </w:r>
      <w:r w:rsidR="00762CA8">
        <w:t>.</w:t>
      </w:r>
      <w:r w:rsidRPr="00AD648E">
        <w:t xml:space="preserve">1 - 8) set the foundation for effective safety cases. </w:t>
      </w:r>
    </w:p>
    <w:p w14:paraId="796CB635" w14:textId="04D9FC3E" w:rsidR="00256166" w:rsidRDefault="004E741D" w:rsidP="006864A8">
      <w:pPr>
        <w:pStyle w:val="F9-Paragraph"/>
        <w:numPr>
          <w:ilvl w:val="0"/>
          <w:numId w:val="29"/>
        </w:numPr>
        <w:spacing w:line="21" w:lineRule="atLeast"/>
        <w:ind w:left="851" w:hanging="851"/>
      </w:pPr>
      <w:r w:rsidRPr="00AD648E">
        <w:t xml:space="preserve">The aim of the safety case should be to demonstrate that such </w:t>
      </w:r>
      <w:r w:rsidR="00405E5F" w:rsidRPr="00AD648E">
        <w:t>p</w:t>
      </w:r>
      <w:r w:rsidRPr="00AD648E">
        <w:t xml:space="preserve">rinciples have been met and that suitable and adequate containment barriers are in place. The right balance needs to be struck between probabilistic and deterministic safety analyses to avoid a rather narrow </w:t>
      </w:r>
      <w:r w:rsidR="005313CB" w:rsidRPr="00AD648E">
        <w:t>risk-based</w:t>
      </w:r>
      <w:r w:rsidRPr="00AD648E">
        <w:t xml:space="preserve"> argument being used to justify potentially lower engineering standards. The licensee’s safety case should also provide justification that all SSCs providing a containment function have been adequately qualified</w:t>
      </w:r>
      <w:r w:rsidR="005313CB">
        <w:t>. This should be</w:t>
      </w:r>
      <w:r w:rsidRPr="00AD648E">
        <w:t xml:space="preserve"> against the full scope of environments they are expected to encounter over their intended life in accordance with ONR SAP EQU.1:</w:t>
      </w:r>
      <w:r w:rsidR="00762CA8">
        <w:t xml:space="preserve"> </w:t>
      </w:r>
      <w:r w:rsidR="00762CA8" w:rsidRPr="00AD648E">
        <w:t>Qualification</w:t>
      </w:r>
      <w:r w:rsidR="00405E5F" w:rsidRPr="00AD648E">
        <w:t xml:space="preserve"> procedures</w:t>
      </w:r>
      <w:r w:rsidRPr="00AD648E">
        <w:t>.</w:t>
      </w:r>
    </w:p>
    <w:p w14:paraId="71691E05" w14:textId="77777777" w:rsidR="00382A46" w:rsidRPr="00AD648E" w:rsidRDefault="00382A46" w:rsidP="006864A8">
      <w:pPr>
        <w:pStyle w:val="F9-Paragraph"/>
        <w:numPr>
          <w:ilvl w:val="0"/>
          <w:numId w:val="29"/>
        </w:numPr>
        <w:spacing w:line="21" w:lineRule="atLeast"/>
        <w:ind w:left="851" w:hanging="851"/>
      </w:pPr>
      <w:r w:rsidRPr="00AD648E">
        <w:t>Further applicable SAPs are:</w:t>
      </w:r>
    </w:p>
    <w:p w14:paraId="68B19169" w14:textId="76CBC0DC" w:rsidR="00382A46" w:rsidRDefault="00382A46" w:rsidP="006864A8">
      <w:pPr>
        <w:pStyle w:val="Bulletlist1"/>
        <w:numPr>
          <w:ilvl w:val="0"/>
          <w:numId w:val="12"/>
        </w:numPr>
        <w:spacing w:line="21" w:lineRule="atLeast"/>
        <w:ind w:left="1418" w:hanging="357"/>
      </w:pPr>
      <w:r>
        <w:t>EAD</w:t>
      </w:r>
      <w:r w:rsidR="005313CB">
        <w:t>.</w:t>
      </w:r>
      <w:r>
        <w:t xml:space="preserve">1 – 5 which set out the </w:t>
      </w:r>
      <w:r w:rsidR="0091778A">
        <w:t>p</w:t>
      </w:r>
      <w:r>
        <w:t>rinciples for the assessment of ageing and degradation of SSCs</w:t>
      </w:r>
    </w:p>
    <w:p w14:paraId="20CE3F73" w14:textId="01B2B608" w:rsidR="00667F7E" w:rsidRDefault="00382A46" w:rsidP="006864A8">
      <w:pPr>
        <w:pStyle w:val="Bulletlist1"/>
        <w:numPr>
          <w:ilvl w:val="0"/>
          <w:numId w:val="12"/>
        </w:numPr>
        <w:spacing w:line="21" w:lineRule="atLeast"/>
        <w:ind w:left="1418" w:hanging="357"/>
      </w:pPr>
      <w:r>
        <w:t>EMT</w:t>
      </w:r>
      <w:r w:rsidR="005313CB">
        <w:t>.</w:t>
      </w:r>
      <w:r>
        <w:t xml:space="preserve">1 – 8 which set out the </w:t>
      </w:r>
      <w:r w:rsidR="0091778A">
        <w:t>p</w:t>
      </w:r>
      <w:r>
        <w:t xml:space="preserve">rinciples for the assessment </w:t>
      </w:r>
      <w:r w:rsidR="00A8075F">
        <w:t xml:space="preserve">of </w:t>
      </w:r>
      <w:r w:rsidR="005313CB">
        <w:t>maintenance, inspection</w:t>
      </w:r>
      <w:r w:rsidR="00A8075F">
        <w:t xml:space="preserve"> and testing </w:t>
      </w:r>
      <w:r>
        <w:t>of SSC</w:t>
      </w:r>
      <w:r w:rsidR="00974474">
        <w:t>s</w:t>
      </w:r>
    </w:p>
    <w:p w14:paraId="502D3998" w14:textId="0D4608F0" w:rsidR="00EA252F" w:rsidRDefault="00EA252F" w:rsidP="006864A8">
      <w:pPr>
        <w:pStyle w:val="F9-Paragraph"/>
        <w:numPr>
          <w:ilvl w:val="0"/>
          <w:numId w:val="29"/>
        </w:numPr>
        <w:spacing w:line="21" w:lineRule="atLeast"/>
        <w:ind w:left="851" w:hanging="851"/>
      </w:pPr>
      <w:r w:rsidRPr="00AD648E">
        <w:t xml:space="preserve">The above SAPs rely on the judgement of the assessor to determine if the adequacy of the justification by the licensee meets the necessary requirements. </w:t>
      </w:r>
      <w:r w:rsidR="005313CB" w:rsidRPr="00AD648E">
        <w:t>Also,</w:t>
      </w:r>
      <w:r w:rsidRPr="00AD648E">
        <w:t xml:space="preserve"> the standards of design and construction must be clearly identified by the licensee for the particular facility</w:t>
      </w:r>
      <w:r w:rsidR="00C20039">
        <w:t>. This is</w:t>
      </w:r>
      <w:r w:rsidRPr="00AD648E">
        <w:t xml:space="preserve"> so that </w:t>
      </w:r>
      <w:r w:rsidR="00AD6031">
        <w:t>anyone assessing the safety case</w:t>
      </w:r>
      <w:r w:rsidRPr="00AD648E">
        <w:t xml:space="preserve"> is able to make judgements as to whether such standards have been achieved.</w:t>
      </w:r>
    </w:p>
    <w:p w14:paraId="2387D6C5" w14:textId="52D18F71" w:rsidR="00582581" w:rsidRDefault="00794B52" w:rsidP="0002207C">
      <w:pPr>
        <w:pStyle w:val="Heading2"/>
      </w:pPr>
      <w:r w:rsidRPr="00FB6BB8">
        <w:t xml:space="preserve">Western European Nuclear Regulators Association (WENRA) Reference </w:t>
      </w:r>
      <w:r w:rsidR="00582581">
        <w:t>L</w:t>
      </w:r>
      <w:r w:rsidRPr="00AD648E">
        <w:t>evels</w:t>
      </w:r>
    </w:p>
    <w:p w14:paraId="03E62BF7" w14:textId="7EAB976D" w:rsidR="00794B52" w:rsidRDefault="00794B52" w:rsidP="00E82241">
      <w:pPr>
        <w:pStyle w:val="F9-Paragraph"/>
        <w:numPr>
          <w:ilvl w:val="0"/>
          <w:numId w:val="29"/>
        </w:numPr>
        <w:spacing w:line="21" w:lineRule="atLeast"/>
        <w:ind w:left="851" w:hanging="851"/>
      </w:pPr>
      <w:r w:rsidRPr="00AD648E">
        <w:t>There are no specific WENRA reference levels relevant to this TAG.</w:t>
      </w:r>
    </w:p>
    <w:p w14:paraId="71D8195D" w14:textId="448AF7D8" w:rsidR="00766E11" w:rsidRDefault="00766E11" w:rsidP="0002207C">
      <w:pPr>
        <w:pStyle w:val="Heading2"/>
      </w:pPr>
      <w:bookmarkStart w:id="11" w:name="_Toc125529432"/>
      <w:r w:rsidRPr="004E3314">
        <w:t>IAEA</w:t>
      </w:r>
      <w:bookmarkEnd w:id="11"/>
      <w:r w:rsidR="00262039">
        <w:t xml:space="preserve"> </w:t>
      </w:r>
      <w:r w:rsidR="00B32632">
        <w:t>Guidance</w:t>
      </w:r>
    </w:p>
    <w:p w14:paraId="2D582ACA" w14:textId="6281B5F6" w:rsidR="00892625" w:rsidRDefault="003C7BEE" w:rsidP="006864A8">
      <w:pPr>
        <w:pStyle w:val="F9-Paragraph"/>
        <w:numPr>
          <w:ilvl w:val="0"/>
          <w:numId w:val="29"/>
        </w:numPr>
        <w:spacing w:line="21" w:lineRule="atLeast"/>
        <w:ind w:left="851" w:hanging="851"/>
      </w:pPr>
      <w:r>
        <w:t>T</w:t>
      </w:r>
      <w:r w:rsidR="00892625" w:rsidRPr="00892625">
        <w:t>he following IAEA documents are considered key RGP sources:</w:t>
      </w:r>
    </w:p>
    <w:p w14:paraId="5E711668" w14:textId="2B80E68A" w:rsidR="008653F5" w:rsidRPr="006864A8" w:rsidRDefault="008653F5" w:rsidP="006864A8">
      <w:pPr>
        <w:pStyle w:val="Bulletlist1"/>
        <w:numPr>
          <w:ilvl w:val="0"/>
          <w:numId w:val="12"/>
        </w:numPr>
        <w:spacing w:line="21" w:lineRule="atLeast"/>
        <w:ind w:left="1418" w:hanging="357"/>
      </w:pPr>
      <w:r w:rsidRPr="006864A8">
        <w:t xml:space="preserve">Safety of Nuclear Fuel Cycle Facilities </w:t>
      </w:r>
      <w:r w:rsidR="001E30A7">
        <w:t>SSR-4</w:t>
      </w:r>
      <w:sdt>
        <w:sdtPr>
          <w:id w:val="-782031225"/>
          <w:citation/>
        </w:sdtPr>
        <w:sdtEndPr/>
        <w:sdtContent>
          <w:r w:rsidR="00753896">
            <w:fldChar w:fldCharType="begin"/>
          </w:r>
          <w:r w:rsidR="000331FF">
            <w:instrText xml:space="preserve">CITATION SSR_4 \l 2057 </w:instrText>
          </w:r>
          <w:r w:rsidR="00753896">
            <w:fldChar w:fldCharType="separate"/>
          </w:r>
          <w:r w:rsidR="0002207C">
            <w:t xml:space="preserve"> </w:t>
          </w:r>
          <w:r w:rsidR="0002207C" w:rsidRPr="0002207C">
            <w:t>[14]</w:t>
          </w:r>
          <w:r w:rsidR="00753896">
            <w:fldChar w:fldCharType="end"/>
          </w:r>
        </w:sdtContent>
      </w:sdt>
      <w:r w:rsidR="003C7BEE">
        <w:t>;</w:t>
      </w:r>
    </w:p>
    <w:p w14:paraId="3EC9B298" w14:textId="1293E473" w:rsidR="008653F5" w:rsidRPr="006864A8" w:rsidRDefault="008653F5" w:rsidP="006864A8">
      <w:pPr>
        <w:pStyle w:val="Bulletlist1"/>
        <w:numPr>
          <w:ilvl w:val="0"/>
          <w:numId w:val="12"/>
        </w:numPr>
        <w:spacing w:line="21" w:lineRule="atLeast"/>
        <w:ind w:left="1418" w:hanging="357"/>
      </w:pPr>
      <w:r w:rsidRPr="006864A8">
        <w:lastRenderedPageBreak/>
        <w:t>Safety of Uranium Fuel Fabrication Facilities</w:t>
      </w:r>
      <w:r>
        <w:t xml:space="preserve"> </w:t>
      </w:r>
      <w:r w:rsidRPr="006864A8">
        <w:t>SSG-6</w:t>
      </w:r>
      <w:sdt>
        <w:sdtPr>
          <w:id w:val="-1039117461"/>
          <w:citation/>
        </w:sdtPr>
        <w:sdtEndPr/>
        <w:sdtContent>
          <w:r w:rsidR="005956AA">
            <w:fldChar w:fldCharType="begin"/>
          </w:r>
          <w:r w:rsidR="000331FF">
            <w:instrText xml:space="preserve">CITATION SSG_6 \l 2057 </w:instrText>
          </w:r>
          <w:r w:rsidR="005956AA">
            <w:fldChar w:fldCharType="separate"/>
          </w:r>
          <w:r w:rsidR="0002207C">
            <w:t xml:space="preserve"> </w:t>
          </w:r>
          <w:r w:rsidR="0002207C" w:rsidRPr="0002207C">
            <w:t>[15]</w:t>
          </w:r>
          <w:r w:rsidR="005956AA">
            <w:fldChar w:fldCharType="end"/>
          </w:r>
        </w:sdtContent>
      </w:sdt>
      <w:r w:rsidR="00C26BAF">
        <w:t>; and</w:t>
      </w:r>
    </w:p>
    <w:p w14:paraId="4137CC72" w14:textId="5390D64A" w:rsidR="008653F5" w:rsidRPr="006864A8" w:rsidRDefault="008653F5" w:rsidP="006864A8">
      <w:pPr>
        <w:pStyle w:val="Bulletlist1"/>
        <w:numPr>
          <w:ilvl w:val="0"/>
          <w:numId w:val="12"/>
        </w:numPr>
        <w:spacing w:line="21" w:lineRule="atLeast"/>
        <w:ind w:left="1418" w:hanging="357"/>
      </w:pPr>
      <w:r w:rsidRPr="006864A8">
        <w:t>Safety of Nuclear Fuel Reprocessing Facilities</w:t>
      </w:r>
      <w:r>
        <w:t xml:space="preserve"> </w:t>
      </w:r>
      <w:r w:rsidRPr="006864A8">
        <w:t>SSG-42</w:t>
      </w:r>
      <w:sdt>
        <w:sdtPr>
          <w:id w:val="-2035717986"/>
          <w:citation/>
        </w:sdtPr>
        <w:sdtEndPr/>
        <w:sdtContent>
          <w:r w:rsidR="00CD1CEB">
            <w:fldChar w:fldCharType="begin"/>
          </w:r>
          <w:r w:rsidR="000331FF">
            <w:instrText xml:space="preserve">CITATION SSG42 \l 2057 </w:instrText>
          </w:r>
          <w:r w:rsidR="00CD1CEB">
            <w:fldChar w:fldCharType="separate"/>
          </w:r>
          <w:r w:rsidR="0002207C">
            <w:t xml:space="preserve"> </w:t>
          </w:r>
          <w:r w:rsidR="0002207C" w:rsidRPr="0002207C">
            <w:t>[16]</w:t>
          </w:r>
          <w:r w:rsidR="00CD1CEB">
            <w:fldChar w:fldCharType="end"/>
          </w:r>
        </w:sdtContent>
      </w:sdt>
      <w:r w:rsidR="00C26BAF">
        <w:t>.</w:t>
      </w:r>
    </w:p>
    <w:p w14:paraId="5C9FA9A4" w14:textId="45D11CEB" w:rsidR="00892625" w:rsidRDefault="00892625" w:rsidP="006864A8">
      <w:pPr>
        <w:pStyle w:val="F9-Paragraph"/>
        <w:spacing w:line="21" w:lineRule="atLeast"/>
        <w:sectPr w:rsidR="00892625" w:rsidSect="000B2BCD">
          <w:pgSz w:w="11906" w:h="16838" w:code="9"/>
          <w:pgMar w:top="1440" w:right="1440" w:bottom="1440" w:left="1440" w:header="397" w:footer="397" w:gutter="0"/>
          <w:cols w:space="312"/>
          <w:docGrid w:linePitch="360"/>
        </w:sectPr>
      </w:pPr>
    </w:p>
    <w:p w14:paraId="5255232C" w14:textId="0B114371" w:rsidR="00F7687C" w:rsidRDefault="00F7687C" w:rsidP="0002207C">
      <w:pPr>
        <w:pStyle w:val="Heading1"/>
      </w:pPr>
      <w:bookmarkStart w:id="12" w:name="_Toc170218749"/>
      <w:r>
        <w:lastRenderedPageBreak/>
        <w:t>Advice to Inspectors</w:t>
      </w:r>
      <w:bookmarkEnd w:id="12"/>
    </w:p>
    <w:p w14:paraId="045E31E5" w14:textId="77777777" w:rsidR="009642BC" w:rsidRPr="004E3314" w:rsidRDefault="009642BC" w:rsidP="0002207C">
      <w:pPr>
        <w:pStyle w:val="Heading2"/>
      </w:pPr>
      <w:bookmarkStart w:id="13" w:name="_Toc125529434"/>
      <w:r w:rsidRPr="004E3314">
        <w:t>General</w:t>
      </w:r>
      <w:bookmarkEnd w:id="13"/>
    </w:p>
    <w:p w14:paraId="01BF0C99" w14:textId="77777777" w:rsidR="00FC5E6D" w:rsidRDefault="000851E2" w:rsidP="006864A8">
      <w:pPr>
        <w:pStyle w:val="F9-Paragraph"/>
        <w:numPr>
          <w:ilvl w:val="0"/>
          <w:numId w:val="29"/>
        </w:numPr>
        <w:spacing w:line="21" w:lineRule="atLeast"/>
        <w:ind w:left="851" w:hanging="851"/>
      </w:pPr>
      <w:r w:rsidRPr="00AF134A">
        <w:t xml:space="preserve">Containment is provided to ensure the segregation of nuclear material from the general environment, workers and others. </w:t>
      </w:r>
    </w:p>
    <w:p w14:paraId="16695065" w14:textId="50ACD7EF" w:rsidR="00661D11" w:rsidRDefault="000851E2" w:rsidP="006864A8">
      <w:pPr>
        <w:pStyle w:val="F9-Paragraph"/>
        <w:numPr>
          <w:ilvl w:val="0"/>
          <w:numId w:val="29"/>
        </w:numPr>
        <w:spacing w:line="21" w:lineRule="atLeast"/>
        <w:ind w:left="851" w:hanging="851"/>
      </w:pPr>
      <w:r w:rsidRPr="00AF134A">
        <w:t xml:space="preserve">On </w:t>
      </w:r>
      <w:r w:rsidR="005C365D">
        <w:t>nuclear facilities,</w:t>
      </w:r>
      <w:r w:rsidRPr="00AF134A">
        <w:t xml:space="preserve"> the form of the nuclear material being handled will vary dependent on the purposes of the facility</w:t>
      </w:r>
      <w:r w:rsidR="005C365D">
        <w:t xml:space="preserve">. However, </w:t>
      </w:r>
      <w:r w:rsidRPr="00AF134A">
        <w:t>the design of such a facility should recognise the need for suitable and sufficient barriers to ensure the risks to workers and others are reduced to ALARP.</w:t>
      </w:r>
    </w:p>
    <w:p w14:paraId="447EB1B8" w14:textId="53D29971" w:rsidR="000851E2" w:rsidRPr="00AF134A" w:rsidRDefault="000851E2" w:rsidP="006864A8">
      <w:pPr>
        <w:pStyle w:val="F9-Paragraph"/>
        <w:numPr>
          <w:ilvl w:val="0"/>
          <w:numId w:val="29"/>
        </w:numPr>
        <w:spacing w:line="21" w:lineRule="atLeast"/>
        <w:ind w:left="851" w:hanging="851"/>
      </w:pPr>
      <w:r w:rsidRPr="00AF134A">
        <w:t xml:space="preserve">The barriers may perform more than one duty, </w:t>
      </w:r>
      <w:r w:rsidR="0091778A">
        <w:t>for example t</w:t>
      </w:r>
      <w:r w:rsidRPr="00AF134A">
        <w:t>o contain nuclear material and to reduce radiation dose.</w:t>
      </w:r>
      <w:r w:rsidR="0002207C">
        <w:t xml:space="preserve"> </w:t>
      </w:r>
      <w:r w:rsidRPr="00AF134A">
        <w:t>In such circumstances the assessor must be satisfied that there has been no reduction of standards to allow this dual function.</w:t>
      </w:r>
    </w:p>
    <w:p w14:paraId="70437035" w14:textId="11E4D28E" w:rsidR="0096309B" w:rsidRDefault="000851E2" w:rsidP="006864A8">
      <w:pPr>
        <w:pStyle w:val="F9-Paragraph"/>
        <w:numPr>
          <w:ilvl w:val="0"/>
          <w:numId w:val="29"/>
        </w:numPr>
        <w:spacing w:line="21" w:lineRule="atLeast"/>
        <w:ind w:left="851" w:hanging="851"/>
      </w:pPr>
      <w:r w:rsidRPr="00AF134A">
        <w:t>The licensee must provide sufficient justification through its safety case that its containment system is engineered to ensure adequate separation between people and the nuclear material</w:t>
      </w:r>
      <w:r w:rsidR="00BF73D6">
        <w:t>. This applies</w:t>
      </w:r>
      <w:r w:rsidRPr="00AF134A">
        <w:t xml:space="preserve"> in both normal operation and design basis fault conditions. </w:t>
      </w:r>
    </w:p>
    <w:p w14:paraId="4B74AD18" w14:textId="5D0A53F3" w:rsidR="000851E2" w:rsidRPr="00AF134A" w:rsidRDefault="000851E2" w:rsidP="006864A8">
      <w:pPr>
        <w:pStyle w:val="F9-Paragraph"/>
        <w:numPr>
          <w:ilvl w:val="0"/>
          <w:numId w:val="29"/>
        </w:numPr>
        <w:spacing w:line="21" w:lineRule="atLeast"/>
        <w:ind w:left="851" w:hanging="851"/>
      </w:pPr>
      <w:r w:rsidRPr="00AF134A">
        <w:t>The barriers should be capable of withstanding both internal and external hazards and retaining their duty for the life of the plant and into decommissioning. This is particularly important for the storage of material where there is currently no disposal route or whose use is not yet determined.</w:t>
      </w:r>
    </w:p>
    <w:p w14:paraId="5A58AA93" w14:textId="2B87668C" w:rsidR="00E36BE4" w:rsidRDefault="000851E2" w:rsidP="006864A8">
      <w:pPr>
        <w:pStyle w:val="F9-Paragraph"/>
        <w:numPr>
          <w:ilvl w:val="0"/>
          <w:numId w:val="29"/>
        </w:numPr>
        <w:spacing w:line="21" w:lineRule="atLeast"/>
        <w:ind w:left="851" w:hanging="851"/>
      </w:pPr>
      <w:r w:rsidRPr="00AF134A">
        <w:t xml:space="preserve">Design and construction standards applicable to the containment should be clearly stated and justified for the </w:t>
      </w:r>
      <w:r w:rsidR="009957F5" w:rsidRPr="00AF134A">
        <w:t>application</w:t>
      </w:r>
      <w:r w:rsidRPr="00AF134A">
        <w:t xml:space="preserve">. The standards of design and construction must be clearly identified by the licensee for the </w:t>
      </w:r>
      <w:r w:rsidR="009957F5" w:rsidRPr="00AF134A">
        <w:t>facility</w:t>
      </w:r>
      <w:r w:rsidRPr="00AF134A">
        <w:t xml:space="preserve"> so that the assessor is able to make judgements as to whether such standards have been achieved.</w:t>
      </w:r>
    </w:p>
    <w:p w14:paraId="15ADF1F5" w14:textId="0475CACD" w:rsidR="000851E2" w:rsidRPr="00AF134A" w:rsidRDefault="000851E2" w:rsidP="006864A8">
      <w:pPr>
        <w:pStyle w:val="F9-Paragraph"/>
        <w:numPr>
          <w:ilvl w:val="0"/>
          <w:numId w:val="29"/>
        </w:numPr>
        <w:spacing w:line="21" w:lineRule="atLeast"/>
        <w:ind w:left="851" w:hanging="851"/>
      </w:pPr>
      <w:r w:rsidRPr="00AF134A">
        <w:t>Licensees may have developed in-house standards for application in their own circumstances which are based on relevant good practice in the industry. In these circumstances it may only be necessary to confirm the appropriate application of such codes</w:t>
      </w:r>
      <w:r w:rsidR="00F84272">
        <w:t xml:space="preserve"> or </w:t>
      </w:r>
      <w:r w:rsidRPr="00AF134A">
        <w:t>standards rather than a fundamental assessment of the criteria.</w:t>
      </w:r>
    </w:p>
    <w:p w14:paraId="0C7D97F4" w14:textId="77777777" w:rsidR="0002207C" w:rsidRDefault="0002207C" w:rsidP="006864A8">
      <w:pPr>
        <w:pStyle w:val="F9-Paragraph"/>
        <w:numPr>
          <w:ilvl w:val="0"/>
          <w:numId w:val="29"/>
        </w:numPr>
        <w:spacing w:line="21" w:lineRule="atLeast"/>
        <w:ind w:left="851" w:hanging="851"/>
        <w:sectPr w:rsidR="0002207C" w:rsidSect="000B2BCD">
          <w:pgSz w:w="11906" w:h="16838" w:code="9"/>
          <w:pgMar w:top="1440" w:right="1440" w:bottom="1440" w:left="1440" w:header="397" w:footer="397" w:gutter="0"/>
          <w:cols w:space="312"/>
          <w:docGrid w:linePitch="360"/>
        </w:sectPr>
      </w:pPr>
    </w:p>
    <w:p w14:paraId="4D27F994" w14:textId="6236E990" w:rsidR="000851E2" w:rsidRPr="00AF134A" w:rsidRDefault="000851E2" w:rsidP="006864A8">
      <w:pPr>
        <w:pStyle w:val="F9-Paragraph"/>
        <w:numPr>
          <w:ilvl w:val="0"/>
          <w:numId w:val="29"/>
        </w:numPr>
        <w:spacing w:line="21" w:lineRule="atLeast"/>
        <w:ind w:left="851" w:hanging="851"/>
      </w:pPr>
      <w:r w:rsidRPr="00AF134A">
        <w:lastRenderedPageBreak/>
        <w:t xml:space="preserve">The different forms, type and quantity of radioactive material being processed in nuclear </w:t>
      </w:r>
      <w:r w:rsidR="003918BA">
        <w:t xml:space="preserve">facilities </w:t>
      </w:r>
      <w:r w:rsidR="00C43F79" w:rsidRPr="00AF134A">
        <w:t>result</w:t>
      </w:r>
      <w:r w:rsidRPr="00AF134A">
        <w:t xml:space="preserve"> in as equally varied type of containment being necessary to meet the specific duty. These range from the large volumes of highly active liquor in reprocessing facilities to laboratory quantities of </w:t>
      </w:r>
      <w:r w:rsidR="00C43F79" w:rsidRPr="00AF134A">
        <w:t>radioisotopes</w:t>
      </w:r>
      <w:r w:rsidRPr="00AF134A">
        <w:t>. In such cases the containment ranges from stainless steel tanks located in stainless steel lined thick-walled concrete cells to ventilated boxes located in controlled areas. In all cases the justification as to the number and type of barriers would have to be prepared by the licensee to ensure the appropriate BSLs are being met and that assessments against the BSO and ALARP considerations have been addressed.</w:t>
      </w:r>
    </w:p>
    <w:p w14:paraId="4025765C" w14:textId="54EE0591" w:rsidR="00E36BE4" w:rsidRDefault="000851E2" w:rsidP="006864A8">
      <w:pPr>
        <w:pStyle w:val="F9-Paragraph"/>
        <w:numPr>
          <w:ilvl w:val="0"/>
          <w:numId w:val="29"/>
        </w:numPr>
        <w:spacing w:line="21" w:lineRule="atLeast"/>
        <w:ind w:left="851" w:hanging="851"/>
      </w:pPr>
      <w:r w:rsidRPr="00AF134A">
        <w:t xml:space="preserve">In </w:t>
      </w:r>
      <w:r w:rsidR="004631F0">
        <w:t>the facilities in question</w:t>
      </w:r>
      <w:r w:rsidR="007B41B6">
        <w:t>,</w:t>
      </w:r>
      <w:r w:rsidRPr="00AF134A">
        <w:t xml:space="preserve"> the use of the term </w:t>
      </w:r>
      <w:r w:rsidR="007A02E7">
        <w:t>‘</w:t>
      </w:r>
      <w:r w:rsidRPr="00AF134A">
        <w:t>primary containment</w:t>
      </w:r>
      <w:r w:rsidR="007A02E7">
        <w:t>’</w:t>
      </w:r>
      <w:r w:rsidRPr="00AF134A">
        <w:t xml:space="preserve"> usually refers to the barrier in contact with the material being processed. In the case of liquids and gases this is usually the piping or vessels in which the material is being processed or stored. </w:t>
      </w:r>
    </w:p>
    <w:p w14:paraId="4161A9E4" w14:textId="06A2879F" w:rsidR="007B41B6" w:rsidRDefault="000851E2" w:rsidP="006864A8">
      <w:pPr>
        <w:pStyle w:val="F9-Paragraph"/>
        <w:numPr>
          <w:ilvl w:val="0"/>
          <w:numId w:val="29"/>
        </w:numPr>
        <w:spacing w:line="21" w:lineRule="atLeast"/>
        <w:ind w:left="851" w:hanging="851"/>
      </w:pPr>
      <w:r w:rsidRPr="00AF134A">
        <w:t xml:space="preserve">The </w:t>
      </w:r>
      <w:r w:rsidR="007A02E7">
        <w:t>‘</w:t>
      </w:r>
      <w:r w:rsidRPr="00AF134A">
        <w:t>secondary containment</w:t>
      </w:r>
      <w:r w:rsidR="007A02E7">
        <w:t xml:space="preserve">’ </w:t>
      </w:r>
      <w:r w:rsidRPr="00AF134A">
        <w:t>is usually that barrier provided to contain and collect spillages, escapes and leaks from the primary containment. For high hazard potential liquids and gases</w:t>
      </w:r>
      <w:r w:rsidR="001D4D0D" w:rsidRPr="00AF134A">
        <w:t>,</w:t>
      </w:r>
      <w:r w:rsidRPr="00AF134A">
        <w:t xml:space="preserve"> a third barrier may be employed using appropriately ventilated parts of the building. </w:t>
      </w:r>
    </w:p>
    <w:p w14:paraId="75A97878" w14:textId="2730DE76" w:rsidR="00E36BE4" w:rsidRDefault="000851E2" w:rsidP="006864A8">
      <w:pPr>
        <w:pStyle w:val="F9-Paragraph"/>
        <w:numPr>
          <w:ilvl w:val="0"/>
          <w:numId w:val="29"/>
        </w:numPr>
        <w:spacing w:line="21" w:lineRule="atLeast"/>
        <w:ind w:left="851" w:hanging="851"/>
      </w:pPr>
      <w:r w:rsidRPr="00AF134A">
        <w:t xml:space="preserve">In the case of high hazard potential </w:t>
      </w:r>
      <w:r w:rsidR="00852934" w:rsidRPr="00AF134A">
        <w:t>powders,</w:t>
      </w:r>
      <w:r w:rsidRPr="00AF134A">
        <w:t xml:space="preserve"> a similar system to the above may be appropriate. The powder is processed within a primary containment system of vessels and pipework. Secondary containment, usually in the form of a ventilated glovebox, is then provided to contain and collect spillages, escapes and leaks. </w:t>
      </w:r>
    </w:p>
    <w:p w14:paraId="145901D3" w14:textId="4AC4DF08" w:rsidR="00E36BE4" w:rsidRDefault="000851E2" w:rsidP="006864A8">
      <w:pPr>
        <w:pStyle w:val="F9-Paragraph"/>
        <w:numPr>
          <w:ilvl w:val="0"/>
          <w:numId w:val="29"/>
        </w:numPr>
        <w:spacing w:line="21" w:lineRule="atLeast"/>
        <w:ind w:left="851" w:hanging="851"/>
      </w:pPr>
      <w:r w:rsidRPr="00AF134A">
        <w:t>Again</w:t>
      </w:r>
      <w:r w:rsidR="00852934">
        <w:t>,</w:t>
      </w:r>
      <w:r w:rsidRPr="00AF134A">
        <w:t xml:space="preserve"> a third barrier may be employed using appropriately ventilated parts of the building. In the case of low hazard potential solids, a licensee could submit justification for the use of sealed containers as primary containment and an unventilated building as the secondary containment. </w:t>
      </w:r>
    </w:p>
    <w:p w14:paraId="119E77BD" w14:textId="2D01BFAE" w:rsidR="000851E2" w:rsidRPr="00AF134A" w:rsidRDefault="000851E2" w:rsidP="006864A8">
      <w:pPr>
        <w:pStyle w:val="F9-Paragraph"/>
        <w:numPr>
          <w:ilvl w:val="0"/>
          <w:numId w:val="29"/>
        </w:numPr>
        <w:spacing w:line="21" w:lineRule="atLeast"/>
        <w:ind w:left="851" w:hanging="851"/>
      </w:pPr>
      <w:r w:rsidRPr="00AF134A">
        <w:t>The primary and secondary containment features are well demonstrated when considering co-axial pipework, as used to transfer process material from one primary containment to another. Indeed</w:t>
      </w:r>
      <w:r w:rsidR="007308F2">
        <w:t>,</w:t>
      </w:r>
      <w:r w:rsidRPr="00AF134A">
        <w:t xml:space="preserve"> the use of shielded, ventilated </w:t>
      </w:r>
      <w:r w:rsidR="0002207C" w:rsidRPr="00AF134A">
        <w:t>pipe bridges</w:t>
      </w:r>
      <w:r w:rsidRPr="00AF134A">
        <w:t xml:space="preserve"> is equivalent to use of the </w:t>
      </w:r>
      <w:r w:rsidR="007A02E7">
        <w:t>‘</w:t>
      </w:r>
      <w:r w:rsidRPr="00AF134A">
        <w:t>ventilated parts of a building</w:t>
      </w:r>
      <w:r w:rsidR="007A02E7">
        <w:t>’</w:t>
      </w:r>
      <w:r w:rsidR="007A02E7" w:rsidRPr="00AF134A">
        <w:t xml:space="preserve"> </w:t>
      </w:r>
      <w:r w:rsidRPr="00AF134A">
        <w:t>or tertiary containment.</w:t>
      </w:r>
      <w:r w:rsidR="0002207C">
        <w:t xml:space="preserve"> </w:t>
      </w:r>
    </w:p>
    <w:p w14:paraId="5415B6FC" w14:textId="77777777" w:rsidR="007D662D" w:rsidRDefault="000851E2" w:rsidP="006864A8">
      <w:pPr>
        <w:pStyle w:val="F9-Paragraph"/>
        <w:numPr>
          <w:ilvl w:val="0"/>
          <w:numId w:val="29"/>
        </w:numPr>
        <w:spacing w:line="21" w:lineRule="atLeast"/>
        <w:ind w:left="851" w:hanging="851"/>
      </w:pPr>
      <w:r w:rsidRPr="00AF134A">
        <w:t xml:space="preserve">The materials of construction of the containments must be compatible with the process materials being contained. Such factors as chemical, thermal and radiological stability should be considered during the assessment. </w:t>
      </w:r>
    </w:p>
    <w:p w14:paraId="4AD050BE" w14:textId="77777777" w:rsidR="000F4461" w:rsidRDefault="000851E2" w:rsidP="006864A8">
      <w:pPr>
        <w:pStyle w:val="F9-Paragraph"/>
        <w:numPr>
          <w:ilvl w:val="0"/>
          <w:numId w:val="29"/>
        </w:numPr>
        <w:spacing w:line="21" w:lineRule="atLeast"/>
        <w:ind w:left="851" w:hanging="851"/>
      </w:pPr>
      <w:r w:rsidRPr="00AF134A">
        <w:t xml:space="preserve">The containment must be stable under normal and fault conditions when the physical, chemical and radiological conditions of the nuclear materials may change. </w:t>
      </w:r>
    </w:p>
    <w:p w14:paraId="7CFBBCB6" w14:textId="77777777" w:rsidR="0002207C" w:rsidRDefault="0002207C" w:rsidP="006864A8">
      <w:pPr>
        <w:pStyle w:val="F9-Paragraph"/>
        <w:numPr>
          <w:ilvl w:val="0"/>
          <w:numId w:val="29"/>
        </w:numPr>
        <w:spacing w:line="21" w:lineRule="atLeast"/>
        <w:ind w:left="851" w:hanging="851"/>
        <w:sectPr w:rsidR="0002207C" w:rsidSect="000B2BCD">
          <w:pgSz w:w="11906" w:h="16838" w:code="9"/>
          <w:pgMar w:top="1440" w:right="1440" w:bottom="1440" w:left="1440" w:header="397" w:footer="397" w:gutter="0"/>
          <w:cols w:space="312"/>
          <w:docGrid w:linePitch="360"/>
        </w:sectPr>
      </w:pPr>
    </w:p>
    <w:p w14:paraId="07644064" w14:textId="0FC2B96B" w:rsidR="000851E2" w:rsidRPr="00AF134A" w:rsidRDefault="000851E2" w:rsidP="006864A8">
      <w:pPr>
        <w:pStyle w:val="F9-Paragraph"/>
        <w:numPr>
          <w:ilvl w:val="0"/>
          <w:numId w:val="29"/>
        </w:numPr>
        <w:spacing w:line="21" w:lineRule="atLeast"/>
        <w:ind w:left="851" w:hanging="851"/>
      </w:pPr>
      <w:r w:rsidRPr="00AF134A">
        <w:lastRenderedPageBreak/>
        <w:t xml:space="preserve">The containment should also retain its stability under both internal and external fault conditions for example fire and seismic events if the consequences are such that the primary function needs to be retained for safety reasons. To ensure the above requirements are met ONR SAP EQU.1 </w:t>
      </w:r>
      <w:r w:rsidR="00E50AA3">
        <w:t xml:space="preserve">(Qualification procedures) </w:t>
      </w:r>
      <w:r w:rsidRPr="00AF134A">
        <w:t>is applicable.</w:t>
      </w:r>
    </w:p>
    <w:p w14:paraId="2C06EEAE" w14:textId="0F737CA8" w:rsidR="000851E2" w:rsidRPr="00AF134A" w:rsidRDefault="000851E2" w:rsidP="006864A8">
      <w:pPr>
        <w:pStyle w:val="F9-Paragraph"/>
        <w:numPr>
          <w:ilvl w:val="0"/>
          <w:numId w:val="29"/>
        </w:numPr>
        <w:spacing w:line="21" w:lineRule="atLeast"/>
        <w:ind w:left="851" w:hanging="851"/>
      </w:pPr>
      <w:r w:rsidRPr="00AF134A">
        <w:t>The licensee should demonstrate that it has adequate arrangements in place for managing aging and degradation of the containment system over its full lifecycle. ONR SAPs</w:t>
      </w:r>
      <w:r w:rsidR="00970E36">
        <w:t xml:space="preserve"> </w:t>
      </w:r>
      <w:r w:rsidRPr="00AF134A">
        <w:t>EAD</w:t>
      </w:r>
      <w:r w:rsidR="00970E36">
        <w:t>.</w:t>
      </w:r>
      <w:r w:rsidRPr="00AF134A">
        <w:t xml:space="preserve">1 – 5 set out </w:t>
      </w:r>
      <w:r w:rsidR="008221AB">
        <w:t>p</w:t>
      </w:r>
      <w:r w:rsidRPr="00AF134A">
        <w:t>rinciples for the assessment of aging and degradation of SSCs. Further guidance can be found in</w:t>
      </w:r>
      <w:r w:rsidR="0002207C">
        <w:t xml:space="preserve"> </w:t>
      </w:r>
      <w:r w:rsidR="00B8284F">
        <w:t xml:space="preserve">an ONR </w:t>
      </w:r>
      <w:r w:rsidR="0002207C">
        <w:t>TAG</w:t>
      </w:r>
      <w:r w:rsidR="00B8284F">
        <w:t xml:space="preserve"> on asset management</w:t>
      </w:r>
      <w:sdt>
        <w:sdtPr>
          <w:id w:val="-189760026"/>
          <w:citation/>
        </w:sdtPr>
        <w:sdtEndPr/>
        <w:sdtContent>
          <w:r w:rsidR="00B81DDB">
            <w:fldChar w:fldCharType="begin"/>
          </w:r>
          <w:r w:rsidR="000331FF">
            <w:instrText xml:space="preserve">CITATION TAG98 \l 2057 </w:instrText>
          </w:r>
          <w:r w:rsidR="00B81DDB">
            <w:fldChar w:fldCharType="separate"/>
          </w:r>
          <w:r w:rsidR="0002207C">
            <w:rPr>
              <w:noProof/>
            </w:rPr>
            <w:t xml:space="preserve"> [10]</w:t>
          </w:r>
          <w:r w:rsidR="00B81DDB">
            <w:fldChar w:fldCharType="end"/>
          </w:r>
        </w:sdtContent>
      </w:sdt>
      <w:r w:rsidRPr="00AF134A">
        <w:t>.</w:t>
      </w:r>
    </w:p>
    <w:p w14:paraId="1D59B07D" w14:textId="0623DEDD" w:rsidR="00F506C7" w:rsidRDefault="000851E2" w:rsidP="006864A8">
      <w:pPr>
        <w:pStyle w:val="F9-Paragraph"/>
        <w:numPr>
          <w:ilvl w:val="0"/>
          <w:numId w:val="29"/>
        </w:numPr>
        <w:spacing w:line="21" w:lineRule="atLeast"/>
        <w:ind w:left="851" w:hanging="851"/>
      </w:pPr>
      <w:r w:rsidRPr="00AF134A">
        <w:t xml:space="preserve">An important aspect of managing ageing and degradation is for the licensee to have an adequate EIMT regime in place. The </w:t>
      </w:r>
      <w:r w:rsidR="00F73B85">
        <w:t>p</w:t>
      </w:r>
      <w:r w:rsidRPr="00AF134A">
        <w:t>rinciples for EIMT can be found in ONR SAP</w:t>
      </w:r>
      <w:r w:rsidR="00F7104D">
        <w:t>s</w:t>
      </w:r>
      <w:r w:rsidRPr="00AF134A">
        <w:t xml:space="preserve"> EMT</w:t>
      </w:r>
      <w:r w:rsidR="00F7104D">
        <w:t>.</w:t>
      </w:r>
      <w:r w:rsidRPr="00AF134A">
        <w:t>1 – 8. The assessor should make judgements as to the adequacy of the licensee</w:t>
      </w:r>
      <w:r w:rsidR="00405E5F">
        <w:t>’</w:t>
      </w:r>
      <w:r w:rsidRPr="00AF134A">
        <w:t>s safety case for the containment system against these principles. Further guidance can be found in</w:t>
      </w:r>
      <w:r w:rsidR="0002207C">
        <w:t xml:space="preserve"> </w:t>
      </w:r>
      <w:r w:rsidR="00B8284F">
        <w:t xml:space="preserve">an </w:t>
      </w:r>
      <w:r w:rsidR="0002207C">
        <w:t xml:space="preserve">ONR TAG on </w:t>
      </w:r>
      <w:r w:rsidR="00B8284F">
        <w:t xml:space="preserve">EIMT </w:t>
      </w:r>
      <w:r w:rsidR="0002207C" w:rsidRPr="0002207C">
        <w:t xml:space="preserve">of </w:t>
      </w:r>
      <w:r w:rsidR="00B8284F">
        <w:t>i</w:t>
      </w:r>
      <w:r w:rsidR="0002207C" w:rsidRPr="0002207C">
        <w:t xml:space="preserve">tems </w:t>
      </w:r>
      <w:r w:rsidR="00B8284F">
        <w:t>i</w:t>
      </w:r>
      <w:r w:rsidR="0002207C" w:rsidRPr="0002207C">
        <w:t xml:space="preserve">mportant to </w:t>
      </w:r>
      <w:r w:rsidR="00B8284F">
        <w:t>s</w:t>
      </w:r>
      <w:r w:rsidR="0002207C" w:rsidRPr="0002207C">
        <w:t>afety</w:t>
      </w:r>
      <w:r w:rsidR="0002207C">
        <w:t xml:space="preserve"> </w:t>
      </w:r>
      <w:sdt>
        <w:sdtPr>
          <w:id w:val="832876917"/>
          <w:citation/>
        </w:sdtPr>
        <w:sdtEndPr/>
        <w:sdtContent>
          <w:r w:rsidR="0002207C">
            <w:fldChar w:fldCharType="begin"/>
          </w:r>
          <w:r w:rsidR="0002207C">
            <w:instrText xml:space="preserve">CITATION TAG9 \l 2057 </w:instrText>
          </w:r>
          <w:r w:rsidR="0002207C">
            <w:fldChar w:fldCharType="separate"/>
          </w:r>
          <w:r w:rsidR="0002207C">
            <w:rPr>
              <w:noProof/>
            </w:rPr>
            <w:t>[8]</w:t>
          </w:r>
          <w:r w:rsidR="0002207C">
            <w:fldChar w:fldCharType="end"/>
          </w:r>
        </w:sdtContent>
      </w:sdt>
      <w:r w:rsidRPr="00AF134A">
        <w:t xml:space="preserve">. </w:t>
      </w:r>
    </w:p>
    <w:p w14:paraId="13012028" w14:textId="07798ED8" w:rsidR="00F506C7" w:rsidRDefault="008518A1" w:rsidP="0002207C">
      <w:pPr>
        <w:pStyle w:val="Heading2"/>
      </w:pPr>
      <w:r>
        <w:t xml:space="preserve">Specific matters </w:t>
      </w:r>
      <w:r w:rsidR="00BE5C8B">
        <w:t xml:space="preserve">that </w:t>
      </w:r>
      <w:r>
        <w:t>assessor</w:t>
      </w:r>
      <w:r w:rsidR="00D86F7E">
        <w:t>s may</w:t>
      </w:r>
      <w:r>
        <w:t xml:space="preserve"> consider </w:t>
      </w:r>
    </w:p>
    <w:p w14:paraId="0DB810F2" w14:textId="3A317704" w:rsidR="006A5228" w:rsidRDefault="006A5228" w:rsidP="006864A8">
      <w:pPr>
        <w:pStyle w:val="F9-Paragraph"/>
        <w:numPr>
          <w:ilvl w:val="0"/>
          <w:numId w:val="29"/>
        </w:numPr>
        <w:spacing w:line="21" w:lineRule="atLeast"/>
        <w:ind w:left="851" w:hanging="851"/>
      </w:pPr>
      <w:r>
        <w:t>Any processes carried out in containment should be thoroughly understood to ensure releases resulting in changes of form or state are adequately addressed when specifying the containment hazards</w:t>
      </w:r>
      <w:r w:rsidR="00823F08">
        <w:t>.</w:t>
      </w:r>
    </w:p>
    <w:p w14:paraId="696EBABA" w14:textId="16AFAFCB" w:rsidR="006A5228" w:rsidRDefault="006A5228" w:rsidP="006864A8">
      <w:pPr>
        <w:pStyle w:val="F9-Paragraph"/>
        <w:numPr>
          <w:ilvl w:val="0"/>
          <w:numId w:val="29"/>
        </w:numPr>
        <w:spacing w:line="21" w:lineRule="atLeast"/>
        <w:ind w:left="851" w:hanging="851"/>
      </w:pPr>
      <w:r>
        <w:t>The numbers of containment barriers proposed relative to the hazard and perceived risk should be clearly argued in the safety case. The justification for each barrier should be clearly stated</w:t>
      </w:r>
      <w:r w:rsidR="00B91295">
        <w:t>.</w:t>
      </w:r>
    </w:p>
    <w:p w14:paraId="57FE4EDB" w14:textId="6CF7C254" w:rsidR="006A5228" w:rsidRDefault="006A5228" w:rsidP="006864A8">
      <w:pPr>
        <w:pStyle w:val="F9-Paragraph"/>
        <w:numPr>
          <w:ilvl w:val="0"/>
          <w:numId w:val="29"/>
        </w:numPr>
        <w:spacing w:line="21" w:lineRule="atLeast"/>
        <w:ind w:left="851" w:hanging="851"/>
      </w:pPr>
      <w:r>
        <w:t>The standards for the design and construction of each boundary should be clearly identified and be relevant to the materials of construction, which should be compatible with the process materials and process conditions. Any computer codes should be verified and validated</w:t>
      </w:r>
      <w:r w:rsidR="00B91295">
        <w:t>.</w:t>
      </w:r>
    </w:p>
    <w:p w14:paraId="522406DE" w14:textId="00C39AA1" w:rsidR="006A5228" w:rsidRDefault="006A5228" w:rsidP="006864A8">
      <w:pPr>
        <w:pStyle w:val="F9-Paragraph"/>
        <w:numPr>
          <w:ilvl w:val="0"/>
          <w:numId w:val="29"/>
        </w:numPr>
        <w:spacing w:line="21" w:lineRule="atLeast"/>
        <w:ind w:left="851" w:hanging="851"/>
      </w:pPr>
      <w:r>
        <w:t>The design of the containment should be capable of withstanding the effects of external events as well as internal faults</w:t>
      </w:r>
      <w:r w:rsidR="00B91295">
        <w:t>.</w:t>
      </w:r>
      <w:r>
        <w:t xml:space="preserve"> </w:t>
      </w:r>
      <w:r w:rsidR="00B91295">
        <w:t>F</w:t>
      </w:r>
      <w:r>
        <w:t>or example</w:t>
      </w:r>
      <w:r w:rsidR="00B91295">
        <w:t>,</w:t>
      </w:r>
      <w:r>
        <w:t xml:space="preserve"> most chemical processes use pressure vessels as part of the containment</w:t>
      </w:r>
      <w:r w:rsidR="00B91295">
        <w:t>.</w:t>
      </w:r>
      <w:r>
        <w:t xml:space="preserve"> </w:t>
      </w:r>
      <w:r w:rsidR="00B91295">
        <w:t>T</w:t>
      </w:r>
      <w:r>
        <w:t>hese should be capable of withstanding external overpressures in addition to internal process pressures if the potential for an explosion exists</w:t>
      </w:r>
      <w:r w:rsidR="00B91295">
        <w:t>.</w:t>
      </w:r>
    </w:p>
    <w:p w14:paraId="4B284E49" w14:textId="3CB320E1" w:rsidR="006A5228" w:rsidRDefault="006A5228" w:rsidP="006864A8">
      <w:pPr>
        <w:pStyle w:val="F9-Paragraph"/>
        <w:numPr>
          <w:ilvl w:val="0"/>
          <w:numId w:val="29"/>
        </w:numPr>
        <w:spacing w:line="21" w:lineRule="atLeast"/>
        <w:ind w:left="851" w:hanging="851"/>
      </w:pPr>
      <w:r>
        <w:t>Suitable monitor</w:t>
      </w:r>
      <w:r w:rsidR="00B91295">
        <w:t>ing</w:t>
      </w:r>
      <w:r>
        <w:t xml:space="preserve"> should be installed to detect radioactive material following loss of containment</w:t>
      </w:r>
      <w:r w:rsidR="0035585E">
        <w:t>,</w:t>
      </w:r>
      <w:r>
        <w:t xml:space="preserve"> which could be in the form of solids, liquids or gases. Consideration should be given to the possibility of a change in phase as the process material escapes</w:t>
      </w:r>
      <w:r w:rsidR="0035585E">
        <w:t>.</w:t>
      </w:r>
      <w:r>
        <w:t xml:space="preserve"> </w:t>
      </w:r>
      <w:r w:rsidR="0035585E">
        <w:t>F</w:t>
      </w:r>
      <w:r>
        <w:t>or example</w:t>
      </w:r>
      <w:r w:rsidR="0035585E">
        <w:t>,</w:t>
      </w:r>
      <w:r>
        <w:t xml:space="preserve"> hot liquids may solidify on escape and accumulate in the secondary containment rather than flow to a sump where the detector is located. This type of phenomena should be identified as part of the </w:t>
      </w:r>
      <w:r w:rsidRPr="006A5228">
        <w:t>hazard and operability study (</w:t>
      </w:r>
      <w:r>
        <w:t>HAZOP)</w:t>
      </w:r>
      <w:r w:rsidR="008A2BE7">
        <w:t xml:space="preserve"> </w:t>
      </w:r>
      <w:sdt>
        <w:sdtPr>
          <w:id w:val="548495741"/>
          <w:citation/>
        </w:sdtPr>
        <w:sdtEndPr/>
        <w:sdtContent>
          <w:r w:rsidR="008A2BE7">
            <w:fldChar w:fldCharType="begin"/>
          </w:r>
          <w:r w:rsidR="000331FF">
            <w:instrText xml:space="preserve">CITATION BSI \l 2057 </w:instrText>
          </w:r>
          <w:r w:rsidR="008A2BE7">
            <w:fldChar w:fldCharType="separate"/>
          </w:r>
          <w:r w:rsidR="0002207C">
            <w:rPr>
              <w:noProof/>
            </w:rPr>
            <w:t>[17]</w:t>
          </w:r>
          <w:r w:rsidR="008A2BE7">
            <w:fldChar w:fldCharType="end"/>
          </w:r>
        </w:sdtContent>
      </w:sdt>
      <w:r w:rsidR="0035585E">
        <w:t>.</w:t>
      </w:r>
    </w:p>
    <w:p w14:paraId="36211B67" w14:textId="77777777" w:rsidR="0002207C" w:rsidRDefault="0002207C" w:rsidP="006864A8">
      <w:pPr>
        <w:pStyle w:val="F9-Paragraph"/>
        <w:numPr>
          <w:ilvl w:val="0"/>
          <w:numId w:val="29"/>
        </w:numPr>
        <w:spacing w:line="21" w:lineRule="atLeast"/>
        <w:ind w:left="851" w:hanging="851"/>
        <w:sectPr w:rsidR="0002207C" w:rsidSect="000B2BCD">
          <w:pgSz w:w="11906" w:h="16838" w:code="9"/>
          <w:pgMar w:top="1440" w:right="1440" w:bottom="1440" w:left="1440" w:header="397" w:footer="397" w:gutter="0"/>
          <w:cols w:space="312"/>
          <w:docGrid w:linePitch="360"/>
        </w:sectPr>
      </w:pPr>
    </w:p>
    <w:p w14:paraId="645025FA" w14:textId="086C00D6" w:rsidR="006A5228" w:rsidRDefault="006A5228" w:rsidP="006864A8">
      <w:pPr>
        <w:pStyle w:val="F9-Paragraph"/>
        <w:numPr>
          <w:ilvl w:val="0"/>
          <w:numId w:val="29"/>
        </w:numPr>
        <w:spacing w:line="21" w:lineRule="atLeast"/>
        <w:ind w:left="851" w:hanging="851"/>
      </w:pPr>
      <w:r>
        <w:lastRenderedPageBreak/>
        <w:t>The safety case should address in detail the implications of fissile material escaping from containment, particularly the circumstances which may allow accumulations above criticality limits. The assessor should be satisfied that the safety case adequately addresses how the containment design copes with such an event</w:t>
      </w:r>
      <w:r w:rsidR="0035585E">
        <w:t>.</w:t>
      </w:r>
      <w:r>
        <w:t xml:space="preserve"> </w:t>
      </w:r>
      <w:r w:rsidR="0035585E">
        <w:t>T</w:t>
      </w:r>
      <w:r>
        <w:t xml:space="preserve">his applies equally to dusts </w:t>
      </w:r>
      <w:r w:rsidR="0035585E">
        <w:t>and</w:t>
      </w:r>
      <w:r>
        <w:t xml:space="preserve"> liquids</w:t>
      </w:r>
      <w:r w:rsidR="0035585E">
        <w:t>.</w:t>
      </w:r>
      <w:r>
        <w:t xml:space="preserve"> </w:t>
      </w:r>
    </w:p>
    <w:p w14:paraId="71CDD164" w14:textId="2F24FF62" w:rsidR="006A5228" w:rsidRDefault="00F74049" w:rsidP="006864A8">
      <w:pPr>
        <w:pStyle w:val="F9-Paragraph"/>
        <w:numPr>
          <w:ilvl w:val="0"/>
          <w:numId w:val="29"/>
        </w:numPr>
        <w:spacing w:line="21" w:lineRule="atLeast"/>
        <w:ind w:left="851" w:hanging="851"/>
      </w:pPr>
      <w:r>
        <w:t>A facilities pr</w:t>
      </w:r>
      <w:r w:rsidR="006A5228">
        <w:t>ocesses are generally supported by a number of services</w:t>
      </w:r>
      <w:r>
        <w:t>,</w:t>
      </w:r>
      <w:r w:rsidR="006A5228">
        <w:t xml:space="preserve"> some of which may have to enter the containment. Adequate consideration should be given to sealing, where the services enter the containment boundary. </w:t>
      </w:r>
      <w:r w:rsidR="0002207C">
        <w:br/>
      </w:r>
      <w:r w:rsidR="006A5228">
        <w:t>The sealant or sealing system used must be capable of withstanding changes due to process, environment and fault conditions including fire and seismic events</w:t>
      </w:r>
      <w:r w:rsidR="00A81112">
        <w:t>. It may also need to be qualified</w:t>
      </w:r>
      <w:r w:rsidR="00A70FF5">
        <w:t>.</w:t>
      </w:r>
    </w:p>
    <w:p w14:paraId="7FE6E6E8" w14:textId="6568D5F3" w:rsidR="006A5228" w:rsidRDefault="006A5228" w:rsidP="006864A8">
      <w:pPr>
        <w:pStyle w:val="F9-Paragraph"/>
        <w:numPr>
          <w:ilvl w:val="0"/>
          <w:numId w:val="29"/>
        </w:numPr>
        <w:spacing w:line="21" w:lineRule="atLeast"/>
        <w:ind w:left="851" w:hanging="851"/>
      </w:pPr>
      <w:r>
        <w:t>Adequate consideration should be given to the possible failure of process lines within the containment and to routing of process pressure relief vents. Particular fault mechanisms may result in provisions being made to route such a system to a facility outside of the containment. The adequacy of such provisions should be clearly justified</w:t>
      </w:r>
      <w:r w:rsidR="00A70FF5">
        <w:t>.</w:t>
      </w:r>
      <w:r>
        <w:t xml:space="preserve"> </w:t>
      </w:r>
    </w:p>
    <w:p w14:paraId="58353C9A" w14:textId="07FF66F6" w:rsidR="006A5228" w:rsidRDefault="006A5228" w:rsidP="006864A8">
      <w:pPr>
        <w:pStyle w:val="F9-Paragraph"/>
        <w:numPr>
          <w:ilvl w:val="0"/>
          <w:numId w:val="29"/>
        </w:numPr>
        <w:spacing w:line="21" w:lineRule="atLeast"/>
        <w:ind w:left="851" w:hanging="851"/>
      </w:pPr>
      <w:r>
        <w:t>Adequate consideration should be given to the recovery of spills in the containment.</w:t>
      </w:r>
      <w:r w:rsidR="0002207C">
        <w:t xml:space="preserve"> </w:t>
      </w:r>
      <w:r>
        <w:t>The use of steam ejectors and resulting condensate may increase the volume of such spills to unacceptable levels such that additional treatment facilities may have to be provided. The maintenance of pumps in containment may be difficult and should be considered in the safety case</w:t>
      </w:r>
      <w:r w:rsidR="00A70FF5">
        <w:t>.</w:t>
      </w:r>
    </w:p>
    <w:p w14:paraId="23CDF408" w14:textId="3CA76614" w:rsidR="006A5228" w:rsidRDefault="006A5228" w:rsidP="006864A8">
      <w:pPr>
        <w:pStyle w:val="F9-Paragraph"/>
        <w:numPr>
          <w:ilvl w:val="0"/>
          <w:numId w:val="29"/>
        </w:numPr>
        <w:spacing w:line="21" w:lineRule="atLeast"/>
        <w:ind w:left="851" w:hanging="851"/>
      </w:pPr>
      <w:r>
        <w:t>Ventilation may form part of the containment strategy adopted for a particular process.</w:t>
      </w:r>
      <w:r w:rsidR="0002207C">
        <w:t xml:space="preserve"> </w:t>
      </w:r>
      <w:r>
        <w:t>In such circumstances</w:t>
      </w:r>
      <w:r w:rsidR="0002207C">
        <w:t>, ONRs TAG on ventilation should be consulted</w:t>
      </w:r>
      <w:sdt>
        <w:sdtPr>
          <w:id w:val="694805959"/>
          <w:citation/>
        </w:sdtPr>
        <w:sdtEndPr/>
        <w:sdtContent>
          <w:r w:rsidR="00B81DDB">
            <w:fldChar w:fldCharType="begin"/>
          </w:r>
          <w:r w:rsidR="000331FF">
            <w:instrText xml:space="preserve">CITATION TAG22 \l 2057 </w:instrText>
          </w:r>
          <w:r w:rsidR="00B81DDB">
            <w:fldChar w:fldCharType="separate"/>
          </w:r>
          <w:r w:rsidR="0002207C">
            <w:rPr>
              <w:noProof/>
            </w:rPr>
            <w:t xml:space="preserve"> [5]</w:t>
          </w:r>
          <w:r w:rsidR="00B81DDB">
            <w:fldChar w:fldCharType="end"/>
          </w:r>
        </w:sdtContent>
      </w:sdt>
      <w:r w:rsidR="0002207C">
        <w:t>.</w:t>
      </w:r>
      <w:r>
        <w:t xml:space="preserve"> </w:t>
      </w:r>
    </w:p>
    <w:p w14:paraId="2F17A6B5" w14:textId="7D86AB3A" w:rsidR="006A5228" w:rsidRDefault="006A5228" w:rsidP="006864A8">
      <w:pPr>
        <w:pStyle w:val="F9-Paragraph"/>
        <w:numPr>
          <w:ilvl w:val="0"/>
          <w:numId w:val="29"/>
        </w:numPr>
        <w:spacing w:line="21" w:lineRule="atLeast"/>
        <w:ind w:left="851" w:hanging="851"/>
      </w:pPr>
      <w:r>
        <w:t>In general</w:t>
      </w:r>
      <w:r w:rsidR="00A70FF5">
        <w:t>,</w:t>
      </w:r>
      <w:r>
        <w:t xml:space="preserve"> all activities involving the handling of radioactive material and contaminated items should be conducted inside suitable containment. However</w:t>
      </w:r>
      <w:r w:rsidR="00A70FF5">
        <w:t>,</w:t>
      </w:r>
      <w:r>
        <w:t xml:space="preserve"> sampling and the handling of waste may be carried out outside of containment and appropriate engineered systems should be incorporated into the design. This should result in the package being adequately wrapped and decontaminated before removal from containment. The maintenance of equipment inside containment should be carried out remotely but in some </w:t>
      </w:r>
      <w:r w:rsidR="00A70FF5">
        <w:t>circumstances,</w:t>
      </w:r>
      <w:r>
        <w:t xml:space="preserve"> this may not be possible and alternative engineered provisions should be provided at the design stage which reduce risk to ALARP.</w:t>
      </w:r>
    </w:p>
    <w:p w14:paraId="08F0172B" w14:textId="703BB13B" w:rsidR="00AF134A" w:rsidRPr="00AF134A" w:rsidRDefault="00AF134A" w:rsidP="00C15E0F">
      <w:pPr>
        <w:pStyle w:val="F9-Paragraph"/>
        <w:numPr>
          <w:ilvl w:val="0"/>
          <w:numId w:val="29"/>
        </w:numPr>
        <w:ind w:left="851" w:hanging="851"/>
        <w:sectPr w:rsidR="00AF134A" w:rsidRPr="00AF134A" w:rsidSect="000B2BCD">
          <w:pgSz w:w="11906" w:h="16838" w:code="9"/>
          <w:pgMar w:top="1440" w:right="1440" w:bottom="1440" w:left="1440" w:header="397" w:footer="397" w:gutter="0"/>
          <w:cols w:space="312"/>
          <w:docGrid w:linePitch="360"/>
        </w:sectPr>
      </w:pPr>
    </w:p>
    <w:bookmarkStart w:id="14" w:name="_Toc170218750" w:displacedByCustomXml="next"/>
    <w:sdt>
      <w:sdtPr>
        <w:rPr>
          <w:color w:val="auto"/>
          <w:sz w:val="24"/>
        </w:rPr>
        <w:id w:val="-2001034198"/>
        <w:docPartObj>
          <w:docPartGallery w:val="Bibliographies"/>
          <w:docPartUnique/>
        </w:docPartObj>
      </w:sdtPr>
      <w:sdtEndPr/>
      <w:sdtContent>
        <w:p w14:paraId="308B6F7C" w14:textId="7F358C8A" w:rsidR="00B8284F" w:rsidRDefault="00B8284F" w:rsidP="00B8284F">
          <w:pPr>
            <w:pStyle w:val="Heading1"/>
            <w:numPr>
              <w:ilvl w:val="0"/>
              <w:numId w:val="0"/>
            </w:numPr>
          </w:pPr>
          <w:r>
            <w:t>References</w:t>
          </w:r>
          <w:bookmarkEnd w:id="14"/>
        </w:p>
        <w:sdt>
          <w:sdtPr>
            <w:id w:val="-573587230"/>
            <w:bibliography/>
          </w:sdtPr>
          <w:sdtEndPr/>
          <w:sdtContent>
            <w:p w14:paraId="730D44BE" w14:textId="77777777" w:rsidR="00B8284F" w:rsidRDefault="00B8284F">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B8284F" w14:paraId="62D2F0E7" w14:textId="77777777">
                <w:trPr>
                  <w:divId w:val="707337933"/>
                  <w:tblCellSpacing w:w="15" w:type="dxa"/>
                </w:trPr>
                <w:tc>
                  <w:tcPr>
                    <w:tcW w:w="50" w:type="pct"/>
                    <w:hideMark/>
                  </w:tcPr>
                  <w:p w14:paraId="39B68D4F" w14:textId="1CD002EF" w:rsidR="00B8284F" w:rsidRDefault="00B8284F">
                    <w:pPr>
                      <w:pStyle w:val="Bibliography"/>
                      <w:rPr>
                        <w:noProof/>
                        <w:szCs w:val="24"/>
                      </w:rPr>
                    </w:pPr>
                    <w:r>
                      <w:rPr>
                        <w:noProof/>
                      </w:rPr>
                      <w:t xml:space="preserve">[1] </w:t>
                    </w:r>
                  </w:p>
                </w:tc>
                <w:tc>
                  <w:tcPr>
                    <w:tcW w:w="0" w:type="auto"/>
                    <w:hideMark/>
                  </w:tcPr>
                  <w:p w14:paraId="2B57CFFD" w14:textId="77777777" w:rsidR="00B8284F" w:rsidRDefault="00B8284F">
                    <w:pPr>
                      <w:pStyle w:val="Bibliography"/>
                      <w:rPr>
                        <w:noProof/>
                      </w:rPr>
                    </w:pPr>
                    <w:r>
                      <w:rPr>
                        <w:noProof/>
                      </w:rPr>
                      <w:t>Office for Nuclear Regulation, “Safety Assessment Principles for Nuclear Facilities,” 2014 Edition, Revision 1 (2020), www.onr.gov.uk.</w:t>
                    </w:r>
                  </w:p>
                </w:tc>
              </w:tr>
              <w:tr w:rsidR="00B8284F" w14:paraId="74119D88" w14:textId="77777777">
                <w:trPr>
                  <w:divId w:val="707337933"/>
                  <w:tblCellSpacing w:w="15" w:type="dxa"/>
                </w:trPr>
                <w:tc>
                  <w:tcPr>
                    <w:tcW w:w="50" w:type="pct"/>
                    <w:hideMark/>
                  </w:tcPr>
                  <w:p w14:paraId="5170BF82" w14:textId="77777777" w:rsidR="00B8284F" w:rsidRDefault="00B8284F">
                    <w:pPr>
                      <w:pStyle w:val="Bibliography"/>
                      <w:rPr>
                        <w:noProof/>
                      </w:rPr>
                    </w:pPr>
                    <w:r>
                      <w:rPr>
                        <w:noProof/>
                      </w:rPr>
                      <w:t xml:space="preserve">[2] </w:t>
                    </w:r>
                  </w:p>
                </w:tc>
                <w:tc>
                  <w:tcPr>
                    <w:tcW w:w="0" w:type="auto"/>
                    <w:hideMark/>
                  </w:tcPr>
                  <w:p w14:paraId="6D6FC626" w14:textId="77777777" w:rsidR="00B8284F" w:rsidRDefault="00B8284F">
                    <w:pPr>
                      <w:pStyle w:val="Bibliography"/>
                      <w:rPr>
                        <w:noProof/>
                      </w:rPr>
                    </w:pPr>
                    <w:r>
                      <w:rPr>
                        <w:noProof/>
                      </w:rPr>
                      <w:t>Office for Nuclear Regulation, “Full list of Technical Assesment Guides,” 2024. [Online]. Available: www.onr.org.uk/publications/regulatory-guidance/regulatory-assessment-and-permissioning/technical-assessment-guides-tags/nuclear-safety-tags/technical-assessment-guides-tags-nuclear-safety-full-list/.</w:t>
                    </w:r>
                  </w:p>
                </w:tc>
              </w:tr>
              <w:tr w:rsidR="00B8284F" w14:paraId="48E6489A" w14:textId="77777777">
                <w:trPr>
                  <w:divId w:val="707337933"/>
                  <w:tblCellSpacing w:w="15" w:type="dxa"/>
                </w:trPr>
                <w:tc>
                  <w:tcPr>
                    <w:tcW w:w="50" w:type="pct"/>
                    <w:hideMark/>
                  </w:tcPr>
                  <w:p w14:paraId="62D562D0" w14:textId="77777777" w:rsidR="00B8284F" w:rsidRDefault="00B8284F">
                    <w:pPr>
                      <w:pStyle w:val="Bibliography"/>
                      <w:rPr>
                        <w:noProof/>
                      </w:rPr>
                    </w:pPr>
                    <w:r>
                      <w:rPr>
                        <w:noProof/>
                      </w:rPr>
                      <w:t xml:space="preserve">[3] </w:t>
                    </w:r>
                  </w:p>
                </w:tc>
                <w:tc>
                  <w:tcPr>
                    <w:tcW w:w="0" w:type="auto"/>
                    <w:hideMark/>
                  </w:tcPr>
                  <w:p w14:paraId="2F3CC1DF" w14:textId="77777777" w:rsidR="00B8284F" w:rsidRDefault="00B8284F">
                    <w:pPr>
                      <w:pStyle w:val="Bibliography"/>
                      <w:rPr>
                        <w:noProof/>
                      </w:rPr>
                    </w:pPr>
                    <w:r>
                      <w:rPr>
                        <w:noProof/>
                      </w:rPr>
                      <w:t>Office for Nuclear Regulation, “Licence condition handbook,” February 2017, www.onr.gov.uk.</w:t>
                    </w:r>
                  </w:p>
                </w:tc>
              </w:tr>
              <w:tr w:rsidR="00B8284F" w14:paraId="4657E087" w14:textId="77777777">
                <w:trPr>
                  <w:divId w:val="707337933"/>
                  <w:tblCellSpacing w:w="15" w:type="dxa"/>
                </w:trPr>
                <w:tc>
                  <w:tcPr>
                    <w:tcW w:w="50" w:type="pct"/>
                    <w:hideMark/>
                  </w:tcPr>
                  <w:p w14:paraId="457C0573" w14:textId="77777777" w:rsidR="00B8284F" w:rsidRDefault="00B8284F">
                    <w:pPr>
                      <w:pStyle w:val="Bibliography"/>
                      <w:rPr>
                        <w:noProof/>
                      </w:rPr>
                    </w:pPr>
                    <w:r>
                      <w:rPr>
                        <w:noProof/>
                      </w:rPr>
                      <w:t xml:space="preserve">[4] </w:t>
                    </w:r>
                  </w:p>
                </w:tc>
                <w:tc>
                  <w:tcPr>
                    <w:tcW w:w="0" w:type="auto"/>
                    <w:hideMark/>
                  </w:tcPr>
                  <w:p w14:paraId="41E9EDE2" w14:textId="77777777" w:rsidR="00B8284F" w:rsidRDefault="00B8284F">
                    <w:pPr>
                      <w:pStyle w:val="Bibliography"/>
                      <w:rPr>
                        <w:noProof/>
                      </w:rPr>
                    </w:pPr>
                    <w:r>
                      <w:rPr>
                        <w:noProof/>
                      </w:rPr>
                      <w:t>Office for Nuclear Regulation, “Full list of Technical Inspection Guides,” 2024. [Online]. Available: www.onr.org.uk/publications/regulatory-guidance/regulatory-inspection/technical-inspection-guides-tigs/nuclear-safety-tigs/technical-inspection-guides-tigs-nuclear-safety-full-list/.</w:t>
                    </w:r>
                  </w:p>
                </w:tc>
              </w:tr>
              <w:tr w:rsidR="00B8284F" w14:paraId="01C4C27D" w14:textId="77777777">
                <w:trPr>
                  <w:divId w:val="707337933"/>
                  <w:tblCellSpacing w:w="15" w:type="dxa"/>
                </w:trPr>
                <w:tc>
                  <w:tcPr>
                    <w:tcW w:w="50" w:type="pct"/>
                    <w:hideMark/>
                  </w:tcPr>
                  <w:p w14:paraId="344D6453" w14:textId="77777777" w:rsidR="00B8284F" w:rsidRDefault="00B8284F">
                    <w:pPr>
                      <w:pStyle w:val="Bibliography"/>
                      <w:rPr>
                        <w:noProof/>
                      </w:rPr>
                    </w:pPr>
                    <w:r>
                      <w:rPr>
                        <w:noProof/>
                      </w:rPr>
                      <w:t xml:space="preserve">[5] </w:t>
                    </w:r>
                  </w:p>
                </w:tc>
                <w:tc>
                  <w:tcPr>
                    <w:tcW w:w="0" w:type="auto"/>
                    <w:hideMark/>
                  </w:tcPr>
                  <w:p w14:paraId="180E905B" w14:textId="77777777" w:rsidR="00B8284F" w:rsidRDefault="00B8284F">
                    <w:pPr>
                      <w:pStyle w:val="Bibliography"/>
                      <w:rPr>
                        <w:noProof/>
                      </w:rPr>
                    </w:pPr>
                    <w:r>
                      <w:rPr>
                        <w:noProof/>
                      </w:rPr>
                      <w:t>Office for Nuclear Regulation, “NS-TAST-GD-022 - Ventilation,” www.onr.gov.uk.</w:t>
                    </w:r>
                  </w:p>
                </w:tc>
              </w:tr>
              <w:tr w:rsidR="00B8284F" w14:paraId="7E3B76FB" w14:textId="77777777">
                <w:trPr>
                  <w:divId w:val="707337933"/>
                  <w:tblCellSpacing w:w="15" w:type="dxa"/>
                </w:trPr>
                <w:tc>
                  <w:tcPr>
                    <w:tcW w:w="50" w:type="pct"/>
                    <w:hideMark/>
                  </w:tcPr>
                  <w:p w14:paraId="7465D733" w14:textId="77777777" w:rsidR="00B8284F" w:rsidRDefault="00B8284F">
                    <w:pPr>
                      <w:pStyle w:val="Bibliography"/>
                      <w:rPr>
                        <w:noProof/>
                      </w:rPr>
                    </w:pPr>
                    <w:r>
                      <w:rPr>
                        <w:noProof/>
                      </w:rPr>
                      <w:t xml:space="preserve">[6] </w:t>
                    </w:r>
                  </w:p>
                </w:tc>
                <w:tc>
                  <w:tcPr>
                    <w:tcW w:w="0" w:type="auto"/>
                    <w:hideMark/>
                  </w:tcPr>
                  <w:p w14:paraId="01FDBCAA" w14:textId="77777777" w:rsidR="00B8284F" w:rsidRDefault="00B8284F">
                    <w:pPr>
                      <w:pStyle w:val="Bibliography"/>
                      <w:rPr>
                        <w:noProof/>
                      </w:rPr>
                    </w:pPr>
                    <w:r>
                      <w:rPr>
                        <w:noProof/>
                      </w:rPr>
                      <w:t>Office for Nuclear Regulation, “NS-TAST-GD-020 - Civil Engineering Containments for Reactor Plants,” www.onr.gov.uk.</w:t>
                    </w:r>
                  </w:p>
                </w:tc>
              </w:tr>
              <w:tr w:rsidR="00B8284F" w14:paraId="21056BDC" w14:textId="77777777">
                <w:trPr>
                  <w:divId w:val="707337933"/>
                  <w:tblCellSpacing w:w="15" w:type="dxa"/>
                </w:trPr>
                <w:tc>
                  <w:tcPr>
                    <w:tcW w:w="50" w:type="pct"/>
                    <w:hideMark/>
                  </w:tcPr>
                  <w:p w14:paraId="4A50885A" w14:textId="77777777" w:rsidR="00B8284F" w:rsidRDefault="00B8284F">
                    <w:pPr>
                      <w:pStyle w:val="Bibliography"/>
                      <w:rPr>
                        <w:noProof/>
                      </w:rPr>
                    </w:pPr>
                    <w:r>
                      <w:rPr>
                        <w:noProof/>
                      </w:rPr>
                      <w:t xml:space="preserve">[7] </w:t>
                    </w:r>
                  </w:p>
                </w:tc>
                <w:tc>
                  <w:tcPr>
                    <w:tcW w:w="0" w:type="auto"/>
                    <w:hideMark/>
                  </w:tcPr>
                  <w:p w14:paraId="0E8BB758" w14:textId="77777777" w:rsidR="00B8284F" w:rsidRDefault="00B8284F">
                    <w:pPr>
                      <w:pStyle w:val="Bibliography"/>
                      <w:rPr>
                        <w:noProof/>
                      </w:rPr>
                    </w:pPr>
                    <w:r>
                      <w:rPr>
                        <w:noProof/>
                      </w:rPr>
                      <w:t>Office for Nuclear Regulation, “NS-TAST-GD-005 - Regulating duties to reduce risks to ALARP,” www.onr.gov.uk.</w:t>
                    </w:r>
                  </w:p>
                </w:tc>
              </w:tr>
              <w:tr w:rsidR="00B8284F" w14:paraId="2B633820" w14:textId="77777777">
                <w:trPr>
                  <w:divId w:val="707337933"/>
                  <w:tblCellSpacing w:w="15" w:type="dxa"/>
                </w:trPr>
                <w:tc>
                  <w:tcPr>
                    <w:tcW w:w="50" w:type="pct"/>
                    <w:hideMark/>
                  </w:tcPr>
                  <w:p w14:paraId="680795EF" w14:textId="77777777" w:rsidR="00B8284F" w:rsidRDefault="00B8284F">
                    <w:pPr>
                      <w:pStyle w:val="Bibliography"/>
                      <w:rPr>
                        <w:noProof/>
                      </w:rPr>
                    </w:pPr>
                    <w:r>
                      <w:rPr>
                        <w:noProof/>
                      </w:rPr>
                      <w:t xml:space="preserve">[8] </w:t>
                    </w:r>
                  </w:p>
                </w:tc>
                <w:tc>
                  <w:tcPr>
                    <w:tcW w:w="0" w:type="auto"/>
                    <w:hideMark/>
                  </w:tcPr>
                  <w:p w14:paraId="060FE8D0" w14:textId="77777777" w:rsidR="00B8284F" w:rsidRDefault="00B8284F">
                    <w:pPr>
                      <w:pStyle w:val="Bibliography"/>
                      <w:rPr>
                        <w:noProof/>
                      </w:rPr>
                    </w:pPr>
                    <w:r>
                      <w:rPr>
                        <w:noProof/>
                      </w:rPr>
                      <w:t>Office for Nuclear Regulation, “NS-TAST-GD-009 - Examination, Inspection, Maintenance and Testing of Items Important to Safety,” www.onr.gov.uk.</w:t>
                    </w:r>
                  </w:p>
                </w:tc>
              </w:tr>
              <w:tr w:rsidR="00B8284F" w14:paraId="3AD23D07" w14:textId="77777777">
                <w:trPr>
                  <w:divId w:val="707337933"/>
                  <w:tblCellSpacing w:w="15" w:type="dxa"/>
                </w:trPr>
                <w:tc>
                  <w:tcPr>
                    <w:tcW w:w="50" w:type="pct"/>
                    <w:hideMark/>
                  </w:tcPr>
                  <w:p w14:paraId="186CDED2" w14:textId="77777777" w:rsidR="00B8284F" w:rsidRDefault="00B8284F">
                    <w:pPr>
                      <w:pStyle w:val="Bibliography"/>
                      <w:rPr>
                        <w:noProof/>
                      </w:rPr>
                    </w:pPr>
                    <w:r>
                      <w:rPr>
                        <w:noProof/>
                      </w:rPr>
                      <w:t xml:space="preserve">[9] </w:t>
                    </w:r>
                  </w:p>
                </w:tc>
                <w:tc>
                  <w:tcPr>
                    <w:tcW w:w="0" w:type="auto"/>
                    <w:hideMark/>
                  </w:tcPr>
                  <w:p w14:paraId="23ACE4CC" w14:textId="77777777" w:rsidR="00B8284F" w:rsidRDefault="00B8284F">
                    <w:pPr>
                      <w:pStyle w:val="Bibliography"/>
                      <w:rPr>
                        <w:noProof/>
                      </w:rPr>
                    </w:pPr>
                    <w:r>
                      <w:rPr>
                        <w:noProof/>
                      </w:rPr>
                      <w:t>Office for Nuclear Regulation, “NS-TAST-GD-016 – Integrity of Metal Components and Structures,” www.onr.gov.uk.</w:t>
                    </w:r>
                  </w:p>
                </w:tc>
              </w:tr>
              <w:tr w:rsidR="00B8284F" w14:paraId="56E71B70" w14:textId="77777777">
                <w:trPr>
                  <w:divId w:val="707337933"/>
                  <w:tblCellSpacing w:w="15" w:type="dxa"/>
                </w:trPr>
                <w:tc>
                  <w:tcPr>
                    <w:tcW w:w="50" w:type="pct"/>
                    <w:hideMark/>
                  </w:tcPr>
                  <w:p w14:paraId="2E7C03FF" w14:textId="77777777" w:rsidR="00B8284F" w:rsidRDefault="00B8284F">
                    <w:pPr>
                      <w:pStyle w:val="Bibliography"/>
                      <w:rPr>
                        <w:noProof/>
                      </w:rPr>
                    </w:pPr>
                    <w:r>
                      <w:rPr>
                        <w:noProof/>
                      </w:rPr>
                      <w:t xml:space="preserve">[10] </w:t>
                    </w:r>
                  </w:p>
                </w:tc>
                <w:tc>
                  <w:tcPr>
                    <w:tcW w:w="0" w:type="auto"/>
                    <w:hideMark/>
                  </w:tcPr>
                  <w:p w14:paraId="66B207EE" w14:textId="77777777" w:rsidR="00B8284F" w:rsidRDefault="00B8284F">
                    <w:pPr>
                      <w:pStyle w:val="Bibliography"/>
                      <w:rPr>
                        <w:noProof/>
                      </w:rPr>
                    </w:pPr>
                    <w:r>
                      <w:rPr>
                        <w:noProof/>
                      </w:rPr>
                      <w:t>Office for Nuclear Regulation, “NS-TAST-GD-098 – Asset Management,” www.onr.gov.uk.</w:t>
                    </w:r>
                  </w:p>
                </w:tc>
              </w:tr>
              <w:tr w:rsidR="00B8284F" w14:paraId="5B667107" w14:textId="77777777">
                <w:trPr>
                  <w:divId w:val="707337933"/>
                  <w:tblCellSpacing w:w="15" w:type="dxa"/>
                </w:trPr>
                <w:tc>
                  <w:tcPr>
                    <w:tcW w:w="50" w:type="pct"/>
                    <w:hideMark/>
                  </w:tcPr>
                  <w:p w14:paraId="7B1479B1" w14:textId="77777777" w:rsidR="00B8284F" w:rsidRDefault="00B8284F">
                    <w:pPr>
                      <w:pStyle w:val="Bibliography"/>
                      <w:rPr>
                        <w:noProof/>
                      </w:rPr>
                    </w:pPr>
                    <w:r>
                      <w:rPr>
                        <w:noProof/>
                      </w:rPr>
                      <w:t xml:space="preserve">[11] </w:t>
                    </w:r>
                  </w:p>
                </w:tc>
                <w:tc>
                  <w:tcPr>
                    <w:tcW w:w="0" w:type="auto"/>
                    <w:hideMark/>
                  </w:tcPr>
                  <w:p w14:paraId="5B8D6B9E" w14:textId="77777777" w:rsidR="00B8284F" w:rsidRDefault="00B8284F">
                    <w:pPr>
                      <w:pStyle w:val="Bibliography"/>
                      <w:rPr>
                        <w:noProof/>
                      </w:rPr>
                    </w:pPr>
                    <w:r>
                      <w:rPr>
                        <w:noProof/>
                      </w:rPr>
                      <w:t>Her Majesty's Stationery Office, “Health and Safety at Work etc Act 1974,” 1974 Chapter 37.</w:t>
                    </w:r>
                  </w:p>
                </w:tc>
              </w:tr>
              <w:tr w:rsidR="00B8284F" w14:paraId="1A40FFFE" w14:textId="77777777">
                <w:trPr>
                  <w:divId w:val="707337933"/>
                  <w:tblCellSpacing w:w="15" w:type="dxa"/>
                </w:trPr>
                <w:tc>
                  <w:tcPr>
                    <w:tcW w:w="50" w:type="pct"/>
                    <w:hideMark/>
                  </w:tcPr>
                  <w:p w14:paraId="040AF137" w14:textId="77777777" w:rsidR="00B8284F" w:rsidRDefault="00B8284F">
                    <w:pPr>
                      <w:pStyle w:val="Bibliography"/>
                      <w:rPr>
                        <w:noProof/>
                      </w:rPr>
                    </w:pPr>
                    <w:r>
                      <w:rPr>
                        <w:noProof/>
                      </w:rPr>
                      <w:t xml:space="preserve">[12] </w:t>
                    </w:r>
                  </w:p>
                </w:tc>
                <w:tc>
                  <w:tcPr>
                    <w:tcW w:w="0" w:type="auto"/>
                    <w:hideMark/>
                  </w:tcPr>
                  <w:p w14:paraId="32D46C06" w14:textId="77777777" w:rsidR="00B8284F" w:rsidRDefault="00B8284F">
                    <w:pPr>
                      <w:pStyle w:val="Bibliography"/>
                      <w:rPr>
                        <w:noProof/>
                      </w:rPr>
                    </w:pPr>
                    <w:r>
                      <w:rPr>
                        <w:noProof/>
                      </w:rPr>
                      <w:t>Her Majesty's Stationery Office, “Nuclear Installations Act 1965,” 1965 Chapter 57.</w:t>
                    </w:r>
                  </w:p>
                </w:tc>
              </w:tr>
              <w:tr w:rsidR="00B8284F" w14:paraId="4141AA72" w14:textId="77777777">
                <w:trPr>
                  <w:divId w:val="707337933"/>
                  <w:tblCellSpacing w:w="15" w:type="dxa"/>
                </w:trPr>
                <w:tc>
                  <w:tcPr>
                    <w:tcW w:w="50" w:type="pct"/>
                    <w:hideMark/>
                  </w:tcPr>
                  <w:p w14:paraId="4AA976A2" w14:textId="77777777" w:rsidR="00B8284F" w:rsidRDefault="00B8284F">
                    <w:pPr>
                      <w:pStyle w:val="Bibliography"/>
                      <w:rPr>
                        <w:noProof/>
                      </w:rPr>
                    </w:pPr>
                    <w:r>
                      <w:rPr>
                        <w:noProof/>
                      </w:rPr>
                      <w:t xml:space="preserve">[13] </w:t>
                    </w:r>
                  </w:p>
                </w:tc>
                <w:tc>
                  <w:tcPr>
                    <w:tcW w:w="0" w:type="auto"/>
                    <w:hideMark/>
                  </w:tcPr>
                  <w:p w14:paraId="62390A01" w14:textId="77777777" w:rsidR="00B8284F" w:rsidRDefault="00B8284F">
                    <w:pPr>
                      <w:pStyle w:val="Bibliography"/>
                      <w:rPr>
                        <w:noProof/>
                      </w:rPr>
                    </w:pPr>
                    <w:r>
                      <w:rPr>
                        <w:noProof/>
                      </w:rPr>
                      <w:t>Statutory Instruments, “Health and Safety, The Ionising Radiations Regulations 2017,” 2017 No. 1075, 1 January 2018.</w:t>
                    </w:r>
                  </w:p>
                </w:tc>
              </w:tr>
              <w:tr w:rsidR="00B8284F" w14:paraId="6ED47CEB" w14:textId="77777777">
                <w:trPr>
                  <w:divId w:val="707337933"/>
                  <w:tblCellSpacing w:w="15" w:type="dxa"/>
                </w:trPr>
                <w:tc>
                  <w:tcPr>
                    <w:tcW w:w="50" w:type="pct"/>
                    <w:hideMark/>
                  </w:tcPr>
                  <w:p w14:paraId="0F34A857" w14:textId="77777777" w:rsidR="00B8284F" w:rsidRDefault="00B8284F">
                    <w:pPr>
                      <w:pStyle w:val="Bibliography"/>
                      <w:rPr>
                        <w:noProof/>
                      </w:rPr>
                    </w:pPr>
                    <w:r>
                      <w:rPr>
                        <w:noProof/>
                      </w:rPr>
                      <w:lastRenderedPageBreak/>
                      <w:t xml:space="preserve">[14] </w:t>
                    </w:r>
                  </w:p>
                </w:tc>
                <w:tc>
                  <w:tcPr>
                    <w:tcW w:w="0" w:type="auto"/>
                    <w:hideMark/>
                  </w:tcPr>
                  <w:p w14:paraId="722ACBAC" w14:textId="77777777" w:rsidR="00B8284F" w:rsidRDefault="00B8284F">
                    <w:pPr>
                      <w:pStyle w:val="Bibliography"/>
                      <w:rPr>
                        <w:noProof/>
                      </w:rPr>
                    </w:pPr>
                    <w:r>
                      <w:rPr>
                        <w:noProof/>
                      </w:rPr>
                      <w:t>International Atomic Energy Agency, “IAEA Safety Standards Series, Specific Safety Requirements: Safety of Nuclear Fuel Cycle Facilities,” 2017, SSR-4, www.iaea.org.</w:t>
                    </w:r>
                  </w:p>
                </w:tc>
              </w:tr>
              <w:tr w:rsidR="00B8284F" w14:paraId="538463F7" w14:textId="77777777">
                <w:trPr>
                  <w:divId w:val="707337933"/>
                  <w:tblCellSpacing w:w="15" w:type="dxa"/>
                </w:trPr>
                <w:tc>
                  <w:tcPr>
                    <w:tcW w:w="50" w:type="pct"/>
                    <w:hideMark/>
                  </w:tcPr>
                  <w:p w14:paraId="68C931E3" w14:textId="77777777" w:rsidR="00B8284F" w:rsidRDefault="00B8284F">
                    <w:pPr>
                      <w:pStyle w:val="Bibliography"/>
                      <w:rPr>
                        <w:noProof/>
                      </w:rPr>
                    </w:pPr>
                    <w:r>
                      <w:rPr>
                        <w:noProof/>
                      </w:rPr>
                      <w:t xml:space="preserve">[15] </w:t>
                    </w:r>
                  </w:p>
                </w:tc>
                <w:tc>
                  <w:tcPr>
                    <w:tcW w:w="0" w:type="auto"/>
                    <w:hideMark/>
                  </w:tcPr>
                  <w:p w14:paraId="098BCEAC" w14:textId="77777777" w:rsidR="00B8284F" w:rsidRDefault="00B8284F">
                    <w:pPr>
                      <w:pStyle w:val="Bibliography"/>
                      <w:rPr>
                        <w:noProof/>
                      </w:rPr>
                    </w:pPr>
                    <w:r>
                      <w:rPr>
                        <w:noProof/>
                      </w:rPr>
                      <w:t>International Atomic Energy Agency, “IAEA Safety Standards Series, Specific Safety Guide: Safety of Uranium Fuel Fabrication Facilites,” 2023, SSG-6 (Rev.1), www.iaea.org.</w:t>
                    </w:r>
                  </w:p>
                </w:tc>
              </w:tr>
              <w:tr w:rsidR="00B8284F" w14:paraId="3694A18B" w14:textId="77777777">
                <w:trPr>
                  <w:divId w:val="707337933"/>
                  <w:tblCellSpacing w:w="15" w:type="dxa"/>
                </w:trPr>
                <w:tc>
                  <w:tcPr>
                    <w:tcW w:w="50" w:type="pct"/>
                    <w:hideMark/>
                  </w:tcPr>
                  <w:p w14:paraId="18FBDF83" w14:textId="77777777" w:rsidR="00B8284F" w:rsidRDefault="00B8284F">
                    <w:pPr>
                      <w:pStyle w:val="Bibliography"/>
                      <w:rPr>
                        <w:noProof/>
                      </w:rPr>
                    </w:pPr>
                    <w:r>
                      <w:rPr>
                        <w:noProof/>
                      </w:rPr>
                      <w:t xml:space="preserve">[16] </w:t>
                    </w:r>
                  </w:p>
                </w:tc>
                <w:tc>
                  <w:tcPr>
                    <w:tcW w:w="0" w:type="auto"/>
                    <w:hideMark/>
                  </w:tcPr>
                  <w:p w14:paraId="11BA63D5" w14:textId="77777777" w:rsidR="00B8284F" w:rsidRDefault="00B8284F">
                    <w:pPr>
                      <w:pStyle w:val="Bibliography"/>
                      <w:rPr>
                        <w:noProof/>
                      </w:rPr>
                    </w:pPr>
                    <w:r>
                      <w:rPr>
                        <w:noProof/>
                      </w:rPr>
                      <w:t>International Atomic Energy Agency, “IAEA Safety Standards Series, Specific Safety Guide: Safety of Nuclear Fuel Reprocessing Facilities,” 2017, SSG-42, www.iaea.org.</w:t>
                    </w:r>
                  </w:p>
                </w:tc>
              </w:tr>
              <w:tr w:rsidR="00B8284F" w14:paraId="46292095" w14:textId="77777777">
                <w:trPr>
                  <w:divId w:val="707337933"/>
                  <w:tblCellSpacing w:w="15" w:type="dxa"/>
                </w:trPr>
                <w:tc>
                  <w:tcPr>
                    <w:tcW w:w="50" w:type="pct"/>
                    <w:hideMark/>
                  </w:tcPr>
                  <w:p w14:paraId="7F06300D" w14:textId="77777777" w:rsidR="00B8284F" w:rsidRDefault="00B8284F">
                    <w:pPr>
                      <w:pStyle w:val="Bibliography"/>
                      <w:rPr>
                        <w:noProof/>
                      </w:rPr>
                    </w:pPr>
                    <w:r>
                      <w:rPr>
                        <w:noProof/>
                      </w:rPr>
                      <w:t xml:space="preserve">[17] </w:t>
                    </w:r>
                  </w:p>
                </w:tc>
                <w:tc>
                  <w:tcPr>
                    <w:tcW w:w="0" w:type="auto"/>
                    <w:hideMark/>
                  </w:tcPr>
                  <w:p w14:paraId="2B6E6BC5" w14:textId="77777777" w:rsidR="00B8284F" w:rsidRDefault="00B8284F">
                    <w:pPr>
                      <w:pStyle w:val="Bibliography"/>
                      <w:rPr>
                        <w:noProof/>
                      </w:rPr>
                    </w:pPr>
                    <w:r>
                      <w:rPr>
                        <w:noProof/>
                      </w:rPr>
                      <w:t>The British Standards Institution, “BS EN 61882:2016 Hazard and operanility studies (HAZOP) - Application guide”.</w:t>
                    </w:r>
                  </w:p>
                </w:tc>
              </w:tr>
            </w:tbl>
            <w:p w14:paraId="32D3E0ED" w14:textId="77777777" w:rsidR="00B8284F" w:rsidRDefault="00B8284F">
              <w:pPr>
                <w:divId w:val="707337933"/>
                <w:rPr>
                  <w:rFonts w:eastAsia="Times New Roman"/>
                  <w:noProof/>
                </w:rPr>
              </w:pPr>
            </w:p>
            <w:p w14:paraId="7040BCDD" w14:textId="7A53E2ED" w:rsidR="00B8284F" w:rsidRDefault="00B8284F">
              <w:r>
                <w:rPr>
                  <w:b/>
                  <w:bCs/>
                </w:rPr>
                <w:fldChar w:fldCharType="end"/>
              </w:r>
            </w:p>
          </w:sdtContent>
        </w:sdt>
      </w:sdtContent>
    </w:sdt>
    <w:p w14:paraId="316D8711" w14:textId="75A5A8AD" w:rsidR="00F7687C" w:rsidRDefault="00F7687C" w:rsidP="00B8284F">
      <w:pPr>
        <w:pStyle w:val="Heading1"/>
        <w:numPr>
          <w:ilvl w:val="0"/>
          <w:numId w:val="0"/>
        </w:numPr>
      </w:pPr>
    </w:p>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5E23822E" w:rsidR="00F7687C" w:rsidRPr="003B4701" w:rsidRDefault="00F7687C" w:rsidP="0002207C">
      <w:pPr>
        <w:pStyle w:val="Heading1"/>
        <w:numPr>
          <w:ilvl w:val="0"/>
          <w:numId w:val="0"/>
        </w:numPr>
      </w:pPr>
      <w:bookmarkStart w:id="15" w:name="_Toc89268373"/>
      <w:bookmarkStart w:id="16" w:name="_Toc170218751"/>
      <w:r w:rsidRPr="003B4701">
        <w:lastRenderedPageBreak/>
        <w:t>Glossary and Abbreviations</w:t>
      </w:r>
      <w:bookmarkEnd w:id="15"/>
      <w:bookmarkEnd w:id="16"/>
    </w:p>
    <w:tbl>
      <w:tblPr>
        <w:tblW w:w="5000" w:type="pct"/>
        <w:tblCellMar>
          <w:top w:w="57" w:type="dxa"/>
          <w:left w:w="0" w:type="dxa"/>
          <w:bottom w:w="57" w:type="dxa"/>
          <w:right w:w="0" w:type="dxa"/>
        </w:tblCellMar>
        <w:tblLook w:val="0000" w:firstRow="0" w:lastRow="0" w:firstColumn="0" w:lastColumn="0" w:noHBand="0" w:noVBand="0"/>
      </w:tblPr>
      <w:tblGrid>
        <w:gridCol w:w="2007"/>
        <w:gridCol w:w="7019"/>
      </w:tblGrid>
      <w:tr w:rsidR="003A7395" w:rsidRPr="003A7395" w14:paraId="1DC5C3B9" w14:textId="77777777" w:rsidTr="00B8284F">
        <w:trPr>
          <w:trHeight w:val="902"/>
        </w:trPr>
        <w:tc>
          <w:tcPr>
            <w:tcW w:w="1112" w:type="pct"/>
          </w:tcPr>
          <w:p w14:paraId="598F2DFC" w14:textId="77777777" w:rsidR="003A7395" w:rsidRPr="003A7395" w:rsidRDefault="003A7395" w:rsidP="00B8284F">
            <w:pPr>
              <w:tabs>
                <w:tab w:val="left" w:pos="1440"/>
              </w:tabs>
              <w:spacing w:before="60" w:after="60" w:line="240" w:lineRule="auto"/>
            </w:pPr>
            <w:r w:rsidRPr="003A7395">
              <w:t>ALARP</w:t>
            </w:r>
          </w:p>
          <w:p w14:paraId="4B8FCC76" w14:textId="256E6491" w:rsidR="003D64E3" w:rsidRPr="003A7395" w:rsidRDefault="003A7395" w:rsidP="00B8284F">
            <w:pPr>
              <w:tabs>
                <w:tab w:val="left" w:pos="1440"/>
              </w:tabs>
              <w:spacing w:before="60" w:after="60" w:line="240" w:lineRule="auto"/>
            </w:pPr>
            <w:r w:rsidRPr="003A7395">
              <w:t>ACoP</w:t>
            </w:r>
          </w:p>
          <w:p w14:paraId="1A52EFEA" w14:textId="77777777" w:rsidR="003A7395" w:rsidRPr="003A7395" w:rsidRDefault="003A7395" w:rsidP="00B8284F">
            <w:pPr>
              <w:tabs>
                <w:tab w:val="left" w:pos="1440"/>
              </w:tabs>
              <w:spacing w:before="60" w:after="60" w:line="240" w:lineRule="auto"/>
            </w:pPr>
            <w:r w:rsidRPr="003A7395">
              <w:t>BSL</w:t>
            </w:r>
          </w:p>
          <w:p w14:paraId="7ACA953C" w14:textId="77777777" w:rsidR="003A7395" w:rsidRPr="003A7395" w:rsidRDefault="003A7395" w:rsidP="00B8284F">
            <w:pPr>
              <w:tabs>
                <w:tab w:val="left" w:pos="1440"/>
              </w:tabs>
              <w:spacing w:before="60" w:after="60" w:line="240" w:lineRule="auto"/>
            </w:pPr>
            <w:r w:rsidRPr="003A7395">
              <w:t>BSO</w:t>
            </w:r>
          </w:p>
          <w:p w14:paraId="48CC0599" w14:textId="77777777" w:rsidR="003A7395" w:rsidRPr="003A7395" w:rsidRDefault="003A7395" w:rsidP="00B8284F">
            <w:pPr>
              <w:tabs>
                <w:tab w:val="left" w:pos="1440"/>
              </w:tabs>
              <w:spacing w:before="60" w:after="60" w:line="240" w:lineRule="auto"/>
            </w:pPr>
            <w:r w:rsidRPr="003A7395">
              <w:t>EAD</w:t>
            </w:r>
          </w:p>
          <w:p w14:paraId="55FFA083" w14:textId="77777777" w:rsidR="003A7395" w:rsidRPr="003A7395" w:rsidRDefault="003A7395" w:rsidP="00B8284F">
            <w:pPr>
              <w:tabs>
                <w:tab w:val="left" w:pos="1440"/>
              </w:tabs>
              <w:spacing w:before="60" w:after="60" w:line="240" w:lineRule="auto"/>
            </w:pPr>
            <w:r w:rsidRPr="003A7395">
              <w:t>ECV</w:t>
            </w:r>
          </w:p>
          <w:p w14:paraId="4ABDAAF0" w14:textId="77777777" w:rsidR="003A7395" w:rsidRPr="003A7395" w:rsidRDefault="003A7395" w:rsidP="00B8284F">
            <w:pPr>
              <w:tabs>
                <w:tab w:val="left" w:pos="1440"/>
              </w:tabs>
              <w:spacing w:before="60" w:after="60" w:line="240" w:lineRule="auto"/>
            </w:pPr>
            <w:r w:rsidRPr="003A7395">
              <w:t>EIMT</w:t>
            </w:r>
          </w:p>
          <w:p w14:paraId="6953A1DC" w14:textId="77777777" w:rsidR="003A7395" w:rsidRPr="003A7395" w:rsidRDefault="003A7395" w:rsidP="00B8284F">
            <w:pPr>
              <w:tabs>
                <w:tab w:val="left" w:pos="1440"/>
              </w:tabs>
              <w:spacing w:before="60" w:after="60" w:line="240" w:lineRule="auto"/>
            </w:pPr>
            <w:r w:rsidRPr="003A7395">
              <w:t>EKP</w:t>
            </w:r>
          </w:p>
          <w:p w14:paraId="48756B9C" w14:textId="77777777" w:rsidR="003A7395" w:rsidRPr="003A7395" w:rsidRDefault="003A7395" w:rsidP="00B8284F">
            <w:pPr>
              <w:tabs>
                <w:tab w:val="left" w:pos="1440"/>
              </w:tabs>
              <w:spacing w:before="60" w:after="60" w:line="240" w:lineRule="auto"/>
            </w:pPr>
            <w:r w:rsidRPr="003A7395">
              <w:t>EQU</w:t>
            </w:r>
          </w:p>
          <w:p w14:paraId="5BAE0EB8" w14:textId="77777777" w:rsidR="003A7395" w:rsidRPr="003A7395" w:rsidRDefault="003A7395" w:rsidP="00B8284F">
            <w:pPr>
              <w:tabs>
                <w:tab w:val="left" w:pos="1440"/>
              </w:tabs>
              <w:spacing w:before="60" w:after="60" w:line="240" w:lineRule="auto"/>
            </w:pPr>
            <w:r w:rsidRPr="003A7395">
              <w:t>HAZOP</w:t>
            </w:r>
          </w:p>
          <w:p w14:paraId="3F779AE3" w14:textId="77777777" w:rsidR="003A7395" w:rsidRPr="003A7395" w:rsidRDefault="003A7395" w:rsidP="00B8284F">
            <w:pPr>
              <w:tabs>
                <w:tab w:val="left" w:pos="1440"/>
              </w:tabs>
              <w:spacing w:before="60" w:after="60" w:line="240" w:lineRule="auto"/>
            </w:pPr>
            <w:r w:rsidRPr="003A7395">
              <w:t>IAEA</w:t>
            </w:r>
          </w:p>
          <w:p w14:paraId="6A7DBB79" w14:textId="77777777" w:rsidR="003A7395" w:rsidRPr="003A7395" w:rsidRDefault="003A7395" w:rsidP="00B8284F">
            <w:pPr>
              <w:tabs>
                <w:tab w:val="left" w:pos="1440"/>
              </w:tabs>
              <w:spacing w:before="60" w:after="60" w:line="240" w:lineRule="auto"/>
            </w:pPr>
            <w:r w:rsidRPr="003A7395">
              <w:t>LC</w:t>
            </w:r>
          </w:p>
          <w:p w14:paraId="748DF5F5" w14:textId="77777777" w:rsidR="003A7395" w:rsidRDefault="003A7395" w:rsidP="00B8284F">
            <w:pPr>
              <w:tabs>
                <w:tab w:val="left" w:pos="1440"/>
              </w:tabs>
              <w:spacing w:before="60" w:after="60" w:line="240" w:lineRule="auto"/>
            </w:pPr>
            <w:r w:rsidRPr="003A7395">
              <w:t>NEA</w:t>
            </w:r>
          </w:p>
          <w:p w14:paraId="78481AE6" w14:textId="61287554" w:rsidR="00D459A5" w:rsidRPr="003A7395" w:rsidRDefault="00D459A5" w:rsidP="00B8284F">
            <w:pPr>
              <w:tabs>
                <w:tab w:val="left" w:pos="1440"/>
              </w:tabs>
              <w:spacing w:before="60" w:after="60" w:line="240" w:lineRule="auto"/>
            </w:pPr>
            <w:r>
              <w:t>NPP</w:t>
            </w:r>
          </w:p>
          <w:p w14:paraId="0521B284" w14:textId="77777777" w:rsidR="003A7395" w:rsidRPr="003A7395" w:rsidRDefault="003A7395" w:rsidP="00B8284F">
            <w:pPr>
              <w:tabs>
                <w:tab w:val="left" w:pos="1440"/>
              </w:tabs>
              <w:spacing w:before="60" w:after="60" w:line="240" w:lineRule="auto"/>
            </w:pPr>
            <w:r w:rsidRPr="003A7395">
              <w:t>ONR</w:t>
            </w:r>
          </w:p>
          <w:p w14:paraId="78CA24D4" w14:textId="77777777" w:rsidR="003A7395" w:rsidRPr="003A7395" w:rsidRDefault="003A7395" w:rsidP="00B8284F">
            <w:pPr>
              <w:tabs>
                <w:tab w:val="left" w:pos="1440"/>
              </w:tabs>
              <w:spacing w:before="60" w:after="60" w:line="240" w:lineRule="auto"/>
            </w:pPr>
            <w:r w:rsidRPr="003A7395">
              <w:t>SAP</w:t>
            </w:r>
          </w:p>
          <w:p w14:paraId="7DF3BFAA" w14:textId="77777777" w:rsidR="003A7395" w:rsidRPr="003A7395" w:rsidRDefault="003A7395" w:rsidP="00B8284F">
            <w:pPr>
              <w:tabs>
                <w:tab w:val="left" w:pos="1440"/>
              </w:tabs>
              <w:spacing w:before="60" w:after="60" w:line="240" w:lineRule="auto"/>
            </w:pPr>
            <w:r w:rsidRPr="003A7395">
              <w:t>SSC</w:t>
            </w:r>
          </w:p>
          <w:p w14:paraId="0B0CD745" w14:textId="77777777" w:rsidR="003A7395" w:rsidRPr="003A7395" w:rsidRDefault="003A7395" w:rsidP="00B8284F">
            <w:pPr>
              <w:tabs>
                <w:tab w:val="left" w:pos="1440"/>
              </w:tabs>
              <w:spacing w:before="60" w:after="60" w:line="240" w:lineRule="auto"/>
            </w:pPr>
            <w:r w:rsidRPr="003A7395">
              <w:t>TAG</w:t>
            </w:r>
          </w:p>
          <w:p w14:paraId="6EB51833" w14:textId="1A45EEB4" w:rsidR="003A7395" w:rsidRPr="003A7395" w:rsidRDefault="003A7395" w:rsidP="00B8284F">
            <w:pPr>
              <w:tabs>
                <w:tab w:val="left" w:pos="1440"/>
              </w:tabs>
              <w:spacing w:before="60" w:after="60" w:line="240" w:lineRule="auto"/>
            </w:pPr>
            <w:r w:rsidRPr="003A7395">
              <w:t>WENRA</w:t>
            </w:r>
          </w:p>
        </w:tc>
        <w:tc>
          <w:tcPr>
            <w:tcW w:w="3888" w:type="pct"/>
          </w:tcPr>
          <w:p w14:paraId="346E56E3" w14:textId="37464CDB" w:rsidR="003A7395" w:rsidRPr="003A7395" w:rsidRDefault="003A7395" w:rsidP="00B8284F">
            <w:pPr>
              <w:tabs>
                <w:tab w:val="left" w:pos="1440"/>
              </w:tabs>
              <w:spacing w:before="60" w:after="60" w:line="240" w:lineRule="auto"/>
            </w:pPr>
            <w:r w:rsidRPr="003A7395">
              <w:t xml:space="preserve">As </w:t>
            </w:r>
            <w:r w:rsidR="008C13B6" w:rsidRPr="003A7395">
              <w:t>low as reasonably practicable</w:t>
            </w:r>
          </w:p>
          <w:p w14:paraId="08080DC6" w14:textId="1EEDC403" w:rsidR="003A7395" w:rsidRDefault="003A7395" w:rsidP="00B8284F">
            <w:pPr>
              <w:tabs>
                <w:tab w:val="left" w:pos="1440"/>
              </w:tabs>
              <w:spacing w:before="60" w:after="60" w:line="240" w:lineRule="auto"/>
            </w:pPr>
            <w:r w:rsidRPr="003A7395">
              <w:t>Approved Code of Practice</w:t>
            </w:r>
          </w:p>
          <w:p w14:paraId="38050719" w14:textId="7D5612C2" w:rsidR="003A7395" w:rsidRPr="003A7395" w:rsidRDefault="003A7395" w:rsidP="00B8284F">
            <w:pPr>
              <w:tabs>
                <w:tab w:val="left" w:pos="1440"/>
              </w:tabs>
              <w:spacing w:before="60" w:after="60" w:line="240" w:lineRule="auto"/>
            </w:pPr>
            <w:r w:rsidRPr="003A7395">
              <w:t>Basic Safety L</w:t>
            </w:r>
            <w:r w:rsidR="002554BA">
              <w:t>evel</w:t>
            </w:r>
          </w:p>
          <w:p w14:paraId="33EE1D54" w14:textId="77777777" w:rsidR="003A7395" w:rsidRPr="003A7395" w:rsidRDefault="003A7395" w:rsidP="00B8284F">
            <w:pPr>
              <w:tabs>
                <w:tab w:val="left" w:pos="1440"/>
              </w:tabs>
              <w:spacing w:before="60" w:after="60" w:line="240" w:lineRule="auto"/>
            </w:pPr>
            <w:r w:rsidRPr="003A7395">
              <w:t>Basic Safety Objective</w:t>
            </w:r>
          </w:p>
          <w:p w14:paraId="50E7F1C9" w14:textId="7ED617A7" w:rsidR="003A7395" w:rsidRPr="003A7395" w:rsidRDefault="003A7395" w:rsidP="00B8284F">
            <w:pPr>
              <w:tabs>
                <w:tab w:val="left" w:pos="1440"/>
              </w:tabs>
              <w:spacing w:before="60" w:after="60" w:line="240" w:lineRule="auto"/>
            </w:pPr>
            <w:r w:rsidRPr="003A7395">
              <w:t>Engineering Ag</w:t>
            </w:r>
            <w:r w:rsidR="008C13B6">
              <w:t>e</w:t>
            </w:r>
            <w:r w:rsidRPr="003A7395">
              <w:t>ing and Degradation</w:t>
            </w:r>
          </w:p>
          <w:p w14:paraId="6D3396CA" w14:textId="77777777" w:rsidR="003A7395" w:rsidRPr="003A7395" w:rsidRDefault="003A7395" w:rsidP="00B8284F">
            <w:pPr>
              <w:tabs>
                <w:tab w:val="left" w:pos="1440"/>
              </w:tabs>
              <w:spacing w:before="60" w:after="60" w:line="240" w:lineRule="auto"/>
            </w:pPr>
            <w:r w:rsidRPr="003A7395">
              <w:t>Engineering Containment and Ventilation</w:t>
            </w:r>
          </w:p>
          <w:p w14:paraId="6F2CBD5D" w14:textId="7004B0DE" w:rsidR="003A7395" w:rsidRPr="003A7395" w:rsidRDefault="003A7395" w:rsidP="00B8284F">
            <w:pPr>
              <w:tabs>
                <w:tab w:val="left" w:pos="1440"/>
              </w:tabs>
              <w:spacing w:before="60" w:after="60" w:line="240" w:lineRule="auto"/>
            </w:pPr>
            <w:r w:rsidRPr="003A7395">
              <w:t>Examination, Inspection, Maintenance and Test</w:t>
            </w:r>
            <w:r w:rsidR="008C13B6">
              <w:t>ing</w:t>
            </w:r>
          </w:p>
          <w:p w14:paraId="22698DE6" w14:textId="77777777" w:rsidR="003A7395" w:rsidRPr="003A7395" w:rsidRDefault="003A7395" w:rsidP="00B8284F">
            <w:pPr>
              <w:tabs>
                <w:tab w:val="left" w:pos="1440"/>
              </w:tabs>
              <w:spacing w:before="60" w:after="60" w:line="240" w:lineRule="auto"/>
            </w:pPr>
            <w:r w:rsidRPr="003A7395">
              <w:t>Engineering Key Principles</w:t>
            </w:r>
          </w:p>
          <w:p w14:paraId="467586CC" w14:textId="77777777" w:rsidR="003A7395" w:rsidRPr="003A7395" w:rsidRDefault="003A7395" w:rsidP="00B8284F">
            <w:pPr>
              <w:tabs>
                <w:tab w:val="left" w:pos="1440"/>
              </w:tabs>
              <w:spacing w:before="60" w:after="60" w:line="240" w:lineRule="auto"/>
            </w:pPr>
            <w:r w:rsidRPr="003A7395">
              <w:t>Engineering Equipment Qualification</w:t>
            </w:r>
          </w:p>
          <w:p w14:paraId="25C11C93" w14:textId="22856043" w:rsidR="003A7395" w:rsidRPr="003A7395" w:rsidRDefault="003A7395" w:rsidP="00B8284F">
            <w:pPr>
              <w:tabs>
                <w:tab w:val="left" w:pos="1440"/>
              </w:tabs>
              <w:spacing w:before="60" w:after="60" w:line="240" w:lineRule="auto"/>
            </w:pPr>
            <w:r w:rsidRPr="003A7395">
              <w:t xml:space="preserve">Hazard </w:t>
            </w:r>
            <w:r w:rsidR="008C13B6">
              <w:t>i</w:t>
            </w:r>
            <w:r w:rsidR="008C13B6" w:rsidRPr="003A7395">
              <w:t xml:space="preserve">dentification </w:t>
            </w:r>
            <w:r w:rsidRPr="003A7395">
              <w:t>and Operability (study)</w:t>
            </w:r>
          </w:p>
          <w:p w14:paraId="7C71EC6B" w14:textId="77777777" w:rsidR="003A7395" w:rsidRPr="003A7395" w:rsidRDefault="003A7395" w:rsidP="00B8284F">
            <w:pPr>
              <w:tabs>
                <w:tab w:val="left" w:pos="1440"/>
              </w:tabs>
              <w:spacing w:before="60" w:after="60" w:line="240" w:lineRule="auto"/>
            </w:pPr>
            <w:r w:rsidRPr="003A7395">
              <w:t>International Atomic Energy Agency</w:t>
            </w:r>
          </w:p>
          <w:p w14:paraId="3987CDD7" w14:textId="77777777" w:rsidR="003A7395" w:rsidRPr="003A7395" w:rsidRDefault="003A7395" w:rsidP="00B8284F">
            <w:pPr>
              <w:tabs>
                <w:tab w:val="left" w:pos="1440"/>
              </w:tabs>
              <w:spacing w:before="60" w:after="60" w:line="240" w:lineRule="auto"/>
            </w:pPr>
            <w:r w:rsidRPr="003A7395">
              <w:t>License Conditions</w:t>
            </w:r>
          </w:p>
          <w:p w14:paraId="29F08C72" w14:textId="77777777" w:rsidR="003A7395" w:rsidRDefault="003A7395" w:rsidP="00B8284F">
            <w:pPr>
              <w:tabs>
                <w:tab w:val="left" w:pos="1440"/>
              </w:tabs>
              <w:spacing w:before="60" w:after="60" w:line="240" w:lineRule="auto"/>
            </w:pPr>
            <w:r w:rsidRPr="003A7395">
              <w:t>Nuclear Energy Agency</w:t>
            </w:r>
          </w:p>
          <w:p w14:paraId="6E9B624A" w14:textId="10822579" w:rsidR="00D459A5" w:rsidRPr="003A7395" w:rsidRDefault="00D459A5" w:rsidP="00B8284F">
            <w:pPr>
              <w:tabs>
                <w:tab w:val="left" w:pos="1440"/>
              </w:tabs>
              <w:spacing w:before="60" w:after="60" w:line="240" w:lineRule="auto"/>
            </w:pPr>
            <w:r>
              <w:t>Nuclear Power Plant</w:t>
            </w:r>
          </w:p>
          <w:p w14:paraId="0C48B501" w14:textId="77777777" w:rsidR="003A7395" w:rsidRPr="003A7395" w:rsidRDefault="003A7395" w:rsidP="00B8284F">
            <w:pPr>
              <w:tabs>
                <w:tab w:val="left" w:pos="1440"/>
              </w:tabs>
              <w:spacing w:before="60" w:after="60" w:line="240" w:lineRule="auto"/>
            </w:pPr>
            <w:r w:rsidRPr="003A7395">
              <w:t>Office for Nuclear Regulation</w:t>
            </w:r>
          </w:p>
          <w:p w14:paraId="5C5494B2" w14:textId="71CAB484" w:rsidR="003A7395" w:rsidRPr="003A7395" w:rsidRDefault="003A7395" w:rsidP="00B8284F">
            <w:pPr>
              <w:tabs>
                <w:tab w:val="left" w:pos="1440"/>
              </w:tabs>
              <w:spacing w:before="60" w:after="60" w:line="240" w:lineRule="auto"/>
            </w:pPr>
            <w:r w:rsidRPr="003A7395">
              <w:t xml:space="preserve">Safety Assessment Principle </w:t>
            </w:r>
          </w:p>
          <w:p w14:paraId="33D94662" w14:textId="210665FE" w:rsidR="003A7395" w:rsidRPr="003A7395" w:rsidRDefault="008C13B6" w:rsidP="00B8284F">
            <w:pPr>
              <w:tabs>
                <w:tab w:val="left" w:pos="1440"/>
              </w:tabs>
              <w:spacing w:before="60" w:after="60" w:line="240" w:lineRule="auto"/>
            </w:pPr>
            <w:r w:rsidRPr="003A7395">
              <w:t>S</w:t>
            </w:r>
            <w:r>
              <w:t>tructure</w:t>
            </w:r>
            <w:r w:rsidR="003A7395" w:rsidRPr="003A7395">
              <w:t xml:space="preserve">, </w:t>
            </w:r>
            <w:r>
              <w:t xml:space="preserve">system </w:t>
            </w:r>
            <w:r w:rsidR="003A7395" w:rsidRPr="003A7395">
              <w:t xml:space="preserve">or </w:t>
            </w:r>
            <w:r>
              <w:t>c</w:t>
            </w:r>
            <w:r w:rsidRPr="003A7395">
              <w:t>omponent</w:t>
            </w:r>
          </w:p>
          <w:p w14:paraId="316DEFA6" w14:textId="0B390C5A" w:rsidR="003A7395" w:rsidRPr="003A7395" w:rsidRDefault="003A7395" w:rsidP="00B8284F">
            <w:pPr>
              <w:tabs>
                <w:tab w:val="left" w:pos="1440"/>
              </w:tabs>
              <w:spacing w:before="60" w:after="60" w:line="240" w:lineRule="auto"/>
            </w:pPr>
            <w:r w:rsidRPr="003A7395">
              <w:t>Technical Assessment Guid</w:t>
            </w:r>
            <w:r w:rsidR="008C13B6">
              <w:t>e</w:t>
            </w:r>
          </w:p>
          <w:p w14:paraId="618F892C" w14:textId="77777777" w:rsidR="003A7395" w:rsidRPr="003A7395" w:rsidRDefault="003A7395" w:rsidP="00B8284F">
            <w:pPr>
              <w:tabs>
                <w:tab w:val="left" w:pos="1440"/>
              </w:tabs>
              <w:spacing w:before="60" w:after="60" w:line="240" w:lineRule="auto"/>
            </w:pPr>
            <w:r w:rsidRPr="003A7395">
              <w:t>Western European Nuclear Regulators’ Association</w:t>
            </w:r>
          </w:p>
          <w:p w14:paraId="5A8E3CF7" w14:textId="77777777" w:rsidR="003A7395" w:rsidRPr="003A7395" w:rsidRDefault="003A7395" w:rsidP="00B8284F">
            <w:pPr>
              <w:tabs>
                <w:tab w:val="left" w:pos="1440"/>
              </w:tabs>
              <w:spacing w:before="60" w:after="60" w:line="240" w:lineRule="auto"/>
            </w:pPr>
          </w:p>
        </w:tc>
      </w:tr>
    </w:tbl>
    <w:p w14:paraId="14BAA3E0" w14:textId="06B19C66" w:rsidR="00F7687C" w:rsidRDefault="00F7687C" w:rsidP="00F7687C">
      <w:pPr>
        <w:tabs>
          <w:tab w:val="left" w:pos="1440"/>
        </w:tabs>
        <w:spacing w:line="240" w:lineRule="auto"/>
        <w:contextualSpacing/>
      </w:pPr>
    </w:p>
    <w:sectPr w:rsidR="00F7687C"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8A064" w14:textId="77777777" w:rsidR="006302F9" w:rsidRDefault="006302F9" w:rsidP="007D199A">
      <w:pPr>
        <w:spacing w:after="0"/>
      </w:pPr>
      <w:r>
        <w:separator/>
      </w:r>
    </w:p>
    <w:p w14:paraId="2EFDFF76" w14:textId="77777777" w:rsidR="006302F9" w:rsidRDefault="006302F9"/>
    <w:p w14:paraId="613E1141" w14:textId="77777777" w:rsidR="006302F9" w:rsidRDefault="006302F9"/>
  </w:endnote>
  <w:endnote w:type="continuationSeparator" w:id="0">
    <w:p w14:paraId="2BDC7B96" w14:textId="77777777" w:rsidR="006302F9" w:rsidRDefault="006302F9" w:rsidP="007D199A">
      <w:pPr>
        <w:spacing w:after="0"/>
      </w:pPr>
      <w:r>
        <w:continuationSeparator/>
      </w:r>
    </w:p>
    <w:p w14:paraId="447DE68F" w14:textId="77777777" w:rsidR="006302F9" w:rsidRDefault="006302F9"/>
    <w:p w14:paraId="2D02D737" w14:textId="77777777" w:rsidR="006302F9" w:rsidRDefault="006302F9"/>
  </w:endnote>
  <w:endnote w:type="continuationNotice" w:id="1">
    <w:p w14:paraId="67D46665" w14:textId="77777777" w:rsidR="006302F9" w:rsidRDefault="006302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Helvetica Neue LT">
    <w:altName w:val="Arial"/>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77A8877" w:rsidR="007C3C1D" w:rsidRPr="002D5F2E" w:rsidRDefault="006A525B" w:rsidP="007C3C1D">
    <w:pPr>
      <w:pStyle w:val="Footer"/>
      <w:jc w:val="left"/>
      <w:rPr>
        <w:sz w:val="22"/>
      </w:rPr>
    </w:pPr>
    <w:r w:rsidRPr="002D5F2E">
      <w:rPr>
        <w:sz w:val="22"/>
      </w:rPr>
      <w:t>ONR-</w:t>
    </w:r>
    <w:r w:rsidR="005623B0">
      <w:rPr>
        <w:sz w:val="22"/>
      </w:rPr>
      <w:t xml:space="preserve">TAST-GD-021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39520" w14:textId="77777777" w:rsidR="006302F9" w:rsidRPr="005E0344" w:rsidRDefault="006302F9" w:rsidP="005E0344">
      <w:pPr>
        <w:spacing w:after="120"/>
        <w:rPr>
          <w:color w:val="000000" w:themeColor="text2"/>
        </w:rPr>
      </w:pPr>
      <w:r w:rsidRPr="005E0344">
        <w:rPr>
          <w:color w:val="000000" w:themeColor="text2"/>
        </w:rPr>
        <w:separator/>
      </w:r>
    </w:p>
    <w:p w14:paraId="6EFCD9B5" w14:textId="77777777" w:rsidR="006302F9" w:rsidRDefault="006302F9"/>
  </w:footnote>
  <w:footnote w:type="continuationSeparator" w:id="0">
    <w:p w14:paraId="220F2FBA" w14:textId="77777777" w:rsidR="006302F9" w:rsidRPr="005E0344" w:rsidRDefault="006302F9" w:rsidP="0090581D">
      <w:pPr>
        <w:spacing w:after="120"/>
        <w:rPr>
          <w:color w:val="000000" w:themeColor="text2"/>
        </w:rPr>
      </w:pPr>
      <w:r w:rsidRPr="005E0344">
        <w:rPr>
          <w:color w:val="000000" w:themeColor="text2"/>
        </w:rPr>
        <w:continuationSeparator/>
      </w:r>
    </w:p>
    <w:p w14:paraId="3BA6A9F1" w14:textId="77777777" w:rsidR="006302F9" w:rsidRDefault="006302F9"/>
    <w:p w14:paraId="03D2654F" w14:textId="77777777" w:rsidR="006302F9" w:rsidRDefault="006302F9"/>
  </w:footnote>
  <w:footnote w:type="continuationNotice" w:id="1">
    <w:p w14:paraId="498C2461" w14:textId="77777777" w:rsidR="006302F9" w:rsidRDefault="006302F9">
      <w:pPr>
        <w:spacing w:after="0"/>
      </w:pPr>
    </w:p>
    <w:p w14:paraId="205C71AF" w14:textId="77777777" w:rsidR="006302F9" w:rsidRDefault="006302F9"/>
    <w:p w14:paraId="15821540" w14:textId="77777777" w:rsidR="006302F9" w:rsidRDefault="006302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67EF82FF" w:rsidR="000B2BCD" w:rsidRPr="00046936" w:rsidRDefault="00A40E91"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02207C">
          <w:rPr>
            <w:sz w:val="20"/>
            <w:szCs w:val="24"/>
          </w:rPr>
          <w:t>Containment on nuclear facilities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E560FB">
          <w:rPr>
            <w:sz w:val="20"/>
            <w:szCs w:val="24"/>
          </w:rPr>
          <w:t>6.1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0C80488"/>
    <w:multiLevelType w:val="hybridMultilevel"/>
    <w:tmpl w:val="23D4F0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B73380"/>
    <w:multiLevelType w:val="hybridMultilevel"/>
    <w:tmpl w:val="DE38991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610A71"/>
    <w:multiLevelType w:val="multilevel"/>
    <w:tmpl w:val="147654B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9706A39"/>
    <w:multiLevelType w:val="multilevel"/>
    <w:tmpl w:val="199A8DC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E17366"/>
    <w:multiLevelType w:val="hybridMultilevel"/>
    <w:tmpl w:val="CBE216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F963098"/>
    <w:multiLevelType w:val="hybridMultilevel"/>
    <w:tmpl w:val="C5FA85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F63A8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957587"/>
    <w:multiLevelType w:val="multilevel"/>
    <w:tmpl w:val="F76EFEC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3AC2AA6"/>
    <w:multiLevelType w:val="multilevel"/>
    <w:tmpl w:val="ABC883CE"/>
    <w:lvl w:ilvl="0">
      <w:start w:val="1"/>
      <w:numFmt w:val="decimal"/>
      <w:lvlText w:val="%1."/>
      <w:lvlJc w:val="left"/>
      <w:pPr>
        <w:tabs>
          <w:tab w:val="num" w:pos="-31680"/>
        </w:tabs>
        <w:ind w:left="720" w:hanging="720"/>
      </w:pPr>
      <w:rPr>
        <w:rFonts w:hint="default"/>
        <w:sz w:val="22"/>
      </w:rPr>
    </w:lvl>
    <w:lvl w:ilvl="1">
      <w:start w:val="1"/>
      <w:numFmt w:val="lowerRoman"/>
      <w:lvlText w:val="%2."/>
      <w:lvlJc w:val="righ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205BA6"/>
    <w:multiLevelType w:val="hybridMultilevel"/>
    <w:tmpl w:val="860E5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A977059"/>
    <w:multiLevelType w:val="hybridMultilevel"/>
    <w:tmpl w:val="9FEA7C6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F5E313C"/>
    <w:multiLevelType w:val="hybridMultilevel"/>
    <w:tmpl w:val="A620990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5F46359"/>
    <w:multiLevelType w:val="hybridMultilevel"/>
    <w:tmpl w:val="78BC5A40"/>
    <w:lvl w:ilvl="0" w:tplc="16923256">
      <w:start w:val="1"/>
      <w:numFmt w:val="bullet"/>
      <w:lvlText w:val=""/>
      <w:lvlJc w:val="left"/>
      <w:pPr>
        <w:ind w:left="1494"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9447535"/>
    <w:multiLevelType w:val="multilevel"/>
    <w:tmpl w:val="BF6ABE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3"/>
  </w:num>
  <w:num w:numId="12" w16cid:durableId="783227120">
    <w:abstractNumId w:val="34"/>
  </w:num>
  <w:num w:numId="13" w16cid:durableId="1367565994">
    <w:abstractNumId w:val="20"/>
  </w:num>
  <w:num w:numId="14" w16cid:durableId="1174225926">
    <w:abstractNumId w:val="15"/>
  </w:num>
  <w:num w:numId="15" w16cid:durableId="150562503">
    <w:abstractNumId w:val="34"/>
    <w:lvlOverride w:ilvl="0">
      <w:startOverride w:val="1"/>
    </w:lvlOverride>
  </w:num>
  <w:num w:numId="16" w16cid:durableId="708191280">
    <w:abstractNumId w:val="20"/>
    <w:lvlOverride w:ilvl="0">
      <w:startOverride w:val="1"/>
    </w:lvlOverride>
  </w:num>
  <w:num w:numId="17" w16cid:durableId="735981639">
    <w:abstractNumId w:val="15"/>
    <w:lvlOverride w:ilvl="0">
      <w:startOverride w:val="1"/>
    </w:lvlOverride>
  </w:num>
  <w:num w:numId="18" w16cid:durableId="966933876">
    <w:abstractNumId w:val="33"/>
  </w:num>
  <w:num w:numId="19" w16cid:durableId="985626502">
    <w:abstractNumId w:val="28"/>
  </w:num>
  <w:num w:numId="20" w16cid:durableId="2086879214">
    <w:abstractNumId w:val="14"/>
  </w:num>
  <w:num w:numId="21" w16cid:durableId="399718409">
    <w:abstractNumId w:val="36"/>
  </w:num>
  <w:num w:numId="22" w16cid:durableId="999388671">
    <w:abstractNumId w:val="26"/>
  </w:num>
  <w:num w:numId="23" w16cid:durableId="14912149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26"/>
  </w:num>
  <w:num w:numId="25" w16cid:durableId="20966315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37"/>
  </w:num>
  <w:num w:numId="27" w16cid:durableId="561334936">
    <w:abstractNumId w:val="12"/>
  </w:num>
  <w:num w:numId="28" w16cid:durableId="391512796">
    <w:abstractNumId w:val="10"/>
  </w:num>
  <w:num w:numId="29" w16cid:durableId="19601881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23"/>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25"/>
  </w:num>
  <w:num w:numId="33" w16cid:durableId="7413421">
    <w:abstractNumId w:val="35"/>
  </w:num>
  <w:num w:numId="34" w16cid:durableId="377974685">
    <w:abstractNumId w:val="30"/>
  </w:num>
  <w:num w:numId="35" w16cid:durableId="922030000">
    <w:abstractNumId w:val="19"/>
  </w:num>
  <w:num w:numId="36" w16cid:durableId="2083067328">
    <w:abstractNumId w:val="26"/>
  </w:num>
  <w:num w:numId="37" w16cid:durableId="1747996412">
    <w:abstractNumId w:val="24"/>
  </w:num>
  <w:num w:numId="38" w16cid:durableId="2059432226">
    <w:abstractNumId w:val="18"/>
  </w:num>
  <w:num w:numId="39" w16cid:durableId="2028865780">
    <w:abstractNumId w:val="26"/>
  </w:num>
  <w:num w:numId="40" w16cid:durableId="2092387811">
    <w:abstractNumId w:val="22"/>
  </w:num>
  <w:num w:numId="41" w16cid:durableId="356463857">
    <w:abstractNumId w:val="11"/>
  </w:num>
  <w:num w:numId="42" w16cid:durableId="1902325754">
    <w:abstractNumId w:val="26"/>
  </w:num>
  <w:num w:numId="43" w16cid:durableId="666523581">
    <w:abstractNumId w:val="32"/>
  </w:num>
  <w:num w:numId="44" w16cid:durableId="1059979314">
    <w:abstractNumId w:val="16"/>
  </w:num>
  <w:num w:numId="45" w16cid:durableId="590313117">
    <w:abstractNumId w:val="21"/>
  </w:num>
  <w:num w:numId="46" w16cid:durableId="1532953918">
    <w:abstractNumId w:val="26"/>
  </w:num>
  <w:num w:numId="47" w16cid:durableId="1208025501">
    <w:abstractNumId w:val="26"/>
  </w:num>
  <w:num w:numId="48" w16cid:durableId="1442533423">
    <w:abstractNumId w:val="26"/>
  </w:num>
  <w:num w:numId="49" w16cid:durableId="1024751307">
    <w:abstractNumId w:val="31"/>
  </w:num>
  <w:num w:numId="50" w16cid:durableId="1444808591">
    <w:abstractNumId w:val="26"/>
  </w:num>
  <w:num w:numId="51" w16cid:durableId="435565187">
    <w:abstractNumId w:val="26"/>
  </w:num>
  <w:num w:numId="52" w16cid:durableId="2112315024">
    <w:abstractNumId w:val="26"/>
  </w:num>
  <w:num w:numId="53" w16cid:durableId="1374846915">
    <w:abstractNumId w:val="26"/>
  </w:num>
  <w:num w:numId="54" w16cid:durableId="1770194867">
    <w:abstractNumId w:val="26"/>
  </w:num>
  <w:num w:numId="55" w16cid:durableId="12343606">
    <w:abstractNumId w:val="26"/>
  </w:num>
  <w:num w:numId="56" w16cid:durableId="1299215767">
    <w:abstractNumId w:val="26"/>
  </w:num>
  <w:num w:numId="57" w16cid:durableId="1859350670">
    <w:abstractNumId w:val="26"/>
  </w:num>
  <w:num w:numId="58" w16cid:durableId="768769048">
    <w:abstractNumId w:val="26"/>
  </w:num>
  <w:num w:numId="59" w16cid:durableId="361366005">
    <w:abstractNumId w:val="27"/>
  </w:num>
  <w:num w:numId="60" w16cid:durableId="1384476022">
    <w:abstractNumId w:val="17"/>
  </w:num>
  <w:num w:numId="61" w16cid:durableId="1257980516">
    <w:abstractNumId w:val="36"/>
  </w:num>
  <w:num w:numId="62" w16cid:durableId="1908412721">
    <w:abstractNumId w:val="26"/>
  </w:num>
  <w:num w:numId="63" w16cid:durableId="125851766">
    <w:abstractNumId w:val="2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3DF4"/>
    <w:rsid w:val="00004C16"/>
    <w:rsid w:val="000051DC"/>
    <w:rsid w:val="00011177"/>
    <w:rsid w:val="00014814"/>
    <w:rsid w:val="0002207C"/>
    <w:rsid w:val="00024522"/>
    <w:rsid w:val="00024B2E"/>
    <w:rsid w:val="00027F4F"/>
    <w:rsid w:val="00030430"/>
    <w:rsid w:val="0003078E"/>
    <w:rsid w:val="00031B89"/>
    <w:rsid w:val="000331FF"/>
    <w:rsid w:val="0003693D"/>
    <w:rsid w:val="00037EE2"/>
    <w:rsid w:val="0004440F"/>
    <w:rsid w:val="00046936"/>
    <w:rsid w:val="0004721A"/>
    <w:rsid w:val="000507DA"/>
    <w:rsid w:val="00052C8A"/>
    <w:rsid w:val="000548C8"/>
    <w:rsid w:val="00054E38"/>
    <w:rsid w:val="00054F20"/>
    <w:rsid w:val="00055898"/>
    <w:rsid w:val="000705F6"/>
    <w:rsid w:val="000745B8"/>
    <w:rsid w:val="000752B1"/>
    <w:rsid w:val="00075605"/>
    <w:rsid w:val="00075C66"/>
    <w:rsid w:val="00075F05"/>
    <w:rsid w:val="00081114"/>
    <w:rsid w:val="00082879"/>
    <w:rsid w:val="000851E2"/>
    <w:rsid w:val="00091EEA"/>
    <w:rsid w:val="000950B3"/>
    <w:rsid w:val="00097B61"/>
    <w:rsid w:val="000A51C3"/>
    <w:rsid w:val="000A6332"/>
    <w:rsid w:val="000B14CC"/>
    <w:rsid w:val="000B20B7"/>
    <w:rsid w:val="000B2BCD"/>
    <w:rsid w:val="000C1EAD"/>
    <w:rsid w:val="000C2DDC"/>
    <w:rsid w:val="000D2FD4"/>
    <w:rsid w:val="000D3518"/>
    <w:rsid w:val="000D5759"/>
    <w:rsid w:val="000D7131"/>
    <w:rsid w:val="000E5A29"/>
    <w:rsid w:val="000E7AD2"/>
    <w:rsid w:val="000F1B7B"/>
    <w:rsid w:val="000F2ED4"/>
    <w:rsid w:val="000F3932"/>
    <w:rsid w:val="000F4461"/>
    <w:rsid w:val="000F6834"/>
    <w:rsid w:val="001028E8"/>
    <w:rsid w:val="0011019A"/>
    <w:rsid w:val="00122FCC"/>
    <w:rsid w:val="00126752"/>
    <w:rsid w:val="00126E6B"/>
    <w:rsid w:val="00130B30"/>
    <w:rsid w:val="00131E06"/>
    <w:rsid w:val="00131FBF"/>
    <w:rsid w:val="001321E2"/>
    <w:rsid w:val="00134A81"/>
    <w:rsid w:val="00136064"/>
    <w:rsid w:val="00140E1C"/>
    <w:rsid w:val="001447A9"/>
    <w:rsid w:val="00147AE4"/>
    <w:rsid w:val="0015407B"/>
    <w:rsid w:val="00155F9A"/>
    <w:rsid w:val="001571E5"/>
    <w:rsid w:val="001611A9"/>
    <w:rsid w:val="00171EC8"/>
    <w:rsid w:val="00177666"/>
    <w:rsid w:val="001849CA"/>
    <w:rsid w:val="00185410"/>
    <w:rsid w:val="00185B74"/>
    <w:rsid w:val="00192352"/>
    <w:rsid w:val="001A0905"/>
    <w:rsid w:val="001A0A4B"/>
    <w:rsid w:val="001B19DC"/>
    <w:rsid w:val="001B3567"/>
    <w:rsid w:val="001C4BB5"/>
    <w:rsid w:val="001C4D63"/>
    <w:rsid w:val="001C576F"/>
    <w:rsid w:val="001D0DE0"/>
    <w:rsid w:val="001D4D0D"/>
    <w:rsid w:val="001D5AFF"/>
    <w:rsid w:val="001D74B4"/>
    <w:rsid w:val="001E03E1"/>
    <w:rsid w:val="001E15F9"/>
    <w:rsid w:val="001E30A7"/>
    <w:rsid w:val="001F059F"/>
    <w:rsid w:val="00200811"/>
    <w:rsid w:val="00200CA1"/>
    <w:rsid w:val="002020C0"/>
    <w:rsid w:val="00203244"/>
    <w:rsid w:val="00205AF7"/>
    <w:rsid w:val="0021338D"/>
    <w:rsid w:val="00214D43"/>
    <w:rsid w:val="00220F71"/>
    <w:rsid w:val="00221ED0"/>
    <w:rsid w:val="002238B4"/>
    <w:rsid w:val="002319AB"/>
    <w:rsid w:val="002319AC"/>
    <w:rsid w:val="00234342"/>
    <w:rsid w:val="00235698"/>
    <w:rsid w:val="0024040D"/>
    <w:rsid w:val="00245A0D"/>
    <w:rsid w:val="002554BA"/>
    <w:rsid w:val="00255FA3"/>
    <w:rsid w:val="00256166"/>
    <w:rsid w:val="00257288"/>
    <w:rsid w:val="00261FB6"/>
    <w:rsid w:val="00262039"/>
    <w:rsid w:val="002629F8"/>
    <w:rsid w:val="00263396"/>
    <w:rsid w:val="002659FA"/>
    <w:rsid w:val="00267815"/>
    <w:rsid w:val="0027502E"/>
    <w:rsid w:val="0027604D"/>
    <w:rsid w:val="002804C8"/>
    <w:rsid w:val="00280DDF"/>
    <w:rsid w:val="00283FEB"/>
    <w:rsid w:val="002906DE"/>
    <w:rsid w:val="002917FF"/>
    <w:rsid w:val="00292ADF"/>
    <w:rsid w:val="00295FC7"/>
    <w:rsid w:val="00297FA1"/>
    <w:rsid w:val="002A0DEC"/>
    <w:rsid w:val="002A609F"/>
    <w:rsid w:val="002B1C53"/>
    <w:rsid w:val="002D5F2E"/>
    <w:rsid w:val="002E0B47"/>
    <w:rsid w:val="002E0BE4"/>
    <w:rsid w:val="002E3B58"/>
    <w:rsid w:val="002E3B6B"/>
    <w:rsid w:val="002E3E8A"/>
    <w:rsid w:val="002E6A6A"/>
    <w:rsid w:val="002E7147"/>
    <w:rsid w:val="002F0A20"/>
    <w:rsid w:val="002F3397"/>
    <w:rsid w:val="002F525D"/>
    <w:rsid w:val="00301E70"/>
    <w:rsid w:val="0030380D"/>
    <w:rsid w:val="003040C8"/>
    <w:rsid w:val="00312411"/>
    <w:rsid w:val="00323E71"/>
    <w:rsid w:val="00346C8E"/>
    <w:rsid w:val="00347CA8"/>
    <w:rsid w:val="00350BDE"/>
    <w:rsid w:val="0035585E"/>
    <w:rsid w:val="00356F49"/>
    <w:rsid w:val="00357A80"/>
    <w:rsid w:val="0036037F"/>
    <w:rsid w:val="0036796A"/>
    <w:rsid w:val="00367BD5"/>
    <w:rsid w:val="0037176F"/>
    <w:rsid w:val="00382A46"/>
    <w:rsid w:val="00385A1E"/>
    <w:rsid w:val="00387567"/>
    <w:rsid w:val="0038761F"/>
    <w:rsid w:val="00390327"/>
    <w:rsid w:val="003918BA"/>
    <w:rsid w:val="00393B78"/>
    <w:rsid w:val="00394040"/>
    <w:rsid w:val="003970B0"/>
    <w:rsid w:val="003A01E9"/>
    <w:rsid w:val="003A351F"/>
    <w:rsid w:val="003A7395"/>
    <w:rsid w:val="003A7A75"/>
    <w:rsid w:val="003A7F95"/>
    <w:rsid w:val="003C0306"/>
    <w:rsid w:val="003C0DD8"/>
    <w:rsid w:val="003C114C"/>
    <w:rsid w:val="003C18C4"/>
    <w:rsid w:val="003C465D"/>
    <w:rsid w:val="003C7BEE"/>
    <w:rsid w:val="003D1265"/>
    <w:rsid w:val="003D495D"/>
    <w:rsid w:val="003D64E3"/>
    <w:rsid w:val="003E098E"/>
    <w:rsid w:val="003E2F1A"/>
    <w:rsid w:val="003E2FAE"/>
    <w:rsid w:val="003E58E3"/>
    <w:rsid w:val="003E7622"/>
    <w:rsid w:val="003F5EB1"/>
    <w:rsid w:val="00400705"/>
    <w:rsid w:val="00401FD6"/>
    <w:rsid w:val="00404B0C"/>
    <w:rsid w:val="00405E5F"/>
    <w:rsid w:val="00405E9C"/>
    <w:rsid w:val="00407CF7"/>
    <w:rsid w:val="00412063"/>
    <w:rsid w:val="00415ED6"/>
    <w:rsid w:val="00417CAF"/>
    <w:rsid w:val="00420A11"/>
    <w:rsid w:val="00422265"/>
    <w:rsid w:val="0042657E"/>
    <w:rsid w:val="0043477D"/>
    <w:rsid w:val="004373A7"/>
    <w:rsid w:val="00437D94"/>
    <w:rsid w:val="0044030C"/>
    <w:rsid w:val="00453531"/>
    <w:rsid w:val="00457C67"/>
    <w:rsid w:val="004631F0"/>
    <w:rsid w:val="004638C7"/>
    <w:rsid w:val="004648A4"/>
    <w:rsid w:val="00471380"/>
    <w:rsid w:val="004850CD"/>
    <w:rsid w:val="00494F0D"/>
    <w:rsid w:val="00496329"/>
    <w:rsid w:val="00496BFD"/>
    <w:rsid w:val="004A18F1"/>
    <w:rsid w:val="004A3DF2"/>
    <w:rsid w:val="004A429B"/>
    <w:rsid w:val="004B44C7"/>
    <w:rsid w:val="004B45CD"/>
    <w:rsid w:val="004C0580"/>
    <w:rsid w:val="004C361D"/>
    <w:rsid w:val="004C4891"/>
    <w:rsid w:val="004D12D9"/>
    <w:rsid w:val="004D2C89"/>
    <w:rsid w:val="004D38E6"/>
    <w:rsid w:val="004E3932"/>
    <w:rsid w:val="004E741D"/>
    <w:rsid w:val="004F1E79"/>
    <w:rsid w:val="004F5F33"/>
    <w:rsid w:val="0050103A"/>
    <w:rsid w:val="005109B8"/>
    <w:rsid w:val="00511B0F"/>
    <w:rsid w:val="005174B6"/>
    <w:rsid w:val="0052329B"/>
    <w:rsid w:val="0052656E"/>
    <w:rsid w:val="00530152"/>
    <w:rsid w:val="00530E09"/>
    <w:rsid w:val="005313CB"/>
    <w:rsid w:val="00532C8C"/>
    <w:rsid w:val="00536721"/>
    <w:rsid w:val="0053703A"/>
    <w:rsid w:val="00541F23"/>
    <w:rsid w:val="005504C2"/>
    <w:rsid w:val="00552D09"/>
    <w:rsid w:val="0055388E"/>
    <w:rsid w:val="005551C7"/>
    <w:rsid w:val="00556CD6"/>
    <w:rsid w:val="005623B0"/>
    <w:rsid w:val="00572EFB"/>
    <w:rsid w:val="005754AE"/>
    <w:rsid w:val="00575A51"/>
    <w:rsid w:val="00575F71"/>
    <w:rsid w:val="005763D7"/>
    <w:rsid w:val="00577FB5"/>
    <w:rsid w:val="00580C30"/>
    <w:rsid w:val="00582581"/>
    <w:rsid w:val="005852D1"/>
    <w:rsid w:val="00587A22"/>
    <w:rsid w:val="00587E35"/>
    <w:rsid w:val="00590AC6"/>
    <w:rsid w:val="00592336"/>
    <w:rsid w:val="0059299D"/>
    <w:rsid w:val="005956AA"/>
    <w:rsid w:val="00595C8C"/>
    <w:rsid w:val="00597747"/>
    <w:rsid w:val="00597CB7"/>
    <w:rsid w:val="005A4CDD"/>
    <w:rsid w:val="005A55BF"/>
    <w:rsid w:val="005B57E4"/>
    <w:rsid w:val="005B5802"/>
    <w:rsid w:val="005B5ABD"/>
    <w:rsid w:val="005B5DD1"/>
    <w:rsid w:val="005B6E71"/>
    <w:rsid w:val="005B7798"/>
    <w:rsid w:val="005B7FC8"/>
    <w:rsid w:val="005C140A"/>
    <w:rsid w:val="005C2656"/>
    <w:rsid w:val="005C365D"/>
    <w:rsid w:val="005C3BC3"/>
    <w:rsid w:val="005C6763"/>
    <w:rsid w:val="005D0E3D"/>
    <w:rsid w:val="005D3164"/>
    <w:rsid w:val="005E0344"/>
    <w:rsid w:val="005E17B4"/>
    <w:rsid w:val="005E211F"/>
    <w:rsid w:val="005E440B"/>
    <w:rsid w:val="005F2C85"/>
    <w:rsid w:val="00605ADB"/>
    <w:rsid w:val="00611C9F"/>
    <w:rsid w:val="006139B2"/>
    <w:rsid w:val="00617390"/>
    <w:rsid w:val="00621BF6"/>
    <w:rsid w:val="00626F3B"/>
    <w:rsid w:val="00627555"/>
    <w:rsid w:val="00627B76"/>
    <w:rsid w:val="006302F9"/>
    <w:rsid w:val="006316C4"/>
    <w:rsid w:val="006322A0"/>
    <w:rsid w:val="006361FD"/>
    <w:rsid w:val="00637502"/>
    <w:rsid w:val="00637B24"/>
    <w:rsid w:val="006407B1"/>
    <w:rsid w:val="0064226F"/>
    <w:rsid w:val="00652999"/>
    <w:rsid w:val="00653298"/>
    <w:rsid w:val="00656E58"/>
    <w:rsid w:val="00661D11"/>
    <w:rsid w:val="00663A7C"/>
    <w:rsid w:val="00663C5F"/>
    <w:rsid w:val="00667DF2"/>
    <w:rsid w:val="00667F7E"/>
    <w:rsid w:val="00670DF1"/>
    <w:rsid w:val="00671345"/>
    <w:rsid w:val="00671CD7"/>
    <w:rsid w:val="00672A9B"/>
    <w:rsid w:val="00674646"/>
    <w:rsid w:val="00675884"/>
    <w:rsid w:val="006864A8"/>
    <w:rsid w:val="00687159"/>
    <w:rsid w:val="00690574"/>
    <w:rsid w:val="00691F3D"/>
    <w:rsid w:val="006966CA"/>
    <w:rsid w:val="00696A29"/>
    <w:rsid w:val="00696D09"/>
    <w:rsid w:val="00696EE0"/>
    <w:rsid w:val="00697980"/>
    <w:rsid w:val="006A0537"/>
    <w:rsid w:val="006A19EF"/>
    <w:rsid w:val="006A43D5"/>
    <w:rsid w:val="006A5228"/>
    <w:rsid w:val="006A525B"/>
    <w:rsid w:val="006C045F"/>
    <w:rsid w:val="006C3300"/>
    <w:rsid w:val="006C4196"/>
    <w:rsid w:val="006C41CF"/>
    <w:rsid w:val="006C4B57"/>
    <w:rsid w:val="006C63B0"/>
    <w:rsid w:val="006C76A2"/>
    <w:rsid w:val="006C792E"/>
    <w:rsid w:val="006D116C"/>
    <w:rsid w:val="006E200C"/>
    <w:rsid w:val="006E22C1"/>
    <w:rsid w:val="006E7C42"/>
    <w:rsid w:val="006F168A"/>
    <w:rsid w:val="006F5076"/>
    <w:rsid w:val="006F6009"/>
    <w:rsid w:val="0070321D"/>
    <w:rsid w:val="007068BA"/>
    <w:rsid w:val="00716AB1"/>
    <w:rsid w:val="00721D63"/>
    <w:rsid w:val="007308F2"/>
    <w:rsid w:val="00732C7B"/>
    <w:rsid w:val="00734D2B"/>
    <w:rsid w:val="00734F4A"/>
    <w:rsid w:val="00737705"/>
    <w:rsid w:val="00737B1E"/>
    <w:rsid w:val="007405B2"/>
    <w:rsid w:val="007408D4"/>
    <w:rsid w:val="00741C4E"/>
    <w:rsid w:val="007420AC"/>
    <w:rsid w:val="00742617"/>
    <w:rsid w:val="00753896"/>
    <w:rsid w:val="00761521"/>
    <w:rsid w:val="00762CA8"/>
    <w:rsid w:val="00763E27"/>
    <w:rsid w:val="00766E11"/>
    <w:rsid w:val="00770F16"/>
    <w:rsid w:val="0077221D"/>
    <w:rsid w:val="00783AFA"/>
    <w:rsid w:val="00785427"/>
    <w:rsid w:val="00790540"/>
    <w:rsid w:val="007937BF"/>
    <w:rsid w:val="00794B52"/>
    <w:rsid w:val="007968CA"/>
    <w:rsid w:val="00797796"/>
    <w:rsid w:val="007A02E7"/>
    <w:rsid w:val="007A43FF"/>
    <w:rsid w:val="007B3918"/>
    <w:rsid w:val="007B41B6"/>
    <w:rsid w:val="007B7819"/>
    <w:rsid w:val="007C09A9"/>
    <w:rsid w:val="007C0AD9"/>
    <w:rsid w:val="007C3C1D"/>
    <w:rsid w:val="007C7F80"/>
    <w:rsid w:val="007D199A"/>
    <w:rsid w:val="007D2EBE"/>
    <w:rsid w:val="007D662D"/>
    <w:rsid w:val="007E1A31"/>
    <w:rsid w:val="007E1C07"/>
    <w:rsid w:val="007F0ED9"/>
    <w:rsid w:val="007F24B6"/>
    <w:rsid w:val="007F2A70"/>
    <w:rsid w:val="007F5EFE"/>
    <w:rsid w:val="007F63FD"/>
    <w:rsid w:val="007F6460"/>
    <w:rsid w:val="00803D94"/>
    <w:rsid w:val="00806D68"/>
    <w:rsid w:val="008146E6"/>
    <w:rsid w:val="00817A06"/>
    <w:rsid w:val="00817B14"/>
    <w:rsid w:val="008221AB"/>
    <w:rsid w:val="008229BA"/>
    <w:rsid w:val="00823F08"/>
    <w:rsid w:val="00844618"/>
    <w:rsid w:val="00845390"/>
    <w:rsid w:val="0084601B"/>
    <w:rsid w:val="008518A1"/>
    <w:rsid w:val="00852934"/>
    <w:rsid w:val="008606F0"/>
    <w:rsid w:val="008646A9"/>
    <w:rsid w:val="008653F5"/>
    <w:rsid w:val="00865489"/>
    <w:rsid w:val="0086553D"/>
    <w:rsid w:val="0086780F"/>
    <w:rsid w:val="00874FEB"/>
    <w:rsid w:val="00881B6F"/>
    <w:rsid w:val="00882AA4"/>
    <w:rsid w:val="00883E22"/>
    <w:rsid w:val="00884E43"/>
    <w:rsid w:val="00887EC6"/>
    <w:rsid w:val="0089084C"/>
    <w:rsid w:val="00892625"/>
    <w:rsid w:val="00893409"/>
    <w:rsid w:val="00893D9F"/>
    <w:rsid w:val="008A2379"/>
    <w:rsid w:val="008A2BE7"/>
    <w:rsid w:val="008A3837"/>
    <w:rsid w:val="008A4329"/>
    <w:rsid w:val="008A578E"/>
    <w:rsid w:val="008B05BF"/>
    <w:rsid w:val="008B1519"/>
    <w:rsid w:val="008B69E3"/>
    <w:rsid w:val="008B7BCC"/>
    <w:rsid w:val="008C13B6"/>
    <w:rsid w:val="008C1AD8"/>
    <w:rsid w:val="008C50C3"/>
    <w:rsid w:val="008C7094"/>
    <w:rsid w:val="008D2B97"/>
    <w:rsid w:val="008D49A5"/>
    <w:rsid w:val="008D54BE"/>
    <w:rsid w:val="008D6C81"/>
    <w:rsid w:val="008E1C49"/>
    <w:rsid w:val="008E372E"/>
    <w:rsid w:val="008E5A3A"/>
    <w:rsid w:val="008E6CF0"/>
    <w:rsid w:val="008F1439"/>
    <w:rsid w:val="008F660E"/>
    <w:rsid w:val="008F7051"/>
    <w:rsid w:val="008F75EF"/>
    <w:rsid w:val="0090065F"/>
    <w:rsid w:val="009033A9"/>
    <w:rsid w:val="00904152"/>
    <w:rsid w:val="0090581D"/>
    <w:rsid w:val="00912AEF"/>
    <w:rsid w:val="009130D4"/>
    <w:rsid w:val="0091439C"/>
    <w:rsid w:val="00914879"/>
    <w:rsid w:val="0091778A"/>
    <w:rsid w:val="00920572"/>
    <w:rsid w:val="00920BF2"/>
    <w:rsid w:val="00926DE4"/>
    <w:rsid w:val="009349A9"/>
    <w:rsid w:val="00936C52"/>
    <w:rsid w:val="009376E0"/>
    <w:rsid w:val="009417FB"/>
    <w:rsid w:val="0095489B"/>
    <w:rsid w:val="0096309B"/>
    <w:rsid w:val="009642BC"/>
    <w:rsid w:val="00966FB9"/>
    <w:rsid w:val="009671CD"/>
    <w:rsid w:val="00970E36"/>
    <w:rsid w:val="00974474"/>
    <w:rsid w:val="009751A9"/>
    <w:rsid w:val="00980F9C"/>
    <w:rsid w:val="009826B8"/>
    <w:rsid w:val="009843EC"/>
    <w:rsid w:val="0098632B"/>
    <w:rsid w:val="00986A9E"/>
    <w:rsid w:val="00993FDF"/>
    <w:rsid w:val="009957F5"/>
    <w:rsid w:val="00996934"/>
    <w:rsid w:val="00997BFB"/>
    <w:rsid w:val="009A0491"/>
    <w:rsid w:val="009A7281"/>
    <w:rsid w:val="009A7348"/>
    <w:rsid w:val="009B0F88"/>
    <w:rsid w:val="009B462C"/>
    <w:rsid w:val="009B6DB4"/>
    <w:rsid w:val="009B7A0F"/>
    <w:rsid w:val="009B7A68"/>
    <w:rsid w:val="009C0D38"/>
    <w:rsid w:val="009C1133"/>
    <w:rsid w:val="009C15F3"/>
    <w:rsid w:val="009C4699"/>
    <w:rsid w:val="009C761D"/>
    <w:rsid w:val="009E07C2"/>
    <w:rsid w:val="009E0E52"/>
    <w:rsid w:val="009E72C7"/>
    <w:rsid w:val="009F1931"/>
    <w:rsid w:val="009F1B73"/>
    <w:rsid w:val="009F378A"/>
    <w:rsid w:val="009F72F9"/>
    <w:rsid w:val="00A00205"/>
    <w:rsid w:val="00A00AF0"/>
    <w:rsid w:val="00A014AF"/>
    <w:rsid w:val="00A07C45"/>
    <w:rsid w:val="00A14A01"/>
    <w:rsid w:val="00A14B5A"/>
    <w:rsid w:val="00A16BD5"/>
    <w:rsid w:val="00A17CF8"/>
    <w:rsid w:val="00A20DB8"/>
    <w:rsid w:val="00A23D80"/>
    <w:rsid w:val="00A3426A"/>
    <w:rsid w:val="00A3567F"/>
    <w:rsid w:val="00A37180"/>
    <w:rsid w:val="00A37698"/>
    <w:rsid w:val="00A40E91"/>
    <w:rsid w:val="00A41ED3"/>
    <w:rsid w:val="00A427C5"/>
    <w:rsid w:val="00A44BAD"/>
    <w:rsid w:val="00A453CC"/>
    <w:rsid w:val="00A46D91"/>
    <w:rsid w:val="00A56C01"/>
    <w:rsid w:val="00A607B6"/>
    <w:rsid w:val="00A6623E"/>
    <w:rsid w:val="00A70FF5"/>
    <w:rsid w:val="00A72ECC"/>
    <w:rsid w:val="00A74431"/>
    <w:rsid w:val="00A8075F"/>
    <w:rsid w:val="00A80905"/>
    <w:rsid w:val="00A81112"/>
    <w:rsid w:val="00A81C14"/>
    <w:rsid w:val="00A81D82"/>
    <w:rsid w:val="00A8606E"/>
    <w:rsid w:val="00A93E33"/>
    <w:rsid w:val="00AA6D10"/>
    <w:rsid w:val="00AB4683"/>
    <w:rsid w:val="00AB6970"/>
    <w:rsid w:val="00AC1939"/>
    <w:rsid w:val="00AC4514"/>
    <w:rsid w:val="00AC4EF5"/>
    <w:rsid w:val="00AC7C05"/>
    <w:rsid w:val="00AD167C"/>
    <w:rsid w:val="00AD17C7"/>
    <w:rsid w:val="00AD4041"/>
    <w:rsid w:val="00AD6031"/>
    <w:rsid w:val="00AD648E"/>
    <w:rsid w:val="00AD78FC"/>
    <w:rsid w:val="00AD7DDB"/>
    <w:rsid w:val="00AE302B"/>
    <w:rsid w:val="00AE3056"/>
    <w:rsid w:val="00AE4F54"/>
    <w:rsid w:val="00AE71BC"/>
    <w:rsid w:val="00AF08F8"/>
    <w:rsid w:val="00AF134A"/>
    <w:rsid w:val="00AF31F0"/>
    <w:rsid w:val="00AF4040"/>
    <w:rsid w:val="00AF48F8"/>
    <w:rsid w:val="00B06C7D"/>
    <w:rsid w:val="00B1510D"/>
    <w:rsid w:val="00B259DF"/>
    <w:rsid w:val="00B32632"/>
    <w:rsid w:val="00B42325"/>
    <w:rsid w:val="00B44007"/>
    <w:rsid w:val="00B44426"/>
    <w:rsid w:val="00B44B1F"/>
    <w:rsid w:val="00B50450"/>
    <w:rsid w:val="00B64141"/>
    <w:rsid w:val="00B64E72"/>
    <w:rsid w:val="00B73194"/>
    <w:rsid w:val="00B77913"/>
    <w:rsid w:val="00B81DDB"/>
    <w:rsid w:val="00B824FB"/>
    <w:rsid w:val="00B82646"/>
    <w:rsid w:val="00B8284F"/>
    <w:rsid w:val="00B91295"/>
    <w:rsid w:val="00B92E1A"/>
    <w:rsid w:val="00B958A4"/>
    <w:rsid w:val="00B97359"/>
    <w:rsid w:val="00B97A8F"/>
    <w:rsid w:val="00BA4E58"/>
    <w:rsid w:val="00BA7074"/>
    <w:rsid w:val="00BB07DC"/>
    <w:rsid w:val="00BB5EBA"/>
    <w:rsid w:val="00BB7829"/>
    <w:rsid w:val="00BC73DD"/>
    <w:rsid w:val="00BD1457"/>
    <w:rsid w:val="00BD3825"/>
    <w:rsid w:val="00BE0974"/>
    <w:rsid w:val="00BE2AD9"/>
    <w:rsid w:val="00BE3250"/>
    <w:rsid w:val="00BE4A15"/>
    <w:rsid w:val="00BE5C8B"/>
    <w:rsid w:val="00BF27FE"/>
    <w:rsid w:val="00BF4526"/>
    <w:rsid w:val="00BF6692"/>
    <w:rsid w:val="00BF73D6"/>
    <w:rsid w:val="00C01A97"/>
    <w:rsid w:val="00C043B3"/>
    <w:rsid w:val="00C079AB"/>
    <w:rsid w:val="00C10E61"/>
    <w:rsid w:val="00C134A7"/>
    <w:rsid w:val="00C14787"/>
    <w:rsid w:val="00C14834"/>
    <w:rsid w:val="00C1596D"/>
    <w:rsid w:val="00C15B8D"/>
    <w:rsid w:val="00C15E0F"/>
    <w:rsid w:val="00C17010"/>
    <w:rsid w:val="00C20039"/>
    <w:rsid w:val="00C20562"/>
    <w:rsid w:val="00C215C3"/>
    <w:rsid w:val="00C23A96"/>
    <w:rsid w:val="00C24706"/>
    <w:rsid w:val="00C249C6"/>
    <w:rsid w:val="00C26BAF"/>
    <w:rsid w:val="00C32CC1"/>
    <w:rsid w:val="00C35D86"/>
    <w:rsid w:val="00C426EC"/>
    <w:rsid w:val="00C43F79"/>
    <w:rsid w:val="00C46929"/>
    <w:rsid w:val="00C53B86"/>
    <w:rsid w:val="00C646DB"/>
    <w:rsid w:val="00C6483C"/>
    <w:rsid w:val="00C64AE9"/>
    <w:rsid w:val="00C67ADF"/>
    <w:rsid w:val="00C70CFF"/>
    <w:rsid w:val="00C718FE"/>
    <w:rsid w:val="00C7263A"/>
    <w:rsid w:val="00C8773D"/>
    <w:rsid w:val="00C87ABB"/>
    <w:rsid w:val="00C9090F"/>
    <w:rsid w:val="00C91831"/>
    <w:rsid w:val="00C953DF"/>
    <w:rsid w:val="00C9686F"/>
    <w:rsid w:val="00CA2905"/>
    <w:rsid w:val="00CA7B44"/>
    <w:rsid w:val="00CB0B47"/>
    <w:rsid w:val="00CB6716"/>
    <w:rsid w:val="00CB6CA0"/>
    <w:rsid w:val="00CC02CE"/>
    <w:rsid w:val="00CD1CEB"/>
    <w:rsid w:val="00CD48E3"/>
    <w:rsid w:val="00CE037A"/>
    <w:rsid w:val="00CE069B"/>
    <w:rsid w:val="00CE1DB2"/>
    <w:rsid w:val="00CE2709"/>
    <w:rsid w:val="00CE2D64"/>
    <w:rsid w:val="00CE6198"/>
    <w:rsid w:val="00CF6230"/>
    <w:rsid w:val="00CF7CC1"/>
    <w:rsid w:val="00D017FC"/>
    <w:rsid w:val="00D0226A"/>
    <w:rsid w:val="00D1256B"/>
    <w:rsid w:val="00D13147"/>
    <w:rsid w:val="00D16958"/>
    <w:rsid w:val="00D22E22"/>
    <w:rsid w:val="00D459A5"/>
    <w:rsid w:val="00D46367"/>
    <w:rsid w:val="00D5715A"/>
    <w:rsid w:val="00D63A3A"/>
    <w:rsid w:val="00D65B48"/>
    <w:rsid w:val="00D66DAB"/>
    <w:rsid w:val="00D71687"/>
    <w:rsid w:val="00D718D7"/>
    <w:rsid w:val="00D74813"/>
    <w:rsid w:val="00D86F7E"/>
    <w:rsid w:val="00DA025F"/>
    <w:rsid w:val="00DA30BC"/>
    <w:rsid w:val="00DA69C2"/>
    <w:rsid w:val="00DA6D70"/>
    <w:rsid w:val="00DA734C"/>
    <w:rsid w:val="00DB049B"/>
    <w:rsid w:val="00DB6050"/>
    <w:rsid w:val="00DB63D7"/>
    <w:rsid w:val="00DB6AF3"/>
    <w:rsid w:val="00DC0132"/>
    <w:rsid w:val="00DC2C34"/>
    <w:rsid w:val="00DC4909"/>
    <w:rsid w:val="00DD2C43"/>
    <w:rsid w:val="00DD3FC0"/>
    <w:rsid w:val="00DE2C87"/>
    <w:rsid w:val="00DE459A"/>
    <w:rsid w:val="00DE59D1"/>
    <w:rsid w:val="00DE7160"/>
    <w:rsid w:val="00DF20C5"/>
    <w:rsid w:val="00DF27DA"/>
    <w:rsid w:val="00DF4DBE"/>
    <w:rsid w:val="00E01077"/>
    <w:rsid w:val="00E04F17"/>
    <w:rsid w:val="00E20B32"/>
    <w:rsid w:val="00E221DC"/>
    <w:rsid w:val="00E34607"/>
    <w:rsid w:val="00E36BE4"/>
    <w:rsid w:val="00E40820"/>
    <w:rsid w:val="00E44919"/>
    <w:rsid w:val="00E4658F"/>
    <w:rsid w:val="00E46B37"/>
    <w:rsid w:val="00E50AA3"/>
    <w:rsid w:val="00E52F23"/>
    <w:rsid w:val="00E54A67"/>
    <w:rsid w:val="00E560FB"/>
    <w:rsid w:val="00E57DB9"/>
    <w:rsid w:val="00E61C0D"/>
    <w:rsid w:val="00E63EB4"/>
    <w:rsid w:val="00E64912"/>
    <w:rsid w:val="00E66160"/>
    <w:rsid w:val="00E662C1"/>
    <w:rsid w:val="00E67022"/>
    <w:rsid w:val="00E71329"/>
    <w:rsid w:val="00E71687"/>
    <w:rsid w:val="00E71868"/>
    <w:rsid w:val="00E7445B"/>
    <w:rsid w:val="00E74DF9"/>
    <w:rsid w:val="00E80EDF"/>
    <w:rsid w:val="00E81847"/>
    <w:rsid w:val="00E82241"/>
    <w:rsid w:val="00E8363B"/>
    <w:rsid w:val="00E84966"/>
    <w:rsid w:val="00E86437"/>
    <w:rsid w:val="00E90780"/>
    <w:rsid w:val="00E92383"/>
    <w:rsid w:val="00E925BE"/>
    <w:rsid w:val="00E9489D"/>
    <w:rsid w:val="00EA1605"/>
    <w:rsid w:val="00EA1B3A"/>
    <w:rsid w:val="00EA2109"/>
    <w:rsid w:val="00EA252F"/>
    <w:rsid w:val="00EA7539"/>
    <w:rsid w:val="00EB2115"/>
    <w:rsid w:val="00EB322C"/>
    <w:rsid w:val="00EB7E66"/>
    <w:rsid w:val="00EC7F8C"/>
    <w:rsid w:val="00ED4D4E"/>
    <w:rsid w:val="00EE0C77"/>
    <w:rsid w:val="00EE4E54"/>
    <w:rsid w:val="00EF7CC2"/>
    <w:rsid w:val="00F02EB1"/>
    <w:rsid w:val="00F14441"/>
    <w:rsid w:val="00F3284E"/>
    <w:rsid w:val="00F3540E"/>
    <w:rsid w:val="00F362D4"/>
    <w:rsid w:val="00F37740"/>
    <w:rsid w:val="00F4068B"/>
    <w:rsid w:val="00F436BB"/>
    <w:rsid w:val="00F44BEF"/>
    <w:rsid w:val="00F45881"/>
    <w:rsid w:val="00F47145"/>
    <w:rsid w:val="00F506C7"/>
    <w:rsid w:val="00F545BF"/>
    <w:rsid w:val="00F54C37"/>
    <w:rsid w:val="00F56152"/>
    <w:rsid w:val="00F60B0E"/>
    <w:rsid w:val="00F61B86"/>
    <w:rsid w:val="00F63AA5"/>
    <w:rsid w:val="00F7104D"/>
    <w:rsid w:val="00F71B56"/>
    <w:rsid w:val="00F732FE"/>
    <w:rsid w:val="00F73B85"/>
    <w:rsid w:val="00F74049"/>
    <w:rsid w:val="00F7687C"/>
    <w:rsid w:val="00F81796"/>
    <w:rsid w:val="00F832C8"/>
    <w:rsid w:val="00F84272"/>
    <w:rsid w:val="00F873B3"/>
    <w:rsid w:val="00FA069E"/>
    <w:rsid w:val="00FA42B9"/>
    <w:rsid w:val="00FA6451"/>
    <w:rsid w:val="00FA755A"/>
    <w:rsid w:val="00FB07A9"/>
    <w:rsid w:val="00FB240E"/>
    <w:rsid w:val="00FB2B0F"/>
    <w:rsid w:val="00FB3F53"/>
    <w:rsid w:val="00FB4F6B"/>
    <w:rsid w:val="00FB5FE1"/>
    <w:rsid w:val="00FB6BB8"/>
    <w:rsid w:val="00FC0E8D"/>
    <w:rsid w:val="00FC1CCD"/>
    <w:rsid w:val="00FC46EF"/>
    <w:rsid w:val="00FC5E6D"/>
    <w:rsid w:val="00FD0182"/>
    <w:rsid w:val="00FD31B3"/>
    <w:rsid w:val="00FD3744"/>
    <w:rsid w:val="00FD4086"/>
    <w:rsid w:val="00FD418B"/>
    <w:rsid w:val="00FD4204"/>
    <w:rsid w:val="00FD7439"/>
    <w:rsid w:val="00FF0705"/>
    <w:rsid w:val="00FF0BFE"/>
    <w:rsid w:val="00FF2C97"/>
    <w:rsid w:val="00FF3CCB"/>
    <w:rsid w:val="00FF4A08"/>
    <w:rsid w:val="00FF57B5"/>
    <w:rsid w:val="00FF647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02207C"/>
    <w:pPr>
      <w:keepNext/>
      <w:numPr>
        <w:numId w:val="22"/>
      </w:numPr>
      <w:spacing w:before="240" w:after="120" w:line="21" w:lineRule="atLeast"/>
      <w:ind w:left="851" w:hanging="851"/>
      <w:outlineLvl w:val="0"/>
    </w:pPr>
    <w:rPr>
      <w:color w:val="22413A"/>
      <w:sz w:val="48"/>
    </w:rPr>
  </w:style>
  <w:style w:type="paragraph" w:styleId="Heading2">
    <w:name w:val="heading 2"/>
    <w:basedOn w:val="Heading1"/>
    <w:next w:val="Normal"/>
    <w:link w:val="Heading2Char"/>
    <w:qFormat/>
    <w:rsid w:val="00EA7539"/>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56CD6"/>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56CD6"/>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56CD6"/>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02207C"/>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spacing w:before="240" w:after="120" w:line="240" w:lineRule="auto"/>
    </w:pPr>
    <w:rPr>
      <w:bCs/>
      <w:noProof/>
    </w:rPr>
  </w:style>
  <w:style w:type="paragraph" w:customStyle="1" w:styleId="Bulletlist2">
    <w:name w:val="Bullet list 2"/>
    <w:basedOn w:val="Bulletlist1"/>
    <w:uiPriority w:val="1"/>
    <w:qFormat/>
    <w:rsid w:val="00C35D86"/>
    <w:pPr>
      <w:numPr>
        <w:ilvl w:val="1"/>
        <w:numId w:val="15"/>
      </w:numPr>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556CD6"/>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56CD6"/>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56CD6"/>
    <w:rPr>
      <w:rFonts w:ascii="Arial" w:eastAsia="Times New Roman" w:hAnsi="Arial"/>
      <w:sz w:val="22"/>
      <w:szCs w:val="22"/>
      <w:lang w:eastAsia="en-US"/>
    </w:rPr>
  </w:style>
  <w:style w:type="paragraph" w:customStyle="1" w:styleId="TSHeadingNumbered1">
    <w:name w:val="TS Heading Numbered 1"/>
    <w:basedOn w:val="Normal"/>
    <w:rsid w:val="00556CD6"/>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56CD6"/>
  </w:style>
  <w:style w:type="paragraph" w:customStyle="1" w:styleId="TSHeadingNumbered111">
    <w:name w:val="TS Heading Numbered 1.1.1"/>
    <w:basedOn w:val="TSHeadingNumbered1"/>
    <w:rsid w:val="00556CD6"/>
  </w:style>
  <w:style w:type="paragraph" w:customStyle="1" w:styleId="TSHeadingNumbered1111">
    <w:name w:val="TS Heading Numbered 1.1.1.1"/>
    <w:basedOn w:val="TSHeadingNumbered1"/>
    <w:rsid w:val="00556CD6"/>
  </w:style>
  <w:style w:type="paragraph" w:customStyle="1" w:styleId="TSNumberedParagraph11">
    <w:name w:val="TS Numbered Paragraph 1.1"/>
    <w:basedOn w:val="TSHeadingNumbered11"/>
    <w:rsid w:val="00556CD6"/>
    <w:pPr>
      <w:numPr>
        <w:ilvl w:val="1"/>
      </w:numPr>
      <w:tabs>
        <w:tab w:val="num" w:pos="-31680"/>
      </w:tabs>
      <w:ind w:left="720" w:hanging="720"/>
    </w:pPr>
    <w:rPr>
      <w:rFonts w:ascii="Arial" w:hAnsi="Arial"/>
      <w:b w:val="0"/>
      <w:caps w:val="0"/>
    </w:rPr>
  </w:style>
  <w:style w:type="paragraph" w:customStyle="1" w:styleId="Pa61">
    <w:name w:val="Pa6+1"/>
    <w:basedOn w:val="Normal"/>
    <w:next w:val="Normal"/>
    <w:uiPriority w:val="99"/>
    <w:rsid w:val="00BE3250"/>
    <w:pPr>
      <w:autoSpaceDE w:val="0"/>
      <w:autoSpaceDN w:val="0"/>
      <w:adjustRightInd w:val="0"/>
      <w:spacing w:after="0" w:line="221" w:lineRule="atLeast"/>
    </w:pPr>
    <w:rPr>
      <w:rFonts w:ascii="Helvetica Neue LT" w:eastAsia="Times New Roman" w:hAnsi="Helvetica Neue LT" w:cs="Times New Roman"/>
      <w:szCs w:val="24"/>
      <w:lang w:eastAsia="en-GB" w:bidi="ar-SA"/>
    </w:rPr>
  </w:style>
  <w:style w:type="character" w:customStyle="1" w:styleId="A61">
    <w:name w:val="A6+1"/>
    <w:uiPriority w:val="99"/>
    <w:rsid w:val="00BE3250"/>
    <w:rPr>
      <w:rFonts w:cs="Helvetica Neue LT"/>
      <w:color w:val="000000"/>
      <w:sz w:val="22"/>
      <w:szCs w:val="22"/>
      <w:u w:val="single"/>
    </w:rPr>
  </w:style>
  <w:style w:type="paragraph" w:styleId="CommentSubject">
    <w:name w:val="annotation subject"/>
    <w:basedOn w:val="CommentText"/>
    <w:next w:val="CommentText"/>
    <w:link w:val="CommentSubjectChar"/>
    <w:uiPriority w:val="99"/>
    <w:semiHidden/>
    <w:unhideWhenUsed/>
    <w:rsid w:val="006407B1"/>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6407B1"/>
    <w:rPr>
      <w:rFonts w:ascii="Arial" w:eastAsiaTheme="minorHAnsi" w:hAnsi="Arial" w:cstheme="minorBidi"/>
      <w:b/>
      <w:bCs/>
      <w:lang w:eastAsia="en-US" w:bidi="he-IL"/>
    </w:rPr>
  </w:style>
  <w:style w:type="paragraph" w:styleId="Revision">
    <w:name w:val="Revision"/>
    <w:hidden/>
    <w:uiPriority w:val="99"/>
    <w:semiHidden/>
    <w:rsid w:val="00FA6451"/>
    <w:rPr>
      <w:rFonts w:ascii="Arial" w:hAnsi="Arial"/>
      <w:sz w:val="24"/>
      <w:szCs w:val="22"/>
      <w:lang w:eastAsia="en-US" w:bidi="he-IL"/>
    </w:rPr>
  </w:style>
  <w:style w:type="paragraph" w:customStyle="1" w:styleId="pf0">
    <w:name w:val="pf0"/>
    <w:basedOn w:val="Normal"/>
    <w:rsid w:val="008653F5"/>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cf01">
    <w:name w:val="cf01"/>
    <w:basedOn w:val="DefaultParagraphFont"/>
    <w:rsid w:val="008653F5"/>
    <w:rPr>
      <w:rFonts w:ascii="Segoe UI" w:hAnsi="Segoe UI" w:cs="Segoe UI" w:hint="default"/>
      <w:sz w:val="18"/>
      <w:szCs w:val="18"/>
    </w:rPr>
  </w:style>
  <w:style w:type="character" w:customStyle="1" w:styleId="cf11">
    <w:name w:val="cf11"/>
    <w:basedOn w:val="DefaultParagraphFont"/>
    <w:rsid w:val="008653F5"/>
    <w:rPr>
      <w:rFonts w:ascii="Segoe UI" w:hAnsi="Segoe UI" w:cs="Segoe UI" w:hint="default"/>
      <w:color w:val="333333"/>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414">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5642829">
      <w:bodyDiv w:val="1"/>
      <w:marLeft w:val="0"/>
      <w:marRight w:val="0"/>
      <w:marTop w:val="0"/>
      <w:marBottom w:val="0"/>
      <w:divBdr>
        <w:top w:val="none" w:sz="0" w:space="0" w:color="auto"/>
        <w:left w:val="none" w:sz="0" w:space="0" w:color="auto"/>
        <w:bottom w:val="none" w:sz="0" w:space="0" w:color="auto"/>
        <w:right w:val="none" w:sz="0" w:space="0" w:color="auto"/>
      </w:divBdr>
    </w:div>
    <w:div w:id="6639007">
      <w:bodyDiv w:val="1"/>
      <w:marLeft w:val="0"/>
      <w:marRight w:val="0"/>
      <w:marTop w:val="0"/>
      <w:marBottom w:val="0"/>
      <w:divBdr>
        <w:top w:val="none" w:sz="0" w:space="0" w:color="auto"/>
        <w:left w:val="none" w:sz="0" w:space="0" w:color="auto"/>
        <w:bottom w:val="none" w:sz="0" w:space="0" w:color="auto"/>
        <w:right w:val="none" w:sz="0" w:space="0" w:color="auto"/>
      </w:divBdr>
    </w:div>
    <w:div w:id="10495549">
      <w:bodyDiv w:val="1"/>
      <w:marLeft w:val="0"/>
      <w:marRight w:val="0"/>
      <w:marTop w:val="0"/>
      <w:marBottom w:val="0"/>
      <w:divBdr>
        <w:top w:val="none" w:sz="0" w:space="0" w:color="auto"/>
        <w:left w:val="none" w:sz="0" w:space="0" w:color="auto"/>
        <w:bottom w:val="none" w:sz="0" w:space="0" w:color="auto"/>
        <w:right w:val="none" w:sz="0" w:space="0" w:color="auto"/>
      </w:divBdr>
    </w:div>
    <w:div w:id="11877485">
      <w:bodyDiv w:val="1"/>
      <w:marLeft w:val="0"/>
      <w:marRight w:val="0"/>
      <w:marTop w:val="0"/>
      <w:marBottom w:val="0"/>
      <w:divBdr>
        <w:top w:val="none" w:sz="0" w:space="0" w:color="auto"/>
        <w:left w:val="none" w:sz="0" w:space="0" w:color="auto"/>
        <w:bottom w:val="none" w:sz="0" w:space="0" w:color="auto"/>
        <w:right w:val="none" w:sz="0" w:space="0" w:color="auto"/>
      </w:divBdr>
    </w:div>
    <w:div w:id="14160477">
      <w:bodyDiv w:val="1"/>
      <w:marLeft w:val="0"/>
      <w:marRight w:val="0"/>
      <w:marTop w:val="0"/>
      <w:marBottom w:val="0"/>
      <w:divBdr>
        <w:top w:val="none" w:sz="0" w:space="0" w:color="auto"/>
        <w:left w:val="none" w:sz="0" w:space="0" w:color="auto"/>
        <w:bottom w:val="none" w:sz="0" w:space="0" w:color="auto"/>
        <w:right w:val="none" w:sz="0" w:space="0" w:color="auto"/>
      </w:divBdr>
    </w:div>
    <w:div w:id="17464902">
      <w:bodyDiv w:val="1"/>
      <w:marLeft w:val="0"/>
      <w:marRight w:val="0"/>
      <w:marTop w:val="0"/>
      <w:marBottom w:val="0"/>
      <w:divBdr>
        <w:top w:val="none" w:sz="0" w:space="0" w:color="auto"/>
        <w:left w:val="none" w:sz="0" w:space="0" w:color="auto"/>
        <w:bottom w:val="none" w:sz="0" w:space="0" w:color="auto"/>
        <w:right w:val="none" w:sz="0" w:space="0" w:color="auto"/>
      </w:divBdr>
    </w:div>
    <w:div w:id="24253816">
      <w:bodyDiv w:val="1"/>
      <w:marLeft w:val="0"/>
      <w:marRight w:val="0"/>
      <w:marTop w:val="0"/>
      <w:marBottom w:val="0"/>
      <w:divBdr>
        <w:top w:val="none" w:sz="0" w:space="0" w:color="auto"/>
        <w:left w:val="none" w:sz="0" w:space="0" w:color="auto"/>
        <w:bottom w:val="none" w:sz="0" w:space="0" w:color="auto"/>
        <w:right w:val="none" w:sz="0" w:space="0" w:color="auto"/>
      </w:divBdr>
    </w:div>
    <w:div w:id="26106128">
      <w:bodyDiv w:val="1"/>
      <w:marLeft w:val="0"/>
      <w:marRight w:val="0"/>
      <w:marTop w:val="0"/>
      <w:marBottom w:val="0"/>
      <w:divBdr>
        <w:top w:val="none" w:sz="0" w:space="0" w:color="auto"/>
        <w:left w:val="none" w:sz="0" w:space="0" w:color="auto"/>
        <w:bottom w:val="none" w:sz="0" w:space="0" w:color="auto"/>
        <w:right w:val="none" w:sz="0" w:space="0" w:color="auto"/>
      </w:divBdr>
    </w:div>
    <w:div w:id="27292883">
      <w:bodyDiv w:val="1"/>
      <w:marLeft w:val="0"/>
      <w:marRight w:val="0"/>
      <w:marTop w:val="0"/>
      <w:marBottom w:val="0"/>
      <w:divBdr>
        <w:top w:val="none" w:sz="0" w:space="0" w:color="auto"/>
        <w:left w:val="none" w:sz="0" w:space="0" w:color="auto"/>
        <w:bottom w:val="none" w:sz="0" w:space="0" w:color="auto"/>
        <w:right w:val="none" w:sz="0" w:space="0" w:color="auto"/>
      </w:divBdr>
    </w:div>
    <w:div w:id="28342821">
      <w:bodyDiv w:val="1"/>
      <w:marLeft w:val="0"/>
      <w:marRight w:val="0"/>
      <w:marTop w:val="0"/>
      <w:marBottom w:val="0"/>
      <w:divBdr>
        <w:top w:val="none" w:sz="0" w:space="0" w:color="auto"/>
        <w:left w:val="none" w:sz="0" w:space="0" w:color="auto"/>
        <w:bottom w:val="none" w:sz="0" w:space="0" w:color="auto"/>
        <w:right w:val="none" w:sz="0" w:space="0" w:color="auto"/>
      </w:divBdr>
    </w:div>
    <w:div w:id="29036504">
      <w:bodyDiv w:val="1"/>
      <w:marLeft w:val="0"/>
      <w:marRight w:val="0"/>
      <w:marTop w:val="0"/>
      <w:marBottom w:val="0"/>
      <w:divBdr>
        <w:top w:val="none" w:sz="0" w:space="0" w:color="auto"/>
        <w:left w:val="none" w:sz="0" w:space="0" w:color="auto"/>
        <w:bottom w:val="none" w:sz="0" w:space="0" w:color="auto"/>
        <w:right w:val="none" w:sz="0" w:space="0" w:color="auto"/>
      </w:divBdr>
    </w:div>
    <w:div w:id="31078267">
      <w:bodyDiv w:val="1"/>
      <w:marLeft w:val="0"/>
      <w:marRight w:val="0"/>
      <w:marTop w:val="0"/>
      <w:marBottom w:val="0"/>
      <w:divBdr>
        <w:top w:val="none" w:sz="0" w:space="0" w:color="auto"/>
        <w:left w:val="none" w:sz="0" w:space="0" w:color="auto"/>
        <w:bottom w:val="none" w:sz="0" w:space="0" w:color="auto"/>
        <w:right w:val="none" w:sz="0" w:space="0" w:color="auto"/>
      </w:divBdr>
    </w:div>
    <w:div w:id="32313499">
      <w:bodyDiv w:val="1"/>
      <w:marLeft w:val="0"/>
      <w:marRight w:val="0"/>
      <w:marTop w:val="0"/>
      <w:marBottom w:val="0"/>
      <w:divBdr>
        <w:top w:val="none" w:sz="0" w:space="0" w:color="auto"/>
        <w:left w:val="none" w:sz="0" w:space="0" w:color="auto"/>
        <w:bottom w:val="none" w:sz="0" w:space="0" w:color="auto"/>
        <w:right w:val="none" w:sz="0" w:space="0" w:color="auto"/>
      </w:divBdr>
    </w:div>
    <w:div w:id="43604451">
      <w:bodyDiv w:val="1"/>
      <w:marLeft w:val="0"/>
      <w:marRight w:val="0"/>
      <w:marTop w:val="0"/>
      <w:marBottom w:val="0"/>
      <w:divBdr>
        <w:top w:val="none" w:sz="0" w:space="0" w:color="auto"/>
        <w:left w:val="none" w:sz="0" w:space="0" w:color="auto"/>
        <w:bottom w:val="none" w:sz="0" w:space="0" w:color="auto"/>
        <w:right w:val="none" w:sz="0" w:space="0" w:color="auto"/>
      </w:divBdr>
    </w:div>
    <w:div w:id="44255539">
      <w:bodyDiv w:val="1"/>
      <w:marLeft w:val="0"/>
      <w:marRight w:val="0"/>
      <w:marTop w:val="0"/>
      <w:marBottom w:val="0"/>
      <w:divBdr>
        <w:top w:val="none" w:sz="0" w:space="0" w:color="auto"/>
        <w:left w:val="none" w:sz="0" w:space="0" w:color="auto"/>
        <w:bottom w:val="none" w:sz="0" w:space="0" w:color="auto"/>
        <w:right w:val="none" w:sz="0" w:space="0" w:color="auto"/>
      </w:divBdr>
    </w:div>
    <w:div w:id="50887270">
      <w:bodyDiv w:val="1"/>
      <w:marLeft w:val="0"/>
      <w:marRight w:val="0"/>
      <w:marTop w:val="0"/>
      <w:marBottom w:val="0"/>
      <w:divBdr>
        <w:top w:val="none" w:sz="0" w:space="0" w:color="auto"/>
        <w:left w:val="none" w:sz="0" w:space="0" w:color="auto"/>
        <w:bottom w:val="none" w:sz="0" w:space="0" w:color="auto"/>
        <w:right w:val="none" w:sz="0" w:space="0" w:color="auto"/>
      </w:divBdr>
    </w:div>
    <w:div w:id="55321108">
      <w:bodyDiv w:val="1"/>
      <w:marLeft w:val="0"/>
      <w:marRight w:val="0"/>
      <w:marTop w:val="0"/>
      <w:marBottom w:val="0"/>
      <w:divBdr>
        <w:top w:val="none" w:sz="0" w:space="0" w:color="auto"/>
        <w:left w:val="none" w:sz="0" w:space="0" w:color="auto"/>
        <w:bottom w:val="none" w:sz="0" w:space="0" w:color="auto"/>
        <w:right w:val="none" w:sz="0" w:space="0" w:color="auto"/>
      </w:divBdr>
    </w:div>
    <w:div w:id="55471885">
      <w:bodyDiv w:val="1"/>
      <w:marLeft w:val="0"/>
      <w:marRight w:val="0"/>
      <w:marTop w:val="0"/>
      <w:marBottom w:val="0"/>
      <w:divBdr>
        <w:top w:val="none" w:sz="0" w:space="0" w:color="auto"/>
        <w:left w:val="none" w:sz="0" w:space="0" w:color="auto"/>
        <w:bottom w:val="none" w:sz="0" w:space="0" w:color="auto"/>
        <w:right w:val="none" w:sz="0" w:space="0" w:color="auto"/>
      </w:divBdr>
    </w:div>
    <w:div w:id="55476106">
      <w:bodyDiv w:val="1"/>
      <w:marLeft w:val="0"/>
      <w:marRight w:val="0"/>
      <w:marTop w:val="0"/>
      <w:marBottom w:val="0"/>
      <w:divBdr>
        <w:top w:val="none" w:sz="0" w:space="0" w:color="auto"/>
        <w:left w:val="none" w:sz="0" w:space="0" w:color="auto"/>
        <w:bottom w:val="none" w:sz="0" w:space="0" w:color="auto"/>
        <w:right w:val="none" w:sz="0" w:space="0" w:color="auto"/>
      </w:divBdr>
    </w:div>
    <w:div w:id="57941109">
      <w:bodyDiv w:val="1"/>
      <w:marLeft w:val="0"/>
      <w:marRight w:val="0"/>
      <w:marTop w:val="0"/>
      <w:marBottom w:val="0"/>
      <w:divBdr>
        <w:top w:val="none" w:sz="0" w:space="0" w:color="auto"/>
        <w:left w:val="none" w:sz="0" w:space="0" w:color="auto"/>
        <w:bottom w:val="none" w:sz="0" w:space="0" w:color="auto"/>
        <w:right w:val="none" w:sz="0" w:space="0" w:color="auto"/>
      </w:divBdr>
    </w:div>
    <w:div w:id="58020051">
      <w:bodyDiv w:val="1"/>
      <w:marLeft w:val="0"/>
      <w:marRight w:val="0"/>
      <w:marTop w:val="0"/>
      <w:marBottom w:val="0"/>
      <w:divBdr>
        <w:top w:val="none" w:sz="0" w:space="0" w:color="auto"/>
        <w:left w:val="none" w:sz="0" w:space="0" w:color="auto"/>
        <w:bottom w:val="none" w:sz="0" w:space="0" w:color="auto"/>
        <w:right w:val="none" w:sz="0" w:space="0" w:color="auto"/>
      </w:divBdr>
    </w:div>
    <w:div w:id="60299311">
      <w:bodyDiv w:val="1"/>
      <w:marLeft w:val="0"/>
      <w:marRight w:val="0"/>
      <w:marTop w:val="0"/>
      <w:marBottom w:val="0"/>
      <w:divBdr>
        <w:top w:val="none" w:sz="0" w:space="0" w:color="auto"/>
        <w:left w:val="none" w:sz="0" w:space="0" w:color="auto"/>
        <w:bottom w:val="none" w:sz="0" w:space="0" w:color="auto"/>
        <w:right w:val="none" w:sz="0" w:space="0" w:color="auto"/>
      </w:divBdr>
    </w:div>
    <w:div w:id="61296200">
      <w:bodyDiv w:val="1"/>
      <w:marLeft w:val="0"/>
      <w:marRight w:val="0"/>
      <w:marTop w:val="0"/>
      <w:marBottom w:val="0"/>
      <w:divBdr>
        <w:top w:val="none" w:sz="0" w:space="0" w:color="auto"/>
        <w:left w:val="none" w:sz="0" w:space="0" w:color="auto"/>
        <w:bottom w:val="none" w:sz="0" w:space="0" w:color="auto"/>
        <w:right w:val="none" w:sz="0" w:space="0" w:color="auto"/>
      </w:divBdr>
    </w:div>
    <w:div w:id="61566988">
      <w:bodyDiv w:val="1"/>
      <w:marLeft w:val="0"/>
      <w:marRight w:val="0"/>
      <w:marTop w:val="0"/>
      <w:marBottom w:val="0"/>
      <w:divBdr>
        <w:top w:val="none" w:sz="0" w:space="0" w:color="auto"/>
        <w:left w:val="none" w:sz="0" w:space="0" w:color="auto"/>
        <w:bottom w:val="none" w:sz="0" w:space="0" w:color="auto"/>
        <w:right w:val="none" w:sz="0" w:space="0" w:color="auto"/>
      </w:divBdr>
    </w:div>
    <w:div w:id="62290665">
      <w:bodyDiv w:val="1"/>
      <w:marLeft w:val="0"/>
      <w:marRight w:val="0"/>
      <w:marTop w:val="0"/>
      <w:marBottom w:val="0"/>
      <w:divBdr>
        <w:top w:val="none" w:sz="0" w:space="0" w:color="auto"/>
        <w:left w:val="none" w:sz="0" w:space="0" w:color="auto"/>
        <w:bottom w:val="none" w:sz="0" w:space="0" w:color="auto"/>
        <w:right w:val="none" w:sz="0" w:space="0" w:color="auto"/>
      </w:divBdr>
    </w:div>
    <w:div w:id="80295481">
      <w:bodyDiv w:val="1"/>
      <w:marLeft w:val="0"/>
      <w:marRight w:val="0"/>
      <w:marTop w:val="0"/>
      <w:marBottom w:val="0"/>
      <w:divBdr>
        <w:top w:val="none" w:sz="0" w:space="0" w:color="auto"/>
        <w:left w:val="none" w:sz="0" w:space="0" w:color="auto"/>
        <w:bottom w:val="none" w:sz="0" w:space="0" w:color="auto"/>
        <w:right w:val="none" w:sz="0" w:space="0" w:color="auto"/>
      </w:divBdr>
    </w:div>
    <w:div w:id="86267738">
      <w:bodyDiv w:val="1"/>
      <w:marLeft w:val="0"/>
      <w:marRight w:val="0"/>
      <w:marTop w:val="0"/>
      <w:marBottom w:val="0"/>
      <w:divBdr>
        <w:top w:val="none" w:sz="0" w:space="0" w:color="auto"/>
        <w:left w:val="none" w:sz="0" w:space="0" w:color="auto"/>
        <w:bottom w:val="none" w:sz="0" w:space="0" w:color="auto"/>
        <w:right w:val="none" w:sz="0" w:space="0" w:color="auto"/>
      </w:divBdr>
    </w:div>
    <w:div w:id="88550933">
      <w:bodyDiv w:val="1"/>
      <w:marLeft w:val="0"/>
      <w:marRight w:val="0"/>
      <w:marTop w:val="0"/>
      <w:marBottom w:val="0"/>
      <w:divBdr>
        <w:top w:val="none" w:sz="0" w:space="0" w:color="auto"/>
        <w:left w:val="none" w:sz="0" w:space="0" w:color="auto"/>
        <w:bottom w:val="none" w:sz="0" w:space="0" w:color="auto"/>
        <w:right w:val="none" w:sz="0" w:space="0" w:color="auto"/>
      </w:divBdr>
    </w:div>
    <w:div w:id="9020135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5564256">
      <w:bodyDiv w:val="1"/>
      <w:marLeft w:val="0"/>
      <w:marRight w:val="0"/>
      <w:marTop w:val="0"/>
      <w:marBottom w:val="0"/>
      <w:divBdr>
        <w:top w:val="none" w:sz="0" w:space="0" w:color="auto"/>
        <w:left w:val="none" w:sz="0" w:space="0" w:color="auto"/>
        <w:bottom w:val="none" w:sz="0" w:space="0" w:color="auto"/>
        <w:right w:val="none" w:sz="0" w:space="0" w:color="auto"/>
      </w:divBdr>
    </w:div>
    <w:div w:id="99952698">
      <w:bodyDiv w:val="1"/>
      <w:marLeft w:val="0"/>
      <w:marRight w:val="0"/>
      <w:marTop w:val="0"/>
      <w:marBottom w:val="0"/>
      <w:divBdr>
        <w:top w:val="none" w:sz="0" w:space="0" w:color="auto"/>
        <w:left w:val="none" w:sz="0" w:space="0" w:color="auto"/>
        <w:bottom w:val="none" w:sz="0" w:space="0" w:color="auto"/>
        <w:right w:val="none" w:sz="0" w:space="0" w:color="auto"/>
      </w:divBdr>
    </w:div>
    <w:div w:id="102045284">
      <w:bodyDiv w:val="1"/>
      <w:marLeft w:val="0"/>
      <w:marRight w:val="0"/>
      <w:marTop w:val="0"/>
      <w:marBottom w:val="0"/>
      <w:divBdr>
        <w:top w:val="none" w:sz="0" w:space="0" w:color="auto"/>
        <w:left w:val="none" w:sz="0" w:space="0" w:color="auto"/>
        <w:bottom w:val="none" w:sz="0" w:space="0" w:color="auto"/>
        <w:right w:val="none" w:sz="0" w:space="0" w:color="auto"/>
      </w:divBdr>
    </w:div>
    <w:div w:id="103503727">
      <w:bodyDiv w:val="1"/>
      <w:marLeft w:val="0"/>
      <w:marRight w:val="0"/>
      <w:marTop w:val="0"/>
      <w:marBottom w:val="0"/>
      <w:divBdr>
        <w:top w:val="none" w:sz="0" w:space="0" w:color="auto"/>
        <w:left w:val="none" w:sz="0" w:space="0" w:color="auto"/>
        <w:bottom w:val="none" w:sz="0" w:space="0" w:color="auto"/>
        <w:right w:val="none" w:sz="0" w:space="0" w:color="auto"/>
      </w:divBdr>
    </w:div>
    <w:div w:id="109667607">
      <w:bodyDiv w:val="1"/>
      <w:marLeft w:val="0"/>
      <w:marRight w:val="0"/>
      <w:marTop w:val="0"/>
      <w:marBottom w:val="0"/>
      <w:divBdr>
        <w:top w:val="none" w:sz="0" w:space="0" w:color="auto"/>
        <w:left w:val="none" w:sz="0" w:space="0" w:color="auto"/>
        <w:bottom w:val="none" w:sz="0" w:space="0" w:color="auto"/>
        <w:right w:val="none" w:sz="0" w:space="0" w:color="auto"/>
      </w:divBdr>
    </w:div>
    <w:div w:id="118763514">
      <w:bodyDiv w:val="1"/>
      <w:marLeft w:val="0"/>
      <w:marRight w:val="0"/>
      <w:marTop w:val="0"/>
      <w:marBottom w:val="0"/>
      <w:divBdr>
        <w:top w:val="none" w:sz="0" w:space="0" w:color="auto"/>
        <w:left w:val="none" w:sz="0" w:space="0" w:color="auto"/>
        <w:bottom w:val="none" w:sz="0" w:space="0" w:color="auto"/>
        <w:right w:val="none" w:sz="0" w:space="0" w:color="auto"/>
      </w:divBdr>
    </w:div>
    <w:div w:id="120197518">
      <w:bodyDiv w:val="1"/>
      <w:marLeft w:val="0"/>
      <w:marRight w:val="0"/>
      <w:marTop w:val="0"/>
      <w:marBottom w:val="0"/>
      <w:divBdr>
        <w:top w:val="none" w:sz="0" w:space="0" w:color="auto"/>
        <w:left w:val="none" w:sz="0" w:space="0" w:color="auto"/>
        <w:bottom w:val="none" w:sz="0" w:space="0" w:color="auto"/>
        <w:right w:val="none" w:sz="0" w:space="0" w:color="auto"/>
      </w:divBdr>
    </w:div>
    <w:div w:id="122041534">
      <w:bodyDiv w:val="1"/>
      <w:marLeft w:val="0"/>
      <w:marRight w:val="0"/>
      <w:marTop w:val="0"/>
      <w:marBottom w:val="0"/>
      <w:divBdr>
        <w:top w:val="none" w:sz="0" w:space="0" w:color="auto"/>
        <w:left w:val="none" w:sz="0" w:space="0" w:color="auto"/>
        <w:bottom w:val="none" w:sz="0" w:space="0" w:color="auto"/>
        <w:right w:val="none" w:sz="0" w:space="0" w:color="auto"/>
      </w:divBdr>
    </w:div>
    <w:div w:id="123235155">
      <w:bodyDiv w:val="1"/>
      <w:marLeft w:val="0"/>
      <w:marRight w:val="0"/>
      <w:marTop w:val="0"/>
      <w:marBottom w:val="0"/>
      <w:divBdr>
        <w:top w:val="none" w:sz="0" w:space="0" w:color="auto"/>
        <w:left w:val="none" w:sz="0" w:space="0" w:color="auto"/>
        <w:bottom w:val="none" w:sz="0" w:space="0" w:color="auto"/>
        <w:right w:val="none" w:sz="0" w:space="0" w:color="auto"/>
      </w:divBdr>
    </w:div>
    <w:div w:id="128742299">
      <w:bodyDiv w:val="1"/>
      <w:marLeft w:val="0"/>
      <w:marRight w:val="0"/>
      <w:marTop w:val="0"/>
      <w:marBottom w:val="0"/>
      <w:divBdr>
        <w:top w:val="none" w:sz="0" w:space="0" w:color="auto"/>
        <w:left w:val="none" w:sz="0" w:space="0" w:color="auto"/>
        <w:bottom w:val="none" w:sz="0" w:space="0" w:color="auto"/>
        <w:right w:val="none" w:sz="0" w:space="0" w:color="auto"/>
      </w:divBdr>
    </w:div>
    <w:div w:id="132455361">
      <w:bodyDiv w:val="1"/>
      <w:marLeft w:val="0"/>
      <w:marRight w:val="0"/>
      <w:marTop w:val="0"/>
      <w:marBottom w:val="0"/>
      <w:divBdr>
        <w:top w:val="none" w:sz="0" w:space="0" w:color="auto"/>
        <w:left w:val="none" w:sz="0" w:space="0" w:color="auto"/>
        <w:bottom w:val="none" w:sz="0" w:space="0" w:color="auto"/>
        <w:right w:val="none" w:sz="0" w:space="0" w:color="auto"/>
      </w:divBdr>
    </w:div>
    <w:div w:id="140270673">
      <w:bodyDiv w:val="1"/>
      <w:marLeft w:val="0"/>
      <w:marRight w:val="0"/>
      <w:marTop w:val="0"/>
      <w:marBottom w:val="0"/>
      <w:divBdr>
        <w:top w:val="none" w:sz="0" w:space="0" w:color="auto"/>
        <w:left w:val="none" w:sz="0" w:space="0" w:color="auto"/>
        <w:bottom w:val="none" w:sz="0" w:space="0" w:color="auto"/>
        <w:right w:val="none" w:sz="0" w:space="0" w:color="auto"/>
      </w:divBdr>
    </w:div>
    <w:div w:id="140971773">
      <w:bodyDiv w:val="1"/>
      <w:marLeft w:val="0"/>
      <w:marRight w:val="0"/>
      <w:marTop w:val="0"/>
      <w:marBottom w:val="0"/>
      <w:divBdr>
        <w:top w:val="none" w:sz="0" w:space="0" w:color="auto"/>
        <w:left w:val="none" w:sz="0" w:space="0" w:color="auto"/>
        <w:bottom w:val="none" w:sz="0" w:space="0" w:color="auto"/>
        <w:right w:val="none" w:sz="0" w:space="0" w:color="auto"/>
      </w:divBdr>
    </w:div>
    <w:div w:id="144130066">
      <w:bodyDiv w:val="1"/>
      <w:marLeft w:val="0"/>
      <w:marRight w:val="0"/>
      <w:marTop w:val="0"/>
      <w:marBottom w:val="0"/>
      <w:divBdr>
        <w:top w:val="none" w:sz="0" w:space="0" w:color="auto"/>
        <w:left w:val="none" w:sz="0" w:space="0" w:color="auto"/>
        <w:bottom w:val="none" w:sz="0" w:space="0" w:color="auto"/>
        <w:right w:val="none" w:sz="0" w:space="0" w:color="auto"/>
      </w:divBdr>
    </w:div>
    <w:div w:id="146747710">
      <w:bodyDiv w:val="1"/>
      <w:marLeft w:val="0"/>
      <w:marRight w:val="0"/>
      <w:marTop w:val="0"/>
      <w:marBottom w:val="0"/>
      <w:divBdr>
        <w:top w:val="none" w:sz="0" w:space="0" w:color="auto"/>
        <w:left w:val="none" w:sz="0" w:space="0" w:color="auto"/>
        <w:bottom w:val="none" w:sz="0" w:space="0" w:color="auto"/>
        <w:right w:val="none" w:sz="0" w:space="0" w:color="auto"/>
      </w:divBdr>
    </w:div>
    <w:div w:id="146870293">
      <w:bodyDiv w:val="1"/>
      <w:marLeft w:val="0"/>
      <w:marRight w:val="0"/>
      <w:marTop w:val="0"/>
      <w:marBottom w:val="0"/>
      <w:divBdr>
        <w:top w:val="none" w:sz="0" w:space="0" w:color="auto"/>
        <w:left w:val="none" w:sz="0" w:space="0" w:color="auto"/>
        <w:bottom w:val="none" w:sz="0" w:space="0" w:color="auto"/>
        <w:right w:val="none" w:sz="0" w:space="0" w:color="auto"/>
      </w:divBdr>
    </w:div>
    <w:div w:id="149565366">
      <w:bodyDiv w:val="1"/>
      <w:marLeft w:val="0"/>
      <w:marRight w:val="0"/>
      <w:marTop w:val="0"/>
      <w:marBottom w:val="0"/>
      <w:divBdr>
        <w:top w:val="none" w:sz="0" w:space="0" w:color="auto"/>
        <w:left w:val="none" w:sz="0" w:space="0" w:color="auto"/>
        <w:bottom w:val="none" w:sz="0" w:space="0" w:color="auto"/>
        <w:right w:val="none" w:sz="0" w:space="0" w:color="auto"/>
      </w:divBdr>
    </w:div>
    <w:div w:id="178392549">
      <w:bodyDiv w:val="1"/>
      <w:marLeft w:val="0"/>
      <w:marRight w:val="0"/>
      <w:marTop w:val="0"/>
      <w:marBottom w:val="0"/>
      <w:divBdr>
        <w:top w:val="none" w:sz="0" w:space="0" w:color="auto"/>
        <w:left w:val="none" w:sz="0" w:space="0" w:color="auto"/>
        <w:bottom w:val="none" w:sz="0" w:space="0" w:color="auto"/>
        <w:right w:val="none" w:sz="0" w:space="0" w:color="auto"/>
      </w:divBdr>
    </w:div>
    <w:div w:id="180752311">
      <w:bodyDiv w:val="1"/>
      <w:marLeft w:val="0"/>
      <w:marRight w:val="0"/>
      <w:marTop w:val="0"/>
      <w:marBottom w:val="0"/>
      <w:divBdr>
        <w:top w:val="none" w:sz="0" w:space="0" w:color="auto"/>
        <w:left w:val="none" w:sz="0" w:space="0" w:color="auto"/>
        <w:bottom w:val="none" w:sz="0" w:space="0" w:color="auto"/>
        <w:right w:val="none" w:sz="0" w:space="0" w:color="auto"/>
      </w:divBdr>
    </w:div>
    <w:div w:id="182011516">
      <w:bodyDiv w:val="1"/>
      <w:marLeft w:val="0"/>
      <w:marRight w:val="0"/>
      <w:marTop w:val="0"/>
      <w:marBottom w:val="0"/>
      <w:divBdr>
        <w:top w:val="none" w:sz="0" w:space="0" w:color="auto"/>
        <w:left w:val="none" w:sz="0" w:space="0" w:color="auto"/>
        <w:bottom w:val="none" w:sz="0" w:space="0" w:color="auto"/>
        <w:right w:val="none" w:sz="0" w:space="0" w:color="auto"/>
      </w:divBdr>
    </w:div>
    <w:div w:id="186336556">
      <w:bodyDiv w:val="1"/>
      <w:marLeft w:val="0"/>
      <w:marRight w:val="0"/>
      <w:marTop w:val="0"/>
      <w:marBottom w:val="0"/>
      <w:divBdr>
        <w:top w:val="none" w:sz="0" w:space="0" w:color="auto"/>
        <w:left w:val="none" w:sz="0" w:space="0" w:color="auto"/>
        <w:bottom w:val="none" w:sz="0" w:space="0" w:color="auto"/>
        <w:right w:val="none" w:sz="0" w:space="0" w:color="auto"/>
      </w:divBdr>
    </w:div>
    <w:div w:id="188879781">
      <w:bodyDiv w:val="1"/>
      <w:marLeft w:val="0"/>
      <w:marRight w:val="0"/>
      <w:marTop w:val="0"/>
      <w:marBottom w:val="0"/>
      <w:divBdr>
        <w:top w:val="none" w:sz="0" w:space="0" w:color="auto"/>
        <w:left w:val="none" w:sz="0" w:space="0" w:color="auto"/>
        <w:bottom w:val="none" w:sz="0" w:space="0" w:color="auto"/>
        <w:right w:val="none" w:sz="0" w:space="0" w:color="auto"/>
      </w:divBdr>
    </w:div>
    <w:div w:id="191067550">
      <w:bodyDiv w:val="1"/>
      <w:marLeft w:val="0"/>
      <w:marRight w:val="0"/>
      <w:marTop w:val="0"/>
      <w:marBottom w:val="0"/>
      <w:divBdr>
        <w:top w:val="none" w:sz="0" w:space="0" w:color="auto"/>
        <w:left w:val="none" w:sz="0" w:space="0" w:color="auto"/>
        <w:bottom w:val="none" w:sz="0" w:space="0" w:color="auto"/>
        <w:right w:val="none" w:sz="0" w:space="0" w:color="auto"/>
      </w:divBdr>
    </w:div>
    <w:div w:id="20148160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293723">
      <w:bodyDiv w:val="1"/>
      <w:marLeft w:val="0"/>
      <w:marRight w:val="0"/>
      <w:marTop w:val="0"/>
      <w:marBottom w:val="0"/>
      <w:divBdr>
        <w:top w:val="none" w:sz="0" w:space="0" w:color="auto"/>
        <w:left w:val="none" w:sz="0" w:space="0" w:color="auto"/>
        <w:bottom w:val="none" w:sz="0" w:space="0" w:color="auto"/>
        <w:right w:val="none" w:sz="0" w:space="0" w:color="auto"/>
      </w:divBdr>
    </w:div>
    <w:div w:id="222759585">
      <w:bodyDiv w:val="1"/>
      <w:marLeft w:val="0"/>
      <w:marRight w:val="0"/>
      <w:marTop w:val="0"/>
      <w:marBottom w:val="0"/>
      <w:divBdr>
        <w:top w:val="none" w:sz="0" w:space="0" w:color="auto"/>
        <w:left w:val="none" w:sz="0" w:space="0" w:color="auto"/>
        <w:bottom w:val="none" w:sz="0" w:space="0" w:color="auto"/>
        <w:right w:val="none" w:sz="0" w:space="0" w:color="auto"/>
      </w:divBdr>
    </w:div>
    <w:div w:id="225147801">
      <w:bodyDiv w:val="1"/>
      <w:marLeft w:val="0"/>
      <w:marRight w:val="0"/>
      <w:marTop w:val="0"/>
      <w:marBottom w:val="0"/>
      <w:divBdr>
        <w:top w:val="none" w:sz="0" w:space="0" w:color="auto"/>
        <w:left w:val="none" w:sz="0" w:space="0" w:color="auto"/>
        <w:bottom w:val="none" w:sz="0" w:space="0" w:color="auto"/>
        <w:right w:val="none" w:sz="0" w:space="0" w:color="auto"/>
      </w:divBdr>
    </w:div>
    <w:div w:id="229312269">
      <w:bodyDiv w:val="1"/>
      <w:marLeft w:val="0"/>
      <w:marRight w:val="0"/>
      <w:marTop w:val="0"/>
      <w:marBottom w:val="0"/>
      <w:divBdr>
        <w:top w:val="none" w:sz="0" w:space="0" w:color="auto"/>
        <w:left w:val="none" w:sz="0" w:space="0" w:color="auto"/>
        <w:bottom w:val="none" w:sz="0" w:space="0" w:color="auto"/>
        <w:right w:val="none" w:sz="0" w:space="0" w:color="auto"/>
      </w:divBdr>
    </w:div>
    <w:div w:id="232198689">
      <w:bodyDiv w:val="1"/>
      <w:marLeft w:val="0"/>
      <w:marRight w:val="0"/>
      <w:marTop w:val="0"/>
      <w:marBottom w:val="0"/>
      <w:divBdr>
        <w:top w:val="none" w:sz="0" w:space="0" w:color="auto"/>
        <w:left w:val="none" w:sz="0" w:space="0" w:color="auto"/>
        <w:bottom w:val="none" w:sz="0" w:space="0" w:color="auto"/>
        <w:right w:val="none" w:sz="0" w:space="0" w:color="auto"/>
      </w:divBdr>
    </w:div>
    <w:div w:id="233055327">
      <w:bodyDiv w:val="1"/>
      <w:marLeft w:val="0"/>
      <w:marRight w:val="0"/>
      <w:marTop w:val="0"/>
      <w:marBottom w:val="0"/>
      <w:divBdr>
        <w:top w:val="none" w:sz="0" w:space="0" w:color="auto"/>
        <w:left w:val="none" w:sz="0" w:space="0" w:color="auto"/>
        <w:bottom w:val="none" w:sz="0" w:space="0" w:color="auto"/>
        <w:right w:val="none" w:sz="0" w:space="0" w:color="auto"/>
      </w:divBdr>
    </w:div>
    <w:div w:id="245849879">
      <w:bodyDiv w:val="1"/>
      <w:marLeft w:val="0"/>
      <w:marRight w:val="0"/>
      <w:marTop w:val="0"/>
      <w:marBottom w:val="0"/>
      <w:divBdr>
        <w:top w:val="none" w:sz="0" w:space="0" w:color="auto"/>
        <w:left w:val="none" w:sz="0" w:space="0" w:color="auto"/>
        <w:bottom w:val="none" w:sz="0" w:space="0" w:color="auto"/>
        <w:right w:val="none" w:sz="0" w:space="0" w:color="auto"/>
      </w:divBdr>
    </w:div>
    <w:div w:id="249243486">
      <w:bodyDiv w:val="1"/>
      <w:marLeft w:val="0"/>
      <w:marRight w:val="0"/>
      <w:marTop w:val="0"/>
      <w:marBottom w:val="0"/>
      <w:divBdr>
        <w:top w:val="none" w:sz="0" w:space="0" w:color="auto"/>
        <w:left w:val="none" w:sz="0" w:space="0" w:color="auto"/>
        <w:bottom w:val="none" w:sz="0" w:space="0" w:color="auto"/>
        <w:right w:val="none" w:sz="0" w:space="0" w:color="auto"/>
      </w:divBdr>
    </w:div>
    <w:div w:id="251404130">
      <w:bodyDiv w:val="1"/>
      <w:marLeft w:val="0"/>
      <w:marRight w:val="0"/>
      <w:marTop w:val="0"/>
      <w:marBottom w:val="0"/>
      <w:divBdr>
        <w:top w:val="none" w:sz="0" w:space="0" w:color="auto"/>
        <w:left w:val="none" w:sz="0" w:space="0" w:color="auto"/>
        <w:bottom w:val="none" w:sz="0" w:space="0" w:color="auto"/>
        <w:right w:val="none" w:sz="0" w:space="0" w:color="auto"/>
      </w:divBdr>
    </w:div>
    <w:div w:id="253170806">
      <w:bodyDiv w:val="1"/>
      <w:marLeft w:val="0"/>
      <w:marRight w:val="0"/>
      <w:marTop w:val="0"/>
      <w:marBottom w:val="0"/>
      <w:divBdr>
        <w:top w:val="none" w:sz="0" w:space="0" w:color="auto"/>
        <w:left w:val="none" w:sz="0" w:space="0" w:color="auto"/>
        <w:bottom w:val="none" w:sz="0" w:space="0" w:color="auto"/>
        <w:right w:val="none" w:sz="0" w:space="0" w:color="auto"/>
      </w:divBdr>
    </w:div>
    <w:div w:id="256595837">
      <w:bodyDiv w:val="1"/>
      <w:marLeft w:val="0"/>
      <w:marRight w:val="0"/>
      <w:marTop w:val="0"/>
      <w:marBottom w:val="0"/>
      <w:divBdr>
        <w:top w:val="none" w:sz="0" w:space="0" w:color="auto"/>
        <w:left w:val="none" w:sz="0" w:space="0" w:color="auto"/>
        <w:bottom w:val="none" w:sz="0" w:space="0" w:color="auto"/>
        <w:right w:val="none" w:sz="0" w:space="0" w:color="auto"/>
      </w:divBdr>
    </w:div>
    <w:div w:id="265774775">
      <w:bodyDiv w:val="1"/>
      <w:marLeft w:val="0"/>
      <w:marRight w:val="0"/>
      <w:marTop w:val="0"/>
      <w:marBottom w:val="0"/>
      <w:divBdr>
        <w:top w:val="none" w:sz="0" w:space="0" w:color="auto"/>
        <w:left w:val="none" w:sz="0" w:space="0" w:color="auto"/>
        <w:bottom w:val="none" w:sz="0" w:space="0" w:color="auto"/>
        <w:right w:val="none" w:sz="0" w:space="0" w:color="auto"/>
      </w:divBdr>
    </w:div>
    <w:div w:id="270359141">
      <w:bodyDiv w:val="1"/>
      <w:marLeft w:val="0"/>
      <w:marRight w:val="0"/>
      <w:marTop w:val="0"/>
      <w:marBottom w:val="0"/>
      <w:divBdr>
        <w:top w:val="none" w:sz="0" w:space="0" w:color="auto"/>
        <w:left w:val="none" w:sz="0" w:space="0" w:color="auto"/>
        <w:bottom w:val="none" w:sz="0" w:space="0" w:color="auto"/>
        <w:right w:val="none" w:sz="0" w:space="0" w:color="auto"/>
      </w:divBdr>
    </w:div>
    <w:div w:id="273438015">
      <w:bodyDiv w:val="1"/>
      <w:marLeft w:val="0"/>
      <w:marRight w:val="0"/>
      <w:marTop w:val="0"/>
      <w:marBottom w:val="0"/>
      <w:divBdr>
        <w:top w:val="none" w:sz="0" w:space="0" w:color="auto"/>
        <w:left w:val="none" w:sz="0" w:space="0" w:color="auto"/>
        <w:bottom w:val="none" w:sz="0" w:space="0" w:color="auto"/>
        <w:right w:val="none" w:sz="0" w:space="0" w:color="auto"/>
      </w:divBdr>
    </w:div>
    <w:div w:id="273632361">
      <w:bodyDiv w:val="1"/>
      <w:marLeft w:val="0"/>
      <w:marRight w:val="0"/>
      <w:marTop w:val="0"/>
      <w:marBottom w:val="0"/>
      <w:divBdr>
        <w:top w:val="none" w:sz="0" w:space="0" w:color="auto"/>
        <w:left w:val="none" w:sz="0" w:space="0" w:color="auto"/>
        <w:bottom w:val="none" w:sz="0" w:space="0" w:color="auto"/>
        <w:right w:val="none" w:sz="0" w:space="0" w:color="auto"/>
      </w:divBdr>
    </w:div>
    <w:div w:id="273945264">
      <w:bodyDiv w:val="1"/>
      <w:marLeft w:val="0"/>
      <w:marRight w:val="0"/>
      <w:marTop w:val="0"/>
      <w:marBottom w:val="0"/>
      <w:divBdr>
        <w:top w:val="none" w:sz="0" w:space="0" w:color="auto"/>
        <w:left w:val="none" w:sz="0" w:space="0" w:color="auto"/>
        <w:bottom w:val="none" w:sz="0" w:space="0" w:color="auto"/>
        <w:right w:val="none" w:sz="0" w:space="0" w:color="auto"/>
      </w:divBdr>
    </w:div>
    <w:div w:id="274023465">
      <w:bodyDiv w:val="1"/>
      <w:marLeft w:val="0"/>
      <w:marRight w:val="0"/>
      <w:marTop w:val="0"/>
      <w:marBottom w:val="0"/>
      <w:divBdr>
        <w:top w:val="none" w:sz="0" w:space="0" w:color="auto"/>
        <w:left w:val="none" w:sz="0" w:space="0" w:color="auto"/>
        <w:bottom w:val="none" w:sz="0" w:space="0" w:color="auto"/>
        <w:right w:val="none" w:sz="0" w:space="0" w:color="auto"/>
      </w:divBdr>
    </w:div>
    <w:div w:id="287662550">
      <w:bodyDiv w:val="1"/>
      <w:marLeft w:val="0"/>
      <w:marRight w:val="0"/>
      <w:marTop w:val="0"/>
      <w:marBottom w:val="0"/>
      <w:divBdr>
        <w:top w:val="none" w:sz="0" w:space="0" w:color="auto"/>
        <w:left w:val="none" w:sz="0" w:space="0" w:color="auto"/>
        <w:bottom w:val="none" w:sz="0" w:space="0" w:color="auto"/>
        <w:right w:val="none" w:sz="0" w:space="0" w:color="auto"/>
      </w:divBdr>
    </w:div>
    <w:div w:id="298995782">
      <w:bodyDiv w:val="1"/>
      <w:marLeft w:val="0"/>
      <w:marRight w:val="0"/>
      <w:marTop w:val="0"/>
      <w:marBottom w:val="0"/>
      <w:divBdr>
        <w:top w:val="none" w:sz="0" w:space="0" w:color="auto"/>
        <w:left w:val="none" w:sz="0" w:space="0" w:color="auto"/>
        <w:bottom w:val="none" w:sz="0" w:space="0" w:color="auto"/>
        <w:right w:val="none" w:sz="0" w:space="0" w:color="auto"/>
      </w:divBdr>
    </w:div>
    <w:div w:id="300766303">
      <w:bodyDiv w:val="1"/>
      <w:marLeft w:val="0"/>
      <w:marRight w:val="0"/>
      <w:marTop w:val="0"/>
      <w:marBottom w:val="0"/>
      <w:divBdr>
        <w:top w:val="none" w:sz="0" w:space="0" w:color="auto"/>
        <w:left w:val="none" w:sz="0" w:space="0" w:color="auto"/>
        <w:bottom w:val="none" w:sz="0" w:space="0" w:color="auto"/>
        <w:right w:val="none" w:sz="0" w:space="0" w:color="auto"/>
      </w:divBdr>
    </w:div>
    <w:div w:id="303045455">
      <w:bodyDiv w:val="1"/>
      <w:marLeft w:val="0"/>
      <w:marRight w:val="0"/>
      <w:marTop w:val="0"/>
      <w:marBottom w:val="0"/>
      <w:divBdr>
        <w:top w:val="none" w:sz="0" w:space="0" w:color="auto"/>
        <w:left w:val="none" w:sz="0" w:space="0" w:color="auto"/>
        <w:bottom w:val="none" w:sz="0" w:space="0" w:color="auto"/>
        <w:right w:val="none" w:sz="0" w:space="0" w:color="auto"/>
      </w:divBdr>
    </w:div>
    <w:div w:id="317466705">
      <w:bodyDiv w:val="1"/>
      <w:marLeft w:val="0"/>
      <w:marRight w:val="0"/>
      <w:marTop w:val="0"/>
      <w:marBottom w:val="0"/>
      <w:divBdr>
        <w:top w:val="none" w:sz="0" w:space="0" w:color="auto"/>
        <w:left w:val="none" w:sz="0" w:space="0" w:color="auto"/>
        <w:bottom w:val="none" w:sz="0" w:space="0" w:color="auto"/>
        <w:right w:val="none" w:sz="0" w:space="0" w:color="auto"/>
      </w:divBdr>
    </w:div>
    <w:div w:id="318729236">
      <w:bodyDiv w:val="1"/>
      <w:marLeft w:val="0"/>
      <w:marRight w:val="0"/>
      <w:marTop w:val="0"/>
      <w:marBottom w:val="0"/>
      <w:divBdr>
        <w:top w:val="none" w:sz="0" w:space="0" w:color="auto"/>
        <w:left w:val="none" w:sz="0" w:space="0" w:color="auto"/>
        <w:bottom w:val="none" w:sz="0" w:space="0" w:color="auto"/>
        <w:right w:val="none" w:sz="0" w:space="0" w:color="auto"/>
      </w:divBdr>
    </w:div>
    <w:div w:id="328293372">
      <w:bodyDiv w:val="1"/>
      <w:marLeft w:val="0"/>
      <w:marRight w:val="0"/>
      <w:marTop w:val="0"/>
      <w:marBottom w:val="0"/>
      <w:divBdr>
        <w:top w:val="none" w:sz="0" w:space="0" w:color="auto"/>
        <w:left w:val="none" w:sz="0" w:space="0" w:color="auto"/>
        <w:bottom w:val="none" w:sz="0" w:space="0" w:color="auto"/>
        <w:right w:val="none" w:sz="0" w:space="0" w:color="auto"/>
      </w:divBdr>
    </w:div>
    <w:div w:id="33202853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9111294">
      <w:bodyDiv w:val="1"/>
      <w:marLeft w:val="0"/>
      <w:marRight w:val="0"/>
      <w:marTop w:val="0"/>
      <w:marBottom w:val="0"/>
      <w:divBdr>
        <w:top w:val="none" w:sz="0" w:space="0" w:color="auto"/>
        <w:left w:val="none" w:sz="0" w:space="0" w:color="auto"/>
        <w:bottom w:val="none" w:sz="0" w:space="0" w:color="auto"/>
        <w:right w:val="none" w:sz="0" w:space="0" w:color="auto"/>
      </w:divBdr>
    </w:div>
    <w:div w:id="352462239">
      <w:bodyDiv w:val="1"/>
      <w:marLeft w:val="0"/>
      <w:marRight w:val="0"/>
      <w:marTop w:val="0"/>
      <w:marBottom w:val="0"/>
      <w:divBdr>
        <w:top w:val="none" w:sz="0" w:space="0" w:color="auto"/>
        <w:left w:val="none" w:sz="0" w:space="0" w:color="auto"/>
        <w:bottom w:val="none" w:sz="0" w:space="0" w:color="auto"/>
        <w:right w:val="none" w:sz="0" w:space="0" w:color="auto"/>
      </w:divBdr>
    </w:div>
    <w:div w:id="354966225">
      <w:bodyDiv w:val="1"/>
      <w:marLeft w:val="0"/>
      <w:marRight w:val="0"/>
      <w:marTop w:val="0"/>
      <w:marBottom w:val="0"/>
      <w:divBdr>
        <w:top w:val="none" w:sz="0" w:space="0" w:color="auto"/>
        <w:left w:val="none" w:sz="0" w:space="0" w:color="auto"/>
        <w:bottom w:val="none" w:sz="0" w:space="0" w:color="auto"/>
        <w:right w:val="none" w:sz="0" w:space="0" w:color="auto"/>
      </w:divBdr>
    </w:div>
    <w:div w:id="357896924">
      <w:bodyDiv w:val="1"/>
      <w:marLeft w:val="0"/>
      <w:marRight w:val="0"/>
      <w:marTop w:val="0"/>
      <w:marBottom w:val="0"/>
      <w:divBdr>
        <w:top w:val="none" w:sz="0" w:space="0" w:color="auto"/>
        <w:left w:val="none" w:sz="0" w:space="0" w:color="auto"/>
        <w:bottom w:val="none" w:sz="0" w:space="0" w:color="auto"/>
        <w:right w:val="none" w:sz="0" w:space="0" w:color="auto"/>
      </w:divBdr>
    </w:div>
    <w:div w:id="358239298">
      <w:bodyDiv w:val="1"/>
      <w:marLeft w:val="0"/>
      <w:marRight w:val="0"/>
      <w:marTop w:val="0"/>
      <w:marBottom w:val="0"/>
      <w:divBdr>
        <w:top w:val="none" w:sz="0" w:space="0" w:color="auto"/>
        <w:left w:val="none" w:sz="0" w:space="0" w:color="auto"/>
        <w:bottom w:val="none" w:sz="0" w:space="0" w:color="auto"/>
        <w:right w:val="none" w:sz="0" w:space="0" w:color="auto"/>
      </w:divBdr>
    </w:div>
    <w:div w:id="359821807">
      <w:bodyDiv w:val="1"/>
      <w:marLeft w:val="0"/>
      <w:marRight w:val="0"/>
      <w:marTop w:val="0"/>
      <w:marBottom w:val="0"/>
      <w:divBdr>
        <w:top w:val="none" w:sz="0" w:space="0" w:color="auto"/>
        <w:left w:val="none" w:sz="0" w:space="0" w:color="auto"/>
        <w:bottom w:val="none" w:sz="0" w:space="0" w:color="auto"/>
        <w:right w:val="none" w:sz="0" w:space="0" w:color="auto"/>
      </w:divBdr>
    </w:div>
    <w:div w:id="362831034">
      <w:bodyDiv w:val="1"/>
      <w:marLeft w:val="0"/>
      <w:marRight w:val="0"/>
      <w:marTop w:val="0"/>
      <w:marBottom w:val="0"/>
      <w:divBdr>
        <w:top w:val="none" w:sz="0" w:space="0" w:color="auto"/>
        <w:left w:val="none" w:sz="0" w:space="0" w:color="auto"/>
        <w:bottom w:val="none" w:sz="0" w:space="0" w:color="auto"/>
        <w:right w:val="none" w:sz="0" w:space="0" w:color="auto"/>
      </w:divBdr>
    </w:div>
    <w:div w:id="363093683">
      <w:bodyDiv w:val="1"/>
      <w:marLeft w:val="0"/>
      <w:marRight w:val="0"/>
      <w:marTop w:val="0"/>
      <w:marBottom w:val="0"/>
      <w:divBdr>
        <w:top w:val="none" w:sz="0" w:space="0" w:color="auto"/>
        <w:left w:val="none" w:sz="0" w:space="0" w:color="auto"/>
        <w:bottom w:val="none" w:sz="0" w:space="0" w:color="auto"/>
        <w:right w:val="none" w:sz="0" w:space="0" w:color="auto"/>
      </w:divBdr>
    </w:div>
    <w:div w:id="376903946">
      <w:bodyDiv w:val="1"/>
      <w:marLeft w:val="0"/>
      <w:marRight w:val="0"/>
      <w:marTop w:val="0"/>
      <w:marBottom w:val="0"/>
      <w:divBdr>
        <w:top w:val="none" w:sz="0" w:space="0" w:color="auto"/>
        <w:left w:val="none" w:sz="0" w:space="0" w:color="auto"/>
        <w:bottom w:val="none" w:sz="0" w:space="0" w:color="auto"/>
        <w:right w:val="none" w:sz="0" w:space="0" w:color="auto"/>
      </w:divBdr>
    </w:div>
    <w:div w:id="394671015">
      <w:bodyDiv w:val="1"/>
      <w:marLeft w:val="0"/>
      <w:marRight w:val="0"/>
      <w:marTop w:val="0"/>
      <w:marBottom w:val="0"/>
      <w:divBdr>
        <w:top w:val="none" w:sz="0" w:space="0" w:color="auto"/>
        <w:left w:val="none" w:sz="0" w:space="0" w:color="auto"/>
        <w:bottom w:val="none" w:sz="0" w:space="0" w:color="auto"/>
        <w:right w:val="none" w:sz="0" w:space="0" w:color="auto"/>
      </w:divBdr>
    </w:div>
    <w:div w:id="399443565">
      <w:bodyDiv w:val="1"/>
      <w:marLeft w:val="0"/>
      <w:marRight w:val="0"/>
      <w:marTop w:val="0"/>
      <w:marBottom w:val="0"/>
      <w:divBdr>
        <w:top w:val="none" w:sz="0" w:space="0" w:color="auto"/>
        <w:left w:val="none" w:sz="0" w:space="0" w:color="auto"/>
        <w:bottom w:val="none" w:sz="0" w:space="0" w:color="auto"/>
        <w:right w:val="none" w:sz="0" w:space="0" w:color="auto"/>
      </w:divBdr>
    </w:div>
    <w:div w:id="406612100">
      <w:bodyDiv w:val="1"/>
      <w:marLeft w:val="0"/>
      <w:marRight w:val="0"/>
      <w:marTop w:val="0"/>
      <w:marBottom w:val="0"/>
      <w:divBdr>
        <w:top w:val="none" w:sz="0" w:space="0" w:color="auto"/>
        <w:left w:val="none" w:sz="0" w:space="0" w:color="auto"/>
        <w:bottom w:val="none" w:sz="0" w:space="0" w:color="auto"/>
        <w:right w:val="none" w:sz="0" w:space="0" w:color="auto"/>
      </w:divBdr>
    </w:div>
    <w:div w:id="410929116">
      <w:bodyDiv w:val="1"/>
      <w:marLeft w:val="0"/>
      <w:marRight w:val="0"/>
      <w:marTop w:val="0"/>
      <w:marBottom w:val="0"/>
      <w:divBdr>
        <w:top w:val="none" w:sz="0" w:space="0" w:color="auto"/>
        <w:left w:val="none" w:sz="0" w:space="0" w:color="auto"/>
        <w:bottom w:val="none" w:sz="0" w:space="0" w:color="auto"/>
        <w:right w:val="none" w:sz="0" w:space="0" w:color="auto"/>
      </w:divBdr>
    </w:div>
    <w:div w:id="413406019">
      <w:bodyDiv w:val="1"/>
      <w:marLeft w:val="0"/>
      <w:marRight w:val="0"/>
      <w:marTop w:val="0"/>
      <w:marBottom w:val="0"/>
      <w:divBdr>
        <w:top w:val="none" w:sz="0" w:space="0" w:color="auto"/>
        <w:left w:val="none" w:sz="0" w:space="0" w:color="auto"/>
        <w:bottom w:val="none" w:sz="0" w:space="0" w:color="auto"/>
        <w:right w:val="none" w:sz="0" w:space="0" w:color="auto"/>
      </w:divBdr>
    </w:div>
    <w:div w:id="413822094">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6585880">
      <w:bodyDiv w:val="1"/>
      <w:marLeft w:val="0"/>
      <w:marRight w:val="0"/>
      <w:marTop w:val="0"/>
      <w:marBottom w:val="0"/>
      <w:divBdr>
        <w:top w:val="none" w:sz="0" w:space="0" w:color="auto"/>
        <w:left w:val="none" w:sz="0" w:space="0" w:color="auto"/>
        <w:bottom w:val="none" w:sz="0" w:space="0" w:color="auto"/>
        <w:right w:val="none" w:sz="0" w:space="0" w:color="auto"/>
      </w:divBdr>
    </w:div>
    <w:div w:id="449277363">
      <w:bodyDiv w:val="1"/>
      <w:marLeft w:val="0"/>
      <w:marRight w:val="0"/>
      <w:marTop w:val="0"/>
      <w:marBottom w:val="0"/>
      <w:divBdr>
        <w:top w:val="none" w:sz="0" w:space="0" w:color="auto"/>
        <w:left w:val="none" w:sz="0" w:space="0" w:color="auto"/>
        <w:bottom w:val="none" w:sz="0" w:space="0" w:color="auto"/>
        <w:right w:val="none" w:sz="0" w:space="0" w:color="auto"/>
      </w:divBdr>
    </w:div>
    <w:div w:id="45275081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9347001">
      <w:bodyDiv w:val="1"/>
      <w:marLeft w:val="0"/>
      <w:marRight w:val="0"/>
      <w:marTop w:val="0"/>
      <w:marBottom w:val="0"/>
      <w:divBdr>
        <w:top w:val="none" w:sz="0" w:space="0" w:color="auto"/>
        <w:left w:val="none" w:sz="0" w:space="0" w:color="auto"/>
        <w:bottom w:val="none" w:sz="0" w:space="0" w:color="auto"/>
        <w:right w:val="none" w:sz="0" w:space="0" w:color="auto"/>
      </w:divBdr>
    </w:div>
    <w:div w:id="459883642">
      <w:bodyDiv w:val="1"/>
      <w:marLeft w:val="0"/>
      <w:marRight w:val="0"/>
      <w:marTop w:val="0"/>
      <w:marBottom w:val="0"/>
      <w:divBdr>
        <w:top w:val="none" w:sz="0" w:space="0" w:color="auto"/>
        <w:left w:val="none" w:sz="0" w:space="0" w:color="auto"/>
        <w:bottom w:val="none" w:sz="0" w:space="0" w:color="auto"/>
        <w:right w:val="none" w:sz="0" w:space="0" w:color="auto"/>
      </w:divBdr>
    </w:div>
    <w:div w:id="462892281">
      <w:bodyDiv w:val="1"/>
      <w:marLeft w:val="0"/>
      <w:marRight w:val="0"/>
      <w:marTop w:val="0"/>
      <w:marBottom w:val="0"/>
      <w:divBdr>
        <w:top w:val="none" w:sz="0" w:space="0" w:color="auto"/>
        <w:left w:val="none" w:sz="0" w:space="0" w:color="auto"/>
        <w:bottom w:val="none" w:sz="0" w:space="0" w:color="auto"/>
        <w:right w:val="none" w:sz="0" w:space="0" w:color="auto"/>
      </w:divBdr>
    </w:div>
    <w:div w:id="472673511">
      <w:bodyDiv w:val="1"/>
      <w:marLeft w:val="0"/>
      <w:marRight w:val="0"/>
      <w:marTop w:val="0"/>
      <w:marBottom w:val="0"/>
      <w:divBdr>
        <w:top w:val="none" w:sz="0" w:space="0" w:color="auto"/>
        <w:left w:val="none" w:sz="0" w:space="0" w:color="auto"/>
        <w:bottom w:val="none" w:sz="0" w:space="0" w:color="auto"/>
        <w:right w:val="none" w:sz="0" w:space="0" w:color="auto"/>
      </w:divBdr>
    </w:div>
    <w:div w:id="475148844">
      <w:bodyDiv w:val="1"/>
      <w:marLeft w:val="0"/>
      <w:marRight w:val="0"/>
      <w:marTop w:val="0"/>
      <w:marBottom w:val="0"/>
      <w:divBdr>
        <w:top w:val="none" w:sz="0" w:space="0" w:color="auto"/>
        <w:left w:val="none" w:sz="0" w:space="0" w:color="auto"/>
        <w:bottom w:val="none" w:sz="0" w:space="0" w:color="auto"/>
        <w:right w:val="none" w:sz="0" w:space="0" w:color="auto"/>
      </w:divBdr>
    </w:div>
    <w:div w:id="477496689">
      <w:bodyDiv w:val="1"/>
      <w:marLeft w:val="0"/>
      <w:marRight w:val="0"/>
      <w:marTop w:val="0"/>
      <w:marBottom w:val="0"/>
      <w:divBdr>
        <w:top w:val="none" w:sz="0" w:space="0" w:color="auto"/>
        <w:left w:val="none" w:sz="0" w:space="0" w:color="auto"/>
        <w:bottom w:val="none" w:sz="0" w:space="0" w:color="auto"/>
        <w:right w:val="none" w:sz="0" w:space="0" w:color="auto"/>
      </w:divBdr>
    </w:div>
    <w:div w:id="480538627">
      <w:bodyDiv w:val="1"/>
      <w:marLeft w:val="0"/>
      <w:marRight w:val="0"/>
      <w:marTop w:val="0"/>
      <w:marBottom w:val="0"/>
      <w:divBdr>
        <w:top w:val="none" w:sz="0" w:space="0" w:color="auto"/>
        <w:left w:val="none" w:sz="0" w:space="0" w:color="auto"/>
        <w:bottom w:val="none" w:sz="0" w:space="0" w:color="auto"/>
        <w:right w:val="none" w:sz="0" w:space="0" w:color="auto"/>
      </w:divBdr>
    </w:div>
    <w:div w:id="487478675">
      <w:bodyDiv w:val="1"/>
      <w:marLeft w:val="0"/>
      <w:marRight w:val="0"/>
      <w:marTop w:val="0"/>
      <w:marBottom w:val="0"/>
      <w:divBdr>
        <w:top w:val="none" w:sz="0" w:space="0" w:color="auto"/>
        <w:left w:val="none" w:sz="0" w:space="0" w:color="auto"/>
        <w:bottom w:val="none" w:sz="0" w:space="0" w:color="auto"/>
        <w:right w:val="none" w:sz="0" w:space="0" w:color="auto"/>
      </w:divBdr>
    </w:div>
    <w:div w:id="492262669">
      <w:bodyDiv w:val="1"/>
      <w:marLeft w:val="0"/>
      <w:marRight w:val="0"/>
      <w:marTop w:val="0"/>
      <w:marBottom w:val="0"/>
      <w:divBdr>
        <w:top w:val="none" w:sz="0" w:space="0" w:color="auto"/>
        <w:left w:val="none" w:sz="0" w:space="0" w:color="auto"/>
        <w:bottom w:val="none" w:sz="0" w:space="0" w:color="auto"/>
        <w:right w:val="none" w:sz="0" w:space="0" w:color="auto"/>
      </w:divBdr>
    </w:div>
    <w:div w:id="493570600">
      <w:bodyDiv w:val="1"/>
      <w:marLeft w:val="0"/>
      <w:marRight w:val="0"/>
      <w:marTop w:val="0"/>
      <w:marBottom w:val="0"/>
      <w:divBdr>
        <w:top w:val="none" w:sz="0" w:space="0" w:color="auto"/>
        <w:left w:val="none" w:sz="0" w:space="0" w:color="auto"/>
        <w:bottom w:val="none" w:sz="0" w:space="0" w:color="auto"/>
        <w:right w:val="none" w:sz="0" w:space="0" w:color="auto"/>
      </w:divBdr>
    </w:div>
    <w:div w:id="498885239">
      <w:bodyDiv w:val="1"/>
      <w:marLeft w:val="0"/>
      <w:marRight w:val="0"/>
      <w:marTop w:val="0"/>
      <w:marBottom w:val="0"/>
      <w:divBdr>
        <w:top w:val="none" w:sz="0" w:space="0" w:color="auto"/>
        <w:left w:val="none" w:sz="0" w:space="0" w:color="auto"/>
        <w:bottom w:val="none" w:sz="0" w:space="0" w:color="auto"/>
        <w:right w:val="none" w:sz="0" w:space="0" w:color="auto"/>
      </w:divBdr>
    </w:div>
    <w:div w:id="504053921">
      <w:bodyDiv w:val="1"/>
      <w:marLeft w:val="0"/>
      <w:marRight w:val="0"/>
      <w:marTop w:val="0"/>
      <w:marBottom w:val="0"/>
      <w:divBdr>
        <w:top w:val="none" w:sz="0" w:space="0" w:color="auto"/>
        <w:left w:val="none" w:sz="0" w:space="0" w:color="auto"/>
        <w:bottom w:val="none" w:sz="0" w:space="0" w:color="auto"/>
        <w:right w:val="none" w:sz="0" w:space="0" w:color="auto"/>
      </w:divBdr>
    </w:div>
    <w:div w:id="507064828">
      <w:bodyDiv w:val="1"/>
      <w:marLeft w:val="0"/>
      <w:marRight w:val="0"/>
      <w:marTop w:val="0"/>
      <w:marBottom w:val="0"/>
      <w:divBdr>
        <w:top w:val="none" w:sz="0" w:space="0" w:color="auto"/>
        <w:left w:val="none" w:sz="0" w:space="0" w:color="auto"/>
        <w:bottom w:val="none" w:sz="0" w:space="0" w:color="auto"/>
        <w:right w:val="none" w:sz="0" w:space="0" w:color="auto"/>
      </w:divBdr>
    </w:div>
    <w:div w:id="512571643">
      <w:bodyDiv w:val="1"/>
      <w:marLeft w:val="0"/>
      <w:marRight w:val="0"/>
      <w:marTop w:val="0"/>
      <w:marBottom w:val="0"/>
      <w:divBdr>
        <w:top w:val="none" w:sz="0" w:space="0" w:color="auto"/>
        <w:left w:val="none" w:sz="0" w:space="0" w:color="auto"/>
        <w:bottom w:val="none" w:sz="0" w:space="0" w:color="auto"/>
        <w:right w:val="none" w:sz="0" w:space="0" w:color="auto"/>
      </w:divBdr>
    </w:div>
    <w:div w:id="521626615">
      <w:bodyDiv w:val="1"/>
      <w:marLeft w:val="0"/>
      <w:marRight w:val="0"/>
      <w:marTop w:val="0"/>
      <w:marBottom w:val="0"/>
      <w:divBdr>
        <w:top w:val="none" w:sz="0" w:space="0" w:color="auto"/>
        <w:left w:val="none" w:sz="0" w:space="0" w:color="auto"/>
        <w:bottom w:val="none" w:sz="0" w:space="0" w:color="auto"/>
        <w:right w:val="none" w:sz="0" w:space="0" w:color="auto"/>
      </w:divBdr>
    </w:div>
    <w:div w:id="52744812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5218852">
      <w:bodyDiv w:val="1"/>
      <w:marLeft w:val="0"/>
      <w:marRight w:val="0"/>
      <w:marTop w:val="0"/>
      <w:marBottom w:val="0"/>
      <w:divBdr>
        <w:top w:val="none" w:sz="0" w:space="0" w:color="auto"/>
        <w:left w:val="none" w:sz="0" w:space="0" w:color="auto"/>
        <w:bottom w:val="none" w:sz="0" w:space="0" w:color="auto"/>
        <w:right w:val="none" w:sz="0" w:space="0" w:color="auto"/>
      </w:divBdr>
    </w:div>
    <w:div w:id="546570334">
      <w:bodyDiv w:val="1"/>
      <w:marLeft w:val="0"/>
      <w:marRight w:val="0"/>
      <w:marTop w:val="0"/>
      <w:marBottom w:val="0"/>
      <w:divBdr>
        <w:top w:val="none" w:sz="0" w:space="0" w:color="auto"/>
        <w:left w:val="none" w:sz="0" w:space="0" w:color="auto"/>
        <w:bottom w:val="none" w:sz="0" w:space="0" w:color="auto"/>
        <w:right w:val="none" w:sz="0" w:space="0" w:color="auto"/>
      </w:divBdr>
    </w:div>
    <w:div w:id="548301411">
      <w:bodyDiv w:val="1"/>
      <w:marLeft w:val="0"/>
      <w:marRight w:val="0"/>
      <w:marTop w:val="0"/>
      <w:marBottom w:val="0"/>
      <w:divBdr>
        <w:top w:val="none" w:sz="0" w:space="0" w:color="auto"/>
        <w:left w:val="none" w:sz="0" w:space="0" w:color="auto"/>
        <w:bottom w:val="none" w:sz="0" w:space="0" w:color="auto"/>
        <w:right w:val="none" w:sz="0" w:space="0" w:color="auto"/>
      </w:divBdr>
    </w:div>
    <w:div w:id="549609517">
      <w:bodyDiv w:val="1"/>
      <w:marLeft w:val="0"/>
      <w:marRight w:val="0"/>
      <w:marTop w:val="0"/>
      <w:marBottom w:val="0"/>
      <w:divBdr>
        <w:top w:val="none" w:sz="0" w:space="0" w:color="auto"/>
        <w:left w:val="none" w:sz="0" w:space="0" w:color="auto"/>
        <w:bottom w:val="none" w:sz="0" w:space="0" w:color="auto"/>
        <w:right w:val="none" w:sz="0" w:space="0" w:color="auto"/>
      </w:divBdr>
    </w:div>
    <w:div w:id="552078441">
      <w:bodyDiv w:val="1"/>
      <w:marLeft w:val="0"/>
      <w:marRight w:val="0"/>
      <w:marTop w:val="0"/>
      <w:marBottom w:val="0"/>
      <w:divBdr>
        <w:top w:val="none" w:sz="0" w:space="0" w:color="auto"/>
        <w:left w:val="none" w:sz="0" w:space="0" w:color="auto"/>
        <w:bottom w:val="none" w:sz="0" w:space="0" w:color="auto"/>
        <w:right w:val="none" w:sz="0" w:space="0" w:color="auto"/>
      </w:divBdr>
    </w:div>
    <w:div w:id="553200272">
      <w:bodyDiv w:val="1"/>
      <w:marLeft w:val="0"/>
      <w:marRight w:val="0"/>
      <w:marTop w:val="0"/>
      <w:marBottom w:val="0"/>
      <w:divBdr>
        <w:top w:val="none" w:sz="0" w:space="0" w:color="auto"/>
        <w:left w:val="none" w:sz="0" w:space="0" w:color="auto"/>
        <w:bottom w:val="none" w:sz="0" w:space="0" w:color="auto"/>
        <w:right w:val="none" w:sz="0" w:space="0" w:color="auto"/>
      </w:divBdr>
    </w:div>
    <w:div w:id="554201579">
      <w:bodyDiv w:val="1"/>
      <w:marLeft w:val="0"/>
      <w:marRight w:val="0"/>
      <w:marTop w:val="0"/>
      <w:marBottom w:val="0"/>
      <w:divBdr>
        <w:top w:val="none" w:sz="0" w:space="0" w:color="auto"/>
        <w:left w:val="none" w:sz="0" w:space="0" w:color="auto"/>
        <w:bottom w:val="none" w:sz="0" w:space="0" w:color="auto"/>
        <w:right w:val="none" w:sz="0" w:space="0" w:color="auto"/>
      </w:divBdr>
    </w:div>
    <w:div w:id="562059826">
      <w:bodyDiv w:val="1"/>
      <w:marLeft w:val="0"/>
      <w:marRight w:val="0"/>
      <w:marTop w:val="0"/>
      <w:marBottom w:val="0"/>
      <w:divBdr>
        <w:top w:val="none" w:sz="0" w:space="0" w:color="auto"/>
        <w:left w:val="none" w:sz="0" w:space="0" w:color="auto"/>
        <w:bottom w:val="none" w:sz="0" w:space="0" w:color="auto"/>
        <w:right w:val="none" w:sz="0" w:space="0" w:color="auto"/>
      </w:divBdr>
    </w:div>
    <w:div w:id="575016831">
      <w:bodyDiv w:val="1"/>
      <w:marLeft w:val="0"/>
      <w:marRight w:val="0"/>
      <w:marTop w:val="0"/>
      <w:marBottom w:val="0"/>
      <w:divBdr>
        <w:top w:val="none" w:sz="0" w:space="0" w:color="auto"/>
        <w:left w:val="none" w:sz="0" w:space="0" w:color="auto"/>
        <w:bottom w:val="none" w:sz="0" w:space="0" w:color="auto"/>
        <w:right w:val="none" w:sz="0" w:space="0" w:color="auto"/>
      </w:divBdr>
    </w:div>
    <w:div w:id="575895149">
      <w:bodyDiv w:val="1"/>
      <w:marLeft w:val="0"/>
      <w:marRight w:val="0"/>
      <w:marTop w:val="0"/>
      <w:marBottom w:val="0"/>
      <w:divBdr>
        <w:top w:val="none" w:sz="0" w:space="0" w:color="auto"/>
        <w:left w:val="none" w:sz="0" w:space="0" w:color="auto"/>
        <w:bottom w:val="none" w:sz="0" w:space="0" w:color="auto"/>
        <w:right w:val="none" w:sz="0" w:space="0" w:color="auto"/>
      </w:divBdr>
    </w:div>
    <w:div w:id="576716856">
      <w:bodyDiv w:val="1"/>
      <w:marLeft w:val="0"/>
      <w:marRight w:val="0"/>
      <w:marTop w:val="0"/>
      <w:marBottom w:val="0"/>
      <w:divBdr>
        <w:top w:val="none" w:sz="0" w:space="0" w:color="auto"/>
        <w:left w:val="none" w:sz="0" w:space="0" w:color="auto"/>
        <w:bottom w:val="none" w:sz="0" w:space="0" w:color="auto"/>
        <w:right w:val="none" w:sz="0" w:space="0" w:color="auto"/>
      </w:divBdr>
    </w:div>
    <w:div w:id="581841594">
      <w:bodyDiv w:val="1"/>
      <w:marLeft w:val="0"/>
      <w:marRight w:val="0"/>
      <w:marTop w:val="0"/>
      <w:marBottom w:val="0"/>
      <w:divBdr>
        <w:top w:val="none" w:sz="0" w:space="0" w:color="auto"/>
        <w:left w:val="none" w:sz="0" w:space="0" w:color="auto"/>
        <w:bottom w:val="none" w:sz="0" w:space="0" w:color="auto"/>
        <w:right w:val="none" w:sz="0" w:space="0" w:color="auto"/>
      </w:divBdr>
    </w:div>
    <w:div w:id="590771885">
      <w:bodyDiv w:val="1"/>
      <w:marLeft w:val="0"/>
      <w:marRight w:val="0"/>
      <w:marTop w:val="0"/>
      <w:marBottom w:val="0"/>
      <w:divBdr>
        <w:top w:val="none" w:sz="0" w:space="0" w:color="auto"/>
        <w:left w:val="none" w:sz="0" w:space="0" w:color="auto"/>
        <w:bottom w:val="none" w:sz="0" w:space="0" w:color="auto"/>
        <w:right w:val="none" w:sz="0" w:space="0" w:color="auto"/>
      </w:divBdr>
    </w:div>
    <w:div w:id="591815352">
      <w:bodyDiv w:val="1"/>
      <w:marLeft w:val="0"/>
      <w:marRight w:val="0"/>
      <w:marTop w:val="0"/>
      <w:marBottom w:val="0"/>
      <w:divBdr>
        <w:top w:val="none" w:sz="0" w:space="0" w:color="auto"/>
        <w:left w:val="none" w:sz="0" w:space="0" w:color="auto"/>
        <w:bottom w:val="none" w:sz="0" w:space="0" w:color="auto"/>
        <w:right w:val="none" w:sz="0" w:space="0" w:color="auto"/>
      </w:divBdr>
    </w:div>
    <w:div w:id="594437668">
      <w:bodyDiv w:val="1"/>
      <w:marLeft w:val="0"/>
      <w:marRight w:val="0"/>
      <w:marTop w:val="0"/>
      <w:marBottom w:val="0"/>
      <w:divBdr>
        <w:top w:val="none" w:sz="0" w:space="0" w:color="auto"/>
        <w:left w:val="none" w:sz="0" w:space="0" w:color="auto"/>
        <w:bottom w:val="none" w:sz="0" w:space="0" w:color="auto"/>
        <w:right w:val="none" w:sz="0" w:space="0" w:color="auto"/>
      </w:divBdr>
    </w:div>
    <w:div w:id="608271129">
      <w:bodyDiv w:val="1"/>
      <w:marLeft w:val="0"/>
      <w:marRight w:val="0"/>
      <w:marTop w:val="0"/>
      <w:marBottom w:val="0"/>
      <w:divBdr>
        <w:top w:val="none" w:sz="0" w:space="0" w:color="auto"/>
        <w:left w:val="none" w:sz="0" w:space="0" w:color="auto"/>
        <w:bottom w:val="none" w:sz="0" w:space="0" w:color="auto"/>
        <w:right w:val="none" w:sz="0" w:space="0" w:color="auto"/>
      </w:divBdr>
    </w:div>
    <w:div w:id="616445562">
      <w:bodyDiv w:val="1"/>
      <w:marLeft w:val="0"/>
      <w:marRight w:val="0"/>
      <w:marTop w:val="0"/>
      <w:marBottom w:val="0"/>
      <w:divBdr>
        <w:top w:val="none" w:sz="0" w:space="0" w:color="auto"/>
        <w:left w:val="none" w:sz="0" w:space="0" w:color="auto"/>
        <w:bottom w:val="none" w:sz="0" w:space="0" w:color="auto"/>
        <w:right w:val="none" w:sz="0" w:space="0" w:color="auto"/>
      </w:divBdr>
    </w:div>
    <w:div w:id="617181734">
      <w:bodyDiv w:val="1"/>
      <w:marLeft w:val="0"/>
      <w:marRight w:val="0"/>
      <w:marTop w:val="0"/>
      <w:marBottom w:val="0"/>
      <w:divBdr>
        <w:top w:val="none" w:sz="0" w:space="0" w:color="auto"/>
        <w:left w:val="none" w:sz="0" w:space="0" w:color="auto"/>
        <w:bottom w:val="none" w:sz="0" w:space="0" w:color="auto"/>
        <w:right w:val="none" w:sz="0" w:space="0" w:color="auto"/>
      </w:divBdr>
    </w:div>
    <w:div w:id="618993303">
      <w:bodyDiv w:val="1"/>
      <w:marLeft w:val="0"/>
      <w:marRight w:val="0"/>
      <w:marTop w:val="0"/>
      <w:marBottom w:val="0"/>
      <w:divBdr>
        <w:top w:val="none" w:sz="0" w:space="0" w:color="auto"/>
        <w:left w:val="none" w:sz="0" w:space="0" w:color="auto"/>
        <w:bottom w:val="none" w:sz="0" w:space="0" w:color="auto"/>
        <w:right w:val="none" w:sz="0" w:space="0" w:color="auto"/>
      </w:divBdr>
    </w:div>
    <w:div w:id="627396511">
      <w:bodyDiv w:val="1"/>
      <w:marLeft w:val="0"/>
      <w:marRight w:val="0"/>
      <w:marTop w:val="0"/>
      <w:marBottom w:val="0"/>
      <w:divBdr>
        <w:top w:val="none" w:sz="0" w:space="0" w:color="auto"/>
        <w:left w:val="none" w:sz="0" w:space="0" w:color="auto"/>
        <w:bottom w:val="none" w:sz="0" w:space="0" w:color="auto"/>
        <w:right w:val="none" w:sz="0" w:space="0" w:color="auto"/>
      </w:divBdr>
    </w:div>
    <w:div w:id="634532250">
      <w:bodyDiv w:val="1"/>
      <w:marLeft w:val="0"/>
      <w:marRight w:val="0"/>
      <w:marTop w:val="0"/>
      <w:marBottom w:val="0"/>
      <w:divBdr>
        <w:top w:val="none" w:sz="0" w:space="0" w:color="auto"/>
        <w:left w:val="none" w:sz="0" w:space="0" w:color="auto"/>
        <w:bottom w:val="none" w:sz="0" w:space="0" w:color="auto"/>
        <w:right w:val="none" w:sz="0" w:space="0" w:color="auto"/>
      </w:divBdr>
    </w:div>
    <w:div w:id="635447548">
      <w:bodyDiv w:val="1"/>
      <w:marLeft w:val="0"/>
      <w:marRight w:val="0"/>
      <w:marTop w:val="0"/>
      <w:marBottom w:val="0"/>
      <w:divBdr>
        <w:top w:val="none" w:sz="0" w:space="0" w:color="auto"/>
        <w:left w:val="none" w:sz="0" w:space="0" w:color="auto"/>
        <w:bottom w:val="none" w:sz="0" w:space="0" w:color="auto"/>
        <w:right w:val="none" w:sz="0" w:space="0" w:color="auto"/>
      </w:divBdr>
    </w:div>
    <w:div w:id="645814545">
      <w:bodyDiv w:val="1"/>
      <w:marLeft w:val="0"/>
      <w:marRight w:val="0"/>
      <w:marTop w:val="0"/>
      <w:marBottom w:val="0"/>
      <w:divBdr>
        <w:top w:val="none" w:sz="0" w:space="0" w:color="auto"/>
        <w:left w:val="none" w:sz="0" w:space="0" w:color="auto"/>
        <w:bottom w:val="none" w:sz="0" w:space="0" w:color="auto"/>
        <w:right w:val="none" w:sz="0" w:space="0" w:color="auto"/>
      </w:divBdr>
    </w:div>
    <w:div w:id="655113912">
      <w:bodyDiv w:val="1"/>
      <w:marLeft w:val="0"/>
      <w:marRight w:val="0"/>
      <w:marTop w:val="0"/>
      <w:marBottom w:val="0"/>
      <w:divBdr>
        <w:top w:val="none" w:sz="0" w:space="0" w:color="auto"/>
        <w:left w:val="none" w:sz="0" w:space="0" w:color="auto"/>
        <w:bottom w:val="none" w:sz="0" w:space="0" w:color="auto"/>
        <w:right w:val="none" w:sz="0" w:space="0" w:color="auto"/>
      </w:divBdr>
    </w:div>
    <w:div w:id="659231142">
      <w:bodyDiv w:val="1"/>
      <w:marLeft w:val="0"/>
      <w:marRight w:val="0"/>
      <w:marTop w:val="0"/>
      <w:marBottom w:val="0"/>
      <w:divBdr>
        <w:top w:val="none" w:sz="0" w:space="0" w:color="auto"/>
        <w:left w:val="none" w:sz="0" w:space="0" w:color="auto"/>
        <w:bottom w:val="none" w:sz="0" w:space="0" w:color="auto"/>
        <w:right w:val="none" w:sz="0" w:space="0" w:color="auto"/>
      </w:divBdr>
    </w:div>
    <w:div w:id="663045418">
      <w:bodyDiv w:val="1"/>
      <w:marLeft w:val="0"/>
      <w:marRight w:val="0"/>
      <w:marTop w:val="0"/>
      <w:marBottom w:val="0"/>
      <w:divBdr>
        <w:top w:val="none" w:sz="0" w:space="0" w:color="auto"/>
        <w:left w:val="none" w:sz="0" w:space="0" w:color="auto"/>
        <w:bottom w:val="none" w:sz="0" w:space="0" w:color="auto"/>
        <w:right w:val="none" w:sz="0" w:space="0" w:color="auto"/>
      </w:divBdr>
    </w:div>
    <w:div w:id="674114150">
      <w:bodyDiv w:val="1"/>
      <w:marLeft w:val="0"/>
      <w:marRight w:val="0"/>
      <w:marTop w:val="0"/>
      <w:marBottom w:val="0"/>
      <w:divBdr>
        <w:top w:val="none" w:sz="0" w:space="0" w:color="auto"/>
        <w:left w:val="none" w:sz="0" w:space="0" w:color="auto"/>
        <w:bottom w:val="none" w:sz="0" w:space="0" w:color="auto"/>
        <w:right w:val="none" w:sz="0" w:space="0" w:color="auto"/>
      </w:divBdr>
    </w:div>
    <w:div w:id="681589488">
      <w:bodyDiv w:val="1"/>
      <w:marLeft w:val="0"/>
      <w:marRight w:val="0"/>
      <w:marTop w:val="0"/>
      <w:marBottom w:val="0"/>
      <w:divBdr>
        <w:top w:val="none" w:sz="0" w:space="0" w:color="auto"/>
        <w:left w:val="none" w:sz="0" w:space="0" w:color="auto"/>
        <w:bottom w:val="none" w:sz="0" w:space="0" w:color="auto"/>
        <w:right w:val="none" w:sz="0" w:space="0" w:color="auto"/>
      </w:divBdr>
    </w:div>
    <w:div w:id="683169037">
      <w:bodyDiv w:val="1"/>
      <w:marLeft w:val="0"/>
      <w:marRight w:val="0"/>
      <w:marTop w:val="0"/>
      <w:marBottom w:val="0"/>
      <w:divBdr>
        <w:top w:val="none" w:sz="0" w:space="0" w:color="auto"/>
        <w:left w:val="none" w:sz="0" w:space="0" w:color="auto"/>
        <w:bottom w:val="none" w:sz="0" w:space="0" w:color="auto"/>
        <w:right w:val="none" w:sz="0" w:space="0" w:color="auto"/>
      </w:divBdr>
    </w:div>
    <w:div w:id="685864834">
      <w:bodyDiv w:val="1"/>
      <w:marLeft w:val="0"/>
      <w:marRight w:val="0"/>
      <w:marTop w:val="0"/>
      <w:marBottom w:val="0"/>
      <w:divBdr>
        <w:top w:val="none" w:sz="0" w:space="0" w:color="auto"/>
        <w:left w:val="none" w:sz="0" w:space="0" w:color="auto"/>
        <w:bottom w:val="none" w:sz="0" w:space="0" w:color="auto"/>
        <w:right w:val="none" w:sz="0" w:space="0" w:color="auto"/>
      </w:divBdr>
    </w:div>
    <w:div w:id="687486255">
      <w:bodyDiv w:val="1"/>
      <w:marLeft w:val="0"/>
      <w:marRight w:val="0"/>
      <w:marTop w:val="0"/>
      <w:marBottom w:val="0"/>
      <w:divBdr>
        <w:top w:val="none" w:sz="0" w:space="0" w:color="auto"/>
        <w:left w:val="none" w:sz="0" w:space="0" w:color="auto"/>
        <w:bottom w:val="none" w:sz="0" w:space="0" w:color="auto"/>
        <w:right w:val="none" w:sz="0" w:space="0" w:color="auto"/>
      </w:divBdr>
    </w:div>
    <w:div w:id="688335794">
      <w:bodyDiv w:val="1"/>
      <w:marLeft w:val="0"/>
      <w:marRight w:val="0"/>
      <w:marTop w:val="0"/>
      <w:marBottom w:val="0"/>
      <w:divBdr>
        <w:top w:val="none" w:sz="0" w:space="0" w:color="auto"/>
        <w:left w:val="none" w:sz="0" w:space="0" w:color="auto"/>
        <w:bottom w:val="none" w:sz="0" w:space="0" w:color="auto"/>
        <w:right w:val="none" w:sz="0" w:space="0" w:color="auto"/>
      </w:divBdr>
    </w:div>
    <w:div w:id="698359279">
      <w:bodyDiv w:val="1"/>
      <w:marLeft w:val="0"/>
      <w:marRight w:val="0"/>
      <w:marTop w:val="0"/>
      <w:marBottom w:val="0"/>
      <w:divBdr>
        <w:top w:val="none" w:sz="0" w:space="0" w:color="auto"/>
        <w:left w:val="none" w:sz="0" w:space="0" w:color="auto"/>
        <w:bottom w:val="none" w:sz="0" w:space="0" w:color="auto"/>
        <w:right w:val="none" w:sz="0" w:space="0" w:color="auto"/>
      </w:divBdr>
    </w:div>
    <w:div w:id="707337933">
      <w:bodyDiv w:val="1"/>
      <w:marLeft w:val="0"/>
      <w:marRight w:val="0"/>
      <w:marTop w:val="0"/>
      <w:marBottom w:val="0"/>
      <w:divBdr>
        <w:top w:val="none" w:sz="0" w:space="0" w:color="auto"/>
        <w:left w:val="none" w:sz="0" w:space="0" w:color="auto"/>
        <w:bottom w:val="none" w:sz="0" w:space="0" w:color="auto"/>
        <w:right w:val="none" w:sz="0" w:space="0" w:color="auto"/>
      </w:divBdr>
    </w:div>
    <w:div w:id="711073167">
      <w:bodyDiv w:val="1"/>
      <w:marLeft w:val="0"/>
      <w:marRight w:val="0"/>
      <w:marTop w:val="0"/>
      <w:marBottom w:val="0"/>
      <w:divBdr>
        <w:top w:val="none" w:sz="0" w:space="0" w:color="auto"/>
        <w:left w:val="none" w:sz="0" w:space="0" w:color="auto"/>
        <w:bottom w:val="none" w:sz="0" w:space="0" w:color="auto"/>
        <w:right w:val="none" w:sz="0" w:space="0" w:color="auto"/>
      </w:divBdr>
    </w:div>
    <w:div w:id="711224552">
      <w:bodyDiv w:val="1"/>
      <w:marLeft w:val="0"/>
      <w:marRight w:val="0"/>
      <w:marTop w:val="0"/>
      <w:marBottom w:val="0"/>
      <w:divBdr>
        <w:top w:val="none" w:sz="0" w:space="0" w:color="auto"/>
        <w:left w:val="none" w:sz="0" w:space="0" w:color="auto"/>
        <w:bottom w:val="none" w:sz="0" w:space="0" w:color="auto"/>
        <w:right w:val="none" w:sz="0" w:space="0" w:color="auto"/>
      </w:divBdr>
    </w:div>
    <w:div w:id="715666177">
      <w:bodyDiv w:val="1"/>
      <w:marLeft w:val="0"/>
      <w:marRight w:val="0"/>
      <w:marTop w:val="0"/>
      <w:marBottom w:val="0"/>
      <w:divBdr>
        <w:top w:val="none" w:sz="0" w:space="0" w:color="auto"/>
        <w:left w:val="none" w:sz="0" w:space="0" w:color="auto"/>
        <w:bottom w:val="none" w:sz="0" w:space="0" w:color="auto"/>
        <w:right w:val="none" w:sz="0" w:space="0" w:color="auto"/>
      </w:divBdr>
    </w:div>
    <w:div w:id="720057811">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6027127">
      <w:bodyDiv w:val="1"/>
      <w:marLeft w:val="0"/>
      <w:marRight w:val="0"/>
      <w:marTop w:val="0"/>
      <w:marBottom w:val="0"/>
      <w:divBdr>
        <w:top w:val="none" w:sz="0" w:space="0" w:color="auto"/>
        <w:left w:val="none" w:sz="0" w:space="0" w:color="auto"/>
        <w:bottom w:val="none" w:sz="0" w:space="0" w:color="auto"/>
        <w:right w:val="none" w:sz="0" w:space="0" w:color="auto"/>
      </w:divBdr>
    </w:div>
    <w:div w:id="726533503">
      <w:bodyDiv w:val="1"/>
      <w:marLeft w:val="0"/>
      <w:marRight w:val="0"/>
      <w:marTop w:val="0"/>
      <w:marBottom w:val="0"/>
      <w:divBdr>
        <w:top w:val="none" w:sz="0" w:space="0" w:color="auto"/>
        <w:left w:val="none" w:sz="0" w:space="0" w:color="auto"/>
        <w:bottom w:val="none" w:sz="0" w:space="0" w:color="auto"/>
        <w:right w:val="none" w:sz="0" w:space="0" w:color="auto"/>
      </w:divBdr>
    </w:div>
    <w:div w:id="726800443">
      <w:bodyDiv w:val="1"/>
      <w:marLeft w:val="0"/>
      <w:marRight w:val="0"/>
      <w:marTop w:val="0"/>
      <w:marBottom w:val="0"/>
      <w:divBdr>
        <w:top w:val="none" w:sz="0" w:space="0" w:color="auto"/>
        <w:left w:val="none" w:sz="0" w:space="0" w:color="auto"/>
        <w:bottom w:val="none" w:sz="0" w:space="0" w:color="auto"/>
        <w:right w:val="none" w:sz="0" w:space="0" w:color="auto"/>
      </w:divBdr>
    </w:div>
    <w:div w:id="730999643">
      <w:bodyDiv w:val="1"/>
      <w:marLeft w:val="0"/>
      <w:marRight w:val="0"/>
      <w:marTop w:val="0"/>
      <w:marBottom w:val="0"/>
      <w:divBdr>
        <w:top w:val="none" w:sz="0" w:space="0" w:color="auto"/>
        <w:left w:val="none" w:sz="0" w:space="0" w:color="auto"/>
        <w:bottom w:val="none" w:sz="0" w:space="0" w:color="auto"/>
        <w:right w:val="none" w:sz="0" w:space="0" w:color="auto"/>
      </w:divBdr>
    </w:div>
    <w:div w:id="735201249">
      <w:bodyDiv w:val="1"/>
      <w:marLeft w:val="0"/>
      <w:marRight w:val="0"/>
      <w:marTop w:val="0"/>
      <w:marBottom w:val="0"/>
      <w:divBdr>
        <w:top w:val="none" w:sz="0" w:space="0" w:color="auto"/>
        <w:left w:val="none" w:sz="0" w:space="0" w:color="auto"/>
        <w:bottom w:val="none" w:sz="0" w:space="0" w:color="auto"/>
        <w:right w:val="none" w:sz="0" w:space="0" w:color="auto"/>
      </w:divBdr>
    </w:div>
    <w:div w:id="736631564">
      <w:bodyDiv w:val="1"/>
      <w:marLeft w:val="0"/>
      <w:marRight w:val="0"/>
      <w:marTop w:val="0"/>
      <w:marBottom w:val="0"/>
      <w:divBdr>
        <w:top w:val="none" w:sz="0" w:space="0" w:color="auto"/>
        <w:left w:val="none" w:sz="0" w:space="0" w:color="auto"/>
        <w:bottom w:val="none" w:sz="0" w:space="0" w:color="auto"/>
        <w:right w:val="none" w:sz="0" w:space="0" w:color="auto"/>
      </w:divBdr>
    </w:div>
    <w:div w:id="746462311">
      <w:bodyDiv w:val="1"/>
      <w:marLeft w:val="0"/>
      <w:marRight w:val="0"/>
      <w:marTop w:val="0"/>
      <w:marBottom w:val="0"/>
      <w:divBdr>
        <w:top w:val="none" w:sz="0" w:space="0" w:color="auto"/>
        <w:left w:val="none" w:sz="0" w:space="0" w:color="auto"/>
        <w:bottom w:val="none" w:sz="0" w:space="0" w:color="auto"/>
        <w:right w:val="none" w:sz="0" w:space="0" w:color="auto"/>
      </w:divBdr>
    </w:div>
    <w:div w:id="769467596">
      <w:bodyDiv w:val="1"/>
      <w:marLeft w:val="0"/>
      <w:marRight w:val="0"/>
      <w:marTop w:val="0"/>
      <w:marBottom w:val="0"/>
      <w:divBdr>
        <w:top w:val="none" w:sz="0" w:space="0" w:color="auto"/>
        <w:left w:val="none" w:sz="0" w:space="0" w:color="auto"/>
        <w:bottom w:val="none" w:sz="0" w:space="0" w:color="auto"/>
        <w:right w:val="none" w:sz="0" w:space="0" w:color="auto"/>
      </w:divBdr>
    </w:div>
    <w:div w:id="778066892">
      <w:bodyDiv w:val="1"/>
      <w:marLeft w:val="0"/>
      <w:marRight w:val="0"/>
      <w:marTop w:val="0"/>
      <w:marBottom w:val="0"/>
      <w:divBdr>
        <w:top w:val="none" w:sz="0" w:space="0" w:color="auto"/>
        <w:left w:val="none" w:sz="0" w:space="0" w:color="auto"/>
        <w:bottom w:val="none" w:sz="0" w:space="0" w:color="auto"/>
        <w:right w:val="none" w:sz="0" w:space="0" w:color="auto"/>
      </w:divBdr>
    </w:div>
    <w:div w:id="781265789">
      <w:bodyDiv w:val="1"/>
      <w:marLeft w:val="0"/>
      <w:marRight w:val="0"/>
      <w:marTop w:val="0"/>
      <w:marBottom w:val="0"/>
      <w:divBdr>
        <w:top w:val="none" w:sz="0" w:space="0" w:color="auto"/>
        <w:left w:val="none" w:sz="0" w:space="0" w:color="auto"/>
        <w:bottom w:val="none" w:sz="0" w:space="0" w:color="auto"/>
        <w:right w:val="none" w:sz="0" w:space="0" w:color="auto"/>
      </w:divBdr>
    </w:div>
    <w:div w:id="782266112">
      <w:bodyDiv w:val="1"/>
      <w:marLeft w:val="0"/>
      <w:marRight w:val="0"/>
      <w:marTop w:val="0"/>
      <w:marBottom w:val="0"/>
      <w:divBdr>
        <w:top w:val="none" w:sz="0" w:space="0" w:color="auto"/>
        <w:left w:val="none" w:sz="0" w:space="0" w:color="auto"/>
        <w:bottom w:val="none" w:sz="0" w:space="0" w:color="auto"/>
        <w:right w:val="none" w:sz="0" w:space="0" w:color="auto"/>
      </w:divBdr>
    </w:div>
    <w:div w:id="783307212">
      <w:bodyDiv w:val="1"/>
      <w:marLeft w:val="0"/>
      <w:marRight w:val="0"/>
      <w:marTop w:val="0"/>
      <w:marBottom w:val="0"/>
      <w:divBdr>
        <w:top w:val="none" w:sz="0" w:space="0" w:color="auto"/>
        <w:left w:val="none" w:sz="0" w:space="0" w:color="auto"/>
        <w:bottom w:val="none" w:sz="0" w:space="0" w:color="auto"/>
        <w:right w:val="none" w:sz="0" w:space="0" w:color="auto"/>
      </w:divBdr>
    </w:div>
    <w:div w:id="800226043">
      <w:bodyDiv w:val="1"/>
      <w:marLeft w:val="0"/>
      <w:marRight w:val="0"/>
      <w:marTop w:val="0"/>
      <w:marBottom w:val="0"/>
      <w:divBdr>
        <w:top w:val="none" w:sz="0" w:space="0" w:color="auto"/>
        <w:left w:val="none" w:sz="0" w:space="0" w:color="auto"/>
        <w:bottom w:val="none" w:sz="0" w:space="0" w:color="auto"/>
        <w:right w:val="none" w:sz="0" w:space="0" w:color="auto"/>
      </w:divBdr>
    </w:div>
    <w:div w:id="803810344">
      <w:bodyDiv w:val="1"/>
      <w:marLeft w:val="0"/>
      <w:marRight w:val="0"/>
      <w:marTop w:val="0"/>
      <w:marBottom w:val="0"/>
      <w:divBdr>
        <w:top w:val="none" w:sz="0" w:space="0" w:color="auto"/>
        <w:left w:val="none" w:sz="0" w:space="0" w:color="auto"/>
        <w:bottom w:val="none" w:sz="0" w:space="0" w:color="auto"/>
        <w:right w:val="none" w:sz="0" w:space="0" w:color="auto"/>
      </w:divBdr>
    </w:div>
    <w:div w:id="805778742">
      <w:bodyDiv w:val="1"/>
      <w:marLeft w:val="0"/>
      <w:marRight w:val="0"/>
      <w:marTop w:val="0"/>
      <w:marBottom w:val="0"/>
      <w:divBdr>
        <w:top w:val="none" w:sz="0" w:space="0" w:color="auto"/>
        <w:left w:val="none" w:sz="0" w:space="0" w:color="auto"/>
        <w:bottom w:val="none" w:sz="0" w:space="0" w:color="auto"/>
        <w:right w:val="none" w:sz="0" w:space="0" w:color="auto"/>
      </w:divBdr>
    </w:div>
    <w:div w:id="817917692">
      <w:bodyDiv w:val="1"/>
      <w:marLeft w:val="0"/>
      <w:marRight w:val="0"/>
      <w:marTop w:val="0"/>
      <w:marBottom w:val="0"/>
      <w:divBdr>
        <w:top w:val="none" w:sz="0" w:space="0" w:color="auto"/>
        <w:left w:val="none" w:sz="0" w:space="0" w:color="auto"/>
        <w:bottom w:val="none" w:sz="0" w:space="0" w:color="auto"/>
        <w:right w:val="none" w:sz="0" w:space="0" w:color="auto"/>
      </w:divBdr>
    </w:div>
    <w:div w:id="818116474">
      <w:bodyDiv w:val="1"/>
      <w:marLeft w:val="0"/>
      <w:marRight w:val="0"/>
      <w:marTop w:val="0"/>
      <w:marBottom w:val="0"/>
      <w:divBdr>
        <w:top w:val="none" w:sz="0" w:space="0" w:color="auto"/>
        <w:left w:val="none" w:sz="0" w:space="0" w:color="auto"/>
        <w:bottom w:val="none" w:sz="0" w:space="0" w:color="auto"/>
        <w:right w:val="none" w:sz="0" w:space="0" w:color="auto"/>
      </w:divBdr>
    </w:div>
    <w:div w:id="842209134">
      <w:bodyDiv w:val="1"/>
      <w:marLeft w:val="0"/>
      <w:marRight w:val="0"/>
      <w:marTop w:val="0"/>
      <w:marBottom w:val="0"/>
      <w:divBdr>
        <w:top w:val="none" w:sz="0" w:space="0" w:color="auto"/>
        <w:left w:val="none" w:sz="0" w:space="0" w:color="auto"/>
        <w:bottom w:val="none" w:sz="0" w:space="0" w:color="auto"/>
        <w:right w:val="none" w:sz="0" w:space="0" w:color="auto"/>
      </w:divBdr>
    </w:div>
    <w:div w:id="852963172">
      <w:bodyDiv w:val="1"/>
      <w:marLeft w:val="0"/>
      <w:marRight w:val="0"/>
      <w:marTop w:val="0"/>
      <w:marBottom w:val="0"/>
      <w:divBdr>
        <w:top w:val="none" w:sz="0" w:space="0" w:color="auto"/>
        <w:left w:val="none" w:sz="0" w:space="0" w:color="auto"/>
        <w:bottom w:val="none" w:sz="0" w:space="0" w:color="auto"/>
        <w:right w:val="none" w:sz="0" w:space="0" w:color="auto"/>
      </w:divBdr>
    </w:div>
    <w:div w:id="855996242">
      <w:bodyDiv w:val="1"/>
      <w:marLeft w:val="0"/>
      <w:marRight w:val="0"/>
      <w:marTop w:val="0"/>
      <w:marBottom w:val="0"/>
      <w:divBdr>
        <w:top w:val="none" w:sz="0" w:space="0" w:color="auto"/>
        <w:left w:val="none" w:sz="0" w:space="0" w:color="auto"/>
        <w:bottom w:val="none" w:sz="0" w:space="0" w:color="auto"/>
        <w:right w:val="none" w:sz="0" w:space="0" w:color="auto"/>
      </w:divBdr>
    </w:div>
    <w:div w:id="861237802">
      <w:bodyDiv w:val="1"/>
      <w:marLeft w:val="0"/>
      <w:marRight w:val="0"/>
      <w:marTop w:val="0"/>
      <w:marBottom w:val="0"/>
      <w:divBdr>
        <w:top w:val="none" w:sz="0" w:space="0" w:color="auto"/>
        <w:left w:val="none" w:sz="0" w:space="0" w:color="auto"/>
        <w:bottom w:val="none" w:sz="0" w:space="0" w:color="auto"/>
        <w:right w:val="none" w:sz="0" w:space="0" w:color="auto"/>
      </w:divBdr>
    </w:div>
    <w:div w:id="865679924">
      <w:bodyDiv w:val="1"/>
      <w:marLeft w:val="0"/>
      <w:marRight w:val="0"/>
      <w:marTop w:val="0"/>
      <w:marBottom w:val="0"/>
      <w:divBdr>
        <w:top w:val="none" w:sz="0" w:space="0" w:color="auto"/>
        <w:left w:val="none" w:sz="0" w:space="0" w:color="auto"/>
        <w:bottom w:val="none" w:sz="0" w:space="0" w:color="auto"/>
        <w:right w:val="none" w:sz="0" w:space="0" w:color="auto"/>
      </w:divBdr>
    </w:div>
    <w:div w:id="868879469">
      <w:bodyDiv w:val="1"/>
      <w:marLeft w:val="0"/>
      <w:marRight w:val="0"/>
      <w:marTop w:val="0"/>
      <w:marBottom w:val="0"/>
      <w:divBdr>
        <w:top w:val="none" w:sz="0" w:space="0" w:color="auto"/>
        <w:left w:val="none" w:sz="0" w:space="0" w:color="auto"/>
        <w:bottom w:val="none" w:sz="0" w:space="0" w:color="auto"/>
        <w:right w:val="none" w:sz="0" w:space="0" w:color="auto"/>
      </w:divBdr>
    </w:div>
    <w:div w:id="879896041">
      <w:bodyDiv w:val="1"/>
      <w:marLeft w:val="0"/>
      <w:marRight w:val="0"/>
      <w:marTop w:val="0"/>
      <w:marBottom w:val="0"/>
      <w:divBdr>
        <w:top w:val="none" w:sz="0" w:space="0" w:color="auto"/>
        <w:left w:val="none" w:sz="0" w:space="0" w:color="auto"/>
        <w:bottom w:val="none" w:sz="0" w:space="0" w:color="auto"/>
        <w:right w:val="none" w:sz="0" w:space="0" w:color="auto"/>
      </w:divBdr>
    </w:div>
    <w:div w:id="882403742">
      <w:bodyDiv w:val="1"/>
      <w:marLeft w:val="0"/>
      <w:marRight w:val="0"/>
      <w:marTop w:val="0"/>
      <w:marBottom w:val="0"/>
      <w:divBdr>
        <w:top w:val="none" w:sz="0" w:space="0" w:color="auto"/>
        <w:left w:val="none" w:sz="0" w:space="0" w:color="auto"/>
        <w:bottom w:val="none" w:sz="0" w:space="0" w:color="auto"/>
        <w:right w:val="none" w:sz="0" w:space="0" w:color="auto"/>
      </w:divBdr>
    </w:div>
    <w:div w:id="884028174">
      <w:bodyDiv w:val="1"/>
      <w:marLeft w:val="0"/>
      <w:marRight w:val="0"/>
      <w:marTop w:val="0"/>
      <w:marBottom w:val="0"/>
      <w:divBdr>
        <w:top w:val="none" w:sz="0" w:space="0" w:color="auto"/>
        <w:left w:val="none" w:sz="0" w:space="0" w:color="auto"/>
        <w:bottom w:val="none" w:sz="0" w:space="0" w:color="auto"/>
        <w:right w:val="none" w:sz="0" w:space="0" w:color="auto"/>
      </w:divBdr>
    </w:div>
    <w:div w:id="893928215">
      <w:bodyDiv w:val="1"/>
      <w:marLeft w:val="0"/>
      <w:marRight w:val="0"/>
      <w:marTop w:val="0"/>
      <w:marBottom w:val="0"/>
      <w:divBdr>
        <w:top w:val="none" w:sz="0" w:space="0" w:color="auto"/>
        <w:left w:val="none" w:sz="0" w:space="0" w:color="auto"/>
        <w:bottom w:val="none" w:sz="0" w:space="0" w:color="auto"/>
        <w:right w:val="none" w:sz="0" w:space="0" w:color="auto"/>
      </w:divBdr>
    </w:div>
    <w:div w:id="900795570">
      <w:bodyDiv w:val="1"/>
      <w:marLeft w:val="0"/>
      <w:marRight w:val="0"/>
      <w:marTop w:val="0"/>
      <w:marBottom w:val="0"/>
      <w:divBdr>
        <w:top w:val="none" w:sz="0" w:space="0" w:color="auto"/>
        <w:left w:val="none" w:sz="0" w:space="0" w:color="auto"/>
        <w:bottom w:val="none" w:sz="0" w:space="0" w:color="auto"/>
        <w:right w:val="none" w:sz="0" w:space="0" w:color="auto"/>
      </w:divBdr>
    </w:div>
    <w:div w:id="910189235">
      <w:bodyDiv w:val="1"/>
      <w:marLeft w:val="0"/>
      <w:marRight w:val="0"/>
      <w:marTop w:val="0"/>
      <w:marBottom w:val="0"/>
      <w:divBdr>
        <w:top w:val="none" w:sz="0" w:space="0" w:color="auto"/>
        <w:left w:val="none" w:sz="0" w:space="0" w:color="auto"/>
        <w:bottom w:val="none" w:sz="0" w:space="0" w:color="auto"/>
        <w:right w:val="none" w:sz="0" w:space="0" w:color="auto"/>
      </w:divBdr>
    </w:div>
    <w:div w:id="910433524">
      <w:bodyDiv w:val="1"/>
      <w:marLeft w:val="0"/>
      <w:marRight w:val="0"/>
      <w:marTop w:val="0"/>
      <w:marBottom w:val="0"/>
      <w:divBdr>
        <w:top w:val="none" w:sz="0" w:space="0" w:color="auto"/>
        <w:left w:val="none" w:sz="0" w:space="0" w:color="auto"/>
        <w:bottom w:val="none" w:sz="0" w:space="0" w:color="auto"/>
        <w:right w:val="none" w:sz="0" w:space="0" w:color="auto"/>
      </w:divBdr>
    </w:div>
    <w:div w:id="912398596">
      <w:bodyDiv w:val="1"/>
      <w:marLeft w:val="0"/>
      <w:marRight w:val="0"/>
      <w:marTop w:val="0"/>
      <w:marBottom w:val="0"/>
      <w:divBdr>
        <w:top w:val="none" w:sz="0" w:space="0" w:color="auto"/>
        <w:left w:val="none" w:sz="0" w:space="0" w:color="auto"/>
        <w:bottom w:val="none" w:sz="0" w:space="0" w:color="auto"/>
        <w:right w:val="none" w:sz="0" w:space="0" w:color="auto"/>
      </w:divBdr>
    </w:div>
    <w:div w:id="914823015">
      <w:bodyDiv w:val="1"/>
      <w:marLeft w:val="0"/>
      <w:marRight w:val="0"/>
      <w:marTop w:val="0"/>
      <w:marBottom w:val="0"/>
      <w:divBdr>
        <w:top w:val="none" w:sz="0" w:space="0" w:color="auto"/>
        <w:left w:val="none" w:sz="0" w:space="0" w:color="auto"/>
        <w:bottom w:val="none" w:sz="0" w:space="0" w:color="auto"/>
        <w:right w:val="none" w:sz="0" w:space="0" w:color="auto"/>
      </w:divBdr>
    </w:div>
    <w:div w:id="922910046">
      <w:bodyDiv w:val="1"/>
      <w:marLeft w:val="0"/>
      <w:marRight w:val="0"/>
      <w:marTop w:val="0"/>
      <w:marBottom w:val="0"/>
      <w:divBdr>
        <w:top w:val="none" w:sz="0" w:space="0" w:color="auto"/>
        <w:left w:val="none" w:sz="0" w:space="0" w:color="auto"/>
        <w:bottom w:val="none" w:sz="0" w:space="0" w:color="auto"/>
        <w:right w:val="none" w:sz="0" w:space="0" w:color="auto"/>
      </w:divBdr>
    </w:div>
    <w:div w:id="923994086">
      <w:bodyDiv w:val="1"/>
      <w:marLeft w:val="0"/>
      <w:marRight w:val="0"/>
      <w:marTop w:val="0"/>
      <w:marBottom w:val="0"/>
      <w:divBdr>
        <w:top w:val="none" w:sz="0" w:space="0" w:color="auto"/>
        <w:left w:val="none" w:sz="0" w:space="0" w:color="auto"/>
        <w:bottom w:val="none" w:sz="0" w:space="0" w:color="auto"/>
        <w:right w:val="none" w:sz="0" w:space="0" w:color="auto"/>
      </w:divBdr>
    </w:div>
    <w:div w:id="924802501">
      <w:bodyDiv w:val="1"/>
      <w:marLeft w:val="0"/>
      <w:marRight w:val="0"/>
      <w:marTop w:val="0"/>
      <w:marBottom w:val="0"/>
      <w:divBdr>
        <w:top w:val="none" w:sz="0" w:space="0" w:color="auto"/>
        <w:left w:val="none" w:sz="0" w:space="0" w:color="auto"/>
        <w:bottom w:val="none" w:sz="0" w:space="0" w:color="auto"/>
        <w:right w:val="none" w:sz="0" w:space="0" w:color="auto"/>
      </w:divBdr>
    </w:div>
    <w:div w:id="927151168">
      <w:bodyDiv w:val="1"/>
      <w:marLeft w:val="0"/>
      <w:marRight w:val="0"/>
      <w:marTop w:val="0"/>
      <w:marBottom w:val="0"/>
      <w:divBdr>
        <w:top w:val="none" w:sz="0" w:space="0" w:color="auto"/>
        <w:left w:val="none" w:sz="0" w:space="0" w:color="auto"/>
        <w:bottom w:val="none" w:sz="0" w:space="0" w:color="auto"/>
        <w:right w:val="none" w:sz="0" w:space="0" w:color="auto"/>
      </w:divBdr>
    </w:div>
    <w:div w:id="929005557">
      <w:bodyDiv w:val="1"/>
      <w:marLeft w:val="0"/>
      <w:marRight w:val="0"/>
      <w:marTop w:val="0"/>
      <w:marBottom w:val="0"/>
      <w:divBdr>
        <w:top w:val="none" w:sz="0" w:space="0" w:color="auto"/>
        <w:left w:val="none" w:sz="0" w:space="0" w:color="auto"/>
        <w:bottom w:val="none" w:sz="0" w:space="0" w:color="auto"/>
        <w:right w:val="none" w:sz="0" w:space="0" w:color="auto"/>
      </w:divBdr>
    </w:div>
    <w:div w:id="929705401">
      <w:bodyDiv w:val="1"/>
      <w:marLeft w:val="0"/>
      <w:marRight w:val="0"/>
      <w:marTop w:val="0"/>
      <w:marBottom w:val="0"/>
      <w:divBdr>
        <w:top w:val="none" w:sz="0" w:space="0" w:color="auto"/>
        <w:left w:val="none" w:sz="0" w:space="0" w:color="auto"/>
        <w:bottom w:val="none" w:sz="0" w:space="0" w:color="auto"/>
        <w:right w:val="none" w:sz="0" w:space="0" w:color="auto"/>
      </w:divBdr>
    </w:div>
    <w:div w:id="948124867">
      <w:bodyDiv w:val="1"/>
      <w:marLeft w:val="0"/>
      <w:marRight w:val="0"/>
      <w:marTop w:val="0"/>
      <w:marBottom w:val="0"/>
      <w:divBdr>
        <w:top w:val="none" w:sz="0" w:space="0" w:color="auto"/>
        <w:left w:val="none" w:sz="0" w:space="0" w:color="auto"/>
        <w:bottom w:val="none" w:sz="0" w:space="0" w:color="auto"/>
        <w:right w:val="none" w:sz="0" w:space="0" w:color="auto"/>
      </w:divBdr>
    </w:div>
    <w:div w:id="949706781">
      <w:bodyDiv w:val="1"/>
      <w:marLeft w:val="0"/>
      <w:marRight w:val="0"/>
      <w:marTop w:val="0"/>
      <w:marBottom w:val="0"/>
      <w:divBdr>
        <w:top w:val="none" w:sz="0" w:space="0" w:color="auto"/>
        <w:left w:val="none" w:sz="0" w:space="0" w:color="auto"/>
        <w:bottom w:val="none" w:sz="0" w:space="0" w:color="auto"/>
        <w:right w:val="none" w:sz="0" w:space="0" w:color="auto"/>
      </w:divBdr>
    </w:div>
    <w:div w:id="949967576">
      <w:bodyDiv w:val="1"/>
      <w:marLeft w:val="0"/>
      <w:marRight w:val="0"/>
      <w:marTop w:val="0"/>
      <w:marBottom w:val="0"/>
      <w:divBdr>
        <w:top w:val="none" w:sz="0" w:space="0" w:color="auto"/>
        <w:left w:val="none" w:sz="0" w:space="0" w:color="auto"/>
        <w:bottom w:val="none" w:sz="0" w:space="0" w:color="auto"/>
        <w:right w:val="none" w:sz="0" w:space="0" w:color="auto"/>
      </w:divBdr>
    </w:div>
    <w:div w:id="953169242">
      <w:bodyDiv w:val="1"/>
      <w:marLeft w:val="0"/>
      <w:marRight w:val="0"/>
      <w:marTop w:val="0"/>
      <w:marBottom w:val="0"/>
      <w:divBdr>
        <w:top w:val="none" w:sz="0" w:space="0" w:color="auto"/>
        <w:left w:val="none" w:sz="0" w:space="0" w:color="auto"/>
        <w:bottom w:val="none" w:sz="0" w:space="0" w:color="auto"/>
        <w:right w:val="none" w:sz="0" w:space="0" w:color="auto"/>
      </w:divBdr>
    </w:div>
    <w:div w:id="962034090">
      <w:bodyDiv w:val="1"/>
      <w:marLeft w:val="0"/>
      <w:marRight w:val="0"/>
      <w:marTop w:val="0"/>
      <w:marBottom w:val="0"/>
      <w:divBdr>
        <w:top w:val="none" w:sz="0" w:space="0" w:color="auto"/>
        <w:left w:val="none" w:sz="0" w:space="0" w:color="auto"/>
        <w:bottom w:val="none" w:sz="0" w:space="0" w:color="auto"/>
        <w:right w:val="none" w:sz="0" w:space="0" w:color="auto"/>
      </w:divBdr>
    </w:div>
    <w:div w:id="963267197">
      <w:bodyDiv w:val="1"/>
      <w:marLeft w:val="0"/>
      <w:marRight w:val="0"/>
      <w:marTop w:val="0"/>
      <w:marBottom w:val="0"/>
      <w:divBdr>
        <w:top w:val="none" w:sz="0" w:space="0" w:color="auto"/>
        <w:left w:val="none" w:sz="0" w:space="0" w:color="auto"/>
        <w:bottom w:val="none" w:sz="0" w:space="0" w:color="auto"/>
        <w:right w:val="none" w:sz="0" w:space="0" w:color="auto"/>
      </w:divBdr>
    </w:div>
    <w:div w:id="96739130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9115402">
      <w:bodyDiv w:val="1"/>
      <w:marLeft w:val="0"/>
      <w:marRight w:val="0"/>
      <w:marTop w:val="0"/>
      <w:marBottom w:val="0"/>
      <w:divBdr>
        <w:top w:val="none" w:sz="0" w:space="0" w:color="auto"/>
        <w:left w:val="none" w:sz="0" w:space="0" w:color="auto"/>
        <w:bottom w:val="none" w:sz="0" w:space="0" w:color="auto"/>
        <w:right w:val="none" w:sz="0" w:space="0" w:color="auto"/>
      </w:divBdr>
    </w:div>
    <w:div w:id="990407850">
      <w:bodyDiv w:val="1"/>
      <w:marLeft w:val="0"/>
      <w:marRight w:val="0"/>
      <w:marTop w:val="0"/>
      <w:marBottom w:val="0"/>
      <w:divBdr>
        <w:top w:val="none" w:sz="0" w:space="0" w:color="auto"/>
        <w:left w:val="none" w:sz="0" w:space="0" w:color="auto"/>
        <w:bottom w:val="none" w:sz="0" w:space="0" w:color="auto"/>
        <w:right w:val="none" w:sz="0" w:space="0" w:color="auto"/>
      </w:divBdr>
    </w:div>
    <w:div w:id="990478264">
      <w:bodyDiv w:val="1"/>
      <w:marLeft w:val="0"/>
      <w:marRight w:val="0"/>
      <w:marTop w:val="0"/>
      <w:marBottom w:val="0"/>
      <w:divBdr>
        <w:top w:val="none" w:sz="0" w:space="0" w:color="auto"/>
        <w:left w:val="none" w:sz="0" w:space="0" w:color="auto"/>
        <w:bottom w:val="none" w:sz="0" w:space="0" w:color="auto"/>
        <w:right w:val="none" w:sz="0" w:space="0" w:color="auto"/>
      </w:divBdr>
    </w:div>
    <w:div w:id="992098632">
      <w:bodyDiv w:val="1"/>
      <w:marLeft w:val="0"/>
      <w:marRight w:val="0"/>
      <w:marTop w:val="0"/>
      <w:marBottom w:val="0"/>
      <w:divBdr>
        <w:top w:val="none" w:sz="0" w:space="0" w:color="auto"/>
        <w:left w:val="none" w:sz="0" w:space="0" w:color="auto"/>
        <w:bottom w:val="none" w:sz="0" w:space="0" w:color="auto"/>
        <w:right w:val="none" w:sz="0" w:space="0" w:color="auto"/>
      </w:divBdr>
    </w:div>
    <w:div w:id="994799373">
      <w:bodyDiv w:val="1"/>
      <w:marLeft w:val="0"/>
      <w:marRight w:val="0"/>
      <w:marTop w:val="0"/>
      <w:marBottom w:val="0"/>
      <w:divBdr>
        <w:top w:val="none" w:sz="0" w:space="0" w:color="auto"/>
        <w:left w:val="none" w:sz="0" w:space="0" w:color="auto"/>
        <w:bottom w:val="none" w:sz="0" w:space="0" w:color="auto"/>
        <w:right w:val="none" w:sz="0" w:space="0" w:color="auto"/>
      </w:divBdr>
    </w:div>
    <w:div w:id="1012992802">
      <w:bodyDiv w:val="1"/>
      <w:marLeft w:val="0"/>
      <w:marRight w:val="0"/>
      <w:marTop w:val="0"/>
      <w:marBottom w:val="0"/>
      <w:divBdr>
        <w:top w:val="none" w:sz="0" w:space="0" w:color="auto"/>
        <w:left w:val="none" w:sz="0" w:space="0" w:color="auto"/>
        <w:bottom w:val="none" w:sz="0" w:space="0" w:color="auto"/>
        <w:right w:val="none" w:sz="0" w:space="0" w:color="auto"/>
      </w:divBdr>
    </w:div>
    <w:div w:id="1017659774">
      <w:bodyDiv w:val="1"/>
      <w:marLeft w:val="0"/>
      <w:marRight w:val="0"/>
      <w:marTop w:val="0"/>
      <w:marBottom w:val="0"/>
      <w:divBdr>
        <w:top w:val="none" w:sz="0" w:space="0" w:color="auto"/>
        <w:left w:val="none" w:sz="0" w:space="0" w:color="auto"/>
        <w:bottom w:val="none" w:sz="0" w:space="0" w:color="auto"/>
        <w:right w:val="none" w:sz="0" w:space="0" w:color="auto"/>
      </w:divBdr>
    </w:div>
    <w:div w:id="1028138921">
      <w:bodyDiv w:val="1"/>
      <w:marLeft w:val="0"/>
      <w:marRight w:val="0"/>
      <w:marTop w:val="0"/>
      <w:marBottom w:val="0"/>
      <w:divBdr>
        <w:top w:val="none" w:sz="0" w:space="0" w:color="auto"/>
        <w:left w:val="none" w:sz="0" w:space="0" w:color="auto"/>
        <w:bottom w:val="none" w:sz="0" w:space="0" w:color="auto"/>
        <w:right w:val="none" w:sz="0" w:space="0" w:color="auto"/>
      </w:divBdr>
    </w:div>
    <w:div w:id="1028457467">
      <w:bodyDiv w:val="1"/>
      <w:marLeft w:val="0"/>
      <w:marRight w:val="0"/>
      <w:marTop w:val="0"/>
      <w:marBottom w:val="0"/>
      <w:divBdr>
        <w:top w:val="none" w:sz="0" w:space="0" w:color="auto"/>
        <w:left w:val="none" w:sz="0" w:space="0" w:color="auto"/>
        <w:bottom w:val="none" w:sz="0" w:space="0" w:color="auto"/>
        <w:right w:val="none" w:sz="0" w:space="0" w:color="auto"/>
      </w:divBdr>
    </w:div>
    <w:div w:id="1048726686">
      <w:bodyDiv w:val="1"/>
      <w:marLeft w:val="0"/>
      <w:marRight w:val="0"/>
      <w:marTop w:val="0"/>
      <w:marBottom w:val="0"/>
      <w:divBdr>
        <w:top w:val="none" w:sz="0" w:space="0" w:color="auto"/>
        <w:left w:val="none" w:sz="0" w:space="0" w:color="auto"/>
        <w:bottom w:val="none" w:sz="0" w:space="0" w:color="auto"/>
        <w:right w:val="none" w:sz="0" w:space="0" w:color="auto"/>
      </w:divBdr>
    </w:div>
    <w:div w:id="1056007516">
      <w:bodyDiv w:val="1"/>
      <w:marLeft w:val="0"/>
      <w:marRight w:val="0"/>
      <w:marTop w:val="0"/>
      <w:marBottom w:val="0"/>
      <w:divBdr>
        <w:top w:val="none" w:sz="0" w:space="0" w:color="auto"/>
        <w:left w:val="none" w:sz="0" w:space="0" w:color="auto"/>
        <w:bottom w:val="none" w:sz="0" w:space="0" w:color="auto"/>
        <w:right w:val="none" w:sz="0" w:space="0" w:color="auto"/>
      </w:divBdr>
    </w:div>
    <w:div w:id="1058020481">
      <w:bodyDiv w:val="1"/>
      <w:marLeft w:val="0"/>
      <w:marRight w:val="0"/>
      <w:marTop w:val="0"/>
      <w:marBottom w:val="0"/>
      <w:divBdr>
        <w:top w:val="none" w:sz="0" w:space="0" w:color="auto"/>
        <w:left w:val="none" w:sz="0" w:space="0" w:color="auto"/>
        <w:bottom w:val="none" w:sz="0" w:space="0" w:color="auto"/>
        <w:right w:val="none" w:sz="0" w:space="0" w:color="auto"/>
      </w:divBdr>
    </w:div>
    <w:div w:id="1069231889">
      <w:bodyDiv w:val="1"/>
      <w:marLeft w:val="0"/>
      <w:marRight w:val="0"/>
      <w:marTop w:val="0"/>
      <w:marBottom w:val="0"/>
      <w:divBdr>
        <w:top w:val="none" w:sz="0" w:space="0" w:color="auto"/>
        <w:left w:val="none" w:sz="0" w:space="0" w:color="auto"/>
        <w:bottom w:val="none" w:sz="0" w:space="0" w:color="auto"/>
        <w:right w:val="none" w:sz="0" w:space="0" w:color="auto"/>
      </w:divBdr>
    </w:div>
    <w:div w:id="1079400417">
      <w:bodyDiv w:val="1"/>
      <w:marLeft w:val="0"/>
      <w:marRight w:val="0"/>
      <w:marTop w:val="0"/>
      <w:marBottom w:val="0"/>
      <w:divBdr>
        <w:top w:val="none" w:sz="0" w:space="0" w:color="auto"/>
        <w:left w:val="none" w:sz="0" w:space="0" w:color="auto"/>
        <w:bottom w:val="none" w:sz="0" w:space="0" w:color="auto"/>
        <w:right w:val="none" w:sz="0" w:space="0" w:color="auto"/>
      </w:divBdr>
    </w:div>
    <w:div w:id="1104764938">
      <w:bodyDiv w:val="1"/>
      <w:marLeft w:val="0"/>
      <w:marRight w:val="0"/>
      <w:marTop w:val="0"/>
      <w:marBottom w:val="0"/>
      <w:divBdr>
        <w:top w:val="none" w:sz="0" w:space="0" w:color="auto"/>
        <w:left w:val="none" w:sz="0" w:space="0" w:color="auto"/>
        <w:bottom w:val="none" w:sz="0" w:space="0" w:color="auto"/>
        <w:right w:val="none" w:sz="0" w:space="0" w:color="auto"/>
      </w:divBdr>
    </w:div>
    <w:div w:id="1114597915">
      <w:bodyDiv w:val="1"/>
      <w:marLeft w:val="0"/>
      <w:marRight w:val="0"/>
      <w:marTop w:val="0"/>
      <w:marBottom w:val="0"/>
      <w:divBdr>
        <w:top w:val="none" w:sz="0" w:space="0" w:color="auto"/>
        <w:left w:val="none" w:sz="0" w:space="0" w:color="auto"/>
        <w:bottom w:val="none" w:sz="0" w:space="0" w:color="auto"/>
        <w:right w:val="none" w:sz="0" w:space="0" w:color="auto"/>
      </w:divBdr>
    </w:div>
    <w:div w:id="1116754520">
      <w:bodyDiv w:val="1"/>
      <w:marLeft w:val="0"/>
      <w:marRight w:val="0"/>
      <w:marTop w:val="0"/>
      <w:marBottom w:val="0"/>
      <w:divBdr>
        <w:top w:val="none" w:sz="0" w:space="0" w:color="auto"/>
        <w:left w:val="none" w:sz="0" w:space="0" w:color="auto"/>
        <w:bottom w:val="none" w:sz="0" w:space="0" w:color="auto"/>
        <w:right w:val="none" w:sz="0" w:space="0" w:color="auto"/>
      </w:divBdr>
    </w:div>
    <w:div w:id="1117061563">
      <w:bodyDiv w:val="1"/>
      <w:marLeft w:val="0"/>
      <w:marRight w:val="0"/>
      <w:marTop w:val="0"/>
      <w:marBottom w:val="0"/>
      <w:divBdr>
        <w:top w:val="none" w:sz="0" w:space="0" w:color="auto"/>
        <w:left w:val="none" w:sz="0" w:space="0" w:color="auto"/>
        <w:bottom w:val="none" w:sz="0" w:space="0" w:color="auto"/>
        <w:right w:val="none" w:sz="0" w:space="0" w:color="auto"/>
      </w:divBdr>
    </w:div>
    <w:div w:id="1120565324">
      <w:bodyDiv w:val="1"/>
      <w:marLeft w:val="0"/>
      <w:marRight w:val="0"/>
      <w:marTop w:val="0"/>
      <w:marBottom w:val="0"/>
      <w:divBdr>
        <w:top w:val="none" w:sz="0" w:space="0" w:color="auto"/>
        <w:left w:val="none" w:sz="0" w:space="0" w:color="auto"/>
        <w:bottom w:val="none" w:sz="0" w:space="0" w:color="auto"/>
        <w:right w:val="none" w:sz="0" w:space="0" w:color="auto"/>
      </w:divBdr>
    </w:div>
    <w:div w:id="1128864649">
      <w:bodyDiv w:val="1"/>
      <w:marLeft w:val="0"/>
      <w:marRight w:val="0"/>
      <w:marTop w:val="0"/>
      <w:marBottom w:val="0"/>
      <w:divBdr>
        <w:top w:val="none" w:sz="0" w:space="0" w:color="auto"/>
        <w:left w:val="none" w:sz="0" w:space="0" w:color="auto"/>
        <w:bottom w:val="none" w:sz="0" w:space="0" w:color="auto"/>
        <w:right w:val="none" w:sz="0" w:space="0" w:color="auto"/>
      </w:divBdr>
    </w:div>
    <w:div w:id="113124436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0464979">
      <w:bodyDiv w:val="1"/>
      <w:marLeft w:val="0"/>
      <w:marRight w:val="0"/>
      <w:marTop w:val="0"/>
      <w:marBottom w:val="0"/>
      <w:divBdr>
        <w:top w:val="none" w:sz="0" w:space="0" w:color="auto"/>
        <w:left w:val="none" w:sz="0" w:space="0" w:color="auto"/>
        <w:bottom w:val="none" w:sz="0" w:space="0" w:color="auto"/>
        <w:right w:val="none" w:sz="0" w:space="0" w:color="auto"/>
      </w:divBdr>
    </w:div>
    <w:div w:id="1147237878">
      <w:bodyDiv w:val="1"/>
      <w:marLeft w:val="0"/>
      <w:marRight w:val="0"/>
      <w:marTop w:val="0"/>
      <w:marBottom w:val="0"/>
      <w:divBdr>
        <w:top w:val="none" w:sz="0" w:space="0" w:color="auto"/>
        <w:left w:val="none" w:sz="0" w:space="0" w:color="auto"/>
        <w:bottom w:val="none" w:sz="0" w:space="0" w:color="auto"/>
        <w:right w:val="none" w:sz="0" w:space="0" w:color="auto"/>
      </w:divBdr>
    </w:div>
    <w:div w:id="1152334343">
      <w:bodyDiv w:val="1"/>
      <w:marLeft w:val="0"/>
      <w:marRight w:val="0"/>
      <w:marTop w:val="0"/>
      <w:marBottom w:val="0"/>
      <w:divBdr>
        <w:top w:val="none" w:sz="0" w:space="0" w:color="auto"/>
        <w:left w:val="none" w:sz="0" w:space="0" w:color="auto"/>
        <w:bottom w:val="none" w:sz="0" w:space="0" w:color="auto"/>
        <w:right w:val="none" w:sz="0" w:space="0" w:color="auto"/>
      </w:divBdr>
    </w:div>
    <w:div w:id="1157721433">
      <w:bodyDiv w:val="1"/>
      <w:marLeft w:val="0"/>
      <w:marRight w:val="0"/>
      <w:marTop w:val="0"/>
      <w:marBottom w:val="0"/>
      <w:divBdr>
        <w:top w:val="none" w:sz="0" w:space="0" w:color="auto"/>
        <w:left w:val="none" w:sz="0" w:space="0" w:color="auto"/>
        <w:bottom w:val="none" w:sz="0" w:space="0" w:color="auto"/>
        <w:right w:val="none" w:sz="0" w:space="0" w:color="auto"/>
      </w:divBdr>
    </w:div>
    <w:div w:id="1180847962">
      <w:bodyDiv w:val="1"/>
      <w:marLeft w:val="0"/>
      <w:marRight w:val="0"/>
      <w:marTop w:val="0"/>
      <w:marBottom w:val="0"/>
      <w:divBdr>
        <w:top w:val="none" w:sz="0" w:space="0" w:color="auto"/>
        <w:left w:val="none" w:sz="0" w:space="0" w:color="auto"/>
        <w:bottom w:val="none" w:sz="0" w:space="0" w:color="auto"/>
        <w:right w:val="none" w:sz="0" w:space="0" w:color="auto"/>
      </w:divBdr>
    </w:div>
    <w:div w:id="1182663824">
      <w:bodyDiv w:val="1"/>
      <w:marLeft w:val="0"/>
      <w:marRight w:val="0"/>
      <w:marTop w:val="0"/>
      <w:marBottom w:val="0"/>
      <w:divBdr>
        <w:top w:val="none" w:sz="0" w:space="0" w:color="auto"/>
        <w:left w:val="none" w:sz="0" w:space="0" w:color="auto"/>
        <w:bottom w:val="none" w:sz="0" w:space="0" w:color="auto"/>
        <w:right w:val="none" w:sz="0" w:space="0" w:color="auto"/>
      </w:divBdr>
    </w:div>
    <w:div w:id="1185172814">
      <w:bodyDiv w:val="1"/>
      <w:marLeft w:val="0"/>
      <w:marRight w:val="0"/>
      <w:marTop w:val="0"/>
      <w:marBottom w:val="0"/>
      <w:divBdr>
        <w:top w:val="none" w:sz="0" w:space="0" w:color="auto"/>
        <w:left w:val="none" w:sz="0" w:space="0" w:color="auto"/>
        <w:bottom w:val="none" w:sz="0" w:space="0" w:color="auto"/>
        <w:right w:val="none" w:sz="0" w:space="0" w:color="auto"/>
      </w:divBdr>
    </w:div>
    <w:div w:id="1187063471">
      <w:bodyDiv w:val="1"/>
      <w:marLeft w:val="0"/>
      <w:marRight w:val="0"/>
      <w:marTop w:val="0"/>
      <w:marBottom w:val="0"/>
      <w:divBdr>
        <w:top w:val="none" w:sz="0" w:space="0" w:color="auto"/>
        <w:left w:val="none" w:sz="0" w:space="0" w:color="auto"/>
        <w:bottom w:val="none" w:sz="0" w:space="0" w:color="auto"/>
        <w:right w:val="none" w:sz="0" w:space="0" w:color="auto"/>
      </w:divBdr>
    </w:div>
    <w:div w:id="1188833269">
      <w:bodyDiv w:val="1"/>
      <w:marLeft w:val="0"/>
      <w:marRight w:val="0"/>
      <w:marTop w:val="0"/>
      <w:marBottom w:val="0"/>
      <w:divBdr>
        <w:top w:val="none" w:sz="0" w:space="0" w:color="auto"/>
        <w:left w:val="none" w:sz="0" w:space="0" w:color="auto"/>
        <w:bottom w:val="none" w:sz="0" w:space="0" w:color="auto"/>
        <w:right w:val="none" w:sz="0" w:space="0" w:color="auto"/>
      </w:divBdr>
    </w:div>
    <w:div w:id="1191331984">
      <w:bodyDiv w:val="1"/>
      <w:marLeft w:val="0"/>
      <w:marRight w:val="0"/>
      <w:marTop w:val="0"/>
      <w:marBottom w:val="0"/>
      <w:divBdr>
        <w:top w:val="none" w:sz="0" w:space="0" w:color="auto"/>
        <w:left w:val="none" w:sz="0" w:space="0" w:color="auto"/>
        <w:bottom w:val="none" w:sz="0" w:space="0" w:color="auto"/>
        <w:right w:val="none" w:sz="0" w:space="0" w:color="auto"/>
      </w:divBdr>
    </w:div>
    <w:div w:id="1193422894">
      <w:bodyDiv w:val="1"/>
      <w:marLeft w:val="0"/>
      <w:marRight w:val="0"/>
      <w:marTop w:val="0"/>
      <w:marBottom w:val="0"/>
      <w:divBdr>
        <w:top w:val="none" w:sz="0" w:space="0" w:color="auto"/>
        <w:left w:val="none" w:sz="0" w:space="0" w:color="auto"/>
        <w:bottom w:val="none" w:sz="0" w:space="0" w:color="auto"/>
        <w:right w:val="none" w:sz="0" w:space="0" w:color="auto"/>
      </w:divBdr>
    </w:div>
    <w:div w:id="1199317530">
      <w:bodyDiv w:val="1"/>
      <w:marLeft w:val="0"/>
      <w:marRight w:val="0"/>
      <w:marTop w:val="0"/>
      <w:marBottom w:val="0"/>
      <w:divBdr>
        <w:top w:val="none" w:sz="0" w:space="0" w:color="auto"/>
        <w:left w:val="none" w:sz="0" w:space="0" w:color="auto"/>
        <w:bottom w:val="none" w:sz="0" w:space="0" w:color="auto"/>
        <w:right w:val="none" w:sz="0" w:space="0" w:color="auto"/>
      </w:divBdr>
    </w:div>
    <w:div w:id="120208916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6604604">
      <w:bodyDiv w:val="1"/>
      <w:marLeft w:val="0"/>
      <w:marRight w:val="0"/>
      <w:marTop w:val="0"/>
      <w:marBottom w:val="0"/>
      <w:divBdr>
        <w:top w:val="none" w:sz="0" w:space="0" w:color="auto"/>
        <w:left w:val="none" w:sz="0" w:space="0" w:color="auto"/>
        <w:bottom w:val="none" w:sz="0" w:space="0" w:color="auto"/>
        <w:right w:val="none" w:sz="0" w:space="0" w:color="auto"/>
      </w:divBdr>
    </w:div>
    <w:div w:id="1208564588">
      <w:bodyDiv w:val="1"/>
      <w:marLeft w:val="0"/>
      <w:marRight w:val="0"/>
      <w:marTop w:val="0"/>
      <w:marBottom w:val="0"/>
      <w:divBdr>
        <w:top w:val="none" w:sz="0" w:space="0" w:color="auto"/>
        <w:left w:val="none" w:sz="0" w:space="0" w:color="auto"/>
        <w:bottom w:val="none" w:sz="0" w:space="0" w:color="auto"/>
        <w:right w:val="none" w:sz="0" w:space="0" w:color="auto"/>
      </w:divBdr>
    </w:div>
    <w:div w:id="1223633355">
      <w:bodyDiv w:val="1"/>
      <w:marLeft w:val="0"/>
      <w:marRight w:val="0"/>
      <w:marTop w:val="0"/>
      <w:marBottom w:val="0"/>
      <w:divBdr>
        <w:top w:val="none" w:sz="0" w:space="0" w:color="auto"/>
        <w:left w:val="none" w:sz="0" w:space="0" w:color="auto"/>
        <w:bottom w:val="none" w:sz="0" w:space="0" w:color="auto"/>
        <w:right w:val="none" w:sz="0" w:space="0" w:color="auto"/>
      </w:divBdr>
    </w:div>
    <w:div w:id="1224634617">
      <w:bodyDiv w:val="1"/>
      <w:marLeft w:val="0"/>
      <w:marRight w:val="0"/>
      <w:marTop w:val="0"/>
      <w:marBottom w:val="0"/>
      <w:divBdr>
        <w:top w:val="none" w:sz="0" w:space="0" w:color="auto"/>
        <w:left w:val="none" w:sz="0" w:space="0" w:color="auto"/>
        <w:bottom w:val="none" w:sz="0" w:space="0" w:color="auto"/>
        <w:right w:val="none" w:sz="0" w:space="0" w:color="auto"/>
      </w:divBdr>
    </w:div>
    <w:div w:id="1228297215">
      <w:bodyDiv w:val="1"/>
      <w:marLeft w:val="0"/>
      <w:marRight w:val="0"/>
      <w:marTop w:val="0"/>
      <w:marBottom w:val="0"/>
      <w:divBdr>
        <w:top w:val="none" w:sz="0" w:space="0" w:color="auto"/>
        <w:left w:val="none" w:sz="0" w:space="0" w:color="auto"/>
        <w:bottom w:val="none" w:sz="0" w:space="0" w:color="auto"/>
        <w:right w:val="none" w:sz="0" w:space="0" w:color="auto"/>
      </w:divBdr>
    </w:div>
    <w:div w:id="1229343070">
      <w:bodyDiv w:val="1"/>
      <w:marLeft w:val="0"/>
      <w:marRight w:val="0"/>
      <w:marTop w:val="0"/>
      <w:marBottom w:val="0"/>
      <w:divBdr>
        <w:top w:val="none" w:sz="0" w:space="0" w:color="auto"/>
        <w:left w:val="none" w:sz="0" w:space="0" w:color="auto"/>
        <w:bottom w:val="none" w:sz="0" w:space="0" w:color="auto"/>
        <w:right w:val="none" w:sz="0" w:space="0" w:color="auto"/>
      </w:divBdr>
    </w:div>
    <w:div w:id="1235819517">
      <w:bodyDiv w:val="1"/>
      <w:marLeft w:val="0"/>
      <w:marRight w:val="0"/>
      <w:marTop w:val="0"/>
      <w:marBottom w:val="0"/>
      <w:divBdr>
        <w:top w:val="none" w:sz="0" w:space="0" w:color="auto"/>
        <w:left w:val="none" w:sz="0" w:space="0" w:color="auto"/>
        <w:bottom w:val="none" w:sz="0" w:space="0" w:color="auto"/>
        <w:right w:val="none" w:sz="0" w:space="0" w:color="auto"/>
      </w:divBdr>
    </w:div>
    <w:div w:id="1236278963">
      <w:bodyDiv w:val="1"/>
      <w:marLeft w:val="0"/>
      <w:marRight w:val="0"/>
      <w:marTop w:val="0"/>
      <w:marBottom w:val="0"/>
      <w:divBdr>
        <w:top w:val="none" w:sz="0" w:space="0" w:color="auto"/>
        <w:left w:val="none" w:sz="0" w:space="0" w:color="auto"/>
        <w:bottom w:val="none" w:sz="0" w:space="0" w:color="auto"/>
        <w:right w:val="none" w:sz="0" w:space="0" w:color="auto"/>
      </w:divBdr>
    </w:div>
    <w:div w:id="1237933623">
      <w:bodyDiv w:val="1"/>
      <w:marLeft w:val="0"/>
      <w:marRight w:val="0"/>
      <w:marTop w:val="0"/>
      <w:marBottom w:val="0"/>
      <w:divBdr>
        <w:top w:val="none" w:sz="0" w:space="0" w:color="auto"/>
        <w:left w:val="none" w:sz="0" w:space="0" w:color="auto"/>
        <w:bottom w:val="none" w:sz="0" w:space="0" w:color="auto"/>
        <w:right w:val="none" w:sz="0" w:space="0" w:color="auto"/>
      </w:divBdr>
    </w:div>
    <w:div w:id="1238517622">
      <w:bodyDiv w:val="1"/>
      <w:marLeft w:val="0"/>
      <w:marRight w:val="0"/>
      <w:marTop w:val="0"/>
      <w:marBottom w:val="0"/>
      <w:divBdr>
        <w:top w:val="none" w:sz="0" w:space="0" w:color="auto"/>
        <w:left w:val="none" w:sz="0" w:space="0" w:color="auto"/>
        <w:bottom w:val="none" w:sz="0" w:space="0" w:color="auto"/>
        <w:right w:val="none" w:sz="0" w:space="0" w:color="auto"/>
      </w:divBdr>
    </w:div>
    <w:div w:id="1243832369">
      <w:bodyDiv w:val="1"/>
      <w:marLeft w:val="0"/>
      <w:marRight w:val="0"/>
      <w:marTop w:val="0"/>
      <w:marBottom w:val="0"/>
      <w:divBdr>
        <w:top w:val="none" w:sz="0" w:space="0" w:color="auto"/>
        <w:left w:val="none" w:sz="0" w:space="0" w:color="auto"/>
        <w:bottom w:val="none" w:sz="0" w:space="0" w:color="auto"/>
        <w:right w:val="none" w:sz="0" w:space="0" w:color="auto"/>
      </w:divBdr>
    </w:div>
    <w:div w:id="1247760636">
      <w:bodyDiv w:val="1"/>
      <w:marLeft w:val="0"/>
      <w:marRight w:val="0"/>
      <w:marTop w:val="0"/>
      <w:marBottom w:val="0"/>
      <w:divBdr>
        <w:top w:val="none" w:sz="0" w:space="0" w:color="auto"/>
        <w:left w:val="none" w:sz="0" w:space="0" w:color="auto"/>
        <w:bottom w:val="none" w:sz="0" w:space="0" w:color="auto"/>
        <w:right w:val="none" w:sz="0" w:space="0" w:color="auto"/>
      </w:divBdr>
    </w:div>
    <w:div w:id="1248538387">
      <w:bodyDiv w:val="1"/>
      <w:marLeft w:val="0"/>
      <w:marRight w:val="0"/>
      <w:marTop w:val="0"/>
      <w:marBottom w:val="0"/>
      <w:divBdr>
        <w:top w:val="none" w:sz="0" w:space="0" w:color="auto"/>
        <w:left w:val="none" w:sz="0" w:space="0" w:color="auto"/>
        <w:bottom w:val="none" w:sz="0" w:space="0" w:color="auto"/>
        <w:right w:val="none" w:sz="0" w:space="0" w:color="auto"/>
      </w:divBdr>
    </w:div>
    <w:div w:id="1249580302">
      <w:bodyDiv w:val="1"/>
      <w:marLeft w:val="0"/>
      <w:marRight w:val="0"/>
      <w:marTop w:val="0"/>
      <w:marBottom w:val="0"/>
      <w:divBdr>
        <w:top w:val="none" w:sz="0" w:space="0" w:color="auto"/>
        <w:left w:val="none" w:sz="0" w:space="0" w:color="auto"/>
        <w:bottom w:val="none" w:sz="0" w:space="0" w:color="auto"/>
        <w:right w:val="none" w:sz="0" w:space="0" w:color="auto"/>
      </w:divBdr>
    </w:div>
    <w:div w:id="1253465854">
      <w:bodyDiv w:val="1"/>
      <w:marLeft w:val="0"/>
      <w:marRight w:val="0"/>
      <w:marTop w:val="0"/>
      <w:marBottom w:val="0"/>
      <w:divBdr>
        <w:top w:val="none" w:sz="0" w:space="0" w:color="auto"/>
        <w:left w:val="none" w:sz="0" w:space="0" w:color="auto"/>
        <w:bottom w:val="none" w:sz="0" w:space="0" w:color="auto"/>
        <w:right w:val="none" w:sz="0" w:space="0" w:color="auto"/>
      </w:divBdr>
    </w:div>
    <w:div w:id="1254976620">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7520931">
      <w:bodyDiv w:val="1"/>
      <w:marLeft w:val="0"/>
      <w:marRight w:val="0"/>
      <w:marTop w:val="0"/>
      <w:marBottom w:val="0"/>
      <w:divBdr>
        <w:top w:val="none" w:sz="0" w:space="0" w:color="auto"/>
        <w:left w:val="none" w:sz="0" w:space="0" w:color="auto"/>
        <w:bottom w:val="none" w:sz="0" w:space="0" w:color="auto"/>
        <w:right w:val="none" w:sz="0" w:space="0" w:color="auto"/>
      </w:divBdr>
    </w:div>
    <w:div w:id="1262252179">
      <w:bodyDiv w:val="1"/>
      <w:marLeft w:val="0"/>
      <w:marRight w:val="0"/>
      <w:marTop w:val="0"/>
      <w:marBottom w:val="0"/>
      <w:divBdr>
        <w:top w:val="none" w:sz="0" w:space="0" w:color="auto"/>
        <w:left w:val="none" w:sz="0" w:space="0" w:color="auto"/>
        <w:bottom w:val="none" w:sz="0" w:space="0" w:color="auto"/>
        <w:right w:val="none" w:sz="0" w:space="0" w:color="auto"/>
      </w:divBdr>
    </w:div>
    <w:div w:id="1267885154">
      <w:bodyDiv w:val="1"/>
      <w:marLeft w:val="0"/>
      <w:marRight w:val="0"/>
      <w:marTop w:val="0"/>
      <w:marBottom w:val="0"/>
      <w:divBdr>
        <w:top w:val="none" w:sz="0" w:space="0" w:color="auto"/>
        <w:left w:val="none" w:sz="0" w:space="0" w:color="auto"/>
        <w:bottom w:val="none" w:sz="0" w:space="0" w:color="auto"/>
        <w:right w:val="none" w:sz="0" w:space="0" w:color="auto"/>
      </w:divBdr>
    </w:div>
    <w:div w:id="1269511361">
      <w:bodyDiv w:val="1"/>
      <w:marLeft w:val="0"/>
      <w:marRight w:val="0"/>
      <w:marTop w:val="0"/>
      <w:marBottom w:val="0"/>
      <w:divBdr>
        <w:top w:val="none" w:sz="0" w:space="0" w:color="auto"/>
        <w:left w:val="none" w:sz="0" w:space="0" w:color="auto"/>
        <w:bottom w:val="none" w:sz="0" w:space="0" w:color="auto"/>
        <w:right w:val="none" w:sz="0" w:space="0" w:color="auto"/>
      </w:divBdr>
    </w:div>
    <w:div w:id="1271353773">
      <w:bodyDiv w:val="1"/>
      <w:marLeft w:val="0"/>
      <w:marRight w:val="0"/>
      <w:marTop w:val="0"/>
      <w:marBottom w:val="0"/>
      <w:divBdr>
        <w:top w:val="none" w:sz="0" w:space="0" w:color="auto"/>
        <w:left w:val="none" w:sz="0" w:space="0" w:color="auto"/>
        <w:bottom w:val="none" w:sz="0" w:space="0" w:color="auto"/>
        <w:right w:val="none" w:sz="0" w:space="0" w:color="auto"/>
      </w:divBdr>
    </w:div>
    <w:div w:id="1274509856">
      <w:bodyDiv w:val="1"/>
      <w:marLeft w:val="0"/>
      <w:marRight w:val="0"/>
      <w:marTop w:val="0"/>
      <w:marBottom w:val="0"/>
      <w:divBdr>
        <w:top w:val="none" w:sz="0" w:space="0" w:color="auto"/>
        <w:left w:val="none" w:sz="0" w:space="0" w:color="auto"/>
        <w:bottom w:val="none" w:sz="0" w:space="0" w:color="auto"/>
        <w:right w:val="none" w:sz="0" w:space="0" w:color="auto"/>
      </w:divBdr>
    </w:div>
    <w:div w:id="1277131294">
      <w:bodyDiv w:val="1"/>
      <w:marLeft w:val="0"/>
      <w:marRight w:val="0"/>
      <w:marTop w:val="0"/>
      <w:marBottom w:val="0"/>
      <w:divBdr>
        <w:top w:val="none" w:sz="0" w:space="0" w:color="auto"/>
        <w:left w:val="none" w:sz="0" w:space="0" w:color="auto"/>
        <w:bottom w:val="none" w:sz="0" w:space="0" w:color="auto"/>
        <w:right w:val="none" w:sz="0" w:space="0" w:color="auto"/>
      </w:divBdr>
    </w:div>
    <w:div w:id="1282615815">
      <w:bodyDiv w:val="1"/>
      <w:marLeft w:val="0"/>
      <w:marRight w:val="0"/>
      <w:marTop w:val="0"/>
      <w:marBottom w:val="0"/>
      <w:divBdr>
        <w:top w:val="none" w:sz="0" w:space="0" w:color="auto"/>
        <w:left w:val="none" w:sz="0" w:space="0" w:color="auto"/>
        <w:bottom w:val="none" w:sz="0" w:space="0" w:color="auto"/>
        <w:right w:val="none" w:sz="0" w:space="0" w:color="auto"/>
      </w:divBdr>
    </w:div>
    <w:div w:id="1290161267">
      <w:bodyDiv w:val="1"/>
      <w:marLeft w:val="0"/>
      <w:marRight w:val="0"/>
      <w:marTop w:val="0"/>
      <w:marBottom w:val="0"/>
      <w:divBdr>
        <w:top w:val="none" w:sz="0" w:space="0" w:color="auto"/>
        <w:left w:val="none" w:sz="0" w:space="0" w:color="auto"/>
        <w:bottom w:val="none" w:sz="0" w:space="0" w:color="auto"/>
        <w:right w:val="none" w:sz="0" w:space="0" w:color="auto"/>
      </w:divBdr>
    </w:div>
    <w:div w:id="1295911713">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298684830">
      <w:bodyDiv w:val="1"/>
      <w:marLeft w:val="0"/>
      <w:marRight w:val="0"/>
      <w:marTop w:val="0"/>
      <w:marBottom w:val="0"/>
      <w:divBdr>
        <w:top w:val="none" w:sz="0" w:space="0" w:color="auto"/>
        <w:left w:val="none" w:sz="0" w:space="0" w:color="auto"/>
        <w:bottom w:val="none" w:sz="0" w:space="0" w:color="auto"/>
        <w:right w:val="none" w:sz="0" w:space="0" w:color="auto"/>
      </w:divBdr>
    </w:div>
    <w:div w:id="1300458754">
      <w:bodyDiv w:val="1"/>
      <w:marLeft w:val="0"/>
      <w:marRight w:val="0"/>
      <w:marTop w:val="0"/>
      <w:marBottom w:val="0"/>
      <w:divBdr>
        <w:top w:val="none" w:sz="0" w:space="0" w:color="auto"/>
        <w:left w:val="none" w:sz="0" w:space="0" w:color="auto"/>
        <w:bottom w:val="none" w:sz="0" w:space="0" w:color="auto"/>
        <w:right w:val="none" w:sz="0" w:space="0" w:color="auto"/>
      </w:divBdr>
    </w:div>
    <w:div w:id="1308827056">
      <w:bodyDiv w:val="1"/>
      <w:marLeft w:val="0"/>
      <w:marRight w:val="0"/>
      <w:marTop w:val="0"/>
      <w:marBottom w:val="0"/>
      <w:divBdr>
        <w:top w:val="none" w:sz="0" w:space="0" w:color="auto"/>
        <w:left w:val="none" w:sz="0" w:space="0" w:color="auto"/>
        <w:bottom w:val="none" w:sz="0" w:space="0" w:color="auto"/>
        <w:right w:val="none" w:sz="0" w:space="0" w:color="auto"/>
      </w:divBdr>
    </w:div>
    <w:div w:id="1313095740">
      <w:bodyDiv w:val="1"/>
      <w:marLeft w:val="0"/>
      <w:marRight w:val="0"/>
      <w:marTop w:val="0"/>
      <w:marBottom w:val="0"/>
      <w:divBdr>
        <w:top w:val="none" w:sz="0" w:space="0" w:color="auto"/>
        <w:left w:val="none" w:sz="0" w:space="0" w:color="auto"/>
        <w:bottom w:val="none" w:sz="0" w:space="0" w:color="auto"/>
        <w:right w:val="none" w:sz="0" w:space="0" w:color="auto"/>
      </w:divBdr>
    </w:div>
    <w:div w:id="1324360498">
      <w:bodyDiv w:val="1"/>
      <w:marLeft w:val="0"/>
      <w:marRight w:val="0"/>
      <w:marTop w:val="0"/>
      <w:marBottom w:val="0"/>
      <w:divBdr>
        <w:top w:val="none" w:sz="0" w:space="0" w:color="auto"/>
        <w:left w:val="none" w:sz="0" w:space="0" w:color="auto"/>
        <w:bottom w:val="none" w:sz="0" w:space="0" w:color="auto"/>
        <w:right w:val="none" w:sz="0" w:space="0" w:color="auto"/>
      </w:divBdr>
    </w:div>
    <w:div w:id="1333338363">
      <w:bodyDiv w:val="1"/>
      <w:marLeft w:val="0"/>
      <w:marRight w:val="0"/>
      <w:marTop w:val="0"/>
      <w:marBottom w:val="0"/>
      <w:divBdr>
        <w:top w:val="none" w:sz="0" w:space="0" w:color="auto"/>
        <w:left w:val="none" w:sz="0" w:space="0" w:color="auto"/>
        <w:bottom w:val="none" w:sz="0" w:space="0" w:color="auto"/>
        <w:right w:val="none" w:sz="0" w:space="0" w:color="auto"/>
      </w:divBdr>
    </w:div>
    <w:div w:id="1335037041">
      <w:bodyDiv w:val="1"/>
      <w:marLeft w:val="0"/>
      <w:marRight w:val="0"/>
      <w:marTop w:val="0"/>
      <w:marBottom w:val="0"/>
      <w:divBdr>
        <w:top w:val="none" w:sz="0" w:space="0" w:color="auto"/>
        <w:left w:val="none" w:sz="0" w:space="0" w:color="auto"/>
        <w:bottom w:val="none" w:sz="0" w:space="0" w:color="auto"/>
        <w:right w:val="none" w:sz="0" w:space="0" w:color="auto"/>
      </w:divBdr>
    </w:div>
    <w:div w:id="1342511341">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6708866">
      <w:bodyDiv w:val="1"/>
      <w:marLeft w:val="0"/>
      <w:marRight w:val="0"/>
      <w:marTop w:val="0"/>
      <w:marBottom w:val="0"/>
      <w:divBdr>
        <w:top w:val="none" w:sz="0" w:space="0" w:color="auto"/>
        <w:left w:val="none" w:sz="0" w:space="0" w:color="auto"/>
        <w:bottom w:val="none" w:sz="0" w:space="0" w:color="auto"/>
        <w:right w:val="none" w:sz="0" w:space="0" w:color="auto"/>
      </w:divBdr>
    </w:div>
    <w:div w:id="1346862958">
      <w:bodyDiv w:val="1"/>
      <w:marLeft w:val="0"/>
      <w:marRight w:val="0"/>
      <w:marTop w:val="0"/>
      <w:marBottom w:val="0"/>
      <w:divBdr>
        <w:top w:val="none" w:sz="0" w:space="0" w:color="auto"/>
        <w:left w:val="none" w:sz="0" w:space="0" w:color="auto"/>
        <w:bottom w:val="none" w:sz="0" w:space="0" w:color="auto"/>
        <w:right w:val="none" w:sz="0" w:space="0" w:color="auto"/>
      </w:divBdr>
    </w:div>
    <w:div w:id="1348364418">
      <w:bodyDiv w:val="1"/>
      <w:marLeft w:val="0"/>
      <w:marRight w:val="0"/>
      <w:marTop w:val="0"/>
      <w:marBottom w:val="0"/>
      <w:divBdr>
        <w:top w:val="none" w:sz="0" w:space="0" w:color="auto"/>
        <w:left w:val="none" w:sz="0" w:space="0" w:color="auto"/>
        <w:bottom w:val="none" w:sz="0" w:space="0" w:color="auto"/>
        <w:right w:val="none" w:sz="0" w:space="0" w:color="auto"/>
      </w:divBdr>
    </w:div>
    <w:div w:id="1354960914">
      <w:bodyDiv w:val="1"/>
      <w:marLeft w:val="0"/>
      <w:marRight w:val="0"/>
      <w:marTop w:val="0"/>
      <w:marBottom w:val="0"/>
      <w:divBdr>
        <w:top w:val="none" w:sz="0" w:space="0" w:color="auto"/>
        <w:left w:val="none" w:sz="0" w:space="0" w:color="auto"/>
        <w:bottom w:val="none" w:sz="0" w:space="0" w:color="auto"/>
        <w:right w:val="none" w:sz="0" w:space="0" w:color="auto"/>
      </w:divBdr>
    </w:div>
    <w:div w:id="1364478097">
      <w:bodyDiv w:val="1"/>
      <w:marLeft w:val="0"/>
      <w:marRight w:val="0"/>
      <w:marTop w:val="0"/>
      <w:marBottom w:val="0"/>
      <w:divBdr>
        <w:top w:val="none" w:sz="0" w:space="0" w:color="auto"/>
        <w:left w:val="none" w:sz="0" w:space="0" w:color="auto"/>
        <w:bottom w:val="none" w:sz="0" w:space="0" w:color="auto"/>
        <w:right w:val="none" w:sz="0" w:space="0" w:color="auto"/>
      </w:divBdr>
    </w:div>
    <w:div w:id="1369186552">
      <w:bodyDiv w:val="1"/>
      <w:marLeft w:val="0"/>
      <w:marRight w:val="0"/>
      <w:marTop w:val="0"/>
      <w:marBottom w:val="0"/>
      <w:divBdr>
        <w:top w:val="none" w:sz="0" w:space="0" w:color="auto"/>
        <w:left w:val="none" w:sz="0" w:space="0" w:color="auto"/>
        <w:bottom w:val="none" w:sz="0" w:space="0" w:color="auto"/>
        <w:right w:val="none" w:sz="0" w:space="0" w:color="auto"/>
      </w:divBdr>
    </w:div>
    <w:div w:id="1369650008">
      <w:bodyDiv w:val="1"/>
      <w:marLeft w:val="0"/>
      <w:marRight w:val="0"/>
      <w:marTop w:val="0"/>
      <w:marBottom w:val="0"/>
      <w:divBdr>
        <w:top w:val="none" w:sz="0" w:space="0" w:color="auto"/>
        <w:left w:val="none" w:sz="0" w:space="0" w:color="auto"/>
        <w:bottom w:val="none" w:sz="0" w:space="0" w:color="auto"/>
        <w:right w:val="none" w:sz="0" w:space="0" w:color="auto"/>
      </w:divBdr>
    </w:div>
    <w:div w:id="1376154988">
      <w:bodyDiv w:val="1"/>
      <w:marLeft w:val="0"/>
      <w:marRight w:val="0"/>
      <w:marTop w:val="0"/>
      <w:marBottom w:val="0"/>
      <w:divBdr>
        <w:top w:val="none" w:sz="0" w:space="0" w:color="auto"/>
        <w:left w:val="none" w:sz="0" w:space="0" w:color="auto"/>
        <w:bottom w:val="none" w:sz="0" w:space="0" w:color="auto"/>
        <w:right w:val="none" w:sz="0" w:space="0" w:color="auto"/>
      </w:divBdr>
    </w:div>
    <w:div w:id="1387333235">
      <w:bodyDiv w:val="1"/>
      <w:marLeft w:val="0"/>
      <w:marRight w:val="0"/>
      <w:marTop w:val="0"/>
      <w:marBottom w:val="0"/>
      <w:divBdr>
        <w:top w:val="none" w:sz="0" w:space="0" w:color="auto"/>
        <w:left w:val="none" w:sz="0" w:space="0" w:color="auto"/>
        <w:bottom w:val="none" w:sz="0" w:space="0" w:color="auto"/>
        <w:right w:val="none" w:sz="0" w:space="0" w:color="auto"/>
      </w:divBdr>
    </w:div>
    <w:div w:id="1388607942">
      <w:bodyDiv w:val="1"/>
      <w:marLeft w:val="0"/>
      <w:marRight w:val="0"/>
      <w:marTop w:val="0"/>
      <w:marBottom w:val="0"/>
      <w:divBdr>
        <w:top w:val="none" w:sz="0" w:space="0" w:color="auto"/>
        <w:left w:val="none" w:sz="0" w:space="0" w:color="auto"/>
        <w:bottom w:val="none" w:sz="0" w:space="0" w:color="auto"/>
        <w:right w:val="none" w:sz="0" w:space="0" w:color="auto"/>
      </w:divBdr>
    </w:div>
    <w:div w:id="1389961714">
      <w:bodyDiv w:val="1"/>
      <w:marLeft w:val="0"/>
      <w:marRight w:val="0"/>
      <w:marTop w:val="0"/>
      <w:marBottom w:val="0"/>
      <w:divBdr>
        <w:top w:val="none" w:sz="0" w:space="0" w:color="auto"/>
        <w:left w:val="none" w:sz="0" w:space="0" w:color="auto"/>
        <w:bottom w:val="none" w:sz="0" w:space="0" w:color="auto"/>
        <w:right w:val="none" w:sz="0" w:space="0" w:color="auto"/>
      </w:divBdr>
    </w:div>
    <w:div w:id="1392189348">
      <w:bodyDiv w:val="1"/>
      <w:marLeft w:val="0"/>
      <w:marRight w:val="0"/>
      <w:marTop w:val="0"/>
      <w:marBottom w:val="0"/>
      <w:divBdr>
        <w:top w:val="none" w:sz="0" w:space="0" w:color="auto"/>
        <w:left w:val="none" w:sz="0" w:space="0" w:color="auto"/>
        <w:bottom w:val="none" w:sz="0" w:space="0" w:color="auto"/>
        <w:right w:val="none" w:sz="0" w:space="0" w:color="auto"/>
      </w:divBdr>
    </w:div>
    <w:div w:id="1395081467">
      <w:bodyDiv w:val="1"/>
      <w:marLeft w:val="0"/>
      <w:marRight w:val="0"/>
      <w:marTop w:val="0"/>
      <w:marBottom w:val="0"/>
      <w:divBdr>
        <w:top w:val="none" w:sz="0" w:space="0" w:color="auto"/>
        <w:left w:val="none" w:sz="0" w:space="0" w:color="auto"/>
        <w:bottom w:val="none" w:sz="0" w:space="0" w:color="auto"/>
        <w:right w:val="none" w:sz="0" w:space="0" w:color="auto"/>
      </w:divBdr>
    </w:div>
    <w:div w:id="140621931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0422199">
      <w:bodyDiv w:val="1"/>
      <w:marLeft w:val="0"/>
      <w:marRight w:val="0"/>
      <w:marTop w:val="0"/>
      <w:marBottom w:val="0"/>
      <w:divBdr>
        <w:top w:val="none" w:sz="0" w:space="0" w:color="auto"/>
        <w:left w:val="none" w:sz="0" w:space="0" w:color="auto"/>
        <w:bottom w:val="none" w:sz="0" w:space="0" w:color="auto"/>
        <w:right w:val="none" w:sz="0" w:space="0" w:color="auto"/>
      </w:divBdr>
    </w:div>
    <w:div w:id="1415593969">
      <w:bodyDiv w:val="1"/>
      <w:marLeft w:val="0"/>
      <w:marRight w:val="0"/>
      <w:marTop w:val="0"/>
      <w:marBottom w:val="0"/>
      <w:divBdr>
        <w:top w:val="none" w:sz="0" w:space="0" w:color="auto"/>
        <w:left w:val="none" w:sz="0" w:space="0" w:color="auto"/>
        <w:bottom w:val="none" w:sz="0" w:space="0" w:color="auto"/>
        <w:right w:val="none" w:sz="0" w:space="0" w:color="auto"/>
      </w:divBdr>
    </w:div>
    <w:div w:id="14296203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2383360">
      <w:bodyDiv w:val="1"/>
      <w:marLeft w:val="0"/>
      <w:marRight w:val="0"/>
      <w:marTop w:val="0"/>
      <w:marBottom w:val="0"/>
      <w:divBdr>
        <w:top w:val="none" w:sz="0" w:space="0" w:color="auto"/>
        <w:left w:val="none" w:sz="0" w:space="0" w:color="auto"/>
        <w:bottom w:val="none" w:sz="0" w:space="0" w:color="auto"/>
        <w:right w:val="none" w:sz="0" w:space="0" w:color="auto"/>
      </w:divBdr>
    </w:div>
    <w:div w:id="1450203756">
      <w:bodyDiv w:val="1"/>
      <w:marLeft w:val="0"/>
      <w:marRight w:val="0"/>
      <w:marTop w:val="0"/>
      <w:marBottom w:val="0"/>
      <w:divBdr>
        <w:top w:val="none" w:sz="0" w:space="0" w:color="auto"/>
        <w:left w:val="none" w:sz="0" w:space="0" w:color="auto"/>
        <w:bottom w:val="none" w:sz="0" w:space="0" w:color="auto"/>
        <w:right w:val="none" w:sz="0" w:space="0" w:color="auto"/>
      </w:divBdr>
    </w:div>
    <w:div w:id="1458569347">
      <w:bodyDiv w:val="1"/>
      <w:marLeft w:val="0"/>
      <w:marRight w:val="0"/>
      <w:marTop w:val="0"/>
      <w:marBottom w:val="0"/>
      <w:divBdr>
        <w:top w:val="none" w:sz="0" w:space="0" w:color="auto"/>
        <w:left w:val="none" w:sz="0" w:space="0" w:color="auto"/>
        <w:bottom w:val="none" w:sz="0" w:space="0" w:color="auto"/>
        <w:right w:val="none" w:sz="0" w:space="0" w:color="auto"/>
      </w:divBdr>
    </w:div>
    <w:div w:id="1462530905">
      <w:bodyDiv w:val="1"/>
      <w:marLeft w:val="0"/>
      <w:marRight w:val="0"/>
      <w:marTop w:val="0"/>
      <w:marBottom w:val="0"/>
      <w:divBdr>
        <w:top w:val="none" w:sz="0" w:space="0" w:color="auto"/>
        <w:left w:val="none" w:sz="0" w:space="0" w:color="auto"/>
        <w:bottom w:val="none" w:sz="0" w:space="0" w:color="auto"/>
        <w:right w:val="none" w:sz="0" w:space="0" w:color="auto"/>
      </w:divBdr>
    </w:div>
    <w:div w:id="1465925334">
      <w:bodyDiv w:val="1"/>
      <w:marLeft w:val="0"/>
      <w:marRight w:val="0"/>
      <w:marTop w:val="0"/>
      <w:marBottom w:val="0"/>
      <w:divBdr>
        <w:top w:val="none" w:sz="0" w:space="0" w:color="auto"/>
        <w:left w:val="none" w:sz="0" w:space="0" w:color="auto"/>
        <w:bottom w:val="none" w:sz="0" w:space="0" w:color="auto"/>
        <w:right w:val="none" w:sz="0" w:space="0" w:color="auto"/>
      </w:divBdr>
    </w:div>
    <w:div w:id="1496845499">
      <w:bodyDiv w:val="1"/>
      <w:marLeft w:val="0"/>
      <w:marRight w:val="0"/>
      <w:marTop w:val="0"/>
      <w:marBottom w:val="0"/>
      <w:divBdr>
        <w:top w:val="none" w:sz="0" w:space="0" w:color="auto"/>
        <w:left w:val="none" w:sz="0" w:space="0" w:color="auto"/>
        <w:bottom w:val="none" w:sz="0" w:space="0" w:color="auto"/>
        <w:right w:val="none" w:sz="0" w:space="0" w:color="auto"/>
      </w:divBdr>
    </w:div>
    <w:div w:id="1499611755">
      <w:bodyDiv w:val="1"/>
      <w:marLeft w:val="0"/>
      <w:marRight w:val="0"/>
      <w:marTop w:val="0"/>
      <w:marBottom w:val="0"/>
      <w:divBdr>
        <w:top w:val="none" w:sz="0" w:space="0" w:color="auto"/>
        <w:left w:val="none" w:sz="0" w:space="0" w:color="auto"/>
        <w:bottom w:val="none" w:sz="0" w:space="0" w:color="auto"/>
        <w:right w:val="none" w:sz="0" w:space="0" w:color="auto"/>
      </w:divBdr>
    </w:div>
    <w:div w:id="1504248567">
      <w:bodyDiv w:val="1"/>
      <w:marLeft w:val="0"/>
      <w:marRight w:val="0"/>
      <w:marTop w:val="0"/>
      <w:marBottom w:val="0"/>
      <w:divBdr>
        <w:top w:val="none" w:sz="0" w:space="0" w:color="auto"/>
        <w:left w:val="none" w:sz="0" w:space="0" w:color="auto"/>
        <w:bottom w:val="none" w:sz="0" w:space="0" w:color="auto"/>
        <w:right w:val="none" w:sz="0" w:space="0" w:color="auto"/>
      </w:divBdr>
    </w:div>
    <w:div w:id="1511406738">
      <w:bodyDiv w:val="1"/>
      <w:marLeft w:val="0"/>
      <w:marRight w:val="0"/>
      <w:marTop w:val="0"/>
      <w:marBottom w:val="0"/>
      <w:divBdr>
        <w:top w:val="none" w:sz="0" w:space="0" w:color="auto"/>
        <w:left w:val="none" w:sz="0" w:space="0" w:color="auto"/>
        <w:bottom w:val="none" w:sz="0" w:space="0" w:color="auto"/>
        <w:right w:val="none" w:sz="0" w:space="0" w:color="auto"/>
      </w:divBdr>
    </w:div>
    <w:div w:id="1524704012">
      <w:bodyDiv w:val="1"/>
      <w:marLeft w:val="0"/>
      <w:marRight w:val="0"/>
      <w:marTop w:val="0"/>
      <w:marBottom w:val="0"/>
      <w:divBdr>
        <w:top w:val="none" w:sz="0" w:space="0" w:color="auto"/>
        <w:left w:val="none" w:sz="0" w:space="0" w:color="auto"/>
        <w:bottom w:val="none" w:sz="0" w:space="0" w:color="auto"/>
        <w:right w:val="none" w:sz="0" w:space="0" w:color="auto"/>
      </w:divBdr>
    </w:div>
    <w:div w:id="1525512156">
      <w:bodyDiv w:val="1"/>
      <w:marLeft w:val="0"/>
      <w:marRight w:val="0"/>
      <w:marTop w:val="0"/>
      <w:marBottom w:val="0"/>
      <w:divBdr>
        <w:top w:val="none" w:sz="0" w:space="0" w:color="auto"/>
        <w:left w:val="none" w:sz="0" w:space="0" w:color="auto"/>
        <w:bottom w:val="none" w:sz="0" w:space="0" w:color="auto"/>
        <w:right w:val="none" w:sz="0" w:space="0" w:color="auto"/>
      </w:divBdr>
    </w:div>
    <w:div w:id="1526016143">
      <w:bodyDiv w:val="1"/>
      <w:marLeft w:val="0"/>
      <w:marRight w:val="0"/>
      <w:marTop w:val="0"/>
      <w:marBottom w:val="0"/>
      <w:divBdr>
        <w:top w:val="none" w:sz="0" w:space="0" w:color="auto"/>
        <w:left w:val="none" w:sz="0" w:space="0" w:color="auto"/>
        <w:bottom w:val="none" w:sz="0" w:space="0" w:color="auto"/>
        <w:right w:val="none" w:sz="0" w:space="0" w:color="auto"/>
      </w:divBdr>
    </w:div>
    <w:div w:id="1542136484">
      <w:bodyDiv w:val="1"/>
      <w:marLeft w:val="0"/>
      <w:marRight w:val="0"/>
      <w:marTop w:val="0"/>
      <w:marBottom w:val="0"/>
      <w:divBdr>
        <w:top w:val="none" w:sz="0" w:space="0" w:color="auto"/>
        <w:left w:val="none" w:sz="0" w:space="0" w:color="auto"/>
        <w:bottom w:val="none" w:sz="0" w:space="0" w:color="auto"/>
        <w:right w:val="none" w:sz="0" w:space="0" w:color="auto"/>
      </w:divBdr>
    </w:div>
    <w:div w:id="1542741529">
      <w:bodyDiv w:val="1"/>
      <w:marLeft w:val="0"/>
      <w:marRight w:val="0"/>
      <w:marTop w:val="0"/>
      <w:marBottom w:val="0"/>
      <w:divBdr>
        <w:top w:val="none" w:sz="0" w:space="0" w:color="auto"/>
        <w:left w:val="none" w:sz="0" w:space="0" w:color="auto"/>
        <w:bottom w:val="none" w:sz="0" w:space="0" w:color="auto"/>
        <w:right w:val="none" w:sz="0" w:space="0" w:color="auto"/>
      </w:divBdr>
    </w:div>
    <w:div w:id="1545483271">
      <w:bodyDiv w:val="1"/>
      <w:marLeft w:val="0"/>
      <w:marRight w:val="0"/>
      <w:marTop w:val="0"/>
      <w:marBottom w:val="0"/>
      <w:divBdr>
        <w:top w:val="none" w:sz="0" w:space="0" w:color="auto"/>
        <w:left w:val="none" w:sz="0" w:space="0" w:color="auto"/>
        <w:bottom w:val="none" w:sz="0" w:space="0" w:color="auto"/>
        <w:right w:val="none" w:sz="0" w:space="0" w:color="auto"/>
      </w:divBdr>
    </w:div>
    <w:div w:id="1545822758">
      <w:bodyDiv w:val="1"/>
      <w:marLeft w:val="0"/>
      <w:marRight w:val="0"/>
      <w:marTop w:val="0"/>
      <w:marBottom w:val="0"/>
      <w:divBdr>
        <w:top w:val="none" w:sz="0" w:space="0" w:color="auto"/>
        <w:left w:val="none" w:sz="0" w:space="0" w:color="auto"/>
        <w:bottom w:val="none" w:sz="0" w:space="0" w:color="auto"/>
        <w:right w:val="none" w:sz="0" w:space="0" w:color="auto"/>
      </w:divBdr>
    </w:div>
    <w:div w:id="1549485884">
      <w:bodyDiv w:val="1"/>
      <w:marLeft w:val="0"/>
      <w:marRight w:val="0"/>
      <w:marTop w:val="0"/>
      <w:marBottom w:val="0"/>
      <w:divBdr>
        <w:top w:val="none" w:sz="0" w:space="0" w:color="auto"/>
        <w:left w:val="none" w:sz="0" w:space="0" w:color="auto"/>
        <w:bottom w:val="none" w:sz="0" w:space="0" w:color="auto"/>
        <w:right w:val="none" w:sz="0" w:space="0" w:color="auto"/>
      </w:divBdr>
    </w:div>
    <w:div w:id="1549605071">
      <w:bodyDiv w:val="1"/>
      <w:marLeft w:val="0"/>
      <w:marRight w:val="0"/>
      <w:marTop w:val="0"/>
      <w:marBottom w:val="0"/>
      <w:divBdr>
        <w:top w:val="none" w:sz="0" w:space="0" w:color="auto"/>
        <w:left w:val="none" w:sz="0" w:space="0" w:color="auto"/>
        <w:bottom w:val="none" w:sz="0" w:space="0" w:color="auto"/>
        <w:right w:val="none" w:sz="0" w:space="0" w:color="auto"/>
      </w:divBdr>
    </w:div>
    <w:div w:id="1550070444">
      <w:bodyDiv w:val="1"/>
      <w:marLeft w:val="0"/>
      <w:marRight w:val="0"/>
      <w:marTop w:val="0"/>
      <w:marBottom w:val="0"/>
      <w:divBdr>
        <w:top w:val="none" w:sz="0" w:space="0" w:color="auto"/>
        <w:left w:val="none" w:sz="0" w:space="0" w:color="auto"/>
        <w:bottom w:val="none" w:sz="0" w:space="0" w:color="auto"/>
        <w:right w:val="none" w:sz="0" w:space="0" w:color="auto"/>
      </w:divBdr>
    </w:div>
    <w:div w:id="1550607171">
      <w:bodyDiv w:val="1"/>
      <w:marLeft w:val="0"/>
      <w:marRight w:val="0"/>
      <w:marTop w:val="0"/>
      <w:marBottom w:val="0"/>
      <w:divBdr>
        <w:top w:val="none" w:sz="0" w:space="0" w:color="auto"/>
        <w:left w:val="none" w:sz="0" w:space="0" w:color="auto"/>
        <w:bottom w:val="none" w:sz="0" w:space="0" w:color="auto"/>
        <w:right w:val="none" w:sz="0" w:space="0" w:color="auto"/>
      </w:divBdr>
    </w:div>
    <w:div w:id="1558662242">
      <w:bodyDiv w:val="1"/>
      <w:marLeft w:val="0"/>
      <w:marRight w:val="0"/>
      <w:marTop w:val="0"/>
      <w:marBottom w:val="0"/>
      <w:divBdr>
        <w:top w:val="none" w:sz="0" w:space="0" w:color="auto"/>
        <w:left w:val="none" w:sz="0" w:space="0" w:color="auto"/>
        <w:bottom w:val="none" w:sz="0" w:space="0" w:color="auto"/>
        <w:right w:val="none" w:sz="0" w:space="0" w:color="auto"/>
      </w:divBdr>
    </w:div>
    <w:div w:id="1566259813">
      <w:bodyDiv w:val="1"/>
      <w:marLeft w:val="0"/>
      <w:marRight w:val="0"/>
      <w:marTop w:val="0"/>
      <w:marBottom w:val="0"/>
      <w:divBdr>
        <w:top w:val="none" w:sz="0" w:space="0" w:color="auto"/>
        <w:left w:val="none" w:sz="0" w:space="0" w:color="auto"/>
        <w:bottom w:val="none" w:sz="0" w:space="0" w:color="auto"/>
        <w:right w:val="none" w:sz="0" w:space="0" w:color="auto"/>
      </w:divBdr>
    </w:div>
    <w:div w:id="1569224230">
      <w:bodyDiv w:val="1"/>
      <w:marLeft w:val="0"/>
      <w:marRight w:val="0"/>
      <w:marTop w:val="0"/>
      <w:marBottom w:val="0"/>
      <w:divBdr>
        <w:top w:val="none" w:sz="0" w:space="0" w:color="auto"/>
        <w:left w:val="none" w:sz="0" w:space="0" w:color="auto"/>
        <w:bottom w:val="none" w:sz="0" w:space="0" w:color="auto"/>
        <w:right w:val="none" w:sz="0" w:space="0" w:color="auto"/>
      </w:divBdr>
    </w:div>
    <w:div w:id="1570382838">
      <w:bodyDiv w:val="1"/>
      <w:marLeft w:val="0"/>
      <w:marRight w:val="0"/>
      <w:marTop w:val="0"/>
      <w:marBottom w:val="0"/>
      <w:divBdr>
        <w:top w:val="none" w:sz="0" w:space="0" w:color="auto"/>
        <w:left w:val="none" w:sz="0" w:space="0" w:color="auto"/>
        <w:bottom w:val="none" w:sz="0" w:space="0" w:color="auto"/>
        <w:right w:val="none" w:sz="0" w:space="0" w:color="auto"/>
      </w:divBdr>
    </w:div>
    <w:div w:id="1579095849">
      <w:bodyDiv w:val="1"/>
      <w:marLeft w:val="0"/>
      <w:marRight w:val="0"/>
      <w:marTop w:val="0"/>
      <w:marBottom w:val="0"/>
      <w:divBdr>
        <w:top w:val="none" w:sz="0" w:space="0" w:color="auto"/>
        <w:left w:val="none" w:sz="0" w:space="0" w:color="auto"/>
        <w:bottom w:val="none" w:sz="0" w:space="0" w:color="auto"/>
        <w:right w:val="none" w:sz="0" w:space="0" w:color="auto"/>
      </w:divBdr>
    </w:div>
    <w:div w:id="1582064871">
      <w:bodyDiv w:val="1"/>
      <w:marLeft w:val="0"/>
      <w:marRight w:val="0"/>
      <w:marTop w:val="0"/>
      <w:marBottom w:val="0"/>
      <w:divBdr>
        <w:top w:val="none" w:sz="0" w:space="0" w:color="auto"/>
        <w:left w:val="none" w:sz="0" w:space="0" w:color="auto"/>
        <w:bottom w:val="none" w:sz="0" w:space="0" w:color="auto"/>
        <w:right w:val="none" w:sz="0" w:space="0" w:color="auto"/>
      </w:divBdr>
    </w:div>
    <w:div w:id="1584535711">
      <w:bodyDiv w:val="1"/>
      <w:marLeft w:val="0"/>
      <w:marRight w:val="0"/>
      <w:marTop w:val="0"/>
      <w:marBottom w:val="0"/>
      <w:divBdr>
        <w:top w:val="none" w:sz="0" w:space="0" w:color="auto"/>
        <w:left w:val="none" w:sz="0" w:space="0" w:color="auto"/>
        <w:bottom w:val="none" w:sz="0" w:space="0" w:color="auto"/>
        <w:right w:val="none" w:sz="0" w:space="0" w:color="auto"/>
      </w:divBdr>
    </w:div>
    <w:div w:id="1594164182">
      <w:bodyDiv w:val="1"/>
      <w:marLeft w:val="0"/>
      <w:marRight w:val="0"/>
      <w:marTop w:val="0"/>
      <w:marBottom w:val="0"/>
      <w:divBdr>
        <w:top w:val="none" w:sz="0" w:space="0" w:color="auto"/>
        <w:left w:val="none" w:sz="0" w:space="0" w:color="auto"/>
        <w:bottom w:val="none" w:sz="0" w:space="0" w:color="auto"/>
        <w:right w:val="none" w:sz="0" w:space="0" w:color="auto"/>
      </w:divBdr>
    </w:div>
    <w:div w:id="1595280482">
      <w:bodyDiv w:val="1"/>
      <w:marLeft w:val="0"/>
      <w:marRight w:val="0"/>
      <w:marTop w:val="0"/>
      <w:marBottom w:val="0"/>
      <w:divBdr>
        <w:top w:val="none" w:sz="0" w:space="0" w:color="auto"/>
        <w:left w:val="none" w:sz="0" w:space="0" w:color="auto"/>
        <w:bottom w:val="none" w:sz="0" w:space="0" w:color="auto"/>
        <w:right w:val="none" w:sz="0" w:space="0" w:color="auto"/>
      </w:divBdr>
    </w:div>
    <w:div w:id="1601521742">
      <w:bodyDiv w:val="1"/>
      <w:marLeft w:val="0"/>
      <w:marRight w:val="0"/>
      <w:marTop w:val="0"/>
      <w:marBottom w:val="0"/>
      <w:divBdr>
        <w:top w:val="none" w:sz="0" w:space="0" w:color="auto"/>
        <w:left w:val="none" w:sz="0" w:space="0" w:color="auto"/>
        <w:bottom w:val="none" w:sz="0" w:space="0" w:color="auto"/>
        <w:right w:val="none" w:sz="0" w:space="0" w:color="auto"/>
      </w:divBdr>
    </w:div>
    <w:div w:id="1611163742">
      <w:bodyDiv w:val="1"/>
      <w:marLeft w:val="0"/>
      <w:marRight w:val="0"/>
      <w:marTop w:val="0"/>
      <w:marBottom w:val="0"/>
      <w:divBdr>
        <w:top w:val="none" w:sz="0" w:space="0" w:color="auto"/>
        <w:left w:val="none" w:sz="0" w:space="0" w:color="auto"/>
        <w:bottom w:val="none" w:sz="0" w:space="0" w:color="auto"/>
        <w:right w:val="none" w:sz="0" w:space="0" w:color="auto"/>
      </w:divBdr>
    </w:div>
    <w:div w:id="1622764834">
      <w:bodyDiv w:val="1"/>
      <w:marLeft w:val="0"/>
      <w:marRight w:val="0"/>
      <w:marTop w:val="0"/>
      <w:marBottom w:val="0"/>
      <w:divBdr>
        <w:top w:val="none" w:sz="0" w:space="0" w:color="auto"/>
        <w:left w:val="none" w:sz="0" w:space="0" w:color="auto"/>
        <w:bottom w:val="none" w:sz="0" w:space="0" w:color="auto"/>
        <w:right w:val="none" w:sz="0" w:space="0" w:color="auto"/>
      </w:divBdr>
    </w:div>
    <w:div w:id="162477263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4093748">
      <w:bodyDiv w:val="1"/>
      <w:marLeft w:val="0"/>
      <w:marRight w:val="0"/>
      <w:marTop w:val="0"/>
      <w:marBottom w:val="0"/>
      <w:divBdr>
        <w:top w:val="none" w:sz="0" w:space="0" w:color="auto"/>
        <w:left w:val="none" w:sz="0" w:space="0" w:color="auto"/>
        <w:bottom w:val="none" w:sz="0" w:space="0" w:color="auto"/>
        <w:right w:val="none" w:sz="0" w:space="0" w:color="auto"/>
      </w:divBdr>
    </w:div>
    <w:div w:id="1639797638">
      <w:bodyDiv w:val="1"/>
      <w:marLeft w:val="0"/>
      <w:marRight w:val="0"/>
      <w:marTop w:val="0"/>
      <w:marBottom w:val="0"/>
      <w:divBdr>
        <w:top w:val="none" w:sz="0" w:space="0" w:color="auto"/>
        <w:left w:val="none" w:sz="0" w:space="0" w:color="auto"/>
        <w:bottom w:val="none" w:sz="0" w:space="0" w:color="auto"/>
        <w:right w:val="none" w:sz="0" w:space="0" w:color="auto"/>
      </w:divBdr>
    </w:div>
    <w:div w:id="1641615118">
      <w:bodyDiv w:val="1"/>
      <w:marLeft w:val="0"/>
      <w:marRight w:val="0"/>
      <w:marTop w:val="0"/>
      <w:marBottom w:val="0"/>
      <w:divBdr>
        <w:top w:val="none" w:sz="0" w:space="0" w:color="auto"/>
        <w:left w:val="none" w:sz="0" w:space="0" w:color="auto"/>
        <w:bottom w:val="none" w:sz="0" w:space="0" w:color="auto"/>
        <w:right w:val="none" w:sz="0" w:space="0" w:color="auto"/>
      </w:divBdr>
    </w:div>
    <w:div w:id="1643845616">
      <w:bodyDiv w:val="1"/>
      <w:marLeft w:val="0"/>
      <w:marRight w:val="0"/>
      <w:marTop w:val="0"/>
      <w:marBottom w:val="0"/>
      <w:divBdr>
        <w:top w:val="none" w:sz="0" w:space="0" w:color="auto"/>
        <w:left w:val="none" w:sz="0" w:space="0" w:color="auto"/>
        <w:bottom w:val="none" w:sz="0" w:space="0" w:color="auto"/>
        <w:right w:val="none" w:sz="0" w:space="0" w:color="auto"/>
      </w:divBdr>
    </w:div>
    <w:div w:id="1647394185">
      <w:bodyDiv w:val="1"/>
      <w:marLeft w:val="0"/>
      <w:marRight w:val="0"/>
      <w:marTop w:val="0"/>
      <w:marBottom w:val="0"/>
      <w:divBdr>
        <w:top w:val="none" w:sz="0" w:space="0" w:color="auto"/>
        <w:left w:val="none" w:sz="0" w:space="0" w:color="auto"/>
        <w:bottom w:val="none" w:sz="0" w:space="0" w:color="auto"/>
        <w:right w:val="none" w:sz="0" w:space="0" w:color="auto"/>
      </w:divBdr>
    </w:div>
    <w:div w:id="1649049469">
      <w:bodyDiv w:val="1"/>
      <w:marLeft w:val="0"/>
      <w:marRight w:val="0"/>
      <w:marTop w:val="0"/>
      <w:marBottom w:val="0"/>
      <w:divBdr>
        <w:top w:val="none" w:sz="0" w:space="0" w:color="auto"/>
        <w:left w:val="none" w:sz="0" w:space="0" w:color="auto"/>
        <w:bottom w:val="none" w:sz="0" w:space="0" w:color="auto"/>
        <w:right w:val="none" w:sz="0" w:space="0" w:color="auto"/>
      </w:divBdr>
    </w:div>
    <w:div w:id="1651670705">
      <w:bodyDiv w:val="1"/>
      <w:marLeft w:val="0"/>
      <w:marRight w:val="0"/>
      <w:marTop w:val="0"/>
      <w:marBottom w:val="0"/>
      <w:divBdr>
        <w:top w:val="none" w:sz="0" w:space="0" w:color="auto"/>
        <w:left w:val="none" w:sz="0" w:space="0" w:color="auto"/>
        <w:bottom w:val="none" w:sz="0" w:space="0" w:color="auto"/>
        <w:right w:val="none" w:sz="0" w:space="0" w:color="auto"/>
      </w:divBdr>
    </w:div>
    <w:div w:id="1653291728">
      <w:bodyDiv w:val="1"/>
      <w:marLeft w:val="0"/>
      <w:marRight w:val="0"/>
      <w:marTop w:val="0"/>
      <w:marBottom w:val="0"/>
      <w:divBdr>
        <w:top w:val="none" w:sz="0" w:space="0" w:color="auto"/>
        <w:left w:val="none" w:sz="0" w:space="0" w:color="auto"/>
        <w:bottom w:val="none" w:sz="0" w:space="0" w:color="auto"/>
        <w:right w:val="none" w:sz="0" w:space="0" w:color="auto"/>
      </w:divBdr>
    </w:div>
    <w:div w:id="1657344387">
      <w:bodyDiv w:val="1"/>
      <w:marLeft w:val="0"/>
      <w:marRight w:val="0"/>
      <w:marTop w:val="0"/>
      <w:marBottom w:val="0"/>
      <w:divBdr>
        <w:top w:val="none" w:sz="0" w:space="0" w:color="auto"/>
        <w:left w:val="none" w:sz="0" w:space="0" w:color="auto"/>
        <w:bottom w:val="none" w:sz="0" w:space="0" w:color="auto"/>
        <w:right w:val="none" w:sz="0" w:space="0" w:color="auto"/>
      </w:divBdr>
    </w:div>
    <w:div w:id="1657805590">
      <w:bodyDiv w:val="1"/>
      <w:marLeft w:val="0"/>
      <w:marRight w:val="0"/>
      <w:marTop w:val="0"/>
      <w:marBottom w:val="0"/>
      <w:divBdr>
        <w:top w:val="none" w:sz="0" w:space="0" w:color="auto"/>
        <w:left w:val="none" w:sz="0" w:space="0" w:color="auto"/>
        <w:bottom w:val="none" w:sz="0" w:space="0" w:color="auto"/>
        <w:right w:val="none" w:sz="0" w:space="0" w:color="auto"/>
      </w:divBdr>
    </w:div>
    <w:div w:id="1659384636">
      <w:bodyDiv w:val="1"/>
      <w:marLeft w:val="0"/>
      <w:marRight w:val="0"/>
      <w:marTop w:val="0"/>
      <w:marBottom w:val="0"/>
      <w:divBdr>
        <w:top w:val="none" w:sz="0" w:space="0" w:color="auto"/>
        <w:left w:val="none" w:sz="0" w:space="0" w:color="auto"/>
        <w:bottom w:val="none" w:sz="0" w:space="0" w:color="auto"/>
        <w:right w:val="none" w:sz="0" w:space="0" w:color="auto"/>
      </w:divBdr>
    </w:div>
    <w:div w:id="1659459709">
      <w:bodyDiv w:val="1"/>
      <w:marLeft w:val="0"/>
      <w:marRight w:val="0"/>
      <w:marTop w:val="0"/>
      <w:marBottom w:val="0"/>
      <w:divBdr>
        <w:top w:val="none" w:sz="0" w:space="0" w:color="auto"/>
        <w:left w:val="none" w:sz="0" w:space="0" w:color="auto"/>
        <w:bottom w:val="none" w:sz="0" w:space="0" w:color="auto"/>
        <w:right w:val="none" w:sz="0" w:space="0" w:color="auto"/>
      </w:divBdr>
    </w:div>
    <w:div w:id="1661348793">
      <w:bodyDiv w:val="1"/>
      <w:marLeft w:val="0"/>
      <w:marRight w:val="0"/>
      <w:marTop w:val="0"/>
      <w:marBottom w:val="0"/>
      <w:divBdr>
        <w:top w:val="none" w:sz="0" w:space="0" w:color="auto"/>
        <w:left w:val="none" w:sz="0" w:space="0" w:color="auto"/>
        <w:bottom w:val="none" w:sz="0" w:space="0" w:color="auto"/>
        <w:right w:val="none" w:sz="0" w:space="0" w:color="auto"/>
      </w:divBdr>
    </w:div>
    <w:div w:id="1679230498">
      <w:bodyDiv w:val="1"/>
      <w:marLeft w:val="0"/>
      <w:marRight w:val="0"/>
      <w:marTop w:val="0"/>
      <w:marBottom w:val="0"/>
      <w:divBdr>
        <w:top w:val="none" w:sz="0" w:space="0" w:color="auto"/>
        <w:left w:val="none" w:sz="0" w:space="0" w:color="auto"/>
        <w:bottom w:val="none" w:sz="0" w:space="0" w:color="auto"/>
        <w:right w:val="none" w:sz="0" w:space="0" w:color="auto"/>
      </w:divBdr>
    </w:div>
    <w:div w:id="1680044178">
      <w:bodyDiv w:val="1"/>
      <w:marLeft w:val="0"/>
      <w:marRight w:val="0"/>
      <w:marTop w:val="0"/>
      <w:marBottom w:val="0"/>
      <w:divBdr>
        <w:top w:val="none" w:sz="0" w:space="0" w:color="auto"/>
        <w:left w:val="none" w:sz="0" w:space="0" w:color="auto"/>
        <w:bottom w:val="none" w:sz="0" w:space="0" w:color="auto"/>
        <w:right w:val="none" w:sz="0" w:space="0" w:color="auto"/>
      </w:divBdr>
    </w:div>
    <w:div w:id="1691763579">
      <w:bodyDiv w:val="1"/>
      <w:marLeft w:val="0"/>
      <w:marRight w:val="0"/>
      <w:marTop w:val="0"/>
      <w:marBottom w:val="0"/>
      <w:divBdr>
        <w:top w:val="none" w:sz="0" w:space="0" w:color="auto"/>
        <w:left w:val="none" w:sz="0" w:space="0" w:color="auto"/>
        <w:bottom w:val="none" w:sz="0" w:space="0" w:color="auto"/>
        <w:right w:val="none" w:sz="0" w:space="0" w:color="auto"/>
      </w:divBdr>
    </w:div>
    <w:div w:id="1697267196">
      <w:bodyDiv w:val="1"/>
      <w:marLeft w:val="0"/>
      <w:marRight w:val="0"/>
      <w:marTop w:val="0"/>
      <w:marBottom w:val="0"/>
      <w:divBdr>
        <w:top w:val="none" w:sz="0" w:space="0" w:color="auto"/>
        <w:left w:val="none" w:sz="0" w:space="0" w:color="auto"/>
        <w:bottom w:val="none" w:sz="0" w:space="0" w:color="auto"/>
        <w:right w:val="none" w:sz="0" w:space="0" w:color="auto"/>
      </w:divBdr>
    </w:div>
    <w:div w:id="1706248822">
      <w:bodyDiv w:val="1"/>
      <w:marLeft w:val="0"/>
      <w:marRight w:val="0"/>
      <w:marTop w:val="0"/>
      <w:marBottom w:val="0"/>
      <w:divBdr>
        <w:top w:val="none" w:sz="0" w:space="0" w:color="auto"/>
        <w:left w:val="none" w:sz="0" w:space="0" w:color="auto"/>
        <w:bottom w:val="none" w:sz="0" w:space="0" w:color="auto"/>
        <w:right w:val="none" w:sz="0" w:space="0" w:color="auto"/>
      </w:divBdr>
    </w:div>
    <w:div w:id="1712026339">
      <w:bodyDiv w:val="1"/>
      <w:marLeft w:val="0"/>
      <w:marRight w:val="0"/>
      <w:marTop w:val="0"/>
      <w:marBottom w:val="0"/>
      <w:divBdr>
        <w:top w:val="none" w:sz="0" w:space="0" w:color="auto"/>
        <w:left w:val="none" w:sz="0" w:space="0" w:color="auto"/>
        <w:bottom w:val="none" w:sz="0" w:space="0" w:color="auto"/>
        <w:right w:val="none" w:sz="0" w:space="0" w:color="auto"/>
      </w:divBdr>
    </w:div>
    <w:div w:id="1713773132">
      <w:bodyDiv w:val="1"/>
      <w:marLeft w:val="0"/>
      <w:marRight w:val="0"/>
      <w:marTop w:val="0"/>
      <w:marBottom w:val="0"/>
      <w:divBdr>
        <w:top w:val="none" w:sz="0" w:space="0" w:color="auto"/>
        <w:left w:val="none" w:sz="0" w:space="0" w:color="auto"/>
        <w:bottom w:val="none" w:sz="0" w:space="0" w:color="auto"/>
        <w:right w:val="none" w:sz="0" w:space="0" w:color="auto"/>
      </w:divBdr>
    </w:div>
    <w:div w:id="1721055565">
      <w:bodyDiv w:val="1"/>
      <w:marLeft w:val="0"/>
      <w:marRight w:val="0"/>
      <w:marTop w:val="0"/>
      <w:marBottom w:val="0"/>
      <w:divBdr>
        <w:top w:val="none" w:sz="0" w:space="0" w:color="auto"/>
        <w:left w:val="none" w:sz="0" w:space="0" w:color="auto"/>
        <w:bottom w:val="none" w:sz="0" w:space="0" w:color="auto"/>
        <w:right w:val="none" w:sz="0" w:space="0" w:color="auto"/>
      </w:divBdr>
    </w:div>
    <w:div w:id="1721401089">
      <w:bodyDiv w:val="1"/>
      <w:marLeft w:val="0"/>
      <w:marRight w:val="0"/>
      <w:marTop w:val="0"/>
      <w:marBottom w:val="0"/>
      <w:divBdr>
        <w:top w:val="none" w:sz="0" w:space="0" w:color="auto"/>
        <w:left w:val="none" w:sz="0" w:space="0" w:color="auto"/>
        <w:bottom w:val="none" w:sz="0" w:space="0" w:color="auto"/>
        <w:right w:val="none" w:sz="0" w:space="0" w:color="auto"/>
      </w:divBdr>
    </w:div>
    <w:div w:id="1728914758">
      <w:bodyDiv w:val="1"/>
      <w:marLeft w:val="0"/>
      <w:marRight w:val="0"/>
      <w:marTop w:val="0"/>
      <w:marBottom w:val="0"/>
      <w:divBdr>
        <w:top w:val="none" w:sz="0" w:space="0" w:color="auto"/>
        <w:left w:val="none" w:sz="0" w:space="0" w:color="auto"/>
        <w:bottom w:val="none" w:sz="0" w:space="0" w:color="auto"/>
        <w:right w:val="none" w:sz="0" w:space="0" w:color="auto"/>
      </w:divBdr>
    </w:div>
    <w:div w:id="1733888299">
      <w:bodyDiv w:val="1"/>
      <w:marLeft w:val="0"/>
      <w:marRight w:val="0"/>
      <w:marTop w:val="0"/>
      <w:marBottom w:val="0"/>
      <w:divBdr>
        <w:top w:val="none" w:sz="0" w:space="0" w:color="auto"/>
        <w:left w:val="none" w:sz="0" w:space="0" w:color="auto"/>
        <w:bottom w:val="none" w:sz="0" w:space="0" w:color="auto"/>
        <w:right w:val="none" w:sz="0" w:space="0" w:color="auto"/>
      </w:divBdr>
    </w:div>
    <w:div w:id="1738479178">
      <w:bodyDiv w:val="1"/>
      <w:marLeft w:val="0"/>
      <w:marRight w:val="0"/>
      <w:marTop w:val="0"/>
      <w:marBottom w:val="0"/>
      <w:divBdr>
        <w:top w:val="none" w:sz="0" w:space="0" w:color="auto"/>
        <w:left w:val="none" w:sz="0" w:space="0" w:color="auto"/>
        <w:bottom w:val="none" w:sz="0" w:space="0" w:color="auto"/>
        <w:right w:val="none" w:sz="0" w:space="0" w:color="auto"/>
      </w:divBdr>
    </w:div>
    <w:div w:id="1742947764">
      <w:bodyDiv w:val="1"/>
      <w:marLeft w:val="0"/>
      <w:marRight w:val="0"/>
      <w:marTop w:val="0"/>
      <w:marBottom w:val="0"/>
      <w:divBdr>
        <w:top w:val="none" w:sz="0" w:space="0" w:color="auto"/>
        <w:left w:val="none" w:sz="0" w:space="0" w:color="auto"/>
        <w:bottom w:val="none" w:sz="0" w:space="0" w:color="auto"/>
        <w:right w:val="none" w:sz="0" w:space="0" w:color="auto"/>
      </w:divBdr>
    </w:div>
    <w:div w:id="1742947917">
      <w:bodyDiv w:val="1"/>
      <w:marLeft w:val="0"/>
      <w:marRight w:val="0"/>
      <w:marTop w:val="0"/>
      <w:marBottom w:val="0"/>
      <w:divBdr>
        <w:top w:val="none" w:sz="0" w:space="0" w:color="auto"/>
        <w:left w:val="none" w:sz="0" w:space="0" w:color="auto"/>
        <w:bottom w:val="none" w:sz="0" w:space="0" w:color="auto"/>
        <w:right w:val="none" w:sz="0" w:space="0" w:color="auto"/>
      </w:divBdr>
    </w:div>
    <w:div w:id="1744794933">
      <w:bodyDiv w:val="1"/>
      <w:marLeft w:val="0"/>
      <w:marRight w:val="0"/>
      <w:marTop w:val="0"/>
      <w:marBottom w:val="0"/>
      <w:divBdr>
        <w:top w:val="none" w:sz="0" w:space="0" w:color="auto"/>
        <w:left w:val="none" w:sz="0" w:space="0" w:color="auto"/>
        <w:bottom w:val="none" w:sz="0" w:space="0" w:color="auto"/>
        <w:right w:val="none" w:sz="0" w:space="0" w:color="auto"/>
      </w:divBdr>
    </w:div>
    <w:div w:id="1754861044">
      <w:bodyDiv w:val="1"/>
      <w:marLeft w:val="0"/>
      <w:marRight w:val="0"/>
      <w:marTop w:val="0"/>
      <w:marBottom w:val="0"/>
      <w:divBdr>
        <w:top w:val="none" w:sz="0" w:space="0" w:color="auto"/>
        <w:left w:val="none" w:sz="0" w:space="0" w:color="auto"/>
        <w:bottom w:val="none" w:sz="0" w:space="0" w:color="auto"/>
        <w:right w:val="none" w:sz="0" w:space="0" w:color="auto"/>
      </w:divBdr>
    </w:div>
    <w:div w:id="1762335675">
      <w:bodyDiv w:val="1"/>
      <w:marLeft w:val="0"/>
      <w:marRight w:val="0"/>
      <w:marTop w:val="0"/>
      <w:marBottom w:val="0"/>
      <w:divBdr>
        <w:top w:val="none" w:sz="0" w:space="0" w:color="auto"/>
        <w:left w:val="none" w:sz="0" w:space="0" w:color="auto"/>
        <w:bottom w:val="none" w:sz="0" w:space="0" w:color="auto"/>
        <w:right w:val="none" w:sz="0" w:space="0" w:color="auto"/>
      </w:divBdr>
    </w:div>
    <w:div w:id="1767115370">
      <w:bodyDiv w:val="1"/>
      <w:marLeft w:val="0"/>
      <w:marRight w:val="0"/>
      <w:marTop w:val="0"/>
      <w:marBottom w:val="0"/>
      <w:divBdr>
        <w:top w:val="none" w:sz="0" w:space="0" w:color="auto"/>
        <w:left w:val="none" w:sz="0" w:space="0" w:color="auto"/>
        <w:bottom w:val="none" w:sz="0" w:space="0" w:color="auto"/>
        <w:right w:val="none" w:sz="0" w:space="0" w:color="auto"/>
      </w:divBdr>
    </w:div>
    <w:div w:id="1773235264">
      <w:bodyDiv w:val="1"/>
      <w:marLeft w:val="0"/>
      <w:marRight w:val="0"/>
      <w:marTop w:val="0"/>
      <w:marBottom w:val="0"/>
      <w:divBdr>
        <w:top w:val="none" w:sz="0" w:space="0" w:color="auto"/>
        <w:left w:val="none" w:sz="0" w:space="0" w:color="auto"/>
        <w:bottom w:val="none" w:sz="0" w:space="0" w:color="auto"/>
        <w:right w:val="none" w:sz="0" w:space="0" w:color="auto"/>
      </w:divBdr>
    </w:div>
    <w:div w:id="1776248408">
      <w:bodyDiv w:val="1"/>
      <w:marLeft w:val="0"/>
      <w:marRight w:val="0"/>
      <w:marTop w:val="0"/>
      <w:marBottom w:val="0"/>
      <w:divBdr>
        <w:top w:val="none" w:sz="0" w:space="0" w:color="auto"/>
        <w:left w:val="none" w:sz="0" w:space="0" w:color="auto"/>
        <w:bottom w:val="none" w:sz="0" w:space="0" w:color="auto"/>
        <w:right w:val="none" w:sz="0" w:space="0" w:color="auto"/>
      </w:divBdr>
    </w:div>
    <w:div w:id="1778790727">
      <w:bodyDiv w:val="1"/>
      <w:marLeft w:val="0"/>
      <w:marRight w:val="0"/>
      <w:marTop w:val="0"/>
      <w:marBottom w:val="0"/>
      <w:divBdr>
        <w:top w:val="none" w:sz="0" w:space="0" w:color="auto"/>
        <w:left w:val="none" w:sz="0" w:space="0" w:color="auto"/>
        <w:bottom w:val="none" w:sz="0" w:space="0" w:color="auto"/>
        <w:right w:val="none" w:sz="0" w:space="0" w:color="auto"/>
      </w:divBdr>
    </w:div>
    <w:div w:id="1781102150">
      <w:bodyDiv w:val="1"/>
      <w:marLeft w:val="0"/>
      <w:marRight w:val="0"/>
      <w:marTop w:val="0"/>
      <w:marBottom w:val="0"/>
      <w:divBdr>
        <w:top w:val="none" w:sz="0" w:space="0" w:color="auto"/>
        <w:left w:val="none" w:sz="0" w:space="0" w:color="auto"/>
        <w:bottom w:val="none" w:sz="0" w:space="0" w:color="auto"/>
        <w:right w:val="none" w:sz="0" w:space="0" w:color="auto"/>
      </w:divBdr>
    </w:div>
    <w:div w:id="1787429799">
      <w:bodyDiv w:val="1"/>
      <w:marLeft w:val="0"/>
      <w:marRight w:val="0"/>
      <w:marTop w:val="0"/>
      <w:marBottom w:val="0"/>
      <w:divBdr>
        <w:top w:val="none" w:sz="0" w:space="0" w:color="auto"/>
        <w:left w:val="none" w:sz="0" w:space="0" w:color="auto"/>
        <w:bottom w:val="none" w:sz="0" w:space="0" w:color="auto"/>
        <w:right w:val="none" w:sz="0" w:space="0" w:color="auto"/>
      </w:divBdr>
    </w:div>
    <w:div w:id="1788229795">
      <w:bodyDiv w:val="1"/>
      <w:marLeft w:val="0"/>
      <w:marRight w:val="0"/>
      <w:marTop w:val="0"/>
      <w:marBottom w:val="0"/>
      <w:divBdr>
        <w:top w:val="none" w:sz="0" w:space="0" w:color="auto"/>
        <w:left w:val="none" w:sz="0" w:space="0" w:color="auto"/>
        <w:bottom w:val="none" w:sz="0" w:space="0" w:color="auto"/>
        <w:right w:val="none" w:sz="0" w:space="0" w:color="auto"/>
      </w:divBdr>
    </w:div>
    <w:div w:id="1789280060">
      <w:bodyDiv w:val="1"/>
      <w:marLeft w:val="0"/>
      <w:marRight w:val="0"/>
      <w:marTop w:val="0"/>
      <w:marBottom w:val="0"/>
      <w:divBdr>
        <w:top w:val="none" w:sz="0" w:space="0" w:color="auto"/>
        <w:left w:val="none" w:sz="0" w:space="0" w:color="auto"/>
        <w:bottom w:val="none" w:sz="0" w:space="0" w:color="auto"/>
        <w:right w:val="none" w:sz="0" w:space="0" w:color="auto"/>
      </w:divBdr>
    </w:div>
    <w:div w:id="1797261376">
      <w:bodyDiv w:val="1"/>
      <w:marLeft w:val="0"/>
      <w:marRight w:val="0"/>
      <w:marTop w:val="0"/>
      <w:marBottom w:val="0"/>
      <w:divBdr>
        <w:top w:val="none" w:sz="0" w:space="0" w:color="auto"/>
        <w:left w:val="none" w:sz="0" w:space="0" w:color="auto"/>
        <w:bottom w:val="none" w:sz="0" w:space="0" w:color="auto"/>
        <w:right w:val="none" w:sz="0" w:space="0" w:color="auto"/>
      </w:divBdr>
    </w:div>
    <w:div w:id="180173029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9974692">
      <w:bodyDiv w:val="1"/>
      <w:marLeft w:val="0"/>
      <w:marRight w:val="0"/>
      <w:marTop w:val="0"/>
      <w:marBottom w:val="0"/>
      <w:divBdr>
        <w:top w:val="none" w:sz="0" w:space="0" w:color="auto"/>
        <w:left w:val="none" w:sz="0" w:space="0" w:color="auto"/>
        <w:bottom w:val="none" w:sz="0" w:space="0" w:color="auto"/>
        <w:right w:val="none" w:sz="0" w:space="0" w:color="auto"/>
      </w:divBdr>
    </w:div>
    <w:div w:id="1840197615">
      <w:bodyDiv w:val="1"/>
      <w:marLeft w:val="0"/>
      <w:marRight w:val="0"/>
      <w:marTop w:val="0"/>
      <w:marBottom w:val="0"/>
      <w:divBdr>
        <w:top w:val="none" w:sz="0" w:space="0" w:color="auto"/>
        <w:left w:val="none" w:sz="0" w:space="0" w:color="auto"/>
        <w:bottom w:val="none" w:sz="0" w:space="0" w:color="auto"/>
        <w:right w:val="none" w:sz="0" w:space="0" w:color="auto"/>
      </w:divBdr>
    </w:div>
    <w:div w:id="1844540911">
      <w:bodyDiv w:val="1"/>
      <w:marLeft w:val="0"/>
      <w:marRight w:val="0"/>
      <w:marTop w:val="0"/>
      <w:marBottom w:val="0"/>
      <w:divBdr>
        <w:top w:val="none" w:sz="0" w:space="0" w:color="auto"/>
        <w:left w:val="none" w:sz="0" w:space="0" w:color="auto"/>
        <w:bottom w:val="none" w:sz="0" w:space="0" w:color="auto"/>
        <w:right w:val="none" w:sz="0" w:space="0" w:color="auto"/>
      </w:divBdr>
    </w:div>
    <w:div w:id="1853914991">
      <w:bodyDiv w:val="1"/>
      <w:marLeft w:val="0"/>
      <w:marRight w:val="0"/>
      <w:marTop w:val="0"/>
      <w:marBottom w:val="0"/>
      <w:divBdr>
        <w:top w:val="none" w:sz="0" w:space="0" w:color="auto"/>
        <w:left w:val="none" w:sz="0" w:space="0" w:color="auto"/>
        <w:bottom w:val="none" w:sz="0" w:space="0" w:color="auto"/>
        <w:right w:val="none" w:sz="0" w:space="0" w:color="auto"/>
      </w:divBdr>
    </w:div>
    <w:div w:id="1855069552">
      <w:bodyDiv w:val="1"/>
      <w:marLeft w:val="0"/>
      <w:marRight w:val="0"/>
      <w:marTop w:val="0"/>
      <w:marBottom w:val="0"/>
      <w:divBdr>
        <w:top w:val="none" w:sz="0" w:space="0" w:color="auto"/>
        <w:left w:val="none" w:sz="0" w:space="0" w:color="auto"/>
        <w:bottom w:val="none" w:sz="0" w:space="0" w:color="auto"/>
        <w:right w:val="none" w:sz="0" w:space="0" w:color="auto"/>
      </w:divBdr>
    </w:div>
    <w:div w:id="1857378349">
      <w:bodyDiv w:val="1"/>
      <w:marLeft w:val="0"/>
      <w:marRight w:val="0"/>
      <w:marTop w:val="0"/>
      <w:marBottom w:val="0"/>
      <w:divBdr>
        <w:top w:val="none" w:sz="0" w:space="0" w:color="auto"/>
        <w:left w:val="none" w:sz="0" w:space="0" w:color="auto"/>
        <w:bottom w:val="none" w:sz="0" w:space="0" w:color="auto"/>
        <w:right w:val="none" w:sz="0" w:space="0" w:color="auto"/>
      </w:divBdr>
    </w:div>
    <w:div w:id="1860658922">
      <w:bodyDiv w:val="1"/>
      <w:marLeft w:val="0"/>
      <w:marRight w:val="0"/>
      <w:marTop w:val="0"/>
      <w:marBottom w:val="0"/>
      <w:divBdr>
        <w:top w:val="none" w:sz="0" w:space="0" w:color="auto"/>
        <w:left w:val="none" w:sz="0" w:space="0" w:color="auto"/>
        <w:bottom w:val="none" w:sz="0" w:space="0" w:color="auto"/>
        <w:right w:val="none" w:sz="0" w:space="0" w:color="auto"/>
      </w:divBdr>
    </w:div>
    <w:div w:id="1862427204">
      <w:bodyDiv w:val="1"/>
      <w:marLeft w:val="0"/>
      <w:marRight w:val="0"/>
      <w:marTop w:val="0"/>
      <w:marBottom w:val="0"/>
      <w:divBdr>
        <w:top w:val="none" w:sz="0" w:space="0" w:color="auto"/>
        <w:left w:val="none" w:sz="0" w:space="0" w:color="auto"/>
        <w:bottom w:val="none" w:sz="0" w:space="0" w:color="auto"/>
        <w:right w:val="none" w:sz="0" w:space="0" w:color="auto"/>
      </w:divBdr>
    </w:div>
    <w:div w:id="1865631234">
      <w:bodyDiv w:val="1"/>
      <w:marLeft w:val="0"/>
      <w:marRight w:val="0"/>
      <w:marTop w:val="0"/>
      <w:marBottom w:val="0"/>
      <w:divBdr>
        <w:top w:val="none" w:sz="0" w:space="0" w:color="auto"/>
        <w:left w:val="none" w:sz="0" w:space="0" w:color="auto"/>
        <w:bottom w:val="none" w:sz="0" w:space="0" w:color="auto"/>
        <w:right w:val="none" w:sz="0" w:space="0" w:color="auto"/>
      </w:divBdr>
    </w:div>
    <w:div w:id="1866943026">
      <w:bodyDiv w:val="1"/>
      <w:marLeft w:val="0"/>
      <w:marRight w:val="0"/>
      <w:marTop w:val="0"/>
      <w:marBottom w:val="0"/>
      <w:divBdr>
        <w:top w:val="none" w:sz="0" w:space="0" w:color="auto"/>
        <w:left w:val="none" w:sz="0" w:space="0" w:color="auto"/>
        <w:bottom w:val="none" w:sz="0" w:space="0" w:color="auto"/>
        <w:right w:val="none" w:sz="0" w:space="0" w:color="auto"/>
      </w:divBdr>
    </w:div>
    <w:div w:id="1870679340">
      <w:bodyDiv w:val="1"/>
      <w:marLeft w:val="0"/>
      <w:marRight w:val="0"/>
      <w:marTop w:val="0"/>
      <w:marBottom w:val="0"/>
      <w:divBdr>
        <w:top w:val="none" w:sz="0" w:space="0" w:color="auto"/>
        <w:left w:val="none" w:sz="0" w:space="0" w:color="auto"/>
        <w:bottom w:val="none" w:sz="0" w:space="0" w:color="auto"/>
        <w:right w:val="none" w:sz="0" w:space="0" w:color="auto"/>
      </w:divBdr>
    </w:div>
    <w:div w:id="1894610405">
      <w:bodyDiv w:val="1"/>
      <w:marLeft w:val="0"/>
      <w:marRight w:val="0"/>
      <w:marTop w:val="0"/>
      <w:marBottom w:val="0"/>
      <w:divBdr>
        <w:top w:val="none" w:sz="0" w:space="0" w:color="auto"/>
        <w:left w:val="none" w:sz="0" w:space="0" w:color="auto"/>
        <w:bottom w:val="none" w:sz="0" w:space="0" w:color="auto"/>
        <w:right w:val="none" w:sz="0" w:space="0" w:color="auto"/>
      </w:divBdr>
    </w:div>
    <w:div w:id="1896308616">
      <w:bodyDiv w:val="1"/>
      <w:marLeft w:val="0"/>
      <w:marRight w:val="0"/>
      <w:marTop w:val="0"/>
      <w:marBottom w:val="0"/>
      <w:divBdr>
        <w:top w:val="none" w:sz="0" w:space="0" w:color="auto"/>
        <w:left w:val="none" w:sz="0" w:space="0" w:color="auto"/>
        <w:bottom w:val="none" w:sz="0" w:space="0" w:color="auto"/>
        <w:right w:val="none" w:sz="0" w:space="0" w:color="auto"/>
      </w:divBdr>
    </w:div>
    <w:div w:id="1899586290">
      <w:bodyDiv w:val="1"/>
      <w:marLeft w:val="0"/>
      <w:marRight w:val="0"/>
      <w:marTop w:val="0"/>
      <w:marBottom w:val="0"/>
      <w:divBdr>
        <w:top w:val="none" w:sz="0" w:space="0" w:color="auto"/>
        <w:left w:val="none" w:sz="0" w:space="0" w:color="auto"/>
        <w:bottom w:val="none" w:sz="0" w:space="0" w:color="auto"/>
        <w:right w:val="none" w:sz="0" w:space="0" w:color="auto"/>
      </w:divBdr>
    </w:div>
    <w:div w:id="1913346976">
      <w:bodyDiv w:val="1"/>
      <w:marLeft w:val="0"/>
      <w:marRight w:val="0"/>
      <w:marTop w:val="0"/>
      <w:marBottom w:val="0"/>
      <w:divBdr>
        <w:top w:val="none" w:sz="0" w:space="0" w:color="auto"/>
        <w:left w:val="none" w:sz="0" w:space="0" w:color="auto"/>
        <w:bottom w:val="none" w:sz="0" w:space="0" w:color="auto"/>
        <w:right w:val="none" w:sz="0" w:space="0" w:color="auto"/>
      </w:divBdr>
    </w:div>
    <w:div w:id="1915160048">
      <w:bodyDiv w:val="1"/>
      <w:marLeft w:val="0"/>
      <w:marRight w:val="0"/>
      <w:marTop w:val="0"/>
      <w:marBottom w:val="0"/>
      <w:divBdr>
        <w:top w:val="none" w:sz="0" w:space="0" w:color="auto"/>
        <w:left w:val="none" w:sz="0" w:space="0" w:color="auto"/>
        <w:bottom w:val="none" w:sz="0" w:space="0" w:color="auto"/>
        <w:right w:val="none" w:sz="0" w:space="0" w:color="auto"/>
      </w:divBdr>
    </w:div>
    <w:div w:id="1915624419">
      <w:bodyDiv w:val="1"/>
      <w:marLeft w:val="0"/>
      <w:marRight w:val="0"/>
      <w:marTop w:val="0"/>
      <w:marBottom w:val="0"/>
      <w:divBdr>
        <w:top w:val="none" w:sz="0" w:space="0" w:color="auto"/>
        <w:left w:val="none" w:sz="0" w:space="0" w:color="auto"/>
        <w:bottom w:val="none" w:sz="0" w:space="0" w:color="auto"/>
        <w:right w:val="none" w:sz="0" w:space="0" w:color="auto"/>
      </w:divBdr>
    </w:div>
    <w:div w:id="1923906113">
      <w:bodyDiv w:val="1"/>
      <w:marLeft w:val="0"/>
      <w:marRight w:val="0"/>
      <w:marTop w:val="0"/>
      <w:marBottom w:val="0"/>
      <w:divBdr>
        <w:top w:val="none" w:sz="0" w:space="0" w:color="auto"/>
        <w:left w:val="none" w:sz="0" w:space="0" w:color="auto"/>
        <w:bottom w:val="none" w:sz="0" w:space="0" w:color="auto"/>
        <w:right w:val="none" w:sz="0" w:space="0" w:color="auto"/>
      </w:divBdr>
    </w:div>
    <w:div w:id="1924680394">
      <w:bodyDiv w:val="1"/>
      <w:marLeft w:val="0"/>
      <w:marRight w:val="0"/>
      <w:marTop w:val="0"/>
      <w:marBottom w:val="0"/>
      <w:divBdr>
        <w:top w:val="none" w:sz="0" w:space="0" w:color="auto"/>
        <w:left w:val="none" w:sz="0" w:space="0" w:color="auto"/>
        <w:bottom w:val="none" w:sz="0" w:space="0" w:color="auto"/>
        <w:right w:val="none" w:sz="0" w:space="0" w:color="auto"/>
      </w:divBdr>
    </w:div>
    <w:div w:id="1928224387">
      <w:bodyDiv w:val="1"/>
      <w:marLeft w:val="0"/>
      <w:marRight w:val="0"/>
      <w:marTop w:val="0"/>
      <w:marBottom w:val="0"/>
      <w:divBdr>
        <w:top w:val="none" w:sz="0" w:space="0" w:color="auto"/>
        <w:left w:val="none" w:sz="0" w:space="0" w:color="auto"/>
        <w:bottom w:val="none" w:sz="0" w:space="0" w:color="auto"/>
        <w:right w:val="none" w:sz="0" w:space="0" w:color="auto"/>
      </w:divBdr>
    </w:div>
    <w:div w:id="1930311458">
      <w:bodyDiv w:val="1"/>
      <w:marLeft w:val="0"/>
      <w:marRight w:val="0"/>
      <w:marTop w:val="0"/>
      <w:marBottom w:val="0"/>
      <w:divBdr>
        <w:top w:val="none" w:sz="0" w:space="0" w:color="auto"/>
        <w:left w:val="none" w:sz="0" w:space="0" w:color="auto"/>
        <w:bottom w:val="none" w:sz="0" w:space="0" w:color="auto"/>
        <w:right w:val="none" w:sz="0" w:space="0" w:color="auto"/>
      </w:divBdr>
    </w:div>
    <w:div w:id="1931043363">
      <w:bodyDiv w:val="1"/>
      <w:marLeft w:val="0"/>
      <w:marRight w:val="0"/>
      <w:marTop w:val="0"/>
      <w:marBottom w:val="0"/>
      <w:divBdr>
        <w:top w:val="none" w:sz="0" w:space="0" w:color="auto"/>
        <w:left w:val="none" w:sz="0" w:space="0" w:color="auto"/>
        <w:bottom w:val="none" w:sz="0" w:space="0" w:color="auto"/>
        <w:right w:val="none" w:sz="0" w:space="0" w:color="auto"/>
      </w:divBdr>
    </w:div>
    <w:div w:id="1936014812">
      <w:bodyDiv w:val="1"/>
      <w:marLeft w:val="0"/>
      <w:marRight w:val="0"/>
      <w:marTop w:val="0"/>
      <w:marBottom w:val="0"/>
      <w:divBdr>
        <w:top w:val="none" w:sz="0" w:space="0" w:color="auto"/>
        <w:left w:val="none" w:sz="0" w:space="0" w:color="auto"/>
        <w:bottom w:val="none" w:sz="0" w:space="0" w:color="auto"/>
        <w:right w:val="none" w:sz="0" w:space="0" w:color="auto"/>
      </w:divBdr>
    </w:div>
    <w:div w:id="1937247967">
      <w:bodyDiv w:val="1"/>
      <w:marLeft w:val="0"/>
      <w:marRight w:val="0"/>
      <w:marTop w:val="0"/>
      <w:marBottom w:val="0"/>
      <w:divBdr>
        <w:top w:val="none" w:sz="0" w:space="0" w:color="auto"/>
        <w:left w:val="none" w:sz="0" w:space="0" w:color="auto"/>
        <w:bottom w:val="none" w:sz="0" w:space="0" w:color="auto"/>
        <w:right w:val="none" w:sz="0" w:space="0" w:color="auto"/>
      </w:divBdr>
    </w:div>
    <w:div w:id="1937903318">
      <w:bodyDiv w:val="1"/>
      <w:marLeft w:val="0"/>
      <w:marRight w:val="0"/>
      <w:marTop w:val="0"/>
      <w:marBottom w:val="0"/>
      <w:divBdr>
        <w:top w:val="none" w:sz="0" w:space="0" w:color="auto"/>
        <w:left w:val="none" w:sz="0" w:space="0" w:color="auto"/>
        <w:bottom w:val="none" w:sz="0" w:space="0" w:color="auto"/>
        <w:right w:val="none" w:sz="0" w:space="0" w:color="auto"/>
      </w:divBdr>
    </w:div>
    <w:div w:id="1942452195">
      <w:bodyDiv w:val="1"/>
      <w:marLeft w:val="0"/>
      <w:marRight w:val="0"/>
      <w:marTop w:val="0"/>
      <w:marBottom w:val="0"/>
      <w:divBdr>
        <w:top w:val="none" w:sz="0" w:space="0" w:color="auto"/>
        <w:left w:val="none" w:sz="0" w:space="0" w:color="auto"/>
        <w:bottom w:val="none" w:sz="0" w:space="0" w:color="auto"/>
        <w:right w:val="none" w:sz="0" w:space="0" w:color="auto"/>
      </w:divBdr>
    </w:div>
    <w:div w:id="1955866720">
      <w:bodyDiv w:val="1"/>
      <w:marLeft w:val="0"/>
      <w:marRight w:val="0"/>
      <w:marTop w:val="0"/>
      <w:marBottom w:val="0"/>
      <w:divBdr>
        <w:top w:val="none" w:sz="0" w:space="0" w:color="auto"/>
        <w:left w:val="none" w:sz="0" w:space="0" w:color="auto"/>
        <w:bottom w:val="none" w:sz="0" w:space="0" w:color="auto"/>
        <w:right w:val="none" w:sz="0" w:space="0" w:color="auto"/>
      </w:divBdr>
    </w:div>
    <w:div w:id="1962766695">
      <w:bodyDiv w:val="1"/>
      <w:marLeft w:val="0"/>
      <w:marRight w:val="0"/>
      <w:marTop w:val="0"/>
      <w:marBottom w:val="0"/>
      <w:divBdr>
        <w:top w:val="none" w:sz="0" w:space="0" w:color="auto"/>
        <w:left w:val="none" w:sz="0" w:space="0" w:color="auto"/>
        <w:bottom w:val="none" w:sz="0" w:space="0" w:color="auto"/>
        <w:right w:val="none" w:sz="0" w:space="0" w:color="auto"/>
      </w:divBdr>
    </w:div>
    <w:div w:id="1970478540">
      <w:bodyDiv w:val="1"/>
      <w:marLeft w:val="0"/>
      <w:marRight w:val="0"/>
      <w:marTop w:val="0"/>
      <w:marBottom w:val="0"/>
      <w:divBdr>
        <w:top w:val="none" w:sz="0" w:space="0" w:color="auto"/>
        <w:left w:val="none" w:sz="0" w:space="0" w:color="auto"/>
        <w:bottom w:val="none" w:sz="0" w:space="0" w:color="auto"/>
        <w:right w:val="none" w:sz="0" w:space="0" w:color="auto"/>
      </w:divBdr>
    </w:div>
    <w:div w:id="1971746620">
      <w:bodyDiv w:val="1"/>
      <w:marLeft w:val="0"/>
      <w:marRight w:val="0"/>
      <w:marTop w:val="0"/>
      <w:marBottom w:val="0"/>
      <w:divBdr>
        <w:top w:val="none" w:sz="0" w:space="0" w:color="auto"/>
        <w:left w:val="none" w:sz="0" w:space="0" w:color="auto"/>
        <w:bottom w:val="none" w:sz="0" w:space="0" w:color="auto"/>
        <w:right w:val="none" w:sz="0" w:space="0" w:color="auto"/>
      </w:divBdr>
    </w:div>
    <w:div w:id="1975018473">
      <w:bodyDiv w:val="1"/>
      <w:marLeft w:val="0"/>
      <w:marRight w:val="0"/>
      <w:marTop w:val="0"/>
      <w:marBottom w:val="0"/>
      <w:divBdr>
        <w:top w:val="none" w:sz="0" w:space="0" w:color="auto"/>
        <w:left w:val="none" w:sz="0" w:space="0" w:color="auto"/>
        <w:bottom w:val="none" w:sz="0" w:space="0" w:color="auto"/>
        <w:right w:val="none" w:sz="0" w:space="0" w:color="auto"/>
      </w:divBdr>
    </w:div>
    <w:div w:id="1979920522">
      <w:bodyDiv w:val="1"/>
      <w:marLeft w:val="0"/>
      <w:marRight w:val="0"/>
      <w:marTop w:val="0"/>
      <w:marBottom w:val="0"/>
      <w:divBdr>
        <w:top w:val="none" w:sz="0" w:space="0" w:color="auto"/>
        <w:left w:val="none" w:sz="0" w:space="0" w:color="auto"/>
        <w:bottom w:val="none" w:sz="0" w:space="0" w:color="auto"/>
        <w:right w:val="none" w:sz="0" w:space="0" w:color="auto"/>
      </w:divBdr>
    </w:div>
    <w:div w:id="1984384340">
      <w:bodyDiv w:val="1"/>
      <w:marLeft w:val="0"/>
      <w:marRight w:val="0"/>
      <w:marTop w:val="0"/>
      <w:marBottom w:val="0"/>
      <w:divBdr>
        <w:top w:val="none" w:sz="0" w:space="0" w:color="auto"/>
        <w:left w:val="none" w:sz="0" w:space="0" w:color="auto"/>
        <w:bottom w:val="none" w:sz="0" w:space="0" w:color="auto"/>
        <w:right w:val="none" w:sz="0" w:space="0" w:color="auto"/>
      </w:divBdr>
    </w:div>
    <w:div w:id="1985767657">
      <w:bodyDiv w:val="1"/>
      <w:marLeft w:val="0"/>
      <w:marRight w:val="0"/>
      <w:marTop w:val="0"/>
      <w:marBottom w:val="0"/>
      <w:divBdr>
        <w:top w:val="none" w:sz="0" w:space="0" w:color="auto"/>
        <w:left w:val="none" w:sz="0" w:space="0" w:color="auto"/>
        <w:bottom w:val="none" w:sz="0" w:space="0" w:color="auto"/>
        <w:right w:val="none" w:sz="0" w:space="0" w:color="auto"/>
      </w:divBdr>
    </w:div>
    <w:div w:id="1988437876">
      <w:bodyDiv w:val="1"/>
      <w:marLeft w:val="0"/>
      <w:marRight w:val="0"/>
      <w:marTop w:val="0"/>
      <w:marBottom w:val="0"/>
      <w:divBdr>
        <w:top w:val="none" w:sz="0" w:space="0" w:color="auto"/>
        <w:left w:val="none" w:sz="0" w:space="0" w:color="auto"/>
        <w:bottom w:val="none" w:sz="0" w:space="0" w:color="auto"/>
        <w:right w:val="none" w:sz="0" w:space="0" w:color="auto"/>
      </w:divBdr>
    </w:div>
    <w:div w:id="1989046892">
      <w:bodyDiv w:val="1"/>
      <w:marLeft w:val="0"/>
      <w:marRight w:val="0"/>
      <w:marTop w:val="0"/>
      <w:marBottom w:val="0"/>
      <w:divBdr>
        <w:top w:val="none" w:sz="0" w:space="0" w:color="auto"/>
        <w:left w:val="none" w:sz="0" w:space="0" w:color="auto"/>
        <w:bottom w:val="none" w:sz="0" w:space="0" w:color="auto"/>
        <w:right w:val="none" w:sz="0" w:space="0" w:color="auto"/>
      </w:divBdr>
    </w:div>
    <w:div w:id="1991320741">
      <w:bodyDiv w:val="1"/>
      <w:marLeft w:val="0"/>
      <w:marRight w:val="0"/>
      <w:marTop w:val="0"/>
      <w:marBottom w:val="0"/>
      <w:divBdr>
        <w:top w:val="none" w:sz="0" w:space="0" w:color="auto"/>
        <w:left w:val="none" w:sz="0" w:space="0" w:color="auto"/>
        <w:bottom w:val="none" w:sz="0" w:space="0" w:color="auto"/>
        <w:right w:val="none" w:sz="0" w:space="0" w:color="auto"/>
      </w:divBdr>
    </w:div>
    <w:div w:id="1991446876">
      <w:bodyDiv w:val="1"/>
      <w:marLeft w:val="0"/>
      <w:marRight w:val="0"/>
      <w:marTop w:val="0"/>
      <w:marBottom w:val="0"/>
      <w:divBdr>
        <w:top w:val="none" w:sz="0" w:space="0" w:color="auto"/>
        <w:left w:val="none" w:sz="0" w:space="0" w:color="auto"/>
        <w:bottom w:val="none" w:sz="0" w:space="0" w:color="auto"/>
        <w:right w:val="none" w:sz="0" w:space="0" w:color="auto"/>
      </w:divBdr>
    </w:div>
    <w:div w:id="1999720916">
      <w:bodyDiv w:val="1"/>
      <w:marLeft w:val="0"/>
      <w:marRight w:val="0"/>
      <w:marTop w:val="0"/>
      <w:marBottom w:val="0"/>
      <w:divBdr>
        <w:top w:val="none" w:sz="0" w:space="0" w:color="auto"/>
        <w:left w:val="none" w:sz="0" w:space="0" w:color="auto"/>
        <w:bottom w:val="none" w:sz="0" w:space="0" w:color="auto"/>
        <w:right w:val="none" w:sz="0" w:space="0" w:color="auto"/>
      </w:divBdr>
    </w:div>
    <w:div w:id="2011255549">
      <w:bodyDiv w:val="1"/>
      <w:marLeft w:val="0"/>
      <w:marRight w:val="0"/>
      <w:marTop w:val="0"/>
      <w:marBottom w:val="0"/>
      <w:divBdr>
        <w:top w:val="none" w:sz="0" w:space="0" w:color="auto"/>
        <w:left w:val="none" w:sz="0" w:space="0" w:color="auto"/>
        <w:bottom w:val="none" w:sz="0" w:space="0" w:color="auto"/>
        <w:right w:val="none" w:sz="0" w:space="0" w:color="auto"/>
      </w:divBdr>
    </w:div>
    <w:div w:id="2018926601">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6592640">
      <w:bodyDiv w:val="1"/>
      <w:marLeft w:val="0"/>
      <w:marRight w:val="0"/>
      <w:marTop w:val="0"/>
      <w:marBottom w:val="0"/>
      <w:divBdr>
        <w:top w:val="none" w:sz="0" w:space="0" w:color="auto"/>
        <w:left w:val="none" w:sz="0" w:space="0" w:color="auto"/>
        <w:bottom w:val="none" w:sz="0" w:space="0" w:color="auto"/>
        <w:right w:val="none" w:sz="0" w:space="0" w:color="auto"/>
      </w:divBdr>
    </w:div>
    <w:div w:id="2027055391">
      <w:bodyDiv w:val="1"/>
      <w:marLeft w:val="0"/>
      <w:marRight w:val="0"/>
      <w:marTop w:val="0"/>
      <w:marBottom w:val="0"/>
      <w:divBdr>
        <w:top w:val="none" w:sz="0" w:space="0" w:color="auto"/>
        <w:left w:val="none" w:sz="0" w:space="0" w:color="auto"/>
        <w:bottom w:val="none" w:sz="0" w:space="0" w:color="auto"/>
        <w:right w:val="none" w:sz="0" w:space="0" w:color="auto"/>
      </w:divBdr>
    </w:div>
    <w:div w:id="2028291373">
      <w:bodyDiv w:val="1"/>
      <w:marLeft w:val="0"/>
      <w:marRight w:val="0"/>
      <w:marTop w:val="0"/>
      <w:marBottom w:val="0"/>
      <w:divBdr>
        <w:top w:val="none" w:sz="0" w:space="0" w:color="auto"/>
        <w:left w:val="none" w:sz="0" w:space="0" w:color="auto"/>
        <w:bottom w:val="none" w:sz="0" w:space="0" w:color="auto"/>
        <w:right w:val="none" w:sz="0" w:space="0" w:color="auto"/>
      </w:divBdr>
    </w:div>
    <w:div w:id="2031298257">
      <w:bodyDiv w:val="1"/>
      <w:marLeft w:val="0"/>
      <w:marRight w:val="0"/>
      <w:marTop w:val="0"/>
      <w:marBottom w:val="0"/>
      <w:divBdr>
        <w:top w:val="none" w:sz="0" w:space="0" w:color="auto"/>
        <w:left w:val="none" w:sz="0" w:space="0" w:color="auto"/>
        <w:bottom w:val="none" w:sz="0" w:space="0" w:color="auto"/>
        <w:right w:val="none" w:sz="0" w:space="0" w:color="auto"/>
      </w:divBdr>
    </w:div>
    <w:div w:id="2037265469">
      <w:bodyDiv w:val="1"/>
      <w:marLeft w:val="0"/>
      <w:marRight w:val="0"/>
      <w:marTop w:val="0"/>
      <w:marBottom w:val="0"/>
      <w:divBdr>
        <w:top w:val="none" w:sz="0" w:space="0" w:color="auto"/>
        <w:left w:val="none" w:sz="0" w:space="0" w:color="auto"/>
        <w:bottom w:val="none" w:sz="0" w:space="0" w:color="auto"/>
        <w:right w:val="none" w:sz="0" w:space="0" w:color="auto"/>
      </w:divBdr>
    </w:div>
    <w:div w:id="2038655014">
      <w:bodyDiv w:val="1"/>
      <w:marLeft w:val="0"/>
      <w:marRight w:val="0"/>
      <w:marTop w:val="0"/>
      <w:marBottom w:val="0"/>
      <w:divBdr>
        <w:top w:val="none" w:sz="0" w:space="0" w:color="auto"/>
        <w:left w:val="none" w:sz="0" w:space="0" w:color="auto"/>
        <w:bottom w:val="none" w:sz="0" w:space="0" w:color="auto"/>
        <w:right w:val="none" w:sz="0" w:space="0" w:color="auto"/>
      </w:divBdr>
    </w:div>
    <w:div w:id="2039500542">
      <w:bodyDiv w:val="1"/>
      <w:marLeft w:val="0"/>
      <w:marRight w:val="0"/>
      <w:marTop w:val="0"/>
      <w:marBottom w:val="0"/>
      <w:divBdr>
        <w:top w:val="none" w:sz="0" w:space="0" w:color="auto"/>
        <w:left w:val="none" w:sz="0" w:space="0" w:color="auto"/>
        <w:bottom w:val="none" w:sz="0" w:space="0" w:color="auto"/>
        <w:right w:val="none" w:sz="0" w:space="0" w:color="auto"/>
      </w:divBdr>
    </w:div>
    <w:div w:id="2039701173">
      <w:bodyDiv w:val="1"/>
      <w:marLeft w:val="0"/>
      <w:marRight w:val="0"/>
      <w:marTop w:val="0"/>
      <w:marBottom w:val="0"/>
      <w:divBdr>
        <w:top w:val="none" w:sz="0" w:space="0" w:color="auto"/>
        <w:left w:val="none" w:sz="0" w:space="0" w:color="auto"/>
        <w:bottom w:val="none" w:sz="0" w:space="0" w:color="auto"/>
        <w:right w:val="none" w:sz="0" w:space="0" w:color="auto"/>
      </w:divBdr>
    </w:div>
    <w:div w:id="2041003818">
      <w:bodyDiv w:val="1"/>
      <w:marLeft w:val="0"/>
      <w:marRight w:val="0"/>
      <w:marTop w:val="0"/>
      <w:marBottom w:val="0"/>
      <w:divBdr>
        <w:top w:val="none" w:sz="0" w:space="0" w:color="auto"/>
        <w:left w:val="none" w:sz="0" w:space="0" w:color="auto"/>
        <w:bottom w:val="none" w:sz="0" w:space="0" w:color="auto"/>
        <w:right w:val="none" w:sz="0" w:space="0" w:color="auto"/>
      </w:divBdr>
    </w:div>
    <w:div w:id="2051224218">
      <w:bodyDiv w:val="1"/>
      <w:marLeft w:val="0"/>
      <w:marRight w:val="0"/>
      <w:marTop w:val="0"/>
      <w:marBottom w:val="0"/>
      <w:divBdr>
        <w:top w:val="none" w:sz="0" w:space="0" w:color="auto"/>
        <w:left w:val="none" w:sz="0" w:space="0" w:color="auto"/>
        <w:bottom w:val="none" w:sz="0" w:space="0" w:color="auto"/>
        <w:right w:val="none" w:sz="0" w:space="0" w:color="auto"/>
      </w:divBdr>
    </w:div>
    <w:div w:id="2052806801">
      <w:bodyDiv w:val="1"/>
      <w:marLeft w:val="0"/>
      <w:marRight w:val="0"/>
      <w:marTop w:val="0"/>
      <w:marBottom w:val="0"/>
      <w:divBdr>
        <w:top w:val="none" w:sz="0" w:space="0" w:color="auto"/>
        <w:left w:val="none" w:sz="0" w:space="0" w:color="auto"/>
        <w:bottom w:val="none" w:sz="0" w:space="0" w:color="auto"/>
        <w:right w:val="none" w:sz="0" w:space="0" w:color="auto"/>
      </w:divBdr>
    </w:div>
    <w:div w:id="2057460893">
      <w:bodyDiv w:val="1"/>
      <w:marLeft w:val="0"/>
      <w:marRight w:val="0"/>
      <w:marTop w:val="0"/>
      <w:marBottom w:val="0"/>
      <w:divBdr>
        <w:top w:val="none" w:sz="0" w:space="0" w:color="auto"/>
        <w:left w:val="none" w:sz="0" w:space="0" w:color="auto"/>
        <w:bottom w:val="none" w:sz="0" w:space="0" w:color="auto"/>
        <w:right w:val="none" w:sz="0" w:space="0" w:color="auto"/>
      </w:divBdr>
    </w:div>
    <w:div w:id="2065981918">
      <w:bodyDiv w:val="1"/>
      <w:marLeft w:val="0"/>
      <w:marRight w:val="0"/>
      <w:marTop w:val="0"/>
      <w:marBottom w:val="0"/>
      <w:divBdr>
        <w:top w:val="none" w:sz="0" w:space="0" w:color="auto"/>
        <w:left w:val="none" w:sz="0" w:space="0" w:color="auto"/>
        <w:bottom w:val="none" w:sz="0" w:space="0" w:color="auto"/>
        <w:right w:val="none" w:sz="0" w:space="0" w:color="auto"/>
      </w:divBdr>
    </w:div>
    <w:div w:id="2071151411">
      <w:bodyDiv w:val="1"/>
      <w:marLeft w:val="0"/>
      <w:marRight w:val="0"/>
      <w:marTop w:val="0"/>
      <w:marBottom w:val="0"/>
      <w:divBdr>
        <w:top w:val="none" w:sz="0" w:space="0" w:color="auto"/>
        <w:left w:val="none" w:sz="0" w:space="0" w:color="auto"/>
        <w:bottom w:val="none" w:sz="0" w:space="0" w:color="auto"/>
        <w:right w:val="none" w:sz="0" w:space="0" w:color="auto"/>
      </w:divBdr>
    </w:div>
    <w:div w:id="2071922422">
      <w:bodyDiv w:val="1"/>
      <w:marLeft w:val="0"/>
      <w:marRight w:val="0"/>
      <w:marTop w:val="0"/>
      <w:marBottom w:val="0"/>
      <w:divBdr>
        <w:top w:val="none" w:sz="0" w:space="0" w:color="auto"/>
        <w:left w:val="none" w:sz="0" w:space="0" w:color="auto"/>
        <w:bottom w:val="none" w:sz="0" w:space="0" w:color="auto"/>
        <w:right w:val="none" w:sz="0" w:space="0" w:color="auto"/>
      </w:divBdr>
    </w:div>
    <w:div w:id="208143652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370670">
      <w:bodyDiv w:val="1"/>
      <w:marLeft w:val="0"/>
      <w:marRight w:val="0"/>
      <w:marTop w:val="0"/>
      <w:marBottom w:val="0"/>
      <w:divBdr>
        <w:top w:val="none" w:sz="0" w:space="0" w:color="auto"/>
        <w:left w:val="none" w:sz="0" w:space="0" w:color="auto"/>
        <w:bottom w:val="none" w:sz="0" w:space="0" w:color="auto"/>
        <w:right w:val="none" w:sz="0" w:space="0" w:color="auto"/>
      </w:divBdr>
    </w:div>
    <w:div w:id="2088720543">
      <w:bodyDiv w:val="1"/>
      <w:marLeft w:val="0"/>
      <w:marRight w:val="0"/>
      <w:marTop w:val="0"/>
      <w:marBottom w:val="0"/>
      <w:divBdr>
        <w:top w:val="none" w:sz="0" w:space="0" w:color="auto"/>
        <w:left w:val="none" w:sz="0" w:space="0" w:color="auto"/>
        <w:bottom w:val="none" w:sz="0" w:space="0" w:color="auto"/>
        <w:right w:val="none" w:sz="0" w:space="0" w:color="auto"/>
      </w:divBdr>
    </w:div>
    <w:div w:id="2088766554">
      <w:bodyDiv w:val="1"/>
      <w:marLeft w:val="0"/>
      <w:marRight w:val="0"/>
      <w:marTop w:val="0"/>
      <w:marBottom w:val="0"/>
      <w:divBdr>
        <w:top w:val="none" w:sz="0" w:space="0" w:color="auto"/>
        <w:left w:val="none" w:sz="0" w:space="0" w:color="auto"/>
        <w:bottom w:val="none" w:sz="0" w:space="0" w:color="auto"/>
        <w:right w:val="none" w:sz="0" w:space="0" w:color="auto"/>
      </w:divBdr>
    </w:div>
    <w:div w:id="2092506575">
      <w:bodyDiv w:val="1"/>
      <w:marLeft w:val="0"/>
      <w:marRight w:val="0"/>
      <w:marTop w:val="0"/>
      <w:marBottom w:val="0"/>
      <w:divBdr>
        <w:top w:val="none" w:sz="0" w:space="0" w:color="auto"/>
        <w:left w:val="none" w:sz="0" w:space="0" w:color="auto"/>
        <w:bottom w:val="none" w:sz="0" w:space="0" w:color="auto"/>
        <w:right w:val="none" w:sz="0" w:space="0" w:color="auto"/>
      </w:divBdr>
    </w:div>
    <w:div w:id="2095515495">
      <w:bodyDiv w:val="1"/>
      <w:marLeft w:val="0"/>
      <w:marRight w:val="0"/>
      <w:marTop w:val="0"/>
      <w:marBottom w:val="0"/>
      <w:divBdr>
        <w:top w:val="none" w:sz="0" w:space="0" w:color="auto"/>
        <w:left w:val="none" w:sz="0" w:space="0" w:color="auto"/>
        <w:bottom w:val="none" w:sz="0" w:space="0" w:color="auto"/>
        <w:right w:val="none" w:sz="0" w:space="0" w:color="auto"/>
      </w:divBdr>
    </w:div>
    <w:div w:id="2100177448">
      <w:bodyDiv w:val="1"/>
      <w:marLeft w:val="0"/>
      <w:marRight w:val="0"/>
      <w:marTop w:val="0"/>
      <w:marBottom w:val="0"/>
      <w:divBdr>
        <w:top w:val="none" w:sz="0" w:space="0" w:color="auto"/>
        <w:left w:val="none" w:sz="0" w:space="0" w:color="auto"/>
        <w:bottom w:val="none" w:sz="0" w:space="0" w:color="auto"/>
        <w:right w:val="none" w:sz="0" w:space="0" w:color="auto"/>
      </w:divBdr>
    </w:div>
    <w:div w:id="2107531784">
      <w:bodyDiv w:val="1"/>
      <w:marLeft w:val="0"/>
      <w:marRight w:val="0"/>
      <w:marTop w:val="0"/>
      <w:marBottom w:val="0"/>
      <w:divBdr>
        <w:top w:val="none" w:sz="0" w:space="0" w:color="auto"/>
        <w:left w:val="none" w:sz="0" w:space="0" w:color="auto"/>
        <w:bottom w:val="none" w:sz="0" w:space="0" w:color="auto"/>
        <w:right w:val="none" w:sz="0" w:space="0" w:color="auto"/>
      </w:divBdr>
    </w:div>
    <w:div w:id="211027482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6172771">
      <w:bodyDiv w:val="1"/>
      <w:marLeft w:val="0"/>
      <w:marRight w:val="0"/>
      <w:marTop w:val="0"/>
      <w:marBottom w:val="0"/>
      <w:divBdr>
        <w:top w:val="none" w:sz="0" w:space="0" w:color="auto"/>
        <w:left w:val="none" w:sz="0" w:space="0" w:color="auto"/>
        <w:bottom w:val="none" w:sz="0" w:space="0" w:color="auto"/>
        <w:right w:val="none" w:sz="0" w:space="0" w:color="auto"/>
      </w:divBdr>
    </w:div>
    <w:div w:id="2119177937">
      <w:bodyDiv w:val="1"/>
      <w:marLeft w:val="0"/>
      <w:marRight w:val="0"/>
      <w:marTop w:val="0"/>
      <w:marBottom w:val="0"/>
      <w:divBdr>
        <w:top w:val="none" w:sz="0" w:space="0" w:color="auto"/>
        <w:left w:val="none" w:sz="0" w:space="0" w:color="auto"/>
        <w:bottom w:val="none" w:sz="0" w:space="0" w:color="auto"/>
        <w:right w:val="none" w:sz="0" w:space="0" w:color="auto"/>
      </w:divBdr>
    </w:div>
    <w:div w:id="2128157510">
      <w:bodyDiv w:val="1"/>
      <w:marLeft w:val="0"/>
      <w:marRight w:val="0"/>
      <w:marTop w:val="0"/>
      <w:marBottom w:val="0"/>
      <w:divBdr>
        <w:top w:val="none" w:sz="0" w:space="0" w:color="auto"/>
        <w:left w:val="none" w:sz="0" w:space="0" w:color="auto"/>
        <w:bottom w:val="none" w:sz="0" w:space="0" w:color="auto"/>
        <w:right w:val="none" w:sz="0" w:space="0" w:color="auto"/>
      </w:divBdr>
    </w:div>
    <w:div w:id="2130973186">
      <w:bodyDiv w:val="1"/>
      <w:marLeft w:val="0"/>
      <w:marRight w:val="0"/>
      <w:marTop w:val="0"/>
      <w:marBottom w:val="0"/>
      <w:divBdr>
        <w:top w:val="none" w:sz="0" w:space="0" w:color="auto"/>
        <w:left w:val="none" w:sz="0" w:space="0" w:color="auto"/>
        <w:bottom w:val="none" w:sz="0" w:space="0" w:color="auto"/>
        <w:right w:val="none" w:sz="0" w:space="0" w:color="auto"/>
      </w:divBdr>
    </w:div>
    <w:div w:id="2139101430">
      <w:bodyDiv w:val="1"/>
      <w:marLeft w:val="0"/>
      <w:marRight w:val="0"/>
      <w:marTop w:val="0"/>
      <w:marBottom w:val="0"/>
      <w:divBdr>
        <w:top w:val="none" w:sz="0" w:space="0" w:color="auto"/>
        <w:left w:val="none" w:sz="0" w:space="0" w:color="auto"/>
        <w:bottom w:val="none" w:sz="0" w:space="0" w:color="auto"/>
        <w:right w:val="none" w:sz="0" w:space="0" w:color="auto"/>
      </w:divBdr>
    </w:div>
    <w:div w:id="2139836190">
      <w:bodyDiv w:val="1"/>
      <w:marLeft w:val="0"/>
      <w:marRight w:val="0"/>
      <w:marTop w:val="0"/>
      <w:marBottom w:val="0"/>
      <w:divBdr>
        <w:top w:val="none" w:sz="0" w:space="0" w:color="auto"/>
        <w:left w:val="none" w:sz="0" w:space="0" w:color="auto"/>
        <w:bottom w:val="none" w:sz="0" w:space="0" w:color="auto"/>
        <w:right w:val="none" w:sz="0" w:space="0" w:color="auto"/>
      </w:divBdr>
    </w:div>
    <w:div w:id="2142336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saps/saps2014.pdf"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Helvetica Neue LT">
    <w:altName w:val="Arial"/>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350199"/>
    <w:rsid w:val="00353B69"/>
    <w:rsid w:val="003B4C6D"/>
    <w:rsid w:val="00680FD8"/>
    <w:rsid w:val="007154C5"/>
    <w:rsid w:val="00780C80"/>
    <w:rsid w:val="0082164B"/>
    <w:rsid w:val="00835E07"/>
    <w:rsid w:val="00972B41"/>
    <w:rsid w:val="009C09B0"/>
    <w:rsid w:val="00C37875"/>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BSI</b:Tag>
    <b:SourceType>ElectronicSource</b:SourceType>
    <b:Guid>{87C70301-E0C6-4CF1-8BF0-C8F768FF9B16}</b:Guid>
    <b:Title>BS EN 61882:2016 Hazard and operanility studies (HAZOP) - Application guide</b:Title>
    <b:Author>
      <b:Author>
        <b:Corporate>The British Standards Institution</b:Corporate>
      </b:Author>
    </b:Author>
    <b:RefOrder>17</b:RefOrder>
  </b:Source>
  <b:Source>
    <b:Tag>HSE</b:Tag>
    <b:SourceType>ElectronicSource</b:SourceType>
    <b:Guid>{E4909D70-2C71-4186-9FD8-C4B5A4651EE5}</b:Guid>
    <b:Title>Health and Safety at Work etc Act 1974</b:Title>
    <b:Author>
      <b:Author>
        <b:Corporate>Her Majesty's Stationery Office</b:Corporate>
      </b:Author>
    </b:Author>
    <b:Year>1974 Chapter 37</b:Year>
    <b:RefOrder>11</b:RefOrder>
  </b:Source>
  <b:Source>
    <b:Tag>IRR17</b:Tag>
    <b:SourceType>ElectronicSource</b:SourceType>
    <b:Guid>{1466C023-53A0-430C-9570-59217D18A807}</b:Guid>
    <b:Author>
      <b:Author>
        <b:Corporate>Statutory Instruments</b:Corporate>
      </b:Author>
    </b:Author>
    <b:Title>Health and Safety, The Ionising Radiations Regulations 2017</b:Title>
    <b:City>1 January 2018</b:City>
    <b:Publisher>2017 No. 1075</b:Publisher>
    <b:RefOrder>13</b:RefOrder>
  </b:Source>
  <b:Source>
    <b:Tag>NIA65</b:Tag>
    <b:SourceType>ElectronicSource</b:SourceType>
    <b:Guid>{35916691-8E80-4FD2-A6FC-9C933BD97D04}</b:Guid>
    <b:Author>
      <b:Author>
        <b:Corporate>Her Majesty's Stationery Office</b:Corporate>
      </b:Author>
    </b:Author>
    <b:Title>Nuclear Installations Act 1965</b:Title>
    <b:Publisher>1965 Chapter 57</b:Publisher>
    <b:RefOrder>12</b:RefOrder>
  </b:Source>
  <b:Source>
    <b:Tag>ONR2013</b:Tag>
    <b:SourceType>ElectronicSource</b:SourceType>
    <b:Guid>{882F4EC6-CF52-4423-840E-2610D3C67FA4}</b:Guid>
    <b:Author>
      <b:Author>
        <b:Corporate>Office for Nuclear Regulation</b:Corporate>
      </b:Author>
    </b:Author>
    <b:Title>Safety Assessment Principles for Nuclear Facilities</b:Title>
    <b:Year>www.onr.gov.uk</b:Year>
    <b:Month>January</b:Month>
    <b:Publisher>2014 Edition, Revision 1 (2020)</b:Publisher>
    <b:RefOrder>1</b:RefOrder>
  </b:Source>
  <b:Source>
    <b:Tag>TAG98</b:Tag>
    <b:SourceType>ElectronicSource</b:SourceType>
    <b:Guid>{033A188A-8BCE-4F65-8583-A7F7A7394F7E}</b:Guid>
    <b:Author>
      <b:Author>
        <b:Corporate>Office for Nuclear Regulation</b:Corporate>
      </b:Author>
    </b:Author>
    <b:Title>NS-TAST-GD-098 – Asset Management</b:Title>
    <b:Year>www.onr.gov.uk</b:Year>
    <b:RefOrder>10</b:RefOrder>
  </b:Source>
  <b:Source>
    <b:Tag>TAG22</b:Tag>
    <b:SourceType>ElectronicSource</b:SourceType>
    <b:Guid>{3CD2204A-164B-4345-A19B-43103CC86AD5}</b:Guid>
    <b:Author>
      <b:Author>
        <b:Corporate>Office for Nuclear Regulation</b:Corporate>
      </b:Author>
    </b:Author>
    <b:Title>NS-TAST-GD-022 - Ventilation</b:Title>
    <b:Year>www.onr.gov.uk</b:Year>
    <b:RefOrder>5</b:RefOrder>
  </b:Source>
  <b:Source>
    <b:Tag>TAG20</b:Tag>
    <b:SourceType>ElectronicSource</b:SourceType>
    <b:Guid>{832AC1C6-D272-4AA3-9835-8C15FDD91678}</b:Guid>
    <b:Author>
      <b:Author>
        <b:Corporate>Office for Nuclear Regulation</b:Corporate>
      </b:Author>
    </b:Author>
    <b:Title>NS-TAST-GD-020 - Civil Engineering Containments for Reactor Plants</b:Title>
    <b:Year>www.onr.gov.uk</b:Year>
    <b:RefOrder>6</b:RefOrder>
  </b:Source>
  <b:Source>
    <b:Tag>TAG16</b:Tag>
    <b:SourceType>ElectronicSource</b:SourceType>
    <b:Guid>{56813F21-12C8-4DE6-89F1-61DEF29D7373}</b:Guid>
    <b:Author>
      <b:Author>
        <b:Corporate>Office for Nuclear Regulation</b:Corporate>
      </b:Author>
    </b:Author>
    <b:Title>NS-TAST-GD-016 – Integrity of Metal Components and Structures</b:Title>
    <b:Year>www.onr.gov.uk</b:Year>
    <b:RefOrder>9</b:RefOrder>
  </b:Source>
  <b:Source>
    <b:Tag>TAG5</b:Tag>
    <b:SourceType>ElectronicSource</b:SourceType>
    <b:Guid>{28A5552E-1E97-422B-93A1-D00E1023C541}</b:Guid>
    <b:Author>
      <b:Author>
        <b:Corporate>Office for Nuclear Regulation</b:Corporate>
      </b:Author>
    </b:Author>
    <b:Title>NS-TAST-GD-005 - Regulating duties to reduce risks to ALARP</b:Title>
    <b:Year>www.onr.gov.uk</b:Year>
    <b:RefOrder>7</b:RefOrder>
  </b:Source>
  <b:Source>
    <b:Tag>Lic17</b:Tag>
    <b:SourceType>ElectronicSource</b:SourceType>
    <b:Guid>{FED4555F-D182-4D67-B4D2-7D524F66956B}</b:Guid>
    <b:Title>Licence condition handbook</b:Title>
    <b:Year>www.onr.gov.uk</b:Year>
    <b:Month>Februarry</b:Month>
    <b:Author>
      <b:Author>
        <b:Corporate>Office for Nuclear Regulation</b:Corporate>
      </b:Author>
    </b:Author>
    <b:Publisher>February 2017</b:Publisher>
    <b:RefOrder>3</b:RefOrder>
  </b:Source>
  <b:Source>
    <b:Tag>TAGS</b:Tag>
    <b:SourceType>InternetSite</b:SourceType>
    <b:Guid>{D216ED01-2FD4-4A07-8B4A-8304038764F9}</b:Guid>
    <b:Title>Full list of Technical Assesment Guides</b:Title>
    <b:Year>2024</b:Year>
    <b:Author>
      <b:Author>
        <b:Corporate>Office for Nuclear Regulation</b:Corporate>
      </b:Author>
    </b:Author>
    <b:URL>www.onr.org.uk/publications/regulatory-guidance/regulatory-assessment-and-permissioning/technical-assessment-guides-tags/nuclear-safety-tags/technical-assessment-guides-tags-nuclear-safety-full-list/</b:URL>
    <b:RefOrder>2</b:RefOrder>
  </b:Source>
  <b:Source>
    <b:Tag>TIGS</b:Tag>
    <b:SourceType>InternetSite</b:SourceType>
    <b:Guid>{143477E0-9DF6-4E16-8EBE-1B5498D5D3A6}</b:Guid>
    <b:Author>
      <b:Author>
        <b:Corporate>Office for Nuclear Regulation</b:Corporate>
      </b:Author>
    </b:Author>
    <b:Title>Full list of Technical Inspection Guides</b:Title>
    <b:Year>2024</b:Year>
    <b:URL>www.onr.org.uk/publications/regulatory-guidance/regulatory-inspection/technical-inspection-guides-tigs/nuclear-safety-tigs/technical-inspection-guides-tigs-nuclear-safety-full-list/</b:URL>
    <b:RefOrder>4</b:RefOrder>
  </b:Source>
  <b:Source>
    <b:Tag>SSG_6</b:Tag>
    <b:SourceType>ElectronicSource</b:SourceType>
    <b:Guid>{D61438CD-66A1-4F88-ADEF-692FED097A18}</b:Guid>
    <b:Author>
      <b:Author>
        <b:Corporate>International Atomic Energy Agency</b:Corporate>
      </b:Author>
    </b:Author>
    <b:Title>IAEA Safety Standards Series, Specific Safety Guide: Safety of Uranium Fuel Fabrication Facilites</b:Title>
    <b:City>SSG-6 (Rev.1)</b:City>
    <b:Year>www.iaea.org</b:Year>
    <b:Publisher>2023</b:Publisher>
    <b:RefOrder>15</b:RefOrder>
  </b:Source>
  <b:Source>
    <b:Tag>SSG42</b:Tag>
    <b:SourceType>ElectronicSource</b:SourceType>
    <b:Guid>{E958C339-07E1-4098-8A66-FC11319C45F9}</b:Guid>
    <b:Author>
      <b:Author>
        <b:Corporate>International Atomic Energy Agency</b:Corporate>
      </b:Author>
    </b:Author>
    <b:Title>IAEA Safety Standards Series, Specific Safety Guide: Safety of Nuclear Fuel Reprocessing Facilities</b:Title>
    <b:City>SSG-42</b:City>
    <b:Publisher>2017</b:Publisher>
    <b:Year>www.iaea.org</b:Year>
    <b:RefOrder>16</b:RefOrder>
  </b:Source>
  <b:Source>
    <b:Tag>SSR_4</b:Tag>
    <b:SourceType>ElectronicSource</b:SourceType>
    <b:Guid>{92FF1870-FA86-40AC-B1D3-EEF36D95580C}</b:Guid>
    <b:Author>
      <b:Author>
        <b:Corporate>International Atomic Energy Agency</b:Corporate>
      </b:Author>
    </b:Author>
    <b:Title>IAEA Safety Standards Series, Specific Safety Requirements: Safety of Nuclear Fuel Cycle Facilities</b:Title>
    <b:City>SSR-4</b:City>
    <b:Publisher>2017</b:Publisher>
    <b:Year>www.iaea.org</b:Year>
    <b:RefOrder>14</b:RefOrder>
  </b:Source>
  <b:Source>
    <b:Tag>TAG9</b:Tag>
    <b:SourceType>ElectronicSource</b:SourceType>
    <b:Guid>{77FBFEED-6DB0-4F11-8A9C-CA7466285D39}</b:Guid>
    <b:Author>
      <b:Author>
        <b:Corporate>Office for Nuclear Regulation</b:Corporate>
      </b:Author>
    </b:Author>
    <b:Title>NS-TAST-GD-009 - Examination, Inspection, Maintenance and Testing of Items Important to Safety</b:Title>
    <b:Year>www.onr.gov.uk</b:Year>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AB9593-B4BA-44D5-8C9B-D94F784FB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18</Pages>
  <Words>3941</Words>
  <Characters>22468</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Containment on Nuclear Facilities</vt:lpstr>
    </vt:vector>
  </TitlesOfParts>
  <Manager>Office for Nuclear Regulation</Manager>
  <Company>Office for Nuclear Regulation</Company>
  <LinksUpToDate>false</LinksUpToDate>
  <CharactersWithSpaces>26357</CharactersWithSpaces>
  <SharedDoc>false</SharedDoc>
  <HLinks>
    <vt:vector size="66" baseType="variant">
      <vt:variant>
        <vt:i4>3932269</vt:i4>
      </vt:variant>
      <vt:variant>
        <vt:i4>51</vt:i4>
      </vt:variant>
      <vt:variant>
        <vt:i4>0</vt:i4>
      </vt:variant>
      <vt:variant>
        <vt:i4>5</vt:i4>
      </vt:variant>
      <vt:variant>
        <vt:lpwstr>http://www.onr.org.uk/saps/saps2014.pdf</vt:lpwstr>
      </vt:variant>
      <vt:variant>
        <vt:lpwstr/>
      </vt:variant>
      <vt:variant>
        <vt:i4>1114165</vt:i4>
      </vt:variant>
      <vt:variant>
        <vt:i4>44</vt:i4>
      </vt:variant>
      <vt:variant>
        <vt:i4>0</vt:i4>
      </vt:variant>
      <vt:variant>
        <vt:i4>5</vt:i4>
      </vt:variant>
      <vt:variant>
        <vt:lpwstr/>
      </vt:variant>
      <vt:variant>
        <vt:lpwstr>_Toc164087870</vt:lpwstr>
      </vt:variant>
      <vt:variant>
        <vt:i4>1048629</vt:i4>
      </vt:variant>
      <vt:variant>
        <vt:i4>38</vt:i4>
      </vt:variant>
      <vt:variant>
        <vt:i4>0</vt:i4>
      </vt:variant>
      <vt:variant>
        <vt:i4>5</vt:i4>
      </vt:variant>
      <vt:variant>
        <vt:lpwstr/>
      </vt:variant>
      <vt:variant>
        <vt:lpwstr>_Toc164087869</vt:lpwstr>
      </vt:variant>
      <vt:variant>
        <vt:i4>1048629</vt:i4>
      </vt:variant>
      <vt:variant>
        <vt:i4>32</vt:i4>
      </vt:variant>
      <vt:variant>
        <vt:i4>0</vt:i4>
      </vt:variant>
      <vt:variant>
        <vt:i4>5</vt:i4>
      </vt:variant>
      <vt:variant>
        <vt:lpwstr/>
      </vt:variant>
      <vt:variant>
        <vt:lpwstr>_Toc164087868</vt:lpwstr>
      </vt:variant>
      <vt:variant>
        <vt:i4>1048629</vt:i4>
      </vt:variant>
      <vt:variant>
        <vt:i4>26</vt:i4>
      </vt:variant>
      <vt:variant>
        <vt:i4>0</vt:i4>
      </vt:variant>
      <vt:variant>
        <vt:i4>5</vt:i4>
      </vt:variant>
      <vt:variant>
        <vt:lpwstr/>
      </vt:variant>
      <vt:variant>
        <vt:lpwstr>_Toc164087867</vt:lpwstr>
      </vt:variant>
      <vt:variant>
        <vt:i4>1048629</vt:i4>
      </vt:variant>
      <vt:variant>
        <vt:i4>20</vt:i4>
      </vt:variant>
      <vt:variant>
        <vt:i4>0</vt:i4>
      </vt:variant>
      <vt:variant>
        <vt:i4>5</vt:i4>
      </vt:variant>
      <vt:variant>
        <vt:lpwstr/>
      </vt:variant>
      <vt:variant>
        <vt:lpwstr>_Toc164087866</vt:lpwstr>
      </vt:variant>
      <vt:variant>
        <vt:i4>1048629</vt:i4>
      </vt:variant>
      <vt:variant>
        <vt:i4>14</vt:i4>
      </vt:variant>
      <vt:variant>
        <vt:i4>0</vt:i4>
      </vt:variant>
      <vt:variant>
        <vt:i4>5</vt:i4>
      </vt:variant>
      <vt:variant>
        <vt:lpwstr/>
      </vt:variant>
      <vt:variant>
        <vt:lpwstr>_Toc164087865</vt:lpwstr>
      </vt:variant>
      <vt:variant>
        <vt:i4>1048629</vt:i4>
      </vt:variant>
      <vt:variant>
        <vt:i4>8</vt:i4>
      </vt:variant>
      <vt:variant>
        <vt:i4>0</vt:i4>
      </vt:variant>
      <vt:variant>
        <vt:i4>5</vt:i4>
      </vt:variant>
      <vt:variant>
        <vt:lpwstr/>
      </vt:variant>
      <vt:variant>
        <vt:lpwstr>_Toc164087864</vt:lpwstr>
      </vt:variant>
      <vt:variant>
        <vt:i4>5701742</vt:i4>
      </vt:variant>
      <vt:variant>
        <vt:i4>3</vt:i4>
      </vt:variant>
      <vt:variant>
        <vt:i4>0</vt:i4>
      </vt:variant>
      <vt:variant>
        <vt:i4>5</vt:i4>
      </vt:variant>
      <vt:variant>
        <vt:lpwstr>mailto:HOW2@onr.gov.uk</vt:lpwstr>
      </vt:variant>
      <vt:variant>
        <vt:lpwstr/>
      </vt:variant>
      <vt:variant>
        <vt:i4>5701742</vt:i4>
      </vt:variant>
      <vt:variant>
        <vt:i4>0</vt:i4>
      </vt:variant>
      <vt:variant>
        <vt:i4>0</vt:i4>
      </vt:variant>
      <vt:variant>
        <vt:i4>5</vt:i4>
      </vt:variant>
      <vt:variant>
        <vt:lpwstr>mailto:HOW2@onr.gov.uk</vt:lpwstr>
      </vt:variant>
      <vt:variant>
        <vt:lpwstr/>
      </vt:variant>
      <vt:variant>
        <vt:i4>2359332</vt:i4>
      </vt:variant>
      <vt:variant>
        <vt:i4>0</vt:i4>
      </vt:variant>
      <vt:variant>
        <vt:i4>0</vt:i4>
      </vt:variant>
      <vt:variant>
        <vt:i4>5</vt:i4>
      </vt:variant>
      <vt:variant>
        <vt:lpwstr>https://www.onr.org.uk/publications/regulatory-guidance/regulatory-assessment-and-permissioning/technical-assessment-guides-tags/nuclear-safety-tags/technical-assessment-guides-tags-nuclear-safety-full-list/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Containment on nuclear facilities</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2024-06-26T09:47:00Z</dcterms:created>
  <dcterms:modified xsi:type="dcterms:W3CDTF">2024-06-26T09:47:00Z</dcterms:modified>
  <cp:contentStatus>6.1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