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04CDC" w14:textId="77777777" w:rsidR="0070308F" w:rsidRPr="00CC121D" w:rsidRDefault="0070308F"/>
    <w:p w14:paraId="57304CDD" w14:textId="77777777" w:rsidR="0070308F" w:rsidRPr="00CC121D" w:rsidRDefault="0070308F"/>
    <w:p w14:paraId="57304CDE" w14:textId="6E49046E" w:rsidR="0070308F" w:rsidRDefault="0070308F"/>
    <w:p w14:paraId="023BDB0A" w14:textId="4D4EB179" w:rsidR="00B05B70" w:rsidRDefault="00B05B70"/>
    <w:p w14:paraId="5EFB5A8E" w14:textId="77777777" w:rsidR="00B05B70" w:rsidRPr="00CC121D" w:rsidRDefault="00B05B70"/>
    <w:p w14:paraId="57304CDF" w14:textId="77777777" w:rsidR="0070308F" w:rsidRPr="00CC121D" w:rsidRDefault="0070308F"/>
    <w:tbl>
      <w:tblPr>
        <w:tblW w:w="0" w:type="auto"/>
        <w:tblBorders>
          <w:top w:val="single" w:sz="12" w:space="0" w:color="006D68"/>
          <w:left w:val="single" w:sz="12" w:space="0" w:color="006D68"/>
          <w:bottom w:val="single" w:sz="12" w:space="0" w:color="006D68"/>
          <w:right w:val="single" w:sz="12" w:space="0" w:color="006D68"/>
          <w:insideH w:val="single" w:sz="12" w:space="0" w:color="006D68"/>
          <w:insideV w:val="single" w:sz="12" w:space="0" w:color="006D68"/>
        </w:tblBorders>
        <w:tblCellMar>
          <w:top w:w="58" w:type="dxa"/>
          <w:left w:w="58" w:type="dxa"/>
          <w:bottom w:w="58" w:type="dxa"/>
          <w:right w:w="58" w:type="dxa"/>
        </w:tblCellMar>
        <w:tblLook w:val="01E0" w:firstRow="1" w:lastRow="1" w:firstColumn="1" w:lastColumn="1" w:noHBand="0" w:noVBand="0"/>
      </w:tblPr>
      <w:tblGrid>
        <w:gridCol w:w="2893"/>
        <w:gridCol w:w="2128"/>
        <w:gridCol w:w="2120"/>
        <w:gridCol w:w="2013"/>
      </w:tblGrid>
      <w:tr w:rsidR="00CC121D" w:rsidRPr="00CC121D" w14:paraId="57304CE1" w14:textId="77777777" w:rsidTr="00B55AEB">
        <w:trPr>
          <w:trHeight w:val="567"/>
        </w:trPr>
        <w:tc>
          <w:tcPr>
            <w:tcW w:w="9300" w:type="dxa"/>
            <w:gridSpan w:val="4"/>
            <w:shd w:val="clear" w:color="auto" w:fill="auto"/>
            <w:vAlign w:val="center"/>
          </w:tcPr>
          <w:p w14:paraId="57304CE0" w14:textId="77777777" w:rsidR="00B55AEB" w:rsidRPr="00CC121D" w:rsidRDefault="00B55AEB" w:rsidP="00B55AEB">
            <w:pPr>
              <w:jc w:val="center"/>
            </w:pPr>
            <w:r w:rsidRPr="00CC121D">
              <w:t>ONR GUIDE</w:t>
            </w:r>
          </w:p>
        </w:tc>
      </w:tr>
      <w:tr w:rsidR="00CC121D" w:rsidRPr="00CC121D" w14:paraId="57304CE3" w14:textId="77777777" w:rsidTr="00B55AEB">
        <w:trPr>
          <w:trHeight w:val="567"/>
        </w:trPr>
        <w:tc>
          <w:tcPr>
            <w:tcW w:w="9300" w:type="dxa"/>
            <w:gridSpan w:val="4"/>
            <w:shd w:val="clear" w:color="auto" w:fill="auto"/>
            <w:vAlign w:val="center"/>
          </w:tcPr>
          <w:p w14:paraId="57304CE2" w14:textId="77777777" w:rsidR="00B55AEB" w:rsidRPr="00CC121D" w:rsidRDefault="00B55AEB" w:rsidP="00B55AEB">
            <w:pPr>
              <w:jc w:val="center"/>
              <w:rPr>
                <w:b/>
              </w:rPr>
            </w:pPr>
            <w:r w:rsidRPr="00CC121D">
              <w:rPr>
                <w:b/>
              </w:rPr>
              <w:t xml:space="preserve">CIVIL ENGINEERING </w:t>
            </w:r>
          </w:p>
        </w:tc>
      </w:tr>
      <w:tr w:rsidR="00CC121D" w:rsidRPr="00CC121D" w14:paraId="57304CE6" w14:textId="77777777" w:rsidTr="00B55AEB">
        <w:trPr>
          <w:trHeight w:val="454"/>
        </w:trPr>
        <w:tc>
          <w:tcPr>
            <w:tcW w:w="2938" w:type="dxa"/>
            <w:shd w:val="clear" w:color="auto" w:fill="auto"/>
            <w:vAlign w:val="center"/>
          </w:tcPr>
          <w:p w14:paraId="57304CE4" w14:textId="77777777" w:rsidR="00B55AEB" w:rsidRPr="00CC121D" w:rsidRDefault="00B55AEB" w:rsidP="00B55AEB">
            <w:pPr>
              <w:rPr>
                <w:b/>
              </w:rPr>
            </w:pPr>
            <w:r w:rsidRPr="00CC121D">
              <w:rPr>
                <w:b/>
              </w:rPr>
              <w:t>Document Type:</w:t>
            </w:r>
          </w:p>
        </w:tc>
        <w:tc>
          <w:tcPr>
            <w:tcW w:w="6362" w:type="dxa"/>
            <w:gridSpan w:val="3"/>
            <w:shd w:val="clear" w:color="auto" w:fill="auto"/>
            <w:vAlign w:val="center"/>
          </w:tcPr>
          <w:p w14:paraId="57304CE5" w14:textId="77777777" w:rsidR="00B55AEB" w:rsidRPr="00CC121D" w:rsidRDefault="00B55AEB" w:rsidP="00B55AEB">
            <w:r w:rsidRPr="00CC121D">
              <w:t>Nuclear Safety Technical Assessment Guide</w:t>
            </w:r>
          </w:p>
        </w:tc>
      </w:tr>
      <w:tr w:rsidR="00CC121D" w:rsidRPr="00CC121D" w14:paraId="57304CE9" w14:textId="77777777" w:rsidTr="00B55AEB">
        <w:trPr>
          <w:trHeight w:val="454"/>
        </w:trPr>
        <w:tc>
          <w:tcPr>
            <w:tcW w:w="2938" w:type="dxa"/>
            <w:shd w:val="clear" w:color="auto" w:fill="auto"/>
            <w:vAlign w:val="center"/>
          </w:tcPr>
          <w:p w14:paraId="57304CE7" w14:textId="77777777" w:rsidR="00B55AEB" w:rsidRPr="00CC121D" w:rsidRDefault="00B55AEB" w:rsidP="00B55AEB">
            <w:pPr>
              <w:rPr>
                <w:b/>
              </w:rPr>
            </w:pPr>
            <w:r w:rsidRPr="00CC121D">
              <w:rPr>
                <w:b/>
              </w:rPr>
              <w:t>Unique Document ID and Revision No:</w:t>
            </w:r>
          </w:p>
        </w:tc>
        <w:tc>
          <w:tcPr>
            <w:tcW w:w="6362" w:type="dxa"/>
            <w:gridSpan w:val="3"/>
            <w:shd w:val="clear" w:color="auto" w:fill="auto"/>
            <w:vAlign w:val="center"/>
          </w:tcPr>
          <w:p w14:paraId="57304CE8" w14:textId="69B69A03" w:rsidR="00B55AEB" w:rsidRPr="00CC121D" w:rsidRDefault="00B55AEB" w:rsidP="00B55AEB">
            <w:r w:rsidRPr="00CC121D">
              <w:t xml:space="preserve">NS-TAST-GD-017 </w:t>
            </w:r>
            <w:r w:rsidR="00C24105">
              <w:t>Issue</w:t>
            </w:r>
            <w:r w:rsidRPr="00CC121D">
              <w:t xml:space="preserve"> 4</w:t>
            </w:r>
            <w:r w:rsidR="00C24105">
              <w:t>.1</w:t>
            </w:r>
          </w:p>
        </w:tc>
      </w:tr>
      <w:tr w:rsidR="00CC121D" w:rsidRPr="00CC121D" w14:paraId="57304CEE" w14:textId="77777777" w:rsidTr="00B55AEB">
        <w:trPr>
          <w:trHeight w:val="340"/>
        </w:trPr>
        <w:tc>
          <w:tcPr>
            <w:tcW w:w="2938" w:type="dxa"/>
            <w:shd w:val="clear" w:color="auto" w:fill="auto"/>
            <w:vAlign w:val="center"/>
          </w:tcPr>
          <w:p w14:paraId="57304CEA" w14:textId="77777777" w:rsidR="00B55AEB" w:rsidRPr="00CC121D" w:rsidRDefault="00B55AEB" w:rsidP="00B55AEB">
            <w:pPr>
              <w:rPr>
                <w:b/>
              </w:rPr>
            </w:pPr>
            <w:r w:rsidRPr="00CC121D">
              <w:rPr>
                <w:b/>
              </w:rPr>
              <w:t>Date Issued:</w:t>
            </w:r>
          </w:p>
        </w:tc>
        <w:tc>
          <w:tcPr>
            <w:tcW w:w="2160" w:type="dxa"/>
            <w:shd w:val="clear" w:color="auto" w:fill="auto"/>
            <w:vAlign w:val="center"/>
          </w:tcPr>
          <w:p w14:paraId="57304CEB" w14:textId="443F89E8" w:rsidR="00B55AEB" w:rsidRPr="00CC121D" w:rsidRDefault="00C24105" w:rsidP="00B55AEB">
            <w:r>
              <w:t>December 2022</w:t>
            </w:r>
          </w:p>
        </w:tc>
        <w:tc>
          <w:tcPr>
            <w:tcW w:w="2160" w:type="dxa"/>
            <w:shd w:val="clear" w:color="auto" w:fill="auto"/>
            <w:vAlign w:val="center"/>
          </w:tcPr>
          <w:p w14:paraId="57304CEC" w14:textId="77777777" w:rsidR="00B55AEB" w:rsidRPr="00CC121D" w:rsidRDefault="00B55AEB" w:rsidP="00B55AEB">
            <w:pPr>
              <w:rPr>
                <w:b/>
              </w:rPr>
            </w:pPr>
            <w:r w:rsidRPr="00CC121D">
              <w:rPr>
                <w:b/>
              </w:rPr>
              <w:t>Review Date:</w:t>
            </w:r>
          </w:p>
        </w:tc>
        <w:tc>
          <w:tcPr>
            <w:tcW w:w="2042" w:type="dxa"/>
            <w:shd w:val="clear" w:color="auto" w:fill="auto"/>
            <w:vAlign w:val="center"/>
          </w:tcPr>
          <w:p w14:paraId="57304CED" w14:textId="77777777" w:rsidR="00B55AEB" w:rsidRPr="00CC121D" w:rsidRDefault="00D979EC" w:rsidP="00B55AEB">
            <w:r>
              <w:t>November</w:t>
            </w:r>
            <w:r w:rsidR="00B55AEB" w:rsidRPr="00CC121D">
              <w:t xml:space="preserve"> 202</w:t>
            </w:r>
            <w:r>
              <w:t>5</w:t>
            </w:r>
          </w:p>
        </w:tc>
      </w:tr>
      <w:tr w:rsidR="00CC121D" w:rsidRPr="00CC121D" w14:paraId="57304CF2" w14:textId="77777777" w:rsidTr="00B55AEB">
        <w:trPr>
          <w:trHeight w:val="340"/>
        </w:trPr>
        <w:tc>
          <w:tcPr>
            <w:tcW w:w="2938" w:type="dxa"/>
            <w:shd w:val="clear" w:color="auto" w:fill="auto"/>
            <w:vAlign w:val="center"/>
          </w:tcPr>
          <w:p w14:paraId="57304CEF" w14:textId="77777777" w:rsidR="00B55AEB" w:rsidRPr="00CC121D" w:rsidRDefault="00B55AEB" w:rsidP="00B55AEB">
            <w:pPr>
              <w:rPr>
                <w:b/>
              </w:rPr>
            </w:pPr>
            <w:r w:rsidRPr="00CC121D">
              <w:rPr>
                <w:b/>
              </w:rPr>
              <w:t>Prepared by:</w:t>
            </w:r>
          </w:p>
        </w:tc>
        <w:tc>
          <w:tcPr>
            <w:tcW w:w="2160" w:type="dxa"/>
            <w:shd w:val="clear" w:color="auto" w:fill="auto"/>
            <w:vAlign w:val="center"/>
          </w:tcPr>
          <w:p w14:paraId="57304CF0" w14:textId="070457EB" w:rsidR="00B55AEB" w:rsidRPr="00CC121D" w:rsidRDefault="00B55AEB" w:rsidP="00B55AEB"/>
        </w:tc>
        <w:tc>
          <w:tcPr>
            <w:tcW w:w="4202" w:type="dxa"/>
            <w:gridSpan w:val="2"/>
            <w:shd w:val="clear" w:color="auto" w:fill="auto"/>
            <w:vAlign w:val="center"/>
          </w:tcPr>
          <w:p w14:paraId="57304CF1" w14:textId="77777777" w:rsidR="00B55AEB" w:rsidRPr="00CC121D" w:rsidRDefault="00A62213" w:rsidP="00B55AEB">
            <w:r>
              <w:t>Specialist C</w:t>
            </w:r>
            <w:r w:rsidR="00D979EC">
              <w:t>ivil Engineering Inspector</w:t>
            </w:r>
          </w:p>
        </w:tc>
      </w:tr>
      <w:tr w:rsidR="00CC121D" w:rsidRPr="00CC121D" w14:paraId="57304CF6" w14:textId="77777777" w:rsidTr="00B55AEB">
        <w:trPr>
          <w:trHeight w:val="340"/>
        </w:trPr>
        <w:tc>
          <w:tcPr>
            <w:tcW w:w="2938" w:type="dxa"/>
            <w:shd w:val="clear" w:color="auto" w:fill="auto"/>
            <w:vAlign w:val="center"/>
          </w:tcPr>
          <w:p w14:paraId="57304CF3" w14:textId="77777777" w:rsidR="00B55AEB" w:rsidRPr="00CC121D" w:rsidRDefault="00B55AEB" w:rsidP="00B55AEB">
            <w:pPr>
              <w:rPr>
                <w:b/>
              </w:rPr>
            </w:pPr>
            <w:r w:rsidRPr="00CC121D">
              <w:rPr>
                <w:b/>
              </w:rPr>
              <w:t>Approved by:</w:t>
            </w:r>
          </w:p>
        </w:tc>
        <w:tc>
          <w:tcPr>
            <w:tcW w:w="2160" w:type="dxa"/>
            <w:shd w:val="clear" w:color="auto" w:fill="auto"/>
            <w:vAlign w:val="center"/>
          </w:tcPr>
          <w:p w14:paraId="57304CF4" w14:textId="4CAD87A5" w:rsidR="00B55AEB" w:rsidRPr="00CC121D" w:rsidRDefault="00B55AEB" w:rsidP="00B55AEB"/>
        </w:tc>
        <w:tc>
          <w:tcPr>
            <w:tcW w:w="4202" w:type="dxa"/>
            <w:gridSpan w:val="2"/>
            <w:shd w:val="clear" w:color="auto" w:fill="auto"/>
            <w:vAlign w:val="center"/>
          </w:tcPr>
          <w:p w14:paraId="57304CF5" w14:textId="77777777" w:rsidR="00B55AEB" w:rsidRPr="00CC121D" w:rsidRDefault="00B55AEB" w:rsidP="00B55AEB">
            <w:r w:rsidRPr="00CC121D">
              <w:t>Professional Lead Civil Engineering and External Hazards</w:t>
            </w:r>
          </w:p>
        </w:tc>
      </w:tr>
      <w:tr w:rsidR="00CC121D" w:rsidRPr="00CC121D" w14:paraId="57304CF9" w14:textId="77777777" w:rsidTr="00B55AEB">
        <w:trPr>
          <w:trHeight w:val="288"/>
        </w:trPr>
        <w:tc>
          <w:tcPr>
            <w:tcW w:w="2938" w:type="dxa"/>
            <w:shd w:val="clear" w:color="auto" w:fill="auto"/>
            <w:vAlign w:val="center"/>
          </w:tcPr>
          <w:p w14:paraId="57304CF7" w14:textId="77777777" w:rsidR="00B55AEB" w:rsidRPr="00CC121D" w:rsidRDefault="00B55AEB" w:rsidP="00B55AEB">
            <w:pPr>
              <w:rPr>
                <w:b/>
              </w:rPr>
            </w:pPr>
            <w:r w:rsidRPr="00CC121D">
              <w:rPr>
                <w:b/>
              </w:rPr>
              <w:t>Record Reference:</w:t>
            </w:r>
          </w:p>
        </w:tc>
        <w:tc>
          <w:tcPr>
            <w:tcW w:w="6362" w:type="dxa"/>
            <w:gridSpan w:val="3"/>
            <w:shd w:val="clear" w:color="auto" w:fill="auto"/>
            <w:vAlign w:val="center"/>
          </w:tcPr>
          <w:p w14:paraId="57304CF8" w14:textId="77777777" w:rsidR="00B55AEB" w:rsidRPr="00CC121D" w:rsidRDefault="00B55AEB" w:rsidP="00BB73C4">
            <w:r w:rsidRPr="00CC121D">
              <w:t xml:space="preserve">CM9 Folder </w:t>
            </w:r>
            <w:r w:rsidRPr="00CC121D">
              <w:rPr>
                <w:rFonts w:cs="Arial"/>
                <w:szCs w:val="22"/>
              </w:rPr>
              <w:t>1.18.</w:t>
            </w:r>
            <w:r w:rsidRPr="00BB73C4">
              <w:rPr>
                <w:rFonts w:cs="Arial"/>
                <w:szCs w:val="22"/>
              </w:rPr>
              <w:t>1649.</w:t>
            </w:r>
            <w:r w:rsidRPr="00BB73C4">
              <w:t xml:space="preserve"> (2020/</w:t>
            </w:r>
            <w:r w:rsidR="00BB73C4" w:rsidRPr="00BB73C4">
              <w:t>189462</w:t>
            </w:r>
            <w:r w:rsidRPr="00BB73C4">
              <w:t>)</w:t>
            </w:r>
          </w:p>
        </w:tc>
      </w:tr>
      <w:tr w:rsidR="00B55AEB" w:rsidRPr="00CC121D" w14:paraId="57304CFC" w14:textId="77777777" w:rsidTr="00B55AEB">
        <w:trPr>
          <w:trHeight w:val="288"/>
        </w:trPr>
        <w:tc>
          <w:tcPr>
            <w:tcW w:w="2938" w:type="dxa"/>
            <w:shd w:val="clear" w:color="auto" w:fill="auto"/>
            <w:vAlign w:val="center"/>
          </w:tcPr>
          <w:p w14:paraId="57304CFA" w14:textId="77777777" w:rsidR="00B55AEB" w:rsidRPr="00CC121D" w:rsidRDefault="00B55AEB" w:rsidP="00B55AEB">
            <w:pPr>
              <w:rPr>
                <w:b/>
              </w:rPr>
            </w:pPr>
            <w:r w:rsidRPr="00CC121D">
              <w:rPr>
                <w:b/>
              </w:rPr>
              <w:t>Revision commentary:</w:t>
            </w:r>
          </w:p>
        </w:tc>
        <w:tc>
          <w:tcPr>
            <w:tcW w:w="6362" w:type="dxa"/>
            <w:gridSpan w:val="3"/>
            <w:shd w:val="clear" w:color="auto" w:fill="auto"/>
            <w:vAlign w:val="center"/>
          </w:tcPr>
          <w:p w14:paraId="52724714" w14:textId="77777777" w:rsidR="00B55AEB" w:rsidRDefault="00B55AEB" w:rsidP="00B55AEB">
            <w:r w:rsidRPr="00CC121D">
              <w:t xml:space="preserve">Revision and update to take account of SAPs 2014 (as amended 2020), WENRA Safety Reference Levels and IAEA Standards. Reformat of T/AST/017 in line with the format of T/AST/013. Combines T/AST/076 as an annex to this TAG, with other annexes to expand on previous appendices from Rev 3. </w:t>
            </w:r>
          </w:p>
          <w:p w14:paraId="57304CFB" w14:textId="71484C41" w:rsidR="00016A97" w:rsidRPr="00CC121D" w:rsidRDefault="00016A97" w:rsidP="00B55AEB">
            <w:r>
              <w:t xml:space="preserve">Issue 4.1: </w:t>
            </w:r>
            <w:r>
              <w:rPr>
                <w:sz w:val="24"/>
              </w:rPr>
              <w:t>Minor update to remove extant URLs from the document to mitigate potential configuration control issues arising because of changes to third-party web domains.</w:t>
            </w:r>
          </w:p>
        </w:tc>
      </w:tr>
    </w:tbl>
    <w:p w14:paraId="57304CFD" w14:textId="77777777" w:rsidR="007F7A05" w:rsidRPr="00CC121D" w:rsidRDefault="007F7A05" w:rsidP="008E67CB"/>
    <w:p w14:paraId="57304CFE" w14:textId="77777777" w:rsidR="009135AB" w:rsidRPr="00CC121D" w:rsidRDefault="009135AB" w:rsidP="008E67CB">
      <w:pPr>
        <w:rPr>
          <w:b/>
        </w:rPr>
      </w:pPr>
    </w:p>
    <w:p w14:paraId="57304CFF" w14:textId="77777777" w:rsidR="001F2DE6" w:rsidRPr="00CC121D" w:rsidRDefault="001F2DE6" w:rsidP="001F2DE6">
      <w:pPr>
        <w:rPr>
          <w:sz w:val="20"/>
          <w:szCs w:val="20"/>
        </w:rPr>
      </w:pPr>
    </w:p>
    <w:p w14:paraId="57304D00" w14:textId="77777777" w:rsidR="001F2DE6" w:rsidRPr="00CC121D" w:rsidRDefault="001F2DE6" w:rsidP="001F2DE6">
      <w:pPr>
        <w:rPr>
          <w:sz w:val="20"/>
          <w:szCs w:val="20"/>
        </w:rPr>
      </w:pPr>
    </w:p>
    <w:p w14:paraId="57304D01" w14:textId="77777777" w:rsidR="001F2DE6" w:rsidRPr="00CC121D" w:rsidRDefault="001F2DE6" w:rsidP="001F2DE6">
      <w:pPr>
        <w:rPr>
          <w:sz w:val="20"/>
          <w:szCs w:val="20"/>
        </w:rPr>
      </w:pPr>
    </w:p>
    <w:p w14:paraId="57304D02" w14:textId="77777777" w:rsidR="001F2DE6" w:rsidRPr="00CC121D" w:rsidRDefault="001F2DE6" w:rsidP="001F2DE6">
      <w:pPr>
        <w:rPr>
          <w:sz w:val="20"/>
          <w:szCs w:val="20"/>
        </w:rPr>
      </w:pPr>
    </w:p>
    <w:p w14:paraId="57304D03" w14:textId="77777777" w:rsidR="001F2DE6" w:rsidRPr="00CC121D" w:rsidRDefault="001F2DE6" w:rsidP="001F2DE6">
      <w:pPr>
        <w:rPr>
          <w:sz w:val="20"/>
          <w:szCs w:val="20"/>
        </w:rPr>
      </w:pPr>
    </w:p>
    <w:p w14:paraId="57304D04" w14:textId="77777777" w:rsidR="005E6BBD" w:rsidRPr="00CC121D" w:rsidRDefault="005E6BBD" w:rsidP="001F2DE6">
      <w:pPr>
        <w:rPr>
          <w:i/>
          <w:sz w:val="18"/>
          <w:szCs w:val="20"/>
        </w:rPr>
      </w:pPr>
      <w:r w:rsidRPr="00CC121D">
        <w:br w:type="page"/>
      </w:r>
    </w:p>
    <w:p w14:paraId="57304D07" w14:textId="77777777" w:rsidR="002F5007" w:rsidRPr="00CC121D" w:rsidRDefault="002F5007" w:rsidP="005E101A">
      <w:pPr>
        <w:jc w:val="center"/>
        <w:rPr>
          <w:b/>
        </w:rPr>
      </w:pPr>
      <w:r w:rsidRPr="00CC121D">
        <w:rPr>
          <w:b/>
        </w:rPr>
        <w:lastRenderedPageBreak/>
        <w:t>TABLE OF CONTENTS</w:t>
      </w:r>
    </w:p>
    <w:p w14:paraId="57304D08" w14:textId="77777777" w:rsidR="007030D5" w:rsidRPr="00CC121D" w:rsidRDefault="007030D5" w:rsidP="002F5007">
      <w:pPr>
        <w:jc w:val="center"/>
        <w:rPr>
          <w:b/>
        </w:rPr>
      </w:pPr>
    </w:p>
    <w:p w14:paraId="6A80DC5B" w14:textId="64CA0066" w:rsidR="009156CD" w:rsidRDefault="002F5007">
      <w:pPr>
        <w:pStyle w:val="TOC1"/>
        <w:rPr>
          <w:rFonts w:asciiTheme="minorHAnsi" w:eastAsiaTheme="minorEastAsia" w:hAnsiTheme="minorHAnsi" w:cstheme="minorBidi"/>
          <w:caps w:val="0"/>
          <w:noProof/>
          <w:szCs w:val="22"/>
          <w:lang w:eastAsia="en-GB"/>
        </w:rPr>
      </w:pPr>
      <w:r w:rsidRPr="00CC121D">
        <w:fldChar w:fldCharType="begin"/>
      </w:r>
      <w:r w:rsidRPr="00CC121D">
        <w:instrText xml:space="preserve"> TOC \h \z \t "TS Heading Numbered 1,1,TS Heading Numbered 1.1,2" </w:instrText>
      </w:r>
      <w:r w:rsidRPr="00CC121D">
        <w:fldChar w:fldCharType="separate"/>
      </w:r>
      <w:hyperlink w:anchor="_Toc57912675" w:history="1">
        <w:r w:rsidR="009156CD" w:rsidRPr="008059E8">
          <w:rPr>
            <w:rStyle w:val="Hyperlink"/>
            <w:rFonts w:cs="Arial"/>
            <w:noProof/>
          </w:rPr>
          <w:t>LIST OF ABBREVIATIONS</w:t>
        </w:r>
        <w:r w:rsidR="009156CD">
          <w:rPr>
            <w:noProof/>
            <w:webHidden/>
          </w:rPr>
          <w:tab/>
        </w:r>
        <w:r w:rsidR="009156CD">
          <w:rPr>
            <w:noProof/>
            <w:webHidden/>
          </w:rPr>
          <w:fldChar w:fldCharType="begin"/>
        </w:r>
        <w:r w:rsidR="009156CD">
          <w:rPr>
            <w:noProof/>
            <w:webHidden/>
          </w:rPr>
          <w:instrText xml:space="preserve"> PAGEREF _Toc57912675 \h </w:instrText>
        </w:r>
        <w:r w:rsidR="009156CD">
          <w:rPr>
            <w:noProof/>
            <w:webHidden/>
          </w:rPr>
        </w:r>
        <w:r w:rsidR="009156CD">
          <w:rPr>
            <w:noProof/>
            <w:webHidden/>
          </w:rPr>
          <w:fldChar w:fldCharType="separate"/>
        </w:r>
        <w:r w:rsidR="009156CD">
          <w:rPr>
            <w:noProof/>
            <w:webHidden/>
          </w:rPr>
          <w:t>4</w:t>
        </w:r>
        <w:r w:rsidR="009156CD">
          <w:rPr>
            <w:noProof/>
            <w:webHidden/>
          </w:rPr>
          <w:fldChar w:fldCharType="end"/>
        </w:r>
      </w:hyperlink>
    </w:p>
    <w:p w14:paraId="6C928AFD" w14:textId="2B905D13" w:rsidR="009156CD" w:rsidRDefault="00000000">
      <w:pPr>
        <w:pStyle w:val="TOC1"/>
        <w:rPr>
          <w:rFonts w:asciiTheme="minorHAnsi" w:eastAsiaTheme="minorEastAsia" w:hAnsiTheme="minorHAnsi" w:cstheme="minorBidi"/>
          <w:caps w:val="0"/>
          <w:noProof/>
          <w:szCs w:val="22"/>
          <w:lang w:eastAsia="en-GB"/>
        </w:rPr>
      </w:pPr>
      <w:hyperlink w:anchor="_Toc57912676" w:history="1">
        <w:r w:rsidR="009156CD" w:rsidRPr="008059E8">
          <w:rPr>
            <w:rStyle w:val="Hyperlink"/>
            <w:noProof/>
          </w:rPr>
          <w:t>Glossary</w:t>
        </w:r>
        <w:r w:rsidR="009156CD">
          <w:rPr>
            <w:noProof/>
            <w:webHidden/>
          </w:rPr>
          <w:tab/>
        </w:r>
        <w:r w:rsidR="009156CD">
          <w:rPr>
            <w:noProof/>
            <w:webHidden/>
          </w:rPr>
          <w:fldChar w:fldCharType="begin"/>
        </w:r>
        <w:r w:rsidR="009156CD">
          <w:rPr>
            <w:noProof/>
            <w:webHidden/>
          </w:rPr>
          <w:instrText xml:space="preserve"> PAGEREF _Toc57912676 \h </w:instrText>
        </w:r>
        <w:r w:rsidR="009156CD">
          <w:rPr>
            <w:noProof/>
            <w:webHidden/>
          </w:rPr>
        </w:r>
        <w:r w:rsidR="009156CD">
          <w:rPr>
            <w:noProof/>
            <w:webHidden/>
          </w:rPr>
          <w:fldChar w:fldCharType="separate"/>
        </w:r>
        <w:r w:rsidR="009156CD">
          <w:rPr>
            <w:noProof/>
            <w:webHidden/>
          </w:rPr>
          <w:t>5</w:t>
        </w:r>
        <w:r w:rsidR="009156CD">
          <w:rPr>
            <w:noProof/>
            <w:webHidden/>
          </w:rPr>
          <w:fldChar w:fldCharType="end"/>
        </w:r>
      </w:hyperlink>
    </w:p>
    <w:p w14:paraId="4CEAF662" w14:textId="13901C25" w:rsidR="009156CD" w:rsidRDefault="00000000">
      <w:pPr>
        <w:pStyle w:val="TOC1"/>
        <w:rPr>
          <w:rFonts w:asciiTheme="minorHAnsi" w:eastAsiaTheme="minorEastAsia" w:hAnsiTheme="minorHAnsi" w:cstheme="minorBidi"/>
          <w:caps w:val="0"/>
          <w:noProof/>
          <w:szCs w:val="22"/>
          <w:lang w:eastAsia="en-GB"/>
        </w:rPr>
      </w:pPr>
      <w:hyperlink w:anchor="_Toc57912677" w:history="1">
        <w:r w:rsidR="009156CD" w:rsidRPr="008059E8">
          <w:rPr>
            <w:rStyle w:val="Hyperlink"/>
            <w:rFonts w:cs="Arial"/>
            <w:noProof/>
          </w:rPr>
          <w:t>1</w:t>
        </w:r>
        <w:r w:rsidR="009156CD">
          <w:rPr>
            <w:rFonts w:asciiTheme="minorHAnsi" w:eastAsiaTheme="minorEastAsia" w:hAnsiTheme="minorHAnsi" w:cstheme="minorBidi"/>
            <w:caps w:val="0"/>
            <w:noProof/>
            <w:szCs w:val="22"/>
            <w:lang w:eastAsia="en-GB"/>
          </w:rPr>
          <w:tab/>
        </w:r>
        <w:r w:rsidR="009156CD" w:rsidRPr="008059E8">
          <w:rPr>
            <w:rStyle w:val="Hyperlink"/>
            <w:noProof/>
          </w:rPr>
          <w:t>INTRODUCTION</w:t>
        </w:r>
        <w:r w:rsidR="009156CD">
          <w:rPr>
            <w:noProof/>
            <w:webHidden/>
          </w:rPr>
          <w:tab/>
        </w:r>
        <w:r w:rsidR="009156CD">
          <w:rPr>
            <w:noProof/>
            <w:webHidden/>
          </w:rPr>
          <w:fldChar w:fldCharType="begin"/>
        </w:r>
        <w:r w:rsidR="009156CD">
          <w:rPr>
            <w:noProof/>
            <w:webHidden/>
          </w:rPr>
          <w:instrText xml:space="preserve"> PAGEREF _Toc57912677 \h </w:instrText>
        </w:r>
        <w:r w:rsidR="009156CD">
          <w:rPr>
            <w:noProof/>
            <w:webHidden/>
          </w:rPr>
        </w:r>
        <w:r w:rsidR="009156CD">
          <w:rPr>
            <w:noProof/>
            <w:webHidden/>
          </w:rPr>
          <w:fldChar w:fldCharType="separate"/>
        </w:r>
        <w:r w:rsidR="009156CD">
          <w:rPr>
            <w:noProof/>
            <w:webHidden/>
          </w:rPr>
          <w:t>10</w:t>
        </w:r>
        <w:r w:rsidR="009156CD">
          <w:rPr>
            <w:noProof/>
            <w:webHidden/>
          </w:rPr>
          <w:fldChar w:fldCharType="end"/>
        </w:r>
      </w:hyperlink>
    </w:p>
    <w:p w14:paraId="6CFAEBC9" w14:textId="376F0D5F" w:rsidR="009156CD" w:rsidRDefault="00000000">
      <w:pPr>
        <w:pStyle w:val="TOC1"/>
        <w:rPr>
          <w:rFonts w:asciiTheme="minorHAnsi" w:eastAsiaTheme="minorEastAsia" w:hAnsiTheme="minorHAnsi" w:cstheme="minorBidi"/>
          <w:caps w:val="0"/>
          <w:noProof/>
          <w:szCs w:val="22"/>
          <w:lang w:eastAsia="en-GB"/>
        </w:rPr>
      </w:pPr>
      <w:hyperlink w:anchor="_Toc57912678" w:history="1">
        <w:r w:rsidR="009156CD" w:rsidRPr="008059E8">
          <w:rPr>
            <w:rStyle w:val="Hyperlink"/>
            <w:rFonts w:cs="Arial"/>
            <w:noProof/>
          </w:rPr>
          <w:t>2</w:t>
        </w:r>
        <w:r w:rsidR="009156CD">
          <w:rPr>
            <w:rFonts w:asciiTheme="minorHAnsi" w:eastAsiaTheme="minorEastAsia" w:hAnsiTheme="minorHAnsi" w:cstheme="minorBidi"/>
            <w:caps w:val="0"/>
            <w:noProof/>
            <w:szCs w:val="22"/>
            <w:lang w:eastAsia="en-GB"/>
          </w:rPr>
          <w:tab/>
        </w:r>
        <w:r w:rsidR="009156CD" w:rsidRPr="008059E8">
          <w:rPr>
            <w:rStyle w:val="Hyperlink"/>
            <w:noProof/>
          </w:rPr>
          <w:t>PURPOSE AND SCOPE</w:t>
        </w:r>
        <w:r w:rsidR="009156CD">
          <w:rPr>
            <w:noProof/>
            <w:webHidden/>
          </w:rPr>
          <w:tab/>
        </w:r>
        <w:r w:rsidR="009156CD">
          <w:rPr>
            <w:noProof/>
            <w:webHidden/>
          </w:rPr>
          <w:fldChar w:fldCharType="begin"/>
        </w:r>
        <w:r w:rsidR="009156CD">
          <w:rPr>
            <w:noProof/>
            <w:webHidden/>
          </w:rPr>
          <w:instrText xml:space="preserve"> PAGEREF _Toc57912678 \h </w:instrText>
        </w:r>
        <w:r w:rsidR="009156CD">
          <w:rPr>
            <w:noProof/>
            <w:webHidden/>
          </w:rPr>
        </w:r>
        <w:r w:rsidR="009156CD">
          <w:rPr>
            <w:noProof/>
            <w:webHidden/>
          </w:rPr>
          <w:fldChar w:fldCharType="separate"/>
        </w:r>
        <w:r w:rsidR="009156CD">
          <w:rPr>
            <w:noProof/>
            <w:webHidden/>
          </w:rPr>
          <w:t>10</w:t>
        </w:r>
        <w:r w:rsidR="009156CD">
          <w:rPr>
            <w:noProof/>
            <w:webHidden/>
          </w:rPr>
          <w:fldChar w:fldCharType="end"/>
        </w:r>
      </w:hyperlink>
    </w:p>
    <w:p w14:paraId="71346438" w14:textId="0834CDAC" w:rsidR="009156CD" w:rsidRDefault="00000000">
      <w:pPr>
        <w:pStyle w:val="TOC2"/>
        <w:rPr>
          <w:rFonts w:asciiTheme="minorHAnsi" w:eastAsiaTheme="minorEastAsia" w:hAnsiTheme="minorHAnsi" w:cstheme="minorBidi"/>
          <w:noProof/>
          <w:szCs w:val="22"/>
          <w:lang w:eastAsia="en-GB"/>
        </w:rPr>
      </w:pPr>
      <w:hyperlink w:anchor="_Toc57912679" w:history="1">
        <w:r w:rsidR="009156CD" w:rsidRPr="008059E8">
          <w:rPr>
            <w:rStyle w:val="Hyperlink"/>
            <w:noProof/>
          </w:rPr>
          <w:t>2.1</w:t>
        </w:r>
        <w:r w:rsidR="009156CD">
          <w:rPr>
            <w:rFonts w:asciiTheme="minorHAnsi" w:eastAsiaTheme="minorEastAsia" w:hAnsiTheme="minorHAnsi" w:cstheme="minorBidi"/>
            <w:noProof/>
            <w:szCs w:val="22"/>
            <w:lang w:eastAsia="en-GB"/>
          </w:rPr>
          <w:tab/>
        </w:r>
        <w:r w:rsidR="009156CD" w:rsidRPr="008059E8">
          <w:rPr>
            <w:rStyle w:val="Hyperlink"/>
            <w:noProof/>
          </w:rPr>
          <w:t>Purpose</w:t>
        </w:r>
        <w:r w:rsidR="009156CD">
          <w:rPr>
            <w:noProof/>
            <w:webHidden/>
          </w:rPr>
          <w:tab/>
        </w:r>
        <w:r w:rsidR="009156CD">
          <w:rPr>
            <w:noProof/>
            <w:webHidden/>
          </w:rPr>
          <w:fldChar w:fldCharType="begin"/>
        </w:r>
        <w:r w:rsidR="009156CD">
          <w:rPr>
            <w:noProof/>
            <w:webHidden/>
          </w:rPr>
          <w:instrText xml:space="preserve"> PAGEREF _Toc57912679 \h </w:instrText>
        </w:r>
        <w:r w:rsidR="009156CD">
          <w:rPr>
            <w:noProof/>
            <w:webHidden/>
          </w:rPr>
        </w:r>
        <w:r w:rsidR="009156CD">
          <w:rPr>
            <w:noProof/>
            <w:webHidden/>
          </w:rPr>
          <w:fldChar w:fldCharType="separate"/>
        </w:r>
        <w:r w:rsidR="009156CD">
          <w:rPr>
            <w:noProof/>
            <w:webHidden/>
          </w:rPr>
          <w:t>10</w:t>
        </w:r>
        <w:r w:rsidR="009156CD">
          <w:rPr>
            <w:noProof/>
            <w:webHidden/>
          </w:rPr>
          <w:fldChar w:fldCharType="end"/>
        </w:r>
      </w:hyperlink>
    </w:p>
    <w:p w14:paraId="01F5AF42" w14:textId="3554116A" w:rsidR="009156CD" w:rsidRDefault="00000000">
      <w:pPr>
        <w:pStyle w:val="TOC2"/>
        <w:rPr>
          <w:rFonts w:asciiTheme="minorHAnsi" w:eastAsiaTheme="minorEastAsia" w:hAnsiTheme="minorHAnsi" w:cstheme="minorBidi"/>
          <w:noProof/>
          <w:szCs w:val="22"/>
          <w:lang w:eastAsia="en-GB"/>
        </w:rPr>
      </w:pPr>
      <w:hyperlink w:anchor="_Toc57912680" w:history="1">
        <w:r w:rsidR="009156CD" w:rsidRPr="008059E8">
          <w:rPr>
            <w:rStyle w:val="Hyperlink"/>
            <w:noProof/>
          </w:rPr>
          <w:t>2.2</w:t>
        </w:r>
        <w:r w:rsidR="009156CD">
          <w:rPr>
            <w:rFonts w:asciiTheme="minorHAnsi" w:eastAsiaTheme="minorEastAsia" w:hAnsiTheme="minorHAnsi" w:cstheme="minorBidi"/>
            <w:noProof/>
            <w:szCs w:val="22"/>
            <w:lang w:eastAsia="en-GB"/>
          </w:rPr>
          <w:tab/>
        </w:r>
        <w:r w:rsidR="009156CD" w:rsidRPr="008059E8">
          <w:rPr>
            <w:rStyle w:val="Hyperlink"/>
            <w:noProof/>
          </w:rPr>
          <w:t>Scope</w:t>
        </w:r>
        <w:r w:rsidR="009156CD">
          <w:rPr>
            <w:noProof/>
            <w:webHidden/>
          </w:rPr>
          <w:tab/>
        </w:r>
        <w:r w:rsidR="009156CD">
          <w:rPr>
            <w:noProof/>
            <w:webHidden/>
          </w:rPr>
          <w:fldChar w:fldCharType="begin"/>
        </w:r>
        <w:r w:rsidR="009156CD">
          <w:rPr>
            <w:noProof/>
            <w:webHidden/>
          </w:rPr>
          <w:instrText xml:space="preserve"> PAGEREF _Toc57912680 \h </w:instrText>
        </w:r>
        <w:r w:rsidR="009156CD">
          <w:rPr>
            <w:noProof/>
            <w:webHidden/>
          </w:rPr>
        </w:r>
        <w:r w:rsidR="009156CD">
          <w:rPr>
            <w:noProof/>
            <w:webHidden/>
          </w:rPr>
          <w:fldChar w:fldCharType="separate"/>
        </w:r>
        <w:r w:rsidR="009156CD">
          <w:rPr>
            <w:noProof/>
            <w:webHidden/>
          </w:rPr>
          <w:t>11</w:t>
        </w:r>
        <w:r w:rsidR="009156CD">
          <w:rPr>
            <w:noProof/>
            <w:webHidden/>
          </w:rPr>
          <w:fldChar w:fldCharType="end"/>
        </w:r>
      </w:hyperlink>
    </w:p>
    <w:p w14:paraId="495134A4" w14:textId="08A8F094" w:rsidR="009156CD" w:rsidRDefault="00000000">
      <w:pPr>
        <w:pStyle w:val="TOC2"/>
        <w:rPr>
          <w:rFonts w:asciiTheme="minorHAnsi" w:eastAsiaTheme="minorEastAsia" w:hAnsiTheme="minorHAnsi" w:cstheme="minorBidi"/>
          <w:noProof/>
          <w:szCs w:val="22"/>
          <w:lang w:eastAsia="en-GB"/>
        </w:rPr>
      </w:pPr>
      <w:hyperlink w:anchor="_Toc57912681" w:history="1">
        <w:r w:rsidR="009156CD" w:rsidRPr="008059E8">
          <w:rPr>
            <w:rStyle w:val="Hyperlink"/>
            <w:noProof/>
          </w:rPr>
          <w:t>2.3</w:t>
        </w:r>
        <w:r w:rsidR="009156CD">
          <w:rPr>
            <w:rFonts w:asciiTheme="minorHAnsi" w:eastAsiaTheme="minorEastAsia" w:hAnsiTheme="minorHAnsi" w:cstheme="minorBidi"/>
            <w:noProof/>
            <w:szCs w:val="22"/>
            <w:lang w:eastAsia="en-GB"/>
          </w:rPr>
          <w:tab/>
        </w:r>
        <w:r w:rsidR="009156CD" w:rsidRPr="008059E8">
          <w:rPr>
            <w:rStyle w:val="Hyperlink"/>
            <w:noProof/>
          </w:rPr>
          <w:t>Structure of this Technical Assessment Guidance (TAG)</w:t>
        </w:r>
        <w:r w:rsidR="009156CD">
          <w:rPr>
            <w:noProof/>
            <w:webHidden/>
          </w:rPr>
          <w:tab/>
        </w:r>
        <w:r w:rsidR="009156CD">
          <w:rPr>
            <w:noProof/>
            <w:webHidden/>
          </w:rPr>
          <w:fldChar w:fldCharType="begin"/>
        </w:r>
        <w:r w:rsidR="009156CD">
          <w:rPr>
            <w:noProof/>
            <w:webHidden/>
          </w:rPr>
          <w:instrText xml:space="preserve"> PAGEREF _Toc57912681 \h </w:instrText>
        </w:r>
        <w:r w:rsidR="009156CD">
          <w:rPr>
            <w:noProof/>
            <w:webHidden/>
          </w:rPr>
        </w:r>
        <w:r w:rsidR="009156CD">
          <w:rPr>
            <w:noProof/>
            <w:webHidden/>
          </w:rPr>
          <w:fldChar w:fldCharType="separate"/>
        </w:r>
        <w:r w:rsidR="009156CD">
          <w:rPr>
            <w:noProof/>
            <w:webHidden/>
          </w:rPr>
          <w:t>11</w:t>
        </w:r>
        <w:r w:rsidR="009156CD">
          <w:rPr>
            <w:noProof/>
            <w:webHidden/>
          </w:rPr>
          <w:fldChar w:fldCharType="end"/>
        </w:r>
      </w:hyperlink>
    </w:p>
    <w:p w14:paraId="4B5D643A" w14:textId="33D6E267" w:rsidR="009156CD" w:rsidRDefault="00000000">
      <w:pPr>
        <w:pStyle w:val="TOC2"/>
        <w:rPr>
          <w:rFonts w:asciiTheme="minorHAnsi" w:eastAsiaTheme="minorEastAsia" w:hAnsiTheme="minorHAnsi" w:cstheme="minorBidi"/>
          <w:noProof/>
          <w:szCs w:val="22"/>
          <w:lang w:eastAsia="en-GB"/>
        </w:rPr>
      </w:pPr>
      <w:hyperlink w:anchor="_Toc57912682" w:history="1">
        <w:r w:rsidR="009156CD" w:rsidRPr="008059E8">
          <w:rPr>
            <w:rStyle w:val="Hyperlink"/>
            <w:noProof/>
          </w:rPr>
          <w:t>2.4</w:t>
        </w:r>
        <w:r w:rsidR="009156CD">
          <w:rPr>
            <w:rFonts w:asciiTheme="minorHAnsi" w:eastAsiaTheme="minorEastAsia" w:hAnsiTheme="minorHAnsi" w:cstheme="minorBidi"/>
            <w:noProof/>
            <w:szCs w:val="22"/>
            <w:lang w:eastAsia="en-GB"/>
          </w:rPr>
          <w:tab/>
        </w:r>
        <w:r w:rsidR="009156CD" w:rsidRPr="008059E8">
          <w:rPr>
            <w:rStyle w:val="Hyperlink"/>
            <w:noProof/>
          </w:rPr>
          <w:t>Exclusions</w:t>
        </w:r>
        <w:r w:rsidR="009156CD">
          <w:rPr>
            <w:noProof/>
            <w:webHidden/>
          </w:rPr>
          <w:tab/>
        </w:r>
        <w:r w:rsidR="009156CD">
          <w:rPr>
            <w:noProof/>
            <w:webHidden/>
          </w:rPr>
          <w:fldChar w:fldCharType="begin"/>
        </w:r>
        <w:r w:rsidR="009156CD">
          <w:rPr>
            <w:noProof/>
            <w:webHidden/>
          </w:rPr>
          <w:instrText xml:space="preserve"> PAGEREF _Toc57912682 \h </w:instrText>
        </w:r>
        <w:r w:rsidR="009156CD">
          <w:rPr>
            <w:noProof/>
            <w:webHidden/>
          </w:rPr>
        </w:r>
        <w:r w:rsidR="009156CD">
          <w:rPr>
            <w:noProof/>
            <w:webHidden/>
          </w:rPr>
          <w:fldChar w:fldCharType="separate"/>
        </w:r>
        <w:r w:rsidR="009156CD">
          <w:rPr>
            <w:noProof/>
            <w:webHidden/>
          </w:rPr>
          <w:t>12</w:t>
        </w:r>
        <w:r w:rsidR="009156CD">
          <w:rPr>
            <w:noProof/>
            <w:webHidden/>
          </w:rPr>
          <w:fldChar w:fldCharType="end"/>
        </w:r>
      </w:hyperlink>
    </w:p>
    <w:p w14:paraId="58DADE15" w14:textId="101A9B50" w:rsidR="009156CD" w:rsidRDefault="00000000">
      <w:pPr>
        <w:pStyle w:val="TOC2"/>
        <w:rPr>
          <w:rFonts w:asciiTheme="minorHAnsi" w:eastAsiaTheme="minorEastAsia" w:hAnsiTheme="minorHAnsi" w:cstheme="minorBidi"/>
          <w:noProof/>
          <w:szCs w:val="22"/>
          <w:lang w:eastAsia="en-GB"/>
        </w:rPr>
      </w:pPr>
      <w:hyperlink w:anchor="_Toc57912683" w:history="1">
        <w:r w:rsidR="009156CD" w:rsidRPr="008059E8">
          <w:rPr>
            <w:rStyle w:val="Hyperlink"/>
            <w:noProof/>
          </w:rPr>
          <w:t>2.5</w:t>
        </w:r>
        <w:r w:rsidR="009156CD">
          <w:rPr>
            <w:rFonts w:asciiTheme="minorHAnsi" w:eastAsiaTheme="minorEastAsia" w:hAnsiTheme="minorHAnsi" w:cstheme="minorBidi"/>
            <w:noProof/>
            <w:szCs w:val="22"/>
            <w:lang w:eastAsia="en-GB"/>
          </w:rPr>
          <w:tab/>
        </w:r>
        <w:r w:rsidR="009156CD" w:rsidRPr="008059E8">
          <w:rPr>
            <w:rStyle w:val="Hyperlink"/>
            <w:noProof/>
          </w:rPr>
          <w:t>Update of this TAG</w:t>
        </w:r>
        <w:r w:rsidR="009156CD">
          <w:rPr>
            <w:noProof/>
            <w:webHidden/>
          </w:rPr>
          <w:tab/>
        </w:r>
        <w:r w:rsidR="009156CD">
          <w:rPr>
            <w:noProof/>
            <w:webHidden/>
          </w:rPr>
          <w:fldChar w:fldCharType="begin"/>
        </w:r>
        <w:r w:rsidR="009156CD">
          <w:rPr>
            <w:noProof/>
            <w:webHidden/>
          </w:rPr>
          <w:instrText xml:space="preserve"> PAGEREF _Toc57912683 \h </w:instrText>
        </w:r>
        <w:r w:rsidR="009156CD">
          <w:rPr>
            <w:noProof/>
            <w:webHidden/>
          </w:rPr>
        </w:r>
        <w:r w:rsidR="009156CD">
          <w:rPr>
            <w:noProof/>
            <w:webHidden/>
          </w:rPr>
          <w:fldChar w:fldCharType="separate"/>
        </w:r>
        <w:r w:rsidR="009156CD">
          <w:rPr>
            <w:noProof/>
            <w:webHidden/>
          </w:rPr>
          <w:t>14</w:t>
        </w:r>
        <w:r w:rsidR="009156CD">
          <w:rPr>
            <w:noProof/>
            <w:webHidden/>
          </w:rPr>
          <w:fldChar w:fldCharType="end"/>
        </w:r>
      </w:hyperlink>
    </w:p>
    <w:p w14:paraId="5F86C3BD" w14:textId="1425F2FD" w:rsidR="009156CD" w:rsidRDefault="00000000">
      <w:pPr>
        <w:pStyle w:val="TOC1"/>
        <w:rPr>
          <w:rFonts w:asciiTheme="minorHAnsi" w:eastAsiaTheme="minorEastAsia" w:hAnsiTheme="minorHAnsi" w:cstheme="minorBidi"/>
          <w:caps w:val="0"/>
          <w:noProof/>
          <w:szCs w:val="22"/>
          <w:lang w:eastAsia="en-GB"/>
        </w:rPr>
      </w:pPr>
      <w:hyperlink w:anchor="_Toc57912684" w:history="1">
        <w:r w:rsidR="009156CD" w:rsidRPr="008059E8">
          <w:rPr>
            <w:rStyle w:val="Hyperlink"/>
            <w:rFonts w:cs="Arial"/>
            <w:noProof/>
          </w:rPr>
          <w:t>3</w:t>
        </w:r>
        <w:r w:rsidR="009156CD">
          <w:rPr>
            <w:rFonts w:asciiTheme="minorHAnsi" w:eastAsiaTheme="minorEastAsia" w:hAnsiTheme="minorHAnsi" w:cstheme="minorBidi"/>
            <w:caps w:val="0"/>
            <w:noProof/>
            <w:szCs w:val="22"/>
            <w:lang w:eastAsia="en-GB"/>
          </w:rPr>
          <w:tab/>
        </w:r>
        <w:r w:rsidR="009156CD" w:rsidRPr="008059E8">
          <w:rPr>
            <w:rStyle w:val="Hyperlink"/>
            <w:noProof/>
          </w:rPr>
          <w:t>RELATIONSHIP TO LICENCE CONDITIONS &amp; OTHER RELEVANT LEGISLATION</w:t>
        </w:r>
        <w:r w:rsidR="009156CD">
          <w:rPr>
            <w:noProof/>
            <w:webHidden/>
          </w:rPr>
          <w:tab/>
        </w:r>
        <w:r w:rsidR="009156CD">
          <w:rPr>
            <w:noProof/>
            <w:webHidden/>
          </w:rPr>
          <w:fldChar w:fldCharType="begin"/>
        </w:r>
        <w:r w:rsidR="009156CD">
          <w:rPr>
            <w:noProof/>
            <w:webHidden/>
          </w:rPr>
          <w:instrText xml:space="preserve"> PAGEREF _Toc57912684 \h </w:instrText>
        </w:r>
        <w:r w:rsidR="009156CD">
          <w:rPr>
            <w:noProof/>
            <w:webHidden/>
          </w:rPr>
        </w:r>
        <w:r w:rsidR="009156CD">
          <w:rPr>
            <w:noProof/>
            <w:webHidden/>
          </w:rPr>
          <w:fldChar w:fldCharType="separate"/>
        </w:r>
        <w:r w:rsidR="009156CD">
          <w:rPr>
            <w:noProof/>
            <w:webHidden/>
          </w:rPr>
          <w:t>14</w:t>
        </w:r>
        <w:r w:rsidR="009156CD">
          <w:rPr>
            <w:noProof/>
            <w:webHidden/>
          </w:rPr>
          <w:fldChar w:fldCharType="end"/>
        </w:r>
      </w:hyperlink>
    </w:p>
    <w:p w14:paraId="50100A04" w14:textId="065D9CB5" w:rsidR="009156CD" w:rsidRDefault="00000000">
      <w:pPr>
        <w:pStyle w:val="TOC2"/>
        <w:rPr>
          <w:rFonts w:asciiTheme="minorHAnsi" w:eastAsiaTheme="minorEastAsia" w:hAnsiTheme="minorHAnsi" w:cstheme="minorBidi"/>
          <w:noProof/>
          <w:szCs w:val="22"/>
          <w:lang w:eastAsia="en-GB"/>
        </w:rPr>
      </w:pPr>
      <w:hyperlink w:anchor="_Toc57912685" w:history="1">
        <w:r w:rsidR="009156CD" w:rsidRPr="008059E8">
          <w:rPr>
            <w:rStyle w:val="Hyperlink"/>
            <w:noProof/>
          </w:rPr>
          <w:t>3.1</w:t>
        </w:r>
        <w:r w:rsidR="009156CD">
          <w:rPr>
            <w:rFonts w:asciiTheme="minorHAnsi" w:eastAsiaTheme="minorEastAsia" w:hAnsiTheme="minorHAnsi" w:cstheme="minorBidi"/>
            <w:noProof/>
            <w:szCs w:val="22"/>
            <w:lang w:eastAsia="en-GB"/>
          </w:rPr>
          <w:tab/>
        </w:r>
        <w:r w:rsidR="009156CD" w:rsidRPr="008059E8">
          <w:rPr>
            <w:rStyle w:val="Hyperlink"/>
            <w:noProof/>
          </w:rPr>
          <w:t>Licence Conditions</w:t>
        </w:r>
        <w:r w:rsidR="009156CD">
          <w:rPr>
            <w:noProof/>
            <w:webHidden/>
          </w:rPr>
          <w:tab/>
        </w:r>
        <w:r w:rsidR="009156CD">
          <w:rPr>
            <w:noProof/>
            <w:webHidden/>
          </w:rPr>
          <w:fldChar w:fldCharType="begin"/>
        </w:r>
        <w:r w:rsidR="009156CD">
          <w:rPr>
            <w:noProof/>
            <w:webHidden/>
          </w:rPr>
          <w:instrText xml:space="preserve"> PAGEREF _Toc57912685 \h </w:instrText>
        </w:r>
        <w:r w:rsidR="009156CD">
          <w:rPr>
            <w:noProof/>
            <w:webHidden/>
          </w:rPr>
        </w:r>
        <w:r w:rsidR="009156CD">
          <w:rPr>
            <w:noProof/>
            <w:webHidden/>
          </w:rPr>
          <w:fldChar w:fldCharType="separate"/>
        </w:r>
        <w:r w:rsidR="009156CD">
          <w:rPr>
            <w:noProof/>
            <w:webHidden/>
          </w:rPr>
          <w:t>14</w:t>
        </w:r>
        <w:r w:rsidR="009156CD">
          <w:rPr>
            <w:noProof/>
            <w:webHidden/>
          </w:rPr>
          <w:fldChar w:fldCharType="end"/>
        </w:r>
      </w:hyperlink>
    </w:p>
    <w:p w14:paraId="125D2BEC" w14:textId="1A02C3F6" w:rsidR="009156CD" w:rsidRDefault="00000000">
      <w:pPr>
        <w:pStyle w:val="TOC2"/>
        <w:rPr>
          <w:rFonts w:asciiTheme="minorHAnsi" w:eastAsiaTheme="minorEastAsia" w:hAnsiTheme="minorHAnsi" w:cstheme="minorBidi"/>
          <w:noProof/>
          <w:szCs w:val="22"/>
          <w:lang w:eastAsia="en-GB"/>
        </w:rPr>
      </w:pPr>
      <w:hyperlink w:anchor="_Toc57912686" w:history="1">
        <w:r w:rsidR="009156CD" w:rsidRPr="008059E8">
          <w:rPr>
            <w:rStyle w:val="Hyperlink"/>
            <w:noProof/>
          </w:rPr>
          <w:t>3.2</w:t>
        </w:r>
        <w:r w:rsidR="009156CD">
          <w:rPr>
            <w:rFonts w:asciiTheme="minorHAnsi" w:eastAsiaTheme="minorEastAsia" w:hAnsiTheme="minorHAnsi" w:cstheme="minorBidi"/>
            <w:noProof/>
            <w:szCs w:val="22"/>
            <w:lang w:eastAsia="en-GB"/>
          </w:rPr>
          <w:tab/>
        </w:r>
        <w:r w:rsidR="009156CD" w:rsidRPr="008059E8">
          <w:rPr>
            <w:rStyle w:val="Hyperlink"/>
            <w:noProof/>
          </w:rPr>
          <w:t>Other Relevant Legislation</w:t>
        </w:r>
        <w:r w:rsidR="009156CD">
          <w:rPr>
            <w:noProof/>
            <w:webHidden/>
          </w:rPr>
          <w:tab/>
        </w:r>
        <w:r w:rsidR="009156CD">
          <w:rPr>
            <w:noProof/>
            <w:webHidden/>
          </w:rPr>
          <w:fldChar w:fldCharType="begin"/>
        </w:r>
        <w:r w:rsidR="009156CD">
          <w:rPr>
            <w:noProof/>
            <w:webHidden/>
          </w:rPr>
          <w:instrText xml:space="preserve"> PAGEREF _Toc57912686 \h </w:instrText>
        </w:r>
        <w:r w:rsidR="009156CD">
          <w:rPr>
            <w:noProof/>
            <w:webHidden/>
          </w:rPr>
        </w:r>
        <w:r w:rsidR="009156CD">
          <w:rPr>
            <w:noProof/>
            <w:webHidden/>
          </w:rPr>
          <w:fldChar w:fldCharType="separate"/>
        </w:r>
        <w:r w:rsidR="009156CD">
          <w:rPr>
            <w:noProof/>
            <w:webHidden/>
          </w:rPr>
          <w:t>15</w:t>
        </w:r>
        <w:r w:rsidR="009156CD">
          <w:rPr>
            <w:noProof/>
            <w:webHidden/>
          </w:rPr>
          <w:fldChar w:fldCharType="end"/>
        </w:r>
      </w:hyperlink>
    </w:p>
    <w:p w14:paraId="1B6AC8DD" w14:textId="10C9B535" w:rsidR="009156CD" w:rsidRDefault="00000000">
      <w:pPr>
        <w:pStyle w:val="TOC2"/>
        <w:rPr>
          <w:rFonts w:asciiTheme="minorHAnsi" w:eastAsiaTheme="minorEastAsia" w:hAnsiTheme="minorHAnsi" w:cstheme="minorBidi"/>
          <w:noProof/>
          <w:szCs w:val="22"/>
          <w:lang w:eastAsia="en-GB"/>
        </w:rPr>
      </w:pPr>
      <w:hyperlink w:anchor="_Toc57912687" w:history="1">
        <w:r w:rsidR="009156CD" w:rsidRPr="008059E8">
          <w:rPr>
            <w:rStyle w:val="Hyperlink"/>
            <w:noProof/>
          </w:rPr>
          <w:t>3.3</w:t>
        </w:r>
        <w:r w:rsidR="009156CD">
          <w:rPr>
            <w:rFonts w:asciiTheme="minorHAnsi" w:eastAsiaTheme="minorEastAsia" w:hAnsiTheme="minorHAnsi" w:cstheme="minorBidi"/>
            <w:noProof/>
            <w:szCs w:val="22"/>
            <w:lang w:eastAsia="en-GB"/>
          </w:rPr>
          <w:tab/>
        </w:r>
        <w:r w:rsidR="009156CD" w:rsidRPr="008059E8">
          <w:rPr>
            <w:rStyle w:val="Hyperlink"/>
            <w:noProof/>
          </w:rPr>
          <w:t>Health and Safety at Work etc. Act 1974 (HSWA)</w:t>
        </w:r>
        <w:r w:rsidR="009156CD">
          <w:rPr>
            <w:noProof/>
            <w:webHidden/>
          </w:rPr>
          <w:tab/>
        </w:r>
        <w:r w:rsidR="009156CD">
          <w:rPr>
            <w:noProof/>
            <w:webHidden/>
          </w:rPr>
          <w:fldChar w:fldCharType="begin"/>
        </w:r>
        <w:r w:rsidR="009156CD">
          <w:rPr>
            <w:noProof/>
            <w:webHidden/>
          </w:rPr>
          <w:instrText xml:space="preserve"> PAGEREF _Toc57912687 \h </w:instrText>
        </w:r>
        <w:r w:rsidR="009156CD">
          <w:rPr>
            <w:noProof/>
            <w:webHidden/>
          </w:rPr>
        </w:r>
        <w:r w:rsidR="009156CD">
          <w:rPr>
            <w:noProof/>
            <w:webHidden/>
          </w:rPr>
          <w:fldChar w:fldCharType="separate"/>
        </w:r>
        <w:r w:rsidR="009156CD">
          <w:rPr>
            <w:noProof/>
            <w:webHidden/>
          </w:rPr>
          <w:t>15</w:t>
        </w:r>
        <w:r w:rsidR="009156CD">
          <w:rPr>
            <w:noProof/>
            <w:webHidden/>
          </w:rPr>
          <w:fldChar w:fldCharType="end"/>
        </w:r>
      </w:hyperlink>
    </w:p>
    <w:p w14:paraId="6AA88EBD" w14:textId="157D8A27" w:rsidR="009156CD" w:rsidRDefault="00000000">
      <w:pPr>
        <w:pStyle w:val="TOC2"/>
        <w:rPr>
          <w:rFonts w:asciiTheme="minorHAnsi" w:eastAsiaTheme="minorEastAsia" w:hAnsiTheme="minorHAnsi" w:cstheme="minorBidi"/>
          <w:noProof/>
          <w:szCs w:val="22"/>
          <w:lang w:eastAsia="en-GB"/>
        </w:rPr>
      </w:pPr>
      <w:hyperlink w:anchor="_Toc57912688" w:history="1">
        <w:r w:rsidR="009156CD" w:rsidRPr="008059E8">
          <w:rPr>
            <w:rStyle w:val="Hyperlink"/>
            <w:noProof/>
          </w:rPr>
          <w:t>3.4</w:t>
        </w:r>
        <w:r w:rsidR="009156CD">
          <w:rPr>
            <w:rFonts w:asciiTheme="minorHAnsi" w:eastAsiaTheme="minorEastAsia" w:hAnsiTheme="minorHAnsi" w:cstheme="minorBidi"/>
            <w:noProof/>
            <w:szCs w:val="22"/>
            <w:lang w:eastAsia="en-GB"/>
          </w:rPr>
          <w:tab/>
        </w:r>
        <w:r w:rsidR="009156CD" w:rsidRPr="008059E8">
          <w:rPr>
            <w:rStyle w:val="Hyperlink"/>
            <w:noProof/>
          </w:rPr>
          <w:t>The Construction (Design and Management) Regulations 2015 (CDM2015)</w:t>
        </w:r>
        <w:r w:rsidR="009156CD">
          <w:rPr>
            <w:noProof/>
            <w:webHidden/>
          </w:rPr>
          <w:tab/>
        </w:r>
        <w:r w:rsidR="009156CD">
          <w:rPr>
            <w:noProof/>
            <w:webHidden/>
          </w:rPr>
          <w:fldChar w:fldCharType="begin"/>
        </w:r>
        <w:r w:rsidR="009156CD">
          <w:rPr>
            <w:noProof/>
            <w:webHidden/>
          </w:rPr>
          <w:instrText xml:space="preserve"> PAGEREF _Toc57912688 \h </w:instrText>
        </w:r>
        <w:r w:rsidR="009156CD">
          <w:rPr>
            <w:noProof/>
            <w:webHidden/>
          </w:rPr>
        </w:r>
        <w:r w:rsidR="009156CD">
          <w:rPr>
            <w:noProof/>
            <w:webHidden/>
          </w:rPr>
          <w:fldChar w:fldCharType="separate"/>
        </w:r>
        <w:r w:rsidR="009156CD">
          <w:rPr>
            <w:noProof/>
            <w:webHidden/>
          </w:rPr>
          <w:t>17</w:t>
        </w:r>
        <w:r w:rsidR="009156CD">
          <w:rPr>
            <w:noProof/>
            <w:webHidden/>
          </w:rPr>
          <w:fldChar w:fldCharType="end"/>
        </w:r>
      </w:hyperlink>
    </w:p>
    <w:p w14:paraId="5F78DB4D" w14:textId="5C5BB2F7" w:rsidR="009156CD" w:rsidRDefault="00000000">
      <w:pPr>
        <w:pStyle w:val="TOC2"/>
        <w:rPr>
          <w:rFonts w:asciiTheme="minorHAnsi" w:eastAsiaTheme="minorEastAsia" w:hAnsiTheme="minorHAnsi" w:cstheme="minorBidi"/>
          <w:noProof/>
          <w:szCs w:val="22"/>
          <w:lang w:eastAsia="en-GB"/>
        </w:rPr>
      </w:pPr>
      <w:hyperlink w:anchor="_Toc57912689" w:history="1">
        <w:r w:rsidR="009156CD" w:rsidRPr="008059E8">
          <w:rPr>
            <w:rStyle w:val="Hyperlink"/>
            <w:noProof/>
          </w:rPr>
          <w:t>3.5</w:t>
        </w:r>
        <w:r w:rsidR="009156CD">
          <w:rPr>
            <w:rFonts w:asciiTheme="minorHAnsi" w:eastAsiaTheme="minorEastAsia" w:hAnsiTheme="minorHAnsi" w:cstheme="minorBidi"/>
            <w:noProof/>
            <w:szCs w:val="22"/>
            <w:lang w:eastAsia="en-GB"/>
          </w:rPr>
          <w:tab/>
        </w:r>
        <w:r w:rsidR="009156CD" w:rsidRPr="008059E8">
          <w:rPr>
            <w:rStyle w:val="Hyperlink"/>
            <w:noProof/>
          </w:rPr>
          <w:t>Other Legislation</w:t>
        </w:r>
        <w:r w:rsidR="009156CD">
          <w:rPr>
            <w:noProof/>
            <w:webHidden/>
          </w:rPr>
          <w:tab/>
        </w:r>
        <w:r w:rsidR="009156CD">
          <w:rPr>
            <w:noProof/>
            <w:webHidden/>
          </w:rPr>
          <w:fldChar w:fldCharType="begin"/>
        </w:r>
        <w:r w:rsidR="009156CD">
          <w:rPr>
            <w:noProof/>
            <w:webHidden/>
          </w:rPr>
          <w:instrText xml:space="preserve"> PAGEREF _Toc57912689 \h </w:instrText>
        </w:r>
        <w:r w:rsidR="009156CD">
          <w:rPr>
            <w:noProof/>
            <w:webHidden/>
          </w:rPr>
        </w:r>
        <w:r w:rsidR="009156CD">
          <w:rPr>
            <w:noProof/>
            <w:webHidden/>
          </w:rPr>
          <w:fldChar w:fldCharType="separate"/>
        </w:r>
        <w:r w:rsidR="009156CD">
          <w:rPr>
            <w:noProof/>
            <w:webHidden/>
          </w:rPr>
          <w:t>18</w:t>
        </w:r>
        <w:r w:rsidR="009156CD">
          <w:rPr>
            <w:noProof/>
            <w:webHidden/>
          </w:rPr>
          <w:fldChar w:fldCharType="end"/>
        </w:r>
      </w:hyperlink>
    </w:p>
    <w:p w14:paraId="3A81EF5E" w14:textId="1F95D757" w:rsidR="009156CD" w:rsidRDefault="00000000">
      <w:pPr>
        <w:pStyle w:val="TOC1"/>
        <w:rPr>
          <w:rFonts w:asciiTheme="minorHAnsi" w:eastAsiaTheme="minorEastAsia" w:hAnsiTheme="minorHAnsi" w:cstheme="minorBidi"/>
          <w:caps w:val="0"/>
          <w:noProof/>
          <w:szCs w:val="22"/>
          <w:lang w:eastAsia="en-GB"/>
        </w:rPr>
      </w:pPr>
      <w:hyperlink w:anchor="_Toc57912690" w:history="1">
        <w:r w:rsidR="009156CD" w:rsidRPr="008059E8">
          <w:rPr>
            <w:rStyle w:val="Hyperlink"/>
            <w:rFonts w:cs="Arial"/>
            <w:noProof/>
          </w:rPr>
          <w:t>4</w:t>
        </w:r>
        <w:r w:rsidR="009156CD">
          <w:rPr>
            <w:rFonts w:asciiTheme="minorHAnsi" w:eastAsiaTheme="minorEastAsia" w:hAnsiTheme="minorHAnsi" w:cstheme="minorBidi"/>
            <w:caps w:val="0"/>
            <w:noProof/>
            <w:szCs w:val="22"/>
            <w:lang w:eastAsia="en-GB"/>
          </w:rPr>
          <w:tab/>
        </w:r>
        <w:r w:rsidR="009156CD" w:rsidRPr="008059E8">
          <w:rPr>
            <w:rStyle w:val="Hyperlink"/>
            <w:noProof/>
          </w:rPr>
          <w:t>RELATIONSHIP of SAFETY ASSESSMENT PRINCPLES (sAPS), WENRA REFERENCE LEVELS AND IAEA SAFETY STANDARDS</w:t>
        </w:r>
        <w:r w:rsidR="009156CD">
          <w:rPr>
            <w:noProof/>
            <w:webHidden/>
          </w:rPr>
          <w:tab/>
        </w:r>
        <w:r w:rsidR="009156CD">
          <w:rPr>
            <w:noProof/>
            <w:webHidden/>
          </w:rPr>
          <w:fldChar w:fldCharType="begin"/>
        </w:r>
        <w:r w:rsidR="009156CD">
          <w:rPr>
            <w:noProof/>
            <w:webHidden/>
          </w:rPr>
          <w:instrText xml:space="preserve"> PAGEREF _Toc57912690 \h </w:instrText>
        </w:r>
        <w:r w:rsidR="009156CD">
          <w:rPr>
            <w:noProof/>
            <w:webHidden/>
          </w:rPr>
        </w:r>
        <w:r w:rsidR="009156CD">
          <w:rPr>
            <w:noProof/>
            <w:webHidden/>
          </w:rPr>
          <w:fldChar w:fldCharType="separate"/>
        </w:r>
        <w:r w:rsidR="009156CD">
          <w:rPr>
            <w:noProof/>
            <w:webHidden/>
          </w:rPr>
          <w:t>19</w:t>
        </w:r>
        <w:r w:rsidR="009156CD">
          <w:rPr>
            <w:noProof/>
            <w:webHidden/>
          </w:rPr>
          <w:fldChar w:fldCharType="end"/>
        </w:r>
      </w:hyperlink>
    </w:p>
    <w:p w14:paraId="25C8AD2F" w14:textId="158702F4" w:rsidR="009156CD" w:rsidRDefault="00000000">
      <w:pPr>
        <w:pStyle w:val="TOC2"/>
        <w:rPr>
          <w:rFonts w:asciiTheme="minorHAnsi" w:eastAsiaTheme="minorEastAsia" w:hAnsiTheme="minorHAnsi" w:cstheme="minorBidi"/>
          <w:noProof/>
          <w:szCs w:val="22"/>
          <w:lang w:eastAsia="en-GB"/>
        </w:rPr>
      </w:pPr>
      <w:hyperlink w:anchor="_Toc57912691" w:history="1">
        <w:r w:rsidR="009156CD" w:rsidRPr="008059E8">
          <w:rPr>
            <w:rStyle w:val="Hyperlink"/>
            <w:noProof/>
          </w:rPr>
          <w:t>4.1</w:t>
        </w:r>
        <w:r w:rsidR="009156CD">
          <w:rPr>
            <w:rFonts w:asciiTheme="minorHAnsi" w:eastAsiaTheme="minorEastAsia" w:hAnsiTheme="minorHAnsi" w:cstheme="minorBidi"/>
            <w:noProof/>
            <w:szCs w:val="22"/>
            <w:lang w:eastAsia="en-GB"/>
          </w:rPr>
          <w:tab/>
        </w:r>
        <w:r w:rsidR="009156CD" w:rsidRPr="008059E8">
          <w:rPr>
            <w:rStyle w:val="Hyperlink"/>
            <w:noProof/>
          </w:rPr>
          <w:t>Safety Assessment Principles (SAPs)</w:t>
        </w:r>
        <w:r w:rsidR="009156CD">
          <w:rPr>
            <w:noProof/>
            <w:webHidden/>
          </w:rPr>
          <w:tab/>
        </w:r>
        <w:r w:rsidR="009156CD">
          <w:rPr>
            <w:noProof/>
            <w:webHidden/>
          </w:rPr>
          <w:fldChar w:fldCharType="begin"/>
        </w:r>
        <w:r w:rsidR="009156CD">
          <w:rPr>
            <w:noProof/>
            <w:webHidden/>
          </w:rPr>
          <w:instrText xml:space="preserve"> PAGEREF _Toc57912691 \h </w:instrText>
        </w:r>
        <w:r w:rsidR="009156CD">
          <w:rPr>
            <w:noProof/>
            <w:webHidden/>
          </w:rPr>
        </w:r>
        <w:r w:rsidR="009156CD">
          <w:rPr>
            <w:noProof/>
            <w:webHidden/>
          </w:rPr>
          <w:fldChar w:fldCharType="separate"/>
        </w:r>
        <w:r w:rsidR="009156CD">
          <w:rPr>
            <w:noProof/>
            <w:webHidden/>
          </w:rPr>
          <w:t>19</w:t>
        </w:r>
        <w:r w:rsidR="009156CD">
          <w:rPr>
            <w:noProof/>
            <w:webHidden/>
          </w:rPr>
          <w:fldChar w:fldCharType="end"/>
        </w:r>
      </w:hyperlink>
    </w:p>
    <w:p w14:paraId="1EA8BB38" w14:textId="318D7B26" w:rsidR="009156CD" w:rsidRDefault="00000000">
      <w:pPr>
        <w:pStyle w:val="TOC2"/>
        <w:rPr>
          <w:rFonts w:asciiTheme="minorHAnsi" w:eastAsiaTheme="minorEastAsia" w:hAnsiTheme="minorHAnsi" w:cstheme="minorBidi"/>
          <w:noProof/>
          <w:szCs w:val="22"/>
          <w:lang w:eastAsia="en-GB"/>
        </w:rPr>
      </w:pPr>
      <w:hyperlink w:anchor="_Toc57912692" w:history="1">
        <w:r w:rsidR="009156CD" w:rsidRPr="008059E8">
          <w:rPr>
            <w:rStyle w:val="Hyperlink"/>
            <w:noProof/>
          </w:rPr>
          <w:t>4.2</w:t>
        </w:r>
        <w:r w:rsidR="009156CD">
          <w:rPr>
            <w:rFonts w:asciiTheme="minorHAnsi" w:eastAsiaTheme="minorEastAsia" w:hAnsiTheme="minorHAnsi" w:cstheme="minorBidi"/>
            <w:noProof/>
            <w:szCs w:val="22"/>
            <w:lang w:eastAsia="en-GB"/>
          </w:rPr>
          <w:tab/>
        </w:r>
        <w:r w:rsidR="009156CD" w:rsidRPr="008059E8">
          <w:rPr>
            <w:rStyle w:val="Hyperlink"/>
            <w:noProof/>
          </w:rPr>
          <w:t>Fundamental Assessment Principles</w:t>
        </w:r>
        <w:r w:rsidR="009156CD">
          <w:rPr>
            <w:noProof/>
            <w:webHidden/>
          </w:rPr>
          <w:tab/>
        </w:r>
        <w:r w:rsidR="009156CD">
          <w:rPr>
            <w:noProof/>
            <w:webHidden/>
          </w:rPr>
          <w:fldChar w:fldCharType="begin"/>
        </w:r>
        <w:r w:rsidR="009156CD">
          <w:rPr>
            <w:noProof/>
            <w:webHidden/>
          </w:rPr>
          <w:instrText xml:space="preserve"> PAGEREF _Toc57912692 \h </w:instrText>
        </w:r>
        <w:r w:rsidR="009156CD">
          <w:rPr>
            <w:noProof/>
            <w:webHidden/>
          </w:rPr>
        </w:r>
        <w:r w:rsidR="009156CD">
          <w:rPr>
            <w:noProof/>
            <w:webHidden/>
          </w:rPr>
          <w:fldChar w:fldCharType="separate"/>
        </w:r>
        <w:r w:rsidR="009156CD">
          <w:rPr>
            <w:noProof/>
            <w:webHidden/>
          </w:rPr>
          <w:t>20</w:t>
        </w:r>
        <w:r w:rsidR="009156CD">
          <w:rPr>
            <w:noProof/>
            <w:webHidden/>
          </w:rPr>
          <w:fldChar w:fldCharType="end"/>
        </w:r>
      </w:hyperlink>
    </w:p>
    <w:p w14:paraId="4A231056" w14:textId="0DCE28B8" w:rsidR="009156CD" w:rsidRDefault="00000000">
      <w:pPr>
        <w:pStyle w:val="TOC2"/>
        <w:rPr>
          <w:rFonts w:asciiTheme="minorHAnsi" w:eastAsiaTheme="minorEastAsia" w:hAnsiTheme="minorHAnsi" w:cstheme="minorBidi"/>
          <w:noProof/>
          <w:szCs w:val="22"/>
          <w:lang w:eastAsia="en-GB"/>
        </w:rPr>
      </w:pPr>
      <w:hyperlink w:anchor="_Toc57912693" w:history="1">
        <w:r w:rsidR="009156CD" w:rsidRPr="008059E8">
          <w:rPr>
            <w:rStyle w:val="Hyperlink"/>
            <w:noProof/>
          </w:rPr>
          <w:t>4.3</w:t>
        </w:r>
        <w:r w:rsidR="009156CD">
          <w:rPr>
            <w:rFonts w:asciiTheme="minorHAnsi" w:eastAsiaTheme="minorEastAsia" w:hAnsiTheme="minorHAnsi" w:cstheme="minorBidi"/>
            <w:noProof/>
            <w:szCs w:val="22"/>
            <w:lang w:eastAsia="en-GB"/>
          </w:rPr>
          <w:tab/>
        </w:r>
        <w:r w:rsidR="009156CD" w:rsidRPr="008059E8">
          <w:rPr>
            <w:rStyle w:val="Hyperlink"/>
            <w:noProof/>
          </w:rPr>
          <w:t>Civil Engineering SAPs</w:t>
        </w:r>
        <w:r w:rsidR="009156CD">
          <w:rPr>
            <w:noProof/>
            <w:webHidden/>
          </w:rPr>
          <w:tab/>
        </w:r>
        <w:r w:rsidR="009156CD">
          <w:rPr>
            <w:noProof/>
            <w:webHidden/>
          </w:rPr>
          <w:fldChar w:fldCharType="begin"/>
        </w:r>
        <w:r w:rsidR="009156CD">
          <w:rPr>
            <w:noProof/>
            <w:webHidden/>
          </w:rPr>
          <w:instrText xml:space="preserve"> PAGEREF _Toc57912693 \h </w:instrText>
        </w:r>
        <w:r w:rsidR="009156CD">
          <w:rPr>
            <w:noProof/>
            <w:webHidden/>
          </w:rPr>
        </w:r>
        <w:r w:rsidR="009156CD">
          <w:rPr>
            <w:noProof/>
            <w:webHidden/>
          </w:rPr>
          <w:fldChar w:fldCharType="separate"/>
        </w:r>
        <w:r w:rsidR="009156CD">
          <w:rPr>
            <w:noProof/>
            <w:webHidden/>
          </w:rPr>
          <w:t>20</w:t>
        </w:r>
        <w:r w:rsidR="009156CD">
          <w:rPr>
            <w:noProof/>
            <w:webHidden/>
          </w:rPr>
          <w:fldChar w:fldCharType="end"/>
        </w:r>
      </w:hyperlink>
    </w:p>
    <w:p w14:paraId="3E368789" w14:textId="221FF27E" w:rsidR="009156CD" w:rsidRDefault="00000000">
      <w:pPr>
        <w:pStyle w:val="TOC2"/>
        <w:rPr>
          <w:rFonts w:asciiTheme="minorHAnsi" w:eastAsiaTheme="minorEastAsia" w:hAnsiTheme="minorHAnsi" w:cstheme="minorBidi"/>
          <w:noProof/>
          <w:szCs w:val="22"/>
          <w:lang w:eastAsia="en-GB"/>
        </w:rPr>
      </w:pPr>
      <w:hyperlink w:anchor="_Toc57912694" w:history="1">
        <w:r w:rsidR="009156CD" w:rsidRPr="008059E8">
          <w:rPr>
            <w:rStyle w:val="Hyperlink"/>
            <w:noProof/>
          </w:rPr>
          <w:t>4.4</w:t>
        </w:r>
        <w:r w:rsidR="009156CD">
          <w:rPr>
            <w:rFonts w:asciiTheme="minorHAnsi" w:eastAsiaTheme="minorEastAsia" w:hAnsiTheme="minorHAnsi" w:cstheme="minorBidi"/>
            <w:noProof/>
            <w:szCs w:val="22"/>
            <w:lang w:eastAsia="en-GB"/>
          </w:rPr>
          <w:tab/>
        </w:r>
        <w:r w:rsidR="009156CD" w:rsidRPr="008059E8">
          <w:rPr>
            <w:rStyle w:val="Hyperlink"/>
            <w:noProof/>
          </w:rPr>
          <w:t>Other SAPs relevant to Civil Engineering</w:t>
        </w:r>
        <w:r w:rsidR="009156CD">
          <w:rPr>
            <w:noProof/>
            <w:webHidden/>
          </w:rPr>
          <w:tab/>
        </w:r>
        <w:r w:rsidR="009156CD">
          <w:rPr>
            <w:noProof/>
            <w:webHidden/>
          </w:rPr>
          <w:fldChar w:fldCharType="begin"/>
        </w:r>
        <w:r w:rsidR="009156CD">
          <w:rPr>
            <w:noProof/>
            <w:webHidden/>
          </w:rPr>
          <w:instrText xml:space="preserve"> PAGEREF _Toc57912694 \h </w:instrText>
        </w:r>
        <w:r w:rsidR="009156CD">
          <w:rPr>
            <w:noProof/>
            <w:webHidden/>
          </w:rPr>
        </w:r>
        <w:r w:rsidR="009156CD">
          <w:rPr>
            <w:noProof/>
            <w:webHidden/>
          </w:rPr>
          <w:fldChar w:fldCharType="separate"/>
        </w:r>
        <w:r w:rsidR="009156CD">
          <w:rPr>
            <w:noProof/>
            <w:webHidden/>
          </w:rPr>
          <w:t>20</w:t>
        </w:r>
        <w:r w:rsidR="009156CD">
          <w:rPr>
            <w:noProof/>
            <w:webHidden/>
          </w:rPr>
          <w:fldChar w:fldCharType="end"/>
        </w:r>
      </w:hyperlink>
    </w:p>
    <w:p w14:paraId="4CFA79DF" w14:textId="2C60C118" w:rsidR="009156CD" w:rsidRDefault="00000000">
      <w:pPr>
        <w:pStyle w:val="TOC2"/>
        <w:rPr>
          <w:rFonts w:asciiTheme="minorHAnsi" w:eastAsiaTheme="minorEastAsia" w:hAnsiTheme="minorHAnsi" w:cstheme="minorBidi"/>
          <w:noProof/>
          <w:szCs w:val="22"/>
          <w:lang w:eastAsia="en-GB"/>
        </w:rPr>
      </w:pPr>
      <w:hyperlink w:anchor="_Toc57912695" w:history="1">
        <w:r w:rsidR="009156CD" w:rsidRPr="008059E8">
          <w:rPr>
            <w:rStyle w:val="Hyperlink"/>
            <w:noProof/>
          </w:rPr>
          <w:t>4.5</w:t>
        </w:r>
        <w:r w:rsidR="009156CD">
          <w:rPr>
            <w:rFonts w:asciiTheme="minorHAnsi" w:eastAsiaTheme="minorEastAsia" w:hAnsiTheme="minorHAnsi" w:cstheme="minorBidi"/>
            <w:noProof/>
            <w:szCs w:val="22"/>
            <w:lang w:eastAsia="en-GB"/>
          </w:rPr>
          <w:tab/>
        </w:r>
        <w:r w:rsidR="009156CD" w:rsidRPr="008059E8">
          <w:rPr>
            <w:rStyle w:val="Hyperlink"/>
            <w:noProof/>
          </w:rPr>
          <w:t>WENRA, IAEA guidance and links to the SAPs</w:t>
        </w:r>
        <w:r w:rsidR="009156CD">
          <w:rPr>
            <w:noProof/>
            <w:webHidden/>
          </w:rPr>
          <w:tab/>
        </w:r>
        <w:r w:rsidR="009156CD">
          <w:rPr>
            <w:noProof/>
            <w:webHidden/>
          </w:rPr>
          <w:fldChar w:fldCharType="begin"/>
        </w:r>
        <w:r w:rsidR="009156CD">
          <w:rPr>
            <w:noProof/>
            <w:webHidden/>
          </w:rPr>
          <w:instrText xml:space="preserve"> PAGEREF _Toc57912695 \h </w:instrText>
        </w:r>
        <w:r w:rsidR="009156CD">
          <w:rPr>
            <w:noProof/>
            <w:webHidden/>
          </w:rPr>
        </w:r>
        <w:r w:rsidR="009156CD">
          <w:rPr>
            <w:noProof/>
            <w:webHidden/>
          </w:rPr>
          <w:fldChar w:fldCharType="separate"/>
        </w:r>
        <w:r w:rsidR="009156CD">
          <w:rPr>
            <w:noProof/>
            <w:webHidden/>
          </w:rPr>
          <w:t>21</w:t>
        </w:r>
        <w:r w:rsidR="009156CD">
          <w:rPr>
            <w:noProof/>
            <w:webHidden/>
          </w:rPr>
          <w:fldChar w:fldCharType="end"/>
        </w:r>
      </w:hyperlink>
    </w:p>
    <w:p w14:paraId="40223774" w14:textId="6C1D4B83" w:rsidR="009156CD" w:rsidRDefault="00000000">
      <w:pPr>
        <w:pStyle w:val="TOC2"/>
        <w:rPr>
          <w:rFonts w:asciiTheme="minorHAnsi" w:eastAsiaTheme="minorEastAsia" w:hAnsiTheme="minorHAnsi" w:cstheme="minorBidi"/>
          <w:noProof/>
          <w:szCs w:val="22"/>
          <w:lang w:eastAsia="en-GB"/>
        </w:rPr>
      </w:pPr>
      <w:hyperlink w:anchor="_Toc57912696" w:history="1">
        <w:r w:rsidR="009156CD" w:rsidRPr="008059E8">
          <w:rPr>
            <w:rStyle w:val="Hyperlink"/>
            <w:noProof/>
          </w:rPr>
          <w:t>4.6</w:t>
        </w:r>
        <w:r w:rsidR="009156CD">
          <w:rPr>
            <w:rFonts w:asciiTheme="minorHAnsi" w:eastAsiaTheme="minorEastAsia" w:hAnsiTheme="minorHAnsi" w:cstheme="minorBidi"/>
            <w:noProof/>
            <w:szCs w:val="22"/>
            <w:lang w:eastAsia="en-GB"/>
          </w:rPr>
          <w:tab/>
        </w:r>
        <w:r w:rsidR="009156CD" w:rsidRPr="008059E8">
          <w:rPr>
            <w:rStyle w:val="Hyperlink"/>
            <w:noProof/>
          </w:rPr>
          <w:t>IAEA Documentation</w:t>
        </w:r>
        <w:r w:rsidR="009156CD">
          <w:rPr>
            <w:noProof/>
            <w:webHidden/>
          </w:rPr>
          <w:tab/>
        </w:r>
        <w:r w:rsidR="009156CD">
          <w:rPr>
            <w:noProof/>
            <w:webHidden/>
          </w:rPr>
          <w:fldChar w:fldCharType="begin"/>
        </w:r>
        <w:r w:rsidR="009156CD">
          <w:rPr>
            <w:noProof/>
            <w:webHidden/>
          </w:rPr>
          <w:instrText xml:space="preserve"> PAGEREF _Toc57912696 \h </w:instrText>
        </w:r>
        <w:r w:rsidR="009156CD">
          <w:rPr>
            <w:noProof/>
            <w:webHidden/>
          </w:rPr>
        </w:r>
        <w:r w:rsidR="009156CD">
          <w:rPr>
            <w:noProof/>
            <w:webHidden/>
          </w:rPr>
          <w:fldChar w:fldCharType="separate"/>
        </w:r>
        <w:r w:rsidR="009156CD">
          <w:rPr>
            <w:noProof/>
            <w:webHidden/>
          </w:rPr>
          <w:t>21</w:t>
        </w:r>
        <w:r w:rsidR="009156CD">
          <w:rPr>
            <w:noProof/>
            <w:webHidden/>
          </w:rPr>
          <w:fldChar w:fldCharType="end"/>
        </w:r>
      </w:hyperlink>
    </w:p>
    <w:p w14:paraId="7BB63601" w14:textId="3BD32721" w:rsidR="009156CD" w:rsidRDefault="00000000">
      <w:pPr>
        <w:pStyle w:val="TOC2"/>
        <w:rPr>
          <w:rFonts w:asciiTheme="minorHAnsi" w:eastAsiaTheme="minorEastAsia" w:hAnsiTheme="minorHAnsi" w:cstheme="minorBidi"/>
          <w:noProof/>
          <w:szCs w:val="22"/>
          <w:lang w:eastAsia="en-GB"/>
        </w:rPr>
      </w:pPr>
      <w:hyperlink w:anchor="_Toc57912697" w:history="1">
        <w:r w:rsidR="009156CD" w:rsidRPr="008059E8">
          <w:rPr>
            <w:rStyle w:val="Hyperlink"/>
            <w:noProof/>
          </w:rPr>
          <w:t>4.7</w:t>
        </w:r>
        <w:r w:rsidR="009156CD">
          <w:rPr>
            <w:rFonts w:asciiTheme="minorHAnsi" w:eastAsiaTheme="minorEastAsia" w:hAnsiTheme="minorHAnsi" w:cstheme="minorBidi"/>
            <w:noProof/>
            <w:szCs w:val="22"/>
            <w:lang w:eastAsia="en-GB"/>
          </w:rPr>
          <w:tab/>
        </w:r>
        <w:r w:rsidR="009156CD" w:rsidRPr="008059E8">
          <w:rPr>
            <w:rStyle w:val="Hyperlink"/>
            <w:noProof/>
          </w:rPr>
          <w:t>Safety Standards Series</w:t>
        </w:r>
        <w:r w:rsidR="009156CD">
          <w:rPr>
            <w:noProof/>
            <w:webHidden/>
          </w:rPr>
          <w:tab/>
        </w:r>
        <w:r w:rsidR="009156CD">
          <w:rPr>
            <w:noProof/>
            <w:webHidden/>
          </w:rPr>
          <w:fldChar w:fldCharType="begin"/>
        </w:r>
        <w:r w:rsidR="009156CD">
          <w:rPr>
            <w:noProof/>
            <w:webHidden/>
          </w:rPr>
          <w:instrText xml:space="preserve"> PAGEREF _Toc57912697 \h </w:instrText>
        </w:r>
        <w:r w:rsidR="009156CD">
          <w:rPr>
            <w:noProof/>
            <w:webHidden/>
          </w:rPr>
        </w:r>
        <w:r w:rsidR="009156CD">
          <w:rPr>
            <w:noProof/>
            <w:webHidden/>
          </w:rPr>
          <w:fldChar w:fldCharType="separate"/>
        </w:r>
        <w:r w:rsidR="009156CD">
          <w:rPr>
            <w:noProof/>
            <w:webHidden/>
          </w:rPr>
          <w:t>21</w:t>
        </w:r>
        <w:r w:rsidR="009156CD">
          <w:rPr>
            <w:noProof/>
            <w:webHidden/>
          </w:rPr>
          <w:fldChar w:fldCharType="end"/>
        </w:r>
      </w:hyperlink>
    </w:p>
    <w:p w14:paraId="1842AE8A" w14:textId="74B8118F" w:rsidR="009156CD" w:rsidRDefault="00000000">
      <w:pPr>
        <w:pStyle w:val="TOC2"/>
        <w:rPr>
          <w:rFonts w:asciiTheme="minorHAnsi" w:eastAsiaTheme="minorEastAsia" w:hAnsiTheme="minorHAnsi" w:cstheme="minorBidi"/>
          <w:noProof/>
          <w:szCs w:val="22"/>
          <w:lang w:eastAsia="en-GB"/>
        </w:rPr>
      </w:pPr>
      <w:hyperlink w:anchor="_Toc57912698" w:history="1">
        <w:r w:rsidR="009156CD" w:rsidRPr="008059E8">
          <w:rPr>
            <w:rStyle w:val="Hyperlink"/>
            <w:noProof/>
          </w:rPr>
          <w:t>4.8</w:t>
        </w:r>
        <w:r w:rsidR="009156CD">
          <w:rPr>
            <w:rFonts w:asciiTheme="minorHAnsi" w:eastAsiaTheme="minorEastAsia" w:hAnsiTheme="minorHAnsi" w:cstheme="minorBidi"/>
            <w:noProof/>
            <w:szCs w:val="22"/>
            <w:lang w:eastAsia="en-GB"/>
          </w:rPr>
          <w:tab/>
        </w:r>
        <w:r w:rsidR="009156CD" w:rsidRPr="008059E8">
          <w:rPr>
            <w:rStyle w:val="Hyperlink"/>
            <w:noProof/>
          </w:rPr>
          <w:t>Benchmarking</w:t>
        </w:r>
        <w:r w:rsidR="009156CD">
          <w:rPr>
            <w:noProof/>
            <w:webHidden/>
          </w:rPr>
          <w:tab/>
        </w:r>
        <w:r w:rsidR="009156CD">
          <w:rPr>
            <w:noProof/>
            <w:webHidden/>
          </w:rPr>
          <w:fldChar w:fldCharType="begin"/>
        </w:r>
        <w:r w:rsidR="009156CD">
          <w:rPr>
            <w:noProof/>
            <w:webHidden/>
          </w:rPr>
          <w:instrText xml:space="preserve"> PAGEREF _Toc57912698 \h </w:instrText>
        </w:r>
        <w:r w:rsidR="009156CD">
          <w:rPr>
            <w:noProof/>
            <w:webHidden/>
          </w:rPr>
        </w:r>
        <w:r w:rsidR="009156CD">
          <w:rPr>
            <w:noProof/>
            <w:webHidden/>
          </w:rPr>
          <w:fldChar w:fldCharType="separate"/>
        </w:r>
        <w:r w:rsidR="009156CD">
          <w:rPr>
            <w:noProof/>
            <w:webHidden/>
          </w:rPr>
          <w:t>22</w:t>
        </w:r>
        <w:r w:rsidR="009156CD">
          <w:rPr>
            <w:noProof/>
            <w:webHidden/>
          </w:rPr>
          <w:fldChar w:fldCharType="end"/>
        </w:r>
      </w:hyperlink>
    </w:p>
    <w:p w14:paraId="512EA672" w14:textId="1469EF58" w:rsidR="009156CD" w:rsidRDefault="00000000">
      <w:pPr>
        <w:pStyle w:val="TOC2"/>
        <w:rPr>
          <w:rFonts w:asciiTheme="minorHAnsi" w:eastAsiaTheme="minorEastAsia" w:hAnsiTheme="minorHAnsi" w:cstheme="minorBidi"/>
          <w:noProof/>
          <w:szCs w:val="22"/>
          <w:lang w:eastAsia="en-GB"/>
        </w:rPr>
      </w:pPr>
      <w:hyperlink w:anchor="_Toc57912699" w:history="1">
        <w:r w:rsidR="009156CD" w:rsidRPr="008059E8">
          <w:rPr>
            <w:rStyle w:val="Hyperlink"/>
            <w:noProof/>
          </w:rPr>
          <w:t>4.9</w:t>
        </w:r>
        <w:r w:rsidR="009156CD">
          <w:rPr>
            <w:rFonts w:asciiTheme="minorHAnsi" w:eastAsiaTheme="minorEastAsia" w:hAnsiTheme="minorHAnsi" w:cstheme="minorBidi"/>
            <w:noProof/>
            <w:szCs w:val="22"/>
            <w:lang w:eastAsia="en-GB"/>
          </w:rPr>
          <w:tab/>
        </w:r>
        <w:r w:rsidR="009156CD" w:rsidRPr="008059E8">
          <w:rPr>
            <w:rStyle w:val="Hyperlink"/>
            <w:noProof/>
          </w:rPr>
          <w:t>WENRA Reference Levels</w:t>
        </w:r>
        <w:r w:rsidR="009156CD">
          <w:rPr>
            <w:noProof/>
            <w:webHidden/>
          </w:rPr>
          <w:tab/>
        </w:r>
        <w:r w:rsidR="009156CD">
          <w:rPr>
            <w:noProof/>
            <w:webHidden/>
          </w:rPr>
          <w:fldChar w:fldCharType="begin"/>
        </w:r>
        <w:r w:rsidR="009156CD">
          <w:rPr>
            <w:noProof/>
            <w:webHidden/>
          </w:rPr>
          <w:instrText xml:space="preserve"> PAGEREF _Toc57912699 \h </w:instrText>
        </w:r>
        <w:r w:rsidR="009156CD">
          <w:rPr>
            <w:noProof/>
            <w:webHidden/>
          </w:rPr>
        </w:r>
        <w:r w:rsidR="009156CD">
          <w:rPr>
            <w:noProof/>
            <w:webHidden/>
          </w:rPr>
          <w:fldChar w:fldCharType="separate"/>
        </w:r>
        <w:r w:rsidR="009156CD">
          <w:rPr>
            <w:noProof/>
            <w:webHidden/>
          </w:rPr>
          <w:t>22</w:t>
        </w:r>
        <w:r w:rsidR="009156CD">
          <w:rPr>
            <w:noProof/>
            <w:webHidden/>
          </w:rPr>
          <w:fldChar w:fldCharType="end"/>
        </w:r>
      </w:hyperlink>
    </w:p>
    <w:p w14:paraId="05B433BE" w14:textId="24EE88F7" w:rsidR="009156CD" w:rsidRDefault="00000000">
      <w:pPr>
        <w:pStyle w:val="TOC1"/>
        <w:rPr>
          <w:rFonts w:asciiTheme="minorHAnsi" w:eastAsiaTheme="minorEastAsia" w:hAnsiTheme="minorHAnsi" w:cstheme="minorBidi"/>
          <w:caps w:val="0"/>
          <w:noProof/>
          <w:szCs w:val="22"/>
          <w:lang w:eastAsia="en-GB"/>
        </w:rPr>
      </w:pPr>
      <w:hyperlink w:anchor="_Toc57912700" w:history="1">
        <w:r w:rsidR="009156CD" w:rsidRPr="008059E8">
          <w:rPr>
            <w:rStyle w:val="Hyperlink"/>
            <w:rFonts w:cs="Arial"/>
            <w:noProof/>
          </w:rPr>
          <w:t>5</w:t>
        </w:r>
        <w:r w:rsidR="009156CD">
          <w:rPr>
            <w:rFonts w:asciiTheme="minorHAnsi" w:eastAsiaTheme="minorEastAsia" w:hAnsiTheme="minorHAnsi" w:cstheme="minorBidi"/>
            <w:caps w:val="0"/>
            <w:noProof/>
            <w:szCs w:val="22"/>
            <w:lang w:eastAsia="en-GB"/>
          </w:rPr>
          <w:tab/>
        </w:r>
        <w:r w:rsidR="009156CD" w:rsidRPr="008059E8">
          <w:rPr>
            <w:rStyle w:val="Hyperlink"/>
            <w:noProof/>
          </w:rPr>
          <w:t>ADVICE TO INSPECTORS</w:t>
        </w:r>
        <w:r w:rsidR="009156CD">
          <w:rPr>
            <w:noProof/>
            <w:webHidden/>
          </w:rPr>
          <w:tab/>
        </w:r>
        <w:r w:rsidR="009156CD">
          <w:rPr>
            <w:noProof/>
            <w:webHidden/>
          </w:rPr>
          <w:fldChar w:fldCharType="begin"/>
        </w:r>
        <w:r w:rsidR="009156CD">
          <w:rPr>
            <w:noProof/>
            <w:webHidden/>
          </w:rPr>
          <w:instrText xml:space="preserve"> PAGEREF _Toc57912700 \h </w:instrText>
        </w:r>
        <w:r w:rsidR="009156CD">
          <w:rPr>
            <w:noProof/>
            <w:webHidden/>
          </w:rPr>
        </w:r>
        <w:r w:rsidR="009156CD">
          <w:rPr>
            <w:noProof/>
            <w:webHidden/>
          </w:rPr>
          <w:fldChar w:fldCharType="separate"/>
        </w:r>
        <w:r w:rsidR="009156CD">
          <w:rPr>
            <w:noProof/>
            <w:webHidden/>
          </w:rPr>
          <w:t>24</w:t>
        </w:r>
        <w:r w:rsidR="009156CD">
          <w:rPr>
            <w:noProof/>
            <w:webHidden/>
          </w:rPr>
          <w:fldChar w:fldCharType="end"/>
        </w:r>
      </w:hyperlink>
    </w:p>
    <w:p w14:paraId="6D31A8B5" w14:textId="0A34BCF5" w:rsidR="009156CD" w:rsidRDefault="00000000">
      <w:pPr>
        <w:pStyle w:val="TOC2"/>
        <w:rPr>
          <w:rFonts w:asciiTheme="minorHAnsi" w:eastAsiaTheme="minorEastAsia" w:hAnsiTheme="minorHAnsi" w:cstheme="minorBidi"/>
          <w:noProof/>
          <w:szCs w:val="22"/>
          <w:lang w:eastAsia="en-GB"/>
        </w:rPr>
      </w:pPr>
      <w:hyperlink w:anchor="_Toc57912701" w:history="1">
        <w:r w:rsidR="009156CD" w:rsidRPr="008059E8">
          <w:rPr>
            <w:rStyle w:val="Hyperlink"/>
            <w:iCs/>
            <w:noProof/>
          </w:rPr>
          <w:t>5.1</w:t>
        </w:r>
        <w:r w:rsidR="009156CD">
          <w:rPr>
            <w:rFonts w:asciiTheme="minorHAnsi" w:eastAsiaTheme="minorEastAsia" w:hAnsiTheme="minorHAnsi" w:cstheme="minorBidi"/>
            <w:noProof/>
            <w:szCs w:val="22"/>
            <w:lang w:eastAsia="en-GB"/>
          </w:rPr>
          <w:tab/>
        </w:r>
        <w:r w:rsidR="009156CD" w:rsidRPr="008059E8">
          <w:rPr>
            <w:rStyle w:val="Hyperlink"/>
            <w:iCs/>
            <w:noProof/>
          </w:rPr>
          <w:t>General Guidance</w:t>
        </w:r>
        <w:r w:rsidR="009156CD">
          <w:rPr>
            <w:noProof/>
            <w:webHidden/>
          </w:rPr>
          <w:tab/>
        </w:r>
        <w:r w:rsidR="009156CD">
          <w:rPr>
            <w:noProof/>
            <w:webHidden/>
          </w:rPr>
          <w:fldChar w:fldCharType="begin"/>
        </w:r>
        <w:r w:rsidR="009156CD">
          <w:rPr>
            <w:noProof/>
            <w:webHidden/>
          </w:rPr>
          <w:instrText xml:space="preserve"> PAGEREF _Toc57912701 \h </w:instrText>
        </w:r>
        <w:r w:rsidR="009156CD">
          <w:rPr>
            <w:noProof/>
            <w:webHidden/>
          </w:rPr>
        </w:r>
        <w:r w:rsidR="009156CD">
          <w:rPr>
            <w:noProof/>
            <w:webHidden/>
          </w:rPr>
          <w:fldChar w:fldCharType="separate"/>
        </w:r>
        <w:r w:rsidR="009156CD">
          <w:rPr>
            <w:noProof/>
            <w:webHidden/>
          </w:rPr>
          <w:t>24</w:t>
        </w:r>
        <w:r w:rsidR="009156CD">
          <w:rPr>
            <w:noProof/>
            <w:webHidden/>
          </w:rPr>
          <w:fldChar w:fldCharType="end"/>
        </w:r>
      </w:hyperlink>
    </w:p>
    <w:p w14:paraId="252219CC" w14:textId="4CF84041" w:rsidR="009156CD" w:rsidRDefault="00000000">
      <w:pPr>
        <w:pStyle w:val="TOC2"/>
        <w:rPr>
          <w:rFonts w:asciiTheme="minorHAnsi" w:eastAsiaTheme="minorEastAsia" w:hAnsiTheme="minorHAnsi" w:cstheme="minorBidi"/>
          <w:noProof/>
          <w:szCs w:val="22"/>
          <w:lang w:eastAsia="en-GB"/>
        </w:rPr>
      </w:pPr>
      <w:hyperlink w:anchor="_Toc57912702" w:history="1">
        <w:r w:rsidR="009156CD" w:rsidRPr="008059E8">
          <w:rPr>
            <w:rStyle w:val="Hyperlink"/>
            <w:noProof/>
          </w:rPr>
          <w:t>5.2</w:t>
        </w:r>
        <w:r w:rsidR="009156CD">
          <w:rPr>
            <w:rFonts w:asciiTheme="minorHAnsi" w:eastAsiaTheme="minorEastAsia" w:hAnsiTheme="minorHAnsi" w:cstheme="minorBidi"/>
            <w:noProof/>
            <w:szCs w:val="22"/>
            <w:lang w:eastAsia="en-GB"/>
          </w:rPr>
          <w:tab/>
        </w:r>
        <w:r w:rsidR="009156CD" w:rsidRPr="008059E8">
          <w:rPr>
            <w:rStyle w:val="Hyperlink"/>
            <w:noProof/>
          </w:rPr>
          <w:t>Civil Engineering Design Considerations (Annex 1)</w:t>
        </w:r>
        <w:r w:rsidR="009156CD">
          <w:rPr>
            <w:noProof/>
            <w:webHidden/>
          </w:rPr>
          <w:tab/>
        </w:r>
        <w:r w:rsidR="009156CD">
          <w:rPr>
            <w:noProof/>
            <w:webHidden/>
          </w:rPr>
          <w:fldChar w:fldCharType="begin"/>
        </w:r>
        <w:r w:rsidR="009156CD">
          <w:rPr>
            <w:noProof/>
            <w:webHidden/>
          </w:rPr>
          <w:instrText xml:space="preserve"> PAGEREF _Toc57912702 \h </w:instrText>
        </w:r>
        <w:r w:rsidR="009156CD">
          <w:rPr>
            <w:noProof/>
            <w:webHidden/>
          </w:rPr>
        </w:r>
        <w:r w:rsidR="009156CD">
          <w:rPr>
            <w:noProof/>
            <w:webHidden/>
          </w:rPr>
          <w:fldChar w:fldCharType="separate"/>
        </w:r>
        <w:r w:rsidR="009156CD">
          <w:rPr>
            <w:noProof/>
            <w:webHidden/>
          </w:rPr>
          <w:t>29</w:t>
        </w:r>
        <w:r w:rsidR="009156CD">
          <w:rPr>
            <w:noProof/>
            <w:webHidden/>
          </w:rPr>
          <w:fldChar w:fldCharType="end"/>
        </w:r>
      </w:hyperlink>
    </w:p>
    <w:p w14:paraId="28446C45" w14:textId="52E0CD26" w:rsidR="009156CD" w:rsidRDefault="00000000">
      <w:pPr>
        <w:pStyle w:val="TOC2"/>
        <w:rPr>
          <w:rFonts w:asciiTheme="minorHAnsi" w:eastAsiaTheme="minorEastAsia" w:hAnsiTheme="minorHAnsi" w:cstheme="minorBidi"/>
          <w:noProof/>
          <w:szCs w:val="22"/>
          <w:lang w:eastAsia="en-GB"/>
        </w:rPr>
      </w:pPr>
      <w:hyperlink w:anchor="_Toc57912703" w:history="1">
        <w:r w:rsidR="009156CD" w:rsidRPr="008059E8">
          <w:rPr>
            <w:rStyle w:val="Hyperlink"/>
            <w:noProof/>
          </w:rPr>
          <w:t>5.3</w:t>
        </w:r>
        <w:r w:rsidR="009156CD">
          <w:rPr>
            <w:rFonts w:asciiTheme="minorHAnsi" w:eastAsiaTheme="minorEastAsia" w:hAnsiTheme="minorHAnsi" w:cstheme="minorBidi"/>
            <w:noProof/>
            <w:szCs w:val="22"/>
            <w:lang w:eastAsia="en-GB"/>
          </w:rPr>
          <w:tab/>
        </w:r>
        <w:r w:rsidR="009156CD" w:rsidRPr="008059E8">
          <w:rPr>
            <w:rStyle w:val="Hyperlink"/>
            <w:noProof/>
          </w:rPr>
          <w:t>Building Information Modelling (BIM) (Annex 2)</w:t>
        </w:r>
        <w:r w:rsidR="009156CD">
          <w:rPr>
            <w:noProof/>
            <w:webHidden/>
          </w:rPr>
          <w:tab/>
        </w:r>
        <w:r w:rsidR="009156CD">
          <w:rPr>
            <w:noProof/>
            <w:webHidden/>
          </w:rPr>
          <w:fldChar w:fldCharType="begin"/>
        </w:r>
        <w:r w:rsidR="009156CD">
          <w:rPr>
            <w:noProof/>
            <w:webHidden/>
          </w:rPr>
          <w:instrText xml:space="preserve"> PAGEREF _Toc57912703 \h </w:instrText>
        </w:r>
        <w:r w:rsidR="009156CD">
          <w:rPr>
            <w:noProof/>
            <w:webHidden/>
          </w:rPr>
        </w:r>
        <w:r w:rsidR="009156CD">
          <w:rPr>
            <w:noProof/>
            <w:webHidden/>
          </w:rPr>
          <w:fldChar w:fldCharType="separate"/>
        </w:r>
        <w:r w:rsidR="009156CD">
          <w:rPr>
            <w:noProof/>
            <w:webHidden/>
          </w:rPr>
          <w:t>37</w:t>
        </w:r>
        <w:r w:rsidR="009156CD">
          <w:rPr>
            <w:noProof/>
            <w:webHidden/>
          </w:rPr>
          <w:fldChar w:fldCharType="end"/>
        </w:r>
      </w:hyperlink>
    </w:p>
    <w:p w14:paraId="63FA5FA4" w14:textId="4EDA9D8D" w:rsidR="009156CD" w:rsidRDefault="00000000">
      <w:pPr>
        <w:pStyle w:val="TOC2"/>
        <w:rPr>
          <w:rFonts w:asciiTheme="minorHAnsi" w:eastAsiaTheme="minorEastAsia" w:hAnsiTheme="minorHAnsi" w:cstheme="minorBidi"/>
          <w:noProof/>
          <w:szCs w:val="22"/>
          <w:lang w:eastAsia="en-GB"/>
        </w:rPr>
      </w:pPr>
      <w:hyperlink w:anchor="_Toc57912704" w:history="1">
        <w:r w:rsidR="009156CD" w:rsidRPr="008059E8">
          <w:rPr>
            <w:rStyle w:val="Hyperlink"/>
            <w:noProof/>
          </w:rPr>
          <w:t>5.4</w:t>
        </w:r>
        <w:r w:rsidR="009156CD">
          <w:rPr>
            <w:rFonts w:asciiTheme="minorHAnsi" w:eastAsiaTheme="minorEastAsia" w:hAnsiTheme="minorHAnsi" w:cstheme="minorBidi"/>
            <w:noProof/>
            <w:szCs w:val="22"/>
            <w:lang w:eastAsia="en-GB"/>
          </w:rPr>
          <w:tab/>
        </w:r>
        <w:r w:rsidR="009156CD" w:rsidRPr="008059E8">
          <w:rPr>
            <w:rStyle w:val="Hyperlink"/>
            <w:rFonts w:cs="Arial"/>
            <w:noProof/>
          </w:rPr>
          <w:t>Ground Engineering, Geotechnics and Underground Structure Design (Annex 3)</w:t>
        </w:r>
        <w:r w:rsidR="009156CD">
          <w:rPr>
            <w:noProof/>
            <w:webHidden/>
          </w:rPr>
          <w:tab/>
        </w:r>
        <w:r w:rsidR="009156CD">
          <w:rPr>
            <w:noProof/>
            <w:webHidden/>
          </w:rPr>
          <w:fldChar w:fldCharType="begin"/>
        </w:r>
        <w:r w:rsidR="009156CD">
          <w:rPr>
            <w:noProof/>
            <w:webHidden/>
          </w:rPr>
          <w:instrText xml:space="preserve"> PAGEREF _Toc57912704 \h </w:instrText>
        </w:r>
        <w:r w:rsidR="009156CD">
          <w:rPr>
            <w:noProof/>
            <w:webHidden/>
          </w:rPr>
        </w:r>
        <w:r w:rsidR="009156CD">
          <w:rPr>
            <w:noProof/>
            <w:webHidden/>
          </w:rPr>
          <w:fldChar w:fldCharType="separate"/>
        </w:r>
        <w:r w:rsidR="009156CD">
          <w:rPr>
            <w:noProof/>
            <w:webHidden/>
          </w:rPr>
          <w:t>38</w:t>
        </w:r>
        <w:r w:rsidR="009156CD">
          <w:rPr>
            <w:noProof/>
            <w:webHidden/>
          </w:rPr>
          <w:fldChar w:fldCharType="end"/>
        </w:r>
      </w:hyperlink>
    </w:p>
    <w:p w14:paraId="173408D9" w14:textId="4FAEA29B" w:rsidR="009156CD" w:rsidRDefault="00000000">
      <w:pPr>
        <w:pStyle w:val="TOC2"/>
        <w:rPr>
          <w:rFonts w:asciiTheme="minorHAnsi" w:eastAsiaTheme="minorEastAsia" w:hAnsiTheme="minorHAnsi" w:cstheme="minorBidi"/>
          <w:noProof/>
          <w:szCs w:val="22"/>
          <w:lang w:eastAsia="en-GB"/>
        </w:rPr>
      </w:pPr>
      <w:hyperlink w:anchor="_Toc57912705" w:history="1">
        <w:r w:rsidR="009156CD" w:rsidRPr="008059E8">
          <w:rPr>
            <w:rStyle w:val="Hyperlink"/>
            <w:noProof/>
          </w:rPr>
          <w:t>5.5</w:t>
        </w:r>
        <w:r w:rsidR="009156CD">
          <w:rPr>
            <w:rFonts w:asciiTheme="minorHAnsi" w:eastAsiaTheme="minorEastAsia" w:hAnsiTheme="minorHAnsi" w:cstheme="minorBidi"/>
            <w:noProof/>
            <w:szCs w:val="22"/>
            <w:lang w:eastAsia="en-GB"/>
          </w:rPr>
          <w:tab/>
        </w:r>
        <w:r w:rsidR="009156CD" w:rsidRPr="008059E8">
          <w:rPr>
            <w:rStyle w:val="Hyperlink"/>
            <w:noProof/>
          </w:rPr>
          <w:t>Construction Assurance (Annex 4)</w:t>
        </w:r>
        <w:r w:rsidR="009156CD">
          <w:rPr>
            <w:noProof/>
            <w:webHidden/>
          </w:rPr>
          <w:tab/>
        </w:r>
        <w:r w:rsidR="009156CD">
          <w:rPr>
            <w:noProof/>
            <w:webHidden/>
          </w:rPr>
          <w:fldChar w:fldCharType="begin"/>
        </w:r>
        <w:r w:rsidR="009156CD">
          <w:rPr>
            <w:noProof/>
            <w:webHidden/>
          </w:rPr>
          <w:instrText xml:space="preserve"> PAGEREF _Toc57912705 \h </w:instrText>
        </w:r>
        <w:r w:rsidR="009156CD">
          <w:rPr>
            <w:noProof/>
            <w:webHidden/>
          </w:rPr>
        </w:r>
        <w:r w:rsidR="009156CD">
          <w:rPr>
            <w:noProof/>
            <w:webHidden/>
          </w:rPr>
          <w:fldChar w:fldCharType="separate"/>
        </w:r>
        <w:r w:rsidR="009156CD">
          <w:rPr>
            <w:noProof/>
            <w:webHidden/>
          </w:rPr>
          <w:t>40</w:t>
        </w:r>
        <w:r w:rsidR="009156CD">
          <w:rPr>
            <w:noProof/>
            <w:webHidden/>
          </w:rPr>
          <w:fldChar w:fldCharType="end"/>
        </w:r>
      </w:hyperlink>
    </w:p>
    <w:p w14:paraId="42442062" w14:textId="3FBC4E83" w:rsidR="009156CD" w:rsidRDefault="00000000">
      <w:pPr>
        <w:pStyle w:val="TOC2"/>
        <w:rPr>
          <w:rFonts w:asciiTheme="minorHAnsi" w:eastAsiaTheme="minorEastAsia" w:hAnsiTheme="minorHAnsi" w:cstheme="minorBidi"/>
          <w:noProof/>
          <w:szCs w:val="22"/>
          <w:lang w:eastAsia="en-GB"/>
        </w:rPr>
      </w:pPr>
      <w:hyperlink w:anchor="_Toc57912706" w:history="1">
        <w:r w:rsidR="009156CD" w:rsidRPr="008059E8">
          <w:rPr>
            <w:rStyle w:val="Hyperlink"/>
            <w:iCs/>
            <w:noProof/>
          </w:rPr>
          <w:t>5.6</w:t>
        </w:r>
        <w:r w:rsidR="009156CD">
          <w:rPr>
            <w:rFonts w:asciiTheme="minorHAnsi" w:eastAsiaTheme="minorEastAsia" w:hAnsiTheme="minorHAnsi" w:cstheme="minorBidi"/>
            <w:noProof/>
            <w:szCs w:val="22"/>
            <w:lang w:eastAsia="en-GB"/>
          </w:rPr>
          <w:tab/>
        </w:r>
        <w:r w:rsidR="009156CD" w:rsidRPr="008059E8">
          <w:rPr>
            <w:rStyle w:val="Hyperlink"/>
            <w:noProof/>
          </w:rPr>
          <w:t>Ageing Management and Damaged Structures</w:t>
        </w:r>
        <w:r w:rsidR="009156CD" w:rsidRPr="008059E8">
          <w:rPr>
            <w:rStyle w:val="Hyperlink"/>
            <w:iCs/>
            <w:noProof/>
          </w:rPr>
          <w:t xml:space="preserve"> (Annex 5)</w:t>
        </w:r>
        <w:r w:rsidR="009156CD">
          <w:rPr>
            <w:noProof/>
            <w:webHidden/>
          </w:rPr>
          <w:tab/>
        </w:r>
        <w:r w:rsidR="009156CD">
          <w:rPr>
            <w:noProof/>
            <w:webHidden/>
          </w:rPr>
          <w:fldChar w:fldCharType="begin"/>
        </w:r>
        <w:r w:rsidR="009156CD">
          <w:rPr>
            <w:noProof/>
            <w:webHidden/>
          </w:rPr>
          <w:instrText xml:space="preserve"> PAGEREF _Toc57912706 \h </w:instrText>
        </w:r>
        <w:r w:rsidR="009156CD">
          <w:rPr>
            <w:noProof/>
            <w:webHidden/>
          </w:rPr>
        </w:r>
        <w:r w:rsidR="009156CD">
          <w:rPr>
            <w:noProof/>
            <w:webHidden/>
          </w:rPr>
          <w:fldChar w:fldCharType="separate"/>
        </w:r>
        <w:r w:rsidR="009156CD">
          <w:rPr>
            <w:noProof/>
            <w:webHidden/>
          </w:rPr>
          <w:t>43</w:t>
        </w:r>
        <w:r w:rsidR="009156CD">
          <w:rPr>
            <w:noProof/>
            <w:webHidden/>
          </w:rPr>
          <w:fldChar w:fldCharType="end"/>
        </w:r>
      </w:hyperlink>
    </w:p>
    <w:p w14:paraId="4A9B283E" w14:textId="51F54A71" w:rsidR="009156CD" w:rsidRDefault="00000000">
      <w:pPr>
        <w:pStyle w:val="TOC2"/>
        <w:rPr>
          <w:rFonts w:asciiTheme="minorHAnsi" w:eastAsiaTheme="minorEastAsia" w:hAnsiTheme="minorHAnsi" w:cstheme="minorBidi"/>
          <w:noProof/>
          <w:szCs w:val="22"/>
          <w:lang w:eastAsia="en-GB"/>
        </w:rPr>
      </w:pPr>
      <w:hyperlink w:anchor="_Toc57912707" w:history="1">
        <w:r w:rsidR="009156CD" w:rsidRPr="008059E8">
          <w:rPr>
            <w:rStyle w:val="Hyperlink"/>
            <w:iCs/>
            <w:noProof/>
          </w:rPr>
          <w:t>5.7</w:t>
        </w:r>
        <w:r w:rsidR="009156CD">
          <w:rPr>
            <w:rFonts w:asciiTheme="minorHAnsi" w:eastAsiaTheme="minorEastAsia" w:hAnsiTheme="minorHAnsi" w:cstheme="minorBidi"/>
            <w:noProof/>
            <w:szCs w:val="22"/>
            <w:lang w:eastAsia="en-GB"/>
          </w:rPr>
          <w:tab/>
        </w:r>
        <w:r w:rsidR="009156CD" w:rsidRPr="008059E8">
          <w:rPr>
            <w:rStyle w:val="Hyperlink"/>
            <w:iCs/>
            <w:noProof/>
          </w:rPr>
          <w:t>Post Operation (Annex 6)</w:t>
        </w:r>
        <w:r w:rsidR="009156CD">
          <w:rPr>
            <w:noProof/>
            <w:webHidden/>
          </w:rPr>
          <w:tab/>
        </w:r>
        <w:r w:rsidR="009156CD">
          <w:rPr>
            <w:noProof/>
            <w:webHidden/>
          </w:rPr>
          <w:fldChar w:fldCharType="begin"/>
        </w:r>
        <w:r w:rsidR="009156CD">
          <w:rPr>
            <w:noProof/>
            <w:webHidden/>
          </w:rPr>
          <w:instrText xml:space="preserve"> PAGEREF _Toc57912707 \h </w:instrText>
        </w:r>
        <w:r w:rsidR="009156CD">
          <w:rPr>
            <w:noProof/>
            <w:webHidden/>
          </w:rPr>
        </w:r>
        <w:r w:rsidR="009156CD">
          <w:rPr>
            <w:noProof/>
            <w:webHidden/>
          </w:rPr>
          <w:fldChar w:fldCharType="separate"/>
        </w:r>
        <w:r w:rsidR="009156CD">
          <w:rPr>
            <w:noProof/>
            <w:webHidden/>
          </w:rPr>
          <w:t>45</w:t>
        </w:r>
        <w:r w:rsidR="009156CD">
          <w:rPr>
            <w:noProof/>
            <w:webHidden/>
          </w:rPr>
          <w:fldChar w:fldCharType="end"/>
        </w:r>
      </w:hyperlink>
    </w:p>
    <w:p w14:paraId="3D63A7CB" w14:textId="3C521E28" w:rsidR="009156CD" w:rsidRDefault="00000000">
      <w:pPr>
        <w:pStyle w:val="TOC2"/>
        <w:rPr>
          <w:rFonts w:asciiTheme="minorHAnsi" w:eastAsiaTheme="minorEastAsia" w:hAnsiTheme="minorHAnsi" w:cstheme="minorBidi"/>
          <w:noProof/>
          <w:szCs w:val="22"/>
          <w:lang w:eastAsia="en-GB"/>
        </w:rPr>
      </w:pPr>
      <w:hyperlink w:anchor="_Toc57912708" w:history="1">
        <w:r w:rsidR="009156CD" w:rsidRPr="008059E8">
          <w:rPr>
            <w:rStyle w:val="Hyperlink"/>
            <w:iCs/>
            <w:noProof/>
          </w:rPr>
          <w:t>5.8</w:t>
        </w:r>
        <w:r w:rsidR="009156CD">
          <w:rPr>
            <w:rFonts w:asciiTheme="minorHAnsi" w:eastAsiaTheme="minorEastAsia" w:hAnsiTheme="minorHAnsi" w:cstheme="minorBidi"/>
            <w:noProof/>
            <w:szCs w:val="22"/>
            <w:lang w:eastAsia="en-GB"/>
          </w:rPr>
          <w:tab/>
        </w:r>
        <w:r w:rsidR="009156CD" w:rsidRPr="008059E8">
          <w:rPr>
            <w:rStyle w:val="Hyperlink"/>
            <w:iCs/>
            <w:noProof/>
          </w:rPr>
          <w:t>Other Topics that are relevant across all the site phases / Annexes</w:t>
        </w:r>
        <w:r w:rsidR="009156CD">
          <w:rPr>
            <w:noProof/>
            <w:webHidden/>
          </w:rPr>
          <w:tab/>
        </w:r>
        <w:r w:rsidR="009156CD">
          <w:rPr>
            <w:noProof/>
            <w:webHidden/>
          </w:rPr>
          <w:fldChar w:fldCharType="begin"/>
        </w:r>
        <w:r w:rsidR="009156CD">
          <w:rPr>
            <w:noProof/>
            <w:webHidden/>
          </w:rPr>
          <w:instrText xml:space="preserve"> PAGEREF _Toc57912708 \h </w:instrText>
        </w:r>
        <w:r w:rsidR="009156CD">
          <w:rPr>
            <w:noProof/>
            <w:webHidden/>
          </w:rPr>
        </w:r>
        <w:r w:rsidR="009156CD">
          <w:rPr>
            <w:noProof/>
            <w:webHidden/>
          </w:rPr>
          <w:fldChar w:fldCharType="separate"/>
        </w:r>
        <w:r w:rsidR="009156CD">
          <w:rPr>
            <w:noProof/>
            <w:webHidden/>
          </w:rPr>
          <w:t>47</w:t>
        </w:r>
        <w:r w:rsidR="009156CD">
          <w:rPr>
            <w:noProof/>
            <w:webHidden/>
          </w:rPr>
          <w:fldChar w:fldCharType="end"/>
        </w:r>
      </w:hyperlink>
    </w:p>
    <w:p w14:paraId="3328E559" w14:textId="46FDCB1E" w:rsidR="009156CD" w:rsidRDefault="00000000">
      <w:pPr>
        <w:pStyle w:val="TOC1"/>
        <w:rPr>
          <w:rFonts w:asciiTheme="minorHAnsi" w:eastAsiaTheme="minorEastAsia" w:hAnsiTheme="minorHAnsi" w:cstheme="minorBidi"/>
          <w:caps w:val="0"/>
          <w:noProof/>
          <w:szCs w:val="22"/>
          <w:lang w:eastAsia="en-GB"/>
        </w:rPr>
      </w:pPr>
      <w:hyperlink w:anchor="_Toc57912709" w:history="1">
        <w:r w:rsidR="009156CD" w:rsidRPr="008059E8">
          <w:rPr>
            <w:rStyle w:val="Hyperlink"/>
            <w:rFonts w:cs="Arial"/>
            <w:iCs/>
            <w:noProof/>
          </w:rPr>
          <w:t>6</w:t>
        </w:r>
        <w:r w:rsidR="009156CD">
          <w:rPr>
            <w:rFonts w:asciiTheme="minorHAnsi" w:eastAsiaTheme="minorEastAsia" w:hAnsiTheme="minorHAnsi" w:cstheme="minorBidi"/>
            <w:caps w:val="0"/>
            <w:noProof/>
            <w:szCs w:val="22"/>
            <w:lang w:eastAsia="en-GB"/>
          </w:rPr>
          <w:tab/>
        </w:r>
        <w:r w:rsidR="009156CD" w:rsidRPr="008059E8">
          <w:rPr>
            <w:rStyle w:val="Hyperlink"/>
            <w:noProof/>
          </w:rPr>
          <w:t>REFERENCES</w:t>
        </w:r>
        <w:r w:rsidR="009156CD">
          <w:rPr>
            <w:noProof/>
            <w:webHidden/>
          </w:rPr>
          <w:tab/>
        </w:r>
        <w:r w:rsidR="009156CD">
          <w:rPr>
            <w:noProof/>
            <w:webHidden/>
          </w:rPr>
          <w:fldChar w:fldCharType="begin"/>
        </w:r>
        <w:r w:rsidR="009156CD">
          <w:rPr>
            <w:noProof/>
            <w:webHidden/>
          </w:rPr>
          <w:instrText xml:space="preserve"> PAGEREF _Toc57912709 \h </w:instrText>
        </w:r>
        <w:r w:rsidR="009156CD">
          <w:rPr>
            <w:noProof/>
            <w:webHidden/>
          </w:rPr>
        </w:r>
        <w:r w:rsidR="009156CD">
          <w:rPr>
            <w:noProof/>
            <w:webHidden/>
          </w:rPr>
          <w:fldChar w:fldCharType="separate"/>
        </w:r>
        <w:r w:rsidR="009156CD">
          <w:rPr>
            <w:noProof/>
            <w:webHidden/>
          </w:rPr>
          <w:t>52</w:t>
        </w:r>
        <w:r w:rsidR="009156CD">
          <w:rPr>
            <w:noProof/>
            <w:webHidden/>
          </w:rPr>
          <w:fldChar w:fldCharType="end"/>
        </w:r>
      </w:hyperlink>
    </w:p>
    <w:p w14:paraId="42F34F90" w14:textId="1B522171" w:rsidR="009156CD" w:rsidRDefault="00000000">
      <w:pPr>
        <w:pStyle w:val="TOC1"/>
        <w:rPr>
          <w:rFonts w:asciiTheme="minorHAnsi" w:eastAsiaTheme="minorEastAsia" w:hAnsiTheme="minorHAnsi" w:cstheme="minorBidi"/>
          <w:caps w:val="0"/>
          <w:noProof/>
          <w:szCs w:val="22"/>
          <w:lang w:eastAsia="en-GB"/>
        </w:rPr>
      </w:pPr>
      <w:hyperlink w:anchor="_Toc57912710" w:history="1">
        <w:r w:rsidR="009156CD" w:rsidRPr="008059E8">
          <w:rPr>
            <w:rStyle w:val="Hyperlink"/>
            <w:rFonts w:cs="Arial"/>
            <w:noProof/>
          </w:rPr>
          <w:t>7</w:t>
        </w:r>
        <w:r w:rsidR="009156CD">
          <w:rPr>
            <w:rFonts w:asciiTheme="minorHAnsi" w:eastAsiaTheme="minorEastAsia" w:hAnsiTheme="minorHAnsi" w:cstheme="minorBidi"/>
            <w:caps w:val="0"/>
            <w:noProof/>
            <w:szCs w:val="22"/>
            <w:lang w:eastAsia="en-GB"/>
          </w:rPr>
          <w:tab/>
        </w:r>
        <w:r w:rsidR="009156CD" w:rsidRPr="008059E8">
          <w:rPr>
            <w:rStyle w:val="Hyperlink"/>
            <w:noProof/>
          </w:rPr>
          <w:t>Appendices</w:t>
        </w:r>
        <w:r w:rsidR="009156CD">
          <w:rPr>
            <w:noProof/>
            <w:webHidden/>
          </w:rPr>
          <w:tab/>
        </w:r>
        <w:r w:rsidR="009156CD">
          <w:rPr>
            <w:noProof/>
            <w:webHidden/>
          </w:rPr>
          <w:fldChar w:fldCharType="begin"/>
        </w:r>
        <w:r w:rsidR="009156CD">
          <w:rPr>
            <w:noProof/>
            <w:webHidden/>
          </w:rPr>
          <w:instrText xml:space="preserve"> PAGEREF _Toc57912710 \h </w:instrText>
        </w:r>
        <w:r w:rsidR="009156CD">
          <w:rPr>
            <w:noProof/>
            <w:webHidden/>
          </w:rPr>
        </w:r>
        <w:r w:rsidR="009156CD">
          <w:rPr>
            <w:noProof/>
            <w:webHidden/>
          </w:rPr>
          <w:fldChar w:fldCharType="separate"/>
        </w:r>
        <w:r w:rsidR="009156CD">
          <w:rPr>
            <w:noProof/>
            <w:webHidden/>
          </w:rPr>
          <w:t>55</w:t>
        </w:r>
        <w:r w:rsidR="009156CD">
          <w:rPr>
            <w:noProof/>
            <w:webHidden/>
          </w:rPr>
          <w:fldChar w:fldCharType="end"/>
        </w:r>
      </w:hyperlink>
    </w:p>
    <w:p w14:paraId="0B40250D" w14:textId="3C1B439A" w:rsidR="009156CD" w:rsidRDefault="00000000">
      <w:pPr>
        <w:pStyle w:val="TOC2"/>
        <w:rPr>
          <w:rFonts w:asciiTheme="minorHAnsi" w:eastAsiaTheme="minorEastAsia" w:hAnsiTheme="minorHAnsi" w:cstheme="minorBidi"/>
          <w:noProof/>
          <w:szCs w:val="22"/>
          <w:lang w:eastAsia="en-GB"/>
        </w:rPr>
      </w:pPr>
      <w:hyperlink w:anchor="_Toc57912711" w:history="1">
        <w:r w:rsidR="009156CD" w:rsidRPr="008059E8">
          <w:rPr>
            <w:rStyle w:val="Hyperlink"/>
            <w:noProof/>
          </w:rPr>
          <w:t>7.1</w:t>
        </w:r>
        <w:r w:rsidR="009156CD">
          <w:rPr>
            <w:rFonts w:asciiTheme="minorHAnsi" w:eastAsiaTheme="minorEastAsia" w:hAnsiTheme="minorHAnsi" w:cstheme="minorBidi"/>
            <w:noProof/>
            <w:szCs w:val="22"/>
            <w:lang w:eastAsia="en-GB"/>
          </w:rPr>
          <w:tab/>
        </w:r>
        <w:r w:rsidR="009156CD" w:rsidRPr="008059E8">
          <w:rPr>
            <w:rStyle w:val="Hyperlink"/>
            <w:noProof/>
          </w:rPr>
          <w:t>APPENDIX A: SCOPE OF CIVIL ENGINEERING WORKS AND STRUCTURES</w:t>
        </w:r>
        <w:r w:rsidR="009156CD">
          <w:rPr>
            <w:noProof/>
            <w:webHidden/>
          </w:rPr>
          <w:tab/>
        </w:r>
        <w:r w:rsidR="009156CD">
          <w:rPr>
            <w:noProof/>
            <w:webHidden/>
          </w:rPr>
          <w:fldChar w:fldCharType="begin"/>
        </w:r>
        <w:r w:rsidR="009156CD">
          <w:rPr>
            <w:noProof/>
            <w:webHidden/>
          </w:rPr>
          <w:instrText xml:space="preserve"> PAGEREF _Toc57912711 \h </w:instrText>
        </w:r>
        <w:r w:rsidR="009156CD">
          <w:rPr>
            <w:noProof/>
            <w:webHidden/>
          </w:rPr>
        </w:r>
        <w:r w:rsidR="009156CD">
          <w:rPr>
            <w:noProof/>
            <w:webHidden/>
          </w:rPr>
          <w:fldChar w:fldCharType="separate"/>
        </w:r>
        <w:r w:rsidR="009156CD">
          <w:rPr>
            <w:noProof/>
            <w:webHidden/>
          </w:rPr>
          <w:t>55</w:t>
        </w:r>
        <w:r w:rsidR="009156CD">
          <w:rPr>
            <w:noProof/>
            <w:webHidden/>
          </w:rPr>
          <w:fldChar w:fldCharType="end"/>
        </w:r>
      </w:hyperlink>
    </w:p>
    <w:p w14:paraId="36DA201E" w14:textId="6EF6A71D" w:rsidR="009156CD" w:rsidRDefault="00000000">
      <w:pPr>
        <w:pStyle w:val="TOC2"/>
        <w:rPr>
          <w:rFonts w:asciiTheme="minorHAnsi" w:eastAsiaTheme="minorEastAsia" w:hAnsiTheme="minorHAnsi" w:cstheme="minorBidi"/>
          <w:noProof/>
          <w:szCs w:val="22"/>
          <w:lang w:eastAsia="en-GB"/>
        </w:rPr>
      </w:pPr>
      <w:hyperlink w:anchor="_Toc57912712" w:history="1">
        <w:r w:rsidR="009156CD" w:rsidRPr="008059E8">
          <w:rPr>
            <w:rStyle w:val="Hyperlink"/>
            <w:noProof/>
          </w:rPr>
          <w:t>7.2</w:t>
        </w:r>
        <w:r w:rsidR="009156CD">
          <w:rPr>
            <w:rFonts w:asciiTheme="minorHAnsi" w:eastAsiaTheme="minorEastAsia" w:hAnsiTheme="minorHAnsi" w:cstheme="minorBidi"/>
            <w:noProof/>
            <w:szCs w:val="22"/>
            <w:lang w:eastAsia="en-GB"/>
          </w:rPr>
          <w:tab/>
        </w:r>
        <w:r w:rsidR="009156CD" w:rsidRPr="008059E8">
          <w:rPr>
            <w:rStyle w:val="Hyperlink"/>
            <w:noProof/>
          </w:rPr>
          <w:t xml:space="preserve">APPENDIX B: </w:t>
        </w:r>
        <w:r w:rsidR="009156CD" w:rsidRPr="008059E8">
          <w:rPr>
            <w:rStyle w:val="Hyperlink"/>
            <w:bCs/>
            <w:noProof/>
            <w:lang w:eastAsia="en-GB"/>
          </w:rPr>
          <w:t>LIST OF RELEVANT SAFETY ASSESSMENT PRINCIPLES</w:t>
        </w:r>
        <w:r w:rsidR="009156CD">
          <w:rPr>
            <w:noProof/>
            <w:webHidden/>
          </w:rPr>
          <w:tab/>
        </w:r>
        <w:r w:rsidR="009156CD">
          <w:rPr>
            <w:noProof/>
            <w:webHidden/>
          </w:rPr>
          <w:fldChar w:fldCharType="begin"/>
        </w:r>
        <w:r w:rsidR="009156CD">
          <w:rPr>
            <w:noProof/>
            <w:webHidden/>
          </w:rPr>
          <w:instrText xml:space="preserve"> PAGEREF _Toc57912712 \h </w:instrText>
        </w:r>
        <w:r w:rsidR="009156CD">
          <w:rPr>
            <w:noProof/>
            <w:webHidden/>
          </w:rPr>
        </w:r>
        <w:r w:rsidR="009156CD">
          <w:rPr>
            <w:noProof/>
            <w:webHidden/>
          </w:rPr>
          <w:fldChar w:fldCharType="separate"/>
        </w:r>
        <w:r w:rsidR="009156CD">
          <w:rPr>
            <w:noProof/>
            <w:webHidden/>
          </w:rPr>
          <w:t>56</w:t>
        </w:r>
        <w:r w:rsidR="009156CD">
          <w:rPr>
            <w:noProof/>
            <w:webHidden/>
          </w:rPr>
          <w:fldChar w:fldCharType="end"/>
        </w:r>
      </w:hyperlink>
    </w:p>
    <w:p w14:paraId="690EE1CF" w14:textId="55758C86" w:rsidR="009156CD" w:rsidRDefault="00000000">
      <w:pPr>
        <w:pStyle w:val="TOC2"/>
        <w:rPr>
          <w:rFonts w:asciiTheme="minorHAnsi" w:eastAsiaTheme="minorEastAsia" w:hAnsiTheme="minorHAnsi" w:cstheme="minorBidi"/>
          <w:noProof/>
          <w:szCs w:val="22"/>
          <w:lang w:eastAsia="en-GB"/>
        </w:rPr>
      </w:pPr>
      <w:hyperlink w:anchor="_Toc57912713" w:history="1">
        <w:r w:rsidR="009156CD" w:rsidRPr="008059E8">
          <w:rPr>
            <w:rStyle w:val="Hyperlink"/>
            <w:noProof/>
          </w:rPr>
          <w:t>7.3</w:t>
        </w:r>
        <w:r w:rsidR="009156CD">
          <w:rPr>
            <w:rFonts w:asciiTheme="minorHAnsi" w:eastAsiaTheme="minorEastAsia" w:hAnsiTheme="minorHAnsi" w:cstheme="minorBidi"/>
            <w:noProof/>
            <w:szCs w:val="22"/>
            <w:lang w:eastAsia="en-GB"/>
          </w:rPr>
          <w:tab/>
        </w:r>
        <w:r w:rsidR="009156CD" w:rsidRPr="008059E8">
          <w:rPr>
            <w:rStyle w:val="Hyperlink"/>
            <w:noProof/>
          </w:rPr>
          <w:t xml:space="preserve">APPENDIX C: </w:t>
        </w:r>
        <w:r w:rsidR="009156CD" w:rsidRPr="008059E8">
          <w:rPr>
            <w:rStyle w:val="Hyperlink"/>
            <w:bCs/>
            <w:noProof/>
            <w:lang w:eastAsia="en-GB"/>
          </w:rPr>
          <w:t>LIST OF LICENCE CONDITIONS RELEVANT TO CIVIL ENGINEERING</w:t>
        </w:r>
        <w:r w:rsidR="009156CD">
          <w:rPr>
            <w:noProof/>
            <w:webHidden/>
          </w:rPr>
          <w:tab/>
        </w:r>
        <w:r w:rsidR="009156CD">
          <w:rPr>
            <w:noProof/>
            <w:webHidden/>
          </w:rPr>
          <w:fldChar w:fldCharType="begin"/>
        </w:r>
        <w:r w:rsidR="009156CD">
          <w:rPr>
            <w:noProof/>
            <w:webHidden/>
          </w:rPr>
          <w:instrText xml:space="preserve"> PAGEREF _Toc57912713 \h </w:instrText>
        </w:r>
        <w:r w:rsidR="009156CD">
          <w:rPr>
            <w:noProof/>
            <w:webHidden/>
          </w:rPr>
        </w:r>
        <w:r w:rsidR="009156CD">
          <w:rPr>
            <w:noProof/>
            <w:webHidden/>
          </w:rPr>
          <w:fldChar w:fldCharType="separate"/>
        </w:r>
        <w:r w:rsidR="009156CD">
          <w:rPr>
            <w:noProof/>
            <w:webHidden/>
          </w:rPr>
          <w:t>64</w:t>
        </w:r>
        <w:r w:rsidR="009156CD">
          <w:rPr>
            <w:noProof/>
            <w:webHidden/>
          </w:rPr>
          <w:fldChar w:fldCharType="end"/>
        </w:r>
      </w:hyperlink>
    </w:p>
    <w:p w14:paraId="7AF9A3E7" w14:textId="40C5492E" w:rsidR="009156CD" w:rsidRDefault="00000000">
      <w:pPr>
        <w:pStyle w:val="TOC2"/>
        <w:rPr>
          <w:rFonts w:asciiTheme="minorHAnsi" w:eastAsiaTheme="minorEastAsia" w:hAnsiTheme="minorHAnsi" w:cstheme="minorBidi"/>
          <w:noProof/>
          <w:szCs w:val="22"/>
          <w:lang w:eastAsia="en-GB"/>
        </w:rPr>
      </w:pPr>
      <w:hyperlink w:anchor="_Toc57912714" w:history="1">
        <w:r w:rsidR="009156CD" w:rsidRPr="008059E8">
          <w:rPr>
            <w:rStyle w:val="Hyperlink"/>
            <w:noProof/>
          </w:rPr>
          <w:t>7.4</w:t>
        </w:r>
        <w:r w:rsidR="009156CD">
          <w:rPr>
            <w:rFonts w:asciiTheme="minorHAnsi" w:eastAsiaTheme="minorEastAsia" w:hAnsiTheme="minorHAnsi" w:cstheme="minorBidi"/>
            <w:noProof/>
            <w:szCs w:val="22"/>
            <w:lang w:eastAsia="en-GB"/>
          </w:rPr>
          <w:tab/>
        </w:r>
        <w:r w:rsidR="009156CD" w:rsidRPr="008059E8">
          <w:rPr>
            <w:rStyle w:val="Hyperlink"/>
            <w:noProof/>
          </w:rPr>
          <w:t xml:space="preserve">APPENDIX D: </w:t>
        </w:r>
        <w:r w:rsidR="009156CD" w:rsidRPr="008059E8">
          <w:rPr>
            <w:rStyle w:val="Hyperlink"/>
            <w:bCs/>
            <w:noProof/>
            <w:lang w:eastAsia="en-GB"/>
          </w:rPr>
          <w:t>IAEA GUIDANCE RELATED TO THE CIVIL ENGINEERING SAPs</w:t>
        </w:r>
        <w:r w:rsidR="009156CD">
          <w:rPr>
            <w:noProof/>
            <w:webHidden/>
          </w:rPr>
          <w:tab/>
        </w:r>
        <w:r w:rsidR="009156CD">
          <w:rPr>
            <w:noProof/>
            <w:webHidden/>
          </w:rPr>
          <w:fldChar w:fldCharType="begin"/>
        </w:r>
        <w:r w:rsidR="009156CD">
          <w:rPr>
            <w:noProof/>
            <w:webHidden/>
          </w:rPr>
          <w:instrText xml:space="preserve"> PAGEREF _Toc57912714 \h </w:instrText>
        </w:r>
        <w:r w:rsidR="009156CD">
          <w:rPr>
            <w:noProof/>
            <w:webHidden/>
          </w:rPr>
        </w:r>
        <w:r w:rsidR="009156CD">
          <w:rPr>
            <w:noProof/>
            <w:webHidden/>
          </w:rPr>
          <w:fldChar w:fldCharType="separate"/>
        </w:r>
        <w:r w:rsidR="009156CD">
          <w:rPr>
            <w:noProof/>
            <w:webHidden/>
          </w:rPr>
          <w:t>67</w:t>
        </w:r>
        <w:r w:rsidR="009156CD">
          <w:rPr>
            <w:noProof/>
            <w:webHidden/>
          </w:rPr>
          <w:fldChar w:fldCharType="end"/>
        </w:r>
      </w:hyperlink>
    </w:p>
    <w:p w14:paraId="5611CFB9" w14:textId="6C85790C" w:rsidR="009156CD" w:rsidRDefault="00000000">
      <w:pPr>
        <w:pStyle w:val="TOC2"/>
        <w:rPr>
          <w:rFonts w:asciiTheme="minorHAnsi" w:eastAsiaTheme="minorEastAsia" w:hAnsiTheme="minorHAnsi" w:cstheme="minorBidi"/>
          <w:noProof/>
          <w:szCs w:val="22"/>
          <w:lang w:eastAsia="en-GB"/>
        </w:rPr>
      </w:pPr>
      <w:hyperlink w:anchor="_Toc57912715" w:history="1">
        <w:r w:rsidR="009156CD" w:rsidRPr="008059E8">
          <w:rPr>
            <w:rStyle w:val="Hyperlink"/>
            <w:noProof/>
          </w:rPr>
          <w:t>7.5</w:t>
        </w:r>
        <w:r w:rsidR="009156CD">
          <w:rPr>
            <w:rFonts w:asciiTheme="minorHAnsi" w:eastAsiaTheme="minorEastAsia" w:hAnsiTheme="minorHAnsi" w:cstheme="minorBidi"/>
            <w:noProof/>
            <w:szCs w:val="22"/>
            <w:lang w:eastAsia="en-GB"/>
          </w:rPr>
          <w:tab/>
        </w:r>
        <w:r w:rsidR="009156CD" w:rsidRPr="008059E8">
          <w:rPr>
            <w:rStyle w:val="Hyperlink"/>
            <w:noProof/>
          </w:rPr>
          <w:t>APPENDIX E: WENRA PRINCIPLES RELATED TO THE CIVIL ENGINEERING SAPs</w:t>
        </w:r>
        <w:r w:rsidR="009156CD">
          <w:rPr>
            <w:noProof/>
            <w:webHidden/>
          </w:rPr>
          <w:tab/>
        </w:r>
        <w:r w:rsidR="009156CD">
          <w:rPr>
            <w:noProof/>
            <w:webHidden/>
          </w:rPr>
          <w:fldChar w:fldCharType="begin"/>
        </w:r>
        <w:r w:rsidR="009156CD">
          <w:rPr>
            <w:noProof/>
            <w:webHidden/>
          </w:rPr>
          <w:instrText xml:space="preserve"> PAGEREF _Toc57912715 \h </w:instrText>
        </w:r>
        <w:r w:rsidR="009156CD">
          <w:rPr>
            <w:noProof/>
            <w:webHidden/>
          </w:rPr>
        </w:r>
        <w:r w:rsidR="009156CD">
          <w:rPr>
            <w:noProof/>
            <w:webHidden/>
          </w:rPr>
          <w:fldChar w:fldCharType="separate"/>
        </w:r>
        <w:r w:rsidR="009156CD">
          <w:rPr>
            <w:noProof/>
            <w:webHidden/>
          </w:rPr>
          <w:t>70</w:t>
        </w:r>
        <w:r w:rsidR="009156CD">
          <w:rPr>
            <w:noProof/>
            <w:webHidden/>
          </w:rPr>
          <w:fldChar w:fldCharType="end"/>
        </w:r>
      </w:hyperlink>
    </w:p>
    <w:p w14:paraId="045AE153" w14:textId="6ECEC842" w:rsidR="009156CD" w:rsidRDefault="00000000">
      <w:pPr>
        <w:pStyle w:val="TOC2"/>
        <w:rPr>
          <w:rFonts w:asciiTheme="minorHAnsi" w:eastAsiaTheme="minorEastAsia" w:hAnsiTheme="minorHAnsi" w:cstheme="minorBidi"/>
          <w:noProof/>
          <w:szCs w:val="22"/>
          <w:lang w:eastAsia="en-GB"/>
        </w:rPr>
      </w:pPr>
      <w:hyperlink w:anchor="_Toc57912716" w:history="1">
        <w:r w:rsidR="009156CD" w:rsidRPr="008059E8">
          <w:rPr>
            <w:rStyle w:val="Hyperlink"/>
            <w:noProof/>
          </w:rPr>
          <w:t>7.6</w:t>
        </w:r>
        <w:r w:rsidR="009156CD">
          <w:rPr>
            <w:rFonts w:asciiTheme="minorHAnsi" w:eastAsiaTheme="minorEastAsia" w:hAnsiTheme="minorHAnsi" w:cstheme="minorBidi"/>
            <w:noProof/>
            <w:szCs w:val="22"/>
            <w:lang w:eastAsia="en-GB"/>
          </w:rPr>
          <w:tab/>
        </w:r>
        <w:r w:rsidR="009156CD" w:rsidRPr="008059E8">
          <w:rPr>
            <w:rStyle w:val="Hyperlink"/>
            <w:noProof/>
          </w:rPr>
          <w:t>APPENDIX F: INTERNAL INTERFACES</w:t>
        </w:r>
        <w:r w:rsidR="009156CD">
          <w:rPr>
            <w:noProof/>
            <w:webHidden/>
          </w:rPr>
          <w:tab/>
        </w:r>
        <w:r w:rsidR="009156CD">
          <w:rPr>
            <w:noProof/>
            <w:webHidden/>
          </w:rPr>
          <w:fldChar w:fldCharType="begin"/>
        </w:r>
        <w:r w:rsidR="009156CD">
          <w:rPr>
            <w:noProof/>
            <w:webHidden/>
          </w:rPr>
          <w:instrText xml:space="preserve"> PAGEREF _Toc57912716 \h </w:instrText>
        </w:r>
        <w:r w:rsidR="009156CD">
          <w:rPr>
            <w:noProof/>
            <w:webHidden/>
          </w:rPr>
        </w:r>
        <w:r w:rsidR="009156CD">
          <w:rPr>
            <w:noProof/>
            <w:webHidden/>
          </w:rPr>
          <w:fldChar w:fldCharType="separate"/>
        </w:r>
        <w:r w:rsidR="009156CD">
          <w:rPr>
            <w:noProof/>
            <w:webHidden/>
          </w:rPr>
          <w:t>71</w:t>
        </w:r>
        <w:r w:rsidR="009156CD">
          <w:rPr>
            <w:noProof/>
            <w:webHidden/>
          </w:rPr>
          <w:fldChar w:fldCharType="end"/>
        </w:r>
      </w:hyperlink>
    </w:p>
    <w:p w14:paraId="2D82DCF5" w14:textId="6342C34F" w:rsidR="009156CD" w:rsidRDefault="00000000">
      <w:pPr>
        <w:pStyle w:val="TOC2"/>
        <w:rPr>
          <w:rFonts w:asciiTheme="minorHAnsi" w:eastAsiaTheme="minorEastAsia" w:hAnsiTheme="minorHAnsi" w:cstheme="minorBidi"/>
          <w:noProof/>
          <w:szCs w:val="22"/>
          <w:lang w:eastAsia="en-GB"/>
        </w:rPr>
      </w:pPr>
      <w:hyperlink w:anchor="_Toc57912717" w:history="1">
        <w:r w:rsidR="009156CD" w:rsidRPr="008059E8">
          <w:rPr>
            <w:rStyle w:val="Hyperlink"/>
            <w:noProof/>
          </w:rPr>
          <w:t>7.7</w:t>
        </w:r>
        <w:r w:rsidR="009156CD">
          <w:rPr>
            <w:rFonts w:asciiTheme="minorHAnsi" w:eastAsiaTheme="minorEastAsia" w:hAnsiTheme="minorHAnsi" w:cstheme="minorBidi"/>
            <w:noProof/>
            <w:szCs w:val="22"/>
            <w:lang w:eastAsia="en-GB"/>
          </w:rPr>
          <w:tab/>
        </w:r>
        <w:r w:rsidR="009156CD" w:rsidRPr="008059E8">
          <w:rPr>
            <w:rStyle w:val="Hyperlink"/>
            <w:noProof/>
          </w:rPr>
          <w:t>APPENDIX G: EXTERNAL INTERFACES.</w:t>
        </w:r>
        <w:r w:rsidR="009156CD">
          <w:rPr>
            <w:noProof/>
            <w:webHidden/>
          </w:rPr>
          <w:tab/>
        </w:r>
        <w:r w:rsidR="009156CD">
          <w:rPr>
            <w:noProof/>
            <w:webHidden/>
          </w:rPr>
          <w:fldChar w:fldCharType="begin"/>
        </w:r>
        <w:r w:rsidR="009156CD">
          <w:rPr>
            <w:noProof/>
            <w:webHidden/>
          </w:rPr>
          <w:instrText xml:space="preserve"> PAGEREF _Toc57912717 \h </w:instrText>
        </w:r>
        <w:r w:rsidR="009156CD">
          <w:rPr>
            <w:noProof/>
            <w:webHidden/>
          </w:rPr>
        </w:r>
        <w:r w:rsidR="009156CD">
          <w:rPr>
            <w:noProof/>
            <w:webHidden/>
          </w:rPr>
          <w:fldChar w:fldCharType="separate"/>
        </w:r>
        <w:r w:rsidR="009156CD">
          <w:rPr>
            <w:noProof/>
            <w:webHidden/>
          </w:rPr>
          <w:t>76</w:t>
        </w:r>
        <w:r w:rsidR="009156CD">
          <w:rPr>
            <w:noProof/>
            <w:webHidden/>
          </w:rPr>
          <w:fldChar w:fldCharType="end"/>
        </w:r>
      </w:hyperlink>
    </w:p>
    <w:p w14:paraId="57304D4E" w14:textId="10637880" w:rsidR="002F5007" w:rsidRPr="00CC121D" w:rsidRDefault="002F5007" w:rsidP="002F5007">
      <w:pPr>
        <w:jc w:val="center"/>
        <w:rPr>
          <w:b/>
        </w:rPr>
      </w:pPr>
      <w:r w:rsidRPr="00CC121D">
        <w:rPr>
          <w:caps/>
        </w:rPr>
        <w:fldChar w:fldCharType="end"/>
      </w:r>
    </w:p>
    <w:p w14:paraId="57304D4F" w14:textId="77777777" w:rsidR="000E4C4F" w:rsidRPr="00CC121D" w:rsidRDefault="000E4C4F">
      <w:pPr>
        <w:rPr>
          <w:rFonts w:ascii="Arial Bold" w:hAnsi="Arial Bold"/>
          <w:b/>
          <w:caps/>
        </w:rPr>
      </w:pPr>
      <w:r w:rsidRPr="00CC121D">
        <w:br w:type="page"/>
      </w:r>
    </w:p>
    <w:p w14:paraId="57304D50" w14:textId="300344BA" w:rsidR="00B62320" w:rsidRPr="00CC121D" w:rsidRDefault="00B62320" w:rsidP="00E125EA">
      <w:pPr>
        <w:pStyle w:val="TSHeadingNumbered1"/>
        <w:numPr>
          <w:ilvl w:val="0"/>
          <w:numId w:val="0"/>
        </w:numPr>
        <w:rPr>
          <w:rFonts w:cs="Arial"/>
        </w:rPr>
      </w:pPr>
      <w:bookmarkStart w:id="0" w:name="_Toc520367599"/>
      <w:bookmarkStart w:id="1" w:name="_Toc35005235"/>
      <w:bookmarkStart w:id="2" w:name="_Toc57912675"/>
      <w:r w:rsidRPr="00CC121D">
        <w:rPr>
          <w:rFonts w:cs="Arial"/>
        </w:rPr>
        <w:lastRenderedPageBreak/>
        <w:t>LIST OF ABBREVIATIONS</w:t>
      </w:r>
      <w:bookmarkEnd w:id="0"/>
      <w:bookmarkEnd w:id="1"/>
      <w:bookmarkEnd w:id="2"/>
    </w:p>
    <w:p w14:paraId="57304D53" w14:textId="0F55E444" w:rsidR="00FE07AC" w:rsidRPr="00CC121D" w:rsidRDefault="00FE07AC" w:rsidP="00417307">
      <w:pPr>
        <w:tabs>
          <w:tab w:val="left" w:pos="1134"/>
        </w:tabs>
        <w:spacing w:after="100"/>
      </w:pPr>
      <w:r w:rsidRPr="00CC121D">
        <w:t>ALARP</w:t>
      </w:r>
      <w:r w:rsidRPr="00CC121D">
        <w:tab/>
        <w:t xml:space="preserve">As Low </w:t>
      </w:r>
      <w:r w:rsidR="00C17F56" w:rsidRPr="00CC121D">
        <w:t>as</w:t>
      </w:r>
      <w:r w:rsidRPr="00CC121D">
        <w:t xml:space="preserve"> Reasonably Practicable</w:t>
      </w:r>
    </w:p>
    <w:p w14:paraId="57304D54" w14:textId="77777777" w:rsidR="00FE07AC" w:rsidRPr="00CC121D" w:rsidRDefault="00FE07AC" w:rsidP="00417307">
      <w:pPr>
        <w:tabs>
          <w:tab w:val="left" w:pos="1134"/>
        </w:tabs>
        <w:spacing w:after="100"/>
      </w:pPr>
      <w:r w:rsidRPr="00CC121D">
        <w:t>ASCE</w:t>
      </w:r>
      <w:r w:rsidRPr="00CC121D">
        <w:tab/>
        <w:t>American Society of Civil Engineers</w:t>
      </w:r>
    </w:p>
    <w:p w14:paraId="57304D55" w14:textId="77777777" w:rsidR="00FE07AC" w:rsidRPr="00CC121D" w:rsidRDefault="00FE07AC" w:rsidP="00417307">
      <w:pPr>
        <w:tabs>
          <w:tab w:val="left" w:pos="1134"/>
        </w:tabs>
        <w:spacing w:after="100"/>
      </w:pPr>
      <w:r w:rsidRPr="00CC121D">
        <w:t>BDB</w:t>
      </w:r>
      <w:r w:rsidRPr="00CC121D">
        <w:tab/>
        <w:t>Beyond Design Basis</w:t>
      </w:r>
    </w:p>
    <w:p w14:paraId="57304D57" w14:textId="77777777" w:rsidR="00FE07AC" w:rsidRPr="00CC121D" w:rsidRDefault="00FE07AC" w:rsidP="00417307">
      <w:pPr>
        <w:tabs>
          <w:tab w:val="left" w:pos="1134"/>
        </w:tabs>
        <w:spacing w:after="100"/>
      </w:pPr>
      <w:r w:rsidRPr="00CC121D">
        <w:t>BIM</w:t>
      </w:r>
      <w:r w:rsidRPr="00CC121D">
        <w:tab/>
        <w:t>Building Information Modelling</w:t>
      </w:r>
    </w:p>
    <w:p w14:paraId="57304D5B" w14:textId="76E6687A" w:rsidR="00FE07AC" w:rsidRPr="00CC121D" w:rsidRDefault="00FE07AC" w:rsidP="00417307">
      <w:pPr>
        <w:tabs>
          <w:tab w:val="left" w:pos="1134"/>
        </w:tabs>
        <w:spacing w:after="100"/>
      </w:pPr>
      <w:r w:rsidRPr="00CC121D">
        <w:t>CDM</w:t>
      </w:r>
      <w:r w:rsidR="00E4696D">
        <w:t>2015</w:t>
      </w:r>
      <w:r w:rsidRPr="00CC121D">
        <w:tab/>
        <w:t>Construction (Design and Management) Regulations 2015</w:t>
      </w:r>
    </w:p>
    <w:p w14:paraId="57304D5D" w14:textId="77777777" w:rsidR="007A2434" w:rsidRPr="00CC121D" w:rsidRDefault="007A2434" w:rsidP="00417307">
      <w:pPr>
        <w:tabs>
          <w:tab w:val="left" w:pos="1134"/>
        </w:tabs>
        <w:spacing w:after="100"/>
      </w:pPr>
      <w:r w:rsidRPr="00CC121D">
        <w:t xml:space="preserve">CIRIA </w:t>
      </w:r>
      <w:r w:rsidRPr="00CC121D">
        <w:tab/>
        <w:t>Construction Industry Research and Information Association</w:t>
      </w:r>
    </w:p>
    <w:p w14:paraId="57304D5F" w14:textId="77777777" w:rsidR="00FE07AC" w:rsidRPr="00CC121D" w:rsidRDefault="00FE07AC" w:rsidP="00417307">
      <w:pPr>
        <w:tabs>
          <w:tab w:val="left" w:pos="1134"/>
        </w:tabs>
        <w:spacing w:after="100"/>
      </w:pPr>
      <w:r w:rsidRPr="00CC121D">
        <w:t>DCO</w:t>
      </w:r>
      <w:r w:rsidRPr="00CC121D">
        <w:tab/>
        <w:t>Development Consent Order</w:t>
      </w:r>
    </w:p>
    <w:p w14:paraId="57304D60" w14:textId="77777777" w:rsidR="009E350D" w:rsidRPr="00CC121D" w:rsidRDefault="009E350D" w:rsidP="00417307">
      <w:pPr>
        <w:tabs>
          <w:tab w:val="left" w:pos="1134"/>
        </w:tabs>
        <w:spacing w:after="100"/>
      </w:pPr>
      <w:r w:rsidRPr="00CC121D">
        <w:t>EIMT</w:t>
      </w:r>
      <w:r w:rsidRPr="00CC121D">
        <w:tab/>
        <w:t xml:space="preserve">Examination, </w:t>
      </w:r>
      <w:r w:rsidR="0046504A" w:rsidRPr="00CC121D">
        <w:t>Inspection, Maintenance and T</w:t>
      </w:r>
      <w:r w:rsidR="006E66AF" w:rsidRPr="00CC121D">
        <w:t>esting</w:t>
      </w:r>
    </w:p>
    <w:p w14:paraId="57304D62" w14:textId="77777777" w:rsidR="00FE07AC" w:rsidRPr="00CC121D" w:rsidRDefault="00FE07AC" w:rsidP="00417307">
      <w:pPr>
        <w:tabs>
          <w:tab w:val="left" w:pos="1134"/>
        </w:tabs>
        <w:spacing w:after="100"/>
      </w:pPr>
      <w:r w:rsidRPr="00CC121D">
        <w:t>GDA</w:t>
      </w:r>
      <w:r w:rsidRPr="00CC121D">
        <w:tab/>
        <w:t xml:space="preserve">Generic Design Assessment </w:t>
      </w:r>
    </w:p>
    <w:p w14:paraId="57304D64" w14:textId="77777777" w:rsidR="00C21C79" w:rsidRPr="00CC121D" w:rsidRDefault="00C21C79" w:rsidP="00417307">
      <w:pPr>
        <w:tabs>
          <w:tab w:val="left" w:pos="1134"/>
        </w:tabs>
        <w:spacing w:after="100"/>
      </w:pPr>
      <w:r w:rsidRPr="00CC121D">
        <w:t>HSE</w:t>
      </w:r>
      <w:r w:rsidRPr="00CC121D">
        <w:tab/>
        <w:t>Health &amp; Safety Executive</w:t>
      </w:r>
    </w:p>
    <w:p w14:paraId="57304D65" w14:textId="77777777" w:rsidR="000E4C4F" w:rsidRPr="00CC121D" w:rsidRDefault="000E4C4F" w:rsidP="00417307">
      <w:pPr>
        <w:tabs>
          <w:tab w:val="left" w:pos="1134"/>
        </w:tabs>
        <w:spacing w:after="100"/>
      </w:pPr>
      <w:r w:rsidRPr="00CC121D">
        <w:t>IAEA</w:t>
      </w:r>
      <w:r w:rsidRPr="00CC121D">
        <w:tab/>
        <w:t>International Atomic Energy Agency</w:t>
      </w:r>
    </w:p>
    <w:p w14:paraId="57304D68" w14:textId="77777777" w:rsidR="000E4C4F" w:rsidRPr="00CC121D" w:rsidRDefault="000E4C4F" w:rsidP="00417307">
      <w:pPr>
        <w:tabs>
          <w:tab w:val="left" w:pos="1134"/>
        </w:tabs>
        <w:spacing w:after="100"/>
      </w:pPr>
      <w:r w:rsidRPr="00CC121D">
        <w:t>LC</w:t>
      </w:r>
      <w:r w:rsidRPr="00CC121D">
        <w:tab/>
        <w:t>Licence Condition</w:t>
      </w:r>
    </w:p>
    <w:p w14:paraId="57304D69" w14:textId="77777777" w:rsidR="000E4C4F" w:rsidRPr="00CC121D" w:rsidRDefault="000E4C4F" w:rsidP="00417307">
      <w:pPr>
        <w:tabs>
          <w:tab w:val="left" w:pos="1134"/>
        </w:tabs>
        <w:spacing w:after="100"/>
      </w:pPr>
      <w:r w:rsidRPr="00CC121D">
        <w:t>ONR</w:t>
      </w:r>
      <w:r w:rsidRPr="00CC121D">
        <w:tab/>
        <w:t>Office for Nuclear Regulation</w:t>
      </w:r>
    </w:p>
    <w:p w14:paraId="57304D6A" w14:textId="77777777" w:rsidR="00FE07AC" w:rsidRPr="00CC121D" w:rsidRDefault="00FE07AC" w:rsidP="00417307">
      <w:pPr>
        <w:tabs>
          <w:tab w:val="left" w:pos="1134"/>
        </w:tabs>
        <w:spacing w:after="100"/>
      </w:pPr>
      <w:r w:rsidRPr="00CC121D">
        <w:t>OPEX</w:t>
      </w:r>
      <w:r w:rsidRPr="00CC121D">
        <w:tab/>
        <w:t>Operating Experience</w:t>
      </w:r>
    </w:p>
    <w:p w14:paraId="57304D6D" w14:textId="77777777" w:rsidR="007A47E7" w:rsidRPr="00CC121D" w:rsidRDefault="007A47E7" w:rsidP="00417307">
      <w:pPr>
        <w:tabs>
          <w:tab w:val="left" w:pos="1134"/>
        </w:tabs>
        <w:spacing w:after="100"/>
      </w:pPr>
      <w:r w:rsidRPr="00CC121D">
        <w:t>RGP</w:t>
      </w:r>
      <w:r w:rsidRPr="00CC121D">
        <w:tab/>
        <w:t>Relevant Good Practice</w:t>
      </w:r>
    </w:p>
    <w:p w14:paraId="57304D6E" w14:textId="55B44BF2" w:rsidR="00D07AFA" w:rsidRPr="00CC121D" w:rsidRDefault="000E4C4F" w:rsidP="00417307">
      <w:pPr>
        <w:tabs>
          <w:tab w:val="left" w:pos="1134"/>
        </w:tabs>
        <w:spacing w:after="100"/>
      </w:pPr>
      <w:r w:rsidRPr="00CC121D">
        <w:t>SAP</w:t>
      </w:r>
      <w:r w:rsidR="007D2919">
        <w:t>(s)</w:t>
      </w:r>
      <w:r w:rsidR="00E2007F" w:rsidRPr="00CC121D">
        <w:tab/>
        <w:t>Safety Assessment Principle(s)</w:t>
      </w:r>
    </w:p>
    <w:p w14:paraId="57304D70" w14:textId="77777777" w:rsidR="008141FE" w:rsidRPr="00CC121D" w:rsidRDefault="008141FE" w:rsidP="00417307">
      <w:pPr>
        <w:tabs>
          <w:tab w:val="left" w:pos="1134"/>
        </w:tabs>
        <w:spacing w:after="100"/>
      </w:pPr>
      <w:r w:rsidRPr="00CC121D">
        <w:t>S</w:t>
      </w:r>
      <w:r w:rsidR="009A1A43" w:rsidRPr="00CC121D">
        <w:t>QEP</w:t>
      </w:r>
      <w:r w:rsidRPr="00CC121D">
        <w:tab/>
      </w:r>
      <w:r w:rsidR="009A1A43" w:rsidRPr="00CC121D">
        <w:t>Suitably qualified and experienced person</w:t>
      </w:r>
    </w:p>
    <w:p w14:paraId="57304D71" w14:textId="77777777" w:rsidR="000E4C4F" w:rsidRPr="00CC121D" w:rsidRDefault="000E4C4F" w:rsidP="00417307">
      <w:pPr>
        <w:tabs>
          <w:tab w:val="left" w:pos="1134"/>
        </w:tabs>
        <w:spacing w:after="100"/>
      </w:pPr>
      <w:r w:rsidRPr="00CC121D">
        <w:t>SSC</w:t>
      </w:r>
      <w:r w:rsidRPr="00CC121D">
        <w:tab/>
        <w:t>Structure, System and Component</w:t>
      </w:r>
    </w:p>
    <w:p w14:paraId="57304D75" w14:textId="77777777" w:rsidR="000E4C4F" w:rsidRPr="00CC121D" w:rsidRDefault="000E4C4F" w:rsidP="00417307">
      <w:pPr>
        <w:tabs>
          <w:tab w:val="left" w:pos="1134"/>
        </w:tabs>
        <w:spacing w:after="100"/>
      </w:pPr>
      <w:r w:rsidRPr="00CC121D">
        <w:t>TAG</w:t>
      </w:r>
      <w:r w:rsidRPr="00CC121D">
        <w:tab/>
        <w:t>Technical Assessment Guide(s) (ONR)</w:t>
      </w:r>
    </w:p>
    <w:p w14:paraId="57304D76" w14:textId="77777777" w:rsidR="00FE07AC" w:rsidRPr="00CC121D" w:rsidRDefault="00FE07AC" w:rsidP="00417307">
      <w:pPr>
        <w:tabs>
          <w:tab w:val="left" w:pos="1134"/>
        </w:tabs>
        <w:spacing w:after="100"/>
      </w:pPr>
      <w:r w:rsidRPr="00CC121D">
        <w:t>TIG</w:t>
      </w:r>
      <w:r w:rsidRPr="00CC121D">
        <w:tab/>
        <w:t>Technical Inspection Guide(s) (ONR)</w:t>
      </w:r>
    </w:p>
    <w:p w14:paraId="57304D78" w14:textId="78A5F257" w:rsidR="00A62213" w:rsidRDefault="00F61905" w:rsidP="00D07AFA">
      <w:pPr>
        <w:tabs>
          <w:tab w:val="left" w:pos="1134"/>
        </w:tabs>
        <w:spacing w:after="100"/>
      </w:pPr>
      <w:r w:rsidRPr="00CC121D">
        <w:t>WENRA</w:t>
      </w:r>
      <w:r w:rsidRPr="00CC121D">
        <w:tab/>
        <w:t>Western European Nuclear Regulators’ Association</w:t>
      </w:r>
    </w:p>
    <w:p w14:paraId="114EEEB7" w14:textId="1C28A6BE" w:rsidR="006D3219" w:rsidRDefault="006D3219">
      <w:r>
        <w:br w:type="page"/>
      </w:r>
    </w:p>
    <w:p w14:paraId="57304D79" w14:textId="77777777" w:rsidR="00A62213" w:rsidRPr="00CC121D" w:rsidRDefault="00A62213" w:rsidP="00A62213">
      <w:pPr>
        <w:pStyle w:val="TSHeadingNumbered1"/>
        <w:numPr>
          <w:ilvl w:val="0"/>
          <w:numId w:val="0"/>
        </w:numPr>
        <w:ind w:left="720" w:hanging="720"/>
      </w:pPr>
      <w:bookmarkStart w:id="3" w:name="_Toc43723349"/>
      <w:bookmarkStart w:id="4" w:name="_Toc57912676"/>
      <w:r w:rsidRPr="00CC121D">
        <w:lastRenderedPageBreak/>
        <w:t>Glossary</w:t>
      </w:r>
      <w:bookmarkEnd w:id="3"/>
      <w:bookmarkEnd w:id="4"/>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5708"/>
        <w:gridCol w:w="1417"/>
      </w:tblGrid>
      <w:tr w:rsidR="00A62213" w:rsidRPr="00CC121D" w14:paraId="57304D7D" w14:textId="77777777" w:rsidTr="00AA1B3C">
        <w:tc>
          <w:tcPr>
            <w:tcW w:w="2084" w:type="dxa"/>
            <w:tcBorders>
              <w:top w:val="single" w:sz="4" w:space="0" w:color="auto"/>
              <w:left w:val="single" w:sz="4" w:space="0" w:color="auto"/>
              <w:bottom w:val="single" w:sz="4" w:space="0" w:color="auto"/>
              <w:right w:val="single" w:sz="4" w:space="0" w:color="auto"/>
            </w:tcBorders>
            <w:vAlign w:val="center"/>
            <w:hideMark/>
          </w:tcPr>
          <w:p w14:paraId="57304D7A" w14:textId="77777777" w:rsidR="00A62213" w:rsidRPr="00CC121D" w:rsidRDefault="00A62213" w:rsidP="00AB10BE">
            <w:pPr>
              <w:spacing w:before="120" w:after="120"/>
              <w:rPr>
                <w:rFonts w:cs="Arial"/>
                <w:b/>
                <w:sz w:val="20"/>
                <w:szCs w:val="22"/>
              </w:rPr>
            </w:pPr>
            <w:r w:rsidRPr="00CC121D">
              <w:rPr>
                <w:rFonts w:cs="Arial"/>
                <w:b/>
                <w:sz w:val="20"/>
                <w:szCs w:val="22"/>
              </w:rPr>
              <w:t>Term</w:t>
            </w:r>
          </w:p>
        </w:tc>
        <w:tc>
          <w:tcPr>
            <w:tcW w:w="5708" w:type="dxa"/>
            <w:tcBorders>
              <w:top w:val="single" w:sz="4" w:space="0" w:color="auto"/>
              <w:left w:val="single" w:sz="4" w:space="0" w:color="auto"/>
              <w:bottom w:val="single" w:sz="4" w:space="0" w:color="auto"/>
              <w:right w:val="single" w:sz="4" w:space="0" w:color="auto"/>
            </w:tcBorders>
            <w:vAlign w:val="center"/>
            <w:hideMark/>
          </w:tcPr>
          <w:p w14:paraId="57304D7B" w14:textId="77777777" w:rsidR="00A62213" w:rsidRPr="00CC121D" w:rsidRDefault="00A62213" w:rsidP="00AB10BE">
            <w:pPr>
              <w:spacing w:before="120" w:after="120"/>
              <w:rPr>
                <w:rFonts w:cs="Arial"/>
                <w:b/>
                <w:sz w:val="20"/>
                <w:szCs w:val="22"/>
              </w:rPr>
            </w:pPr>
            <w:r w:rsidRPr="00CC121D">
              <w:rPr>
                <w:rFonts w:cs="Arial"/>
                <w:b/>
                <w:sz w:val="20"/>
                <w:szCs w:val="22"/>
              </w:rPr>
              <w:t xml:space="preserve">Definition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304D7C" w14:textId="77777777" w:rsidR="00A62213" w:rsidRPr="00CC121D" w:rsidRDefault="00A62213" w:rsidP="00AB10BE">
            <w:pPr>
              <w:spacing w:before="120" w:after="120"/>
              <w:rPr>
                <w:rFonts w:cs="Arial"/>
                <w:b/>
                <w:sz w:val="20"/>
                <w:szCs w:val="22"/>
              </w:rPr>
            </w:pPr>
            <w:r w:rsidRPr="00CC121D">
              <w:rPr>
                <w:rFonts w:cs="Arial"/>
                <w:b/>
                <w:sz w:val="20"/>
                <w:szCs w:val="22"/>
              </w:rPr>
              <w:t>Source</w:t>
            </w:r>
          </w:p>
        </w:tc>
      </w:tr>
      <w:tr w:rsidR="00A62213" w:rsidRPr="00CC121D" w14:paraId="57304D81" w14:textId="77777777" w:rsidTr="00AA1B3C">
        <w:tc>
          <w:tcPr>
            <w:tcW w:w="2084" w:type="dxa"/>
            <w:tcBorders>
              <w:top w:val="single" w:sz="4" w:space="0" w:color="auto"/>
              <w:left w:val="single" w:sz="4" w:space="0" w:color="auto"/>
              <w:bottom w:val="single" w:sz="4" w:space="0" w:color="auto"/>
              <w:right w:val="single" w:sz="4" w:space="0" w:color="auto"/>
            </w:tcBorders>
            <w:vAlign w:val="center"/>
            <w:hideMark/>
          </w:tcPr>
          <w:p w14:paraId="57304D7E" w14:textId="77777777" w:rsidR="00A62213" w:rsidRPr="00AF45BA" w:rsidRDefault="00A62213" w:rsidP="00AB10BE">
            <w:pPr>
              <w:spacing w:before="60" w:after="60"/>
              <w:rPr>
                <w:sz w:val="18"/>
                <w:szCs w:val="18"/>
              </w:rPr>
            </w:pPr>
            <w:r w:rsidRPr="00AF45BA">
              <w:rPr>
                <w:sz w:val="18"/>
                <w:szCs w:val="18"/>
              </w:rPr>
              <w:t>Ageing</w:t>
            </w:r>
          </w:p>
        </w:tc>
        <w:tc>
          <w:tcPr>
            <w:tcW w:w="5708" w:type="dxa"/>
            <w:tcBorders>
              <w:top w:val="single" w:sz="4" w:space="0" w:color="auto"/>
              <w:left w:val="single" w:sz="4" w:space="0" w:color="auto"/>
              <w:bottom w:val="single" w:sz="4" w:space="0" w:color="auto"/>
              <w:right w:val="single" w:sz="4" w:space="0" w:color="auto"/>
            </w:tcBorders>
            <w:vAlign w:val="center"/>
            <w:hideMark/>
          </w:tcPr>
          <w:p w14:paraId="57304D7F" w14:textId="77777777" w:rsidR="00A62213" w:rsidRPr="00AF45BA" w:rsidRDefault="00A62213" w:rsidP="00AB10BE">
            <w:pPr>
              <w:spacing w:before="60" w:after="60"/>
              <w:rPr>
                <w:sz w:val="18"/>
                <w:szCs w:val="18"/>
              </w:rPr>
            </w:pPr>
            <w:r w:rsidRPr="00AF45BA">
              <w:rPr>
                <w:sz w:val="18"/>
                <w:szCs w:val="18"/>
              </w:rPr>
              <w:t>General process in which characteristics of a structure, system or component gradually change with time or use. It is most commonly used with a connotation of changes that are (or could be) detrimental to protection and safety (i.e. as a synonym of ageing degradation).</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304D80" w14:textId="77777777" w:rsidR="00A62213" w:rsidRPr="00AF45BA" w:rsidRDefault="00A62213" w:rsidP="00AB10BE">
            <w:pPr>
              <w:spacing w:before="60" w:after="60"/>
              <w:rPr>
                <w:sz w:val="18"/>
                <w:szCs w:val="18"/>
              </w:rPr>
            </w:pPr>
            <w:r w:rsidRPr="00AF45BA">
              <w:rPr>
                <w:sz w:val="18"/>
                <w:szCs w:val="18"/>
              </w:rPr>
              <w:t>IAEA</w:t>
            </w:r>
          </w:p>
        </w:tc>
      </w:tr>
      <w:tr w:rsidR="00A62213" w:rsidRPr="00CC121D" w14:paraId="57304D86" w14:textId="77777777" w:rsidTr="00AA1B3C">
        <w:tc>
          <w:tcPr>
            <w:tcW w:w="2084" w:type="dxa"/>
            <w:tcBorders>
              <w:top w:val="single" w:sz="4" w:space="0" w:color="auto"/>
              <w:left w:val="single" w:sz="4" w:space="0" w:color="auto"/>
              <w:bottom w:val="single" w:sz="4" w:space="0" w:color="auto"/>
              <w:right w:val="single" w:sz="4" w:space="0" w:color="auto"/>
            </w:tcBorders>
            <w:vAlign w:val="center"/>
            <w:hideMark/>
          </w:tcPr>
          <w:p w14:paraId="57304D82" w14:textId="77777777" w:rsidR="00A62213" w:rsidRPr="00AF45BA" w:rsidRDefault="00A62213" w:rsidP="00AB10BE">
            <w:pPr>
              <w:spacing w:before="60" w:after="60"/>
              <w:rPr>
                <w:sz w:val="18"/>
                <w:szCs w:val="18"/>
              </w:rPr>
            </w:pPr>
            <w:r w:rsidRPr="00AF45BA">
              <w:rPr>
                <w:sz w:val="18"/>
                <w:szCs w:val="18"/>
              </w:rPr>
              <w:t>Ageing Management</w:t>
            </w:r>
          </w:p>
        </w:tc>
        <w:tc>
          <w:tcPr>
            <w:tcW w:w="5708" w:type="dxa"/>
            <w:tcBorders>
              <w:top w:val="single" w:sz="4" w:space="0" w:color="auto"/>
              <w:left w:val="single" w:sz="4" w:space="0" w:color="auto"/>
              <w:bottom w:val="single" w:sz="4" w:space="0" w:color="auto"/>
              <w:right w:val="single" w:sz="4" w:space="0" w:color="auto"/>
            </w:tcBorders>
            <w:vAlign w:val="center"/>
            <w:hideMark/>
          </w:tcPr>
          <w:p w14:paraId="57304D83" w14:textId="77777777" w:rsidR="00A62213" w:rsidRPr="00AF45BA" w:rsidRDefault="00A62213" w:rsidP="00AB10BE">
            <w:pPr>
              <w:spacing w:before="60" w:after="60"/>
              <w:rPr>
                <w:sz w:val="18"/>
                <w:szCs w:val="18"/>
              </w:rPr>
            </w:pPr>
            <w:r w:rsidRPr="00AF45BA">
              <w:rPr>
                <w:sz w:val="18"/>
                <w:szCs w:val="18"/>
              </w:rPr>
              <w:t>Engineering, operations and maintenance actions to control, within acceptable limits, the ageing degradation of structures, systems and components. Examples of engineering actions include design, qualification and failure analysis.</w:t>
            </w:r>
          </w:p>
          <w:p w14:paraId="57304D84" w14:textId="77777777" w:rsidR="00A62213" w:rsidRPr="00AF45BA" w:rsidRDefault="00A62213" w:rsidP="00AB10BE">
            <w:pPr>
              <w:spacing w:before="60" w:after="60"/>
              <w:rPr>
                <w:sz w:val="18"/>
                <w:szCs w:val="18"/>
              </w:rPr>
            </w:pPr>
            <w:r w:rsidRPr="00AF45BA">
              <w:rPr>
                <w:sz w:val="18"/>
                <w:szCs w:val="18"/>
              </w:rPr>
              <w:t>Examples of operations actions include surveillance, carrying out operating procedures within specified limits, and performing environmental measurements.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304D85" w14:textId="77777777" w:rsidR="00A62213" w:rsidRPr="00AF45BA" w:rsidRDefault="00A62213" w:rsidP="00AB10BE">
            <w:pPr>
              <w:spacing w:before="60" w:after="60"/>
              <w:rPr>
                <w:sz w:val="18"/>
                <w:szCs w:val="18"/>
              </w:rPr>
            </w:pPr>
            <w:r w:rsidRPr="00AF45BA">
              <w:rPr>
                <w:sz w:val="18"/>
                <w:szCs w:val="18"/>
              </w:rPr>
              <w:t>IAEA</w:t>
            </w:r>
          </w:p>
        </w:tc>
      </w:tr>
      <w:tr w:rsidR="00A62213" w:rsidRPr="00CC121D" w14:paraId="57304D8A" w14:textId="77777777" w:rsidTr="00AA1B3C">
        <w:tc>
          <w:tcPr>
            <w:tcW w:w="2084" w:type="dxa"/>
            <w:tcBorders>
              <w:top w:val="single" w:sz="4" w:space="0" w:color="auto"/>
              <w:left w:val="single" w:sz="4" w:space="0" w:color="auto"/>
              <w:bottom w:val="single" w:sz="4" w:space="0" w:color="auto"/>
              <w:right w:val="single" w:sz="4" w:space="0" w:color="auto"/>
            </w:tcBorders>
            <w:vAlign w:val="center"/>
            <w:hideMark/>
          </w:tcPr>
          <w:p w14:paraId="57304D87" w14:textId="77777777" w:rsidR="00A62213" w:rsidRPr="00AF45BA" w:rsidRDefault="00A62213" w:rsidP="00AB10BE">
            <w:pPr>
              <w:spacing w:before="60" w:after="60"/>
              <w:rPr>
                <w:sz w:val="18"/>
                <w:szCs w:val="18"/>
              </w:rPr>
            </w:pPr>
            <w:r w:rsidRPr="00AF45BA">
              <w:rPr>
                <w:sz w:val="18"/>
                <w:szCs w:val="18"/>
              </w:rPr>
              <w:t>ALARA (as low as reasonably achievable)</w:t>
            </w:r>
          </w:p>
        </w:tc>
        <w:tc>
          <w:tcPr>
            <w:tcW w:w="5708" w:type="dxa"/>
            <w:tcBorders>
              <w:top w:val="single" w:sz="4" w:space="0" w:color="auto"/>
              <w:left w:val="single" w:sz="4" w:space="0" w:color="auto"/>
              <w:bottom w:val="single" w:sz="4" w:space="0" w:color="auto"/>
              <w:right w:val="single" w:sz="4" w:space="0" w:color="auto"/>
            </w:tcBorders>
            <w:vAlign w:val="center"/>
            <w:hideMark/>
          </w:tcPr>
          <w:p w14:paraId="57304D88" w14:textId="77777777" w:rsidR="00A62213" w:rsidRPr="00AF45BA" w:rsidRDefault="00A62213" w:rsidP="00AB10BE">
            <w:pPr>
              <w:spacing w:before="60" w:after="60"/>
              <w:rPr>
                <w:sz w:val="18"/>
                <w:szCs w:val="18"/>
              </w:rPr>
            </w:pPr>
            <w:r w:rsidRPr="00AF45BA">
              <w:rPr>
                <w:sz w:val="18"/>
                <w:szCs w:val="18"/>
              </w:rPr>
              <w:t>See optimization of protection (and safety).</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304D89" w14:textId="77777777" w:rsidR="00A62213" w:rsidRPr="00AF45BA" w:rsidRDefault="00A62213" w:rsidP="00AB10BE">
            <w:pPr>
              <w:spacing w:before="60" w:after="60"/>
              <w:rPr>
                <w:sz w:val="18"/>
                <w:szCs w:val="18"/>
              </w:rPr>
            </w:pPr>
            <w:r w:rsidRPr="00AF45BA">
              <w:rPr>
                <w:sz w:val="18"/>
                <w:szCs w:val="18"/>
              </w:rPr>
              <w:t>IAEA</w:t>
            </w:r>
          </w:p>
        </w:tc>
      </w:tr>
      <w:tr w:rsidR="00A62213" w:rsidRPr="00CC121D" w14:paraId="57304D8E" w14:textId="77777777" w:rsidTr="00AA1B3C">
        <w:tc>
          <w:tcPr>
            <w:tcW w:w="2084" w:type="dxa"/>
            <w:tcBorders>
              <w:top w:val="single" w:sz="4" w:space="0" w:color="auto"/>
              <w:left w:val="single" w:sz="4" w:space="0" w:color="auto"/>
              <w:bottom w:val="single" w:sz="4" w:space="0" w:color="auto"/>
              <w:right w:val="single" w:sz="4" w:space="0" w:color="auto"/>
            </w:tcBorders>
            <w:vAlign w:val="center"/>
            <w:hideMark/>
          </w:tcPr>
          <w:p w14:paraId="57304D8B" w14:textId="77777777" w:rsidR="00A62213" w:rsidRPr="00AF45BA" w:rsidRDefault="00A62213" w:rsidP="00AB10BE">
            <w:pPr>
              <w:spacing w:before="60" w:after="60"/>
              <w:rPr>
                <w:sz w:val="18"/>
                <w:szCs w:val="18"/>
              </w:rPr>
            </w:pPr>
            <w:r w:rsidRPr="00AF45BA">
              <w:rPr>
                <w:sz w:val="18"/>
                <w:szCs w:val="18"/>
              </w:rPr>
              <w:t>ALARP (as low as is reasonably practicable) SFAIRP (So far as is reasonably practicable)</w:t>
            </w:r>
          </w:p>
        </w:tc>
        <w:tc>
          <w:tcPr>
            <w:tcW w:w="5708" w:type="dxa"/>
            <w:tcBorders>
              <w:top w:val="single" w:sz="4" w:space="0" w:color="auto"/>
              <w:left w:val="single" w:sz="4" w:space="0" w:color="auto"/>
              <w:bottom w:val="single" w:sz="4" w:space="0" w:color="auto"/>
              <w:right w:val="single" w:sz="4" w:space="0" w:color="auto"/>
            </w:tcBorders>
            <w:vAlign w:val="center"/>
            <w:hideMark/>
          </w:tcPr>
          <w:p w14:paraId="57304D8C" w14:textId="77777777" w:rsidR="00A62213" w:rsidRPr="00AF45BA" w:rsidRDefault="00A62213" w:rsidP="00AB10BE">
            <w:pPr>
              <w:spacing w:before="60" w:after="60"/>
              <w:rPr>
                <w:sz w:val="18"/>
                <w:szCs w:val="18"/>
              </w:rPr>
            </w:pPr>
            <w:r w:rsidRPr="00AF45BA">
              <w:rPr>
                <w:sz w:val="18"/>
                <w:szCs w:val="18"/>
              </w:rPr>
              <w:t>ALARP/SFAIRP is the balance between risk and the sacrifice to reduce it, (cost, time and trouble) (Within Decommissioning) the removal and/or immobilisation of the most active or mobile material to be carried out on the shortest timescale, with further actions following with timescales appropriate to the remaining hazards they address.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304D8D" w14:textId="77777777" w:rsidR="00A62213" w:rsidRPr="00AF45BA" w:rsidRDefault="00A62213" w:rsidP="00AB10BE">
            <w:pPr>
              <w:spacing w:before="60" w:after="60"/>
              <w:rPr>
                <w:sz w:val="18"/>
                <w:szCs w:val="18"/>
              </w:rPr>
            </w:pPr>
            <w:r w:rsidRPr="00AF45BA">
              <w:rPr>
                <w:sz w:val="18"/>
                <w:szCs w:val="18"/>
              </w:rPr>
              <w:t>HSWA</w:t>
            </w:r>
          </w:p>
        </w:tc>
      </w:tr>
      <w:tr w:rsidR="00A62213" w:rsidRPr="00CC121D" w14:paraId="57304D92" w14:textId="77777777" w:rsidTr="00AA1B3C">
        <w:tc>
          <w:tcPr>
            <w:tcW w:w="2084" w:type="dxa"/>
            <w:tcBorders>
              <w:top w:val="single" w:sz="4" w:space="0" w:color="auto"/>
              <w:left w:val="single" w:sz="4" w:space="0" w:color="auto"/>
              <w:bottom w:val="single" w:sz="4" w:space="0" w:color="auto"/>
              <w:right w:val="single" w:sz="4" w:space="0" w:color="auto"/>
            </w:tcBorders>
            <w:vAlign w:val="center"/>
            <w:hideMark/>
          </w:tcPr>
          <w:p w14:paraId="57304D8F" w14:textId="77777777" w:rsidR="00A62213" w:rsidRPr="00AF45BA" w:rsidRDefault="00A62213" w:rsidP="00AB10BE">
            <w:pPr>
              <w:spacing w:before="60" w:after="60"/>
              <w:rPr>
                <w:sz w:val="18"/>
                <w:szCs w:val="18"/>
              </w:rPr>
            </w:pPr>
            <w:r w:rsidRPr="00AF45BA">
              <w:rPr>
                <w:sz w:val="18"/>
                <w:szCs w:val="18"/>
              </w:rPr>
              <w:t>Asset Management</w:t>
            </w:r>
          </w:p>
        </w:tc>
        <w:tc>
          <w:tcPr>
            <w:tcW w:w="5708" w:type="dxa"/>
            <w:tcBorders>
              <w:top w:val="single" w:sz="4" w:space="0" w:color="auto"/>
              <w:left w:val="single" w:sz="4" w:space="0" w:color="auto"/>
              <w:bottom w:val="single" w:sz="4" w:space="0" w:color="auto"/>
              <w:right w:val="single" w:sz="4" w:space="0" w:color="auto"/>
            </w:tcBorders>
            <w:vAlign w:val="center"/>
            <w:hideMark/>
          </w:tcPr>
          <w:p w14:paraId="57304D90" w14:textId="23978632" w:rsidR="00A62213" w:rsidRPr="00AF45BA" w:rsidRDefault="002238C5" w:rsidP="0025168F">
            <w:pPr>
              <w:spacing w:before="60" w:after="60"/>
              <w:rPr>
                <w:sz w:val="18"/>
                <w:szCs w:val="18"/>
              </w:rPr>
            </w:pPr>
            <w:r w:rsidRPr="00AF45BA">
              <w:rPr>
                <w:sz w:val="18"/>
                <w:szCs w:val="18"/>
              </w:rPr>
              <w:t xml:space="preserve">Asset management considers the condition of </w:t>
            </w:r>
            <w:r w:rsidR="00F86B10" w:rsidRPr="00AF45BA">
              <w:rPr>
                <w:sz w:val="18"/>
                <w:szCs w:val="18"/>
              </w:rPr>
              <w:t xml:space="preserve">civil engineering </w:t>
            </w:r>
            <w:r w:rsidRPr="00AF45BA">
              <w:rPr>
                <w:sz w:val="18"/>
                <w:szCs w:val="18"/>
              </w:rPr>
              <w:t xml:space="preserve">SSCs, and how the current (and likely foreseeable) condition may influence the way in which SSCs will respond to </w:t>
            </w:r>
            <w:r w:rsidR="00EC44F2" w:rsidRPr="00AF45BA">
              <w:rPr>
                <w:sz w:val="18"/>
                <w:szCs w:val="18"/>
              </w:rPr>
              <w:t xml:space="preserve">the anticipated </w:t>
            </w:r>
            <w:r w:rsidR="003C2AA4" w:rsidRPr="00AF45BA">
              <w:rPr>
                <w:sz w:val="18"/>
                <w:szCs w:val="18"/>
              </w:rPr>
              <w:t>design loading condition</w:t>
            </w:r>
            <w:r w:rsidR="00EC44F2" w:rsidRPr="00AF45BA">
              <w:rPr>
                <w:sz w:val="18"/>
                <w:szCs w:val="18"/>
              </w:rPr>
              <w:t>s</w:t>
            </w:r>
            <w:r w:rsidR="003C2AA4" w:rsidRPr="00AF45BA">
              <w:rPr>
                <w:sz w:val="18"/>
                <w:szCs w:val="18"/>
              </w:rPr>
              <w:t xml:space="preserve"> </w:t>
            </w:r>
            <w:r w:rsidRPr="00AF45BA">
              <w:rPr>
                <w:sz w:val="18"/>
                <w:szCs w:val="18"/>
              </w:rPr>
              <w:t>(</w:t>
            </w:r>
            <w:r w:rsidR="003C2AA4" w:rsidRPr="00AF45BA">
              <w:rPr>
                <w:sz w:val="18"/>
                <w:szCs w:val="18"/>
              </w:rPr>
              <w:t xml:space="preserve">including </w:t>
            </w:r>
            <w:r w:rsidRPr="00AF45BA">
              <w:rPr>
                <w:sz w:val="18"/>
                <w:szCs w:val="18"/>
              </w:rPr>
              <w:t>design basis, beyond design basis and cliff edge effects)</w:t>
            </w:r>
            <w:r w:rsidR="002B4640" w:rsidRPr="00AF45BA">
              <w:rPr>
                <w:sz w:val="18"/>
                <w:szCs w:val="18"/>
              </w:rPr>
              <w:t>.</w:t>
            </w:r>
            <w:r w:rsidR="00DF2CE7" w:rsidRPr="00AF45BA">
              <w:rPr>
                <w:sz w:val="18"/>
                <w:szCs w:val="18"/>
              </w:rPr>
              <w:t xml:space="preserve"> </w:t>
            </w:r>
            <w:r w:rsidR="002B4640" w:rsidRPr="00AF45BA">
              <w:rPr>
                <w:sz w:val="18"/>
                <w:szCs w:val="18"/>
              </w:rPr>
              <w:t xml:space="preserve">It </w:t>
            </w:r>
            <w:r w:rsidR="002D2DB3" w:rsidRPr="00AF45BA">
              <w:rPr>
                <w:sz w:val="18"/>
                <w:szCs w:val="18"/>
              </w:rPr>
              <w:t xml:space="preserve">also includes </w:t>
            </w:r>
            <w:r w:rsidR="003C2AA4" w:rsidRPr="00AF45BA">
              <w:rPr>
                <w:sz w:val="18"/>
                <w:szCs w:val="18"/>
              </w:rPr>
              <w:t>any</w:t>
            </w:r>
            <w:r w:rsidR="00DF2CE7" w:rsidRPr="00AF45BA">
              <w:rPr>
                <w:sz w:val="18"/>
                <w:szCs w:val="18"/>
              </w:rPr>
              <w:t xml:space="preserve"> associated EIMT </w:t>
            </w:r>
            <w:r w:rsidR="00A62213" w:rsidRPr="00AF45BA">
              <w:rPr>
                <w:sz w:val="18"/>
                <w:szCs w:val="18"/>
              </w:rPr>
              <w:t>actions</w:t>
            </w:r>
            <w:r w:rsidR="00705ECD" w:rsidRPr="00AF45BA">
              <w:rPr>
                <w:sz w:val="18"/>
                <w:szCs w:val="18"/>
              </w:rPr>
              <w:t xml:space="preserve"> required</w:t>
            </w:r>
            <w:r w:rsidR="00A62213" w:rsidRPr="00AF45BA">
              <w:rPr>
                <w:sz w:val="18"/>
                <w:szCs w:val="18"/>
              </w:rPr>
              <w:t xml:space="preserve"> to ensure that</w:t>
            </w:r>
            <w:r w:rsidR="0025168F" w:rsidRPr="00AF45BA">
              <w:rPr>
                <w:sz w:val="18"/>
                <w:szCs w:val="18"/>
              </w:rPr>
              <w:t xml:space="preserve"> SSCs </w:t>
            </w:r>
            <w:r w:rsidR="00A62213" w:rsidRPr="00AF45BA">
              <w:rPr>
                <w:sz w:val="18"/>
                <w:szCs w:val="18"/>
              </w:rPr>
              <w:t>remain capable of fulfilling their safety functions throughout the period</w:t>
            </w:r>
            <w:r w:rsidR="00DF2CE7" w:rsidRPr="00AF45BA">
              <w:rPr>
                <w:sz w:val="18"/>
                <w:szCs w:val="18"/>
              </w:rPr>
              <w:t>s</w:t>
            </w:r>
            <w:r w:rsidR="00A62213" w:rsidRPr="00AF45BA">
              <w:rPr>
                <w:sz w:val="18"/>
                <w:szCs w:val="18"/>
              </w:rPr>
              <w:t xml:space="preserve"> of </w:t>
            </w:r>
            <w:r w:rsidR="00DF2CE7" w:rsidRPr="00AF45BA">
              <w:rPr>
                <w:sz w:val="18"/>
                <w:szCs w:val="18"/>
              </w:rPr>
              <w:t xml:space="preserve">construction, operation and </w:t>
            </w:r>
            <w:r w:rsidR="00A62213" w:rsidRPr="00AF45BA">
              <w:rPr>
                <w:sz w:val="18"/>
                <w:szCs w:val="18"/>
              </w:rPr>
              <w:t>decommissioning, including any period of deferred decommissioning.</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304D91" w14:textId="0703E796" w:rsidR="00A62213" w:rsidRPr="00AF45BA" w:rsidRDefault="00562A05" w:rsidP="00AB10BE">
            <w:pPr>
              <w:spacing w:before="60" w:after="60"/>
              <w:rPr>
                <w:sz w:val="18"/>
                <w:szCs w:val="18"/>
              </w:rPr>
            </w:pPr>
            <w:r w:rsidRPr="00AF45BA">
              <w:rPr>
                <w:sz w:val="18"/>
                <w:szCs w:val="18"/>
              </w:rPr>
              <w:t>F</w:t>
            </w:r>
            <w:r w:rsidR="002238C5" w:rsidRPr="00AF45BA">
              <w:rPr>
                <w:sz w:val="18"/>
                <w:szCs w:val="18"/>
              </w:rPr>
              <w:t>or the purposes of this TAG and the associated annexes</w:t>
            </w:r>
          </w:p>
        </w:tc>
      </w:tr>
      <w:tr w:rsidR="00A62213" w:rsidRPr="00CC121D" w14:paraId="57304D9A" w14:textId="77777777" w:rsidTr="00AA1B3C">
        <w:tc>
          <w:tcPr>
            <w:tcW w:w="2084" w:type="dxa"/>
            <w:tcBorders>
              <w:top w:val="single" w:sz="4" w:space="0" w:color="auto"/>
              <w:left w:val="single" w:sz="4" w:space="0" w:color="auto"/>
              <w:bottom w:val="single" w:sz="4" w:space="0" w:color="auto"/>
              <w:right w:val="single" w:sz="4" w:space="0" w:color="auto"/>
            </w:tcBorders>
            <w:vAlign w:val="center"/>
            <w:hideMark/>
          </w:tcPr>
          <w:p w14:paraId="57304D97" w14:textId="77777777" w:rsidR="00A62213" w:rsidRPr="00AF45BA" w:rsidRDefault="00A62213" w:rsidP="00AB10BE">
            <w:pPr>
              <w:spacing w:before="60" w:after="60"/>
              <w:rPr>
                <w:sz w:val="18"/>
                <w:szCs w:val="18"/>
              </w:rPr>
            </w:pPr>
            <w:r w:rsidRPr="00AF45BA">
              <w:rPr>
                <w:sz w:val="18"/>
                <w:szCs w:val="18"/>
              </w:rPr>
              <w:t>Characterisation</w:t>
            </w:r>
          </w:p>
        </w:tc>
        <w:tc>
          <w:tcPr>
            <w:tcW w:w="5708" w:type="dxa"/>
            <w:tcBorders>
              <w:top w:val="single" w:sz="4" w:space="0" w:color="auto"/>
              <w:left w:val="single" w:sz="4" w:space="0" w:color="auto"/>
              <w:bottom w:val="single" w:sz="4" w:space="0" w:color="auto"/>
              <w:right w:val="single" w:sz="4" w:space="0" w:color="auto"/>
            </w:tcBorders>
            <w:vAlign w:val="center"/>
            <w:hideMark/>
          </w:tcPr>
          <w:p w14:paraId="57304D98" w14:textId="77777777" w:rsidR="00A62213" w:rsidRPr="00AF45BA" w:rsidRDefault="00A62213" w:rsidP="00AB10BE">
            <w:pPr>
              <w:spacing w:before="60" w:after="60"/>
              <w:rPr>
                <w:sz w:val="18"/>
                <w:szCs w:val="18"/>
              </w:rPr>
            </w:pPr>
            <w:r w:rsidRPr="00AF45BA">
              <w:rPr>
                <w:sz w:val="18"/>
                <w:szCs w:val="18"/>
              </w:rPr>
              <w:t>Determination of the nature and activity of radionuclides present in a specified place.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304D99" w14:textId="77777777" w:rsidR="00A62213" w:rsidRPr="00AF45BA" w:rsidRDefault="00A62213" w:rsidP="00AB10BE">
            <w:pPr>
              <w:spacing w:before="60" w:after="60"/>
              <w:rPr>
                <w:sz w:val="18"/>
                <w:szCs w:val="18"/>
              </w:rPr>
            </w:pPr>
            <w:r w:rsidRPr="00AF45BA">
              <w:rPr>
                <w:sz w:val="18"/>
                <w:szCs w:val="18"/>
              </w:rPr>
              <w:t>IAEA</w:t>
            </w:r>
          </w:p>
        </w:tc>
      </w:tr>
      <w:tr w:rsidR="00A62213" w:rsidRPr="00CC121D" w14:paraId="57304D9E" w14:textId="77777777" w:rsidTr="00AA1B3C">
        <w:tc>
          <w:tcPr>
            <w:tcW w:w="2084" w:type="dxa"/>
            <w:tcBorders>
              <w:top w:val="single" w:sz="4" w:space="0" w:color="auto"/>
              <w:left w:val="single" w:sz="4" w:space="0" w:color="auto"/>
              <w:bottom w:val="single" w:sz="4" w:space="0" w:color="auto"/>
              <w:right w:val="single" w:sz="4" w:space="0" w:color="auto"/>
            </w:tcBorders>
            <w:vAlign w:val="center"/>
            <w:hideMark/>
          </w:tcPr>
          <w:p w14:paraId="57304D9B" w14:textId="77777777" w:rsidR="00A62213" w:rsidRPr="00AF45BA" w:rsidRDefault="00A62213" w:rsidP="00AB10BE">
            <w:pPr>
              <w:spacing w:before="60" w:after="60"/>
              <w:rPr>
                <w:sz w:val="18"/>
                <w:szCs w:val="18"/>
              </w:rPr>
            </w:pPr>
            <w:r w:rsidRPr="00AF45BA">
              <w:rPr>
                <w:sz w:val="18"/>
                <w:szCs w:val="18"/>
              </w:rPr>
              <w:t>Clean Up</w:t>
            </w:r>
          </w:p>
        </w:tc>
        <w:tc>
          <w:tcPr>
            <w:tcW w:w="5708" w:type="dxa"/>
            <w:tcBorders>
              <w:top w:val="single" w:sz="4" w:space="0" w:color="auto"/>
              <w:left w:val="single" w:sz="4" w:space="0" w:color="auto"/>
              <w:bottom w:val="single" w:sz="4" w:space="0" w:color="auto"/>
              <w:right w:val="single" w:sz="4" w:space="0" w:color="auto"/>
            </w:tcBorders>
            <w:vAlign w:val="center"/>
            <w:hideMark/>
          </w:tcPr>
          <w:p w14:paraId="57304D9C" w14:textId="77777777" w:rsidR="00A62213" w:rsidRPr="00AF45BA" w:rsidRDefault="00A62213" w:rsidP="00AB10BE">
            <w:pPr>
              <w:spacing w:before="60" w:after="60"/>
              <w:rPr>
                <w:sz w:val="18"/>
                <w:szCs w:val="18"/>
              </w:rPr>
            </w:pPr>
            <w:r w:rsidRPr="00AF45BA">
              <w:rPr>
                <w:sz w:val="18"/>
                <w:szCs w:val="18"/>
              </w:rPr>
              <w:t>See remediation.</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304D9D" w14:textId="77777777" w:rsidR="00A62213" w:rsidRPr="00AF45BA" w:rsidRDefault="00A62213" w:rsidP="00AB10BE">
            <w:pPr>
              <w:spacing w:before="60" w:after="60"/>
              <w:rPr>
                <w:sz w:val="18"/>
                <w:szCs w:val="18"/>
              </w:rPr>
            </w:pPr>
            <w:r w:rsidRPr="00AF45BA">
              <w:rPr>
                <w:sz w:val="18"/>
                <w:szCs w:val="18"/>
              </w:rPr>
              <w:t>IAEA</w:t>
            </w:r>
          </w:p>
        </w:tc>
      </w:tr>
      <w:tr w:rsidR="00A62213" w:rsidRPr="00CC121D" w14:paraId="57304DA2" w14:textId="77777777" w:rsidTr="00AA1B3C">
        <w:tc>
          <w:tcPr>
            <w:tcW w:w="2084" w:type="dxa"/>
            <w:tcBorders>
              <w:top w:val="single" w:sz="4" w:space="0" w:color="auto"/>
              <w:left w:val="single" w:sz="4" w:space="0" w:color="auto"/>
              <w:bottom w:val="single" w:sz="4" w:space="0" w:color="auto"/>
              <w:right w:val="single" w:sz="4" w:space="0" w:color="auto"/>
            </w:tcBorders>
            <w:vAlign w:val="center"/>
            <w:hideMark/>
          </w:tcPr>
          <w:p w14:paraId="57304D9F" w14:textId="77777777" w:rsidR="00A62213" w:rsidRPr="00AF45BA" w:rsidRDefault="00A62213" w:rsidP="00AB10BE">
            <w:pPr>
              <w:spacing w:before="60" w:after="60"/>
              <w:rPr>
                <w:sz w:val="18"/>
                <w:szCs w:val="18"/>
              </w:rPr>
            </w:pPr>
            <w:r w:rsidRPr="00AF45BA">
              <w:rPr>
                <w:sz w:val="18"/>
                <w:szCs w:val="18"/>
              </w:rPr>
              <w:t>Clearance</w:t>
            </w:r>
          </w:p>
        </w:tc>
        <w:tc>
          <w:tcPr>
            <w:tcW w:w="5708" w:type="dxa"/>
            <w:tcBorders>
              <w:top w:val="single" w:sz="4" w:space="0" w:color="auto"/>
              <w:left w:val="single" w:sz="4" w:space="0" w:color="auto"/>
              <w:bottom w:val="single" w:sz="4" w:space="0" w:color="auto"/>
              <w:right w:val="single" w:sz="4" w:space="0" w:color="auto"/>
            </w:tcBorders>
            <w:vAlign w:val="center"/>
            <w:hideMark/>
          </w:tcPr>
          <w:p w14:paraId="57304DA0" w14:textId="77777777" w:rsidR="00A62213" w:rsidRPr="00AF45BA" w:rsidRDefault="00A62213" w:rsidP="00AB10BE">
            <w:pPr>
              <w:spacing w:before="60" w:after="60"/>
              <w:rPr>
                <w:sz w:val="18"/>
                <w:szCs w:val="18"/>
              </w:rPr>
            </w:pPr>
            <w:r w:rsidRPr="00AF45BA">
              <w:rPr>
                <w:sz w:val="18"/>
                <w:szCs w:val="18"/>
              </w:rPr>
              <w:t>Removal of radioactive material or radioactive objects within authorised practices from any further regulatory control by the regulatory body. Removal from control in this context refers to control applied for radiation protection purposes.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304DA1" w14:textId="77777777" w:rsidR="00A62213" w:rsidRPr="00AF45BA" w:rsidRDefault="00A62213" w:rsidP="00AB10BE">
            <w:pPr>
              <w:spacing w:before="60" w:after="60"/>
              <w:rPr>
                <w:sz w:val="18"/>
                <w:szCs w:val="18"/>
              </w:rPr>
            </w:pPr>
            <w:r w:rsidRPr="00AF45BA">
              <w:rPr>
                <w:sz w:val="18"/>
                <w:szCs w:val="18"/>
              </w:rPr>
              <w:t>IAEA Safety Glossary</w:t>
            </w:r>
          </w:p>
        </w:tc>
      </w:tr>
      <w:tr w:rsidR="008876F4" w:rsidRPr="00CC121D" w14:paraId="50AB33A3" w14:textId="77777777" w:rsidTr="00AA1B3C">
        <w:tc>
          <w:tcPr>
            <w:tcW w:w="2084" w:type="dxa"/>
            <w:tcBorders>
              <w:top w:val="single" w:sz="4" w:space="0" w:color="auto"/>
              <w:left w:val="single" w:sz="4" w:space="0" w:color="auto"/>
              <w:bottom w:val="single" w:sz="4" w:space="0" w:color="auto"/>
              <w:right w:val="single" w:sz="4" w:space="0" w:color="auto"/>
            </w:tcBorders>
            <w:vAlign w:val="center"/>
          </w:tcPr>
          <w:p w14:paraId="6FC05279" w14:textId="29B8CAD1" w:rsidR="008876F4" w:rsidRPr="00AF45BA" w:rsidRDefault="008876F4" w:rsidP="00AB10BE">
            <w:pPr>
              <w:spacing w:before="60" w:after="60"/>
              <w:rPr>
                <w:sz w:val="18"/>
                <w:szCs w:val="18"/>
              </w:rPr>
            </w:pPr>
            <w:r w:rsidRPr="00AF45BA">
              <w:rPr>
                <w:sz w:val="18"/>
                <w:szCs w:val="18"/>
              </w:rPr>
              <w:t>Civil engineering works</w:t>
            </w:r>
          </w:p>
        </w:tc>
        <w:tc>
          <w:tcPr>
            <w:tcW w:w="5708" w:type="dxa"/>
            <w:tcBorders>
              <w:top w:val="single" w:sz="4" w:space="0" w:color="auto"/>
              <w:left w:val="single" w:sz="4" w:space="0" w:color="auto"/>
              <w:bottom w:val="single" w:sz="4" w:space="0" w:color="auto"/>
              <w:right w:val="single" w:sz="4" w:space="0" w:color="auto"/>
            </w:tcBorders>
            <w:vAlign w:val="center"/>
          </w:tcPr>
          <w:p w14:paraId="4028DEBF" w14:textId="4615E9E6" w:rsidR="008876F4" w:rsidRPr="00AF45BA" w:rsidRDefault="008876F4" w:rsidP="00AB10BE">
            <w:pPr>
              <w:spacing w:before="60" w:after="60"/>
              <w:rPr>
                <w:sz w:val="18"/>
                <w:szCs w:val="18"/>
              </w:rPr>
            </w:pPr>
            <w:r w:rsidRPr="00AF45BA">
              <w:rPr>
                <w:sz w:val="18"/>
                <w:szCs w:val="18"/>
              </w:rPr>
              <w:t>“civil engineering works”, covers the totality of activities associated with such</w:t>
            </w:r>
            <w:r w:rsidR="00B1310E" w:rsidRPr="00AF45BA">
              <w:rPr>
                <w:sz w:val="18"/>
                <w:szCs w:val="18"/>
              </w:rPr>
              <w:t xml:space="preserve"> works</w:t>
            </w:r>
            <w:r w:rsidRPr="00AF45BA">
              <w:rPr>
                <w:sz w:val="18"/>
                <w:szCs w:val="18"/>
              </w:rPr>
              <w:t xml:space="preserve">, from concept, initial and final analysis and design through to, construction, maintenance, modification, demolition and site clearance.  </w:t>
            </w:r>
            <w:r w:rsidR="00B1310E" w:rsidRPr="00AF45BA">
              <w:rPr>
                <w:sz w:val="18"/>
                <w:szCs w:val="18"/>
              </w:rPr>
              <w:t>See Appendix A for full description</w:t>
            </w:r>
          </w:p>
        </w:tc>
        <w:tc>
          <w:tcPr>
            <w:tcW w:w="1417" w:type="dxa"/>
            <w:tcBorders>
              <w:top w:val="single" w:sz="4" w:space="0" w:color="auto"/>
              <w:left w:val="single" w:sz="4" w:space="0" w:color="auto"/>
              <w:bottom w:val="single" w:sz="4" w:space="0" w:color="auto"/>
              <w:right w:val="single" w:sz="4" w:space="0" w:color="auto"/>
            </w:tcBorders>
            <w:vAlign w:val="center"/>
          </w:tcPr>
          <w:p w14:paraId="7AF629B6" w14:textId="19A1B95D" w:rsidR="008876F4" w:rsidRPr="00AF45BA" w:rsidRDefault="00B1310E" w:rsidP="00AB10BE">
            <w:pPr>
              <w:spacing w:before="60" w:after="60"/>
              <w:rPr>
                <w:sz w:val="18"/>
                <w:szCs w:val="18"/>
              </w:rPr>
            </w:pPr>
            <w:r w:rsidRPr="00AF45BA">
              <w:rPr>
                <w:sz w:val="18"/>
                <w:szCs w:val="18"/>
              </w:rPr>
              <w:t>For the purposes of this TAG and the associated annexes</w:t>
            </w:r>
          </w:p>
        </w:tc>
      </w:tr>
      <w:tr w:rsidR="00A62213" w:rsidRPr="00CC121D" w14:paraId="57304DA6" w14:textId="77777777" w:rsidTr="00AA1B3C">
        <w:tc>
          <w:tcPr>
            <w:tcW w:w="2084" w:type="dxa"/>
            <w:tcBorders>
              <w:top w:val="single" w:sz="4" w:space="0" w:color="auto"/>
              <w:left w:val="single" w:sz="4" w:space="0" w:color="auto"/>
              <w:bottom w:val="single" w:sz="4" w:space="0" w:color="auto"/>
              <w:right w:val="single" w:sz="4" w:space="0" w:color="auto"/>
            </w:tcBorders>
            <w:vAlign w:val="center"/>
          </w:tcPr>
          <w:p w14:paraId="57304DA3" w14:textId="77777777" w:rsidR="00A62213" w:rsidRPr="00AF45BA" w:rsidRDefault="00A62213" w:rsidP="00AB10BE">
            <w:pPr>
              <w:spacing w:before="60" w:after="60"/>
              <w:rPr>
                <w:sz w:val="18"/>
                <w:szCs w:val="18"/>
              </w:rPr>
            </w:pPr>
            <w:r w:rsidRPr="00AF45BA">
              <w:rPr>
                <w:sz w:val="18"/>
                <w:szCs w:val="18"/>
              </w:rPr>
              <w:t>Commissioning</w:t>
            </w:r>
          </w:p>
        </w:tc>
        <w:tc>
          <w:tcPr>
            <w:tcW w:w="5708" w:type="dxa"/>
            <w:tcBorders>
              <w:top w:val="single" w:sz="4" w:space="0" w:color="auto"/>
              <w:left w:val="single" w:sz="4" w:space="0" w:color="auto"/>
              <w:bottom w:val="single" w:sz="4" w:space="0" w:color="auto"/>
              <w:right w:val="single" w:sz="4" w:space="0" w:color="auto"/>
            </w:tcBorders>
            <w:vAlign w:val="center"/>
          </w:tcPr>
          <w:p w14:paraId="57304DA4" w14:textId="77777777" w:rsidR="00A62213" w:rsidRPr="00AF45BA" w:rsidRDefault="00A62213" w:rsidP="00AB10BE">
            <w:pPr>
              <w:autoSpaceDE w:val="0"/>
              <w:autoSpaceDN w:val="0"/>
              <w:adjustRightInd w:val="0"/>
              <w:rPr>
                <w:sz w:val="18"/>
                <w:szCs w:val="18"/>
              </w:rPr>
            </w:pPr>
            <w:r w:rsidRPr="00AF45BA">
              <w:rPr>
                <w:sz w:val="18"/>
                <w:szCs w:val="18"/>
              </w:rPr>
              <w:t>The process by means of which systems and components of facilities and activities, having been constructed, are made operational and verified to be in accordance with the design and to have met required performance criteria.</w:t>
            </w:r>
          </w:p>
        </w:tc>
        <w:tc>
          <w:tcPr>
            <w:tcW w:w="1417" w:type="dxa"/>
            <w:tcBorders>
              <w:top w:val="single" w:sz="4" w:space="0" w:color="auto"/>
              <w:left w:val="single" w:sz="4" w:space="0" w:color="auto"/>
              <w:bottom w:val="single" w:sz="4" w:space="0" w:color="auto"/>
              <w:right w:val="single" w:sz="4" w:space="0" w:color="auto"/>
            </w:tcBorders>
            <w:vAlign w:val="center"/>
          </w:tcPr>
          <w:p w14:paraId="57304DA5" w14:textId="77777777" w:rsidR="00A62213" w:rsidRPr="00AF45BA" w:rsidRDefault="00A62213" w:rsidP="00AB10BE">
            <w:pPr>
              <w:spacing w:before="60" w:after="60"/>
              <w:rPr>
                <w:sz w:val="18"/>
                <w:szCs w:val="18"/>
              </w:rPr>
            </w:pPr>
            <w:r w:rsidRPr="00AF45BA">
              <w:rPr>
                <w:sz w:val="18"/>
                <w:szCs w:val="18"/>
              </w:rPr>
              <w:t>IAEA Safety Glossary</w:t>
            </w:r>
          </w:p>
        </w:tc>
      </w:tr>
      <w:tr w:rsidR="00173F9A" w:rsidRPr="00CC121D" w14:paraId="57304DAC" w14:textId="77777777" w:rsidTr="00AA1B3C">
        <w:tc>
          <w:tcPr>
            <w:tcW w:w="2084" w:type="dxa"/>
            <w:vMerge w:val="restart"/>
            <w:tcBorders>
              <w:top w:val="single" w:sz="4" w:space="0" w:color="auto"/>
              <w:left w:val="single" w:sz="4" w:space="0" w:color="auto"/>
              <w:right w:val="single" w:sz="4" w:space="0" w:color="auto"/>
            </w:tcBorders>
            <w:vAlign w:val="center"/>
          </w:tcPr>
          <w:p w14:paraId="57304DA7" w14:textId="77777777" w:rsidR="00173F9A" w:rsidRPr="00AF45BA" w:rsidRDefault="00173F9A" w:rsidP="00AB10BE">
            <w:pPr>
              <w:spacing w:before="60" w:after="60"/>
              <w:rPr>
                <w:sz w:val="18"/>
                <w:szCs w:val="18"/>
              </w:rPr>
            </w:pPr>
            <w:r w:rsidRPr="00AF45BA">
              <w:rPr>
                <w:sz w:val="18"/>
                <w:szCs w:val="18"/>
              </w:rPr>
              <w:t>Construction</w:t>
            </w:r>
          </w:p>
        </w:tc>
        <w:tc>
          <w:tcPr>
            <w:tcW w:w="5708" w:type="dxa"/>
            <w:tcBorders>
              <w:top w:val="single" w:sz="4" w:space="0" w:color="auto"/>
              <w:left w:val="single" w:sz="4" w:space="0" w:color="auto"/>
              <w:bottom w:val="single" w:sz="4" w:space="0" w:color="auto"/>
              <w:right w:val="single" w:sz="4" w:space="0" w:color="auto"/>
            </w:tcBorders>
            <w:vAlign w:val="center"/>
          </w:tcPr>
          <w:p w14:paraId="57304DA8" w14:textId="77777777" w:rsidR="00173F9A" w:rsidRPr="00AF45BA" w:rsidRDefault="00173F9A" w:rsidP="00AB10BE">
            <w:pPr>
              <w:spacing w:before="60" w:after="60"/>
              <w:rPr>
                <w:sz w:val="18"/>
                <w:szCs w:val="18"/>
              </w:rPr>
            </w:pPr>
            <w:r w:rsidRPr="00AF45BA">
              <w:rPr>
                <w:sz w:val="18"/>
                <w:szCs w:val="18"/>
              </w:rPr>
              <w:t>The activities related to installation or building, modifying, testing, remediating, repairing, renovating, repurposing, alteration, refurbishment, replacement, maintaining, decommissioning, decontamination, dismantling or demolishing a civil engineering structure, system or component.</w:t>
            </w:r>
          </w:p>
          <w:p w14:paraId="57304DA9" w14:textId="77777777" w:rsidR="00173F9A" w:rsidRPr="00AF45BA" w:rsidRDefault="00173F9A" w:rsidP="003761D6">
            <w:pPr>
              <w:spacing w:before="60" w:after="60"/>
              <w:rPr>
                <w:sz w:val="18"/>
                <w:szCs w:val="18"/>
              </w:rPr>
            </w:pPr>
            <w:r w:rsidRPr="00AF45BA">
              <w:rPr>
                <w:sz w:val="18"/>
                <w:szCs w:val="18"/>
              </w:rPr>
              <w:t xml:space="preserve">‘Construction’ can happen at any stage in the lifecycle of the site, including earthworks, site preparation, enabling works, ground investigations, geotechnical or ground engineering, foundations and superstructure construction works, mock-ups and trials, and temporary works to support the same. </w:t>
            </w:r>
          </w:p>
          <w:p w14:paraId="57304DAA" w14:textId="77777777" w:rsidR="00173F9A" w:rsidRPr="00AF45BA" w:rsidRDefault="00173F9A" w:rsidP="003761D6">
            <w:pPr>
              <w:spacing w:before="60" w:after="60"/>
              <w:rPr>
                <w:sz w:val="18"/>
                <w:szCs w:val="18"/>
              </w:rPr>
            </w:pPr>
            <w:r w:rsidRPr="00AF45BA">
              <w:rPr>
                <w:sz w:val="18"/>
                <w:szCs w:val="18"/>
              </w:rPr>
              <w:t>Construction may also include civil engineering works associated with examination, inspection, testing and maintenance.</w:t>
            </w:r>
          </w:p>
        </w:tc>
        <w:tc>
          <w:tcPr>
            <w:tcW w:w="1417" w:type="dxa"/>
            <w:tcBorders>
              <w:top w:val="single" w:sz="4" w:space="0" w:color="auto"/>
              <w:left w:val="single" w:sz="4" w:space="0" w:color="auto"/>
              <w:bottom w:val="single" w:sz="4" w:space="0" w:color="auto"/>
              <w:right w:val="single" w:sz="4" w:space="0" w:color="auto"/>
            </w:tcBorders>
            <w:vAlign w:val="center"/>
          </w:tcPr>
          <w:p w14:paraId="57304DAB" w14:textId="77777777" w:rsidR="00173F9A" w:rsidRPr="00AF45BA" w:rsidRDefault="00173F9A" w:rsidP="003761D6">
            <w:pPr>
              <w:spacing w:before="60" w:after="60"/>
              <w:rPr>
                <w:sz w:val="18"/>
                <w:szCs w:val="18"/>
              </w:rPr>
            </w:pPr>
            <w:r w:rsidRPr="00AF45BA">
              <w:rPr>
                <w:sz w:val="18"/>
                <w:szCs w:val="18"/>
              </w:rPr>
              <w:t>For the purposes of this TAG and the associated annexes</w:t>
            </w:r>
          </w:p>
        </w:tc>
      </w:tr>
      <w:tr w:rsidR="00E33AA9" w:rsidRPr="00CC121D" w14:paraId="72DC73EB" w14:textId="77777777" w:rsidTr="00AA1B3C">
        <w:tc>
          <w:tcPr>
            <w:tcW w:w="2084" w:type="dxa"/>
            <w:vMerge/>
            <w:tcBorders>
              <w:left w:val="single" w:sz="4" w:space="0" w:color="auto"/>
              <w:bottom w:val="single" w:sz="4" w:space="0" w:color="auto"/>
              <w:right w:val="single" w:sz="4" w:space="0" w:color="auto"/>
            </w:tcBorders>
            <w:vAlign w:val="center"/>
          </w:tcPr>
          <w:p w14:paraId="78F398D1" w14:textId="77777777" w:rsidR="00E33AA9" w:rsidRPr="00AF45BA" w:rsidRDefault="00E33AA9" w:rsidP="00E33AA9">
            <w:pPr>
              <w:spacing w:before="60" w:after="60"/>
              <w:rPr>
                <w:sz w:val="18"/>
                <w:szCs w:val="18"/>
              </w:rPr>
            </w:pPr>
          </w:p>
        </w:tc>
        <w:tc>
          <w:tcPr>
            <w:tcW w:w="5708" w:type="dxa"/>
            <w:tcBorders>
              <w:top w:val="single" w:sz="4" w:space="0" w:color="auto"/>
              <w:left w:val="single" w:sz="4" w:space="0" w:color="auto"/>
              <w:bottom w:val="single" w:sz="4" w:space="0" w:color="auto"/>
              <w:right w:val="single" w:sz="4" w:space="0" w:color="auto"/>
            </w:tcBorders>
            <w:vAlign w:val="center"/>
          </w:tcPr>
          <w:p w14:paraId="2D00B219" w14:textId="77777777" w:rsidR="00E33AA9" w:rsidRPr="00AF45BA" w:rsidRDefault="00E33AA9" w:rsidP="00E33AA9">
            <w:pPr>
              <w:rPr>
                <w:sz w:val="18"/>
                <w:szCs w:val="18"/>
              </w:rPr>
            </w:pPr>
            <w:r w:rsidRPr="00AF45BA">
              <w:rPr>
                <w:sz w:val="18"/>
                <w:szCs w:val="18"/>
              </w:rPr>
              <w:t>“construction work” means the carrying out of any building, civil engineering or engineering construction work and includes—</w:t>
            </w:r>
          </w:p>
          <w:p w14:paraId="0EBD325E" w14:textId="77777777" w:rsidR="00E33AA9" w:rsidRPr="00AF45BA" w:rsidRDefault="00E33AA9" w:rsidP="00E33AA9">
            <w:pPr>
              <w:rPr>
                <w:sz w:val="18"/>
                <w:szCs w:val="18"/>
              </w:rPr>
            </w:pPr>
            <w:r w:rsidRPr="00AF45BA">
              <w:rPr>
                <w:sz w:val="18"/>
                <w:szCs w:val="18"/>
              </w:rPr>
              <w:lastRenderedPageBreak/>
              <w:t>(a) the construction, alteration, conversion, fitting out, commissioning, renovation, repair, upkeep, redecoration or other maintenance (including</w:t>
            </w:r>
          </w:p>
          <w:p w14:paraId="0B41E5FE" w14:textId="77777777" w:rsidR="00E33AA9" w:rsidRPr="00AF45BA" w:rsidRDefault="00E33AA9" w:rsidP="00E33AA9">
            <w:pPr>
              <w:rPr>
                <w:sz w:val="18"/>
                <w:szCs w:val="18"/>
              </w:rPr>
            </w:pPr>
            <w:r w:rsidRPr="00AF45BA">
              <w:rPr>
                <w:sz w:val="18"/>
                <w:szCs w:val="18"/>
              </w:rPr>
              <w:t>cleaning which involves the use of water or an abrasive at high pressure, or the use of corrosive or toxic substances), de-commissioning, demolition or dismantling of a structure;</w:t>
            </w:r>
          </w:p>
          <w:p w14:paraId="7A20EA55" w14:textId="77777777" w:rsidR="00E33AA9" w:rsidRPr="00AF45BA" w:rsidRDefault="00E33AA9" w:rsidP="00E33AA9">
            <w:pPr>
              <w:rPr>
                <w:sz w:val="18"/>
                <w:szCs w:val="18"/>
              </w:rPr>
            </w:pPr>
            <w:r w:rsidRPr="00AF45BA">
              <w:rPr>
                <w:sz w:val="18"/>
                <w:szCs w:val="18"/>
              </w:rPr>
              <w:t>(b) the preparation for an intended structure, including site clearance, exploration, investigation (but not site survey) and excavation (but not pre-construction archaeological investigations), and the clearance or</w:t>
            </w:r>
          </w:p>
          <w:p w14:paraId="5BCAAD66" w14:textId="77777777" w:rsidR="00E33AA9" w:rsidRPr="00AF45BA" w:rsidRDefault="00E33AA9" w:rsidP="00E33AA9">
            <w:pPr>
              <w:rPr>
                <w:sz w:val="18"/>
                <w:szCs w:val="18"/>
              </w:rPr>
            </w:pPr>
            <w:r w:rsidRPr="00AF45BA">
              <w:rPr>
                <w:sz w:val="18"/>
                <w:szCs w:val="18"/>
              </w:rPr>
              <w:t>preparation of the site or structure for use or occupation at its conclusion;</w:t>
            </w:r>
          </w:p>
          <w:p w14:paraId="096AF8E6" w14:textId="77777777" w:rsidR="00E33AA9" w:rsidRPr="00AF45BA" w:rsidRDefault="00E33AA9" w:rsidP="00E33AA9">
            <w:pPr>
              <w:rPr>
                <w:sz w:val="18"/>
                <w:szCs w:val="18"/>
              </w:rPr>
            </w:pPr>
            <w:r w:rsidRPr="00AF45BA">
              <w:rPr>
                <w:sz w:val="18"/>
                <w:szCs w:val="18"/>
              </w:rPr>
              <w:t>(c) the assembly on site of prefabricated elements to form a structure or the disassembly on site of the prefabricated elements which, immediately before such disassembly, formed a structure;</w:t>
            </w:r>
          </w:p>
          <w:p w14:paraId="67DB5709" w14:textId="77777777" w:rsidR="00E33AA9" w:rsidRPr="00AF45BA" w:rsidRDefault="00E33AA9" w:rsidP="00E33AA9">
            <w:pPr>
              <w:rPr>
                <w:sz w:val="18"/>
                <w:szCs w:val="18"/>
              </w:rPr>
            </w:pPr>
            <w:r w:rsidRPr="00AF45BA">
              <w:rPr>
                <w:sz w:val="18"/>
                <w:szCs w:val="18"/>
              </w:rPr>
              <w:t>(d) the removal of a structure, or of any product or waste resulting from demolition or dismantling of a structure, or from disassembly of prefabricated elements which immediately before such disassembly</w:t>
            </w:r>
          </w:p>
          <w:p w14:paraId="64A6D90C" w14:textId="77777777" w:rsidR="00E33AA9" w:rsidRPr="00AF45BA" w:rsidRDefault="00E33AA9" w:rsidP="00E33AA9">
            <w:pPr>
              <w:rPr>
                <w:sz w:val="18"/>
                <w:szCs w:val="18"/>
              </w:rPr>
            </w:pPr>
            <w:r w:rsidRPr="00AF45BA">
              <w:rPr>
                <w:sz w:val="18"/>
                <w:szCs w:val="18"/>
              </w:rPr>
              <w:t>formed such a structure;</w:t>
            </w:r>
          </w:p>
          <w:p w14:paraId="343A81D0" w14:textId="6FE186F6" w:rsidR="00E33AA9" w:rsidRPr="00AF45BA" w:rsidRDefault="00E33AA9" w:rsidP="00E33AA9">
            <w:pPr>
              <w:spacing w:before="60" w:after="60"/>
              <w:rPr>
                <w:sz w:val="18"/>
                <w:szCs w:val="18"/>
              </w:rPr>
            </w:pPr>
            <w:r w:rsidRPr="00AF45BA">
              <w:rPr>
                <w:sz w:val="18"/>
                <w:szCs w:val="18"/>
              </w:rPr>
              <w:t>(e) the installation, commissioning, maintenance, repair or removal of mechanical, electrical, gas, compressed air, hydraulic, telecommunications, computer or similar services which are normally fixed within or to a structure, but does not include the exploration for, or extraction of, mineral resources, or preparatory activities carried out at a place where such exploration or extraction is carried out</w:t>
            </w:r>
          </w:p>
        </w:tc>
        <w:tc>
          <w:tcPr>
            <w:tcW w:w="1417" w:type="dxa"/>
            <w:tcBorders>
              <w:top w:val="single" w:sz="4" w:space="0" w:color="auto"/>
              <w:left w:val="single" w:sz="4" w:space="0" w:color="auto"/>
              <w:bottom w:val="single" w:sz="4" w:space="0" w:color="auto"/>
              <w:right w:val="single" w:sz="4" w:space="0" w:color="auto"/>
            </w:tcBorders>
          </w:tcPr>
          <w:p w14:paraId="4392D404" w14:textId="3A0370E5" w:rsidR="00E33AA9" w:rsidRPr="00AF45BA" w:rsidRDefault="00E33AA9" w:rsidP="00E33AA9">
            <w:pPr>
              <w:spacing w:before="60" w:after="60"/>
              <w:rPr>
                <w:sz w:val="18"/>
                <w:szCs w:val="18"/>
              </w:rPr>
            </w:pPr>
            <w:r w:rsidRPr="00AF45BA">
              <w:rPr>
                <w:sz w:val="18"/>
                <w:szCs w:val="18"/>
              </w:rPr>
              <w:lastRenderedPageBreak/>
              <w:t>CDM2015</w:t>
            </w:r>
          </w:p>
        </w:tc>
      </w:tr>
      <w:tr w:rsidR="00E33AA9" w:rsidRPr="00CC121D" w14:paraId="57304DB0" w14:textId="77777777" w:rsidTr="00AA1B3C">
        <w:tc>
          <w:tcPr>
            <w:tcW w:w="2084" w:type="dxa"/>
            <w:tcBorders>
              <w:top w:val="single" w:sz="4" w:space="0" w:color="auto"/>
              <w:left w:val="single" w:sz="4" w:space="0" w:color="auto"/>
              <w:bottom w:val="single" w:sz="4" w:space="0" w:color="auto"/>
              <w:right w:val="single" w:sz="4" w:space="0" w:color="auto"/>
            </w:tcBorders>
            <w:vAlign w:val="center"/>
          </w:tcPr>
          <w:p w14:paraId="57304DAD" w14:textId="57CE57BF" w:rsidR="00E33AA9" w:rsidRPr="00AF45BA" w:rsidRDefault="00E33AA9" w:rsidP="00E33AA9">
            <w:pPr>
              <w:spacing w:before="60" w:after="60"/>
              <w:rPr>
                <w:sz w:val="18"/>
                <w:szCs w:val="18"/>
              </w:rPr>
            </w:pPr>
            <w:r w:rsidRPr="00AF45BA">
              <w:rPr>
                <w:sz w:val="18"/>
                <w:szCs w:val="18"/>
              </w:rPr>
              <w:t>Decommissioning</w:t>
            </w:r>
          </w:p>
        </w:tc>
        <w:tc>
          <w:tcPr>
            <w:tcW w:w="5708" w:type="dxa"/>
            <w:tcBorders>
              <w:top w:val="single" w:sz="4" w:space="0" w:color="auto"/>
              <w:left w:val="single" w:sz="4" w:space="0" w:color="auto"/>
              <w:bottom w:val="single" w:sz="4" w:space="0" w:color="auto"/>
              <w:right w:val="single" w:sz="4" w:space="0" w:color="auto"/>
            </w:tcBorders>
            <w:vAlign w:val="center"/>
          </w:tcPr>
          <w:p w14:paraId="57304DAE" w14:textId="53706EB0" w:rsidR="00E33AA9" w:rsidRPr="00AF45BA" w:rsidRDefault="00E33AA9" w:rsidP="00E33AA9">
            <w:pPr>
              <w:spacing w:before="60" w:after="60"/>
              <w:rPr>
                <w:sz w:val="18"/>
                <w:szCs w:val="18"/>
              </w:rPr>
            </w:pPr>
            <w:r w:rsidRPr="00AF45BA">
              <w:rPr>
                <w:sz w:val="18"/>
                <w:szCs w:val="18"/>
              </w:rPr>
              <w:t>Administrative and physical actions taken to allow removal of some or all of the regulatory controls from a nuclear facility.</w:t>
            </w:r>
          </w:p>
        </w:tc>
        <w:tc>
          <w:tcPr>
            <w:tcW w:w="1417" w:type="dxa"/>
            <w:tcBorders>
              <w:top w:val="single" w:sz="4" w:space="0" w:color="auto"/>
              <w:left w:val="single" w:sz="4" w:space="0" w:color="auto"/>
              <w:bottom w:val="single" w:sz="4" w:space="0" w:color="auto"/>
              <w:right w:val="single" w:sz="4" w:space="0" w:color="auto"/>
            </w:tcBorders>
          </w:tcPr>
          <w:p w14:paraId="1B533014" w14:textId="77777777" w:rsidR="00E33AA9" w:rsidRPr="00AF45BA" w:rsidRDefault="00E33AA9" w:rsidP="00E33AA9">
            <w:pPr>
              <w:jc w:val="both"/>
              <w:rPr>
                <w:sz w:val="18"/>
                <w:szCs w:val="18"/>
              </w:rPr>
            </w:pPr>
            <w:r w:rsidRPr="00AF45BA">
              <w:rPr>
                <w:sz w:val="18"/>
                <w:szCs w:val="18"/>
              </w:rPr>
              <w:t>SAPs definition:</w:t>
            </w:r>
          </w:p>
          <w:p w14:paraId="57304DAF" w14:textId="62CC22E0" w:rsidR="00E33AA9" w:rsidRPr="00AF45BA" w:rsidRDefault="00E33AA9" w:rsidP="00E33AA9">
            <w:pPr>
              <w:spacing w:before="60" w:after="60"/>
              <w:rPr>
                <w:sz w:val="18"/>
                <w:szCs w:val="18"/>
              </w:rPr>
            </w:pPr>
          </w:p>
        </w:tc>
      </w:tr>
      <w:tr w:rsidR="00E33AA9" w:rsidRPr="00CC121D" w14:paraId="57304DC0" w14:textId="77777777" w:rsidTr="00AA1B3C">
        <w:tc>
          <w:tcPr>
            <w:tcW w:w="2084" w:type="dxa"/>
            <w:tcBorders>
              <w:top w:val="single" w:sz="4" w:space="0" w:color="auto"/>
              <w:left w:val="single" w:sz="4" w:space="0" w:color="auto"/>
              <w:bottom w:val="single" w:sz="4" w:space="0" w:color="auto"/>
              <w:right w:val="single" w:sz="4" w:space="0" w:color="auto"/>
            </w:tcBorders>
            <w:vAlign w:val="center"/>
            <w:hideMark/>
          </w:tcPr>
          <w:p w14:paraId="57304DBD" w14:textId="77777777" w:rsidR="00E33AA9" w:rsidRPr="00AF45BA" w:rsidRDefault="00E33AA9" w:rsidP="00E33AA9">
            <w:pPr>
              <w:spacing w:before="60" w:after="60"/>
              <w:rPr>
                <w:sz w:val="18"/>
                <w:szCs w:val="18"/>
              </w:rPr>
            </w:pPr>
            <w:r w:rsidRPr="00AF45BA">
              <w:rPr>
                <w:sz w:val="18"/>
                <w:szCs w:val="18"/>
              </w:rPr>
              <w:t>Decommissioning Plan</w:t>
            </w:r>
          </w:p>
        </w:tc>
        <w:tc>
          <w:tcPr>
            <w:tcW w:w="5708" w:type="dxa"/>
            <w:tcBorders>
              <w:top w:val="single" w:sz="4" w:space="0" w:color="auto"/>
              <w:left w:val="single" w:sz="4" w:space="0" w:color="auto"/>
              <w:bottom w:val="single" w:sz="4" w:space="0" w:color="auto"/>
              <w:right w:val="single" w:sz="4" w:space="0" w:color="auto"/>
            </w:tcBorders>
            <w:vAlign w:val="center"/>
            <w:hideMark/>
          </w:tcPr>
          <w:p w14:paraId="57304DBE" w14:textId="77777777" w:rsidR="00E33AA9" w:rsidRPr="00AF45BA" w:rsidRDefault="00E33AA9" w:rsidP="00E33AA9">
            <w:pPr>
              <w:spacing w:before="60" w:after="60"/>
              <w:rPr>
                <w:sz w:val="18"/>
                <w:szCs w:val="18"/>
              </w:rPr>
            </w:pPr>
            <w:r w:rsidRPr="00AF45BA">
              <w:rPr>
                <w:sz w:val="18"/>
                <w:szCs w:val="18"/>
              </w:rPr>
              <w:t>A document containing detailed information on the proposed decommissioning of a facility.</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304DBF" w14:textId="77777777" w:rsidR="00E33AA9" w:rsidRPr="00AF45BA" w:rsidRDefault="00E33AA9" w:rsidP="00E33AA9">
            <w:pPr>
              <w:spacing w:before="60" w:after="60"/>
              <w:rPr>
                <w:sz w:val="18"/>
                <w:szCs w:val="18"/>
              </w:rPr>
            </w:pPr>
            <w:r w:rsidRPr="00AF45BA">
              <w:rPr>
                <w:sz w:val="18"/>
                <w:szCs w:val="18"/>
              </w:rPr>
              <w:t>IAEA Safety Glossary</w:t>
            </w:r>
          </w:p>
        </w:tc>
      </w:tr>
      <w:tr w:rsidR="00E33AA9" w:rsidRPr="00CC121D" w14:paraId="57304DC9" w14:textId="77777777" w:rsidTr="00AA1B3C">
        <w:tc>
          <w:tcPr>
            <w:tcW w:w="2084" w:type="dxa"/>
            <w:tcBorders>
              <w:top w:val="single" w:sz="4" w:space="0" w:color="auto"/>
              <w:left w:val="single" w:sz="4" w:space="0" w:color="auto"/>
              <w:bottom w:val="single" w:sz="4" w:space="0" w:color="auto"/>
              <w:right w:val="single" w:sz="4" w:space="0" w:color="auto"/>
            </w:tcBorders>
            <w:vAlign w:val="center"/>
            <w:hideMark/>
          </w:tcPr>
          <w:p w14:paraId="57304DC5" w14:textId="77777777" w:rsidR="00E33AA9" w:rsidRPr="00AF45BA" w:rsidRDefault="00E33AA9" w:rsidP="00E33AA9">
            <w:pPr>
              <w:spacing w:before="60" w:after="60"/>
              <w:rPr>
                <w:sz w:val="18"/>
                <w:szCs w:val="18"/>
              </w:rPr>
            </w:pPr>
            <w:r w:rsidRPr="00AF45BA">
              <w:rPr>
                <w:sz w:val="18"/>
                <w:szCs w:val="18"/>
              </w:rPr>
              <w:t>Decommissioning Strategy</w:t>
            </w:r>
          </w:p>
        </w:tc>
        <w:tc>
          <w:tcPr>
            <w:tcW w:w="5708" w:type="dxa"/>
            <w:tcBorders>
              <w:top w:val="single" w:sz="4" w:space="0" w:color="auto"/>
              <w:left w:val="single" w:sz="4" w:space="0" w:color="auto"/>
              <w:bottom w:val="single" w:sz="4" w:space="0" w:color="auto"/>
              <w:right w:val="single" w:sz="4" w:space="0" w:color="auto"/>
            </w:tcBorders>
            <w:vAlign w:val="center"/>
            <w:hideMark/>
          </w:tcPr>
          <w:p w14:paraId="11BA5B0F" w14:textId="77777777" w:rsidR="00E33AA9" w:rsidRPr="00AF45BA" w:rsidRDefault="00E33AA9" w:rsidP="00E33AA9">
            <w:pPr>
              <w:spacing w:before="60" w:after="60"/>
              <w:rPr>
                <w:sz w:val="18"/>
                <w:szCs w:val="18"/>
              </w:rPr>
            </w:pPr>
            <w:r w:rsidRPr="00AF45BA">
              <w:rPr>
                <w:sz w:val="18"/>
                <w:szCs w:val="18"/>
              </w:rPr>
              <w:t>A document providing an overview of the approach to the decommissioning of a site (or a group of similar sites) encompassing all existing and proposed new facilities, setting</w:t>
            </w:r>
          </w:p>
          <w:p w14:paraId="57304DC7" w14:textId="35440B71" w:rsidR="00E33AA9" w:rsidRPr="00AF45BA" w:rsidRDefault="00E33AA9" w:rsidP="00E33AA9">
            <w:pPr>
              <w:spacing w:before="60" w:after="60"/>
              <w:rPr>
                <w:sz w:val="18"/>
                <w:szCs w:val="18"/>
              </w:rPr>
            </w:pPr>
            <w:r w:rsidRPr="00AF45BA">
              <w:rPr>
                <w:sz w:val="18"/>
                <w:szCs w:val="18"/>
              </w:rPr>
              <w:t>down the overall decommissioning objectives as far as the assumed end-state, taking account of relevant factors, and integrated with other relevant strategies.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304DC8" w14:textId="376170DF" w:rsidR="00E33AA9" w:rsidRPr="00AF45BA" w:rsidRDefault="00E33AA9" w:rsidP="00E33AA9">
            <w:pPr>
              <w:spacing w:before="60" w:after="60"/>
              <w:rPr>
                <w:sz w:val="18"/>
                <w:szCs w:val="18"/>
              </w:rPr>
            </w:pPr>
            <w:r w:rsidRPr="00AF45BA">
              <w:rPr>
                <w:sz w:val="18"/>
                <w:szCs w:val="18"/>
              </w:rPr>
              <w:t>SAPs glossary</w:t>
            </w:r>
          </w:p>
        </w:tc>
      </w:tr>
      <w:tr w:rsidR="003727EA" w:rsidRPr="00CC121D" w14:paraId="57304DCF" w14:textId="77777777" w:rsidTr="00AA1B3C">
        <w:tc>
          <w:tcPr>
            <w:tcW w:w="2084" w:type="dxa"/>
            <w:vMerge w:val="restart"/>
            <w:tcBorders>
              <w:top w:val="single" w:sz="4" w:space="0" w:color="auto"/>
              <w:left w:val="single" w:sz="4" w:space="0" w:color="auto"/>
              <w:right w:val="single" w:sz="4" w:space="0" w:color="auto"/>
            </w:tcBorders>
            <w:vAlign w:val="center"/>
          </w:tcPr>
          <w:p w14:paraId="57304DCA" w14:textId="77777777" w:rsidR="003727EA" w:rsidRPr="00AF45BA" w:rsidRDefault="003727EA" w:rsidP="00E33AA9">
            <w:pPr>
              <w:spacing w:before="60" w:after="60"/>
              <w:rPr>
                <w:sz w:val="18"/>
                <w:szCs w:val="18"/>
              </w:rPr>
            </w:pPr>
            <w:r w:rsidRPr="00AF45BA">
              <w:rPr>
                <w:sz w:val="18"/>
                <w:szCs w:val="18"/>
              </w:rPr>
              <w:t>Design</w:t>
            </w:r>
          </w:p>
        </w:tc>
        <w:tc>
          <w:tcPr>
            <w:tcW w:w="5708" w:type="dxa"/>
            <w:tcBorders>
              <w:top w:val="single" w:sz="4" w:space="0" w:color="auto"/>
              <w:left w:val="single" w:sz="4" w:space="0" w:color="auto"/>
              <w:bottom w:val="single" w:sz="4" w:space="0" w:color="auto"/>
              <w:right w:val="single" w:sz="4" w:space="0" w:color="auto"/>
            </w:tcBorders>
            <w:vAlign w:val="center"/>
          </w:tcPr>
          <w:p w14:paraId="57304DCB" w14:textId="77777777" w:rsidR="003727EA" w:rsidRPr="00AF45BA" w:rsidRDefault="003727EA" w:rsidP="00E33AA9">
            <w:pPr>
              <w:spacing w:before="60" w:after="60"/>
              <w:rPr>
                <w:sz w:val="18"/>
                <w:szCs w:val="18"/>
              </w:rPr>
            </w:pPr>
            <w:r w:rsidRPr="00AF45BA">
              <w:rPr>
                <w:sz w:val="18"/>
                <w:szCs w:val="18"/>
              </w:rPr>
              <w:t>This civil engineering TAG applies equally across all stages of a nuclear facility’s lifecycle, including generic and/or concept design, licensing, site identification, site specific design, construction and installation, operation, modifications, post-operation, decommissioning and demolition, ‘care and maintenance’ phase etc.</w:t>
            </w:r>
          </w:p>
          <w:p w14:paraId="57304DCC" w14:textId="77777777" w:rsidR="003727EA" w:rsidRPr="00AF45BA" w:rsidRDefault="003727EA" w:rsidP="00E33AA9">
            <w:pPr>
              <w:spacing w:before="60" w:after="60"/>
              <w:rPr>
                <w:sz w:val="18"/>
                <w:szCs w:val="18"/>
              </w:rPr>
            </w:pPr>
            <w:r w:rsidRPr="00AF45BA">
              <w:rPr>
                <w:sz w:val="18"/>
                <w:szCs w:val="18"/>
              </w:rPr>
              <w:t>‘Design’ can also include, the safety case documentation, supporting references, justification and substantiation of claims, modelling or other analysis tools, the process(es) and records of design decision making, and independent reviews of the above.</w:t>
            </w:r>
          </w:p>
          <w:p w14:paraId="57304DCD" w14:textId="77777777" w:rsidR="003727EA" w:rsidRPr="00AF45BA" w:rsidRDefault="003727EA" w:rsidP="00E33AA9">
            <w:pPr>
              <w:spacing w:before="60" w:after="60"/>
              <w:rPr>
                <w:sz w:val="18"/>
                <w:szCs w:val="18"/>
              </w:rPr>
            </w:pPr>
            <w:r w:rsidRPr="00AF45BA">
              <w:rPr>
                <w:sz w:val="18"/>
                <w:szCs w:val="18"/>
              </w:rPr>
              <w:t>It should be recognised, within the life cycle of ‘civil engineering works’, that the assumptions made by the designer and incorporated within the justification of the design within a safety case, must be properly carried through the construction stage and through to modifications, demolition and site clearance. All associated construction activities throughout the life cycle are much a part of the safety case as the design.</w:t>
            </w:r>
            <w:r w:rsidRPr="00AF45BA" w:rsidDel="00E55D7E">
              <w:rPr>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57304DCE" w14:textId="77777777" w:rsidR="003727EA" w:rsidRPr="00AF45BA" w:rsidRDefault="003727EA" w:rsidP="00E33AA9">
            <w:pPr>
              <w:spacing w:before="60" w:after="60"/>
              <w:rPr>
                <w:sz w:val="18"/>
                <w:szCs w:val="18"/>
              </w:rPr>
            </w:pPr>
            <w:r w:rsidRPr="00AF45BA">
              <w:rPr>
                <w:sz w:val="18"/>
                <w:szCs w:val="18"/>
              </w:rPr>
              <w:t>For the purposes TAG 17 and all the associated annexes</w:t>
            </w:r>
          </w:p>
        </w:tc>
      </w:tr>
      <w:tr w:rsidR="003727EA" w:rsidRPr="00CC121D" w14:paraId="723B0020" w14:textId="77777777" w:rsidTr="00AA1B3C">
        <w:tc>
          <w:tcPr>
            <w:tcW w:w="2084" w:type="dxa"/>
            <w:vMerge/>
            <w:tcBorders>
              <w:left w:val="single" w:sz="4" w:space="0" w:color="auto"/>
              <w:bottom w:val="single" w:sz="4" w:space="0" w:color="auto"/>
              <w:right w:val="single" w:sz="4" w:space="0" w:color="auto"/>
            </w:tcBorders>
            <w:vAlign w:val="center"/>
          </w:tcPr>
          <w:p w14:paraId="6A74976E" w14:textId="77777777" w:rsidR="003727EA" w:rsidRPr="00AF45BA" w:rsidRDefault="003727EA" w:rsidP="003727EA">
            <w:pPr>
              <w:spacing w:before="60" w:after="60"/>
              <w:rPr>
                <w:sz w:val="18"/>
                <w:szCs w:val="18"/>
              </w:rPr>
            </w:pPr>
          </w:p>
        </w:tc>
        <w:tc>
          <w:tcPr>
            <w:tcW w:w="5708" w:type="dxa"/>
            <w:tcBorders>
              <w:top w:val="single" w:sz="4" w:space="0" w:color="auto"/>
              <w:left w:val="single" w:sz="4" w:space="0" w:color="auto"/>
              <w:bottom w:val="single" w:sz="4" w:space="0" w:color="auto"/>
              <w:right w:val="single" w:sz="4" w:space="0" w:color="auto"/>
            </w:tcBorders>
            <w:vAlign w:val="center"/>
          </w:tcPr>
          <w:p w14:paraId="15E23406" w14:textId="30FF0C99" w:rsidR="003727EA" w:rsidRPr="00AF45BA" w:rsidRDefault="003727EA" w:rsidP="003727EA">
            <w:pPr>
              <w:spacing w:before="60" w:after="60"/>
              <w:rPr>
                <w:sz w:val="18"/>
                <w:szCs w:val="18"/>
              </w:rPr>
            </w:pPr>
            <w:r w:rsidRPr="00AF45BA">
              <w:rPr>
                <w:sz w:val="18"/>
                <w:szCs w:val="18"/>
              </w:rPr>
              <w:t>“design” includes drawings, design details, specifications and bills of quantities (including specification of articles or substances) relating to a structure, and calculations prepared for the purpose of a design;</w:t>
            </w:r>
          </w:p>
        </w:tc>
        <w:tc>
          <w:tcPr>
            <w:tcW w:w="1417" w:type="dxa"/>
            <w:tcBorders>
              <w:top w:val="single" w:sz="4" w:space="0" w:color="auto"/>
              <w:left w:val="single" w:sz="4" w:space="0" w:color="auto"/>
              <w:bottom w:val="single" w:sz="4" w:space="0" w:color="auto"/>
              <w:right w:val="single" w:sz="4" w:space="0" w:color="auto"/>
            </w:tcBorders>
          </w:tcPr>
          <w:p w14:paraId="21F29496" w14:textId="43930C58" w:rsidR="003727EA" w:rsidRPr="00AF45BA" w:rsidRDefault="003727EA" w:rsidP="003727EA">
            <w:pPr>
              <w:spacing w:before="60" w:after="60"/>
              <w:rPr>
                <w:sz w:val="18"/>
                <w:szCs w:val="18"/>
              </w:rPr>
            </w:pPr>
            <w:r w:rsidRPr="00AF45BA">
              <w:rPr>
                <w:sz w:val="18"/>
                <w:szCs w:val="18"/>
              </w:rPr>
              <w:t>CDM2015</w:t>
            </w:r>
          </w:p>
        </w:tc>
      </w:tr>
      <w:tr w:rsidR="003727EA" w:rsidRPr="00CC121D" w14:paraId="57304DD3" w14:textId="77777777" w:rsidTr="00AA1B3C">
        <w:tc>
          <w:tcPr>
            <w:tcW w:w="2084" w:type="dxa"/>
            <w:tcBorders>
              <w:top w:val="single" w:sz="4" w:space="0" w:color="auto"/>
              <w:left w:val="single" w:sz="4" w:space="0" w:color="auto"/>
              <w:bottom w:val="single" w:sz="4" w:space="0" w:color="auto"/>
              <w:right w:val="single" w:sz="4" w:space="0" w:color="auto"/>
            </w:tcBorders>
            <w:vAlign w:val="center"/>
          </w:tcPr>
          <w:p w14:paraId="57304DD0" w14:textId="77777777" w:rsidR="003727EA" w:rsidRPr="00AF45BA" w:rsidRDefault="003727EA" w:rsidP="003727EA">
            <w:pPr>
              <w:spacing w:before="60" w:after="60"/>
              <w:rPr>
                <w:sz w:val="18"/>
                <w:szCs w:val="18"/>
              </w:rPr>
            </w:pPr>
            <w:r w:rsidRPr="00AF45BA">
              <w:rPr>
                <w:sz w:val="18"/>
                <w:szCs w:val="18"/>
              </w:rPr>
              <w:t>Design Code</w:t>
            </w:r>
          </w:p>
        </w:tc>
        <w:tc>
          <w:tcPr>
            <w:tcW w:w="5708" w:type="dxa"/>
            <w:tcBorders>
              <w:top w:val="single" w:sz="4" w:space="0" w:color="auto"/>
              <w:left w:val="single" w:sz="4" w:space="0" w:color="auto"/>
              <w:bottom w:val="single" w:sz="4" w:space="0" w:color="auto"/>
              <w:right w:val="single" w:sz="4" w:space="0" w:color="auto"/>
            </w:tcBorders>
            <w:vAlign w:val="center"/>
          </w:tcPr>
          <w:p w14:paraId="57304DD1" w14:textId="77777777" w:rsidR="003727EA" w:rsidRPr="00AF45BA" w:rsidRDefault="003727EA" w:rsidP="003727EA">
            <w:pPr>
              <w:spacing w:before="60" w:after="60"/>
              <w:rPr>
                <w:sz w:val="18"/>
                <w:szCs w:val="18"/>
              </w:rPr>
            </w:pPr>
            <w:r w:rsidRPr="00AF45BA">
              <w:rPr>
                <w:sz w:val="18"/>
                <w:szCs w:val="18"/>
              </w:rPr>
              <w:t>A standard with industry, national or international status, that defines the technical and possibly organisational rules by which an item or process can be described and realised.</w:t>
            </w:r>
          </w:p>
        </w:tc>
        <w:tc>
          <w:tcPr>
            <w:tcW w:w="1417" w:type="dxa"/>
            <w:tcBorders>
              <w:top w:val="single" w:sz="4" w:space="0" w:color="auto"/>
              <w:left w:val="single" w:sz="4" w:space="0" w:color="auto"/>
              <w:bottom w:val="single" w:sz="4" w:space="0" w:color="auto"/>
              <w:right w:val="single" w:sz="4" w:space="0" w:color="auto"/>
            </w:tcBorders>
            <w:vAlign w:val="center"/>
          </w:tcPr>
          <w:p w14:paraId="57304DD2" w14:textId="77777777" w:rsidR="003727EA" w:rsidRPr="00AF45BA" w:rsidRDefault="003727EA" w:rsidP="003727EA">
            <w:pPr>
              <w:spacing w:before="60" w:after="60"/>
              <w:rPr>
                <w:sz w:val="18"/>
                <w:szCs w:val="18"/>
              </w:rPr>
            </w:pPr>
            <w:r w:rsidRPr="00AF45BA">
              <w:rPr>
                <w:sz w:val="18"/>
                <w:szCs w:val="18"/>
              </w:rPr>
              <w:t>SAPs glossary</w:t>
            </w:r>
          </w:p>
        </w:tc>
      </w:tr>
      <w:tr w:rsidR="003727EA" w:rsidRPr="00CC121D" w14:paraId="57304DD7" w14:textId="77777777" w:rsidTr="00AA1B3C">
        <w:tc>
          <w:tcPr>
            <w:tcW w:w="2084" w:type="dxa"/>
            <w:tcBorders>
              <w:top w:val="single" w:sz="4" w:space="0" w:color="auto"/>
              <w:left w:val="single" w:sz="4" w:space="0" w:color="auto"/>
              <w:bottom w:val="single" w:sz="4" w:space="0" w:color="auto"/>
              <w:right w:val="single" w:sz="4" w:space="0" w:color="auto"/>
            </w:tcBorders>
            <w:vAlign w:val="center"/>
          </w:tcPr>
          <w:p w14:paraId="57304DD4" w14:textId="77777777" w:rsidR="003727EA" w:rsidRPr="00AF45BA" w:rsidRDefault="003727EA" w:rsidP="003727EA">
            <w:pPr>
              <w:spacing w:before="60" w:after="60"/>
              <w:rPr>
                <w:sz w:val="18"/>
                <w:szCs w:val="18"/>
              </w:rPr>
            </w:pPr>
            <w:r w:rsidRPr="00AF45BA">
              <w:rPr>
                <w:sz w:val="18"/>
                <w:szCs w:val="18"/>
              </w:rPr>
              <w:t>Design Life</w:t>
            </w:r>
          </w:p>
        </w:tc>
        <w:tc>
          <w:tcPr>
            <w:tcW w:w="5708" w:type="dxa"/>
            <w:tcBorders>
              <w:top w:val="single" w:sz="4" w:space="0" w:color="auto"/>
              <w:left w:val="single" w:sz="4" w:space="0" w:color="auto"/>
              <w:bottom w:val="single" w:sz="4" w:space="0" w:color="auto"/>
              <w:right w:val="single" w:sz="4" w:space="0" w:color="auto"/>
            </w:tcBorders>
            <w:vAlign w:val="center"/>
          </w:tcPr>
          <w:p w14:paraId="57304DD5" w14:textId="1F65D947" w:rsidR="003727EA" w:rsidRPr="00AF45BA" w:rsidRDefault="003727EA" w:rsidP="003727EA">
            <w:pPr>
              <w:spacing w:before="60" w:after="60"/>
              <w:rPr>
                <w:sz w:val="18"/>
                <w:szCs w:val="18"/>
              </w:rPr>
            </w:pPr>
            <w:r w:rsidRPr="00AF45BA">
              <w:rPr>
                <w:sz w:val="18"/>
                <w:szCs w:val="18"/>
              </w:rPr>
              <w:t xml:space="preserve">The period for which the designer intended </w:t>
            </w:r>
            <w:r w:rsidR="00C17F56" w:rsidRPr="00AF45BA">
              <w:rPr>
                <w:sz w:val="18"/>
                <w:szCs w:val="18"/>
              </w:rPr>
              <w:t>an</w:t>
            </w:r>
            <w:r w:rsidRPr="00AF45BA">
              <w:rPr>
                <w:sz w:val="18"/>
                <w:szCs w:val="18"/>
              </w:rPr>
              <w:t xml:space="preserve"> SSC to perform its safety function within the originally specified parameters. It is based upon a range of operating assumptions, including that the SSC will be subject to routine maintenance during its design life.</w:t>
            </w:r>
          </w:p>
        </w:tc>
        <w:tc>
          <w:tcPr>
            <w:tcW w:w="1417" w:type="dxa"/>
            <w:tcBorders>
              <w:top w:val="single" w:sz="4" w:space="0" w:color="auto"/>
              <w:left w:val="single" w:sz="4" w:space="0" w:color="auto"/>
              <w:bottom w:val="single" w:sz="4" w:space="0" w:color="auto"/>
              <w:right w:val="single" w:sz="4" w:space="0" w:color="auto"/>
            </w:tcBorders>
            <w:vAlign w:val="center"/>
          </w:tcPr>
          <w:p w14:paraId="57304DD6" w14:textId="77777777" w:rsidR="003727EA" w:rsidRPr="00AF45BA" w:rsidRDefault="003727EA" w:rsidP="003727EA">
            <w:pPr>
              <w:spacing w:before="60" w:after="60"/>
              <w:rPr>
                <w:sz w:val="18"/>
                <w:szCs w:val="18"/>
              </w:rPr>
            </w:pPr>
            <w:r w:rsidRPr="00AF45BA">
              <w:rPr>
                <w:sz w:val="18"/>
                <w:szCs w:val="18"/>
              </w:rPr>
              <w:t>For the purposes TAG 17 and all the associated annexes</w:t>
            </w:r>
          </w:p>
        </w:tc>
      </w:tr>
      <w:tr w:rsidR="003727EA" w:rsidRPr="00CC121D" w14:paraId="57304DDC" w14:textId="77777777" w:rsidTr="00AA1B3C">
        <w:tc>
          <w:tcPr>
            <w:tcW w:w="2084" w:type="dxa"/>
            <w:tcBorders>
              <w:top w:val="single" w:sz="4" w:space="0" w:color="auto"/>
              <w:left w:val="single" w:sz="4" w:space="0" w:color="auto"/>
              <w:bottom w:val="single" w:sz="4" w:space="0" w:color="auto"/>
              <w:right w:val="single" w:sz="4" w:space="0" w:color="auto"/>
            </w:tcBorders>
            <w:vAlign w:val="center"/>
          </w:tcPr>
          <w:p w14:paraId="57304DD8" w14:textId="77777777" w:rsidR="003727EA" w:rsidRPr="00AF45BA" w:rsidRDefault="003727EA" w:rsidP="003727EA">
            <w:pPr>
              <w:spacing w:before="60" w:after="60"/>
              <w:rPr>
                <w:sz w:val="18"/>
                <w:szCs w:val="18"/>
              </w:rPr>
            </w:pPr>
            <w:r w:rsidRPr="00AF45BA">
              <w:rPr>
                <w:sz w:val="18"/>
                <w:szCs w:val="18"/>
              </w:rPr>
              <w:t>Design Report</w:t>
            </w:r>
          </w:p>
        </w:tc>
        <w:tc>
          <w:tcPr>
            <w:tcW w:w="5708" w:type="dxa"/>
            <w:tcBorders>
              <w:top w:val="single" w:sz="4" w:space="0" w:color="auto"/>
              <w:left w:val="single" w:sz="4" w:space="0" w:color="auto"/>
              <w:bottom w:val="single" w:sz="4" w:space="0" w:color="auto"/>
              <w:right w:val="single" w:sz="4" w:space="0" w:color="auto"/>
            </w:tcBorders>
            <w:vAlign w:val="center"/>
          </w:tcPr>
          <w:p w14:paraId="57304DD9" w14:textId="039B5337" w:rsidR="003727EA" w:rsidRPr="00AF45BA" w:rsidRDefault="003727EA" w:rsidP="003727EA">
            <w:pPr>
              <w:spacing w:before="60" w:after="60"/>
              <w:rPr>
                <w:sz w:val="18"/>
                <w:szCs w:val="18"/>
              </w:rPr>
            </w:pPr>
            <w:r w:rsidRPr="00AF45BA">
              <w:rPr>
                <w:sz w:val="18"/>
                <w:szCs w:val="18"/>
              </w:rPr>
              <w:t>The Design Report (also known by other names) includes the stress calculations and other data and information in sufficient detail to demonstrate compliance with the appropriate codes and standards. This is done by showing that the applicable stress and other limits and requirements of the chosen design code are met when the system, component or item is subjected to the loading conditions defined in the design specification.</w:t>
            </w:r>
          </w:p>
          <w:p w14:paraId="57304DDA" w14:textId="77777777" w:rsidR="003727EA" w:rsidRPr="00AF45BA" w:rsidRDefault="003727EA" w:rsidP="003727EA">
            <w:pPr>
              <w:spacing w:before="60" w:after="60"/>
              <w:rPr>
                <w:sz w:val="18"/>
                <w:szCs w:val="18"/>
              </w:rPr>
            </w:pPr>
            <w:r w:rsidRPr="00AF45BA">
              <w:rPr>
                <w:sz w:val="18"/>
                <w:szCs w:val="18"/>
              </w:rPr>
              <w:t>The Design Report should be reconciled with all design changes, including deviations, which occur prior to the completion and acceptance of the items described in the Design Report.</w:t>
            </w:r>
          </w:p>
        </w:tc>
        <w:tc>
          <w:tcPr>
            <w:tcW w:w="1417" w:type="dxa"/>
            <w:tcBorders>
              <w:top w:val="single" w:sz="4" w:space="0" w:color="auto"/>
              <w:left w:val="single" w:sz="4" w:space="0" w:color="auto"/>
              <w:bottom w:val="single" w:sz="4" w:space="0" w:color="auto"/>
              <w:right w:val="single" w:sz="4" w:space="0" w:color="auto"/>
            </w:tcBorders>
            <w:vAlign w:val="center"/>
          </w:tcPr>
          <w:p w14:paraId="57304DDB" w14:textId="77777777" w:rsidR="003727EA" w:rsidRPr="00AF45BA" w:rsidRDefault="003727EA" w:rsidP="003727EA">
            <w:pPr>
              <w:spacing w:before="60" w:after="60"/>
              <w:rPr>
                <w:sz w:val="18"/>
                <w:szCs w:val="18"/>
              </w:rPr>
            </w:pPr>
            <w:r w:rsidRPr="00AF45BA">
              <w:rPr>
                <w:sz w:val="18"/>
                <w:szCs w:val="18"/>
              </w:rPr>
              <w:t>SAPs glossary</w:t>
            </w:r>
          </w:p>
        </w:tc>
      </w:tr>
      <w:tr w:rsidR="003727EA" w:rsidRPr="00CC121D" w14:paraId="57304DE0" w14:textId="77777777" w:rsidTr="00AA1B3C">
        <w:tc>
          <w:tcPr>
            <w:tcW w:w="2084" w:type="dxa"/>
            <w:tcBorders>
              <w:top w:val="single" w:sz="4" w:space="0" w:color="auto"/>
              <w:left w:val="single" w:sz="4" w:space="0" w:color="auto"/>
              <w:bottom w:val="single" w:sz="4" w:space="0" w:color="auto"/>
              <w:right w:val="single" w:sz="4" w:space="0" w:color="auto"/>
            </w:tcBorders>
            <w:vAlign w:val="center"/>
          </w:tcPr>
          <w:p w14:paraId="57304DDD" w14:textId="77777777" w:rsidR="003727EA" w:rsidRPr="00AF45BA" w:rsidRDefault="003727EA" w:rsidP="003727EA">
            <w:pPr>
              <w:spacing w:before="60" w:after="60"/>
              <w:rPr>
                <w:sz w:val="18"/>
                <w:szCs w:val="18"/>
              </w:rPr>
            </w:pPr>
            <w:r w:rsidRPr="00AF45BA">
              <w:rPr>
                <w:sz w:val="18"/>
                <w:szCs w:val="18"/>
              </w:rPr>
              <w:t>Deviations</w:t>
            </w:r>
          </w:p>
        </w:tc>
        <w:tc>
          <w:tcPr>
            <w:tcW w:w="5708" w:type="dxa"/>
            <w:tcBorders>
              <w:top w:val="single" w:sz="4" w:space="0" w:color="auto"/>
              <w:left w:val="single" w:sz="4" w:space="0" w:color="auto"/>
              <w:bottom w:val="single" w:sz="4" w:space="0" w:color="auto"/>
              <w:right w:val="single" w:sz="4" w:space="0" w:color="auto"/>
            </w:tcBorders>
            <w:vAlign w:val="center"/>
          </w:tcPr>
          <w:p w14:paraId="57304DDE" w14:textId="77777777" w:rsidR="003727EA" w:rsidRPr="00AF45BA" w:rsidRDefault="003727EA" w:rsidP="003727EA">
            <w:pPr>
              <w:spacing w:before="60" w:after="60"/>
              <w:rPr>
                <w:sz w:val="18"/>
                <w:szCs w:val="18"/>
              </w:rPr>
            </w:pPr>
            <w:r w:rsidRPr="00AF45BA">
              <w:rPr>
                <w:sz w:val="18"/>
                <w:szCs w:val="18"/>
              </w:rPr>
              <w:t>Deviations are unplanned departures from the intended requirements. Deviations can emerge at any stage of the construction or modification, including design, manufacturing, storage and transportation.</w:t>
            </w:r>
          </w:p>
        </w:tc>
        <w:tc>
          <w:tcPr>
            <w:tcW w:w="1417" w:type="dxa"/>
            <w:tcBorders>
              <w:top w:val="single" w:sz="4" w:space="0" w:color="auto"/>
              <w:left w:val="single" w:sz="4" w:space="0" w:color="auto"/>
              <w:bottom w:val="single" w:sz="4" w:space="0" w:color="auto"/>
              <w:right w:val="single" w:sz="4" w:space="0" w:color="auto"/>
            </w:tcBorders>
            <w:vAlign w:val="center"/>
          </w:tcPr>
          <w:p w14:paraId="57304DDF" w14:textId="77777777" w:rsidR="003727EA" w:rsidRPr="00AF45BA" w:rsidRDefault="003727EA" w:rsidP="003727EA">
            <w:pPr>
              <w:spacing w:before="60" w:after="60"/>
              <w:rPr>
                <w:sz w:val="18"/>
                <w:szCs w:val="18"/>
              </w:rPr>
            </w:pPr>
            <w:r w:rsidRPr="00AF45BA">
              <w:rPr>
                <w:sz w:val="18"/>
                <w:szCs w:val="18"/>
              </w:rPr>
              <w:t>SAPs glossary</w:t>
            </w:r>
          </w:p>
        </w:tc>
      </w:tr>
      <w:tr w:rsidR="003727EA" w:rsidRPr="00CC121D" w14:paraId="57304DE4" w14:textId="77777777" w:rsidTr="00AA1B3C">
        <w:tc>
          <w:tcPr>
            <w:tcW w:w="2084" w:type="dxa"/>
            <w:tcBorders>
              <w:top w:val="single" w:sz="4" w:space="0" w:color="auto"/>
              <w:left w:val="single" w:sz="4" w:space="0" w:color="auto"/>
              <w:bottom w:val="single" w:sz="4" w:space="0" w:color="auto"/>
              <w:right w:val="single" w:sz="4" w:space="0" w:color="auto"/>
            </w:tcBorders>
            <w:vAlign w:val="center"/>
            <w:hideMark/>
          </w:tcPr>
          <w:p w14:paraId="57304DE1" w14:textId="77777777" w:rsidR="003727EA" w:rsidRPr="00AF45BA" w:rsidRDefault="003727EA" w:rsidP="003727EA">
            <w:pPr>
              <w:spacing w:before="60" w:after="60"/>
              <w:rPr>
                <w:sz w:val="18"/>
                <w:szCs w:val="18"/>
              </w:rPr>
            </w:pPr>
            <w:r w:rsidRPr="00AF45BA">
              <w:rPr>
                <w:sz w:val="18"/>
                <w:szCs w:val="18"/>
              </w:rPr>
              <w:t>Disposal</w:t>
            </w:r>
          </w:p>
        </w:tc>
        <w:tc>
          <w:tcPr>
            <w:tcW w:w="5708" w:type="dxa"/>
            <w:tcBorders>
              <w:top w:val="single" w:sz="4" w:space="0" w:color="auto"/>
              <w:left w:val="single" w:sz="4" w:space="0" w:color="auto"/>
              <w:bottom w:val="single" w:sz="4" w:space="0" w:color="auto"/>
              <w:right w:val="single" w:sz="4" w:space="0" w:color="auto"/>
            </w:tcBorders>
            <w:vAlign w:val="center"/>
            <w:hideMark/>
          </w:tcPr>
          <w:p w14:paraId="57304DE2" w14:textId="77777777" w:rsidR="003727EA" w:rsidRPr="00AF45BA" w:rsidRDefault="003727EA" w:rsidP="003727EA">
            <w:pPr>
              <w:spacing w:before="60" w:after="60"/>
              <w:rPr>
                <w:sz w:val="18"/>
                <w:szCs w:val="18"/>
              </w:rPr>
            </w:pPr>
            <w:r w:rsidRPr="00AF45BA">
              <w:rPr>
                <w:sz w:val="18"/>
                <w:szCs w:val="18"/>
              </w:rPr>
              <w:t>Emplacement of waste in an appropriate facility without the intention of retrieval.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304DE3" w14:textId="77777777" w:rsidR="003727EA" w:rsidRPr="00AF45BA" w:rsidRDefault="003727EA" w:rsidP="003727EA">
            <w:pPr>
              <w:spacing w:before="60" w:after="60"/>
              <w:rPr>
                <w:sz w:val="18"/>
                <w:szCs w:val="18"/>
              </w:rPr>
            </w:pPr>
            <w:r w:rsidRPr="00AF45BA">
              <w:rPr>
                <w:sz w:val="18"/>
                <w:szCs w:val="18"/>
              </w:rPr>
              <w:t>IAEA</w:t>
            </w:r>
          </w:p>
        </w:tc>
      </w:tr>
      <w:tr w:rsidR="003727EA" w:rsidRPr="00CC121D" w14:paraId="57304DE8" w14:textId="77777777" w:rsidTr="00AA1B3C">
        <w:tc>
          <w:tcPr>
            <w:tcW w:w="2084" w:type="dxa"/>
            <w:tcBorders>
              <w:top w:val="single" w:sz="4" w:space="0" w:color="auto"/>
              <w:left w:val="single" w:sz="4" w:space="0" w:color="auto"/>
              <w:bottom w:val="single" w:sz="4" w:space="0" w:color="auto"/>
              <w:right w:val="single" w:sz="4" w:space="0" w:color="auto"/>
            </w:tcBorders>
            <w:vAlign w:val="center"/>
          </w:tcPr>
          <w:p w14:paraId="57304DE5" w14:textId="77777777" w:rsidR="003727EA" w:rsidRPr="00AF45BA" w:rsidRDefault="003727EA" w:rsidP="003727EA">
            <w:pPr>
              <w:spacing w:before="60" w:after="60"/>
              <w:rPr>
                <w:sz w:val="18"/>
                <w:szCs w:val="18"/>
              </w:rPr>
            </w:pPr>
            <w:r w:rsidRPr="00AF45BA">
              <w:rPr>
                <w:sz w:val="18"/>
                <w:szCs w:val="18"/>
              </w:rPr>
              <w:t>Duty holder</w:t>
            </w:r>
          </w:p>
        </w:tc>
        <w:tc>
          <w:tcPr>
            <w:tcW w:w="5708" w:type="dxa"/>
            <w:tcBorders>
              <w:top w:val="single" w:sz="4" w:space="0" w:color="auto"/>
              <w:left w:val="single" w:sz="4" w:space="0" w:color="auto"/>
              <w:bottom w:val="single" w:sz="4" w:space="0" w:color="auto"/>
              <w:right w:val="single" w:sz="4" w:space="0" w:color="auto"/>
            </w:tcBorders>
            <w:vAlign w:val="center"/>
          </w:tcPr>
          <w:p w14:paraId="57304DE6" w14:textId="0887B963" w:rsidR="003727EA" w:rsidRPr="00AF45BA" w:rsidRDefault="003727EA" w:rsidP="003727EA">
            <w:pPr>
              <w:spacing w:before="60" w:after="60"/>
              <w:rPr>
                <w:sz w:val="18"/>
                <w:szCs w:val="18"/>
              </w:rPr>
            </w:pPr>
            <w:r w:rsidRPr="00AF45BA">
              <w:rPr>
                <w:sz w:val="18"/>
                <w:szCs w:val="18"/>
              </w:rPr>
              <w:t xml:space="preserve">For the purpose of this document and suite of associated annexes, the </w:t>
            </w:r>
            <w:proofErr w:type="spellStart"/>
            <w:r w:rsidRPr="00AF45BA">
              <w:rPr>
                <w:sz w:val="18"/>
                <w:szCs w:val="18"/>
              </w:rPr>
              <w:t>dutyholder</w:t>
            </w:r>
            <w:proofErr w:type="spellEnd"/>
            <w:r w:rsidRPr="00AF45BA">
              <w:rPr>
                <w:sz w:val="18"/>
                <w:szCs w:val="18"/>
              </w:rPr>
              <w:t xml:space="preserve"> is any organisation or person that holds duties under legislation that ONR regulates. ‘</w:t>
            </w:r>
            <w:proofErr w:type="spellStart"/>
            <w:r w:rsidRPr="00AF45BA">
              <w:rPr>
                <w:sz w:val="18"/>
                <w:szCs w:val="18"/>
              </w:rPr>
              <w:t>Dutyholder</w:t>
            </w:r>
            <w:proofErr w:type="spellEnd"/>
            <w:r w:rsidRPr="00AF45BA">
              <w:rPr>
                <w:sz w:val="18"/>
                <w:szCs w:val="18"/>
              </w:rPr>
              <w:t xml:space="preserve">’ includes Licensees, Requesting Parties, Potential Future Licensees, Operational Licence </w:t>
            </w:r>
            <w:proofErr w:type="spellStart"/>
            <w:r w:rsidRPr="00AF45BA">
              <w:rPr>
                <w:sz w:val="18"/>
                <w:szCs w:val="18"/>
              </w:rPr>
              <w:t>Dutyholders</w:t>
            </w:r>
            <w:proofErr w:type="spellEnd"/>
            <w:r w:rsidRPr="00AF45BA">
              <w:rPr>
                <w:sz w:val="18"/>
                <w:szCs w:val="18"/>
              </w:rPr>
              <w:t>, Decommissioning Site Licensees, New Build Site Licensees, budget holders, vendors and supply chain members.</w:t>
            </w:r>
          </w:p>
        </w:tc>
        <w:tc>
          <w:tcPr>
            <w:tcW w:w="1417" w:type="dxa"/>
            <w:tcBorders>
              <w:top w:val="single" w:sz="4" w:space="0" w:color="auto"/>
              <w:left w:val="single" w:sz="4" w:space="0" w:color="auto"/>
              <w:bottom w:val="single" w:sz="4" w:space="0" w:color="auto"/>
              <w:right w:val="single" w:sz="4" w:space="0" w:color="auto"/>
            </w:tcBorders>
            <w:vAlign w:val="center"/>
          </w:tcPr>
          <w:p w14:paraId="57304DE7" w14:textId="233F8C5E" w:rsidR="003727EA" w:rsidRPr="00AF45BA" w:rsidRDefault="003727EA" w:rsidP="003727EA">
            <w:pPr>
              <w:spacing w:before="60" w:after="60"/>
              <w:rPr>
                <w:sz w:val="18"/>
                <w:szCs w:val="18"/>
              </w:rPr>
            </w:pPr>
            <w:r w:rsidRPr="00AF45BA">
              <w:rPr>
                <w:sz w:val="18"/>
                <w:szCs w:val="18"/>
              </w:rPr>
              <w:t>For the purposes of this document and suite of associated annexes</w:t>
            </w:r>
          </w:p>
        </w:tc>
      </w:tr>
      <w:tr w:rsidR="003727EA" w:rsidRPr="00CC121D" w14:paraId="57304DEC" w14:textId="77777777" w:rsidTr="00AA1B3C">
        <w:tc>
          <w:tcPr>
            <w:tcW w:w="2084" w:type="dxa"/>
            <w:vMerge w:val="restart"/>
            <w:tcBorders>
              <w:top w:val="single" w:sz="4" w:space="0" w:color="auto"/>
              <w:left w:val="single" w:sz="4" w:space="0" w:color="auto"/>
              <w:bottom w:val="single" w:sz="4" w:space="0" w:color="auto"/>
              <w:right w:val="single" w:sz="4" w:space="0" w:color="auto"/>
            </w:tcBorders>
            <w:vAlign w:val="center"/>
            <w:hideMark/>
          </w:tcPr>
          <w:p w14:paraId="57304DE9" w14:textId="77777777" w:rsidR="003727EA" w:rsidRPr="00AF45BA" w:rsidRDefault="003727EA" w:rsidP="003727EA">
            <w:pPr>
              <w:spacing w:before="60" w:after="60"/>
              <w:rPr>
                <w:sz w:val="18"/>
                <w:szCs w:val="18"/>
              </w:rPr>
            </w:pPr>
            <w:r w:rsidRPr="00AF45BA">
              <w:rPr>
                <w:sz w:val="18"/>
                <w:szCs w:val="18"/>
              </w:rPr>
              <w:t>End State</w:t>
            </w:r>
          </w:p>
        </w:tc>
        <w:tc>
          <w:tcPr>
            <w:tcW w:w="5708" w:type="dxa"/>
            <w:tcBorders>
              <w:top w:val="single" w:sz="4" w:space="0" w:color="auto"/>
              <w:left w:val="single" w:sz="4" w:space="0" w:color="auto"/>
              <w:bottom w:val="single" w:sz="4" w:space="0" w:color="auto"/>
              <w:right w:val="single" w:sz="4" w:space="0" w:color="auto"/>
            </w:tcBorders>
            <w:vAlign w:val="center"/>
            <w:hideMark/>
          </w:tcPr>
          <w:p w14:paraId="57304DEA" w14:textId="77777777" w:rsidR="003727EA" w:rsidRPr="00AF45BA" w:rsidRDefault="003727EA" w:rsidP="003727EA">
            <w:pPr>
              <w:spacing w:before="60" w:after="60"/>
              <w:rPr>
                <w:sz w:val="18"/>
                <w:szCs w:val="18"/>
              </w:rPr>
            </w:pPr>
            <w:r w:rsidRPr="00AF45BA">
              <w:rPr>
                <w:sz w:val="18"/>
                <w:szCs w:val="18"/>
              </w:rPr>
              <w:t>(In relation to decommissioning activities) the final state of decommissioning.</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304DEB" w14:textId="77777777" w:rsidR="003727EA" w:rsidRPr="00AF45BA" w:rsidRDefault="003727EA" w:rsidP="003727EA">
            <w:pPr>
              <w:spacing w:before="60" w:after="60"/>
              <w:rPr>
                <w:sz w:val="18"/>
                <w:szCs w:val="18"/>
              </w:rPr>
            </w:pPr>
            <w:r w:rsidRPr="00AF45BA">
              <w:rPr>
                <w:sz w:val="18"/>
                <w:szCs w:val="18"/>
              </w:rPr>
              <w:t>IAEA</w:t>
            </w:r>
          </w:p>
        </w:tc>
      </w:tr>
      <w:tr w:rsidR="003727EA" w:rsidRPr="00CC121D" w14:paraId="57304DF0" w14:textId="77777777" w:rsidTr="00AA1B3C">
        <w:tc>
          <w:tcPr>
            <w:tcW w:w="2084" w:type="dxa"/>
            <w:vMerge/>
            <w:tcBorders>
              <w:top w:val="single" w:sz="4" w:space="0" w:color="auto"/>
              <w:left w:val="single" w:sz="4" w:space="0" w:color="auto"/>
              <w:bottom w:val="single" w:sz="4" w:space="0" w:color="auto"/>
              <w:right w:val="single" w:sz="4" w:space="0" w:color="auto"/>
            </w:tcBorders>
            <w:vAlign w:val="center"/>
            <w:hideMark/>
          </w:tcPr>
          <w:p w14:paraId="57304DED" w14:textId="77777777" w:rsidR="003727EA" w:rsidRPr="00AF45BA" w:rsidRDefault="003727EA" w:rsidP="003727EA">
            <w:pPr>
              <w:spacing w:before="60" w:after="60"/>
              <w:rPr>
                <w:sz w:val="18"/>
                <w:szCs w:val="18"/>
              </w:rPr>
            </w:pPr>
          </w:p>
        </w:tc>
        <w:tc>
          <w:tcPr>
            <w:tcW w:w="5708" w:type="dxa"/>
            <w:tcBorders>
              <w:top w:val="single" w:sz="4" w:space="0" w:color="auto"/>
              <w:left w:val="single" w:sz="4" w:space="0" w:color="auto"/>
              <w:bottom w:val="single" w:sz="4" w:space="0" w:color="auto"/>
              <w:right w:val="single" w:sz="4" w:space="0" w:color="auto"/>
            </w:tcBorders>
            <w:vAlign w:val="center"/>
            <w:hideMark/>
          </w:tcPr>
          <w:p w14:paraId="57304DEE" w14:textId="77777777" w:rsidR="003727EA" w:rsidRPr="00AF45BA" w:rsidRDefault="003727EA" w:rsidP="003727EA">
            <w:pPr>
              <w:spacing w:before="60" w:after="60"/>
              <w:rPr>
                <w:sz w:val="18"/>
                <w:szCs w:val="18"/>
              </w:rPr>
            </w:pPr>
            <w:r w:rsidRPr="00AF45BA">
              <w:rPr>
                <w:sz w:val="18"/>
                <w:szCs w:val="18"/>
              </w:rPr>
              <w:t>The end state is defined as a predetermined criterion defining the point at which a specific task or process (i.e. decommissioning) is to be considered completed. The actual end state is tailored to address the safety and environmental needs in each situation.</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304DEF" w14:textId="77777777" w:rsidR="003727EA" w:rsidRPr="00AF45BA" w:rsidRDefault="003727EA" w:rsidP="003727EA">
            <w:pPr>
              <w:spacing w:before="60" w:after="60"/>
              <w:rPr>
                <w:sz w:val="18"/>
                <w:szCs w:val="18"/>
              </w:rPr>
            </w:pPr>
            <w:r w:rsidRPr="00AF45BA">
              <w:rPr>
                <w:sz w:val="18"/>
                <w:szCs w:val="18"/>
              </w:rPr>
              <w:t>IAEA WS-R-5</w:t>
            </w:r>
          </w:p>
        </w:tc>
      </w:tr>
      <w:tr w:rsidR="003727EA" w:rsidRPr="00CC121D" w14:paraId="483CA59F" w14:textId="77777777" w:rsidTr="00AA1B3C">
        <w:tc>
          <w:tcPr>
            <w:tcW w:w="2084" w:type="dxa"/>
            <w:tcBorders>
              <w:top w:val="single" w:sz="4" w:space="0" w:color="auto"/>
              <w:left w:val="single" w:sz="4" w:space="0" w:color="auto"/>
              <w:bottom w:val="single" w:sz="4" w:space="0" w:color="auto"/>
              <w:right w:val="single" w:sz="4" w:space="0" w:color="auto"/>
            </w:tcBorders>
            <w:vAlign w:val="center"/>
          </w:tcPr>
          <w:p w14:paraId="57F87CE5" w14:textId="1664B456" w:rsidR="003727EA" w:rsidRPr="00AF45BA" w:rsidRDefault="003727EA" w:rsidP="003727EA">
            <w:pPr>
              <w:spacing w:before="60" w:after="60"/>
              <w:rPr>
                <w:sz w:val="18"/>
                <w:szCs w:val="18"/>
              </w:rPr>
            </w:pPr>
            <w:r w:rsidRPr="00AF45BA">
              <w:rPr>
                <w:sz w:val="18"/>
                <w:szCs w:val="18"/>
              </w:rPr>
              <w:t xml:space="preserve">Installation </w:t>
            </w:r>
          </w:p>
        </w:tc>
        <w:tc>
          <w:tcPr>
            <w:tcW w:w="5708" w:type="dxa"/>
            <w:tcBorders>
              <w:top w:val="single" w:sz="4" w:space="0" w:color="auto"/>
              <w:left w:val="single" w:sz="4" w:space="0" w:color="auto"/>
              <w:bottom w:val="single" w:sz="4" w:space="0" w:color="auto"/>
              <w:right w:val="single" w:sz="4" w:space="0" w:color="auto"/>
            </w:tcBorders>
            <w:vAlign w:val="center"/>
          </w:tcPr>
          <w:p w14:paraId="72DC3FB8" w14:textId="13D134B5" w:rsidR="003727EA" w:rsidRPr="00AF45BA" w:rsidRDefault="003727EA" w:rsidP="003727EA">
            <w:pPr>
              <w:spacing w:before="60" w:after="60"/>
              <w:rPr>
                <w:sz w:val="18"/>
                <w:szCs w:val="18"/>
              </w:rPr>
            </w:pPr>
            <w:r w:rsidRPr="00AF45BA">
              <w:rPr>
                <w:sz w:val="18"/>
                <w:szCs w:val="18"/>
              </w:rPr>
              <w:t>“installation” means “nuclear installation” and has the meaning assigned thereto in the Nuclear Installations Act 1965; herein referred to also as ‘facility’</w:t>
            </w:r>
          </w:p>
        </w:tc>
        <w:tc>
          <w:tcPr>
            <w:tcW w:w="1417" w:type="dxa"/>
            <w:tcBorders>
              <w:top w:val="single" w:sz="4" w:space="0" w:color="auto"/>
              <w:left w:val="single" w:sz="4" w:space="0" w:color="auto"/>
              <w:bottom w:val="single" w:sz="4" w:space="0" w:color="auto"/>
              <w:right w:val="single" w:sz="4" w:space="0" w:color="auto"/>
            </w:tcBorders>
            <w:vAlign w:val="center"/>
          </w:tcPr>
          <w:p w14:paraId="06857095" w14:textId="5A1145C6" w:rsidR="003727EA" w:rsidRPr="00AF45BA" w:rsidRDefault="003727EA" w:rsidP="003727EA">
            <w:pPr>
              <w:spacing w:before="60" w:after="60"/>
              <w:rPr>
                <w:sz w:val="18"/>
                <w:szCs w:val="18"/>
              </w:rPr>
            </w:pPr>
            <w:r w:rsidRPr="00AF45BA">
              <w:rPr>
                <w:sz w:val="18"/>
                <w:szCs w:val="18"/>
              </w:rPr>
              <w:t>LCs</w:t>
            </w:r>
          </w:p>
        </w:tc>
      </w:tr>
      <w:tr w:rsidR="003727EA" w:rsidRPr="00CC121D" w14:paraId="57304DF4" w14:textId="77777777" w:rsidTr="00AA1B3C">
        <w:tc>
          <w:tcPr>
            <w:tcW w:w="2084" w:type="dxa"/>
            <w:tcBorders>
              <w:top w:val="single" w:sz="4" w:space="0" w:color="auto"/>
              <w:left w:val="single" w:sz="4" w:space="0" w:color="auto"/>
              <w:bottom w:val="single" w:sz="4" w:space="0" w:color="auto"/>
              <w:right w:val="single" w:sz="4" w:space="0" w:color="auto"/>
            </w:tcBorders>
            <w:vAlign w:val="center"/>
          </w:tcPr>
          <w:p w14:paraId="57304DF1" w14:textId="77777777" w:rsidR="003727EA" w:rsidRPr="00AF45BA" w:rsidRDefault="003727EA" w:rsidP="003727EA">
            <w:pPr>
              <w:spacing w:before="60" w:after="60"/>
              <w:rPr>
                <w:sz w:val="18"/>
                <w:szCs w:val="18"/>
              </w:rPr>
            </w:pPr>
            <w:r w:rsidRPr="00AF45BA">
              <w:rPr>
                <w:sz w:val="18"/>
                <w:szCs w:val="18"/>
              </w:rPr>
              <w:t>Intelligent Customer</w:t>
            </w:r>
          </w:p>
        </w:tc>
        <w:tc>
          <w:tcPr>
            <w:tcW w:w="5708" w:type="dxa"/>
            <w:tcBorders>
              <w:top w:val="single" w:sz="4" w:space="0" w:color="auto"/>
              <w:left w:val="single" w:sz="4" w:space="0" w:color="auto"/>
              <w:bottom w:val="single" w:sz="4" w:space="0" w:color="auto"/>
              <w:right w:val="single" w:sz="4" w:space="0" w:color="auto"/>
            </w:tcBorders>
            <w:vAlign w:val="center"/>
          </w:tcPr>
          <w:p w14:paraId="57304DF2" w14:textId="77777777" w:rsidR="003727EA" w:rsidRPr="00AF45BA" w:rsidRDefault="003727EA" w:rsidP="003727EA">
            <w:pPr>
              <w:spacing w:before="60" w:after="60"/>
              <w:rPr>
                <w:sz w:val="18"/>
                <w:szCs w:val="18"/>
              </w:rPr>
            </w:pPr>
            <w:r w:rsidRPr="00AF45BA">
              <w:rPr>
                <w:sz w:val="18"/>
                <w:szCs w:val="18"/>
              </w:rPr>
              <w:t>The capability of an organisation to understand where and when work is needed; specify what needs to be done; understand and set suitable standards; supervise and control the work; and review, evaluate and accept the work carried out on its behalf.</w:t>
            </w:r>
          </w:p>
        </w:tc>
        <w:tc>
          <w:tcPr>
            <w:tcW w:w="1417" w:type="dxa"/>
            <w:tcBorders>
              <w:top w:val="single" w:sz="4" w:space="0" w:color="auto"/>
              <w:left w:val="single" w:sz="4" w:space="0" w:color="auto"/>
              <w:bottom w:val="single" w:sz="4" w:space="0" w:color="auto"/>
              <w:right w:val="single" w:sz="4" w:space="0" w:color="auto"/>
            </w:tcBorders>
            <w:vAlign w:val="center"/>
          </w:tcPr>
          <w:p w14:paraId="57304DF3" w14:textId="77777777" w:rsidR="003727EA" w:rsidRPr="00AF45BA" w:rsidRDefault="003727EA" w:rsidP="003727EA">
            <w:pPr>
              <w:spacing w:before="60" w:after="60"/>
              <w:rPr>
                <w:sz w:val="18"/>
                <w:szCs w:val="18"/>
              </w:rPr>
            </w:pPr>
            <w:r w:rsidRPr="00AF45BA">
              <w:rPr>
                <w:sz w:val="18"/>
                <w:szCs w:val="18"/>
              </w:rPr>
              <w:t>SAPs glossary</w:t>
            </w:r>
          </w:p>
        </w:tc>
      </w:tr>
      <w:tr w:rsidR="003727EA" w:rsidRPr="00CC121D" w14:paraId="57304DF8" w14:textId="77777777" w:rsidTr="00AA1B3C">
        <w:tc>
          <w:tcPr>
            <w:tcW w:w="2084" w:type="dxa"/>
            <w:tcBorders>
              <w:top w:val="single" w:sz="4" w:space="0" w:color="auto"/>
              <w:left w:val="single" w:sz="4" w:space="0" w:color="auto"/>
              <w:bottom w:val="single" w:sz="4" w:space="0" w:color="auto"/>
              <w:right w:val="single" w:sz="4" w:space="0" w:color="auto"/>
            </w:tcBorders>
            <w:vAlign w:val="center"/>
          </w:tcPr>
          <w:p w14:paraId="57304DF5" w14:textId="77777777" w:rsidR="003727EA" w:rsidRPr="00AF45BA" w:rsidRDefault="003727EA" w:rsidP="003727EA">
            <w:pPr>
              <w:spacing w:before="60" w:after="60"/>
              <w:rPr>
                <w:sz w:val="18"/>
                <w:szCs w:val="18"/>
              </w:rPr>
            </w:pPr>
            <w:r w:rsidRPr="00AF45BA">
              <w:rPr>
                <w:sz w:val="18"/>
                <w:szCs w:val="18"/>
              </w:rPr>
              <w:t>Items or services</w:t>
            </w:r>
          </w:p>
        </w:tc>
        <w:tc>
          <w:tcPr>
            <w:tcW w:w="5708" w:type="dxa"/>
            <w:tcBorders>
              <w:top w:val="single" w:sz="4" w:space="0" w:color="auto"/>
              <w:left w:val="single" w:sz="4" w:space="0" w:color="auto"/>
              <w:bottom w:val="single" w:sz="4" w:space="0" w:color="auto"/>
              <w:right w:val="single" w:sz="4" w:space="0" w:color="auto"/>
            </w:tcBorders>
            <w:vAlign w:val="center"/>
          </w:tcPr>
          <w:p w14:paraId="57304DF6" w14:textId="77777777" w:rsidR="003727EA" w:rsidRPr="00AF45BA" w:rsidRDefault="003727EA" w:rsidP="003727EA">
            <w:pPr>
              <w:spacing w:before="60" w:after="60"/>
              <w:rPr>
                <w:sz w:val="18"/>
                <w:szCs w:val="18"/>
              </w:rPr>
            </w:pPr>
            <w:r w:rsidRPr="00AF45BA">
              <w:rPr>
                <w:sz w:val="18"/>
                <w:szCs w:val="18"/>
              </w:rPr>
              <w:t>Items or services referred to in this guidance are those that contribute to nuclear safety including those that provide the principal means of ensuring safety. Items include components, assemblies, vessels and civil structural components, structures and facilities whilst services include design, inspection, technical support and peer review.</w:t>
            </w:r>
          </w:p>
        </w:tc>
        <w:tc>
          <w:tcPr>
            <w:tcW w:w="1417" w:type="dxa"/>
            <w:tcBorders>
              <w:top w:val="single" w:sz="4" w:space="0" w:color="auto"/>
              <w:left w:val="single" w:sz="4" w:space="0" w:color="auto"/>
              <w:bottom w:val="single" w:sz="4" w:space="0" w:color="auto"/>
              <w:right w:val="single" w:sz="4" w:space="0" w:color="auto"/>
            </w:tcBorders>
            <w:vAlign w:val="center"/>
          </w:tcPr>
          <w:p w14:paraId="57304DF7" w14:textId="77777777" w:rsidR="003727EA" w:rsidRPr="00AF45BA" w:rsidRDefault="003727EA" w:rsidP="003727EA">
            <w:pPr>
              <w:spacing w:before="60" w:after="60"/>
              <w:rPr>
                <w:sz w:val="18"/>
                <w:szCs w:val="18"/>
              </w:rPr>
            </w:pPr>
            <w:r w:rsidRPr="00AF45BA">
              <w:rPr>
                <w:sz w:val="18"/>
                <w:szCs w:val="18"/>
              </w:rPr>
              <w:t>SAPs glossary</w:t>
            </w:r>
          </w:p>
        </w:tc>
      </w:tr>
      <w:tr w:rsidR="003727EA" w:rsidRPr="00CC121D" w14:paraId="57304DFD" w14:textId="77777777" w:rsidTr="00AA1B3C">
        <w:tc>
          <w:tcPr>
            <w:tcW w:w="2084" w:type="dxa"/>
            <w:tcBorders>
              <w:top w:val="single" w:sz="4" w:space="0" w:color="auto"/>
              <w:left w:val="single" w:sz="4" w:space="0" w:color="auto"/>
              <w:bottom w:val="single" w:sz="4" w:space="0" w:color="auto"/>
              <w:right w:val="single" w:sz="4" w:space="0" w:color="auto"/>
            </w:tcBorders>
            <w:vAlign w:val="center"/>
            <w:hideMark/>
          </w:tcPr>
          <w:p w14:paraId="57304DF9" w14:textId="77777777" w:rsidR="003727EA" w:rsidRPr="00AF45BA" w:rsidRDefault="003727EA" w:rsidP="003727EA">
            <w:pPr>
              <w:spacing w:before="60" w:after="60"/>
              <w:rPr>
                <w:sz w:val="18"/>
                <w:szCs w:val="18"/>
              </w:rPr>
            </w:pPr>
            <w:r w:rsidRPr="00AF45BA">
              <w:rPr>
                <w:sz w:val="18"/>
                <w:szCs w:val="18"/>
              </w:rPr>
              <w:t>Life Management</w:t>
            </w:r>
          </w:p>
          <w:p w14:paraId="57304DFA" w14:textId="77777777" w:rsidR="003727EA" w:rsidRPr="00AF45BA" w:rsidRDefault="003727EA" w:rsidP="003727EA">
            <w:pPr>
              <w:spacing w:before="60" w:after="60"/>
              <w:rPr>
                <w:sz w:val="18"/>
                <w:szCs w:val="18"/>
              </w:rPr>
            </w:pPr>
            <w:r w:rsidRPr="00AF45BA">
              <w:rPr>
                <w:sz w:val="18"/>
                <w:szCs w:val="18"/>
              </w:rPr>
              <w:t>(or lifetime management)</w:t>
            </w:r>
          </w:p>
        </w:tc>
        <w:tc>
          <w:tcPr>
            <w:tcW w:w="5708" w:type="dxa"/>
            <w:tcBorders>
              <w:top w:val="single" w:sz="4" w:space="0" w:color="auto"/>
              <w:left w:val="single" w:sz="4" w:space="0" w:color="auto"/>
              <w:bottom w:val="single" w:sz="4" w:space="0" w:color="auto"/>
              <w:right w:val="single" w:sz="4" w:space="0" w:color="auto"/>
            </w:tcBorders>
            <w:vAlign w:val="center"/>
            <w:hideMark/>
          </w:tcPr>
          <w:p w14:paraId="57304DFB" w14:textId="77777777" w:rsidR="003727EA" w:rsidRPr="00AF45BA" w:rsidRDefault="003727EA" w:rsidP="003727EA">
            <w:pPr>
              <w:spacing w:before="60" w:after="60"/>
              <w:rPr>
                <w:sz w:val="18"/>
                <w:szCs w:val="18"/>
              </w:rPr>
            </w:pPr>
            <w:r w:rsidRPr="00AF45BA">
              <w:rPr>
                <w:sz w:val="18"/>
                <w:szCs w:val="18"/>
              </w:rPr>
              <w:t>The integration of ageing management with economic planning: (1) to optimize the operation, maintenance and service life of structures, systems and components; (2) to maintain an acceptable level of performance and safety; and (3) to maximize the return on investment over the service life of the facility</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304DFC" w14:textId="77777777" w:rsidR="003727EA" w:rsidRPr="00AF45BA" w:rsidRDefault="003727EA" w:rsidP="003727EA">
            <w:pPr>
              <w:spacing w:before="60" w:after="60"/>
              <w:rPr>
                <w:sz w:val="18"/>
                <w:szCs w:val="18"/>
              </w:rPr>
            </w:pPr>
            <w:r w:rsidRPr="00AF45BA">
              <w:rPr>
                <w:sz w:val="18"/>
                <w:szCs w:val="18"/>
              </w:rPr>
              <w:t>IAEA</w:t>
            </w:r>
          </w:p>
        </w:tc>
      </w:tr>
      <w:tr w:rsidR="003727EA" w:rsidRPr="00CC121D" w14:paraId="57304E05" w14:textId="77777777" w:rsidTr="00AA1B3C">
        <w:tc>
          <w:tcPr>
            <w:tcW w:w="2084" w:type="dxa"/>
            <w:tcBorders>
              <w:top w:val="single" w:sz="4" w:space="0" w:color="auto"/>
              <w:left w:val="single" w:sz="4" w:space="0" w:color="auto"/>
              <w:bottom w:val="single" w:sz="4" w:space="0" w:color="auto"/>
              <w:right w:val="single" w:sz="4" w:space="0" w:color="auto"/>
            </w:tcBorders>
            <w:vAlign w:val="center"/>
          </w:tcPr>
          <w:p w14:paraId="59D124E4" w14:textId="77777777" w:rsidR="003727EA" w:rsidRPr="00AF45BA" w:rsidRDefault="003727EA" w:rsidP="003727EA">
            <w:pPr>
              <w:spacing w:before="60" w:after="60"/>
              <w:rPr>
                <w:sz w:val="18"/>
                <w:szCs w:val="18"/>
              </w:rPr>
            </w:pPr>
            <w:r w:rsidRPr="00AF45BA">
              <w:rPr>
                <w:sz w:val="18"/>
                <w:szCs w:val="18"/>
              </w:rPr>
              <w:t>Manufacturer/ contractor/ vendor</w:t>
            </w:r>
          </w:p>
          <w:p w14:paraId="3F45C22A" w14:textId="77777777" w:rsidR="003727EA" w:rsidRPr="00AF45BA" w:rsidRDefault="003727EA" w:rsidP="003727EA">
            <w:pPr>
              <w:spacing w:before="60" w:after="60"/>
              <w:rPr>
                <w:sz w:val="18"/>
                <w:szCs w:val="18"/>
              </w:rPr>
            </w:pPr>
          </w:p>
          <w:p w14:paraId="57304E02" w14:textId="425B9C18" w:rsidR="003727EA" w:rsidRPr="00AF45BA" w:rsidRDefault="003727EA" w:rsidP="003727EA">
            <w:pPr>
              <w:spacing w:before="60" w:after="60"/>
              <w:rPr>
                <w:sz w:val="18"/>
                <w:szCs w:val="18"/>
              </w:rPr>
            </w:pPr>
            <w:r w:rsidRPr="00AF45BA">
              <w:rPr>
                <w:sz w:val="18"/>
                <w:szCs w:val="18"/>
              </w:rPr>
              <w:t xml:space="preserve">(see </w:t>
            </w:r>
            <w:proofErr w:type="spellStart"/>
            <w:r w:rsidRPr="00AF45BA">
              <w:rPr>
                <w:sz w:val="18"/>
                <w:szCs w:val="18"/>
              </w:rPr>
              <w:t>dutyholder</w:t>
            </w:r>
            <w:proofErr w:type="spellEnd"/>
            <w:r w:rsidRPr="00AF45BA">
              <w:rPr>
                <w:sz w:val="18"/>
                <w:szCs w:val="18"/>
              </w:rPr>
              <w:t>)</w:t>
            </w:r>
          </w:p>
        </w:tc>
        <w:tc>
          <w:tcPr>
            <w:tcW w:w="5708" w:type="dxa"/>
            <w:tcBorders>
              <w:top w:val="single" w:sz="4" w:space="0" w:color="auto"/>
              <w:left w:val="single" w:sz="4" w:space="0" w:color="auto"/>
              <w:bottom w:val="single" w:sz="4" w:space="0" w:color="auto"/>
              <w:right w:val="single" w:sz="4" w:space="0" w:color="auto"/>
            </w:tcBorders>
            <w:vAlign w:val="center"/>
          </w:tcPr>
          <w:p w14:paraId="57304E03" w14:textId="77777777" w:rsidR="003727EA" w:rsidRPr="00AF45BA" w:rsidRDefault="003727EA" w:rsidP="003727EA">
            <w:pPr>
              <w:spacing w:before="60" w:after="60"/>
              <w:rPr>
                <w:sz w:val="18"/>
                <w:szCs w:val="18"/>
              </w:rPr>
            </w:pPr>
            <w:r w:rsidRPr="00AF45BA">
              <w:rPr>
                <w:sz w:val="18"/>
                <w:szCs w:val="18"/>
              </w:rPr>
              <w:t>The supplier organisation that designs, constructs and tests items or services in accordance with a purchaser’s order. This term includes the main manufacturer and any sub-contractors in the supply chain. It also encompasses the scenario where design, manufacture, and installation might be carried out by different organisations.</w:t>
            </w:r>
          </w:p>
        </w:tc>
        <w:tc>
          <w:tcPr>
            <w:tcW w:w="1417" w:type="dxa"/>
            <w:tcBorders>
              <w:top w:val="single" w:sz="4" w:space="0" w:color="auto"/>
              <w:left w:val="single" w:sz="4" w:space="0" w:color="auto"/>
              <w:bottom w:val="single" w:sz="4" w:space="0" w:color="auto"/>
              <w:right w:val="single" w:sz="4" w:space="0" w:color="auto"/>
            </w:tcBorders>
            <w:vAlign w:val="center"/>
          </w:tcPr>
          <w:p w14:paraId="57304E04" w14:textId="77777777" w:rsidR="003727EA" w:rsidRPr="00AF45BA" w:rsidRDefault="003727EA" w:rsidP="003727EA">
            <w:pPr>
              <w:spacing w:before="60" w:after="60"/>
              <w:rPr>
                <w:sz w:val="18"/>
                <w:szCs w:val="18"/>
              </w:rPr>
            </w:pPr>
            <w:r w:rsidRPr="00AF45BA">
              <w:rPr>
                <w:sz w:val="18"/>
                <w:szCs w:val="18"/>
              </w:rPr>
              <w:t>SAPs glossary</w:t>
            </w:r>
          </w:p>
        </w:tc>
      </w:tr>
      <w:tr w:rsidR="003727EA" w:rsidRPr="00CC121D" w14:paraId="0ECF822F" w14:textId="77777777" w:rsidTr="00AA1B3C">
        <w:tc>
          <w:tcPr>
            <w:tcW w:w="2084" w:type="dxa"/>
            <w:tcBorders>
              <w:top w:val="single" w:sz="4" w:space="0" w:color="auto"/>
              <w:left w:val="single" w:sz="4" w:space="0" w:color="auto"/>
              <w:bottom w:val="single" w:sz="4" w:space="0" w:color="auto"/>
              <w:right w:val="single" w:sz="4" w:space="0" w:color="auto"/>
            </w:tcBorders>
            <w:vAlign w:val="center"/>
          </w:tcPr>
          <w:p w14:paraId="6D54F15F" w14:textId="7D0F2FEC" w:rsidR="003727EA" w:rsidRPr="00AF45BA" w:rsidRDefault="003727EA" w:rsidP="003727EA">
            <w:pPr>
              <w:spacing w:before="60" w:after="60"/>
              <w:rPr>
                <w:sz w:val="18"/>
                <w:szCs w:val="18"/>
              </w:rPr>
            </w:pPr>
            <w:r w:rsidRPr="00AF45BA">
              <w:rPr>
                <w:sz w:val="18"/>
                <w:szCs w:val="18"/>
              </w:rPr>
              <w:t xml:space="preserve">Modification </w:t>
            </w:r>
          </w:p>
        </w:tc>
        <w:tc>
          <w:tcPr>
            <w:tcW w:w="5708" w:type="dxa"/>
            <w:tcBorders>
              <w:top w:val="single" w:sz="4" w:space="0" w:color="auto"/>
              <w:left w:val="single" w:sz="4" w:space="0" w:color="auto"/>
              <w:bottom w:val="single" w:sz="4" w:space="0" w:color="auto"/>
              <w:right w:val="single" w:sz="4" w:space="0" w:color="auto"/>
            </w:tcBorders>
            <w:vAlign w:val="center"/>
          </w:tcPr>
          <w:p w14:paraId="6EBCB2A2" w14:textId="310E1E0D" w:rsidR="003727EA" w:rsidRPr="00AF45BA" w:rsidRDefault="003727EA" w:rsidP="003727EA">
            <w:pPr>
              <w:spacing w:before="60" w:after="60"/>
              <w:rPr>
                <w:sz w:val="18"/>
                <w:szCs w:val="18"/>
              </w:rPr>
            </w:pPr>
            <w:r w:rsidRPr="00AF45BA">
              <w:rPr>
                <w:sz w:val="18"/>
                <w:szCs w:val="18"/>
              </w:rPr>
              <w:t>“modification” means any alteration to buildings, plants, operations, processes or safety cases and includes any replacement, refurbishment or repairs to existing buildings, plants or processes and alterations to the design of plants during the period of construction;</w:t>
            </w:r>
          </w:p>
        </w:tc>
        <w:tc>
          <w:tcPr>
            <w:tcW w:w="1417" w:type="dxa"/>
            <w:tcBorders>
              <w:top w:val="single" w:sz="4" w:space="0" w:color="auto"/>
              <w:left w:val="single" w:sz="4" w:space="0" w:color="auto"/>
              <w:bottom w:val="single" w:sz="4" w:space="0" w:color="auto"/>
              <w:right w:val="single" w:sz="4" w:space="0" w:color="auto"/>
            </w:tcBorders>
            <w:vAlign w:val="center"/>
          </w:tcPr>
          <w:p w14:paraId="581DEB0F" w14:textId="25BDC4B6" w:rsidR="003727EA" w:rsidRPr="00AF45BA" w:rsidRDefault="003727EA" w:rsidP="003727EA">
            <w:pPr>
              <w:spacing w:before="60" w:after="60"/>
              <w:rPr>
                <w:sz w:val="18"/>
                <w:szCs w:val="18"/>
              </w:rPr>
            </w:pPr>
            <w:r w:rsidRPr="00AF45BA">
              <w:rPr>
                <w:sz w:val="18"/>
                <w:szCs w:val="18"/>
              </w:rPr>
              <w:t>LCs</w:t>
            </w:r>
          </w:p>
        </w:tc>
      </w:tr>
      <w:tr w:rsidR="003727EA" w:rsidRPr="00CC121D" w14:paraId="57304E09" w14:textId="77777777" w:rsidTr="00AA1B3C">
        <w:tc>
          <w:tcPr>
            <w:tcW w:w="2084" w:type="dxa"/>
            <w:tcBorders>
              <w:top w:val="single" w:sz="4" w:space="0" w:color="auto"/>
              <w:left w:val="single" w:sz="4" w:space="0" w:color="auto"/>
              <w:bottom w:val="single" w:sz="4" w:space="0" w:color="auto"/>
              <w:right w:val="single" w:sz="4" w:space="0" w:color="auto"/>
            </w:tcBorders>
            <w:vAlign w:val="center"/>
          </w:tcPr>
          <w:p w14:paraId="57304E06" w14:textId="37C78FFF" w:rsidR="003727EA" w:rsidRPr="00AF45BA" w:rsidRDefault="003727EA" w:rsidP="003727EA">
            <w:pPr>
              <w:spacing w:before="60" w:after="60"/>
              <w:rPr>
                <w:sz w:val="18"/>
                <w:szCs w:val="18"/>
              </w:rPr>
            </w:pPr>
            <w:r w:rsidRPr="00AF45BA">
              <w:rPr>
                <w:sz w:val="18"/>
                <w:szCs w:val="18"/>
              </w:rPr>
              <w:t>Non-conformance</w:t>
            </w:r>
          </w:p>
        </w:tc>
        <w:tc>
          <w:tcPr>
            <w:tcW w:w="5708" w:type="dxa"/>
            <w:tcBorders>
              <w:top w:val="single" w:sz="4" w:space="0" w:color="auto"/>
              <w:left w:val="single" w:sz="4" w:space="0" w:color="auto"/>
              <w:bottom w:val="single" w:sz="4" w:space="0" w:color="auto"/>
              <w:right w:val="single" w:sz="4" w:space="0" w:color="auto"/>
            </w:tcBorders>
            <w:vAlign w:val="center"/>
          </w:tcPr>
          <w:p w14:paraId="57304E07" w14:textId="77777777" w:rsidR="003727EA" w:rsidRPr="00AF45BA" w:rsidRDefault="003727EA" w:rsidP="003727EA">
            <w:pPr>
              <w:spacing w:before="60" w:after="60"/>
              <w:rPr>
                <w:sz w:val="18"/>
                <w:szCs w:val="18"/>
              </w:rPr>
            </w:pPr>
            <w:r w:rsidRPr="00AF45BA">
              <w:rPr>
                <w:sz w:val="18"/>
                <w:szCs w:val="18"/>
              </w:rPr>
              <w:t>Items or services that do not meet their intended requirements. Non-conformances can emerge at any stage of the supply chain, including design, manufacturing, storage and transportation.</w:t>
            </w:r>
          </w:p>
        </w:tc>
        <w:tc>
          <w:tcPr>
            <w:tcW w:w="1417" w:type="dxa"/>
            <w:tcBorders>
              <w:top w:val="single" w:sz="4" w:space="0" w:color="auto"/>
              <w:left w:val="single" w:sz="4" w:space="0" w:color="auto"/>
              <w:bottom w:val="single" w:sz="4" w:space="0" w:color="auto"/>
              <w:right w:val="single" w:sz="4" w:space="0" w:color="auto"/>
            </w:tcBorders>
            <w:vAlign w:val="center"/>
          </w:tcPr>
          <w:p w14:paraId="57304E08" w14:textId="77777777" w:rsidR="003727EA" w:rsidRPr="00AF45BA" w:rsidRDefault="003727EA" w:rsidP="003727EA">
            <w:pPr>
              <w:spacing w:before="60" w:after="60"/>
              <w:rPr>
                <w:sz w:val="18"/>
                <w:szCs w:val="18"/>
              </w:rPr>
            </w:pPr>
            <w:r w:rsidRPr="00AF45BA">
              <w:rPr>
                <w:sz w:val="18"/>
                <w:szCs w:val="18"/>
              </w:rPr>
              <w:t>SAPs glossary</w:t>
            </w:r>
          </w:p>
        </w:tc>
      </w:tr>
      <w:tr w:rsidR="003727EA" w:rsidRPr="00CC121D" w14:paraId="57304E0D" w14:textId="77777777" w:rsidTr="00AA1B3C">
        <w:tc>
          <w:tcPr>
            <w:tcW w:w="2084" w:type="dxa"/>
            <w:tcBorders>
              <w:top w:val="single" w:sz="4" w:space="0" w:color="auto"/>
              <w:left w:val="single" w:sz="4" w:space="0" w:color="auto"/>
              <w:bottom w:val="single" w:sz="4" w:space="0" w:color="auto"/>
              <w:right w:val="single" w:sz="4" w:space="0" w:color="auto"/>
            </w:tcBorders>
            <w:vAlign w:val="center"/>
          </w:tcPr>
          <w:p w14:paraId="57304E0A" w14:textId="48268A0C" w:rsidR="003727EA" w:rsidRPr="00AF45BA" w:rsidRDefault="003727EA" w:rsidP="003727EA">
            <w:pPr>
              <w:spacing w:before="60" w:after="60"/>
              <w:rPr>
                <w:sz w:val="18"/>
                <w:szCs w:val="18"/>
              </w:rPr>
            </w:pPr>
            <w:r w:rsidRPr="00AF45BA">
              <w:rPr>
                <w:sz w:val="18"/>
                <w:szCs w:val="18"/>
              </w:rPr>
              <w:t>Nuclear installation / nuclear facility</w:t>
            </w:r>
          </w:p>
        </w:tc>
        <w:tc>
          <w:tcPr>
            <w:tcW w:w="5708" w:type="dxa"/>
            <w:tcBorders>
              <w:top w:val="single" w:sz="4" w:space="0" w:color="auto"/>
              <w:left w:val="single" w:sz="4" w:space="0" w:color="auto"/>
              <w:bottom w:val="single" w:sz="4" w:space="0" w:color="auto"/>
              <w:right w:val="single" w:sz="4" w:space="0" w:color="auto"/>
            </w:tcBorders>
            <w:vAlign w:val="center"/>
          </w:tcPr>
          <w:p w14:paraId="57304E0B" w14:textId="77777777" w:rsidR="003727EA" w:rsidRPr="00AF45BA" w:rsidRDefault="003727EA" w:rsidP="003727EA">
            <w:pPr>
              <w:spacing w:before="60" w:after="60"/>
              <w:rPr>
                <w:sz w:val="18"/>
                <w:szCs w:val="18"/>
              </w:rPr>
            </w:pPr>
            <w:r w:rsidRPr="00AF45BA">
              <w:rPr>
                <w:sz w:val="18"/>
                <w:szCs w:val="18"/>
              </w:rPr>
              <w:t>Any facility that is within the bounds of a nuclear site licence and / or under the vires of ONR, including nuclear power plants, new build sites, potential new build sites and post operational facilities.</w:t>
            </w:r>
          </w:p>
        </w:tc>
        <w:tc>
          <w:tcPr>
            <w:tcW w:w="1417" w:type="dxa"/>
            <w:tcBorders>
              <w:top w:val="single" w:sz="4" w:space="0" w:color="auto"/>
              <w:left w:val="single" w:sz="4" w:space="0" w:color="auto"/>
              <w:bottom w:val="single" w:sz="4" w:space="0" w:color="auto"/>
              <w:right w:val="single" w:sz="4" w:space="0" w:color="auto"/>
            </w:tcBorders>
            <w:vAlign w:val="center"/>
          </w:tcPr>
          <w:p w14:paraId="57304E0C" w14:textId="77777777" w:rsidR="003727EA" w:rsidRPr="00AF45BA" w:rsidRDefault="003727EA" w:rsidP="003727EA">
            <w:pPr>
              <w:spacing w:before="60" w:after="60"/>
              <w:rPr>
                <w:sz w:val="18"/>
                <w:szCs w:val="18"/>
              </w:rPr>
            </w:pPr>
            <w:r w:rsidRPr="00AF45BA">
              <w:rPr>
                <w:sz w:val="18"/>
                <w:szCs w:val="18"/>
              </w:rPr>
              <w:t>For the purposes of this document only</w:t>
            </w:r>
          </w:p>
        </w:tc>
      </w:tr>
      <w:tr w:rsidR="003727EA" w:rsidRPr="00CC121D" w14:paraId="57304E11" w14:textId="77777777" w:rsidTr="00AA1B3C">
        <w:tc>
          <w:tcPr>
            <w:tcW w:w="2084" w:type="dxa"/>
            <w:tcBorders>
              <w:top w:val="single" w:sz="4" w:space="0" w:color="auto"/>
              <w:left w:val="single" w:sz="4" w:space="0" w:color="auto"/>
              <w:bottom w:val="single" w:sz="4" w:space="0" w:color="auto"/>
              <w:right w:val="single" w:sz="4" w:space="0" w:color="auto"/>
            </w:tcBorders>
            <w:vAlign w:val="center"/>
          </w:tcPr>
          <w:p w14:paraId="57304E0E" w14:textId="77777777" w:rsidR="003727EA" w:rsidRPr="00AF45BA" w:rsidRDefault="003727EA" w:rsidP="003727EA">
            <w:pPr>
              <w:spacing w:before="60" w:after="60"/>
              <w:rPr>
                <w:sz w:val="18"/>
                <w:szCs w:val="18"/>
              </w:rPr>
            </w:pPr>
            <w:r w:rsidRPr="00AF45BA">
              <w:rPr>
                <w:sz w:val="18"/>
                <w:szCs w:val="18"/>
              </w:rPr>
              <w:t>Nuclear Safety</w:t>
            </w:r>
          </w:p>
        </w:tc>
        <w:tc>
          <w:tcPr>
            <w:tcW w:w="5708" w:type="dxa"/>
            <w:tcBorders>
              <w:top w:val="single" w:sz="4" w:space="0" w:color="auto"/>
              <w:left w:val="single" w:sz="4" w:space="0" w:color="auto"/>
              <w:bottom w:val="single" w:sz="4" w:space="0" w:color="auto"/>
              <w:right w:val="single" w:sz="4" w:space="0" w:color="auto"/>
            </w:tcBorders>
            <w:vAlign w:val="center"/>
          </w:tcPr>
          <w:p w14:paraId="57304E0F" w14:textId="77777777" w:rsidR="003727EA" w:rsidRPr="00AF45BA" w:rsidRDefault="003727EA" w:rsidP="003727EA">
            <w:pPr>
              <w:spacing w:before="60" w:after="60"/>
              <w:rPr>
                <w:sz w:val="18"/>
                <w:szCs w:val="18"/>
              </w:rPr>
            </w:pPr>
            <w:r w:rsidRPr="00AF45BA">
              <w:rPr>
                <w:sz w:val="18"/>
                <w:szCs w:val="18"/>
              </w:rPr>
              <w:t>The achievement of proper operating conditions, prevention of accident or mitigation of accident consequences, resulting in protection of workers, the public and the environment from undue radiation hazards. In this document safety means nuclear safety unless otherwise stated.</w:t>
            </w:r>
          </w:p>
        </w:tc>
        <w:tc>
          <w:tcPr>
            <w:tcW w:w="1417" w:type="dxa"/>
            <w:tcBorders>
              <w:top w:val="single" w:sz="4" w:space="0" w:color="auto"/>
              <w:left w:val="single" w:sz="4" w:space="0" w:color="auto"/>
              <w:bottom w:val="single" w:sz="4" w:space="0" w:color="auto"/>
              <w:right w:val="single" w:sz="4" w:space="0" w:color="auto"/>
            </w:tcBorders>
            <w:vAlign w:val="center"/>
          </w:tcPr>
          <w:p w14:paraId="57304E10" w14:textId="77777777" w:rsidR="003727EA" w:rsidRPr="00AF45BA" w:rsidRDefault="003727EA" w:rsidP="003727EA">
            <w:pPr>
              <w:spacing w:before="60" w:after="60"/>
              <w:rPr>
                <w:sz w:val="18"/>
                <w:szCs w:val="18"/>
              </w:rPr>
            </w:pPr>
            <w:r w:rsidRPr="00AF45BA">
              <w:rPr>
                <w:sz w:val="18"/>
                <w:szCs w:val="18"/>
              </w:rPr>
              <w:t>SAPs glossary</w:t>
            </w:r>
          </w:p>
        </w:tc>
      </w:tr>
      <w:tr w:rsidR="003727EA" w:rsidRPr="00CC121D" w14:paraId="57304E15" w14:textId="77777777" w:rsidTr="00AA1B3C">
        <w:tc>
          <w:tcPr>
            <w:tcW w:w="2084" w:type="dxa"/>
            <w:tcBorders>
              <w:top w:val="single" w:sz="4" w:space="0" w:color="auto"/>
              <w:left w:val="single" w:sz="4" w:space="0" w:color="auto"/>
              <w:bottom w:val="single" w:sz="4" w:space="0" w:color="auto"/>
              <w:right w:val="single" w:sz="4" w:space="0" w:color="auto"/>
            </w:tcBorders>
            <w:vAlign w:val="center"/>
            <w:hideMark/>
          </w:tcPr>
          <w:p w14:paraId="57304E12" w14:textId="77777777" w:rsidR="003727EA" w:rsidRPr="00AF45BA" w:rsidRDefault="003727EA" w:rsidP="003727EA">
            <w:pPr>
              <w:spacing w:before="60" w:after="60"/>
              <w:rPr>
                <w:sz w:val="18"/>
                <w:szCs w:val="18"/>
              </w:rPr>
            </w:pPr>
            <w:r w:rsidRPr="00AF45BA">
              <w:rPr>
                <w:sz w:val="18"/>
                <w:szCs w:val="18"/>
              </w:rPr>
              <w:t>Optimisation of protection (and Safety)</w:t>
            </w:r>
          </w:p>
        </w:tc>
        <w:tc>
          <w:tcPr>
            <w:tcW w:w="5708" w:type="dxa"/>
            <w:tcBorders>
              <w:top w:val="single" w:sz="4" w:space="0" w:color="auto"/>
              <w:left w:val="single" w:sz="4" w:space="0" w:color="auto"/>
              <w:bottom w:val="single" w:sz="4" w:space="0" w:color="auto"/>
              <w:right w:val="single" w:sz="4" w:space="0" w:color="auto"/>
            </w:tcBorders>
            <w:vAlign w:val="center"/>
            <w:hideMark/>
          </w:tcPr>
          <w:p w14:paraId="57304E13" w14:textId="77777777" w:rsidR="003727EA" w:rsidRPr="00AF45BA" w:rsidRDefault="003727EA" w:rsidP="003727EA">
            <w:pPr>
              <w:spacing w:before="60" w:after="60"/>
              <w:rPr>
                <w:sz w:val="18"/>
                <w:szCs w:val="18"/>
              </w:rPr>
            </w:pPr>
            <w:r w:rsidRPr="00AF45BA">
              <w:rPr>
                <w:sz w:val="18"/>
                <w:szCs w:val="18"/>
              </w:rPr>
              <w:t>The process of determining what level of protection and safety makes exposures, and the probability and magnitude of potential exposures, “as low as reasonably achievable, economic and social factors being taken into account” (ALARA), as required by the International Commission on Radiological Protection System of Radiological Protection.</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304E14" w14:textId="77777777" w:rsidR="003727EA" w:rsidRPr="00AF45BA" w:rsidRDefault="003727EA" w:rsidP="003727EA">
            <w:pPr>
              <w:spacing w:before="60" w:after="60"/>
              <w:rPr>
                <w:sz w:val="18"/>
                <w:szCs w:val="18"/>
              </w:rPr>
            </w:pPr>
            <w:r w:rsidRPr="00AF45BA">
              <w:rPr>
                <w:sz w:val="18"/>
                <w:szCs w:val="18"/>
              </w:rPr>
              <w:t>IAEA</w:t>
            </w:r>
          </w:p>
        </w:tc>
      </w:tr>
      <w:tr w:rsidR="003727EA" w:rsidRPr="00CC121D" w14:paraId="57304E19" w14:textId="77777777" w:rsidTr="00AA1B3C">
        <w:tc>
          <w:tcPr>
            <w:tcW w:w="2084" w:type="dxa"/>
            <w:tcBorders>
              <w:top w:val="single" w:sz="4" w:space="0" w:color="auto"/>
              <w:left w:val="single" w:sz="4" w:space="0" w:color="auto"/>
              <w:bottom w:val="single" w:sz="4" w:space="0" w:color="auto"/>
              <w:right w:val="single" w:sz="4" w:space="0" w:color="auto"/>
            </w:tcBorders>
            <w:vAlign w:val="center"/>
          </w:tcPr>
          <w:p w14:paraId="57304E16" w14:textId="77777777" w:rsidR="003727EA" w:rsidRPr="00AF45BA" w:rsidRDefault="003727EA" w:rsidP="003727EA">
            <w:pPr>
              <w:spacing w:before="60" w:after="60"/>
              <w:rPr>
                <w:sz w:val="18"/>
                <w:szCs w:val="18"/>
              </w:rPr>
            </w:pPr>
            <w:r w:rsidRPr="00AF45BA">
              <w:rPr>
                <w:sz w:val="18"/>
                <w:szCs w:val="18"/>
              </w:rPr>
              <w:t>Optioneering</w:t>
            </w:r>
          </w:p>
        </w:tc>
        <w:tc>
          <w:tcPr>
            <w:tcW w:w="5708" w:type="dxa"/>
            <w:tcBorders>
              <w:top w:val="single" w:sz="4" w:space="0" w:color="auto"/>
              <w:left w:val="single" w:sz="4" w:space="0" w:color="auto"/>
              <w:bottom w:val="single" w:sz="4" w:space="0" w:color="auto"/>
              <w:right w:val="single" w:sz="4" w:space="0" w:color="auto"/>
            </w:tcBorders>
            <w:vAlign w:val="center"/>
          </w:tcPr>
          <w:p w14:paraId="57304E17" w14:textId="77777777" w:rsidR="003727EA" w:rsidRPr="00AF45BA" w:rsidRDefault="003727EA" w:rsidP="003727EA">
            <w:pPr>
              <w:spacing w:before="60" w:after="60"/>
              <w:rPr>
                <w:sz w:val="18"/>
                <w:szCs w:val="18"/>
              </w:rPr>
            </w:pPr>
            <w:r w:rsidRPr="00AF45BA">
              <w:rPr>
                <w:sz w:val="18"/>
                <w:szCs w:val="18"/>
              </w:rPr>
              <w:t>A process used to choose an option where more than one option exists, usually using a scoring system which should demonstrate risks are reduced in accordance with the ALARP principle.</w:t>
            </w:r>
          </w:p>
        </w:tc>
        <w:tc>
          <w:tcPr>
            <w:tcW w:w="1417" w:type="dxa"/>
            <w:tcBorders>
              <w:top w:val="single" w:sz="4" w:space="0" w:color="auto"/>
              <w:left w:val="single" w:sz="4" w:space="0" w:color="auto"/>
              <w:bottom w:val="single" w:sz="4" w:space="0" w:color="auto"/>
              <w:right w:val="single" w:sz="4" w:space="0" w:color="auto"/>
            </w:tcBorders>
            <w:vAlign w:val="center"/>
          </w:tcPr>
          <w:p w14:paraId="57304E18" w14:textId="77777777" w:rsidR="003727EA" w:rsidRPr="00AF45BA" w:rsidRDefault="003727EA" w:rsidP="003727EA">
            <w:pPr>
              <w:spacing w:before="60" w:after="60"/>
              <w:rPr>
                <w:sz w:val="18"/>
                <w:szCs w:val="18"/>
              </w:rPr>
            </w:pPr>
            <w:r w:rsidRPr="00AF45BA">
              <w:rPr>
                <w:sz w:val="18"/>
                <w:szCs w:val="18"/>
              </w:rPr>
              <w:t>For the purposes of this document only</w:t>
            </w:r>
          </w:p>
        </w:tc>
      </w:tr>
      <w:tr w:rsidR="003727EA" w:rsidRPr="00CC121D" w14:paraId="57304E25" w14:textId="77777777" w:rsidTr="00AA1B3C">
        <w:tc>
          <w:tcPr>
            <w:tcW w:w="2084" w:type="dxa"/>
            <w:tcBorders>
              <w:top w:val="single" w:sz="4" w:space="0" w:color="auto"/>
              <w:left w:val="single" w:sz="4" w:space="0" w:color="auto"/>
              <w:bottom w:val="single" w:sz="4" w:space="0" w:color="auto"/>
              <w:right w:val="single" w:sz="4" w:space="0" w:color="auto"/>
            </w:tcBorders>
            <w:vAlign w:val="center"/>
          </w:tcPr>
          <w:p w14:paraId="57304E22" w14:textId="77777777" w:rsidR="003727EA" w:rsidRPr="00AF45BA" w:rsidRDefault="003727EA" w:rsidP="003727EA">
            <w:pPr>
              <w:spacing w:before="60" w:after="60"/>
              <w:rPr>
                <w:sz w:val="18"/>
                <w:szCs w:val="18"/>
              </w:rPr>
            </w:pPr>
            <w:r w:rsidRPr="00AF45BA">
              <w:rPr>
                <w:sz w:val="18"/>
                <w:szCs w:val="18"/>
              </w:rPr>
              <w:t>Quality Management System</w:t>
            </w:r>
          </w:p>
        </w:tc>
        <w:tc>
          <w:tcPr>
            <w:tcW w:w="5708" w:type="dxa"/>
            <w:tcBorders>
              <w:top w:val="single" w:sz="4" w:space="0" w:color="auto"/>
              <w:left w:val="single" w:sz="4" w:space="0" w:color="auto"/>
              <w:bottom w:val="single" w:sz="4" w:space="0" w:color="auto"/>
              <w:right w:val="single" w:sz="4" w:space="0" w:color="auto"/>
            </w:tcBorders>
            <w:vAlign w:val="center"/>
          </w:tcPr>
          <w:p w14:paraId="57304E23" w14:textId="77777777" w:rsidR="003727EA" w:rsidRPr="00AF45BA" w:rsidRDefault="003727EA" w:rsidP="003727EA">
            <w:pPr>
              <w:spacing w:before="60" w:after="60"/>
              <w:rPr>
                <w:sz w:val="18"/>
                <w:szCs w:val="18"/>
              </w:rPr>
            </w:pPr>
            <w:r w:rsidRPr="00AF45BA">
              <w:rPr>
                <w:sz w:val="18"/>
                <w:szCs w:val="18"/>
              </w:rPr>
              <w:t>A management system to direct a unit and control an organisation with regard to quality; a combination of resources and means with which quality is realised.</w:t>
            </w:r>
          </w:p>
        </w:tc>
        <w:tc>
          <w:tcPr>
            <w:tcW w:w="1417" w:type="dxa"/>
            <w:tcBorders>
              <w:top w:val="single" w:sz="4" w:space="0" w:color="auto"/>
              <w:left w:val="single" w:sz="4" w:space="0" w:color="auto"/>
              <w:bottom w:val="single" w:sz="4" w:space="0" w:color="auto"/>
              <w:right w:val="single" w:sz="4" w:space="0" w:color="auto"/>
            </w:tcBorders>
            <w:vAlign w:val="center"/>
          </w:tcPr>
          <w:p w14:paraId="57304E24" w14:textId="77777777" w:rsidR="003727EA" w:rsidRPr="00AF45BA" w:rsidRDefault="003727EA" w:rsidP="003727EA">
            <w:pPr>
              <w:spacing w:before="60" w:after="60"/>
              <w:rPr>
                <w:sz w:val="18"/>
                <w:szCs w:val="18"/>
              </w:rPr>
            </w:pPr>
            <w:r w:rsidRPr="00AF45BA">
              <w:rPr>
                <w:sz w:val="18"/>
                <w:szCs w:val="18"/>
              </w:rPr>
              <w:t>SAPs glossary</w:t>
            </w:r>
          </w:p>
        </w:tc>
      </w:tr>
      <w:tr w:rsidR="003727EA" w:rsidRPr="00CC121D" w14:paraId="57304E2A" w14:textId="77777777" w:rsidTr="00AA1B3C">
        <w:tc>
          <w:tcPr>
            <w:tcW w:w="2084" w:type="dxa"/>
            <w:tcBorders>
              <w:top w:val="single" w:sz="4" w:space="0" w:color="auto"/>
              <w:left w:val="single" w:sz="4" w:space="0" w:color="auto"/>
              <w:bottom w:val="single" w:sz="4" w:space="0" w:color="auto"/>
              <w:right w:val="single" w:sz="4" w:space="0" w:color="auto"/>
            </w:tcBorders>
            <w:vAlign w:val="center"/>
          </w:tcPr>
          <w:p w14:paraId="57304E26" w14:textId="77777777" w:rsidR="003727EA" w:rsidRPr="00AF45BA" w:rsidRDefault="003727EA" w:rsidP="003727EA">
            <w:pPr>
              <w:spacing w:before="60" w:after="60"/>
              <w:rPr>
                <w:sz w:val="18"/>
                <w:szCs w:val="18"/>
              </w:rPr>
            </w:pPr>
            <w:r w:rsidRPr="00AF45BA">
              <w:rPr>
                <w:sz w:val="18"/>
                <w:szCs w:val="18"/>
              </w:rPr>
              <w:t>Quality Plan</w:t>
            </w:r>
          </w:p>
        </w:tc>
        <w:tc>
          <w:tcPr>
            <w:tcW w:w="5708" w:type="dxa"/>
            <w:tcBorders>
              <w:top w:val="single" w:sz="4" w:space="0" w:color="auto"/>
              <w:left w:val="single" w:sz="4" w:space="0" w:color="auto"/>
              <w:bottom w:val="single" w:sz="4" w:space="0" w:color="auto"/>
              <w:right w:val="single" w:sz="4" w:space="0" w:color="auto"/>
            </w:tcBorders>
            <w:vAlign w:val="center"/>
          </w:tcPr>
          <w:p w14:paraId="57304E27" w14:textId="77777777" w:rsidR="003727EA" w:rsidRPr="00AF45BA" w:rsidRDefault="003727EA" w:rsidP="003727EA">
            <w:pPr>
              <w:spacing w:before="60" w:after="60"/>
              <w:rPr>
                <w:sz w:val="18"/>
                <w:szCs w:val="18"/>
              </w:rPr>
            </w:pPr>
            <w:r w:rsidRPr="00AF45BA">
              <w:rPr>
                <w:sz w:val="18"/>
                <w:szCs w:val="18"/>
              </w:rPr>
              <w:t>A document or set of documents setting out the specific quality practices, resources and sequence of activities relevant to realisation of a particular item or service. A quality plan is useful for formalising and co-ordinating the interactions of various organisations, including the IA and the ONR, through the identification of witness and hold points.</w:t>
            </w:r>
          </w:p>
          <w:p w14:paraId="57304E28" w14:textId="77777777" w:rsidR="003727EA" w:rsidRPr="00AF45BA" w:rsidRDefault="003727EA" w:rsidP="003727EA">
            <w:pPr>
              <w:spacing w:before="60" w:after="60"/>
              <w:rPr>
                <w:sz w:val="18"/>
                <w:szCs w:val="18"/>
              </w:rPr>
            </w:pPr>
            <w:r w:rsidRPr="00AF45BA">
              <w:rPr>
                <w:sz w:val="18"/>
                <w:szCs w:val="18"/>
              </w:rPr>
              <w:t xml:space="preserve">Note: Quality Plans are called many different names within industry. The purchaser should identify in their contract their requirements and expectations for workface Inspection and test documents, including defining the meaning of inspection codes to be marked up in those documents. </w:t>
            </w:r>
          </w:p>
        </w:tc>
        <w:tc>
          <w:tcPr>
            <w:tcW w:w="1417" w:type="dxa"/>
            <w:tcBorders>
              <w:top w:val="single" w:sz="4" w:space="0" w:color="auto"/>
              <w:left w:val="single" w:sz="4" w:space="0" w:color="auto"/>
              <w:bottom w:val="single" w:sz="4" w:space="0" w:color="auto"/>
              <w:right w:val="single" w:sz="4" w:space="0" w:color="auto"/>
            </w:tcBorders>
            <w:vAlign w:val="center"/>
          </w:tcPr>
          <w:p w14:paraId="57304E29" w14:textId="77777777" w:rsidR="003727EA" w:rsidRPr="00AF45BA" w:rsidRDefault="003727EA" w:rsidP="003727EA">
            <w:pPr>
              <w:spacing w:before="60" w:after="60"/>
              <w:rPr>
                <w:sz w:val="18"/>
                <w:szCs w:val="18"/>
              </w:rPr>
            </w:pPr>
            <w:r w:rsidRPr="00AF45BA">
              <w:rPr>
                <w:sz w:val="18"/>
                <w:szCs w:val="18"/>
              </w:rPr>
              <w:t>SAPs glossary</w:t>
            </w:r>
          </w:p>
        </w:tc>
      </w:tr>
      <w:tr w:rsidR="003727EA" w:rsidRPr="00CC121D" w14:paraId="64F3C3FD" w14:textId="77777777" w:rsidTr="00AA1B3C">
        <w:tc>
          <w:tcPr>
            <w:tcW w:w="2084" w:type="dxa"/>
            <w:tcBorders>
              <w:top w:val="single" w:sz="4" w:space="0" w:color="auto"/>
              <w:left w:val="single" w:sz="4" w:space="0" w:color="auto"/>
              <w:bottom w:val="single" w:sz="4" w:space="0" w:color="auto"/>
              <w:right w:val="single" w:sz="4" w:space="0" w:color="auto"/>
            </w:tcBorders>
            <w:vAlign w:val="center"/>
          </w:tcPr>
          <w:p w14:paraId="3BA883D2" w14:textId="4996E09B" w:rsidR="003727EA" w:rsidRPr="00AF45BA" w:rsidRDefault="003727EA" w:rsidP="003727EA">
            <w:pPr>
              <w:spacing w:before="60" w:after="60"/>
              <w:rPr>
                <w:sz w:val="18"/>
                <w:szCs w:val="18"/>
              </w:rPr>
            </w:pPr>
            <w:r w:rsidRPr="00AF45BA">
              <w:rPr>
                <w:sz w:val="18"/>
                <w:szCs w:val="18"/>
              </w:rPr>
              <w:t>Radioactive Materials, Radioactive waste</w:t>
            </w:r>
          </w:p>
        </w:tc>
        <w:tc>
          <w:tcPr>
            <w:tcW w:w="5708" w:type="dxa"/>
            <w:tcBorders>
              <w:top w:val="single" w:sz="4" w:space="0" w:color="auto"/>
              <w:left w:val="single" w:sz="4" w:space="0" w:color="auto"/>
              <w:bottom w:val="single" w:sz="4" w:space="0" w:color="auto"/>
              <w:right w:val="single" w:sz="4" w:space="0" w:color="auto"/>
            </w:tcBorders>
            <w:vAlign w:val="center"/>
          </w:tcPr>
          <w:p w14:paraId="04CD49EB" w14:textId="71103F6E" w:rsidR="003727EA" w:rsidRPr="00AF45BA" w:rsidRDefault="003727EA" w:rsidP="003727EA">
            <w:pPr>
              <w:spacing w:before="60" w:after="60"/>
              <w:rPr>
                <w:sz w:val="18"/>
                <w:szCs w:val="18"/>
              </w:rPr>
            </w:pPr>
            <w:r w:rsidRPr="00AF45BA">
              <w:rPr>
                <w:sz w:val="18"/>
                <w:szCs w:val="18"/>
              </w:rPr>
              <w:t xml:space="preserve">“radioactive material” has the meaning, disregarding the exception in paragraph 9 (contaminated articles or substances) of Part 2 of Schedule 23 to the Environmental Permitting (England and Wales) Regulations 2016, given in paragraph 3 of that Part of that Schedule to those Regulations (version to be attached to licensed sites in England and Wales); “radioactive material” has the meaning, disregarding section 1G of the Radioactive Substances Act 1993, given in section 1A of that Act (version to be attached to licensed sites in Scotland); </w:t>
            </w:r>
          </w:p>
          <w:p w14:paraId="4AD5D100" w14:textId="5C8C134D" w:rsidR="003727EA" w:rsidRPr="00AF45BA" w:rsidRDefault="003727EA" w:rsidP="003727EA">
            <w:pPr>
              <w:spacing w:before="60" w:after="60"/>
              <w:rPr>
                <w:sz w:val="18"/>
                <w:szCs w:val="18"/>
              </w:rPr>
            </w:pPr>
            <w:r w:rsidRPr="00AF45BA">
              <w:rPr>
                <w:sz w:val="18"/>
                <w:szCs w:val="18"/>
              </w:rPr>
              <w:t>“radioactive waste” has the meaning assigned thereto in paragraph 3 of Part 2 of Schedule 23 to the Environmental Permitting (England and Wales) Regulations 2016 (version to be attached to licensed sites in England and Wales); “radioactive waste” has the meaning assigned thereto in section 1A of the Radioactive Substances Act 1993 (version to be attached to licensed sites in Scotland);</w:t>
            </w:r>
          </w:p>
        </w:tc>
        <w:tc>
          <w:tcPr>
            <w:tcW w:w="1417" w:type="dxa"/>
            <w:tcBorders>
              <w:top w:val="single" w:sz="4" w:space="0" w:color="auto"/>
              <w:left w:val="single" w:sz="4" w:space="0" w:color="auto"/>
              <w:bottom w:val="single" w:sz="4" w:space="0" w:color="auto"/>
              <w:right w:val="single" w:sz="4" w:space="0" w:color="auto"/>
            </w:tcBorders>
            <w:vAlign w:val="center"/>
          </w:tcPr>
          <w:p w14:paraId="07BFD24F" w14:textId="18F7267C" w:rsidR="003727EA" w:rsidRPr="00AF45BA" w:rsidRDefault="003727EA" w:rsidP="003727EA">
            <w:pPr>
              <w:spacing w:before="60" w:after="60"/>
              <w:rPr>
                <w:sz w:val="18"/>
                <w:szCs w:val="18"/>
              </w:rPr>
            </w:pPr>
            <w:r w:rsidRPr="00AF45BA">
              <w:rPr>
                <w:sz w:val="18"/>
                <w:szCs w:val="18"/>
              </w:rPr>
              <w:t>Licence Condition Handbook definitions</w:t>
            </w:r>
          </w:p>
        </w:tc>
      </w:tr>
      <w:tr w:rsidR="003727EA" w:rsidRPr="00CC121D" w14:paraId="2728BE96" w14:textId="77777777" w:rsidTr="00AA1B3C">
        <w:tc>
          <w:tcPr>
            <w:tcW w:w="2084" w:type="dxa"/>
            <w:tcBorders>
              <w:top w:val="single" w:sz="4" w:space="0" w:color="auto"/>
              <w:left w:val="single" w:sz="4" w:space="0" w:color="auto"/>
              <w:bottom w:val="single" w:sz="4" w:space="0" w:color="auto"/>
              <w:right w:val="single" w:sz="4" w:space="0" w:color="auto"/>
            </w:tcBorders>
            <w:vAlign w:val="center"/>
          </w:tcPr>
          <w:p w14:paraId="11F35C51" w14:textId="3DE113FB" w:rsidR="003727EA" w:rsidRPr="00AF45BA" w:rsidRDefault="003727EA" w:rsidP="003727EA">
            <w:pPr>
              <w:spacing w:before="60" w:after="60"/>
              <w:rPr>
                <w:sz w:val="18"/>
                <w:szCs w:val="18"/>
              </w:rPr>
            </w:pPr>
            <w:r w:rsidRPr="00AF45BA">
              <w:rPr>
                <w:sz w:val="18"/>
                <w:szCs w:val="18"/>
              </w:rPr>
              <w:t>Radioactive Waste Management</w:t>
            </w:r>
          </w:p>
        </w:tc>
        <w:tc>
          <w:tcPr>
            <w:tcW w:w="5708" w:type="dxa"/>
            <w:tcBorders>
              <w:top w:val="single" w:sz="4" w:space="0" w:color="auto"/>
              <w:left w:val="single" w:sz="4" w:space="0" w:color="auto"/>
              <w:bottom w:val="single" w:sz="4" w:space="0" w:color="auto"/>
              <w:right w:val="single" w:sz="4" w:space="0" w:color="auto"/>
            </w:tcBorders>
            <w:vAlign w:val="center"/>
          </w:tcPr>
          <w:p w14:paraId="40295AA7" w14:textId="7EC84D9C" w:rsidR="003727EA" w:rsidRPr="00AF45BA" w:rsidRDefault="003727EA" w:rsidP="003727EA">
            <w:pPr>
              <w:spacing w:before="60" w:after="60"/>
              <w:rPr>
                <w:sz w:val="18"/>
                <w:szCs w:val="18"/>
              </w:rPr>
            </w:pPr>
            <w:r w:rsidRPr="00AF45BA">
              <w:rPr>
                <w:sz w:val="18"/>
                <w:szCs w:val="18"/>
              </w:rPr>
              <w:t>All administrative and operational activities involved in the handling, pre-treatment, treatment, conditioning, transport, storage and disposal of radioactive material.</w:t>
            </w:r>
          </w:p>
        </w:tc>
        <w:tc>
          <w:tcPr>
            <w:tcW w:w="1417" w:type="dxa"/>
            <w:tcBorders>
              <w:top w:val="single" w:sz="4" w:space="0" w:color="auto"/>
              <w:left w:val="single" w:sz="4" w:space="0" w:color="auto"/>
              <w:bottom w:val="single" w:sz="4" w:space="0" w:color="auto"/>
              <w:right w:val="single" w:sz="4" w:space="0" w:color="auto"/>
            </w:tcBorders>
            <w:vAlign w:val="center"/>
          </w:tcPr>
          <w:p w14:paraId="0D87A099" w14:textId="65565A2C" w:rsidR="003727EA" w:rsidRPr="00AF45BA" w:rsidRDefault="003727EA" w:rsidP="003727EA">
            <w:pPr>
              <w:spacing w:before="60" w:after="60"/>
              <w:rPr>
                <w:sz w:val="18"/>
                <w:szCs w:val="18"/>
              </w:rPr>
            </w:pPr>
            <w:r w:rsidRPr="00AF45BA">
              <w:rPr>
                <w:sz w:val="18"/>
                <w:szCs w:val="18"/>
              </w:rPr>
              <w:t>IAEA</w:t>
            </w:r>
          </w:p>
        </w:tc>
      </w:tr>
      <w:tr w:rsidR="003727EA" w:rsidRPr="00CC121D" w14:paraId="57304E2E" w14:textId="77777777" w:rsidTr="00AA1B3C">
        <w:tc>
          <w:tcPr>
            <w:tcW w:w="2084" w:type="dxa"/>
            <w:vMerge w:val="restart"/>
            <w:tcBorders>
              <w:top w:val="single" w:sz="4" w:space="0" w:color="auto"/>
              <w:left w:val="single" w:sz="4" w:space="0" w:color="auto"/>
              <w:right w:val="single" w:sz="4" w:space="0" w:color="auto"/>
            </w:tcBorders>
            <w:vAlign w:val="center"/>
            <w:hideMark/>
          </w:tcPr>
          <w:p w14:paraId="57304E2B" w14:textId="77777777" w:rsidR="003727EA" w:rsidRPr="00AF45BA" w:rsidRDefault="003727EA" w:rsidP="003727EA">
            <w:pPr>
              <w:spacing w:before="60" w:after="60"/>
              <w:rPr>
                <w:sz w:val="18"/>
                <w:szCs w:val="18"/>
              </w:rPr>
            </w:pPr>
            <w:r w:rsidRPr="00AF45BA">
              <w:rPr>
                <w:sz w:val="18"/>
                <w:szCs w:val="18"/>
              </w:rPr>
              <w:t>Safety</w:t>
            </w:r>
          </w:p>
        </w:tc>
        <w:tc>
          <w:tcPr>
            <w:tcW w:w="5708" w:type="dxa"/>
            <w:tcBorders>
              <w:top w:val="single" w:sz="4" w:space="0" w:color="auto"/>
              <w:left w:val="single" w:sz="4" w:space="0" w:color="auto"/>
              <w:bottom w:val="single" w:sz="4" w:space="0" w:color="auto"/>
              <w:right w:val="single" w:sz="4" w:space="0" w:color="auto"/>
            </w:tcBorders>
            <w:vAlign w:val="center"/>
            <w:hideMark/>
          </w:tcPr>
          <w:p w14:paraId="57304E2C" w14:textId="77777777" w:rsidR="003727EA" w:rsidRPr="00AF45BA" w:rsidRDefault="003727EA" w:rsidP="003727EA">
            <w:pPr>
              <w:spacing w:before="60" w:after="60"/>
              <w:rPr>
                <w:sz w:val="18"/>
                <w:szCs w:val="18"/>
              </w:rPr>
            </w:pPr>
            <w:r w:rsidRPr="00AF45BA">
              <w:rPr>
                <w:sz w:val="18"/>
                <w:szCs w:val="18"/>
              </w:rPr>
              <w:t>‘safety’ means the protection of people and the environment against radiation risks, and the safety of facilities and activities that give rise to radiation risks.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304E2D" w14:textId="77777777" w:rsidR="003727EA" w:rsidRPr="00AF45BA" w:rsidRDefault="003727EA" w:rsidP="003727EA">
            <w:pPr>
              <w:spacing w:before="60" w:after="60"/>
              <w:rPr>
                <w:sz w:val="18"/>
                <w:szCs w:val="18"/>
              </w:rPr>
            </w:pPr>
            <w:r w:rsidRPr="00AF45BA">
              <w:rPr>
                <w:sz w:val="18"/>
                <w:szCs w:val="18"/>
              </w:rPr>
              <w:t xml:space="preserve">IAEA </w:t>
            </w:r>
          </w:p>
        </w:tc>
      </w:tr>
      <w:tr w:rsidR="003727EA" w:rsidRPr="00CC121D" w14:paraId="3E9F0214" w14:textId="77777777" w:rsidTr="00AA1B3C">
        <w:tc>
          <w:tcPr>
            <w:tcW w:w="2084" w:type="dxa"/>
            <w:vMerge/>
            <w:tcBorders>
              <w:left w:val="single" w:sz="4" w:space="0" w:color="auto"/>
              <w:bottom w:val="single" w:sz="4" w:space="0" w:color="auto"/>
              <w:right w:val="single" w:sz="4" w:space="0" w:color="auto"/>
            </w:tcBorders>
            <w:vAlign w:val="center"/>
          </w:tcPr>
          <w:p w14:paraId="2CBC26F7" w14:textId="77777777" w:rsidR="003727EA" w:rsidRPr="00AF45BA" w:rsidRDefault="003727EA" w:rsidP="003727EA">
            <w:pPr>
              <w:spacing w:before="60" w:after="60"/>
              <w:rPr>
                <w:sz w:val="18"/>
                <w:szCs w:val="18"/>
              </w:rPr>
            </w:pPr>
          </w:p>
        </w:tc>
        <w:tc>
          <w:tcPr>
            <w:tcW w:w="5708" w:type="dxa"/>
            <w:tcBorders>
              <w:top w:val="single" w:sz="4" w:space="0" w:color="auto"/>
              <w:left w:val="single" w:sz="4" w:space="0" w:color="auto"/>
              <w:bottom w:val="single" w:sz="4" w:space="0" w:color="auto"/>
              <w:right w:val="single" w:sz="4" w:space="0" w:color="auto"/>
            </w:tcBorders>
            <w:vAlign w:val="center"/>
          </w:tcPr>
          <w:p w14:paraId="492F9E28" w14:textId="78962D81" w:rsidR="003727EA" w:rsidRPr="00AF45BA" w:rsidRDefault="003727EA" w:rsidP="003727EA">
            <w:pPr>
              <w:spacing w:before="60" w:after="60"/>
              <w:rPr>
                <w:sz w:val="18"/>
                <w:szCs w:val="18"/>
              </w:rPr>
            </w:pPr>
            <w:r w:rsidRPr="00AF45BA">
              <w:rPr>
                <w:sz w:val="18"/>
                <w:szCs w:val="18"/>
              </w:rPr>
              <w:t>“safety” refers to the safety of persons whether on or off the site;</w:t>
            </w:r>
          </w:p>
        </w:tc>
        <w:tc>
          <w:tcPr>
            <w:tcW w:w="1417" w:type="dxa"/>
            <w:tcBorders>
              <w:top w:val="single" w:sz="4" w:space="0" w:color="auto"/>
              <w:left w:val="single" w:sz="4" w:space="0" w:color="auto"/>
              <w:bottom w:val="single" w:sz="4" w:space="0" w:color="auto"/>
              <w:right w:val="single" w:sz="4" w:space="0" w:color="auto"/>
            </w:tcBorders>
            <w:vAlign w:val="center"/>
          </w:tcPr>
          <w:p w14:paraId="42D348DC" w14:textId="51707AA8" w:rsidR="003727EA" w:rsidRPr="00AF45BA" w:rsidRDefault="003727EA" w:rsidP="003727EA">
            <w:pPr>
              <w:spacing w:before="60" w:after="60"/>
              <w:rPr>
                <w:sz w:val="18"/>
                <w:szCs w:val="18"/>
              </w:rPr>
            </w:pPr>
            <w:r w:rsidRPr="00AF45BA">
              <w:rPr>
                <w:sz w:val="18"/>
                <w:szCs w:val="18"/>
              </w:rPr>
              <w:t>LCs</w:t>
            </w:r>
          </w:p>
        </w:tc>
      </w:tr>
      <w:tr w:rsidR="003727EA" w:rsidRPr="00CC121D" w14:paraId="57304E33" w14:textId="77777777" w:rsidTr="00AA1B3C">
        <w:trPr>
          <w:trHeight w:val="1352"/>
        </w:trPr>
        <w:tc>
          <w:tcPr>
            <w:tcW w:w="2084" w:type="dxa"/>
            <w:vMerge w:val="restart"/>
            <w:tcBorders>
              <w:top w:val="single" w:sz="4" w:space="0" w:color="auto"/>
              <w:left w:val="single" w:sz="4" w:space="0" w:color="auto"/>
              <w:right w:val="single" w:sz="4" w:space="0" w:color="auto"/>
            </w:tcBorders>
            <w:vAlign w:val="center"/>
          </w:tcPr>
          <w:p w14:paraId="57304E2F" w14:textId="77777777" w:rsidR="003727EA" w:rsidRPr="00AF45BA" w:rsidRDefault="003727EA" w:rsidP="003727EA">
            <w:pPr>
              <w:spacing w:before="60" w:after="60"/>
              <w:rPr>
                <w:sz w:val="18"/>
                <w:szCs w:val="18"/>
              </w:rPr>
            </w:pPr>
            <w:r w:rsidRPr="00AF45BA">
              <w:rPr>
                <w:sz w:val="18"/>
                <w:szCs w:val="18"/>
              </w:rPr>
              <w:t>Safety Case</w:t>
            </w:r>
          </w:p>
        </w:tc>
        <w:tc>
          <w:tcPr>
            <w:tcW w:w="5708" w:type="dxa"/>
            <w:tcBorders>
              <w:top w:val="single" w:sz="4" w:space="0" w:color="auto"/>
              <w:left w:val="single" w:sz="4" w:space="0" w:color="auto"/>
              <w:bottom w:val="single" w:sz="4" w:space="0" w:color="auto"/>
              <w:right w:val="single" w:sz="4" w:space="0" w:color="auto"/>
            </w:tcBorders>
            <w:vAlign w:val="center"/>
          </w:tcPr>
          <w:p w14:paraId="57304E30" w14:textId="77777777" w:rsidR="003727EA" w:rsidRPr="00AF45BA" w:rsidRDefault="003727EA" w:rsidP="003727EA">
            <w:pPr>
              <w:spacing w:before="60" w:after="60"/>
              <w:rPr>
                <w:sz w:val="18"/>
                <w:szCs w:val="18"/>
              </w:rPr>
            </w:pPr>
            <w:r w:rsidRPr="00AF45BA">
              <w:rPr>
                <w:sz w:val="18"/>
                <w:szCs w:val="18"/>
              </w:rPr>
              <w:t>In this document, ‘safety case’ refers to the totality of a duty holder’s documentation to demonstrate safety, and any sub-set of this documentation that is submitted to ONR.</w:t>
            </w:r>
          </w:p>
        </w:tc>
        <w:tc>
          <w:tcPr>
            <w:tcW w:w="1417" w:type="dxa"/>
            <w:tcBorders>
              <w:top w:val="single" w:sz="4" w:space="0" w:color="auto"/>
              <w:left w:val="single" w:sz="4" w:space="0" w:color="auto"/>
              <w:bottom w:val="single" w:sz="4" w:space="0" w:color="auto"/>
              <w:right w:val="single" w:sz="4" w:space="0" w:color="auto"/>
            </w:tcBorders>
            <w:vAlign w:val="center"/>
          </w:tcPr>
          <w:p w14:paraId="57304E31" w14:textId="77777777" w:rsidR="003727EA" w:rsidRPr="00AF45BA" w:rsidRDefault="003727EA" w:rsidP="003727EA">
            <w:pPr>
              <w:spacing w:before="60" w:after="60"/>
              <w:rPr>
                <w:sz w:val="18"/>
                <w:szCs w:val="18"/>
              </w:rPr>
            </w:pPr>
            <w:r w:rsidRPr="00AF45BA">
              <w:rPr>
                <w:sz w:val="18"/>
                <w:szCs w:val="18"/>
              </w:rPr>
              <w:t>SAPs glossary</w:t>
            </w:r>
          </w:p>
          <w:p w14:paraId="57304E32" w14:textId="77777777" w:rsidR="003727EA" w:rsidRPr="00AF45BA" w:rsidRDefault="003727EA" w:rsidP="003727EA">
            <w:pPr>
              <w:spacing w:before="60" w:after="60"/>
              <w:rPr>
                <w:sz w:val="18"/>
                <w:szCs w:val="18"/>
              </w:rPr>
            </w:pPr>
          </w:p>
        </w:tc>
      </w:tr>
      <w:tr w:rsidR="003727EA" w:rsidRPr="00CC121D" w14:paraId="57304E37" w14:textId="77777777" w:rsidTr="00AA1B3C">
        <w:tc>
          <w:tcPr>
            <w:tcW w:w="2084" w:type="dxa"/>
            <w:vMerge/>
            <w:tcBorders>
              <w:left w:val="single" w:sz="4" w:space="0" w:color="auto"/>
              <w:right w:val="single" w:sz="4" w:space="0" w:color="auto"/>
            </w:tcBorders>
            <w:vAlign w:val="center"/>
          </w:tcPr>
          <w:p w14:paraId="57304E34" w14:textId="77777777" w:rsidR="003727EA" w:rsidRPr="00AF45BA" w:rsidRDefault="003727EA" w:rsidP="003727EA">
            <w:pPr>
              <w:spacing w:before="60" w:after="60"/>
              <w:rPr>
                <w:sz w:val="18"/>
                <w:szCs w:val="18"/>
              </w:rPr>
            </w:pPr>
          </w:p>
        </w:tc>
        <w:tc>
          <w:tcPr>
            <w:tcW w:w="5708" w:type="dxa"/>
            <w:tcBorders>
              <w:top w:val="single" w:sz="4" w:space="0" w:color="auto"/>
              <w:left w:val="single" w:sz="4" w:space="0" w:color="auto"/>
              <w:bottom w:val="single" w:sz="4" w:space="0" w:color="auto"/>
              <w:right w:val="single" w:sz="4" w:space="0" w:color="auto"/>
            </w:tcBorders>
            <w:vAlign w:val="center"/>
          </w:tcPr>
          <w:p w14:paraId="57304E35" w14:textId="77777777" w:rsidR="003727EA" w:rsidRPr="00AF45BA" w:rsidRDefault="003727EA" w:rsidP="003727EA">
            <w:pPr>
              <w:spacing w:before="60" w:after="60"/>
              <w:rPr>
                <w:sz w:val="18"/>
                <w:szCs w:val="18"/>
              </w:rPr>
            </w:pPr>
            <w:r w:rsidRPr="00AF45BA">
              <w:rPr>
                <w:sz w:val="18"/>
                <w:szCs w:val="18"/>
              </w:rPr>
              <w:t xml:space="preserve">Note: Licence Condition 1 defines ‘safety case’ as the document or documents produced by the </w:t>
            </w:r>
            <w:proofErr w:type="spellStart"/>
            <w:r w:rsidRPr="00AF45BA">
              <w:rPr>
                <w:sz w:val="18"/>
                <w:szCs w:val="18"/>
              </w:rPr>
              <w:t>dutyholder</w:t>
            </w:r>
            <w:proofErr w:type="spellEnd"/>
            <w:r w:rsidRPr="00AF45BA">
              <w:rPr>
                <w:sz w:val="18"/>
                <w:szCs w:val="18"/>
              </w:rPr>
              <w:t xml:space="preserve"> in accordance with Licence Condition 14.</w:t>
            </w:r>
          </w:p>
        </w:tc>
        <w:tc>
          <w:tcPr>
            <w:tcW w:w="1417" w:type="dxa"/>
            <w:tcBorders>
              <w:top w:val="single" w:sz="4" w:space="0" w:color="auto"/>
              <w:left w:val="single" w:sz="4" w:space="0" w:color="auto"/>
              <w:bottom w:val="single" w:sz="4" w:space="0" w:color="auto"/>
              <w:right w:val="single" w:sz="4" w:space="0" w:color="auto"/>
            </w:tcBorders>
            <w:vAlign w:val="center"/>
          </w:tcPr>
          <w:p w14:paraId="57304E36" w14:textId="77777777" w:rsidR="003727EA" w:rsidRPr="00AF45BA" w:rsidRDefault="003727EA" w:rsidP="003727EA">
            <w:pPr>
              <w:spacing w:before="60" w:after="60"/>
              <w:rPr>
                <w:sz w:val="18"/>
                <w:szCs w:val="18"/>
              </w:rPr>
            </w:pPr>
            <w:r w:rsidRPr="00AF45BA">
              <w:rPr>
                <w:sz w:val="18"/>
                <w:szCs w:val="18"/>
              </w:rPr>
              <w:t>LCs</w:t>
            </w:r>
          </w:p>
        </w:tc>
      </w:tr>
      <w:tr w:rsidR="003727EA" w:rsidRPr="00CC121D" w14:paraId="57304E3B" w14:textId="77777777" w:rsidTr="00AA1B3C">
        <w:tc>
          <w:tcPr>
            <w:tcW w:w="2084" w:type="dxa"/>
            <w:vMerge/>
            <w:tcBorders>
              <w:left w:val="single" w:sz="4" w:space="0" w:color="auto"/>
              <w:bottom w:val="single" w:sz="4" w:space="0" w:color="auto"/>
              <w:right w:val="single" w:sz="4" w:space="0" w:color="auto"/>
            </w:tcBorders>
            <w:vAlign w:val="center"/>
          </w:tcPr>
          <w:p w14:paraId="57304E38" w14:textId="77777777" w:rsidR="003727EA" w:rsidRPr="00AF45BA" w:rsidRDefault="003727EA" w:rsidP="003727EA">
            <w:pPr>
              <w:spacing w:before="60" w:after="60"/>
              <w:rPr>
                <w:sz w:val="18"/>
                <w:szCs w:val="18"/>
              </w:rPr>
            </w:pPr>
          </w:p>
        </w:tc>
        <w:tc>
          <w:tcPr>
            <w:tcW w:w="5708" w:type="dxa"/>
            <w:tcBorders>
              <w:top w:val="single" w:sz="4" w:space="0" w:color="auto"/>
              <w:left w:val="single" w:sz="4" w:space="0" w:color="auto"/>
              <w:bottom w:val="single" w:sz="4" w:space="0" w:color="auto"/>
              <w:right w:val="single" w:sz="4" w:space="0" w:color="auto"/>
            </w:tcBorders>
            <w:vAlign w:val="center"/>
          </w:tcPr>
          <w:p w14:paraId="57304E39" w14:textId="77777777" w:rsidR="003727EA" w:rsidRPr="00AF45BA" w:rsidRDefault="003727EA" w:rsidP="003727EA">
            <w:pPr>
              <w:spacing w:before="60" w:after="60"/>
              <w:rPr>
                <w:sz w:val="18"/>
                <w:szCs w:val="18"/>
              </w:rPr>
            </w:pPr>
            <w:r w:rsidRPr="00AF45BA">
              <w:rPr>
                <w:sz w:val="18"/>
                <w:szCs w:val="18"/>
              </w:rPr>
              <w:t>It should be recognised within the life cycle of ‘civil engineering works’, that the assumptions made, by the designer and incorporated within the justification of the design within a safety case, must be properly carried through the construction stage and through to modifications, demolition and site clearance. All associated construction activities throughout the life cycle are much a part of the safety case as the design.</w:t>
            </w:r>
          </w:p>
        </w:tc>
        <w:tc>
          <w:tcPr>
            <w:tcW w:w="1417" w:type="dxa"/>
            <w:tcBorders>
              <w:top w:val="single" w:sz="4" w:space="0" w:color="auto"/>
              <w:left w:val="single" w:sz="4" w:space="0" w:color="auto"/>
              <w:bottom w:val="single" w:sz="4" w:space="0" w:color="auto"/>
              <w:right w:val="single" w:sz="4" w:space="0" w:color="auto"/>
            </w:tcBorders>
            <w:vAlign w:val="center"/>
          </w:tcPr>
          <w:p w14:paraId="57304E3A" w14:textId="77777777" w:rsidR="003727EA" w:rsidRPr="00AF45BA" w:rsidRDefault="003727EA" w:rsidP="003727EA">
            <w:pPr>
              <w:spacing w:before="60" w:after="60"/>
              <w:rPr>
                <w:sz w:val="18"/>
                <w:szCs w:val="18"/>
              </w:rPr>
            </w:pPr>
            <w:r w:rsidRPr="00AF45BA">
              <w:rPr>
                <w:sz w:val="18"/>
                <w:szCs w:val="18"/>
              </w:rPr>
              <w:t>For the purpose of this document only</w:t>
            </w:r>
          </w:p>
        </w:tc>
      </w:tr>
      <w:tr w:rsidR="003727EA" w:rsidRPr="00CC121D" w14:paraId="57304E3F" w14:textId="77777777" w:rsidTr="00AA1B3C">
        <w:tc>
          <w:tcPr>
            <w:tcW w:w="2084" w:type="dxa"/>
            <w:tcBorders>
              <w:top w:val="single" w:sz="4" w:space="0" w:color="auto"/>
              <w:left w:val="single" w:sz="4" w:space="0" w:color="auto"/>
              <w:bottom w:val="single" w:sz="4" w:space="0" w:color="auto"/>
              <w:right w:val="single" w:sz="4" w:space="0" w:color="auto"/>
            </w:tcBorders>
            <w:vAlign w:val="center"/>
          </w:tcPr>
          <w:p w14:paraId="57304E3C" w14:textId="77777777" w:rsidR="003727EA" w:rsidRPr="00AF45BA" w:rsidRDefault="003727EA" w:rsidP="003727EA">
            <w:pPr>
              <w:spacing w:before="60" w:after="60"/>
              <w:rPr>
                <w:sz w:val="18"/>
                <w:szCs w:val="18"/>
              </w:rPr>
            </w:pPr>
            <w:r w:rsidRPr="00AF45BA">
              <w:rPr>
                <w:sz w:val="18"/>
                <w:szCs w:val="18"/>
              </w:rPr>
              <w:t>Safety Culture</w:t>
            </w:r>
          </w:p>
        </w:tc>
        <w:tc>
          <w:tcPr>
            <w:tcW w:w="5708" w:type="dxa"/>
            <w:tcBorders>
              <w:top w:val="single" w:sz="4" w:space="0" w:color="auto"/>
              <w:left w:val="single" w:sz="4" w:space="0" w:color="auto"/>
              <w:bottom w:val="single" w:sz="4" w:space="0" w:color="auto"/>
              <w:right w:val="single" w:sz="4" w:space="0" w:color="auto"/>
            </w:tcBorders>
            <w:vAlign w:val="center"/>
          </w:tcPr>
          <w:p w14:paraId="57304E3D" w14:textId="77777777" w:rsidR="003727EA" w:rsidRPr="00AF45BA" w:rsidRDefault="003727EA" w:rsidP="003727EA">
            <w:pPr>
              <w:spacing w:before="60" w:after="60"/>
              <w:rPr>
                <w:sz w:val="18"/>
                <w:szCs w:val="18"/>
              </w:rPr>
            </w:pPr>
            <w:r w:rsidRPr="00AF45BA">
              <w:rPr>
                <w:sz w:val="18"/>
                <w:szCs w:val="18"/>
              </w:rPr>
              <w:t>The assembly of characteristics and attitudes in organisations and individuals, which establishes that, as an overriding priority, protection and safety issues receive the attention warranted by their significance.</w:t>
            </w:r>
          </w:p>
        </w:tc>
        <w:tc>
          <w:tcPr>
            <w:tcW w:w="1417" w:type="dxa"/>
            <w:tcBorders>
              <w:top w:val="single" w:sz="4" w:space="0" w:color="auto"/>
              <w:left w:val="single" w:sz="4" w:space="0" w:color="auto"/>
              <w:bottom w:val="single" w:sz="4" w:space="0" w:color="auto"/>
              <w:right w:val="single" w:sz="4" w:space="0" w:color="auto"/>
            </w:tcBorders>
            <w:vAlign w:val="center"/>
          </w:tcPr>
          <w:p w14:paraId="57304E3E" w14:textId="77777777" w:rsidR="003727EA" w:rsidRPr="00AF45BA" w:rsidRDefault="003727EA" w:rsidP="003727EA">
            <w:pPr>
              <w:spacing w:before="60" w:after="60"/>
              <w:rPr>
                <w:sz w:val="18"/>
                <w:szCs w:val="18"/>
              </w:rPr>
            </w:pPr>
            <w:r w:rsidRPr="00AF45BA">
              <w:rPr>
                <w:sz w:val="18"/>
                <w:szCs w:val="18"/>
              </w:rPr>
              <w:t>IAEA Safety Glossary.</w:t>
            </w:r>
          </w:p>
        </w:tc>
      </w:tr>
      <w:tr w:rsidR="003727EA" w:rsidRPr="00CC121D" w14:paraId="57304E47" w14:textId="77777777" w:rsidTr="00AA1B3C">
        <w:tc>
          <w:tcPr>
            <w:tcW w:w="2084" w:type="dxa"/>
            <w:tcBorders>
              <w:top w:val="single" w:sz="4" w:space="0" w:color="auto"/>
              <w:left w:val="single" w:sz="4" w:space="0" w:color="auto"/>
              <w:bottom w:val="single" w:sz="4" w:space="0" w:color="auto"/>
              <w:right w:val="single" w:sz="4" w:space="0" w:color="auto"/>
            </w:tcBorders>
            <w:vAlign w:val="center"/>
          </w:tcPr>
          <w:p w14:paraId="57304E44" w14:textId="77777777" w:rsidR="003727EA" w:rsidRPr="00AF45BA" w:rsidRDefault="003727EA" w:rsidP="003727EA">
            <w:pPr>
              <w:spacing w:before="60" w:after="60"/>
              <w:rPr>
                <w:sz w:val="18"/>
                <w:szCs w:val="18"/>
              </w:rPr>
            </w:pPr>
            <w:r w:rsidRPr="00AF45BA">
              <w:rPr>
                <w:sz w:val="18"/>
                <w:szCs w:val="18"/>
              </w:rPr>
              <w:t>Siting</w:t>
            </w:r>
          </w:p>
        </w:tc>
        <w:tc>
          <w:tcPr>
            <w:tcW w:w="5708" w:type="dxa"/>
            <w:tcBorders>
              <w:top w:val="single" w:sz="4" w:space="0" w:color="auto"/>
              <w:left w:val="single" w:sz="4" w:space="0" w:color="auto"/>
              <w:bottom w:val="single" w:sz="4" w:space="0" w:color="auto"/>
              <w:right w:val="single" w:sz="4" w:space="0" w:color="auto"/>
            </w:tcBorders>
            <w:vAlign w:val="center"/>
          </w:tcPr>
          <w:p w14:paraId="57304E45" w14:textId="77777777" w:rsidR="003727EA" w:rsidRPr="00AF45BA" w:rsidRDefault="003727EA" w:rsidP="003727EA">
            <w:pPr>
              <w:spacing w:before="60" w:after="60"/>
              <w:rPr>
                <w:sz w:val="18"/>
                <w:szCs w:val="18"/>
              </w:rPr>
            </w:pPr>
            <w:r w:rsidRPr="00AF45BA">
              <w:rPr>
                <w:sz w:val="18"/>
                <w:szCs w:val="18"/>
              </w:rPr>
              <w:t>The process applied to choosing suitable location for a new nuclear licensed site, government policy.</w:t>
            </w:r>
          </w:p>
        </w:tc>
        <w:tc>
          <w:tcPr>
            <w:tcW w:w="1417" w:type="dxa"/>
            <w:tcBorders>
              <w:top w:val="single" w:sz="4" w:space="0" w:color="auto"/>
              <w:left w:val="single" w:sz="4" w:space="0" w:color="auto"/>
              <w:bottom w:val="single" w:sz="4" w:space="0" w:color="auto"/>
              <w:right w:val="single" w:sz="4" w:space="0" w:color="auto"/>
            </w:tcBorders>
            <w:vAlign w:val="center"/>
          </w:tcPr>
          <w:p w14:paraId="57304E46" w14:textId="3C3DC7C1" w:rsidR="003727EA" w:rsidRPr="00AF45BA" w:rsidRDefault="003727EA" w:rsidP="003727EA">
            <w:pPr>
              <w:spacing w:before="60" w:after="60"/>
              <w:rPr>
                <w:sz w:val="18"/>
                <w:szCs w:val="18"/>
              </w:rPr>
            </w:pPr>
            <w:r w:rsidRPr="00AF45BA">
              <w:rPr>
                <w:sz w:val="18"/>
                <w:szCs w:val="18"/>
              </w:rPr>
              <w:t>For the purpose of this document only</w:t>
            </w:r>
          </w:p>
        </w:tc>
      </w:tr>
      <w:tr w:rsidR="003727EA" w:rsidRPr="00CC121D" w14:paraId="57304E4B" w14:textId="77777777" w:rsidTr="00AA1B3C">
        <w:tc>
          <w:tcPr>
            <w:tcW w:w="2084" w:type="dxa"/>
            <w:tcBorders>
              <w:top w:val="single" w:sz="4" w:space="0" w:color="auto"/>
              <w:left w:val="single" w:sz="4" w:space="0" w:color="auto"/>
              <w:bottom w:val="single" w:sz="4" w:space="0" w:color="auto"/>
              <w:right w:val="single" w:sz="4" w:space="0" w:color="auto"/>
            </w:tcBorders>
            <w:vAlign w:val="center"/>
            <w:hideMark/>
          </w:tcPr>
          <w:p w14:paraId="57304E48" w14:textId="77777777" w:rsidR="003727EA" w:rsidRPr="00AF45BA" w:rsidRDefault="003727EA" w:rsidP="003727EA">
            <w:pPr>
              <w:spacing w:before="60" w:after="60"/>
              <w:rPr>
                <w:sz w:val="18"/>
                <w:szCs w:val="18"/>
              </w:rPr>
            </w:pPr>
            <w:r w:rsidRPr="00AF45BA">
              <w:rPr>
                <w:sz w:val="18"/>
                <w:szCs w:val="18"/>
              </w:rPr>
              <w:t>Storage</w:t>
            </w:r>
          </w:p>
        </w:tc>
        <w:tc>
          <w:tcPr>
            <w:tcW w:w="5708" w:type="dxa"/>
            <w:tcBorders>
              <w:top w:val="single" w:sz="4" w:space="0" w:color="auto"/>
              <w:left w:val="single" w:sz="4" w:space="0" w:color="auto"/>
              <w:bottom w:val="single" w:sz="4" w:space="0" w:color="auto"/>
              <w:right w:val="single" w:sz="4" w:space="0" w:color="auto"/>
            </w:tcBorders>
            <w:vAlign w:val="center"/>
            <w:hideMark/>
          </w:tcPr>
          <w:p w14:paraId="57304E49" w14:textId="54183862" w:rsidR="003727EA" w:rsidRPr="00AF45BA" w:rsidRDefault="003727EA" w:rsidP="003727EA">
            <w:pPr>
              <w:spacing w:before="60" w:after="60"/>
              <w:rPr>
                <w:sz w:val="18"/>
                <w:szCs w:val="18"/>
              </w:rPr>
            </w:pPr>
            <w:r w:rsidRPr="00AF45BA">
              <w:rPr>
                <w:sz w:val="18"/>
                <w:szCs w:val="18"/>
              </w:rPr>
              <w:t>The holding of radioactive sources, spent fuel or radioactive material in a facility that provides for their/it’s containment, with the intention of retrieval.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7304E4A" w14:textId="77777777" w:rsidR="003727EA" w:rsidRPr="00AF45BA" w:rsidRDefault="003727EA" w:rsidP="003727EA">
            <w:pPr>
              <w:spacing w:before="60" w:after="60"/>
              <w:rPr>
                <w:sz w:val="18"/>
                <w:szCs w:val="18"/>
              </w:rPr>
            </w:pPr>
            <w:r w:rsidRPr="00AF45BA">
              <w:rPr>
                <w:sz w:val="18"/>
                <w:szCs w:val="18"/>
              </w:rPr>
              <w:t>IAEA</w:t>
            </w:r>
          </w:p>
        </w:tc>
      </w:tr>
      <w:tr w:rsidR="003727EA" w:rsidRPr="00CC121D" w14:paraId="57304E50" w14:textId="77777777" w:rsidTr="00AA1B3C">
        <w:tc>
          <w:tcPr>
            <w:tcW w:w="2084" w:type="dxa"/>
            <w:tcBorders>
              <w:top w:val="single" w:sz="4" w:space="0" w:color="auto"/>
              <w:left w:val="single" w:sz="4" w:space="0" w:color="auto"/>
              <w:bottom w:val="single" w:sz="4" w:space="0" w:color="auto"/>
              <w:right w:val="single" w:sz="4" w:space="0" w:color="auto"/>
            </w:tcBorders>
            <w:vAlign w:val="center"/>
          </w:tcPr>
          <w:p w14:paraId="57304E4C" w14:textId="77777777" w:rsidR="003727EA" w:rsidRPr="00AF45BA" w:rsidRDefault="003727EA" w:rsidP="003727EA">
            <w:pPr>
              <w:spacing w:before="60" w:after="60"/>
              <w:rPr>
                <w:sz w:val="18"/>
                <w:szCs w:val="18"/>
              </w:rPr>
            </w:pPr>
            <w:r w:rsidRPr="00AF45BA">
              <w:rPr>
                <w:sz w:val="18"/>
                <w:szCs w:val="18"/>
              </w:rPr>
              <w:t>Supply Chain</w:t>
            </w:r>
          </w:p>
        </w:tc>
        <w:tc>
          <w:tcPr>
            <w:tcW w:w="5708" w:type="dxa"/>
            <w:tcBorders>
              <w:top w:val="single" w:sz="4" w:space="0" w:color="auto"/>
              <w:left w:val="single" w:sz="4" w:space="0" w:color="auto"/>
              <w:bottom w:val="single" w:sz="4" w:space="0" w:color="auto"/>
              <w:right w:val="single" w:sz="4" w:space="0" w:color="auto"/>
            </w:tcBorders>
            <w:vAlign w:val="center"/>
          </w:tcPr>
          <w:p w14:paraId="57304E4D" w14:textId="77777777" w:rsidR="003727EA" w:rsidRPr="00AF45BA" w:rsidRDefault="003727EA" w:rsidP="003727EA">
            <w:pPr>
              <w:spacing w:before="60" w:after="60"/>
              <w:rPr>
                <w:sz w:val="18"/>
                <w:szCs w:val="18"/>
              </w:rPr>
            </w:pPr>
            <w:r w:rsidRPr="00AF45BA">
              <w:rPr>
                <w:sz w:val="18"/>
                <w:szCs w:val="18"/>
              </w:rPr>
              <w:t>The assembly of characteristics and attitudes in organisations and individuals, which establishes that, as an overriding priority, protection and safety issues receive the attention warranted by their significance (IAEA Safety Glossary).</w:t>
            </w:r>
          </w:p>
        </w:tc>
        <w:tc>
          <w:tcPr>
            <w:tcW w:w="1417" w:type="dxa"/>
            <w:tcBorders>
              <w:top w:val="single" w:sz="4" w:space="0" w:color="auto"/>
              <w:left w:val="single" w:sz="4" w:space="0" w:color="auto"/>
              <w:bottom w:val="single" w:sz="4" w:space="0" w:color="auto"/>
              <w:right w:val="single" w:sz="4" w:space="0" w:color="auto"/>
            </w:tcBorders>
            <w:vAlign w:val="center"/>
          </w:tcPr>
          <w:p w14:paraId="57304E4E" w14:textId="77777777" w:rsidR="003727EA" w:rsidRPr="00AF45BA" w:rsidRDefault="003727EA" w:rsidP="003727EA">
            <w:pPr>
              <w:spacing w:before="60" w:after="60"/>
              <w:rPr>
                <w:sz w:val="18"/>
                <w:szCs w:val="18"/>
              </w:rPr>
            </w:pPr>
            <w:r w:rsidRPr="00AF45BA">
              <w:rPr>
                <w:sz w:val="18"/>
                <w:szCs w:val="18"/>
              </w:rPr>
              <w:t>SAPs glossary</w:t>
            </w:r>
          </w:p>
          <w:p w14:paraId="57304E4F" w14:textId="77777777" w:rsidR="003727EA" w:rsidRPr="00AF45BA" w:rsidRDefault="003727EA" w:rsidP="003727EA">
            <w:pPr>
              <w:spacing w:before="60" w:after="60"/>
              <w:rPr>
                <w:sz w:val="18"/>
                <w:szCs w:val="18"/>
              </w:rPr>
            </w:pPr>
          </w:p>
        </w:tc>
      </w:tr>
      <w:tr w:rsidR="003727EA" w:rsidRPr="00CC121D" w14:paraId="57304E54" w14:textId="77777777" w:rsidTr="00AA1B3C">
        <w:tc>
          <w:tcPr>
            <w:tcW w:w="2084" w:type="dxa"/>
            <w:vMerge w:val="restart"/>
            <w:tcBorders>
              <w:top w:val="single" w:sz="4" w:space="0" w:color="auto"/>
              <w:left w:val="single" w:sz="4" w:space="0" w:color="auto"/>
              <w:right w:val="single" w:sz="4" w:space="0" w:color="auto"/>
            </w:tcBorders>
            <w:vAlign w:val="center"/>
          </w:tcPr>
          <w:p w14:paraId="57304E51" w14:textId="77777777" w:rsidR="003727EA" w:rsidRPr="00AF45BA" w:rsidRDefault="003727EA" w:rsidP="003727EA">
            <w:pPr>
              <w:spacing w:before="60" w:after="60"/>
              <w:rPr>
                <w:sz w:val="18"/>
                <w:szCs w:val="18"/>
              </w:rPr>
            </w:pPr>
            <w:r w:rsidRPr="00AF45BA">
              <w:rPr>
                <w:sz w:val="18"/>
                <w:szCs w:val="18"/>
              </w:rPr>
              <w:t>Structure</w:t>
            </w:r>
          </w:p>
        </w:tc>
        <w:tc>
          <w:tcPr>
            <w:tcW w:w="5708" w:type="dxa"/>
            <w:tcBorders>
              <w:top w:val="single" w:sz="4" w:space="0" w:color="auto"/>
              <w:left w:val="single" w:sz="4" w:space="0" w:color="auto"/>
              <w:bottom w:val="single" w:sz="4" w:space="0" w:color="auto"/>
              <w:right w:val="single" w:sz="4" w:space="0" w:color="auto"/>
            </w:tcBorders>
            <w:vAlign w:val="center"/>
          </w:tcPr>
          <w:p w14:paraId="57304E52" w14:textId="77777777" w:rsidR="003727EA" w:rsidRPr="00AF45BA" w:rsidRDefault="003727EA" w:rsidP="003727EA">
            <w:pPr>
              <w:spacing w:before="60" w:after="60"/>
              <w:rPr>
                <w:sz w:val="18"/>
                <w:szCs w:val="18"/>
              </w:rPr>
            </w:pPr>
            <w:r w:rsidRPr="00AF45BA">
              <w:rPr>
                <w:sz w:val="18"/>
                <w:szCs w:val="18"/>
              </w:rPr>
              <w:t>A system of interconnected members assembled in a stable configuration and used to withstand a load or combination of loads.</w:t>
            </w:r>
          </w:p>
        </w:tc>
        <w:tc>
          <w:tcPr>
            <w:tcW w:w="1417" w:type="dxa"/>
            <w:tcBorders>
              <w:top w:val="single" w:sz="4" w:space="0" w:color="auto"/>
              <w:left w:val="single" w:sz="4" w:space="0" w:color="auto"/>
              <w:bottom w:val="single" w:sz="4" w:space="0" w:color="auto"/>
              <w:right w:val="single" w:sz="4" w:space="0" w:color="auto"/>
            </w:tcBorders>
            <w:vAlign w:val="center"/>
          </w:tcPr>
          <w:p w14:paraId="57304E53" w14:textId="15E439BC" w:rsidR="003727EA" w:rsidRPr="00AF45BA" w:rsidRDefault="003727EA" w:rsidP="003727EA">
            <w:pPr>
              <w:spacing w:before="60" w:after="60"/>
              <w:rPr>
                <w:sz w:val="18"/>
                <w:szCs w:val="18"/>
              </w:rPr>
            </w:pPr>
            <w:r w:rsidRPr="00AF45BA">
              <w:rPr>
                <w:sz w:val="18"/>
                <w:szCs w:val="18"/>
              </w:rPr>
              <w:t>derived</w:t>
            </w:r>
          </w:p>
        </w:tc>
      </w:tr>
      <w:tr w:rsidR="003727EA" w:rsidRPr="00CC121D" w14:paraId="7811FF20" w14:textId="77777777" w:rsidTr="00AA1B3C">
        <w:tc>
          <w:tcPr>
            <w:tcW w:w="2084" w:type="dxa"/>
            <w:vMerge/>
            <w:tcBorders>
              <w:left w:val="single" w:sz="4" w:space="0" w:color="auto"/>
              <w:bottom w:val="single" w:sz="4" w:space="0" w:color="auto"/>
              <w:right w:val="single" w:sz="4" w:space="0" w:color="auto"/>
            </w:tcBorders>
            <w:vAlign w:val="center"/>
          </w:tcPr>
          <w:p w14:paraId="0A438E8C" w14:textId="1ADE2DBE" w:rsidR="003727EA" w:rsidRPr="00AF45BA" w:rsidRDefault="003727EA" w:rsidP="003727EA">
            <w:pPr>
              <w:spacing w:before="60" w:after="60"/>
              <w:rPr>
                <w:sz w:val="18"/>
                <w:szCs w:val="18"/>
              </w:rPr>
            </w:pPr>
          </w:p>
        </w:tc>
        <w:tc>
          <w:tcPr>
            <w:tcW w:w="5708" w:type="dxa"/>
            <w:tcBorders>
              <w:top w:val="single" w:sz="4" w:space="0" w:color="auto"/>
              <w:left w:val="single" w:sz="4" w:space="0" w:color="auto"/>
              <w:bottom w:val="single" w:sz="4" w:space="0" w:color="auto"/>
              <w:right w:val="single" w:sz="4" w:space="0" w:color="auto"/>
            </w:tcBorders>
            <w:vAlign w:val="center"/>
          </w:tcPr>
          <w:p w14:paraId="6D8EB76D" w14:textId="77777777" w:rsidR="003727EA" w:rsidRPr="00AF45BA" w:rsidRDefault="003727EA" w:rsidP="003727EA">
            <w:pPr>
              <w:autoSpaceDE w:val="0"/>
              <w:autoSpaceDN w:val="0"/>
              <w:adjustRightInd w:val="0"/>
              <w:rPr>
                <w:sz w:val="18"/>
                <w:szCs w:val="18"/>
              </w:rPr>
            </w:pPr>
            <w:r w:rsidRPr="00AF45BA">
              <w:rPr>
                <w:sz w:val="18"/>
                <w:szCs w:val="18"/>
              </w:rPr>
              <w:t>“structure” means—</w:t>
            </w:r>
          </w:p>
          <w:p w14:paraId="171FB873" w14:textId="77777777" w:rsidR="003727EA" w:rsidRPr="00AF45BA" w:rsidRDefault="003727EA" w:rsidP="003727EA">
            <w:pPr>
              <w:autoSpaceDE w:val="0"/>
              <w:autoSpaceDN w:val="0"/>
              <w:adjustRightInd w:val="0"/>
              <w:rPr>
                <w:sz w:val="18"/>
                <w:szCs w:val="18"/>
              </w:rPr>
            </w:pPr>
            <w:r w:rsidRPr="00AF45BA">
              <w:rPr>
                <w:sz w:val="18"/>
                <w:szCs w:val="18"/>
              </w:rPr>
              <w:t>(a) any building, timber, masonry, metal or reinforced concrete structure, railway line or siding, tramway line, dock, harbour, inland navigation, tunnel, shaft, bridge, viaduct, waterworks, reservoir, pipe or pipeline, cable, aqueduct, sewer, sewage works, gasholder, road, airfield, sea defence works, river works, drainage works, earthworks, lagoon, dam, wall, caisson, mast, tower, pylon, underground tank, earth retaining structure or structure designed to preserve or alter any natural feature and fixed plant;</w:t>
            </w:r>
          </w:p>
          <w:p w14:paraId="36F3E453" w14:textId="77777777" w:rsidR="003727EA" w:rsidRPr="00AF45BA" w:rsidRDefault="003727EA" w:rsidP="003727EA">
            <w:pPr>
              <w:autoSpaceDE w:val="0"/>
              <w:autoSpaceDN w:val="0"/>
              <w:adjustRightInd w:val="0"/>
              <w:rPr>
                <w:sz w:val="18"/>
                <w:szCs w:val="18"/>
              </w:rPr>
            </w:pPr>
            <w:r w:rsidRPr="00AF45BA">
              <w:rPr>
                <w:sz w:val="18"/>
                <w:szCs w:val="18"/>
              </w:rPr>
              <w:t>(b) any structure similar to anything specified in paragraph (a);</w:t>
            </w:r>
          </w:p>
          <w:p w14:paraId="458B281B" w14:textId="77777777" w:rsidR="003727EA" w:rsidRPr="00AF45BA" w:rsidRDefault="003727EA" w:rsidP="003727EA">
            <w:pPr>
              <w:autoSpaceDE w:val="0"/>
              <w:autoSpaceDN w:val="0"/>
              <w:adjustRightInd w:val="0"/>
              <w:rPr>
                <w:sz w:val="18"/>
                <w:szCs w:val="18"/>
              </w:rPr>
            </w:pPr>
            <w:r w:rsidRPr="00AF45BA">
              <w:rPr>
                <w:sz w:val="18"/>
                <w:szCs w:val="18"/>
              </w:rPr>
              <w:t>(c) any formwork, falsework, scaffold or other structure designed or used to provide support or means of access during construction work,</w:t>
            </w:r>
          </w:p>
          <w:p w14:paraId="5CC059C3" w14:textId="068E797D" w:rsidR="003727EA" w:rsidRPr="00AF45BA" w:rsidRDefault="003727EA" w:rsidP="003727EA">
            <w:pPr>
              <w:spacing w:before="60" w:after="60"/>
              <w:rPr>
                <w:sz w:val="18"/>
                <w:szCs w:val="18"/>
              </w:rPr>
            </w:pPr>
            <w:r w:rsidRPr="00AF45BA">
              <w:rPr>
                <w:sz w:val="18"/>
                <w:szCs w:val="18"/>
              </w:rPr>
              <w:t>and any reference to a structure includes part of a structure;</w:t>
            </w:r>
          </w:p>
        </w:tc>
        <w:tc>
          <w:tcPr>
            <w:tcW w:w="1417" w:type="dxa"/>
            <w:tcBorders>
              <w:top w:val="single" w:sz="4" w:space="0" w:color="auto"/>
              <w:left w:val="single" w:sz="4" w:space="0" w:color="auto"/>
              <w:bottom w:val="single" w:sz="4" w:space="0" w:color="auto"/>
              <w:right w:val="single" w:sz="4" w:space="0" w:color="auto"/>
            </w:tcBorders>
          </w:tcPr>
          <w:p w14:paraId="5A4083ED" w14:textId="22D7768C" w:rsidR="003727EA" w:rsidRPr="00AF45BA" w:rsidRDefault="003727EA" w:rsidP="003727EA">
            <w:pPr>
              <w:spacing w:before="60" w:after="60"/>
              <w:rPr>
                <w:sz w:val="18"/>
                <w:szCs w:val="18"/>
              </w:rPr>
            </w:pPr>
            <w:r w:rsidRPr="00AF45BA">
              <w:rPr>
                <w:sz w:val="18"/>
                <w:szCs w:val="18"/>
              </w:rPr>
              <w:t>CDM2015</w:t>
            </w:r>
          </w:p>
        </w:tc>
      </w:tr>
      <w:tr w:rsidR="003727EA" w:rsidRPr="00CC121D" w14:paraId="57304E59" w14:textId="77777777" w:rsidTr="00AA1B3C">
        <w:tc>
          <w:tcPr>
            <w:tcW w:w="2084" w:type="dxa"/>
            <w:tcBorders>
              <w:top w:val="single" w:sz="4" w:space="0" w:color="auto"/>
              <w:left w:val="single" w:sz="4" w:space="0" w:color="auto"/>
              <w:bottom w:val="single" w:sz="4" w:space="0" w:color="auto"/>
              <w:right w:val="single" w:sz="4" w:space="0" w:color="auto"/>
            </w:tcBorders>
            <w:vAlign w:val="center"/>
          </w:tcPr>
          <w:p w14:paraId="57304E55" w14:textId="77777777" w:rsidR="003727EA" w:rsidRPr="00AF45BA" w:rsidRDefault="003727EA" w:rsidP="003727EA">
            <w:pPr>
              <w:spacing w:before="60" w:after="60"/>
              <w:rPr>
                <w:sz w:val="18"/>
                <w:szCs w:val="18"/>
              </w:rPr>
            </w:pPr>
            <w:r w:rsidRPr="00AF45BA">
              <w:rPr>
                <w:sz w:val="18"/>
                <w:szCs w:val="18"/>
              </w:rPr>
              <w:t>Structure (Civil Engineering)</w:t>
            </w:r>
          </w:p>
        </w:tc>
        <w:tc>
          <w:tcPr>
            <w:tcW w:w="5708" w:type="dxa"/>
            <w:tcBorders>
              <w:top w:val="single" w:sz="4" w:space="0" w:color="auto"/>
              <w:left w:val="single" w:sz="4" w:space="0" w:color="auto"/>
              <w:bottom w:val="single" w:sz="4" w:space="0" w:color="auto"/>
              <w:right w:val="single" w:sz="4" w:space="0" w:color="auto"/>
            </w:tcBorders>
            <w:vAlign w:val="center"/>
          </w:tcPr>
          <w:p w14:paraId="57304E56" w14:textId="77777777" w:rsidR="003727EA" w:rsidRPr="00AF45BA" w:rsidRDefault="003727EA" w:rsidP="003727EA">
            <w:pPr>
              <w:spacing w:before="60" w:after="60"/>
              <w:rPr>
                <w:sz w:val="18"/>
                <w:szCs w:val="18"/>
              </w:rPr>
            </w:pPr>
            <w:r w:rsidRPr="00AF45BA">
              <w:rPr>
                <w:sz w:val="18"/>
                <w:szCs w:val="18"/>
              </w:rPr>
              <w:t>The load resisting elements of non-mobile constructed systems, but not the non-load resisting elements.</w:t>
            </w:r>
          </w:p>
          <w:p w14:paraId="57304E57" w14:textId="77777777" w:rsidR="003727EA" w:rsidRPr="00AF45BA" w:rsidRDefault="003727EA" w:rsidP="003727EA">
            <w:pPr>
              <w:spacing w:before="60" w:after="60"/>
              <w:rPr>
                <w:sz w:val="18"/>
                <w:szCs w:val="18"/>
              </w:rPr>
            </w:pPr>
            <w:r w:rsidRPr="00AF45BA">
              <w:rPr>
                <w:sz w:val="18"/>
                <w:szCs w:val="18"/>
              </w:rPr>
              <w:t>Non-load bearing components such as building cladding, roofing, rainwater goods, corrosion protection measures and windows and doors are often referred to as ‘Civil, Structural and Architectural’, but for the purposes of this TAG, if such a non-load bearing component provides a safety function, it is covered by ‘civil engineering works’.</w:t>
            </w:r>
          </w:p>
        </w:tc>
        <w:tc>
          <w:tcPr>
            <w:tcW w:w="1417" w:type="dxa"/>
            <w:tcBorders>
              <w:top w:val="single" w:sz="4" w:space="0" w:color="auto"/>
              <w:left w:val="single" w:sz="4" w:space="0" w:color="auto"/>
              <w:bottom w:val="single" w:sz="4" w:space="0" w:color="auto"/>
              <w:right w:val="single" w:sz="4" w:space="0" w:color="auto"/>
            </w:tcBorders>
            <w:vAlign w:val="center"/>
          </w:tcPr>
          <w:p w14:paraId="57304E58" w14:textId="7881A3EF" w:rsidR="003727EA" w:rsidRPr="00AF45BA" w:rsidRDefault="003727EA" w:rsidP="003727EA">
            <w:pPr>
              <w:spacing w:before="60" w:after="60"/>
              <w:rPr>
                <w:sz w:val="18"/>
                <w:szCs w:val="18"/>
              </w:rPr>
            </w:pPr>
            <w:r w:rsidRPr="00AF45BA">
              <w:rPr>
                <w:sz w:val="18"/>
                <w:szCs w:val="18"/>
              </w:rPr>
              <w:t>For the purpose of this document only</w:t>
            </w:r>
          </w:p>
        </w:tc>
      </w:tr>
      <w:tr w:rsidR="003727EA" w:rsidRPr="00CC121D" w14:paraId="57304E61" w14:textId="77777777" w:rsidTr="00AA1B3C">
        <w:tc>
          <w:tcPr>
            <w:tcW w:w="2084" w:type="dxa"/>
            <w:tcBorders>
              <w:top w:val="single" w:sz="4" w:space="0" w:color="auto"/>
              <w:left w:val="single" w:sz="4" w:space="0" w:color="auto"/>
              <w:bottom w:val="single" w:sz="4" w:space="0" w:color="auto"/>
              <w:right w:val="single" w:sz="4" w:space="0" w:color="auto"/>
            </w:tcBorders>
            <w:vAlign w:val="center"/>
          </w:tcPr>
          <w:p w14:paraId="57304E5A" w14:textId="77777777" w:rsidR="003727EA" w:rsidRPr="00AF45BA" w:rsidRDefault="003727EA" w:rsidP="003727EA">
            <w:pPr>
              <w:spacing w:before="60" w:after="60"/>
              <w:rPr>
                <w:sz w:val="18"/>
                <w:szCs w:val="18"/>
              </w:rPr>
            </w:pPr>
            <w:r w:rsidRPr="00AF45BA">
              <w:rPr>
                <w:sz w:val="18"/>
                <w:szCs w:val="18"/>
              </w:rPr>
              <w:t>Systems, Structures and Components important to safety (SSCs)</w:t>
            </w:r>
          </w:p>
        </w:tc>
        <w:tc>
          <w:tcPr>
            <w:tcW w:w="5708" w:type="dxa"/>
            <w:tcBorders>
              <w:top w:val="single" w:sz="4" w:space="0" w:color="auto"/>
              <w:left w:val="single" w:sz="4" w:space="0" w:color="auto"/>
              <w:bottom w:val="single" w:sz="4" w:space="0" w:color="auto"/>
              <w:right w:val="single" w:sz="4" w:space="0" w:color="auto"/>
            </w:tcBorders>
            <w:vAlign w:val="center"/>
          </w:tcPr>
          <w:p w14:paraId="57304E5B" w14:textId="77777777" w:rsidR="003727EA" w:rsidRPr="00AF45BA" w:rsidRDefault="003727EA" w:rsidP="003727EA">
            <w:pPr>
              <w:spacing w:before="60" w:after="60"/>
              <w:rPr>
                <w:sz w:val="18"/>
                <w:szCs w:val="18"/>
              </w:rPr>
            </w:pPr>
            <w:r w:rsidRPr="00AF45BA">
              <w:rPr>
                <w:sz w:val="18"/>
                <w:szCs w:val="18"/>
              </w:rPr>
              <w:t xml:space="preserve">Systems, structures and components important to safety (SSCs): A general term encompassing all the plant elements (items) of a facility or activity which con-tribute to protection and safety, except human factors. </w:t>
            </w:r>
          </w:p>
          <w:p w14:paraId="57304E5C" w14:textId="77777777" w:rsidR="003727EA" w:rsidRPr="00AF45BA" w:rsidRDefault="003727EA" w:rsidP="003727EA">
            <w:pPr>
              <w:numPr>
                <w:ilvl w:val="0"/>
                <w:numId w:val="16"/>
              </w:numPr>
              <w:spacing w:before="60" w:after="60"/>
              <w:contextualSpacing/>
              <w:rPr>
                <w:sz w:val="18"/>
                <w:szCs w:val="18"/>
              </w:rPr>
            </w:pPr>
            <w:r w:rsidRPr="00AF45BA">
              <w:rPr>
                <w:sz w:val="18"/>
                <w:szCs w:val="18"/>
              </w:rPr>
              <w:t xml:space="preserve">Structures are the passive elements: buildings, vessels, shielding, etc. </w:t>
            </w:r>
          </w:p>
          <w:p w14:paraId="57304E5D" w14:textId="77777777" w:rsidR="003727EA" w:rsidRPr="00AF45BA" w:rsidRDefault="003727EA" w:rsidP="003727EA">
            <w:pPr>
              <w:numPr>
                <w:ilvl w:val="0"/>
                <w:numId w:val="16"/>
              </w:numPr>
              <w:spacing w:before="60" w:after="60"/>
              <w:contextualSpacing/>
              <w:rPr>
                <w:sz w:val="18"/>
                <w:szCs w:val="18"/>
              </w:rPr>
            </w:pPr>
            <w:r w:rsidRPr="00AF45BA">
              <w:rPr>
                <w:sz w:val="18"/>
                <w:szCs w:val="18"/>
              </w:rPr>
              <w:t xml:space="preserve">A system comprises several components and/or structures, assembled in such a way as to perform a specific (active) function. </w:t>
            </w:r>
          </w:p>
          <w:p w14:paraId="57304E5E" w14:textId="77777777" w:rsidR="003727EA" w:rsidRPr="00AF45BA" w:rsidRDefault="003727EA" w:rsidP="003727EA">
            <w:pPr>
              <w:numPr>
                <w:ilvl w:val="0"/>
                <w:numId w:val="16"/>
              </w:numPr>
              <w:spacing w:before="60" w:after="60"/>
              <w:contextualSpacing/>
              <w:rPr>
                <w:sz w:val="18"/>
                <w:szCs w:val="18"/>
              </w:rPr>
            </w:pPr>
            <w:r w:rsidRPr="00AF45BA">
              <w:rPr>
                <w:sz w:val="18"/>
                <w:szCs w:val="18"/>
              </w:rPr>
              <w:t xml:space="preserve">A component is a discrete element of a system. </w:t>
            </w:r>
          </w:p>
          <w:p w14:paraId="57304E5F" w14:textId="77777777" w:rsidR="003727EA" w:rsidRPr="00AF45BA" w:rsidRDefault="003727EA" w:rsidP="003727EA">
            <w:pPr>
              <w:spacing w:before="60" w:after="60"/>
              <w:rPr>
                <w:sz w:val="18"/>
                <w:szCs w:val="18"/>
              </w:rPr>
            </w:pPr>
            <w:r w:rsidRPr="00AF45BA">
              <w:rPr>
                <w:sz w:val="18"/>
                <w:szCs w:val="18"/>
              </w:rPr>
              <w:t>Examples of components are wires, transistors, integrated circuits, motors, relays, solenoids, pipes, fittings, pumps, tanks and valves.</w:t>
            </w:r>
          </w:p>
        </w:tc>
        <w:tc>
          <w:tcPr>
            <w:tcW w:w="1417" w:type="dxa"/>
            <w:tcBorders>
              <w:top w:val="single" w:sz="4" w:space="0" w:color="auto"/>
              <w:left w:val="single" w:sz="4" w:space="0" w:color="auto"/>
              <w:bottom w:val="single" w:sz="4" w:space="0" w:color="auto"/>
              <w:right w:val="single" w:sz="4" w:space="0" w:color="auto"/>
            </w:tcBorders>
            <w:vAlign w:val="center"/>
          </w:tcPr>
          <w:p w14:paraId="57304E60" w14:textId="77777777" w:rsidR="003727EA" w:rsidRPr="00AF45BA" w:rsidRDefault="003727EA" w:rsidP="003727EA">
            <w:pPr>
              <w:spacing w:before="60" w:after="60"/>
              <w:rPr>
                <w:sz w:val="18"/>
                <w:szCs w:val="18"/>
              </w:rPr>
            </w:pPr>
            <w:r w:rsidRPr="00AF45BA">
              <w:rPr>
                <w:sz w:val="18"/>
                <w:szCs w:val="18"/>
              </w:rPr>
              <w:t>WENRA  RHWG Safety of New NPPs</w:t>
            </w:r>
          </w:p>
        </w:tc>
      </w:tr>
      <w:tr w:rsidR="003727EA" w:rsidRPr="00CC121D" w14:paraId="57304E65" w14:textId="77777777" w:rsidTr="00AA1B3C">
        <w:tc>
          <w:tcPr>
            <w:tcW w:w="2084" w:type="dxa"/>
            <w:tcBorders>
              <w:top w:val="single" w:sz="4" w:space="0" w:color="auto"/>
              <w:left w:val="single" w:sz="4" w:space="0" w:color="auto"/>
              <w:bottom w:val="single" w:sz="4" w:space="0" w:color="auto"/>
              <w:right w:val="single" w:sz="4" w:space="0" w:color="auto"/>
            </w:tcBorders>
            <w:vAlign w:val="center"/>
          </w:tcPr>
          <w:p w14:paraId="57304E62" w14:textId="77777777" w:rsidR="003727EA" w:rsidRPr="00AF45BA" w:rsidRDefault="003727EA" w:rsidP="003727EA">
            <w:pPr>
              <w:spacing w:before="60" w:after="60"/>
              <w:rPr>
                <w:sz w:val="18"/>
                <w:szCs w:val="18"/>
              </w:rPr>
            </w:pPr>
            <w:r w:rsidRPr="00AF45BA">
              <w:rPr>
                <w:sz w:val="18"/>
                <w:szCs w:val="18"/>
              </w:rPr>
              <w:t>Technical Query</w:t>
            </w:r>
          </w:p>
        </w:tc>
        <w:tc>
          <w:tcPr>
            <w:tcW w:w="5708" w:type="dxa"/>
            <w:tcBorders>
              <w:top w:val="single" w:sz="4" w:space="0" w:color="auto"/>
              <w:left w:val="single" w:sz="4" w:space="0" w:color="auto"/>
              <w:bottom w:val="single" w:sz="4" w:space="0" w:color="auto"/>
              <w:right w:val="single" w:sz="4" w:space="0" w:color="auto"/>
            </w:tcBorders>
            <w:vAlign w:val="center"/>
          </w:tcPr>
          <w:p w14:paraId="57304E63" w14:textId="77777777" w:rsidR="003727EA" w:rsidRPr="00AF45BA" w:rsidRDefault="003727EA" w:rsidP="003727EA">
            <w:pPr>
              <w:spacing w:before="60" w:after="60"/>
              <w:rPr>
                <w:sz w:val="18"/>
                <w:szCs w:val="18"/>
              </w:rPr>
            </w:pPr>
            <w:r w:rsidRPr="00AF45BA">
              <w:rPr>
                <w:sz w:val="18"/>
                <w:szCs w:val="18"/>
              </w:rPr>
              <w:t>A question for approval prior to work stage commencement. Clarification of requirements. Care should be taken as some responses to TQ’s may require a change to the specification or requirements and thus controlled as deviations to ensure the as built condition is captured.</w:t>
            </w:r>
          </w:p>
        </w:tc>
        <w:tc>
          <w:tcPr>
            <w:tcW w:w="1417" w:type="dxa"/>
            <w:tcBorders>
              <w:top w:val="single" w:sz="4" w:space="0" w:color="auto"/>
              <w:left w:val="single" w:sz="4" w:space="0" w:color="auto"/>
              <w:bottom w:val="single" w:sz="4" w:space="0" w:color="auto"/>
              <w:right w:val="single" w:sz="4" w:space="0" w:color="auto"/>
            </w:tcBorders>
            <w:vAlign w:val="center"/>
          </w:tcPr>
          <w:p w14:paraId="57304E64" w14:textId="77777777" w:rsidR="003727EA" w:rsidRPr="00AF45BA" w:rsidRDefault="003727EA" w:rsidP="003727EA">
            <w:pPr>
              <w:spacing w:before="60" w:after="60"/>
              <w:rPr>
                <w:sz w:val="18"/>
                <w:szCs w:val="18"/>
              </w:rPr>
            </w:pPr>
            <w:r w:rsidRPr="00AF45BA">
              <w:rPr>
                <w:sz w:val="18"/>
                <w:szCs w:val="18"/>
              </w:rPr>
              <w:t>SAPs glossary</w:t>
            </w:r>
          </w:p>
        </w:tc>
      </w:tr>
      <w:tr w:rsidR="003727EA" w:rsidRPr="00CC121D" w14:paraId="57304E69" w14:textId="77777777" w:rsidTr="00AA1B3C">
        <w:tc>
          <w:tcPr>
            <w:tcW w:w="2084" w:type="dxa"/>
            <w:tcBorders>
              <w:top w:val="single" w:sz="4" w:space="0" w:color="auto"/>
              <w:left w:val="single" w:sz="4" w:space="0" w:color="auto"/>
              <w:bottom w:val="single" w:sz="4" w:space="0" w:color="auto"/>
              <w:right w:val="single" w:sz="4" w:space="0" w:color="auto"/>
            </w:tcBorders>
            <w:vAlign w:val="center"/>
          </w:tcPr>
          <w:p w14:paraId="57304E66" w14:textId="77777777" w:rsidR="003727EA" w:rsidRPr="00AF45BA" w:rsidRDefault="003727EA" w:rsidP="003727EA">
            <w:pPr>
              <w:spacing w:before="60" w:after="60"/>
              <w:rPr>
                <w:sz w:val="18"/>
                <w:szCs w:val="18"/>
              </w:rPr>
            </w:pPr>
            <w:r w:rsidRPr="00AF45BA">
              <w:rPr>
                <w:sz w:val="18"/>
                <w:szCs w:val="18"/>
              </w:rPr>
              <w:t>Technical Specification</w:t>
            </w:r>
          </w:p>
        </w:tc>
        <w:tc>
          <w:tcPr>
            <w:tcW w:w="5708" w:type="dxa"/>
            <w:tcBorders>
              <w:top w:val="single" w:sz="4" w:space="0" w:color="auto"/>
              <w:left w:val="single" w:sz="4" w:space="0" w:color="auto"/>
              <w:bottom w:val="single" w:sz="4" w:space="0" w:color="auto"/>
              <w:right w:val="single" w:sz="4" w:space="0" w:color="auto"/>
            </w:tcBorders>
            <w:vAlign w:val="center"/>
          </w:tcPr>
          <w:p w14:paraId="57304E67" w14:textId="77777777" w:rsidR="003727EA" w:rsidRPr="00AF45BA" w:rsidRDefault="003727EA" w:rsidP="003727EA">
            <w:pPr>
              <w:spacing w:before="60" w:after="60"/>
              <w:rPr>
                <w:sz w:val="18"/>
                <w:szCs w:val="18"/>
              </w:rPr>
            </w:pPr>
            <w:r w:rsidRPr="00AF45BA">
              <w:rPr>
                <w:sz w:val="18"/>
                <w:szCs w:val="18"/>
              </w:rPr>
              <w:t>The Technical Specification defines the system, components and items, as applicable, in sufficient detail to provide a complete basis for the design, manufacture, testing and installation.</w:t>
            </w:r>
          </w:p>
        </w:tc>
        <w:tc>
          <w:tcPr>
            <w:tcW w:w="1417" w:type="dxa"/>
            <w:tcBorders>
              <w:top w:val="single" w:sz="4" w:space="0" w:color="auto"/>
              <w:left w:val="single" w:sz="4" w:space="0" w:color="auto"/>
              <w:bottom w:val="single" w:sz="4" w:space="0" w:color="auto"/>
              <w:right w:val="single" w:sz="4" w:space="0" w:color="auto"/>
            </w:tcBorders>
            <w:vAlign w:val="center"/>
          </w:tcPr>
          <w:p w14:paraId="57304E68" w14:textId="77777777" w:rsidR="003727EA" w:rsidRPr="00AF45BA" w:rsidRDefault="003727EA" w:rsidP="003727EA">
            <w:pPr>
              <w:spacing w:before="60" w:after="60"/>
              <w:rPr>
                <w:sz w:val="18"/>
                <w:szCs w:val="18"/>
              </w:rPr>
            </w:pPr>
            <w:r w:rsidRPr="00AF45BA">
              <w:rPr>
                <w:sz w:val="18"/>
                <w:szCs w:val="18"/>
              </w:rPr>
              <w:t>SAPs glossary</w:t>
            </w:r>
          </w:p>
        </w:tc>
      </w:tr>
    </w:tbl>
    <w:p w14:paraId="57304E72" w14:textId="77777777" w:rsidR="008E4274" w:rsidRPr="00CC121D" w:rsidRDefault="008E4274" w:rsidP="00D07AFA">
      <w:pPr>
        <w:tabs>
          <w:tab w:val="left" w:pos="1134"/>
        </w:tabs>
        <w:spacing w:after="100"/>
      </w:pPr>
      <w:r w:rsidRPr="00CC121D">
        <w:br w:type="page"/>
      </w:r>
    </w:p>
    <w:p w14:paraId="57304E73" w14:textId="31B11C09" w:rsidR="00D07AFA" w:rsidRPr="00CC121D" w:rsidRDefault="00D07AFA" w:rsidP="00D07AFA">
      <w:pPr>
        <w:pStyle w:val="TSHeadingNumbered1"/>
      </w:pPr>
      <w:bookmarkStart w:id="5" w:name="_Toc43723286"/>
      <w:bookmarkStart w:id="6" w:name="_Toc57912677"/>
      <w:r w:rsidRPr="00CC121D">
        <w:t>INTRODUCTION</w:t>
      </w:r>
      <w:bookmarkEnd w:id="5"/>
      <w:bookmarkEnd w:id="6"/>
    </w:p>
    <w:p w14:paraId="57304E74" w14:textId="77777777" w:rsidR="00D07AFA" w:rsidRPr="00CC121D" w:rsidRDefault="00D07AFA" w:rsidP="00D07AFA">
      <w:pPr>
        <w:pStyle w:val="TSNumberedParagraph1"/>
      </w:pPr>
      <w:r w:rsidRPr="00CC121D">
        <w:t>ONR has established its Safety Assessment Principles (SAPs) [1] which</w:t>
      </w:r>
      <w:r w:rsidR="00BB73C4">
        <w:t xml:space="preserve"> are applied by ONR specialist i</w:t>
      </w:r>
      <w:r w:rsidRPr="00CC121D">
        <w:t>nspectors during assessment of safety cases for nuclear installations across the different stages of site lifetime. The ONR assessment may be of the work of requesting parties, potential licensees, existing licensees, or other duty-holders</w:t>
      </w:r>
      <w:r w:rsidR="00AB10BE">
        <w:t>, see glossary definition</w:t>
      </w:r>
      <w:r w:rsidRPr="00CC121D">
        <w:t xml:space="preserve">.  </w:t>
      </w:r>
    </w:p>
    <w:p w14:paraId="57304E75" w14:textId="517F8CC6" w:rsidR="00D07AFA" w:rsidRDefault="00D07AFA" w:rsidP="00D07AFA">
      <w:pPr>
        <w:pStyle w:val="TSNumberedParagraph1"/>
      </w:pPr>
      <w:r w:rsidRPr="00CC121D">
        <w:t xml:space="preserve">The principles presented within the SAPs are supported by a suite of </w:t>
      </w:r>
      <w:r w:rsidR="00BB73C4">
        <w:t>guides to further assist ONR’s i</w:t>
      </w:r>
      <w:r w:rsidRPr="00CC121D">
        <w:t>nspectors in their technical assessment work supporting regulatory judgements.  This technical assessment guide (TAG) is one of these guides.</w:t>
      </w:r>
    </w:p>
    <w:p w14:paraId="3AA8405B" w14:textId="3D506C2B" w:rsidR="0006467A" w:rsidRPr="00CC121D" w:rsidRDefault="0006467A" w:rsidP="0006467A">
      <w:pPr>
        <w:pStyle w:val="TSNumberedParagraph1"/>
      </w:pPr>
      <w:r w:rsidRPr="00CC121D">
        <w:t>The audience of this TAG is assumed to be experienced civil enginee</w:t>
      </w:r>
      <w:r>
        <w:t>ring specialist nuclear safety i</w:t>
      </w:r>
      <w:r w:rsidRPr="00CC121D">
        <w:t xml:space="preserve">nspectors and those working </w:t>
      </w:r>
      <w:r>
        <w:t xml:space="preserve">to </w:t>
      </w:r>
      <w:r w:rsidRPr="00CC121D">
        <w:t xml:space="preserve">develop </w:t>
      </w:r>
      <w:r>
        <w:t>to achieve this role.</w:t>
      </w:r>
    </w:p>
    <w:p w14:paraId="57304E76" w14:textId="5BE9BA0F" w:rsidR="00D07AFA" w:rsidRPr="00CC121D" w:rsidRDefault="00D07AFA" w:rsidP="00D07AFA">
      <w:pPr>
        <w:pStyle w:val="TSHeadingNumbered1"/>
      </w:pPr>
      <w:bookmarkStart w:id="7" w:name="_Toc43723287"/>
      <w:bookmarkStart w:id="8" w:name="_Toc57912678"/>
      <w:r w:rsidRPr="00CC121D">
        <w:t>PURPOSE AND SCOPE</w:t>
      </w:r>
      <w:bookmarkEnd w:id="7"/>
      <w:bookmarkEnd w:id="8"/>
    </w:p>
    <w:p w14:paraId="57304E77" w14:textId="0AE91FFE" w:rsidR="00D07AFA" w:rsidRPr="00CC121D" w:rsidRDefault="00D07AFA" w:rsidP="00D07AFA">
      <w:pPr>
        <w:pStyle w:val="TSHeadingNumbered11"/>
      </w:pPr>
      <w:bookmarkStart w:id="9" w:name="_Toc43723288"/>
      <w:bookmarkStart w:id="10" w:name="_Toc57912679"/>
      <w:r w:rsidRPr="00CC121D">
        <w:t>Purpose</w:t>
      </w:r>
      <w:bookmarkEnd w:id="9"/>
      <w:bookmarkEnd w:id="10"/>
      <w:r w:rsidRPr="00CC121D">
        <w:tab/>
      </w:r>
    </w:p>
    <w:p w14:paraId="57304E78" w14:textId="77777777" w:rsidR="00D07AFA" w:rsidRPr="00CC121D" w:rsidRDefault="00D07AFA" w:rsidP="00D07AFA">
      <w:pPr>
        <w:pStyle w:val="TSNumberedParagraph1"/>
      </w:pPr>
      <w:r w:rsidRPr="00CC121D">
        <w:t xml:space="preserve">The primary responsibility for safety of a nuclear installation rests with the </w:t>
      </w:r>
      <w:proofErr w:type="spellStart"/>
      <w:r w:rsidR="00AB10BE">
        <w:t>dutyholder</w:t>
      </w:r>
      <w:proofErr w:type="spellEnd"/>
      <w:r w:rsidRPr="00CC121D">
        <w:t xml:space="preserve">. </w:t>
      </w:r>
      <w:r w:rsidR="00BB73C4">
        <w:t>This TAG provides guidance for i</w:t>
      </w:r>
      <w:r w:rsidRPr="00CC121D">
        <w:t>nspectors on the interpretation of the ONR Safety Assessment Principles (SAPs) which relate to civil engineering works and structures at nuclea</w:t>
      </w:r>
      <w:r w:rsidR="00AB5B88">
        <w:t>r licensed sites. See Appendix B</w:t>
      </w:r>
      <w:r w:rsidRPr="00CC121D">
        <w:t xml:space="preserve"> for the SA</w:t>
      </w:r>
      <w:r w:rsidR="00AB5B88">
        <w:t>Ps considered in this document.</w:t>
      </w:r>
    </w:p>
    <w:p w14:paraId="57304E79" w14:textId="77777777" w:rsidR="00D07AFA" w:rsidRPr="00CC121D" w:rsidRDefault="00D07AFA" w:rsidP="00D07AFA">
      <w:pPr>
        <w:pStyle w:val="TSNumberedParagraph1"/>
      </w:pPr>
      <w:r w:rsidRPr="00CC121D">
        <w:t>TAGs contain</w:t>
      </w:r>
      <w:r w:rsidR="00BB73C4">
        <w:t xml:space="preserve"> guidance to advise and inform i</w:t>
      </w:r>
      <w:r w:rsidRPr="00CC121D">
        <w:t>nspectors in the exercise of their regulatory judgment. They are also part of the demonstration on how ONR meets the Western European Nuclear Regulator’s Association (WENRA) Reference Levels and how ONR links its guidance to that contained in the International Atomic Energy Agency (IAEA) safety standard</w:t>
      </w:r>
      <w:r w:rsidR="00AB5B88">
        <w:t>s, through the use of the SAPs.</w:t>
      </w:r>
    </w:p>
    <w:p w14:paraId="57304E7A" w14:textId="77777777" w:rsidR="00D07AFA" w:rsidRPr="00CC121D" w:rsidRDefault="00D07AFA" w:rsidP="00D07AFA">
      <w:pPr>
        <w:pStyle w:val="TSNumberedParagraph1"/>
      </w:pPr>
      <w:r w:rsidRPr="00CC121D">
        <w:t>TAGs are a suite of do</w:t>
      </w:r>
      <w:r w:rsidR="00BB73C4">
        <w:t>cuments written as guidance to i</w:t>
      </w:r>
      <w:r w:rsidRPr="00CC121D">
        <w:t>nspectors. TAGs are not written for duty holders, and although they may be used as a source of guidance or good practice, they are not a prescriptive set of legal requirements. Other relevant TAGs from the suite of documents are referenced herein</w:t>
      </w:r>
      <w:r w:rsidR="00C61227">
        <w:t>, cited throughout and included as a table in the appendices</w:t>
      </w:r>
      <w:r w:rsidRPr="00CC121D">
        <w:t>.</w:t>
      </w:r>
    </w:p>
    <w:p w14:paraId="57304E7B" w14:textId="77777777" w:rsidR="00D07AFA" w:rsidRPr="00CC121D" w:rsidRDefault="00D07AFA" w:rsidP="00D07AFA">
      <w:pPr>
        <w:pStyle w:val="TSNumberedParagraph1"/>
      </w:pPr>
      <w:r w:rsidRPr="00CC121D">
        <w:t>This TAG encompasses the broad e</w:t>
      </w:r>
      <w:r w:rsidR="00BB73C4">
        <w:t>xpectations on key points that i</w:t>
      </w:r>
      <w:r w:rsidRPr="00CC121D">
        <w:t>nspectors may wish to consider during civil engineering assessment when judging adequacy of processes and arrangements, in order to provide confidence that:</w:t>
      </w:r>
    </w:p>
    <w:p w14:paraId="57304E7C" w14:textId="77777777" w:rsidR="00D07AFA" w:rsidRPr="00CC121D" w:rsidRDefault="00D07AFA" w:rsidP="00D07AFA">
      <w:pPr>
        <w:pStyle w:val="TSBullet1Square"/>
        <w:tabs>
          <w:tab w:val="clear" w:pos="-28713"/>
          <w:tab w:val="num" w:pos="-31680"/>
        </w:tabs>
        <w:ind w:left="1440"/>
        <w:rPr>
          <w:lang w:eastAsia="en-GB"/>
        </w:rPr>
      </w:pPr>
      <w:r w:rsidRPr="00CC121D">
        <w:rPr>
          <w:lang w:eastAsia="en-GB"/>
        </w:rPr>
        <w:t>the ‘civil engineering works’ (design or otherwise) are undertaken in accordance with appropriate design intent, with links through to, and as req</w:t>
      </w:r>
      <w:r w:rsidR="00621AB2">
        <w:rPr>
          <w:lang w:eastAsia="en-GB"/>
        </w:rPr>
        <w:t>uired by, the safety case, and,</w:t>
      </w:r>
    </w:p>
    <w:p w14:paraId="57304E7D" w14:textId="77777777" w:rsidR="00D07AFA" w:rsidRPr="00CC121D" w:rsidRDefault="00D07AFA" w:rsidP="00D07AFA">
      <w:pPr>
        <w:pStyle w:val="TSBullet1Square"/>
        <w:tabs>
          <w:tab w:val="clear" w:pos="-28713"/>
          <w:tab w:val="num" w:pos="-31680"/>
        </w:tabs>
        <w:ind w:left="1440"/>
        <w:rPr>
          <w:lang w:eastAsia="en-GB"/>
        </w:rPr>
      </w:pPr>
      <w:r w:rsidRPr="00CC121D">
        <w:rPr>
          <w:lang w:eastAsia="en-GB"/>
        </w:rPr>
        <w:t>design assumptions and safety case claims are not undermined by design or construction activities, modifications or other decisions including choices of</w:t>
      </w:r>
      <w:r w:rsidR="00621AB2">
        <w:rPr>
          <w:lang w:eastAsia="en-GB"/>
        </w:rPr>
        <w:t xml:space="preserve"> materials and methodology used,</w:t>
      </w:r>
    </w:p>
    <w:p w14:paraId="57304E7E" w14:textId="77777777" w:rsidR="00D07AFA" w:rsidRPr="00CC121D" w:rsidRDefault="00D07AFA" w:rsidP="00D07AFA">
      <w:pPr>
        <w:pStyle w:val="TSBullet1Square"/>
        <w:tabs>
          <w:tab w:val="clear" w:pos="-28713"/>
          <w:tab w:val="num" w:pos="-31680"/>
        </w:tabs>
        <w:ind w:left="1440"/>
        <w:rPr>
          <w:lang w:eastAsia="en-GB"/>
        </w:rPr>
      </w:pPr>
      <w:r w:rsidRPr="00CC121D">
        <w:rPr>
          <w:lang w:eastAsia="en-GB"/>
        </w:rPr>
        <w:t>where the expectations of the SAPs are not met, proposed justification of the alternative arrangements are assessed on a case by case basis.</w:t>
      </w:r>
    </w:p>
    <w:p w14:paraId="57304E7F" w14:textId="77777777" w:rsidR="00D07AFA" w:rsidRPr="00CC121D" w:rsidRDefault="00D07AFA" w:rsidP="00D07AFA">
      <w:pPr>
        <w:pStyle w:val="TSNumberedParagraph1"/>
      </w:pPr>
      <w:r w:rsidRPr="00CC121D">
        <w:t>When using this TAG, the Inspector should:</w:t>
      </w:r>
    </w:p>
    <w:p w14:paraId="57304E80" w14:textId="77777777" w:rsidR="00D07AFA" w:rsidRPr="00CC121D" w:rsidRDefault="00D07AFA" w:rsidP="00D07AFA">
      <w:pPr>
        <w:pStyle w:val="TSBullet1Square"/>
        <w:tabs>
          <w:tab w:val="clear" w:pos="-28713"/>
          <w:tab w:val="num" w:pos="-31680"/>
        </w:tabs>
        <w:ind w:left="1440"/>
        <w:rPr>
          <w:lang w:eastAsia="en-GB"/>
        </w:rPr>
      </w:pPr>
      <w:r w:rsidRPr="00CC121D">
        <w:rPr>
          <w:lang w:eastAsia="en-GB"/>
        </w:rPr>
        <w:t xml:space="preserve">exercise their own judgement and discretion in the depth and scope to which </w:t>
      </w:r>
      <w:r w:rsidR="00621AB2">
        <w:rPr>
          <w:lang w:eastAsia="en-GB"/>
        </w:rPr>
        <w:t>they apply the guidance, whilst,</w:t>
      </w:r>
    </w:p>
    <w:p w14:paraId="57304E81" w14:textId="77777777" w:rsidR="00D07AFA" w:rsidRPr="00CC121D" w:rsidRDefault="00D07AFA" w:rsidP="00D07AFA">
      <w:pPr>
        <w:pStyle w:val="TSBullet1Square"/>
        <w:tabs>
          <w:tab w:val="clear" w:pos="-28713"/>
          <w:tab w:val="num" w:pos="-31680"/>
        </w:tabs>
        <w:ind w:left="1440"/>
        <w:rPr>
          <w:lang w:eastAsia="en-GB"/>
        </w:rPr>
      </w:pPr>
      <w:r w:rsidRPr="00CC121D">
        <w:rPr>
          <w:lang w:eastAsia="en-GB"/>
        </w:rPr>
        <w:t xml:space="preserve">not use the topics raised in this TAG as a checklist, but as a guide for important areas which may be addressed </w:t>
      </w:r>
      <w:r w:rsidR="00AB5B88">
        <w:rPr>
          <w:lang w:eastAsia="en-GB"/>
        </w:rPr>
        <w:t>whe</w:t>
      </w:r>
      <w:r w:rsidR="00621AB2">
        <w:rPr>
          <w:lang w:eastAsia="en-GB"/>
        </w:rPr>
        <w:t>n undertaking an assessment,</w:t>
      </w:r>
    </w:p>
    <w:p w14:paraId="57304E82" w14:textId="77777777" w:rsidR="00D07AFA" w:rsidRPr="00CC121D" w:rsidRDefault="00D07AFA" w:rsidP="00D07AFA">
      <w:pPr>
        <w:pStyle w:val="TSBullet1Square"/>
        <w:tabs>
          <w:tab w:val="clear" w:pos="-28713"/>
          <w:tab w:val="num" w:pos="-31680"/>
        </w:tabs>
        <w:ind w:left="1440"/>
        <w:rPr>
          <w:lang w:eastAsia="en-GB"/>
        </w:rPr>
      </w:pPr>
      <w:r w:rsidRPr="00CC121D">
        <w:rPr>
          <w:lang w:eastAsia="en-GB"/>
        </w:rPr>
        <w:t>be cognisant of what safety reliance is placed on Structures, Systems</w:t>
      </w:r>
      <w:r w:rsidR="00621AB2">
        <w:rPr>
          <w:lang w:eastAsia="en-GB"/>
        </w:rPr>
        <w:t xml:space="preserve"> and Components (SSCs), and why,</w:t>
      </w:r>
    </w:p>
    <w:p w14:paraId="57304E83" w14:textId="77777777" w:rsidR="00D07AFA" w:rsidRPr="00CC121D" w:rsidRDefault="00D07AFA" w:rsidP="00D07AFA">
      <w:pPr>
        <w:pStyle w:val="TSBullet1Square"/>
        <w:tabs>
          <w:tab w:val="clear" w:pos="-28713"/>
          <w:tab w:val="num" w:pos="-31680"/>
        </w:tabs>
        <w:ind w:left="1440"/>
        <w:rPr>
          <w:lang w:eastAsia="en-GB"/>
        </w:rPr>
      </w:pPr>
      <w:r w:rsidRPr="00CC121D">
        <w:rPr>
          <w:lang w:eastAsia="en-GB"/>
        </w:rPr>
        <w:t>be cognisant of how the safety functional requirements placed on SSCs are met throughout all stages of assessment.</w:t>
      </w:r>
    </w:p>
    <w:p w14:paraId="57304E85" w14:textId="09AF8E05" w:rsidR="00D07AFA" w:rsidRPr="00CC121D" w:rsidRDefault="00D07AFA" w:rsidP="00D07AFA">
      <w:pPr>
        <w:pStyle w:val="TSHeadingNumbered11"/>
      </w:pPr>
      <w:bookmarkStart w:id="11" w:name="_Toc43723289"/>
      <w:bookmarkStart w:id="12" w:name="_Toc57912680"/>
      <w:r w:rsidRPr="00CC121D">
        <w:t>Scope</w:t>
      </w:r>
      <w:bookmarkEnd w:id="11"/>
      <w:bookmarkEnd w:id="12"/>
    </w:p>
    <w:p w14:paraId="57304E86" w14:textId="77777777" w:rsidR="00D07AFA" w:rsidRPr="00CC121D" w:rsidRDefault="00D07AFA" w:rsidP="00D07AFA">
      <w:pPr>
        <w:pStyle w:val="TSNumberedParagraph1"/>
      </w:pPr>
      <w:r w:rsidRPr="00CC121D">
        <w:t xml:space="preserve">The scope of ‘civil engineering works’ and structures is broad. For the purposes of this document, the term ‘civil engineering works and structures’ is defined in Appendix A. </w:t>
      </w:r>
    </w:p>
    <w:p w14:paraId="57304E87" w14:textId="77777777" w:rsidR="00D07AFA" w:rsidRPr="00CC121D" w:rsidRDefault="00D07AFA" w:rsidP="00D07AFA">
      <w:pPr>
        <w:pStyle w:val="TSNumberedParagraph1"/>
      </w:pPr>
      <w:r w:rsidRPr="00CC121D">
        <w:t xml:space="preserve">This civil engineering TAG applies to nuclear licenced sites equally across all stages of a nuclear site lifecycle, including generic and/or concept design, licensing, site identification, site specific design, construction and installation, operation, modification, post-operation, decommissioning and demolition, ‘care and maintenance’ phase etc. </w:t>
      </w:r>
    </w:p>
    <w:p w14:paraId="57304E88" w14:textId="77777777" w:rsidR="00D07AFA" w:rsidRPr="00CC121D" w:rsidRDefault="00D07AFA" w:rsidP="00D07AFA">
      <w:pPr>
        <w:pStyle w:val="TSNumberedParagraph1"/>
      </w:pPr>
      <w:r w:rsidRPr="00CC121D">
        <w:t xml:space="preserve">It should be recognised within the life cycle of ‘civil engineering works’, that the assumptions made, by the designer and incorporated within the justification of the design within a safety case, must be properly carried through the construction stage and through to modifications, demolition and site clearance. All associated construction activities throughout the life cycle are </w:t>
      </w:r>
      <w:r w:rsidR="00D64C30">
        <w:t xml:space="preserve">as </w:t>
      </w:r>
      <w:r w:rsidRPr="00CC121D">
        <w:t>much a part of the safety case as the design.</w:t>
      </w:r>
      <w:r w:rsidRPr="00CC121D" w:rsidDel="00E55D7E">
        <w:t xml:space="preserve"> </w:t>
      </w:r>
    </w:p>
    <w:p w14:paraId="57304E89" w14:textId="77777777" w:rsidR="00D07AFA" w:rsidRPr="00CC121D" w:rsidRDefault="00C61227" w:rsidP="00D07AFA">
      <w:pPr>
        <w:pStyle w:val="TSNumberedParagraph1"/>
      </w:pPr>
      <w:r>
        <w:t>This TAG</w:t>
      </w:r>
      <w:r w:rsidR="00D07AFA" w:rsidRPr="00CC121D">
        <w:t>:</w:t>
      </w:r>
    </w:p>
    <w:p w14:paraId="57304E8A" w14:textId="77777777" w:rsidR="00D07AFA" w:rsidRPr="00CC121D" w:rsidRDefault="00D07AFA" w:rsidP="00D07AFA">
      <w:pPr>
        <w:pStyle w:val="TSBullet1Square"/>
        <w:tabs>
          <w:tab w:val="clear" w:pos="-28713"/>
          <w:tab w:val="num" w:pos="-31680"/>
        </w:tabs>
        <w:ind w:left="1440"/>
        <w:rPr>
          <w:lang w:eastAsia="en-GB"/>
        </w:rPr>
      </w:pPr>
      <w:r w:rsidRPr="00CC121D">
        <w:rPr>
          <w:lang w:eastAsia="en-GB"/>
        </w:rPr>
        <w:t xml:space="preserve">identifies the relevant Safety Assessment Principles (SAPs) which relate to different topics of civil engineering and </w:t>
      </w:r>
      <w:r w:rsidR="00D64C30">
        <w:rPr>
          <w:lang w:eastAsia="en-GB"/>
        </w:rPr>
        <w:t>the relevant Licence Conditions,</w:t>
      </w:r>
    </w:p>
    <w:p w14:paraId="57304E8B" w14:textId="42D1A291" w:rsidR="00D07AFA" w:rsidRPr="00CC121D" w:rsidRDefault="00D07AFA" w:rsidP="00D07AFA">
      <w:pPr>
        <w:pStyle w:val="TSBullet1Square"/>
        <w:tabs>
          <w:tab w:val="clear" w:pos="-28713"/>
          <w:tab w:val="num" w:pos="-31680"/>
        </w:tabs>
        <w:ind w:left="1440"/>
        <w:rPr>
          <w:lang w:eastAsia="en-GB"/>
        </w:rPr>
      </w:pPr>
      <w:r w:rsidRPr="00CC121D">
        <w:rPr>
          <w:lang w:eastAsia="en-GB"/>
        </w:rPr>
        <w:t xml:space="preserve">is an interpretation of these principles related to each civil engineering topic with key elements which the Inspector </w:t>
      </w:r>
      <w:r w:rsidR="00B579FF">
        <w:rPr>
          <w:lang w:eastAsia="en-GB"/>
        </w:rPr>
        <w:t>may</w:t>
      </w:r>
      <w:r w:rsidR="00C17F56">
        <w:rPr>
          <w:lang w:eastAsia="en-GB"/>
        </w:rPr>
        <w:t xml:space="preserve"> choose to</w:t>
      </w:r>
      <w:r w:rsidRPr="00CC121D">
        <w:rPr>
          <w:lang w:eastAsia="en-GB"/>
        </w:rPr>
        <w:t xml:space="preserve"> consider in a safety cas</w:t>
      </w:r>
      <w:r w:rsidR="00D64C30">
        <w:rPr>
          <w:lang w:eastAsia="en-GB"/>
        </w:rPr>
        <w:t xml:space="preserve">e </w:t>
      </w:r>
      <w:r w:rsidR="00C17F56">
        <w:rPr>
          <w:lang w:eastAsia="en-GB"/>
        </w:rPr>
        <w:t>s</w:t>
      </w:r>
      <w:r w:rsidR="00D64C30">
        <w:rPr>
          <w:lang w:eastAsia="en-GB"/>
        </w:rPr>
        <w:t xml:space="preserve">ubmission from a </w:t>
      </w:r>
      <w:proofErr w:type="spellStart"/>
      <w:r w:rsidR="00D64C30">
        <w:rPr>
          <w:lang w:eastAsia="en-GB"/>
        </w:rPr>
        <w:t>dutyholder</w:t>
      </w:r>
      <w:proofErr w:type="spellEnd"/>
      <w:r w:rsidR="00D64C30">
        <w:rPr>
          <w:lang w:eastAsia="en-GB"/>
        </w:rPr>
        <w:t>,</w:t>
      </w:r>
    </w:p>
    <w:p w14:paraId="57304E8C" w14:textId="77777777" w:rsidR="00D07AFA" w:rsidRPr="00CC121D" w:rsidRDefault="00D07AFA" w:rsidP="00D07AFA">
      <w:pPr>
        <w:pStyle w:val="TSBullet1Square"/>
        <w:tabs>
          <w:tab w:val="clear" w:pos="-28713"/>
          <w:tab w:val="num" w:pos="-31680"/>
        </w:tabs>
        <w:ind w:left="1440"/>
        <w:rPr>
          <w:lang w:eastAsia="en-GB"/>
        </w:rPr>
      </w:pPr>
      <w:r w:rsidRPr="00CC121D">
        <w:rPr>
          <w:lang w:eastAsia="en-GB"/>
        </w:rPr>
        <w:t>demonstrates that the SAPs are alig</w:t>
      </w:r>
      <w:r w:rsidR="00D64C30">
        <w:rPr>
          <w:lang w:eastAsia="en-GB"/>
        </w:rPr>
        <w:t>ned with international guidance,</w:t>
      </w:r>
    </w:p>
    <w:p w14:paraId="57304E8D" w14:textId="77777777" w:rsidR="00D07AFA" w:rsidRPr="00CC121D" w:rsidRDefault="00D07AFA" w:rsidP="00D07AFA">
      <w:pPr>
        <w:pStyle w:val="TSBullet1Square"/>
        <w:tabs>
          <w:tab w:val="clear" w:pos="-28713"/>
          <w:tab w:val="num" w:pos="-31680"/>
        </w:tabs>
        <w:ind w:left="1440"/>
        <w:rPr>
          <w:lang w:eastAsia="en-GB"/>
        </w:rPr>
      </w:pPr>
      <w:r w:rsidRPr="00CC121D">
        <w:rPr>
          <w:lang w:eastAsia="en-GB"/>
        </w:rPr>
        <w:t>makes reference to relevant TAGs, guid</w:t>
      </w:r>
      <w:r w:rsidR="00D64C30">
        <w:rPr>
          <w:lang w:eastAsia="en-GB"/>
        </w:rPr>
        <w:t>ance documents and stakeholders.</w:t>
      </w:r>
    </w:p>
    <w:p w14:paraId="57304E8E" w14:textId="77777777" w:rsidR="00D07AFA" w:rsidRPr="00CC121D" w:rsidRDefault="00D07AFA" w:rsidP="00D07AFA">
      <w:pPr>
        <w:pStyle w:val="TSNumberedParagraph1"/>
      </w:pPr>
      <w:r w:rsidRPr="00CC121D">
        <w:t>This TAG is not intended to be a detailed civil engineering design guide; nor does it prescribe specific methods and approaches for assessing them or offer guidance on how to judge the adequacy of their technical content. Its main purpose is to highlight salient areas for consideration as part of the regulatory process through planned interventions and assessment of civil engineering nuclear significant structures systems and components (SSCs) as part of the civil engineering works and structures.</w:t>
      </w:r>
    </w:p>
    <w:p w14:paraId="57304E8F" w14:textId="77777777" w:rsidR="00D07AFA" w:rsidRPr="00CC121D" w:rsidRDefault="00D07AFA" w:rsidP="00D07AFA">
      <w:pPr>
        <w:pStyle w:val="TSNumberedParagraph1"/>
      </w:pPr>
      <w:r w:rsidRPr="00CC121D">
        <w:t>Although the contents of</w:t>
      </w:r>
      <w:r w:rsidR="00BB73C4">
        <w:t xml:space="preserve"> this TAG may be useful to all i</w:t>
      </w:r>
      <w:r w:rsidRPr="00CC121D">
        <w:t>nspect</w:t>
      </w:r>
      <w:r w:rsidR="00BB73C4">
        <w:t>ors, liaison is encouraged for i</w:t>
      </w:r>
      <w:r w:rsidRPr="00CC121D">
        <w:t>nspectors to discuss</w:t>
      </w:r>
      <w:r w:rsidR="00BB73C4">
        <w:t xml:space="preserve"> civil engineering topics with i</w:t>
      </w:r>
      <w:r w:rsidRPr="00CC121D">
        <w:t>nspectors who specialise in civil engineering for advice.</w:t>
      </w:r>
    </w:p>
    <w:p w14:paraId="57304E90" w14:textId="13F918B4" w:rsidR="00D07AFA" w:rsidRPr="00CC121D" w:rsidRDefault="00D07AFA" w:rsidP="00D07AFA">
      <w:pPr>
        <w:pStyle w:val="TSHeadingNumbered11"/>
      </w:pPr>
      <w:bookmarkStart w:id="13" w:name="_Toc43723290"/>
      <w:bookmarkStart w:id="14" w:name="_Toc57912681"/>
      <w:r w:rsidRPr="00CC121D">
        <w:t>Structure of this Technical Assessment Guidance (TAG)</w:t>
      </w:r>
      <w:bookmarkEnd w:id="13"/>
      <w:bookmarkEnd w:id="14"/>
    </w:p>
    <w:p w14:paraId="57304E91" w14:textId="3946E962" w:rsidR="00D07AFA" w:rsidRPr="00CC121D" w:rsidRDefault="00D07AFA" w:rsidP="00D07AFA">
      <w:pPr>
        <w:pStyle w:val="TSNumberedParagraph1"/>
        <w:rPr>
          <w:iCs/>
        </w:rPr>
      </w:pPr>
      <w:r w:rsidRPr="00CC121D">
        <w:rPr>
          <w:iCs/>
        </w:rPr>
        <w:t>As stated in IAEA SSR-2/1</w:t>
      </w:r>
      <w:r w:rsidR="005E12BB">
        <w:rPr>
          <w:iCs/>
        </w:rPr>
        <w:t xml:space="preserve"> [2]</w:t>
      </w:r>
      <w:r w:rsidRPr="00CC121D">
        <w:rPr>
          <w:iCs/>
        </w:rPr>
        <w:t xml:space="preserve">, the safety of a nuclear installation is ensured by means of proper site selection, design, construction and commissioning, and the evaluation of these, followed by proper management, operation and maintenance of the </w:t>
      </w:r>
      <w:r w:rsidR="0097308F">
        <w:rPr>
          <w:iCs/>
        </w:rPr>
        <w:t>facility</w:t>
      </w:r>
      <w:r w:rsidRPr="00CC121D">
        <w:rPr>
          <w:iCs/>
        </w:rPr>
        <w:t>. In a later phase, appropriate transition to de-commissioning a</w:t>
      </w:r>
      <w:r w:rsidR="00E531E4">
        <w:rPr>
          <w:iCs/>
        </w:rPr>
        <w:t>nd site clearance is required.</w:t>
      </w:r>
    </w:p>
    <w:p w14:paraId="57304E92" w14:textId="2922713F" w:rsidR="00D07AFA" w:rsidRPr="00CC121D" w:rsidRDefault="00D07AFA" w:rsidP="00D07AFA">
      <w:pPr>
        <w:pStyle w:val="TSNumberedParagraph1"/>
        <w:rPr>
          <w:iCs/>
        </w:rPr>
      </w:pPr>
      <w:r w:rsidRPr="00CC121D">
        <w:rPr>
          <w:iCs/>
        </w:rPr>
        <w:t xml:space="preserve">As a result, this TAG has been structured in a chronological order, from site </w:t>
      </w:r>
      <w:r w:rsidRPr="00CC121D">
        <w:t>selection</w:t>
      </w:r>
      <w:r w:rsidRPr="00CC121D">
        <w:rPr>
          <w:iCs/>
        </w:rPr>
        <w:t xml:space="preserve"> and investigation through to decommissioning and demolition, identifying the relevant </w:t>
      </w:r>
      <w:r w:rsidRPr="00CC121D">
        <w:t>SAPs</w:t>
      </w:r>
      <w:r w:rsidRPr="00CC121D">
        <w:rPr>
          <w:iCs/>
        </w:rPr>
        <w:t xml:space="preserve"> and key civil engineering assessment principles for each stage in the lifecycle. The stages of civil engineering works considered in this TAG are as follows:</w:t>
      </w:r>
    </w:p>
    <w:p w14:paraId="57304E93" w14:textId="77777777" w:rsidR="00D07AFA" w:rsidRPr="00CC121D" w:rsidRDefault="00E531E4" w:rsidP="00D07AFA">
      <w:pPr>
        <w:pStyle w:val="TSBullet1Square"/>
        <w:tabs>
          <w:tab w:val="clear" w:pos="-28713"/>
          <w:tab w:val="num" w:pos="-31680"/>
        </w:tabs>
        <w:ind w:left="1440"/>
        <w:rPr>
          <w:lang w:eastAsia="en-GB"/>
        </w:rPr>
      </w:pPr>
      <w:r>
        <w:rPr>
          <w:lang w:eastAsia="en-GB"/>
        </w:rPr>
        <w:t>Site selection,</w:t>
      </w:r>
    </w:p>
    <w:p w14:paraId="57304E94" w14:textId="77777777" w:rsidR="00D07AFA" w:rsidRPr="00CC121D" w:rsidRDefault="00D07AFA" w:rsidP="00D07AFA">
      <w:pPr>
        <w:pStyle w:val="TSBullet1Square"/>
        <w:tabs>
          <w:tab w:val="clear" w:pos="-28713"/>
          <w:tab w:val="num" w:pos="-31680"/>
        </w:tabs>
        <w:ind w:left="1440"/>
        <w:rPr>
          <w:lang w:eastAsia="en-GB"/>
        </w:rPr>
      </w:pPr>
      <w:r w:rsidRPr="00CC121D">
        <w:rPr>
          <w:lang w:eastAsia="en-GB"/>
        </w:rPr>
        <w:t>Generic Design Assessment Step 1, 2,3 (and 4 if applicable),</w:t>
      </w:r>
    </w:p>
    <w:p w14:paraId="57304E95" w14:textId="77777777" w:rsidR="00D07AFA" w:rsidRPr="00CC121D" w:rsidRDefault="00D07AFA" w:rsidP="00D07AFA">
      <w:pPr>
        <w:pStyle w:val="TSBullet1Square"/>
        <w:tabs>
          <w:tab w:val="clear" w:pos="-28713"/>
          <w:tab w:val="num" w:pos="-31680"/>
        </w:tabs>
        <w:ind w:left="1440"/>
        <w:rPr>
          <w:lang w:eastAsia="en-GB"/>
        </w:rPr>
      </w:pPr>
      <w:r w:rsidRPr="00CC121D">
        <w:rPr>
          <w:lang w:eastAsia="en-GB"/>
        </w:rPr>
        <w:t>Site Licensing, includi</w:t>
      </w:r>
      <w:r w:rsidR="00E531E4">
        <w:rPr>
          <w:lang w:eastAsia="en-GB"/>
        </w:rPr>
        <w:t>ng site investigations,</w:t>
      </w:r>
    </w:p>
    <w:p w14:paraId="57304E96" w14:textId="77777777" w:rsidR="00D07AFA" w:rsidRPr="00CC121D" w:rsidRDefault="00E531E4" w:rsidP="00D07AFA">
      <w:pPr>
        <w:pStyle w:val="TSBullet1Square"/>
        <w:tabs>
          <w:tab w:val="clear" w:pos="-28713"/>
          <w:tab w:val="num" w:pos="-31680"/>
        </w:tabs>
        <w:ind w:left="1440"/>
        <w:rPr>
          <w:lang w:eastAsia="en-GB"/>
        </w:rPr>
      </w:pPr>
      <w:r>
        <w:rPr>
          <w:lang w:eastAsia="en-GB"/>
        </w:rPr>
        <w:t>Site Specific Design,</w:t>
      </w:r>
    </w:p>
    <w:p w14:paraId="57304E97" w14:textId="77777777" w:rsidR="00D07AFA" w:rsidRPr="00CC121D" w:rsidRDefault="00E531E4" w:rsidP="00D07AFA">
      <w:pPr>
        <w:pStyle w:val="TSBullet1Square"/>
        <w:tabs>
          <w:tab w:val="clear" w:pos="-28713"/>
          <w:tab w:val="num" w:pos="-31680"/>
        </w:tabs>
        <w:ind w:left="1440"/>
        <w:rPr>
          <w:lang w:eastAsia="en-GB"/>
        </w:rPr>
      </w:pPr>
      <w:r>
        <w:rPr>
          <w:lang w:eastAsia="en-GB"/>
        </w:rPr>
        <w:t>Construction,</w:t>
      </w:r>
    </w:p>
    <w:p w14:paraId="57304E98" w14:textId="77777777" w:rsidR="00D07AFA" w:rsidRPr="00CC121D" w:rsidRDefault="00D07AFA" w:rsidP="00D07AFA">
      <w:pPr>
        <w:pStyle w:val="TSBullet1Square"/>
        <w:tabs>
          <w:tab w:val="clear" w:pos="-28713"/>
          <w:tab w:val="num" w:pos="-31680"/>
        </w:tabs>
        <w:ind w:left="1440"/>
        <w:rPr>
          <w:lang w:eastAsia="en-GB"/>
        </w:rPr>
      </w:pPr>
      <w:r w:rsidRPr="00CC121D">
        <w:rPr>
          <w:lang w:eastAsia="en-GB"/>
        </w:rPr>
        <w:t>Commissioning</w:t>
      </w:r>
      <w:r w:rsidR="00E531E4">
        <w:rPr>
          <w:lang w:eastAsia="en-GB"/>
        </w:rPr>
        <w:t>,</w:t>
      </w:r>
    </w:p>
    <w:p w14:paraId="57304E99" w14:textId="77777777" w:rsidR="00D07AFA" w:rsidRPr="00CC121D" w:rsidRDefault="00E531E4" w:rsidP="00D07AFA">
      <w:pPr>
        <w:pStyle w:val="TSBullet1Square"/>
        <w:tabs>
          <w:tab w:val="clear" w:pos="-28713"/>
          <w:tab w:val="num" w:pos="-31680"/>
        </w:tabs>
        <w:ind w:left="1440"/>
        <w:rPr>
          <w:lang w:eastAsia="en-GB"/>
        </w:rPr>
      </w:pPr>
      <w:r>
        <w:rPr>
          <w:lang w:eastAsia="en-GB"/>
        </w:rPr>
        <w:t>Operation/EIMT/Asset Management,</w:t>
      </w:r>
    </w:p>
    <w:p w14:paraId="57304E9A" w14:textId="77777777" w:rsidR="00D07AFA" w:rsidRPr="00CC121D" w:rsidRDefault="00D07AFA" w:rsidP="00D07AFA">
      <w:pPr>
        <w:pStyle w:val="TSBullet1Square"/>
        <w:tabs>
          <w:tab w:val="clear" w:pos="-28713"/>
          <w:tab w:val="num" w:pos="-31680"/>
        </w:tabs>
        <w:ind w:left="1440"/>
        <w:rPr>
          <w:lang w:eastAsia="en-GB"/>
        </w:rPr>
      </w:pPr>
      <w:r w:rsidRPr="00CC121D">
        <w:rPr>
          <w:lang w:eastAsia="en-GB"/>
        </w:rPr>
        <w:t>Decommissioning, Demolitio</w:t>
      </w:r>
      <w:r w:rsidR="00E531E4">
        <w:rPr>
          <w:lang w:eastAsia="en-GB"/>
        </w:rPr>
        <w:t>n, C&amp;M Phase and Site clearance.</w:t>
      </w:r>
    </w:p>
    <w:p w14:paraId="57304E9B" w14:textId="77777777" w:rsidR="00D07AFA" w:rsidRPr="00CC121D" w:rsidRDefault="00D07AFA" w:rsidP="00D07AFA">
      <w:pPr>
        <w:pStyle w:val="TSNumberedParagraph1"/>
      </w:pPr>
      <w:r w:rsidRPr="00CC121D">
        <w:t>Section 2 sets out the purpose and scope of civil engineering works for use with this TAG [Appendix A].</w:t>
      </w:r>
    </w:p>
    <w:p w14:paraId="57304E9C" w14:textId="77777777" w:rsidR="00D07AFA" w:rsidRPr="00CC121D" w:rsidRDefault="00D07AFA" w:rsidP="00AF7814">
      <w:pPr>
        <w:pStyle w:val="TSNumberedParagraph1"/>
      </w:pPr>
      <w:r w:rsidRPr="00CC121D">
        <w:t xml:space="preserve">Section 3 of this TAG discusses the relevant SAPs [Appendix B] and relevant licence conditions (LCs) [Appendix C] and other legislation considered as most applicable and relevant to safety related civil engineering works and structures on </w:t>
      </w:r>
      <w:r w:rsidR="00AF7814" w:rsidRPr="00AF7814">
        <w:t>GB nuclear sites</w:t>
      </w:r>
      <w:r w:rsidRPr="00CC121D">
        <w:t>.</w:t>
      </w:r>
    </w:p>
    <w:p w14:paraId="57304E9D" w14:textId="77777777" w:rsidR="00D07AFA" w:rsidRPr="00CC121D" w:rsidRDefault="00D07AFA" w:rsidP="00D07AFA">
      <w:pPr>
        <w:pStyle w:val="TSNumberedParagraph1"/>
      </w:pPr>
      <w:r w:rsidRPr="00CC121D">
        <w:t xml:space="preserve">Section 4 forms part of the demonstration of how ONR links its guidance to that contained within the IAEA safety standards [Appendix D] and the WENRA Safety Reference Levels [Appendix E]. </w:t>
      </w:r>
    </w:p>
    <w:p w14:paraId="57304E9E" w14:textId="77777777" w:rsidR="00D07AFA" w:rsidRPr="00CC121D" w:rsidRDefault="00D07AFA" w:rsidP="00D07AFA">
      <w:pPr>
        <w:pStyle w:val="TSNumberedParagraph1"/>
      </w:pPr>
      <w:r w:rsidRPr="00CC121D">
        <w:t>Section 5 of this TAG discusses ONR’s approach to the assessment of civil engineering works and structures. TAGs are intende</w:t>
      </w:r>
      <w:r w:rsidR="00BB73C4">
        <w:t>d to provide guidance for i</w:t>
      </w:r>
      <w:r w:rsidRPr="00CC121D">
        <w:t xml:space="preserve">nspectors to carry out their regulatory duties, in the exercise of their regulatory judgement, referencing relevant SAPs, IAEA and WENRA guidance and identifying cross references to other TAGs [Appendix F] and external interfaces [Appendix G]. </w:t>
      </w:r>
    </w:p>
    <w:p w14:paraId="57304E9F" w14:textId="77777777" w:rsidR="00D07AFA" w:rsidRPr="00CC121D" w:rsidRDefault="00D07AFA" w:rsidP="00D07AFA">
      <w:pPr>
        <w:pStyle w:val="TSNumberedParagraph1"/>
      </w:pPr>
      <w:r w:rsidRPr="00CC121D">
        <w:t>The appendices to this document are:</w:t>
      </w:r>
    </w:p>
    <w:p w14:paraId="57304EA0" w14:textId="77777777" w:rsidR="00D07AFA" w:rsidRPr="00CC121D" w:rsidRDefault="00D07AFA" w:rsidP="00D07AFA">
      <w:pPr>
        <w:pStyle w:val="TSBullet1Square"/>
        <w:tabs>
          <w:tab w:val="clear" w:pos="-28713"/>
          <w:tab w:val="num" w:pos="-31680"/>
        </w:tabs>
        <w:ind w:left="1440"/>
        <w:rPr>
          <w:lang w:eastAsia="en-GB"/>
        </w:rPr>
      </w:pPr>
      <w:r w:rsidRPr="00CC121D">
        <w:rPr>
          <w:lang w:eastAsia="en-GB"/>
        </w:rPr>
        <w:t>Appendix A - Scope of ‘civil engineering works’ and structures</w:t>
      </w:r>
      <w:r w:rsidR="00AF7814">
        <w:rPr>
          <w:lang w:eastAsia="en-GB"/>
        </w:rPr>
        <w:t>,</w:t>
      </w:r>
    </w:p>
    <w:p w14:paraId="57304EA1" w14:textId="77777777" w:rsidR="00D07AFA" w:rsidRPr="00CC121D" w:rsidRDefault="00D07AFA" w:rsidP="00D07AFA">
      <w:pPr>
        <w:pStyle w:val="TSBullet1Square"/>
        <w:tabs>
          <w:tab w:val="clear" w:pos="-28713"/>
          <w:tab w:val="num" w:pos="-31680"/>
        </w:tabs>
        <w:ind w:left="1440"/>
        <w:rPr>
          <w:lang w:eastAsia="en-GB"/>
        </w:rPr>
      </w:pPr>
      <w:r w:rsidRPr="00CC121D">
        <w:rPr>
          <w:lang w:eastAsia="en-GB"/>
        </w:rPr>
        <w:t>Appendix B - SAPs relevant to civil engineering (ECE suite and others)</w:t>
      </w:r>
      <w:r w:rsidR="00AF7814">
        <w:rPr>
          <w:lang w:eastAsia="en-GB"/>
        </w:rPr>
        <w:t>,</w:t>
      </w:r>
    </w:p>
    <w:p w14:paraId="57304EA2" w14:textId="77777777" w:rsidR="00D07AFA" w:rsidRPr="00CC121D" w:rsidRDefault="00D07AFA" w:rsidP="00D07AFA">
      <w:pPr>
        <w:pStyle w:val="TSBullet1Square"/>
        <w:tabs>
          <w:tab w:val="clear" w:pos="-28713"/>
          <w:tab w:val="num" w:pos="-31680"/>
        </w:tabs>
        <w:ind w:left="1440"/>
        <w:rPr>
          <w:lang w:eastAsia="en-GB"/>
        </w:rPr>
      </w:pPr>
      <w:r w:rsidRPr="00CC121D">
        <w:rPr>
          <w:lang w:eastAsia="en-GB"/>
        </w:rPr>
        <w:t xml:space="preserve">Appendix C </w:t>
      </w:r>
      <w:r w:rsidR="00AF7814">
        <w:rPr>
          <w:lang w:eastAsia="en-GB"/>
        </w:rPr>
        <w:t>–</w:t>
      </w:r>
      <w:r w:rsidRPr="00CC121D">
        <w:rPr>
          <w:lang w:eastAsia="en-GB"/>
        </w:rPr>
        <w:t xml:space="preserve"> L</w:t>
      </w:r>
      <w:r w:rsidR="00AF7814">
        <w:rPr>
          <w:lang w:eastAsia="en-GB"/>
        </w:rPr>
        <w:t>ist of l</w:t>
      </w:r>
      <w:r w:rsidRPr="00CC121D">
        <w:rPr>
          <w:lang w:eastAsia="en-GB"/>
        </w:rPr>
        <w:t>icence conditions relevant to civil engineering (with key principles)</w:t>
      </w:r>
      <w:r w:rsidR="00AF7814">
        <w:rPr>
          <w:lang w:eastAsia="en-GB"/>
        </w:rPr>
        <w:t>,</w:t>
      </w:r>
    </w:p>
    <w:p w14:paraId="57304EA3" w14:textId="77777777" w:rsidR="00D07AFA" w:rsidRPr="00CC121D" w:rsidRDefault="00D07AFA" w:rsidP="00D07AFA">
      <w:pPr>
        <w:pStyle w:val="TSBullet1Square"/>
        <w:tabs>
          <w:tab w:val="clear" w:pos="-28713"/>
          <w:tab w:val="num" w:pos="-31680"/>
        </w:tabs>
        <w:ind w:left="1440"/>
        <w:rPr>
          <w:lang w:eastAsia="en-GB"/>
        </w:rPr>
      </w:pPr>
      <w:r w:rsidRPr="00CC121D">
        <w:rPr>
          <w:lang w:eastAsia="en-GB"/>
        </w:rPr>
        <w:t xml:space="preserve">Appendix D - International Atomic Energy Agency (IAEA) Standards, Guidance and Technical Documents </w:t>
      </w:r>
      <w:r w:rsidR="00AF7814">
        <w:rPr>
          <w:lang w:eastAsia="en-GB"/>
        </w:rPr>
        <w:t>related</w:t>
      </w:r>
      <w:r w:rsidRPr="00CC121D">
        <w:rPr>
          <w:lang w:eastAsia="en-GB"/>
        </w:rPr>
        <w:t xml:space="preserve"> to civil engineering</w:t>
      </w:r>
      <w:r w:rsidR="00AF7814">
        <w:rPr>
          <w:lang w:eastAsia="en-GB"/>
        </w:rPr>
        <w:t>,</w:t>
      </w:r>
    </w:p>
    <w:p w14:paraId="57304EA4" w14:textId="77777777" w:rsidR="00D07AFA" w:rsidRPr="00CC121D" w:rsidRDefault="00D07AFA" w:rsidP="00D07AFA">
      <w:pPr>
        <w:pStyle w:val="TSBullet1Square"/>
        <w:tabs>
          <w:tab w:val="clear" w:pos="-28713"/>
          <w:tab w:val="num" w:pos="-31680"/>
        </w:tabs>
        <w:ind w:left="1440"/>
        <w:rPr>
          <w:lang w:eastAsia="en-GB"/>
        </w:rPr>
      </w:pPr>
      <w:r w:rsidRPr="00CC121D">
        <w:rPr>
          <w:lang w:eastAsia="en-GB"/>
        </w:rPr>
        <w:t xml:space="preserve">Appendix E - Western European Nuclear Regulators Association (WENRA) Reactor Safety, Decommissioning and Waste and Spent Fuel Storage Reference Levels </w:t>
      </w:r>
      <w:r w:rsidR="00AF7814">
        <w:rPr>
          <w:lang w:eastAsia="en-GB"/>
        </w:rPr>
        <w:t>related</w:t>
      </w:r>
      <w:r w:rsidRPr="00CC121D">
        <w:rPr>
          <w:lang w:eastAsia="en-GB"/>
        </w:rPr>
        <w:t xml:space="preserve"> to civil engineering</w:t>
      </w:r>
      <w:r w:rsidR="00AF7814">
        <w:rPr>
          <w:lang w:eastAsia="en-GB"/>
        </w:rPr>
        <w:t>,</w:t>
      </w:r>
    </w:p>
    <w:p w14:paraId="57304EA5" w14:textId="77777777" w:rsidR="00D07AFA" w:rsidRPr="00CC121D" w:rsidRDefault="00AF7814" w:rsidP="00D07AFA">
      <w:pPr>
        <w:pStyle w:val="TSBullet1Square"/>
        <w:tabs>
          <w:tab w:val="clear" w:pos="-28713"/>
          <w:tab w:val="num" w:pos="-31680"/>
        </w:tabs>
        <w:ind w:left="1440"/>
        <w:rPr>
          <w:lang w:eastAsia="en-GB"/>
        </w:rPr>
      </w:pPr>
      <w:r>
        <w:rPr>
          <w:lang w:eastAsia="en-GB"/>
        </w:rPr>
        <w:t>Appendix F - I</w:t>
      </w:r>
      <w:r w:rsidR="00D07AFA" w:rsidRPr="00CC121D">
        <w:rPr>
          <w:lang w:eastAsia="en-GB"/>
        </w:rPr>
        <w:t>nternal interfaces civil engine</w:t>
      </w:r>
      <w:r>
        <w:rPr>
          <w:lang w:eastAsia="en-GB"/>
        </w:rPr>
        <w:t>ering assessment has within ONR,</w:t>
      </w:r>
    </w:p>
    <w:p w14:paraId="57304EA6" w14:textId="77777777" w:rsidR="00D07AFA" w:rsidRPr="00CC121D" w:rsidRDefault="00AF7814" w:rsidP="00D07AFA">
      <w:pPr>
        <w:pStyle w:val="TSBullet1Square"/>
        <w:tabs>
          <w:tab w:val="clear" w:pos="-28713"/>
          <w:tab w:val="num" w:pos="-31680"/>
        </w:tabs>
        <w:ind w:left="1440"/>
        <w:rPr>
          <w:lang w:eastAsia="en-GB"/>
        </w:rPr>
      </w:pPr>
      <w:r>
        <w:rPr>
          <w:lang w:eastAsia="en-GB"/>
        </w:rPr>
        <w:t>Appendix G - I</w:t>
      </w:r>
      <w:r w:rsidR="00D07AFA" w:rsidRPr="00CC121D">
        <w:rPr>
          <w:lang w:eastAsia="en-GB"/>
        </w:rPr>
        <w:t>nterfaces civil engineering assessment has with external stakeholders.</w:t>
      </w:r>
    </w:p>
    <w:p w14:paraId="57304EA7" w14:textId="77777777" w:rsidR="00D07AFA" w:rsidRPr="00CC121D" w:rsidRDefault="00D07AFA" w:rsidP="00D07AFA">
      <w:pPr>
        <w:pStyle w:val="TSNumberedParagraph1"/>
      </w:pPr>
      <w:r w:rsidRPr="00CC121D">
        <w:t>Section 5 also makes reference to annexes, following the chronological order:</w:t>
      </w:r>
    </w:p>
    <w:p w14:paraId="57304EA8" w14:textId="77777777" w:rsidR="00D07AFA" w:rsidRPr="00CC121D" w:rsidRDefault="00D07AFA" w:rsidP="00D07AFA">
      <w:pPr>
        <w:pStyle w:val="TSBullet1Square"/>
        <w:tabs>
          <w:tab w:val="clear" w:pos="-28713"/>
          <w:tab w:val="num" w:pos="-31680"/>
        </w:tabs>
        <w:ind w:left="1440"/>
        <w:rPr>
          <w:lang w:eastAsia="en-GB"/>
        </w:rPr>
      </w:pPr>
      <w:r w:rsidRPr="00CC121D">
        <w:rPr>
          <w:lang w:eastAsia="en-GB"/>
        </w:rPr>
        <w:t>Annex 1 – Design</w:t>
      </w:r>
      <w:r w:rsidR="00AF7814">
        <w:rPr>
          <w:lang w:eastAsia="en-GB"/>
        </w:rPr>
        <w:t>,</w:t>
      </w:r>
    </w:p>
    <w:p w14:paraId="57304EA9" w14:textId="52A2561F" w:rsidR="00D07AFA" w:rsidRPr="00CC121D" w:rsidRDefault="00D07AFA" w:rsidP="00D07AFA">
      <w:pPr>
        <w:pStyle w:val="TSBullet1Square"/>
        <w:tabs>
          <w:tab w:val="clear" w:pos="-28713"/>
          <w:tab w:val="num" w:pos="-31680"/>
        </w:tabs>
        <w:ind w:left="1440"/>
        <w:rPr>
          <w:lang w:eastAsia="en-GB"/>
        </w:rPr>
      </w:pPr>
      <w:r w:rsidRPr="00CC121D">
        <w:rPr>
          <w:lang w:eastAsia="en-GB"/>
        </w:rPr>
        <w:t>Annex 2 – B</w:t>
      </w:r>
      <w:r w:rsidR="00985039">
        <w:rPr>
          <w:lang w:eastAsia="en-GB"/>
        </w:rPr>
        <w:t xml:space="preserve">uilding </w:t>
      </w:r>
      <w:r w:rsidRPr="00CC121D">
        <w:rPr>
          <w:lang w:eastAsia="en-GB"/>
        </w:rPr>
        <w:t>I</w:t>
      </w:r>
      <w:r w:rsidR="00985039">
        <w:rPr>
          <w:lang w:eastAsia="en-GB"/>
        </w:rPr>
        <w:t xml:space="preserve">nformation </w:t>
      </w:r>
      <w:r w:rsidRPr="00CC121D">
        <w:rPr>
          <w:lang w:eastAsia="en-GB"/>
        </w:rPr>
        <w:t>M</w:t>
      </w:r>
      <w:r w:rsidR="00985039">
        <w:rPr>
          <w:lang w:eastAsia="en-GB"/>
        </w:rPr>
        <w:t>odel</w:t>
      </w:r>
      <w:r w:rsidR="003D586F">
        <w:rPr>
          <w:lang w:eastAsia="en-GB"/>
        </w:rPr>
        <w:t>ling</w:t>
      </w:r>
      <w:r w:rsidR="00AF7814">
        <w:rPr>
          <w:lang w:eastAsia="en-GB"/>
        </w:rPr>
        <w:t>,</w:t>
      </w:r>
    </w:p>
    <w:p w14:paraId="57304EAA" w14:textId="5CE692E0" w:rsidR="00D07AFA" w:rsidRPr="00CC121D" w:rsidRDefault="00D07AFA" w:rsidP="00D07AFA">
      <w:pPr>
        <w:pStyle w:val="TSBullet1Square"/>
        <w:tabs>
          <w:tab w:val="clear" w:pos="-28713"/>
          <w:tab w:val="num" w:pos="-31680"/>
        </w:tabs>
        <w:ind w:left="1440"/>
        <w:rPr>
          <w:lang w:eastAsia="en-GB"/>
        </w:rPr>
      </w:pPr>
      <w:r w:rsidRPr="00CC121D">
        <w:rPr>
          <w:lang w:eastAsia="en-GB"/>
        </w:rPr>
        <w:t xml:space="preserve">Annex 3 – </w:t>
      </w:r>
      <w:r w:rsidR="006B41F0">
        <w:rPr>
          <w:lang w:eastAsia="en-GB"/>
        </w:rPr>
        <w:t>G</w:t>
      </w:r>
      <w:r w:rsidR="006B41F0" w:rsidRPr="00CC121D">
        <w:rPr>
          <w:lang w:eastAsia="en-GB"/>
        </w:rPr>
        <w:t>round investigations</w:t>
      </w:r>
      <w:r w:rsidR="006B41F0">
        <w:rPr>
          <w:lang w:eastAsia="en-GB"/>
        </w:rPr>
        <w:t>, G</w:t>
      </w:r>
      <w:r w:rsidRPr="00CC121D">
        <w:rPr>
          <w:lang w:eastAsia="en-GB"/>
        </w:rPr>
        <w:t>eotechnic</w:t>
      </w:r>
      <w:r w:rsidR="006B41F0">
        <w:rPr>
          <w:lang w:eastAsia="en-GB"/>
        </w:rPr>
        <w:t>s</w:t>
      </w:r>
      <w:r w:rsidR="007234C9">
        <w:rPr>
          <w:lang w:eastAsia="en-GB"/>
        </w:rPr>
        <w:t xml:space="preserve"> </w:t>
      </w:r>
      <w:proofErr w:type="spellStart"/>
      <w:r w:rsidR="007234C9">
        <w:rPr>
          <w:lang w:eastAsia="en-GB"/>
        </w:rPr>
        <w:t>and</w:t>
      </w:r>
      <w:r w:rsidR="006B41F0">
        <w:rPr>
          <w:lang w:eastAsia="en-GB"/>
        </w:rPr>
        <w:t>U</w:t>
      </w:r>
      <w:r w:rsidRPr="00CC121D">
        <w:rPr>
          <w:lang w:eastAsia="en-GB"/>
        </w:rPr>
        <w:t>nderground</w:t>
      </w:r>
      <w:proofErr w:type="spellEnd"/>
      <w:r w:rsidRPr="00CC121D">
        <w:rPr>
          <w:lang w:eastAsia="en-GB"/>
        </w:rPr>
        <w:t xml:space="preserve"> </w:t>
      </w:r>
      <w:r w:rsidR="006B41F0">
        <w:rPr>
          <w:lang w:eastAsia="en-GB"/>
        </w:rPr>
        <w:t>S</w:t>
      </w:r>
      <w:r w:rsidRPr="00CC121D">
        <w:rPr>
          <w:lang w:eastAsia="en-GB"/>
        </w:rPr>
        <w:t>tructure</w:t>
      </w:r>
      <w:r w:rsidR="006B41F0">
        <w:rPr>
          <w:lang w:eastAsia="en-GB"/>
        </w:rPr>
        <w:t xml:space="preserve"> Design</w:t>
      </w:r>
      <w:r w:rsidR="00AF7814">
        <w:rPr>
          <w:lang w:eastAsia="en-GB"/>
        </w:rPr>
        <w:t>,</w:t>
      </w:r>
    </w:p>
    <w:p w14:paraId="57304EAB" w14:textId="77777777" w:rsidR="00D07AFA" w:rsidRPr="00CC121D" w:rsidRDefault="00D07AFA" w:rsidP="00D07AFA">
      <w:pPr>
        <w:pStyle w:val="TSBullet1Square"/>
        <w:tabs>
          <w:tab w:val="clear" w:pos="-28713"/>
          <w:tab w:val="num" w:pos="-31680"/>
        </w:tabs>
        <w:ind w:left="1440"/>
        <w:rPr>
          <w:lang w:eastAsia="en-GB"/>
        </w:rPr>
      </w:pPr>
      <w:r w:rsidRPr="00CC121D">
        <w:rPr>
          <w:lang w:eastAsia="en-GB"/>
        </w:rPr>
        <w:t>Annex 4 – Construction Assurance</w:t>
      </w:r>
      <w:r w:rsidR="00AF7814">
        <w:rPr>
          <w:lang w:eastAsia="en-GB"/>
        </w:rPr>
        <w:t>,</w:t>
      </w:r>
    </w:p>
    <w:p w14:paraId="57304EAC" w14:textId="6C2D653A" w:rsidR="00D07AFA" w:rsidRPr="00CC121D" w:rsidRDefault="00D07AFA" w:rsidP="00D07AFA">
      <w:pPr>
        <w:pStyle w:val="TSBullet1Square"/>
        <w:tabs>
          <w:tab w:val="clear" w:pos="-28713"/>
          <w:tab w:val="num" w:pos="-31680"/>
        </w:tabs>
        <w:ind w:left="1440"/>
        <w:rPr>
          <w:lang w:eastAsia="en-GB"/>
        </w:rPr>
      </w:pPr>
      <w:r w:rsidRPr="00CC121D">
        <w:rPr>
          <w:lang w:eastAsia="en-GB"/>
        </w:rPr>
        <w:t xml:space="preserve">Annex 5 – </w:t>
      </w:r>
      <w:r w:rsidR="006B41F0">
        <w:rPr>
          <w:lang w:eastAsia="en-GB"/>
        </w:rPr>
        <w:t xml:space="preserve">Ageing Management </w:t>
      </w:r>
      <w:r w:rsidRPr="00CC121D">
        <w:rPr>
          <w:lang w:eastAsia="en-GB"/>
        </w:rPr>
        <w:t>and</w:t>
      </w:r>
      <w:r w:rsidR="006B41F0">
        <w:rPr>
          <w:lang w:eastAsia="en-GB"/>
        </w:rPr>
        <w:t xml:space="preserve"> Damaged Structures</w:t>
      </w:r>
      <w:r w:rsidR="00AF7814">
        <w:rPr>
          <w:lang w:eastAsia="en-GB"/>
        </w:rPr>
        <w:t>,</w:t>
      </w:r>
    </w:p>
    <w:p w14:paraId="57304EAD" w14:textId="77777777" w:rsidR="00D07AFA" w:rsidRPr="00CC121D" w:rsidRDefault="00D07AFA" w:rsidP="00D07AFA">
      <w:pPr>
        <w:pStyle w:val="TSBullet1Square"/>
        <w:tabs>
          <w:tab w:val="clear" w:pos="-28713"/>
          <w:tab w:val="num" w:pos="-31680"/>
        </w:tabs>
        <w:ind w:left="1440"/>
        <w:rPr>
          <w:lang w:eastAsia="en-GB"/>
        </w:rPr>
      </w:pPr>
      <w:r w:rsidRPr="00CC121D">
        <w:rPr>
          <w:lang w:eastAsia="en-GB"/>
        </w:rPr>
        <w:t>Annex 6 – Post Operation</w:t>
      </w:r>
      <w:r w:rsidR="00AF7814">
        <w:rPr>
          <w:lang w:eastAsia="en-GB"/>
        </w:rPr>
        <w:t>.</w:t>
      </w:r>
    </w:p>
    <w:p w14:paraId="57304EAE" w14:textId="25D9493F" w:rsidR="00D07AFA" w:rsidRPr="00CC121D" w:rsidRDefault="00D07AFA" w:rsidP="00D07AFA">
      <w:pPr>
        <w:pStyle w:val="TSHeadingNumbered11"/>
      </w:pPr>
      <w:bookmarkStart w:id="15" w:name="_Toc43723291"/>
      <w:bookmarkStart w:id="16" w:name="_Toc57912682"/>
      <w:r w:rsidRPr="00CC121D">
        <w:t>Exclusions</w:t>
      </w:r>
      <w:bookmarkEnd w:id="15"/>
      <w:bookmarkEnd w:id="16"/>
      <w:r w:rsidRPr="00CC121D">
        <w:t xml:space="preserve"> </w:t>
      </w:r>
    </w:p>
    <w:p w14:paraId="57304EAF" w14:textId="5F7290AE" w:rsidR="00D07AFA" w:rsidRPr="00CC121D" w:rsidRDefault="00D07AFA" w:rsidP="00D07AFA">
      <w:pPr>
        <w:pStyle w:val="TSNumberedParagraph1"/>
      </w:pPr>
      <w:r w:rsidRPr="00CC121D">
        <w:t>This TAG has not included</w:t>
      </w:r>
      <w:r w:rsidR="007234C9">
        <w:t xml:space="preserve"> detailed</w:t>
      </w:r>
      <w:r w:rsidRPr="00CC121D">
        <w:t xml:space="preserve"> information related to the </w:t>
      </w:r>
      <w:r w:rsidR="00AF7814">
        <w:t>following;</w:t>
      </w:r>
      <w:r w:rsidRPr="00CC121D">
        <w:t xml:space="preserve"> please see other relevant guidance for more information:</w:t>
      </w:r>
    </w:p>
    <w:tbl>
      <w:tblPr>
        <w:tblStyle w:val="TableGrid"/>
        <w:tblW w:w="9209" w:type="dxa"/>
        <w:jc w:val="center"/>
        <w:tblLayout w:type="fixed"/>
        <w:tblLook w:val="04A0" w:firstRow="1" w:lastRow="0" w:firstColumn="1" w:lastColumn="0" w:noHBand="0" w:noVBand="1"/>
      </w:tblPr>
      <w:tblGrid>
        <w:gridCol w:w="3386"/>
        <w:gridCol w:w="5823"/>
      </w:tblGrid>
      <w:tr w:rsidR="009D4AA2" w:rsidRPr="00CC121D" w14:paraId="0399F624" w14:textId="77777777" w:rsidTr="00364AA3">
        <w:trPr>
          <w:jc w:val="center"/>
        </w:trPr>
        <w:tc>
          <w:tcPr>
            <w:tcW w:w="3386" w:type="dxa"/>
          </w:tcPr>
          <w:p w14:paraId="6A5FBBDC" w14:textId="3664D349" w:rsidR="009D4AA2" w:rsidRPr="00894994" w:rsidRDefault="00894994" w:rsidP="00894994">
            <w:pPr>
              <w:pStyle w:val="TSNumberedParagraph1"/>
              <w:numPr>
                <w:ilvl w:val="0"/>
                <w:numId w:val="0"/>
              </w:numPr>
              <w:jc w:val="center"/>
              <w:rPr>
                <w:b/>
                <w:bCs/>
              </w:rPr>
            </w:pPr>
            <w:r>
              <w:rPr>
                <w:b/>
                <w:bCs/>
              </w:rPr>
              <w:t xml:space="preserve">Topic </w:t>
            </w:r>
          </w:p>
        </w:tc>
        <w:tc>
          <w:tcPr>
            <w:tcW w:w="5823" w:type="dxa"/>
          </w:tcPr>
          <w:p w14:paraId="75B6DF1B" w14:textId="291DA2E7" w:rsidR="009D4AA2" w:rsidRPr="00894994" w:rsidRDefault="00F361B4" w:rsidP="00894994">
            <w:pPr>
              <w:pStyle w:val="TSNumberedParagraph1"/>
              <w:numPr>
                <w:ilvl w:val="0"/>
                <w:numId w:val="0"/>
              </w:numPr>
              <w:jc w:val="center"/>
              <w:rPr>
                <w:b/>
                <w:bCs/>
              </w:rPr>
            </w:pPr>
            <w:r>
              <w:rPr>
                <w:b/>
                <w:bCs/>
              </w:rPr>
              <w:t>Relevant</w:t>
            </w:r>
            <w:r w:rsidR="009D4AA2" w:rsidRPr="00894994">
              <w:rPr>
                <w:b/>
                <w:bCs/>
              </w:rPr>
              <w:t xml:space="preserve"> guidance </w:t>
            </w:r>
          </w:p>
        </w:tc>
      </w:tr>
      <w:tr w:rsidR="00C955ED" w:rsidRPr="00CC121D" w14:paraId="3946A72C" w14:textId="77777777" w:rsidTr="00364AA3">
        <w:trPr>
          <w:jc w:val="center"/>
        </w:trPr>
        <w:tc>
          <w:tcPr>
            <w:tcW w:w="3386" w:type="dxa"/>
          </w:tcPr>
          <w:p w14:paraId="05390F16" w14:textId="1344AE65" w:rsidR="00C955ED" w:rsidRDefault="00C955ED" w:rsidP="00C955ED">
            <w:pPr>
              <w:pStyle w:val="TSNumberedParagraph1"/>
              <w:numPr>
                <w:ilvl w:val="0"/>
                <w:numId w:val="0"/>
              </w:numPr>
            </w:pPr>
            <w:r>
              <w:rPr>
                <w:rFonts w:eastAsiaTheme="minorHAnsi"/>
              </w:rPr>
              <w:t>S</w:t>
            </w:r>
            <w:r w:rsidRPr="001D727B">
              <w:rPr>
                <w:rFonts w:eastAsiaTheme="minorHAnsi"/>
              </w:rPr>
              <w:t xml:space="preserve">tructures not </w:t>
            </w:r>
            <w:r w:rsidR="007234C9">
              <w:rPr>
                <w:rFonts w:eastAsiaTheme="minorHAnsi"/>
              </w:rPr>
              <w:t xml:space="preserve">claimed in </w:t>
            </w:r>
            <w:r w:rsidRPr="001D727B">
              <w:rPr>
                <w:rFonts w:eastAsiaTheme="minorHAnsi"/>
              </w:rPr>
              <w:t xml:space="preserve">a </w:t>
            </w:r>
            <w:r w:rsidRPr="00C955ED">
              <w:t>nuclear</w:t>
            </w:r>
            <w:r w:rsidRPr="001D727B">
              <w:rPr>
                <w:rFonts w:eastAsiaTheme="minorHAnsi"/>
              </w:rPr>
              <w:t xml:space="preserve"> safety case, such as office buildings and canteens</w:t>
            </w:r>
            <w:r>
              <w:rPr>
                <w:rFonts w:eastAsiaTheme="minorHAnsi"/>
              </w:rPr>
              <w:t xml:space="preserve"> that are not required for post-accident shelter and/or emergency response activities</w:t>
            </w:r>
          </w:p>
        </w:tc>
        <w:tc>
          <w:tcPr>
            <w:tcW w:w="5823" w:type="dxa"/>
          </w:tcPr>
          <w:p w14:paraId="79046940" w14:textId="4131CE91" w:rsidR="00C955ED" w:rsidRDefault="00C955ED" w:rsidP="00D07AFA">
            <w:pPr>
              <w:pStyle w:val="TSNumberedParagraph1"/>
              <w:numPr>
                <w:ilvl w:val="0"/>
                <w:numId w:val="0"/>
              </w:numPr>
            </w:pPr>
            <w:r>
              <w:t>Building Regs [</w:t>
            </w:r>
            <w:r w:rsidR="00ED113D">
              <w:t>3</w:t>
            </w:r>
            <w:r>
              <w:t>]</w:t>
            </w:r>
          </w:p>
        </w:tc>
      </w:tr>
      <w:tr w:rsidR="003D010F" w:rsidRPr="00CC121D" w14:paraId="79FA8CC4" w14:textId="77777777" w:rsidTr="00364AA3">
        <w:trPr>
          <w:trHeight w:val="487"/>
          <w:jc w:val="center"/>
        </w:trPr>
        <w:tc>
          <w:tcPr>
            <w:tcW w:w="3386" w:type="dxa"/>
          </w:tcPr>
          <w:p w14:paraId="616615A1" w14:textId="1B15834E" w:rsidR="003D010F" w:rsidRDefault="003D010F" w:rsidP="00D07AFA">
            <w:pPr>
              <w:pStyle w:val="TSNumberedParagraph1"/>
              <w:numPr>
                <w:ilvl w:val="0"/>
                <w:numId w:val="0"/>
              </w:numPr>
            </w:pPr>
            <w:r>
              <w:t>Conventional Health and Safety</w:t>
            </w:r>
          </w:p>
        </w:tc>
        <w:tc>
          <w:tcPr>
            <w:tcW w:w="5823" w:type="dxa"/>
          </w:tcPr>
          <w:p w14:paraId="2458B3E8" w14:textId="0980084C" w:rsidR="003D010F" w:rsidRPr="006C62A4" w:rsidRDefault="00FD41DD" w:rsidP="007C01CF">
            <w:pPr>
              <w:spacing w:after="240"/>
              <w:contextualSpacing/>
              <w:rPr>
                <w:rFonts w:cs="Arial"/>
                <w:iCs/>
              </w:rPr>
            </w:pPr>
            <w:r>
              <w:rPr>
                <w:iCs/>
              </w:rPr>
              <w:t>ONR-</w:t>
            </w:r>
            <w:r w:rsidR="006C62A4" w:rsidRPr="00B61E8F">
              <w:rPr>
                <w:rFonts w:cs="Arial"/>
                <w:iCs/>
              </w:rPr>
              <w:t xml:space="preserve">NS-INSP-GD-051 </w:t>
            </w:r>
            <w:r w:rsidR="009D4AA2">
              <w:rPr>
                <w:rFonts w:cs="Arial"/>
                <w:iCs/>
              </w:rPr>
              <w:t>‘</w:t>
            </w:r>
            <w:r w:rsidR="006C62A4" w:rsidRPr="00B61E8F">
              <w:rPr>
                <w:rFonts w:cs="Arial"/>
                <w:iCs/>
              </w:rPr>
              <w:t>The Regulation of Conventional Health and Safety on UK Nuclear Sites</w:t>
            </w:r>
            <w:r w:rsidR="009D4AA2">
              <w:rPr>
                <w:rFonts w:cs="Arial"/>
                <w:iCs/>
              </w:rPr>
              <w:t>’</w:t>
            </w:r>
          </w:p>
        </w:tc>
      </w:tr>
      <w:tr w:rsidR="00B75FA7" w:rsidRPr="00CC121D" w14:paraId="6A1AB85F" w14:textId="77777777" w:rsidTr="00364AA3">
        <w:trPr>
          <w:trHeight w:val="727"/>
          <w:jc w:val="center"/>
        </w:trPr>
        <w:tc>
          <w:tcPr>
            <w:tcW w:w="3386" w:type="dxa"/>
          </w:tcPr>
          <w:p w14:paraId="2837126C" w14:textId="22EC6AC4" w:rsidR="00B75FA7" w:rsidRDefault="00B54A78" w:rsidP="00D07AFA">
            <w:pPr>
              <w:pStyle w:val="TSNumberedParagraph1"/>
              <w:numPr>
                <w:ilvl w:val="0"/>
                <w:numId w:val="0"/>
              </w:numPr>
            </w:pPr>
            <w:r>
              <w:t>Assessment of robustness of h</w:t>
            </w:r>
            <w:r w:rsidR="00B75FA7">
              <w:t>azard assessments</w:t>
            </w:r>
            <w:r>
              <w:t xml:space="preserve"> (the result of which provides inputs to be considered in the civil engineering design)</w:t>
            </w:r>
          </w:p>
        </w:tc>
        <w:tc>
          <w:tcPr>
            <w:tcW w:w="5823" w:type="dxa"/>
          </w:tcPr>
          <w:p w14:paraId="3F162D39" w14:textId="6604F98A" w:rsidR="00B75FA7" w:rsidRDefault="00561E8F" w:rsidP="006C62A4">
            <w:pPr>
              <w:spacing w:after="240"/>
              <w:contextualSpacing/>
              <w:rPr>
                <w:rFonts w:cs="Arial"/>
                <w:iCs/>
              </w:rPr>
            </w:pPr>
            <w:r>
              <w:rPr>
                <w:iCs/>
              </w:rPr>
              <w:t>ONR-</w:t>
            </w:r>
            <w:r w:rsidR="009D4AA2" w:rsidRPr="00CC121D">
              <w:t>NS-TAST-GD-01</w:t>
            </w:r>
            <w:r w:rsidR="00B75FA7">
              <w:rPr>
                <w:rFonts w:cs="Arial"/>
                <w:iCs/>
              </w:rPr>
              <w:t xml:space="preserve">3 </w:t>
            </w:r>
            <w:r w:rsidR="009D4AA2">
              <w:rPr>
                <w:rFonts w:cs="Arial"/>
                <w:iCs/>
              </w:rPr>
              <w:t>‘External Hazards’</w:t>
            </w:r>
          </w:p>
          <w:p w14:paraId="716C0EC8" w14:textId="77777777" w:rsidR="009D4AA2" w:rsidRDefault="009D4AA2" w:rsidP="006C62A4">
            <w:pPr>
              <w:spacing w:after="240"/>
              <w:contextualSpacing/>
              <w:rPr>
                <w:rFonts w:cs="Arial"/>
                <w:iCs/>
              </w:rPr>
            </w:pPr>
          </w:p>
          <w:p w14:paraId="63CA7C98" w14:textId="25D4479B" w:rsidR="009D4AA2" w:rsidRPr="00B61E8F" w:rsidRDefault="00561E8F" w:rsidP="006C62A4">
            <w:pPr>
              <w:spacing w:after="240"/>
              <w:contextualSpacing/>
              <w:rPr>
                <w:rFonts w:cs="Arial"/>
                <w:iCs/>
              </w:rPr>
            </w:pPr>
            <w:r>
              <w:rPr>
                <w:iCs/>
              </w:rPr>
              <w:t>ONR-</w:t>
            </w:r>
            <w:r w:rsidR="009D4AA2" w:rsidRPr="00CC121D">
              <w:t>NS-TAST-GD-01</w:t>
            </w:r>
            <w:r w:rsidR="009D4AA2">
              <w:rPr>
                <w:rFonts w:cs="Arial"/>
                <w:iCs/>
              </w:rPr>
              <w:t>4 ‘Internal Hazards’</w:t>
            </w:r>
          </w:p>
        </w:tc>
      </w:tr>
      <w:tr w:rsidR="003D010F" w:rsidRPr="00CC121D" w14:paraId="47308919" w14:textId="77777777" w:rsidTr="00364AA3">
        <w:trPr>
          <w:trHeight w:val="722"/>
          <w:jc w:val="center"/>
        </w:trPr>
        <w:tc>
          <w:tcPr>
            <w:tcW w:w="3386" w:type="dxa"/>
          </w:tcPr>
          <w:p w14:paraId="4400BF59" w14:textId="41C19232" w:rsidR="003D010F" w:rsidRPr="00CC121D" w:rsidRDefault="003D010F" w:rsidP="003D010F">
            <w:pPr>
              <w:pStyle w:val="TSNumberedParagraph1"/>
              <w:numPr>
                <w:ilvl w:val="0"/>
                <w:numId w:val="0"/>
              </w:numPr>
            </w:pPr>
            <w:r w:rsidRPr="00CC121D">
              <w:t>Steel pressure vessels and their internal structures pipework and metal tanks</w:t>
            </w:r>
          </w:p>
        </w:tc>
        <w:tc>
          <w:tcPr>
            <w:tcW w:w="5823" w:type="dxa"/>
          </w:tcPr>
          <w:p w14:paraId="6BB98502" w14:textId="112D1EF2" w:rsidR="003D010F" w:rsidRPr="00CC121D" w:rsidRDefault="00561E8F" w:rsidP="003D010F">
            <w:pPr>
              <w:pStyle w:val="TSNumberedParagraph1"/>
              <w:numPr>
                <w:ilvl w:val="0"/>
                <w:numId w:val="0"/>
              </w:numPr>
            </w:pPr>
            <w:r>
              <w:rPr>
                <w:iCs/>
              </w:rPr>
              <w:t>ONR-</w:t>
            </w:r>
            <w:r w:rsidR="003D010F" w:rsidRPr="00CC121D">
              <w:t xml:space="preserve">NS-TAST-GD-016 </w:t>
            </w:r>
            <w:r w:rsidR="009D4AA2">
              <w:t>‘</w:t>
            </w:r>
            <w:r w:rsidR="00E971B2">
              <w:t>Integrity of Metal Structures, Systems and Components’</w:t>
            </w:r>
          </w:p>
        </w:tc>
      </w:tr>
      <w:tr w:rsidR="003D010F" w:rsidRPr="00CC121D" w14:paraId="57304EB6" w14:textId="77777777" w:rsidTr="00364AA3">
        <w:trPr>
          <w:jc w:val="center"/>
        </w:trPr>
        <w:tc>
          <w:tcPr>
            <w:tcW w:w="3386" w:type="dxa"/>
          </w:tcPr>
          <w:p w14:paraId="57304EB3" w14:textId="0CC856AF" w:rsidR="003D010F" w:rsidRPr="00CC121D" w:rsidRDefault="00D93F34" w:rsidP="003D010F">
            <w:pPr>
              <w:pStyle w:val="TSNumberedParagraph1"/>
              <w:numPr>
                <w:ilvl w:val="0"/>
                <w:numId w:val="0"/>
              </w:numPr>
            </w:pPr>
            <w:r>
              <w:t xml:space="preserve">Containment, including </w:t>
            </w:r>
            <w:r w:rsidR="003D010F" w:rsidRPr="00CC121D">
              <w:t xml:space="preserve">Pre-stressed concrete pressure vessels, reactor containment buildings, tension systems, fuel stores, waste stores, </w:t>
            </w:r>
            <w:r w:rsidR="003D010F">
              <w:t>small modular reactor</w:t>
            </w:r>
            <w:r w:rsidR="003D010F" w:rsidRPr="00CC121D">
              <w:t>s and other reactor types</w:t>
            </w:r>
          </w:p>
        </w:tc>
        <w:tc>
          <w:tcPr>
            <w:tcW w:w="5823" w:type="dxa"/>
          </w:tcPr>
          <w:p w14:paraId="57304EB4" w14:textId="363C8B9A" w:rsidR="003D010F" w:rsidRPr="00CC121D" w:rsidRDefault="00561E8F" w:rsidP="003D010F">
            <w:pPr>
              <w:pStyle w:val="TSNumberedParagraph1"/>
              <w:numPr>
                <w:ilvl w:val="0"/>
                <w:numId w:val="0"/>
              </w:numPr>
            </w:pPr>
            <w:r>
              <w:rPr>
                <w:iCs/>
              </w:rPr>
              <w:t>ONR-</w:t>
            </w:r>
            <w:r w:rsidR="003D010F" w:rsidRPr="00CC121D">
              <w:t>NS-TAST-GD-020 ‘Civil Engineering Containments for Reactor Plants’</w:t>
            </w:r>
          </w:p>
          <w:p w14:paraId="5B767BAA" w14:textId="1B893672" w:rsidR="003D010F" w:rsidRDefault="00561E8F" w:rsidP="003D010F">
            <w:pPr>
              <w:pStyle w:val="TSNumberedParagraph1"/>
              <w:numPr>
                <w:ilvl w:val="0"/>
                <w:numId w:val="0"/>
              </w:numPr>
            </w:pPr>
            <w:r>
              <w:rPr>
                <w:iCs/>
              </w:rPr>
              <w:t>ONR-</w:t>
            </w:r>
            <w:r w:rsidR="003D010F" w:rsidRPr="00CC121D">
              <w:t>NS-TAST-GD-081 ‘Safety Aspects Specific to Storage of Spent Nuclear Fuel’</w:t>
            </w:r>
          </w:p>
          <w:p w14:paraId="1E14A545" w14:textId="4EE2D2AC" w:rsidR="007C01CF" w:rsidRDefault="00561E8F" w:rsidP="007C01CF">
            <w:pPr>
              <w:spacing w:after="240"/>
              <w:contextualSpacing/>
            </w:pPr>
            <w:r>
              <w:rPr>
                <w:iCs/>
              </w:rPr>
              <w:t>ONR-</w:t>
            </w:r>
            <w:r w:rsidR="00D93F34" w:rsidRPr="00CC121D">
              <w:t>NS-</w:t>
            </w:r>
            <w:r w:rsidR="00D93F34" w:rsidRPr="00CC121D">
              <w:rPr>
                <w:iCs/>
              </w:rPr>
              <w:t>TAST</w:t>
            </w:r>
            <w:r w:rsidR="00D93F34" w:rsidRPr="00CC121D">
              <w:t>-GD-035 ‘Limits and Conditions for Nuclear Safety (Operating Rules)’</w:t>
            </w:r>
            <w:r w:rsidR="00D93F34">
              <w:t>,</w:t>
            </w:r>
          </w:p>
          <w:p w14:paraId="708D3648" w14:textId="77777777" w:rsidR="007C01CF" w:rsidRDefault="007C01CF" w:rsidP="007C01CF">
            <w:pPr>
              <w:spacing w:after="240"/>
              <w:contextualSpacing/>
            </w:pPr>
          </w:p>
          <w:p w14:paraId="436AB598" w14:textId="0DF52D69" w:rsidR="00D93F34" w:rsidRPr="00CC121D" w:rsidRDefault="00561E8F" w:rsidP="007C01CF">
            <w:pPr>
              <w:spacing w:after="240"/>
              <w:contextualSpacing/>
            </w:pPr>
            <w:r>
              <w:rPr>
                <w:iCs/>
              </w:rPr>
              <w:t>ONR-</w:t>
            </w:r>
            <w:r w:rsidR="007C01CF">
              <w:t>N</w:t>
            </w:r>
            <w:r w:rsidR="00D93F34" w:rsidRPr="00CC121D">
              <w:t>S-TAST-</w:t>
            </w:r>
            <w:r w:rsidR="00D93F34" w:rsidRPr="00CC121D">
              <w:rPr>
                <w:iCs/>
              </w:rPr>
              <w:t>GD</w:t>
            </w:r>
            <w:r w:rsidR="00D93F34" w:rsidRPr="00CC121D">
              <w:t>-067 ‘Pressure Systems Safety’</w:t>
            </w:r>
            <w:r w:rsidR="00D93F34">
              <w:t>,</w:t>
            </w:r>
          </w:p>
          <w:p w14:paraId="2972F3C0" w14:textId="77777777" w:rsidR="007C01CF" w:rsidRDefault="007C01CF" w:rsidP="007C01CF">
            <w:pPr>
              <w:spacing w:after="240"/>
              <w:ind w:left="1418"/>
              <w:contextualSpacing/>
              <w:rPr>
                <w:iCs/>
              </w:rPr>
            </w:pPr>
          </w:p>
          <w:p w14:paraId="6FC5680D" w14:textId="61D336FC" w:rsidR="00D93F34" w:rsidRPr="00CC121D" w:rsidRDefault="00561E8F" w:rsidP="007C01CF">
            <w:pPr>
              <w:spacing w:after="240"/>
              <w:contextualSpacing/>
              <w:rPr>
                <w:iCs/>
              </w:rPr>
            </w:pPr>
            <w:r>
              <w:rPr>
                <w:iCs/>
              </w:rPr>
              <w:t>ONR-</w:t>
            </w:r>
            <w:r w:rsidR="00D93F34" w:rsidRPr="00CC121D">
              <w:rPr>
                <w:iCs/>
              </w:rPr>
              <w:t>NS-INSP-GD-034 ‘LC34 Leakage and Escape of Radioactive Material and Radioactive Waste’</w:t>
            </w:r>
            <w:r w:rsidR="00D93F34">
              <w:rPr>
                <w:iCs/>
              </w:rPr>
              <w:t>,</w:t>
            </w:r>
          </w:p>
          <w:p w14:paraId="583CD1CD" w14:textId="77777777" w:rsidR="007C01CF" w:rsidRDefault="007C01CF" w:rsidP="007C01CF">
            <w:pPr>
              <w:spacing w:after="240"/>
              <w:ind w:left="1418"/>
              <w:contextualSpacing/>
              <w:rPr>
                <w:iCs/>
              </w:rPr>
            </w:pPr>
          </w:p>
          <w:p w14:paraId="57304EB5" w14:textId="66EA2AE6" w:rsidR="00D93F34" w:rsidRPr="00CC121D" w:rsidRDefault="00561E8F" w:rsidP="007C01CF">
            <w:pPr>
              <w:spacing w:after="240"/>
              <w:contextualSpacing/>
            </w:pPr>
            <w:r>
              <w:rPr>
                <w:iCs/>
              </w:rPr>
              <w:t>ONR-</w:t>
            </w:r>
            <w:r w:rsidR="00D93F34" w:rsidRPr="00CC121D">
              <w:rPr>
                <w:iCs/>
              </w:rPr>
              <w:t>NS-INSP-GD-023 ‘LC23 Operating Rules’</w:t>
            </w:r>
            <w:r w:rsidR="00D93F34">
              <w:rPr>
                <w:iCs/>
              </w:rPr>
              <w:t>.</w:t>
            </w:r>
          </w:p>
        </w:tc>
      </w:tr>
      <w:tr w:rsidR="003D010F" w:rsidRPr="00CC121D" w14:paraId="57304EBC" w14:textId="77777777" w:rsidTr="00364AA3">
        <w:trPr>
          <w:jc w:val="center"/>
        </w:trPr>
        <w:tc>
          <w:tcPr>
            <w:tcW w:w="3386" w:type="dxa"/>
          </w:tcPr>
          <w:p w14:paraId="57304EB7" w14:textId="77777777" w:rsidR="003D010F" w:rsidRPr="00CC121D" w:rsidRDefault="003D010F" w:rsidP="003D010F">
            <w:pPr>
              <w:pStyle w:val="TSNumberedParagraph1"/>
              <w:numPr>
                <w:ilvl w:val="0"/>
                <w:numId w:val="0"/>
              </w:numPr>
            </w:pPr>
            <w:r w:rsidRPr="00CC121D">
              <w:t>Disposal of radiological waste, design of deep geological disposal facilities</w:t>
            </w:r>
          </w:p>
        </w:tc>
        <w:tc>
          <w:tcPr>
            <w:tcW w:w="5823" w:type="dxa"/>
          </w:tcPr>
          <w:p w14:paraId="57304EB8" w14:textId="418FE28D" w:rsidR="003D010F" w:rsidRPr="00CC121D" w:rsidRDefault="00561E8F" w:rsidP="003D010F">
            <w:pPr>
              <w:pStyle w:val="TSNumberedParagraph1"/>
              <w:numPr>
                <w:ilvl w:val="0"/>
                <w:numId w:val="0"/>
              </w:numPr>
            </w:pPr>
            <w:r>
              <w:rPr>
                <w:iCs/>
              </w:rPr>
              <w:t>ONR-</w:t>
            </w:r>
            <w:r w:rsidR="003D010F" w:rsidRPr="00CC121D">
              <w:t>NS-TAST-GD-101 ‘Geological Disposal’</w:t>
            </w:r>
          </w:p>
          <w:p w14:paraId="57304EB9" w14:textId="373A31F7" w:rsidR="003D010F" w:rsidRPr="00CC121D" w:rsidRDefault="003D010F" w:rsidP="003D010F">
            <w:pPr>
              <w:pStyle w:val="TSNumberedParagraph1"/>
              <w:numPr>
                <w:ilvl w:val="0"/>
                <w:numId w:val="0"/>
              </w:numPr>
            </w:pPr>
            <w:r w:rsidRPr="00CC121D">
              <w:t xml:space="preserve">Annex 4 ‘Licensing and regulating a future geological disposal facility’ of ‘Licensing Nuclear Installations’ </w:t>
            </w:r>
            <w:r w:rsidR="003B0826">
              <w:t>[</w:t>
            </w:r>
            <w:r w:rsidR="005E12BB">
              <w:t>4</w:t>
            </w:r>
            <w:r w:rsidR="003B0826">
              <w:t>]</w:t>
            </w:r>
          </w:p>
          <w:p w14:paraId="57304EBA" w14:textId="42001656" w:rsidR="003D010F" w:rsidRPr="00CC121D" w:rsidRDefault="003D010F" w:rsidP="003D010F">
            <w:pPr>
              <w:pStyle w:val="TSNumberedParagraph1"/>
              <w:numPr>
                <w:ilvl w:val="0"/>
                <w:numId w:val="0"/>
              </w:numPr>
            </w:pPr>
            <w:r>
              <w:t>‘</w:t>
            </w:r>
            <w:r w:rsidRPr="00CC121D">
              <w:t>Geological Disposal Facilities for Radioactive Waste</w:t>
            </w:r>
            <w:r>
              <w:t>’</w:t>
            </w:r>
            <w:r w:rsidRPr="00CC121D">
              <w:t xml:space="preserve"> IAEA SSG-14 [</w:t>
            </w:r>
            <w:r w:rsidR="005E12BB">
              <w:t>5</w:t>
            </w:r>
            <w:r w:rsidRPr="00CC121D">
              <w:t>]</w:t>
            </w:r>
          </w:p>
          <w:p w14:paraId="57304EBB" w14:textId="4470F351" w:rsidR="003D010F" w:rsidRPr="00CC121D" w:rsidRDefault="003D010F" w:rsidP="003D010F">
            <w:pPr>
              <w:pStyle w:val="TSNumberedParagraph1"/>
              <w:numPr>
                <w:ilvl w:val="0"/>
                <w:numId w:val="0"/>
              </w:numPr>
            </w:pPr>
            <w:r>
              <w:t>‘</w:t>
            </w:r>
            <w:r w:rsidRPr="00CC121D">
              <w:t>Site Investigations for Repositories for Solid Radioactive Wastes in Deep Continental Geological Formations</w:t>
            </w:r>
            <w:r>
              <w:t>’</w:t>
            </w:r>
            <w:r w:rsidRPr="00CC121D">
              <w:t xml:space="preserve"> IAEA Technical Report  No. 215 [</w:t>
            </w:r>
            <w:r w:rsidR="000951FF">
              <w:t>6</w:t>
            </w:r>
            <w:r w:rsidRPr="00CC121D">
              <w:t>]</w:t>
            </w:r>
          </w:p>
        </w:tc>
      </w:tr>
      <w:tr w:rsidR="003D010F" w:rsidRPr="00CC121D" w14:paraId="57304EBF" w14:textId="77777777" w:rsidTr="00364AA3">
        <w:trPr>
          <w:jc w:val="center"/>
        </w:trPr>
        <w:tc>
          <w:tcPr>
            <w:tcW w:w="3386" w:type="dxa"/>
          </w:tcPr>
          <w:p w14:paraId="57304EBD" w14:textId="429EFDB7" w:rsidR="003D010F" w:rsidRPr="00CC121D" w:rsidRDefault="003D010F" w:rsidP="003D010F">
            <w:pPr>
              <w:pStyle w:val="TSNumberedParagraph1"/>
              <w:numPr>
                <w:ilvl w:val="0"/>
                <w:numId w:val="0"/>
              </w:numPr>
              <w:tabs>
                <w:tab w:val="left" w:pos="971"/>
              </w:tabs>
            </w:pPr>
            <w:r>
              <w:t>Specific</w:t>
            </w:r>
            <w:r w:rsidRPr="00CC121D">
              <w:t xml:space="preserve"> aspects o</w:t>
            </w:r>
            <w:r>
              <w:t>f the nuclear defence programme</w:t>
            </w:r>
            <w:r w:rsidR="006C62A4">
              <w:t xml:space="preserve"> outside the scope of </w:t>
            </w:r>
            <w:r w:rsidR="00E048FC">
              <w:t>‘</w:t>
            </w:r>
            <w:r w:rsidR="006C62A4">
              <w:t xml:space="preserve">civil engineering </w:t>
            </w:r>
            <w:r w:rsidR="00E048FC">
              <w:t xml:space="preserve">works and structures’ </w:t>
            </w:r>
            <w:r w:rsidR="006C62A4">
              <w:t xml:space="preserve">as described in Appendix A of </w:t>
            </w:r>
            <w:r w:rsidR="00E048FC">
              <w:t>this document</w:t>
            </w:r>
          </w:p>
        </w:tc>
        <w:tc>
          <w:tcPr>
            <w:tcW w:w="5823" w:type="dxa"/>
          </w:tcPr>
          <w:p w14:paraId="707C94ED" w14:textId="1347F37A" w:rsidR="003D010F" w:rsidRDefault="00561E8F" w:rsidP="003D010F">
            <w:pPr>
              <w:pStyle w:val="TSNumberedParagraph1"/>
              <w:numPr>
                <w:ilvl w:val="0"/>
                <w:numId w:val="0"/>
              </w:numPr>
            </w:pPr>
            <w:r>
              <w:rPr>
                <w:iCs/>
              </w:rPr>
              <w:t>ONR-</w:t>
            </w:r>
            <w:r w:rsidR="003D010F" w:rsidRPr="00CC121D">
              <w:t xml:space="preserve">NS-INSP-GD-056:  </w:t>
            </w:r>
            <w:r w:rsidR="003D010F">
              <w:t>‘</w:t>
            </w:r>
            <w:r w:rsidR="003D010F" w:rsidRPr="00CC121D">
              <w:t>Regulation of GB’s Defence Programme</w:t>
            </w:r>
            <w:r w:rsidR="003D010F">
              <w:t>’</w:t>
            </w:r>
            <w:r w:rsidR="003D010F" w:rsidRPr="00CC121D">
              <w:t xml:space="preserve"> [</w:t>
            </w:r>
            <w:r w:rsidR="000951FF">
              <w:t>7</w:t>
            </w:r>
            <w:r w:rsidR="003D010F" w:rsidRPr="00CC121D">
              <w:t xml:space="preserve">] </w:t>
            </w:r>
          </w:p>
          <w:p w14:paraId="57304EBE" w14:textId="517C24B0" w:rsidR="00561053" w:rsidRPr="00CC121D" w:rsidRDefault="00561053" w:rsidP="003D010F">
            <w:pPr>
              <w:pStyle w:val="TSNumberedParagraph1"/>
              <w:numPr>
                <w:ilvl w:val="0"/>
                <w:numId w:val="0"/>
              </w:numPr>
            </w:pPr>
            <w:r>
              <w:t xml:space="preserve">It is noted that </w:t>
            </w:r>
            <w:r w:rsidR="009E32AD">
              <w:t>the guidance provided herein apply to all aspects of civil engineering SSCs and will therefore apply to areas regulated by DNSR.</w:t>
            </w:r>
          </w:p>
        </w:tc>
      </w:tr>
      <w:tr w:rsidR="003D010F" w:rsidRPr="00CC121D" w14:paraId="57304EC5" w14:textId="77777777" w:rsidTr="00364AA3">
        <w:trPr>
          <w:jc w:val="center"/>
        </w:trPr>
        <w:tc>
          <w:tcPr>
            <w:tcW w:w="3386" w:type="dxa"/>
          </w:tcPr>
          <w:p w14:paraId="57304EC0" w14:textId="77777777" w:rsidR="003D010F" w:rsidRPr="00CC121D" w:rsidRDefault="003D010F" w:rsidP="003D010F">
            <w:pPr>
              <w:pStyle w:val="TSNumberedParagraph1"/>
              <w:numPr>
                <w:ilvl w:val="0"/>
                <w:numId w:val="0"/>
              </w:numPr>
            </w:pPr>
            <w:r w:rsidRPr="00CC121D">
              <w:t>Security measures associated with design information management and supply chain</w:t>
            </w:r>
          </w:p>
        </w:tc>
        <w:tc>
          <w:tcPr>
            <w:tcW w:w="5823" w:type="dxa"/>
          </w:tcPr>
          <w:p w14:paraId="57304EC1" w14:textId="0AA7D848" w:rsidR="003D010F" w:rsidRPr="00CC121D" w:rsidRDefault="00561E8F" w:rsidP="003D010F">
            <w:pPr>
              <w:pStyle w:val="TSNumberedParagraph1"/>
              <w:numPr>
                <w:ilvl w:val="0"/>
                <w:numId w:val="0"/>
              </w:numPr>
            </w:pPr>
            <w:r>
              <w:rPr>
                <w:iCs/>
              </w:rPr>
              <w:t>ONR-</w:t>
            </w:r>
            <w:r w:rsidR="003D010F" w:rsidRPr="00CC121D">
              <w:t>CNS-TAST-GD-4.3 ‘Oversight of Suppliers of Items or Services of Nuclear Security Significance’</w:t>
            </w:r>
          </w:p>
          <w:p w14:paraId="57304EC2" w14:textId="1B52A153" w:rsidR="003D010F" w:rsidRPr="00CC121D" w:rsidRDefault="00561E8F" w:rsidP="003D010F">
            <w:pPr>
              <w:pStyle w:val="TSNumberedParagraph1"/>
              <w:numPr>
                <w:ilvl w:val="0"/>
                <w:numId w:val="0"/>
              </w:numPr>
            </w:pPr>
            <w:r>
              <w:rPr>
                <w:iCs/>
              </w:rPr>
              <w:t>ONR-</w:t>
            </w:r>
            <w:r w:rsidR="003D010F" w:rsidRPr="00CC121D">
              <w:t>CNS-TAST-GD-7.1 ‘Effective Cyber &amp; Information Risk Management’</w:t>
            </w:r>
          </w:p>
          <w:p w14:paraId="57304EC3" w14:textId="60C2827C" w:rsidR="003D010F" w:rsidRPr="00CC121D" w:rsidRDefault="00561E8F" w:rsidP="003D010F">
            <w:pPr>
              <w:pStyle w:val="TSNumberedParagraph1"/>
              <w:numPr>
                <w:ilvl w:val="0"/>
                <w:numId w:val="0"/>
              </w:numPr>
            </w:pPr>
            <w:r>
              <w:rPr>
                <w:iCs/>
              </w:rPr>
              <w:t>ONR-</w:t>
            </w:r>
            <w:r w:rsidR="003D010F" w:rsidRPr="00CC121D">
              <w:t>CNS-TAST-GD-7.2 ‘Information Security’</w:t>
            </w:r>
          </w:p>
          <w:p w14:paraId="57304EC4" w14:textId="3F264C13" w:rsidR="003D010F" w:rsidRPr="00CC121D" w:rsidRDefault="00561E8F" w:rsidP="003D010F">
            <w:pPr>
              <w:pStyle w:val="TSNumberedParagraph1"/>
              <w:numPr>
                <w:ilvl w:val="0"/>
                <w:numId w:val="0"/>
              </w:numPr>
            </w:pPr>
            <w:r>
              <w:rPr>
                <w:iCs/>
              </w:rPr>
              <w:t>ONR-</w:t>
            </w:r>
            <w:r w:rsidR="003D010F" w:rsidRPr="00CC121D">
              <w:t>CNS-TAST-GD-7.4 ‘Physical Protection of Information’</w:t>
            </w:r>
          </w:p>
        </w:tc>
      </w:tr>
      <w:tr w:rsidR="003D010F" w:rsidRPr="00CC121D" w14:paraId="57304EC9" w14:textId="77777777" w:rsidTr="00364AA3">
        <w:trPr>
          <w:jc w:val="center"/>
        </w:trPr>
        <w:tc>
          <w:tcPr>
            <w:tcW w:w="3386" w:type="dxa"/>
          </w:tcPr>
          <w:p w14:paraId="57304EC6" w14:textId="17787D73" w:rsidR="003D010F" w:rsidRPr="00CC121D" w:rsidRDefault="00AD513B" w:rsidP="003D010F">
            <w:pPr>
              <w:pStyle w:val="TSNumberedParagraph1"/>
              <w:numPr>
                <w:ilvl w:val="0"/>
                <w:numId w:val="0"/>
              </w:numPr>
            </w:pPr>
            <w:r>
              <w:t>S</w:t>
            </w:r>
            <w:r w:rsidR="003D010F" w:rsidRPr="00CC121D">
              <w:t xml:space="preserve">ecurity aspects on a nuclear </w:t>
            </w:r>
            <w:r>
              <w:t>facility</w:t>
            </w:r>
          </w:p>
        </w:tc>
        <w:tc>
          <w:tcPr>
            <w:tcW w:w="5823" w:type="dxa"/>
          </w:tcPr>
          <w:p w14:paraId="57304EC7" w14:textId="57422C31" w:rsidR="003D010F" w:rsidRPr="00CC121D" w:rsidRDefault="00561E8F" w:rsidP="003D010F">
            <w:pPr>
              <w:pStyle w:val="TSNumberedParagraph1"/>
              <w:numPr>
                <w:ilvl w:val="0"/>
                <w:numId w:val="0"/>
              </w:numPr>
            </w:pPr>
            <w:r>
              <w:rPr>
                <w:iCs/>
              </w:rPr>
              <w:t>ONR-</w:t>
            </w:r>
            <w:r w:rsidR="003D010F" w:rsidRPr="00CC121D">
              <w:t>CNS-TAST-GD-6.6 ‘Nuclear Construction Sites’</w:t>
            </w:r>
          </w:p>
          <w:p w14:paraId="57304EC8" w14:textId="045C6D9C" w:rsidR="003D010F" w:rsidRPr="00CC121D" w:rsidRDefault="00561E8F" w:rsidP="003D010F">
            <w:pPr>
              <w:pStyle w:val="TSNumberedParagraph1"/>
              <w:numPr>
                <w:ilvl w:val="0"/>
                <w:numId w:val="0"/>
              </w:numPr>
            </w:pPr>
            <w:r>
              <w:rPr>
                <w:iCs/>
              </w:rPr>
              <w:t>ONR-</w:t>
            </w:r>
            <w:r w:rsidR="003D010F" w:rsidRPr="00CC121D">
              <w:t>CNS-TAST-GD-5.2 ‘Examination, Inspection, Maintenance and Testing of Physical Protection Systems’.</w:t>
            </w:r>
          </w:p>
        </w:tc>
      </w:tr>
    </w:tbl>
    <w:p w14:paraId="57304ECA" w14:textId="53FF6949" w:rsidR="00D07AFA" w:rsidRPr="00CC121D" w:rsidRDefault="00656584" w:rsidP="00B20A8B">
      <w:pPr>
        <w:pStyle w:val="TSNumberedParagraph1"/>
        <w:numPr>
          <w:ilvl w:val="0"/>
          <w:numId w:val="0"/>
        </w:numPr>
        <w:ind w:left="720"/>
      </w:pPr>
      <w:r>
        <w:t xml:space="preserve">Table 1 </w:t>
      </w:r>
      <w:r w:rsidR="00B20A8B">
        <w:t xml:space="preserve">– </w:t>
      </w:r>
      <w:r w:rsidR="009D4AA2">
        <w:t>E</w:t>
      </w:r>
      <w:r w:rsidR="00B20A8B">
        <w:t>xclusions of scope within this TAG document</w:t>
      </w:r>
    </w:p>
    <w:p w14:paraId="72BC7E15" w14:textId="05CB8A7B" w:rsidR="00F27DE8" w:rsidRDefault="00F27DE8" w:rsidP="00F27DE8">
      <w:pPr>
        <w:pStyle w:val="TSNumberedParagraph1"/>
      </w:pPr>
      <w:bookmarkStart w:id="17" w:name="_Toc43723292"/>
      <w:r>
        <w:t>Whilst the Construction (Design and Management</w:t>
      </w:r>
      <w:r w:rsidR="00E1257B">
        <w:t>)</w:t>
      </w:r>
      <w:r>
        <w:t xml:space="preserve"> Regulations</w:t>
      </w:r>
      <w:r w:rsidR="00E1257B">
        <w:t xml:space="preserve"> 2015 (CDM2015) </w:t>
      </w:r>
      <w:r>
        <w:t xml:space="preserve">are not excluded from consideration in TAG 17, the roles and duties are not discussed in any detail. For information on the roles and duties of </w:t>
      </w:r>
      <w:r w:rsidR="00E1257B">
        <w:t>CDM2015 compliance, see:</w:t>
      </w:r>
      <w:r>
        <w:t xml:space="preserve"> </w:t>
      </w:r>
    </w:p>
    <w:p w14:paraId="609B706D" w14:textId="1DDED484" w:rsidR="00F27DE8" w:rsidRDefault="00F27DE8" w:rsidP="007234C9">
      <w:pPr>
        <w:pStyle w:val="TSBullet1Square"/>
        <w:tabs>
          <w:tab w:val="clear" w:pos="-28713"/>
          <w:tab w:val="num" w:pos="-31680"/>
        </w:tabs>
        <w:ind w:left="1440"/>
      </w:pPr>
      <w:r>
        <w:t xml:space="preserve">HSE publication: L153 </w:t>
      </w:r>
      <w:r w:rsidRPr="00B61E8F">
        <w:rPr>
          <w:rFonts w:cs="Arial"/>
        </w:rPr>
        <w:t>‘Managing health and safety in construction’</w:t>
      </w:r>
      <w:r>
        <w:rPr>
          <w:rFonts w:cs="Arial"/>
        </w:rPr>
        <w:t xml:space="preserve"> [</w:t>
      </w:r>
      <w:r w:rsidR="00746C5F">
        <w:rPr>
          <w:rFonts w:cs="Arial"/>
        </w:rPr>
        <w:t>8</w:t>
      </w:r>
      <w:r>
        <w:rPr>
          <w:rFonts w:cs="Arial"/>
        </w:rPr>
        <w:t>]</w:t>
      </w:r>
    </w:p>
    <w:p w14:paraId="57304ECB" w14:textId="24BF7941" w:rsidR="00D07AFA" w:rsidRPr="00CC121D" w:rsidRDefault="00D07AFA" w:rsidP="00D07AFA">
      <w:pPr>
        <w:pStyle w:val="TSHeadingNumbered11"/>
      </w:pPr>
      <w:bookmarkStart w:id="18" w:name="_Toc57912683"/>
      <w:r w:rsidRPr="00CC121D">
        <w:t>Update of this TAG</w:t>
      </w:r>
      <w:bookmarkEnd w:id="17"/>
      <w:bookmarkEnd w:id="18"/>
    </w:p>
    <w:p w14:paraId="57304ECC" w14:textId="77777777" w:rsidR="00D07AFA" w:rsidRPr="00CC121D" w:rsidRDefault="00D07AFA" w:rsidP="00D07AFA">
      <w:pPr>
        <w:pStyle w:val="TSNumberedParagraph1"/>
      </w:pPr>
      <w:r w:rsidRPr="00CC121D">
        <w:t>This revision of this TAG is a reorganisation of the previous TAG in the interest of increased clarity. ONR’s approach towards civil engineering has been established for some time and remains unchanged. Experience from using the previous TAG has shown that some aspects of civil engineering would benefit from more explicit presentation within our guidance, which</w:t>
      </w:r>
      <w:r w:rsidR="00AF7814">
        <w:t xml:space="preserve"> this revision aims to provide.</w:t>
      </w:r>
    </w:p>
    <w:p w14:paraId="57304ECD" w14:textId="6C3C9E44" w:rsidR="00D07AFA" w:rsidRPr="00CC121D" w:rsidRDefault="00D07AFA" w:rsidP="00D07AFA">
      <w:pPr>
        <w:pStyle w:val="TSNumberedParagraph1"/>
      </w:pPr>
      <w:r w:rsidRPr="00CC121D">
        <w:t>Comments on this guide and suggestions for future revisions should be recorded on a comment sheet held in the CM9 file noted for this record</w:t>
      </w:r>
      <w:r w:rsidR="004D4284">
        <w:t xml:space="preserve"> [</w:t>
      </w:r>
      <w:r w:rsidR="00746C5F">
        <w:t>9</w:t>
      </w:r>
      <w:r w:rsidR="004D4284">
        <w:t>]</w:t>
      </w:r>
      <w:r w:rsidRPr="00CC121D">
        <w:t>, with the civil engineering Professional Lead informed.</w:t>
      </w:r>
    </w:p>
    <w:p w14:paraId="57304ECE" w14:textId="6AFD73D0" w:rsidR="00D07AFA" w:rsidRPr="00CC121D" w:rsidRDefault="00D07AFA" w:rsidP="00D07AFA">
      <w:pPr>
        <w:pStyle w:val="TSHeadingNumbered1"/>
      </w:pPr>
      <w:bookmarkStart w:id="19" w:name="_Toc43723293"/>
      <w:bookmarkStart w:id="20" w:name="_Toc57912684"/>
      <w:r w:rsidRPr="00CC121D">
        <w:t>RELATIONSHIP TO LICENCE CONDITIONS &amp; OTHER RELEVANT LEGISLATION</w:t>
      </w:r>
      <w:bookmarkEnd w:id="19"/>
      <w:bookmarkEnd w:id="20"/>
    </w:p>
    <w:p w14:paraId="57304ECF" w14:textId="7B5F940D" w:rsidR="00D07AFA" w:rsidRPr="000167D0" w:rsidRDefault="00D07AFA" w:rsidP="000167D0">
      <w:pPr>
        <w:pStyle w:val="TSHeadingNumbered11"/>
      </w:pPr>
      <w:bookmarkStart w:id="21" w:name="_Toc43723294"/>
      <w:bookmarkStart w:id="22" w:name="_Toc57912685"/>
      <w:r w:rsidRPr="00CC121D">
        <w:t>Licence Conditions</w:t>
      </w:r>
      <w:bookmarkEnd w:id="21"/>
      <w:bookmarkEnd w:id="22"/>
    </w:p>
    <w:p w14:paraId="57304ED0" w14:textId="77777777" w:rsidR="00D07AFA" w:rsidRPr="00CC121D" w:rsidRDefault="00D07AFA" w:rsidP="00D07AFA">
      <w:pPr>
        <w:pStyle w:val="TSNumberedParagraph1"/>
      </w:pPr>
      <w:r w:rsidRPr="00CC121D">
        <w:t xml:space="preserve">This TAG does not specifically address a single Licence Condition. The scope of ‘civil engineering works and structures’ cuts across all the phases of a site </w:t>
      </w:r>
      <w:r w:rsidR="000A0D4D">
        <w:t>and the</w:t>
      </w:r>
      <w:r w:rsidRPr="00CC121D">
        <w:t xml:space="preserve"> nature of the subject and potential effect on safety means there are many possib</w:t>
      </w:r>
      <w:r w:rsidR="000A0D4D">
        <w:t>le relevant licence conditions.</w:t>
      </w:r>
    </w:p>
    <w:p w14:paraId="57304ED1" w14:textId="77777777" w:rsidR="00D07AFA" w:rsidRPr="00CC121D" w:rsidRDefault="00D07AFA" w:rsidP="00D07AFA">
      <w:pPr>
        <w:pStyle w:val="TSNumberedParagraph1"/>
      </w:pPr>
      <w:r w:rsidRPr="00CC121D">
        <w:t>As such, the licence conditions (LCs) considered to be most applicable to civil engineering works and structures as covered in this TAG are as follows:</w:t>
      </w:r>
    </w:p>
    <w:p w14:paraId="57304ED2" w14:textId="77777777" w:rsidR="00D07AFA" w:rsidRPr="00CC121D" w:rsidRDefault="00D07AFA" w:rsidP="00D07AFA">
      <w:pPr>
        <w:numPr>
          <w:ilvl w:val="2"/>
          <w:numId w:val="10"/>
        </w:numPr>
        <w:spacing w:after="240"/>
        <w:ind w:left="1418"/>
        <w:contextualSpacing/>
      </w:pPr>
      <w:r w:rsidRPr="00CC121D">
        <w:t>LC 6: Documents, Records, Authorities and Certificates</w:t>
      </w:r>
      <w:r w:rsidR="000A0D4D">
        <w:t>,</w:t>
      </w:r>
    </w:p>
    <w:p w14:paraId="57304ED3" w14:textId="3933739B" w:rsidR="00D07AFA" w:rsidRPr="00CC121D" w:rsidRDefault="00D07AFA" w:rsidP="00D07AFA">
      <w:pPr>
        <w:numPr>
          <w:ilvl w:val="2"/>
          <w:numId w:val="10"/>
        </w:numPr>
        <w:spacing w:after="240"/>
        <w:ind w:left="1418"/>
        <w:contextualSpacing/>
      </w:pPr>
      <w:r w:rsidRPr="00CC121D">
        <w:t>LC 7: Incidents on site</w:t>
      </w:r>
      <w:r w:rsidR="000A0D4D">
        <w:t>,</w:t>
      </w:r>
    </w:p>
    <w:p w14:paraId="57304ED4" w14:textId="77777777" w:rsidR="00D07AFA" w:rsidRPr="00CC121D" w:rsidRDefault="00D07AFA" w:rsidP="00D07AFA">
      <w:pPr>
        <w:numPr>
          <w:ilvl w:val="2"/>
          <w:numId w:val="10"/>
        </w:numPr>
        <w:spacing w:after="240"/>
        <w:ind w:left="1418"/>
        <w:contextualSpacing/>
      </w:pPr>
      <w:r w:rsidRPr="00CC121D">
        <w:t>LC 10: Training</w:t>
      </w:r>
      <w:r w:rsidR="000A0D4D">
        <w:t>,</w:t>
      </w:r>
    </w:p>
    <w:p w14:paraId="57304ED5" w14:textId="77777777" w:rsidR="00D07AFA" w:rsidRPr="00CC121D" w:rsidRDefault="00D07AFA" w:rsidP="00D07AFA">
      <w:pPr>
        <w:numPr>
          <w:ilvl w:val="2"/>
          <w:numId w:val="10"/>
        </w:numPr>
        <w:spacing w:after="240"/>
        <w:ind w:left="1418"/>
        <w:contextualSpacing/>
      </w:pPr>
      <w:r w:rsidRPr="00CC121D">
        <w:t>LC 11: Emergency Arrangements</w:t>
      </w:r>
      <w:r w:rsidR="000A0D4D">
        <w:t>,</w:t>
      </w:r>
    </w:p>
    <w:p w14:paraId="57304ED6" w14:textId="77777777" w:rsidR="00D07AFA" w:rsidRPr="00CC121D" w:rsidRDefault="00D07AFA" w:rsidP="00D07AFA">
      <w:pPr>
        <w:numPr>
          <w:ilvl w:val="2"/>
          <w:numId w:val="10"/>
        </w:numPr>
        <w:spacing w:after="240"/>
        <w:ind w:left="1418"/>
        <w:contextualSpacing/>
      </w:pPr>
      <w:r w:rsidRPr="00CC121D">
        <w:t>LC12: Duly authorised and suitably qualified and experienced persons</w:t>
      </w:r>
      <w:r w:rsidR="000A0D4D">
        <w:t>,</w:t>
      </w:r>
    </w:p>
    <w:p w14:paraId="57304ED7" w14:textId="77777777" w:rsidR="00D07AFA" w:rsidRPr="00CC121D" w:rsidRDefault="000A0D4D" w:rsidP="00D07AFA">
      <w:pPr>
        <w:numPr>
          <w:ilvl w:val="2"/>
          <w:numId w:val="10"/>
        </w:numPr>
        <w:spacing w:after="240"/>
        <w:ind w:left="1418"/>
        <w:contextualSpacing/>
      </w:pPr>
      <w:r>
        <w:t>LC 14: Safety documentation,</w:t>
      </w:r>
    </w:p>
    <w:p w14:paraId="57304ED8" w14:textId="77777777" w:rsidR="00D07AFA" w:rsidRPr="00CC121D" w:rsidRDefault="00D07AFA" w:rsidP="00D07AFA">
      <w:pPr>
        <w:numPr>
          <w:ilvl w:val="2"/>
          <w:numId w:val="10"/>
        </w:numPr>
        <w:spacing w:after="240"/>
        <w:ind w:left="1418"/>
        <w:contextualSpacing/>
      </w:pPr>
      <w:r w:rsidRPr="00CC121D">
        <w:t>LC 15: Periodic review</w:t>
      </w:r>
      <w:r w:rsidR="000A0D4D">
        <w:t>,</w:t>
      </w:r>
    </w:p>
    <w:p w14:paraId="57304ED9" w14:textId="77777777" w:rsidR="00D07AFA" w:rsidRPr="00CC121D" w:rsidRDefault="00D07AFA" w:rsidP="00D07AFA">
      <w:pPr>
        <w:numPr>
          <w:ilvl w:val="2"/>
          <w:numId w:val="10"/>
        </w:numPr>
        <w:spacing w:after="240"/>
        <w:ind w:left="1418"/>
        <w:contextualSpacing/>
      </w:pPr>
      <w:r w:rsidRPr="00CC121D">
        <w:t>LC 16: Site plans, designs and specifications</w:t>
      </w:r>
      <w:r w:rsidR="000A0D4D">
        <w:t>,</w:t>
      </w:r>
    </w:p>
    <w:p w14:paraId="57304EDA" w14:textId="278512E7" w:rsidR="00D07AFA" w:rsidRPr="00CC121D" w:rsidRDefault="00D07AFA" w:rsidP="00D07AFA">
      <w:pPr>
        <w:numPr>
          <w:ilvl w:val="2"/>
          <w:numId w:val="10"/>
        </w:numPr>
        <w:spacing w:after="240"/>
        <w:ind w:left="1418"/>
        <w:contextualSpacing/>
      </w:pPr>
      <w:r w:rsidRPr="00CC121D">
        <w:t>LC 17: Management systems</w:t>
      </w:r>
      <w:r w:rsidR="000A0D4D">
        <w:t>,</w:t>
      </w:r>
    </w:p>
    <w:p w14:paraId="57304EDB" w14:textId="77777777" w:rsidR="00D07AFA" w:rsidRPr="00CC121D" w:rsidRDefault="00D07AFA" w:rsidP="00D07AFA">
      <w:pPr>
        <w:numPr>
          <w:ilvl w:val="2"/>
          <w:numId w:val="10"/>
        </w:numPr>
        <w:spacing w:after="240"/>
        <w:ind w:left="1418"/>
        <w:contextualSpacing/>
      </w:pPr>
      <w:r w:rsidRPr="00CC121D">
        <w:t>LC 19: Construction or installation of new plant</w:t>
      </w:r>
      <w:r w:rsidR="000A0D4D">
        <w:t>,</w:t>
      </w:r>
    </w:p>
    <w:p w14:paraId="57304EDC" w14:textId="77777777" w:rsidR="00D07AFA" w:rsidRPr="00CC121D" w:rsidRDefault="00D07AFA" w:rsidP="00D07AFA">
      <w:pPr>
        <w:numPr>
          <w:ilvl w:val="2"/>
          <w:numId w:val="10"/>
        </w:numPr>
        <w:spacing w:after="240"/>
        <w:ind w:left="1418"/>
        <w:contextualSpacing/>
      </w:pPr>
      <w:r w:rsidRPr="00CC121D">
        <w:t>LC 20: Modification to design of plant under construction</w:t>
      </w:r>
      <w:r w:rsidR="000A0D4D">
        <w:t>,</w:t>
      </w:r>
    </w:p>
    <w:p w14:paraId="57304EDD" w14:textId="77777777" w:rsidR="00D07AFA" w:rsidRPr="00CC121D" w:rsidRDefault="00D07AFA" w:rsidP="00D07AFA">
      <w:pPr>
        <w:numPr>
          <w:ilvl w:val="2"/>
          <w:numId w:val="10"/>
        </w:numPr>
        <w:spacing w:after="240"/>
        <w:ind w:left="1418"/>
        <w:contextualSpacing/>
      </w:pPr>
      <w:r w:rsidRPr="00CC121D">
        <w:t>LC 21: Commissioning</w:t>
      </w:r>
      <w:r w:rsidR="000A0D4D">
        <w:t>,</w:t>
      </w:r>
    </w:p>
    <w:p w14:paraId="57304EDE" w14:textId="77777777" w:rsidR="00D07AFA" w:rsidRPr="00CC121D" w:rsidRDefault="00D07AFA" w:rsidP="00D07AFA">
      <w:pPr>
        <w:numPr>
          <w:ilvl w:val="2"/>
          <w:numId w:val="10"/>
        </w:numPr>
        <w:spacing w:after="240"/>
        <w:ind w:left="1418"/>
        <w:contextualSpacing/>
      </w:pPr>
      <w:r w:rsidRPr="00CC121D">
        <w:t xml:space="preserve">LC 22: Modification or </w:t>
      </w:r>
      <w:r w:rsidR="000A0D4D">
        <w:t>experiment on an existing plant,</w:t>
      </w:r>
    </w:p>
    <w:p w14:paraId="57304EDF" w14:textId="77777777" w:rsidR="00D07AFA" w:rsidRPr="00CC121D" w:rsidRDefault="00D07AFA" w:rsidP="00D07AFA">
      <w:pPr>
        <w:numPr>
          <w:ilvl w:val="2"/>
          <w:numId w:val="10"/>
        </w:numPr>
        <w:spacing w:after="240"/>
        <w:ind w:left="1418"/>
        <w:contextualSpacing/>
      </w:pPr>
      <w:r w:rsidRPr="00CC121D">
        <w:t>LC 23: Operating Rules</w:t>
      </w:r>
      <w:r w:rsidR="000A0D4D">
        <w:t>,</w:t>
      </w:r>
    </w:p>
    <w:p w14:paraId="57304EE0" w14:textId="77777777" w:rsidR="00D07AFA" w:rsidRDefault="00D07AFA" w:rsidP="00D07AFA">
      <w:pPr>
        <w:numPr>
          <w:ilvl w:val="2"/>
          <w:numId w:val="10"/>
        </w:numPr>
        <w:spacing w:after="240"/>
        <w:ind w:left="1418"/>
        <w:contextualSpacing/>
      </w:pPr>
      <w:r w:rsidRPr="00CC121D">
        <w:t>LC 25: Operational Records</w:t>
      </w:r>
      <w:r w:rsidR="000A0D4D">
        <w:t>,</w:t>
      </w:r>
    </w:p>
    <w:p w14:paraId="57304EE1" w14:textId="77777777" w:rsidR="006F5A89" w:rsidRPr="00CC121D" w:rsidRDefault="006F5A89" w:rsidP="00D07AFA">
      <w:pPr>
        <w:numPr>
          <w:ilvl w:val="2"/>
          <w:numId w:val="10"/>
        </w:numPr>
        <w:spacing w:after="240"/>
        <w:ind w:left="1418"/>
        <w:contextualSpacing/>
      </w:pPr>
      <w:r>
        <w:t xml:space="preserve">LC 27: </w:t>
      </w:r>
      <w:r w:rsidRPr="00CC121D">
        <w:rPr>
          <w:rFonts w:cs="HelveticaNeueLT Std"/>
        </w:rPr>
        <w:t>Safety mechanisms, devices and circuits</w:t>
      </w:r>
      <w:r>
        <w:rPr>
          <w:rFonts w:cs="HelveticaNeueLT Std"/>
        </w:rPr>
        <w:t>,</w:t>
      </w:r>
    </w:p>
    <w:p w14:paraId="57304EE2" w14:textId="77777777" w:rsidR="00D07AFA" w:rsidRPr="00CC121D" w:rsidRDefault="00D07AFA" w:rsidP="00D07AFA">
      <w:pPr>
        <w:numPr>
          <w:ilvl w:val="2"/>
          <w:numId w:val="10"/>
        </w:numPr>
        <w:spacing w:after="240"/>
        <w:ind w:left="1418"/>
        <w:contextualSpacing/>
      </w:pPr>
      <w:r w:rsidRPr="00CC121D">
        <w:t>LC 28: Examination, Inspection, Maintenance and Testing (EIMT)</w:t>
      </w:r>
      <w:r w:rsidR="000A0D4D">
        <w:t>,</w:t>
      </w:r>
    </w:p>
    <w:p w14:paraId="57304EE3" w14:textId="77777777" w:rsidR="00D07AFA" w:rsidRPr="00CC121D" w:rsidRDefault="00D07AFA" w:rsidP="00D07AFA">
      <w:pPr>
        <w:numPr>
          <w:ilvl w:val="2"/>
          <w:numId w:val="10"/>
        </w:numPr>
        <w:spacing w:after="240"/>
        <w:ind w:left="1418"/>
        <w:contextualSpacing/>
      </w:pPr>
      <w:r w:rsidRPr="00CC121D">
        <w:t>LC 29: Duty to carry out tests, inspections and examinations</w:t>
      </w:r>
      <w:r w:rsidR="000A0D4D">
        <w:t>,</w:t>
      </w:r>
    </w:p>
    <w:p w14:paraId="57304EE5" w14:textId="77777777" w:rsidR="00D07AFA" w:rsidRPr="00CC121D" w:rsidRDefault="00D07AFA" w:rsidP="00D07AFA">
      <w:pPr>
        <w:numPr>
          <w:ilvl w:val="2"/>
          <w:numId w:val="10"/>
        </w:numPr>
        <w:spacing w:after="240"/>
        <w:ind w:left="1418"/>
        <w:contextualSpacing/>
      </w:pPr>
      <w:r w:rsidRPr="00CC121D">
        <w:t>LC 34: Leakage and escape of radioactive material and radioactive waste</w:t>
      </w:r>
      <w:r w:rsidR="000A0D4D">
        <w:t>,</w:t>
      </w:r>
    </w:p>
    <w:p w14:paraId="57304EE6" w14:textId="77777777" w:rsidR="00D07AFA" w:rsidRPr="00CC121D" w:rsidRDefault="00D07AFA" w:rsidP="00D07AFA">
      <w:pPr>
        <w:numPr>
          <w:ilvl w:val="2"/>
          <w:numId w:val="10"/>
        </w:numPr>
        <w:spacing w:after="240"/>
        <w:ind w:left="1418"/>
        <w:contextualSpacing/>
      </w:pPr>
      <w:r w:rsidRPr="00CC121D">
        <w:t>LC 35: Decommissioning</w:t>
      </w:r>
      <w:r w:rsidR="000A0D4D">
        <w:t>.</w:t>
      </w:r>
    </w:p>
    <w:p w14:paraId="57304EE7" w14:textId="318006ED" w:rsidR="0099705C" w:rsidRDefault="00D07AFA" w:rsidP="00D07AFA">
      <w:pPr>
        <w:pStyle w:val="TSNumberedParagraph1"/>
      </w:pPr>
      <w:r w:rsidRPr="00CC121D">
        <w:t xml:space="preserve">Appendix C </w:t>
      </w:r>
      <w:r w:rsidR="000A0D4D">
        <w:t>lists</w:t>
      </w:r>
      <w:r w:rsidRPr="00CC121D">
        <w:t xml:space="preserve"> </w:t>
      </w:r>
      <w:r w:rsidR="006F5A89">
        <w:t>a selection of</w:t>
      </w:r>
      <w:r w:rsidRPr="00CC121D">
        <w:t xml:space="preserve"> civil engineering related topics for consideration for each of the relevant Licence Conditions.</w:t>
      </w:r>
    </w:p>
    <w:p w14:paraId="57304EE8" w14:textId="4D538146" w:rsidR="00D07AFA" w:rsidRPr="000167D0" w:rsidRDefault="00D07AFA" w:rsidP="000167D0">
      <w:pPr>
        <w:pStyle w:val="TSHeadingNumbered11"/>
      </w:pPr>
      <w:bookmarkStart w:id="23" w:name="_Toc43723295"/>
      <w:bookmarkStart w:id="24" w:name="_Toc57912686"/>
      <w:r w:rsidRPr="00CC121D">
        <w:t>Other Relevant Legislation</w:t>
      </w:r>
      <w:bookmarkEnd w:id="23"/>
      <w:bookmarkEnd w:id="24"/>
    </w:p>
    <w:p w14:paraId="57304EE9" w14:textId="710C8A91" w:rsidR="00D07AFA" w:rsidRPr="00CC121D" w:rsidRDefault="00D07AFA" w:rsidP="00D07AFA">
      <w:pPr>
        <w:pStyle w:val="TSNumberedParagraph1"/>
      </w:pPr>
      <w:r w:rsidRPr="00CC121D">
        <w:t>The Energy Act 2013</w:t>
      </w:r>
      <w:r w:rsidR="00A31689">
        <w:t xml:space="preserve"> (TEA</w:t>
      </w:r>
      <w:r w:rsidR="00EA4A77">
        <w:t>13</w:t>
      </w:r>
      <w:r w:rsidR="00A31689">
        <w:t>)</w:t>
      </w:r>
      <w:r w:rsidRPr="00CC121D">
        <w:t xml:space="preserve"> [</w:t>
      </w:r>
      <w:r w:rsidR="00482914">
        <w:t>10</w:t>
      </w:r>
      <w:r w:rsidRPr="00CC121D">
        <w:t>]: ‘Relevant statutory provisions of The Energy Act’ (TEA) 2013 include sections 1; 3-6; 22 and 24A of the Nuclear Installations Act (NIA) 1965 (as amended) [</w:t>
      </w:r>
      <w:r w:rsidR="000951FF">
        <w:t>1</w:t>
      </w:r>
      <w:r w:rsidR="00482914">
        <w:t>1</w:t>
      </w:r>
      <w:r w:rsidRPr="00CC121D">
        <w:t>] along with the following other Acts and Regulations:</w:t>
      </w:r>
    </w:p>
    <w:p w14:paraId="57304EEA" w14:textId="1681D3C0" w:rsidR="00D07AFA" w:rsidRPr="00CC121D" w:rsidRDefault="00D07AFA" w:rsidP="00D07AFA">
      <w:pPr>
        <w:pStyle w:val="TSNumberedParagraph1"/>
      </w:pPr>
      <w:r w:rsidRPr="00CC121D">
        <w:t>The NIA [</w:t>
      </w:r>
      <w:r w:rsidR="004569D4">
        <w:t>1</w:t>
      </w:r>
      <w:r w:rsidR="00482914">
        <w:t>1</w:t>
      </w:r>
      <w:r w:rsidRPr="00CC121D">
        <w:t xml:space="preserve">] sets out that no site may be used in Great Britain (GB) for the purpose of installing or operating a nuclear reactor or prescribed nuclear installation unless a licence has been granted by ONR and is in force. The NIA makes provision for the attachment of licence conditions to construction and modification activities, these are therefore subject to TEA13 </w:t>
      </w:r>
      <w:r w:rsidR="004569D4">
        <w:t>[</w:t>
      </w:r>
      <w:r w:rsidR="006A6E96">
        <w:t>10</w:t>
      </w:r>
      <w:r w:rsidR="004569D4">
        <w:t xml:space="preserve">] </w:t>
      </w:r>
      <w:r w:rsidRPr="00CC121D">
        <w:t>arrangements for regulation and enforcement.</w:t>
      </w:r>
    </w:p>
    <w:p w14:paraId="57304EEB" w14:textId="0077E896" w:rsidR="00D07AFA" w:rsidRPr="000167D0" w:rsidRDefault="00D07AFA" w:rsidP="000167D0">
      <w:pPr>
        <w:pStyle w:val="TSHeadingNumbered11"/>
      </w:pPr>
      <w:bookmarkStart w:id="25" w:name="_Toc57912687"/>
      <w:bookmarkStart w:id="26" w:name="_Toc43723296"/>
      <w:r w:rsidRPr="00CC121D">
        <w:t>Health and Safety at Work etc. Act 1974 (HSWA)</w:t>
      </w:r>
      <w:bookmarkEnd w:id="25"/>
      <w:r w:rsidRPr="00CC121D">
        <w:t xml:space="preserve"> </w:t>
      </w:r>
      <w:bookmarkEnd w:id="26"/>
    </w:p>
    <w:p w14:paraId="57304EEC" w14:textId="14956E71" w:rsidR="00D07AFA" w:rsidRPr="00CC121D" w:rsidRDefault="00D07AFA" w:rsidP="00D07AFA">
      <w:pPr>
        <w:pStyle w:val="TSNumberedParagraph1"/>
      </w:pPr>
      <w:r w:rsidRPr="00CC121D">
        <w:t xml:space="preserve">The general duties under the Health and Safety at Work etc. Act 1974 (HSWA) </w:t>
      </w:r>
      <w:r w:rsidR="004569D4">
        <w:t>[1</w:t>
      </w:r>
      <w:r w:rsidR="00482914">
        <w:t>2</w:t>
      </w:r>
      <w:r w:rsidR="004569D4">
        <w:t xml:space="preserve">] </w:t>
      </w:r>
      <w:r w:rsidRPr="00CC121D">
        <w:t>impose statutory requirements as follows:</w:t>
      </w:r>
    </w:p>
    <w:p w14:paraId="57304EED" w14:textId="77777777" w:rsidR="00D07AFA" w:rsidRPr="00CC121D" w:rsidRDefault="00C61227" w:rsidP="00D07AFA">
      <w:pPr>
        <w:numPr>
          <w:ilvl w:val="2"/>
          <w:numId w:val="10"/>
        </w:numPr>
        <w:spacing w:after="240"/>
        <w:ind w:left="1418"/>
        <w:contextualSpacing/>
      </w:pPr>
      <w:r>
        <w:t>“</w:t>
      </w:r>
      <w:r w:rsidR="00D07AFA" w:rsidRPr="00CC121D">
        <w:t>2 (1)  It shall be the duty of every employer to ensure, so far as is reasonably practicable, the health, safety and welfare at work of all his employees.</w:t>
      </w:r>
    </w:p>
    <w:p w14:paraId="57304EEE" w14:textId="77777777" w:rsidR="00D07AFA" w:rsidRPr="00CC121D" w:rsidRDefault="00D07AFA" w:rsidP="00D07AFA">
      <w:pPr>
        <w:numPr>
          <w:ilvl w:val="2"/>
          <w:numId w:val="10"/>
        </w:numPr>
        <w:spacing w:after="240"/>
        <w:ind w:left="1418"/>
        <w:contextualSpacing/>
      </w:pPr>
      <w:r w:rsidRPr="00CC121D">
        <w:t>3 (1)  It shall be the duty of every employer to conduct his undertaking in such a way as to ensure, so far as is reasonably practicable, that persons not in his employment who may be affected thereby are not thereby exposed to risks to their health or safety.</w:t>
      </w:r>
    </w:p>
    <w:p w14:paraId="57304EEF" w14:textId="77777777" w:rsidR="00D07AFA" w:rsidRPr="00CC121D" w:rsidRDefault="00D07AFA" w:rsidP="00D07AFA">
      <w:pPr>
        <w:numPr>
          <w:ilvl w:val="2"/>
          <w:numId w:val="10"/>
        </w:numPr>
        <w:spacing w:after="240"/>
        <w:ind w:left="1418"/>
        <w:contextualSpacing/>
      </w:pPr>
      <w:r w:rsidRPr="00CC121D">
        <w:t>6 (1)  It shall be the duty of any person who designs, manufactures, imports or supplies any article for use at work or any article of fairground equipment –</w:t>
      </w:r>
    </w:p>
    <w:p w14:paraId="57304EF0" w14:textId="77777777" w:rsidR="00D07AFA" w:rsidRPr="00CC121D" w:rsidRDefault="00D07AFA" w:rsidP="00D07AFA">
      <w:pPr>
        <w:numPr>
          <w:ilvl w:val="2"/>
          <w:numId w:val="10"/>
        </w:numPr>
        <w:spacing w:after="240"/>
        <w:ind w:left="1418"/>
        <w:contextualSpacing/>
      </w:pPr>
      <w:r w:rsidRPr="00CC121D">
        <w:t>(a)  to ensure, so far as is reasonably practicable, that the article is so designed and constructed that it will be safe and without risks to health at all times when it is being set, used, cleaned or</w:t>
      </w:r>
      <w:r w:rsidR="00C61227">
        <w:t xml:space="preserve"> maintained by a person at work.”</w:t>
      </w:r>
    </w:p>
    <w:p w14:paraId="57304EF1" w14:textId="01A79E36" w:rsidR="00D07AFA" w:rsidRPr="00CC121D" w:rsidRDefault="00D07AFA" w:rsidP="00D07AFA">
      <w:pPr>
        <w:pStyle w:val="TSNumberedParagraph1"/>
      </w:pPr>
      <w:r w:rsidRPr="00CC121D">
        <w:t>The Health and Safety at Work Act</w:t>
      </w:r>
      <w:r w:rsidR="00C61227">
        <w:t xml:space="preserve"> 1974</w:t>
      </w:r>
      <w:r w:rsidRPr="00CC121D">
        <w:t xml:space="preserve"> (HSWA)</w:t>
      </w:r>
      <w:r w:rsidR="00EA4A77">
        <w:t xml:space="preserve"> [1</w:t>
      </w:r>
      <w:r w:rsidR="00922AF8">
        <w:t>2</w:t>
      </w:r>
      <w:r w:rsidR="00B0765E">
        <w:t>]</w:t>
      </w:r>
      <w:r w:rsidRPr="00CC121D">
        <w:t xml:space="preserve"> gives the powers to the regulator for regulatin</w:t>
      </w:r>
      <w:r w:rsidR="006F5A89">
        <w:t xml:space="preserve">g health and safety in the UK. </w:t>
      </w:r>
      <w:r w:rsidRPr="00CC121D">
        <w:t>HSWA allows for approved codes of practice (ACO</w:t>
      </w:r>
      <w:r w:rsidR="006F5A89">
        <w:t>Ps) to be published by the HSE.</w:t>
      </w:r>
      <w:r w:rsidRPr="00CC121D">
        <w:t xml:space="preserve"> If a </w:t>
      </w:r>
      <w:proofErr w:type="spellStart"/>
      <w:r w:rsidR="00AB10BE">
        <w:t>dutyholder</w:t>
      </w:r>
      <w:proofErr w:type="spellEnd"/>
      <w:r w:rsidRPr="00CC121D">
        <w:t xml:space="preserve"> has followed the relevant ACOPs then this is regarded as following current good pr</w:t>
      </w:r>
      <w:r w:rsidR="00CC039B">
        <w:t xml:space="preserve">actice. </w:t>
      </w:r>
      <w:r w:rsidRPr="00CC121D">
        <w:t>ACOPs relevant to civil engineering in general and conventional health and safety are given on the HSE website</w:t>
      </w:r>
      <w:r w:rsidR="00CC039B">
        <w:t>,</w:t>
      </w:r>
      <w:r w:rsidRPr="00CC121D">
        <w:t xml:space="preserve"> mainly under L series (Legal) and HSG seri</w:t>
      </w:r>
      <w:r w:rsidR="00CC039B">
        <w:t xml:space="preserve">es (Health &amp; Safety Guidance). </w:t>
      </w:r>
      <w:r w:rsidRPr="00CC121D">
        <w:t xml:space="preserve">There are currently no ACOPs specifically written for nuclear licensed sites. </w:t>
      </w:r>
    </w:p>
    <w:p w14:paraId="57304EF2" w14:textId="77777777" w:rsidR="00D07AFA" w:rsidRPr="00CC121D" w:rsidRDefault="00D07AFA" w:rsidP="00D07AFA">
      <w:pPr>
        <w:pStyle w:val="TSHeadingNumbered111"/>
      </w:pPr>
      <w:bookmarkStart w:id="27" w:name="_Toc43723297"/>
      <w:r w:rsidRPr="00CC121D">
        <w:t>Legal Definition of ALARP</w:t>
      </w:r>
      <w:bookmarkEnd w:id="27"/>
      <w:r w:rsidRPr="00CC121D">
        <w:t xml:space="preserve"> </w:t>
      </w:r>
    </w:p>
    <w:p w14:paraId="57304EF3" w14:textId="69D02943" w:rsidR="00D07AFA" w:rsidRPr="00CC121D" w:rsidRDefault="00D07AFA" w:rsidP="00D07AFA">
      <w:pPr>
        <w:pStyle w:val="TSNumberedParagraph1"/>
      </w:pPr>
      <w:r w:rsidRPr="00CC121D">
        <w:t xml:space="preserve">In particular, when considering the Health and Safety at Work Act, the </w:t>
      </w:r>
      <w:r w:rsidR="008B43F9">
        <w:t>Inspector</w:t>
      </w:r>
      <w:r w:rsidR="008B43F9" w:rsidRPr="00CC121D">
        <w:t xml:space="preserve"> </w:t>
      </w:r>
      <w:r w:rsidRPr="00CC121D">
        <w:t xml:space="preserve">should focus on standards and principles, the visibility of optioneering to demonstrate that the ALARP principle has been applied, </w:t>
      </w:r>
      <w:r w:rsidR="008B43F9">
        <w:t>as well as</w:t>
      </w:r>
      <w:r w:rsidR="008B43F9" w:rsidRPr="00CC121D">
        <w:t xml:space="preserve"> </w:t>
      </w:r>
      <w:r w:rsidRPr="00CC121D">
        <w:t>the adequacy of the design process and associated arrangements.</w:t>
      </w:r>
    </w:p>
    <w:p w14:paraId="57304EF4" w14:textId="764BF407" w:rsidR="00D07AFA" w:rsidRPr="00CC121D" w:rsidRDefault="00D07AFA" w:rsidP="00D07AFA">
      <w:pPr>
        <w:pStyle w:val="TSNumberedParagraph1"/>
      </w:pPr>
      <w:r w:rsidRPr="00CC121D">
        <w:t xml:space="preserve">Operators of nuclear installations in Great Britain are required to comply with </w:t>
      </w:r>
      <w:r w:rsidR="007F1AFE">
        <w:t xml:space="preserve">HSWA </w:t>
      </w:r>
      <w:r w:rsidR="00B0765E">
        <w:t>[1</w:t>
      </w:r>
      <w:r w:rsidR="00922AF8">
        <w:t>2</w:t>
      </w:r>
      <w:r w:rsidR="00B0765E">
        <w:t xml:space="preserve">] </w:t>
      </w:r>
      <w:r w:rsidRPr="00CC121D">
        <w:t xml:space="preserve">and its relevant statutory provisions. </w:t>
      </w:r>
      <w:r w:rsidR="007F1AFE">
        <w:t>As stated above, u</w:t>
      </w:r>
      <w:r w:rsidRPr="00CC121D">
        <w:t xml:space="preserve">nder Sections 2 &amp; 3 of </w:t>
      </w:r>
      <w:r w:rsidRPr="008F3139">
        <w:rPr>
          <w:vanish/>
        </w:rPr>
        <w:t xml:space="preserve">the Health and Safety at Work (etc.) Act 1974 </w:t>
      </w:r>
      <w:r w:rsidR="007F1AFE">
        <w:t xml:space="preserve">HSWA, </w:t>
      </w:r>
      <w:r w:rsidRPr="00CC121D">
        <w:t>employers are required to carry out duties in a manner which reduces risk So Far As Is Reasonably Practical (SFAIRP).</w:t>
      </w:r>
    </w:p>
    <w:p w14:paraId="57304EF5" w14:textId="77777777" w:rsidR="00D07AFA" w:rsidRPr="00CC121D" w:rsidRDefault="00D07AFA" w:rsidP="00D07AFA">
      <w:pPr>
        <w:pStyle w:val="TSNumberedParagraph1"/>
      </w:pPr>
      <w:r w:rsidRPr="00CC121D">
        <w:t>The concept of SFAIRP is generally expressed in terms of reducing risks to a situation that is considered ALARP. The terms SFAIRP and ALARP are considered synonymous in the extensive guidance documents provided by the HSE and ONR.</w:t>
      </w:r>
    </w:p>
    <w:p w14:paraId="57304EF6" w14:textId="77777777" w:rsidR="00D07AFA" w:rsidRPr="00CC121D" w:rsidRDefault="00D07AFA" w:rsidP="00D07AFA">
      <w:pPr>
        <w:pStyle w:val="TSNumberedParagraph1"/>
      </w:pPr>
      <w:r w:rsidRPr="00CC121D">
        <w:t>For the majority of instances, proving that risk levels have been reduced SFAIRP is achieved by applying established Relevant Goo</w:t>
      </w:r>
      <w:r w:rsidR="00CC039B">
        <w:t>d Practice (RGP) and standards.</w:t>
      </w:r>
    </w:p>
    <w:p w14:paraId="57304EF7" w14:textId="77777777" w:rsidR="00D07AFA" w:rsidRPr="00CC121D" w:rsidRDefault="00D07AFA" w:rsidP="00D07AFA">
      <w:pPr>
        <w:pStyle w:val="TSNumberedParagraph1"/>
      </w:pPr>
      <w:r w:rsidRPr="00CC121D">
        <w:t xml:space="preserve">The development of RGP and standards includes As Low as Reasonably Practicable (ALARP) considerations, so in many cases meeting them is sufficient. In other cases, either where standards and RGP are less evident or not fully applicable, the onus is on the </w:t>
      </w:r>
      <w:proofErr w:type="spellStart"/>
      <w:r w:rsidR="00AB10BE">
        <w:t>dutyholder</w:t>
      </w:r>
      <w:proofErr w:type="spellEnd"/>
      <w:r w:rsidRPr="00CC121D">
        <w:t xml:space="preserve"> to implement measures to the point where the costs</w:t>
      </w:r>
      <w:r w:rsidR="00CC039B">
        <w:t xml:space="preserve">/delay/effort associated with </w:t>
      </w:r>
      <w:r w:rsidRPr="00CC121D">
        <w:t>any additional measures would be grossly disproportionate to the further risk reduction that would be achieved.</w:t>
      </w:r>
    </w:p>
    <w:p w14:paraId="57304EF8" w14:textId="77777777" w:rsidR="00D07AFA" w:rsidRPr="00CC121D" w:rsidRDefault="00D07AFA" w:rsidP="00D07AFA">
      <w:pPr>
        <w:pStyle w:val="TSNumberedParagraph1"/>
      </w:pPr>
      <w:r w:rsidRPr="00CC121D">
        <w:t>For further information on ALARP considerations for assessments, see:</w:t>
      </w:r>
    </w:p>
    <w:p w14:paraId="57304EF9" w14:textId="531C2AD6" w:rsidR="00D07AFA" w:rsidRPr="00CC121D" w:rsidRDefault="00D07AFA" w:rsidP="00D07AFA">
      <w:pPr>
        <w:numPr>
          <w:ilvl w:val="2"/>
          <w:numId w:val="10"/>
        </w:numPr>
        <w:spacing w:after="240"/>
        <w:ind w:left="1418"/>
        <w:contextualSpacing/>
      </w:pPr>
      <w:r w:rsidRPr="00CC121D">
        <w:t xml:space="preserve">Paras 9-18 of the SAPs </w:t>
      </w:r>
      <w:r w:rsidR="00411479">
        <w:t xml:space="preserve">[1] </w:t>
      </w:r>
      <w:r w:rsidRPr="00CC121D">
        <w:t>which describe the ALARP principle</w:t>
      </w:r>
      <w:r w:rsidR="00CC039B">
        <w:t>,</w:t>
      </w:r>
    </w:p>
    <w:p w14:paraId="57304EFA" w14:textId="6EF808FB" w:rsidR="00D07AFA" w:rsidRDefault="00561E8F" w:rsidP="00D07AFA">
      <w:pPr>
        <w:numPr>
          <w:ilvl w:val="2"/>
          <w:numId w:val="10"/>
        </w:numPr>
        <w:spacing w:after="240"/>
        <w:ind w:left="1418"/>
        <w:contextualSpacing/>
      </w:pPr>
      <w:r>
        <w:rPr>
          <w:iCs/>
        </w:rPr>
        <w:t>ONR-</w:t>
      </w:r>
      <w:r w:rsidR="00411479">
        <w:t>NS-TAST-</w:t>
      </w:r>
      <w:r w:rsidR="00D07AFA" w:rsidRPr="00CC121D">
        <w:t xml:space="preserve">GD-005 </w:t>
      </w:r>
      <w:r w:rsidR="00530B31">
        <w:t>‘</w:t>
      </w:r>
      <w:r w:rsidR="00D07AFA" w:rsidRPr="00CC121D">
        <w:t>Guidance on the Demonstration of ALARP</w:t>
      </w:r>
      <w:r w:rsidR="00530B31">
        <w:t>’</w:t>
      </w:r>
      <w:r w:rsidR="00D07AFA" w:rsidRPr="00CC121D">
        <w:t>, provides a link back to HSE guidance and international nuclear specific guidance, with Annex 1 which provides a checklist of consideration for ALARP assessment</w:t>
      </w:r>
      <w:r w:rsidR="00CC039B">
        <w:t>,</w:t>
      </w:r>
    </w:p>
    <w:p w14:paraId="57304EFB" w14:textId="02EB529B" w:rsidR="00EC3963" w:rsidRPr="00CC121D" w:rsidRDefault="00EC3963" w:rsidP="00EC3963">
      <w:pPr>
        <w:numPr>
          <w:ilvl w:val="2"/>
          <w:numId w:val="10"/>
        </w:numPr>
        <w:spacing w:after="240"/>
        <w:ind w:left="1418"/>
        <w:contextualSpacing/>
      </w:pPr>
      <w:r>
        <w:t>G</w:t>
      </w:r>
      <w:r w:rsidR="00BB73C4">
        <w:t>uidance for i</w:t>
      </w:r>
      <w:r>
        <w:t>nspectors regarding</w:t>
      </w:r>
      <w:r w:rsidRPr="00EC3963">
        <w:t xml:space="preserve"> regulatory decisions and the role of ALARP </w:t>
      </w:r>
      <w:r>
        <w:t>can be found in ONR document</w:t>
      </w:r>
      <w:r w:rsidRPr="00EC3963">
        <w:t xml:space="preserve"> </w:t>
      </w:r>
      <w:r w:rsidR="00530B31">
        <w:t xml:space="preserve">‘Risk Informed Regulatory Decision Making </w:t>
      </w:r>
      <w:r w:rsidR="00BF62E6">
        <w:t>[</w:t>
      </w:r>
      <w:r w:rsidR="00B0765E">
        <w:t>1</w:t>
      </w:r>
      <w:r w:rsidR="00922AF8">
        <w:t>3</w:t>
      </w:r>
      <w:r w:rsidR="00BF62E6">
        <w:t>]</w:t>
      </w:r>
    </w:p>
    <w:p w14:paraId="57304EFC" w14:textId="00DE89C2" w:rsidR="00D07AFA" w:rsidRPr="00CC121D" w:rsidRDefault="00D07AFA" w:rsidP="00D07AFA">
      <w:pPr>
        <w:numPr>
          <w:ilvl w:val="2"/>
          <w:numId w:val="10"/>
        </w:numPr>
        <w:spacing w:after="240"/>
        <w:ind w:left="1418"/>
        <w:contextualSpacing/>
      </w:pPr>
      <w:r w:rsidRPr="00CC121D">
        <w:t xml:space="preserve">The concept and general approach to the regulation of safety risks in Great Britain is explained in </w:t>
      </w:r>
      <w:r w:rsidR="00530B31">
        <w:t>’</w:t>
      </w:r>
      <w:r w:rsidRPr="00CC121D">
        <w:t>Reducing R</w:t>
      </w:r>
      <w:r w:rsidR="00CC039B">
        <w:t>isks, Protecting People</w:t>
      </w:r>
      <w:r w:rsidR="00530B31">
        <w:t>’</w:t>
      </w:r>
      <w:r w:rsidR="00CC039B">
        <w:t xml:space="preserve"> [</w:t>
      </w:r>
      <w:r w:rsidR="001A6B53">
        <w:t>1</w:t>
      </w:r>
      <w:r w:rsidR="00922AF8">
        <w:t>4</w:t>
      </w:r>
      <w:r w:rsidR="00CC039B">
        <w:t>],</w:t>
      </w:r>
    </w:p>
    <w:p w14:paraId="57304EFD" w14:textId="5D5805DD" w:rsidR="00D07AFA" w:rsidRPr="00CC121D" w:rsidRDefault="00D07AFA" w:rsidP="00D07AFA">
      <w:pPr>
        <w:numPr>
          <w:ilvl w:val="2"/>
          <w:numId w:val="10"/>
        </w:numPr>
        <w:spacing w:after="240"/>
        <w:ind w:left="1418"/>
        <w:contextualSpacing/>
      </w:pPr>
      <w:r w:rsidRPr="00CC121D">
        <w:t>HSE documents known as the HS</w:t>
      </w:r>
      <w:r w:rsidR="00CC039B">
        <w:t xml:space="preserve">E </w:t>
      </w:r>
      <w:r w:rsidR="00530B31">
        <w:t>’</w:t>
      </w:r>
      <w:r w:rsidR="00CC039B">
        <w:t>Six Pack</w:t>
      </w:r>
      <w:r w:rsidR="00530B31">
        <w:t>’</w:t>
      </w:r>
      <w:r w:rsidR="00CC039B">
        <w:t xml:space="preserve"> [</w:t>
      </w:r>
      <w:r w:rsidR="00530B31">
        <w:t>1</w:t>
      </w:r>
      <w:r w:rsidR="00922AF8">
        <w:t>5</w:t>
      </w:r>
      <w:r w:rsidR="00CC039B">
        <w:t>] provide</w:t>
      </w:r>
      <w:r w:rsidRPr="00CC121D">
        <w:t xml:space="preserve"> guidance on </w:t>
      </w:r>
      <w:r w:rsidR="001A6B53">
        <w:t>the management of risks to health and safety at work</w:t>
      </w:r>
      <w:r w:rsidR="00CC039B">
        <w:t>.</w:t>
      </w:r>
    </w:p>
    <w:p w14:paraId="57304EFE" w14:textId="77777777" w:rsidR="00D07AFA" w:rsidRPr="00CC121D" w:rsidRDefault="00D07AFA" w:rsidP="00D07AFA">
      <w:pPr>
        <w:pStyle w:val="TSHeadingNumbered111"/>
      </w:pPr>
      <w:bookmarkStart w:id="28" w:name="_Toc43723298"/>
      <w:r w:rsidRPr="00CC121D">
        <w:t>Definition of Relevant Good Practice (RGP)</w:t>
      </w:r>
      <w:bookmarkEnd w:id="28"/>
    </w:p>
    <w:p w14:paraId="57304EFF" w14:textId="4EDEA29F" w:rsidR="00F92BB5" w:rsidRDefault="00D07AFA" w:rsidP="00CC039B">
      <w:pPr>
        <w:pStyle w:val="TSNumberedParagraph1"/>
      </w:pPr>
      <w:r w:rsidRPr="00CC121D">
        <w:t xml:space="preserve">RGP is described in </w:t>
      </w:r>
      <w:r w:rsidR="00561E8F">
        <w:rPr>
          <w:iCs/>
        </w:rPr>
        <w:t>ONR-</w:t>
      </w:r>
      <w:r w:rsidR="00530B31">
        <w:t>NS-TAST-</w:t>
      </w:r>
      <w:r w:rsidR="00530B31" w:rsidRPr="00CC121D">
        <w:t xml:space="preserve">GD-005 </w:t>
      </w:r>
      <w:r w:rsidR="00530B31">
        <w:t>‘</w:t>
      </w:r>
      <w:r w:rsidR="00530B31" w:rsidRPr="00CC121D">
        <w:t>Guidance on the Demonstration of ALARP</w:t>
      </w:r>
      <w:r w:rsidR="00530B31">
        <w:t xml:space="preserve">’ </w:t>
      </w:r>
      <w:r w:rsidRPr="00CC121D">
        <w:t>as</w:t>
      </w:r>
      <w:r w:rsidR="00F92BB5">
        <w:t>:</w:t>
      </w:r>
    </w:p>
    <w:p w14:paraId="57304F00" w14:textId="77777777" w:rsidR="00D07AFA" w:rsidRPr="00CC121D" w:rsidRDefault="00C61227" w:rsidP="00F92BB5">
      <w:pPr>
        <w:spacing w:before="220" w:after="220"/>
        <w:ind w:left="720"/>
        <w:jc w:val="center"/>
        <w:outlineLvl w:val="0"/>
      </w:pPr>
      <w:r>
        <w:t>“…</w:t>
      </w:r>
      <w:r w:rsidR="00D07AFA" w:rsidRPr="00CC121D">
        <w:t>those standards for controlling risk which have been judged and recognised by HSE as satisfying the law when applied to a particular relevant case in an appropriate manner.”</w:t>
      </w:r>
    </w:p>
    <w:p w14:paraId="57304F01" w14:textId="77777777" w:rsidR="00D07AFA" w:rsidRPr="00CC121D" w:rsidRDefault="00D07AFA" w:rsidP="00D07AFA">
      <w:pPr>
        <w:pStyle w:val="TSNumberedParagraph1"/>
      </w:pPr>
      <w:r w:rsidRPr="00CC121D">
        <w:t xml:space="preserve">RGP is established by using the standards that would be applied to a new design as a benchmark and then subjecting any shortfalls to the test of reasonable practicability. Unless the sacrifice entailed in moving towards the benchmark is grossly disproportionate to the safety benefit, the </w:t>
      </w:r>
      <w:proofErr w:type="spellStart"/>
      <w:r w:rsidR="00AB10BE">
        <w:t>dutyholder</w:t>
      </w:r>
      <w:proofErr w:type="spellEnd"/>
      <w:r w:rsidRPr="00CC121D">
        <w:t xml:space="preserve"> should make that move.</w:t>
      </w:r>
    </w:p>
    <w:p w14:paraId="57304F02" w14:textId="77777777" w:rsidR="00D07AFA" w:rsidRPr="00CC121D" w:rsidRDefault="00D07AFA" w:rsidP="00D07AFA">
      <w:pPr>
        <w:pStyle w:val="TSNumberedParagraph1"/>
      </w:pPr>
      <w:r w:rsidRPr="00CC121D">
        <w:t>In general, ONR states that meeting RGP in engineering, operation and safety management leads to risks that are reduced SFAIRP and numerical risk levels that are at least tolerable, and in many cases broadly acceptable.</w:t>
      </w:r>
    </w:p>
    <w:p w14:paraId="57304F03" w14:textId="2F761469" w:rsidR="00D07AFA" w:rsidRPr="00CC121D" w:rsidRDefault="00D07AFA" w:rsidP="00D07AFA">
      <w:pPr>
        <w:pStyle w:val="TSNumberedParagraph1"/>
      </w:pPr>
      <w:r w:rsidRPr="00CC121D">
        <w:t>Acceptance criteria for RGP evolve over time; because of technological innovations, improvements in the degree of control, cost impact of improvements or knowledge about the hazard.</w:t>
      </w:r>
      <w:r w:rsidR="00561E8F" w:rsidRPr="00561E8F">
        <w:rPr>
          <w:iCs/>
        </w:rPr>
        <w:t xml:space="preserve"> </w:t>
      </w:r>
      <w:r w:rsidR="00561E8F">
        <w:rPr>
          <w:iCs/>
        </w:rPr>
        <w:t>ONR-</w:t>
      </w:r>
      <w:r w:rsidRPr="00CC121D">
        <w:t xml:space="preserve"> </w:t>
      </w:r>
      <w:r w:rsidR="00C47B7F">
        <w:t>NS-TAST-</w:t>
      </w:r>
      <w:r w:rsidR="00C47B7F" w:rsidRPr="00CC121D">
        <w:t xml:space="preserve">GD-005 </w:t>
      </w:r>
      <w:r w:rsidR="00C47B7F">
        <w:t>‘</w:t>
      </w:r>
      <w:r w:rsidR="00C47B7F" w:rsidRPr="00CC121D">
        <w:t>Guidance on the Demonstration of ALARP</w:t>
      </w:r>
      <w:r w:rsidR="00C47B7F">
        <w:t xml:space="preserve">’ </w:t>
      </w:r>
      <w:r w:rsidRPr="00CC121D">
        <w:t>provides specific sources for RGP in the nuclear industry as:</w:t>
      </w:r>
    </w:p>
    <w:p w14:paraId="57304F04" w14:textId="77777777" w:rsidR="00D07AFA" w:rsidRPr="00CC121D" w:rsidRDefault="00D07AFA" w:rsidP="00D07AFA">
      <w:pPr>
        <w:numPr>
          <w:ilvl w:val="2"/>
          <w:numId w:val="10"/>
        </w:numPr>
        <w:spacing w:after="240"/>
        <w:ind w:left="1418"/>
        <w:contextualSpacing/>
      </w:pPr>
      <w:r w:rsidRPr="00CC121D">
        <w:t>Legal Requirements</w:t>
      </w:r>
    </w:p>
    <w:p w14:paraId="57304F05" w14:textId="77777777" w:rsidR="00D07AFA" w:rsidRPr="00CC121D" w:rsidRDefault="00D07AFA" w:rsidP="00D07AFA">
      <w:pPr>
        <w:numPr>
          <w:ilvl w:val="2"/>
          <w:numId w:val="10"/>
        </w:numPr>
        <w:spacing w:after="240"/>
        <w:ind w:left="1418"/>
        <w:contextualSpacing/>
      </w:pPr>
      <w:r w:rsidRPr="00CC121D">
        <w:t>Approved Codes of Practice (</w:t>
      </w:r>
      <w:proofErr w:type="spellStart"/>
      <w:r w:rsidRPr="00CC121D">
        <w:t>AcoP</w:t>
      </w:r>
      <w:proofErr w:type="spellEnd"/>
      <w:r w:rsidRPr="00CC121D">
        <w:t>)</w:t>
      </w:r>
    </w:p>
    <w:p w14:paraId="57304F06" w14:textId="77777777" w:rsidR="00D07AFA" w:rsidRPr="00CC121D" w:rsidRDefault="00D07AFA" w:rsidP="00D07AFA">
      <w:pPr>
        <w:numPr>
          <w:ilvl w:val="2"/>
          <w:numId w:val="10"/>
        </w:numPr>
        <w:spacing w:after="240"/>
        <w:ind w:left="1418"/>
        <w:contextualSpacing/>
      </w:pPr>
      <w:r w:rsidRPr="00CC121D">
        <w:t>Current UK Engineering Standards</w:t>
      </w:r>
    </w:p>
    <w:p w14:paraId="57304F07" w14:textId="77777777" w:rsidR="00D07AFA" w:rsidRPr="00CC121D" w:rsidRDefault="00D07AFA" w:rsidP="00D07AFA">
      <w:pPr>
        <w:numPr>
          <w:ilvl w:val="2"/>
          <w:numId w:val="10"/>
        </w:numPr>
        <w:spacing w:after="240"/>
        <w:ind w:left="1418"/>
        <w:contextualSpacing/>
      </w:pPr>
      <w:r w:rsidRPr="00CC121D">
        <w:t>Standards and Guidance Documents from International Bodies</w:t>
      </w:r>
    </w:p>
    <w:p w14:paraId="57304F08" w14:textId="5967E53E" w:rsidR="00D07AFA" w:rsidRPr="00CC121D" w:rsidRDefault="00D07AFA" w:rsidP="00D07AFA">
      <w:pPr>
        <w:numPr>
          <w:ilvl w:val="2"/>
          <w:numId w:val="10"/>
        </w:numPr>
        <w:spacing w:after="240"/>
        <w:ind w:left="1418"/>
        <w:contextualSpacing/>
      </w:pPr>
      <w:r w:rsidRPr="00CC121D">
        <w:t>ONR Safety Assessment Principles (SAPs) [</w:t>
      </w:r>
      <w:r w:rsidR="00922AF8">
        <w:t>1</w:t>
      </w:r>
      <w:r w:rsidRPr="00CC121D">
        <w:t>]</w:t>
      </w:r>
    </w:p>
    <w:p w14:paraId="57304F09" w14:textId="77777777" w:rsidR="00D07AFA" w:rsidRPr="00CC121D" w:rsidRDefault="00D07AFA" w:rsidP="00D07AFA">
      <w:pPr>
        <w:numPr>
          <w:ilvl w:val="2"/>
          <w:numId w:val="10"/>
        </w:numPr>
        <w:spacing w:after="240"/>
        <w:ind w:left="1418"/>
        <w:contextualSpacing/>
      </w:pPr>
      <w:r w:rsidRPr="00CC121D">
        <w:t xml:space="preserve">ONR Technical Assessment Guides (TAGs) </w:t>
      </w:r>
    </w:p>
    <w:p w14:paraId="57304F0A" w14:textId="77777777" w:rsidR="00D07AFA" w:rsidRPr="00CC121D" w:rsidRDefault="00D07AFA" w:rsidP="00D07AFA">
      <w:pPr>
        <w:numPr>
          <w:ilvl w:val="2"/>
          <w:numId w:val="10"/>
        </w:numPr>
        <w:spacing w:after="240"/>
        <w:ind w:left="1418"/>
        <w:contextualSpacing/>
      </w:pPr>
      <w:r w:rsidRPr="00CC121D">
        <w:t>ONR Technical Inspection Guides (TIGs)</w:t>
      </w:r>
    </w:p>
    <w:p w14:paraId="57304F0B" w14:textId="77777777" w:rsidR="00D07AFA" w:rsidRDefault="00D07AFA" w:rsidP="00D07AFA">
      <w:pPr>
        <w:numPr>
          <w:ilvl w:val="2"/>
          <w:numId w:val="10"/>
        </w:numPr>
        <w:spacing w:after="240"/>
        <w:ind w:left="1418"/>
        <w:contextualSpacing/>
      </w:pPr>
      <w:r w:rsidRPr="00CC121D">
        <w:t xml:space="preserve">Applicability on Similar installations </w:t>
      </w:r>
    </w:p>
    <w:p w14:paraId="57304F0C" w14:textId="48321706" w:rsidR="004E0406" w:rsidRDefault="00901E21" w:rsidP="00901E21">
      <w:pPr>
        <w:pStyle w:val="TSNumberedParagraph1"/>
      </w:pPr>
      <w:r w:rsidRPr="00CC121D">
        <w:t xml:space="preserve">Specific relevant good practice, </w:t>
      </w:r>
      <w:proofErr w:type="spellStart"/>
      <w:r w:rsidRPr="00CC121D">
        <w:t>ACoPs</w:t>
      </w:r>
      <w:proofErr w:type="spellEnd"/>
      <w:r w:rsidRPr="00CC121D">
        <w:t xml:space="preserve"> and other standards are provided in Section 5 </w:t>
      </w:r>
      <w:r>
        <w:t xml:space="preserve">of the </w:t>
      </w:r>
      <w:r w:rsidRPr="00CC121D">
        <w:t xml:space="preserve">annexes as guidance, but the Inspector </w:t>
      </w:r>
      <w:r w:rsidR="00B579FF">
        <w:t>may</w:t>
      </w:r>
      <w:r w:rsidRPr="00CC121D">
        <w:t xml:space="preserve"> </w:t>
      </w:r>
      <w:r w:rsidR="00B579FF">
        <w:t>wish to undertake</w:t>
      </w:r>
      <w:r w:rsidRPr="00CC121D">
        <w:t xml:space="preserve"> their own research regarding the relevant good practice that applies to specific situations that they assess.</w:t>
      </w:r>
    </w:p>
    <w:p w14:paraId="107A8AF8" w14:textId="5718919B" w:rsidR="00901E21" w:rsidRPr="00CC121D" w:rsidRDefault="004E0406" w:rsidP="004E0406">
      <w:r>
        <w:br w:type="page"/>
      </w:r>
    </w:p>
    <w:p w14:paraId="57304F0D" w14:textId="780E4A44" w:rsidR="00D07AFA" w:rsidRPr="00CC121D" w:rsidRDefault="00D07AFA" w:rsidP="00D07AFA">
      <w:pPr>
        <w:pStyle w:val="TSHeadingNumbered11"/>
      </w:pPr>
      <w:bookmarkStart w:id="29" w:name="_Toc43723299"/>
      <w:bookmarkStart w:id="30" w:name="_Toc57912688"/>
      <w:r w:rsidRPr="00CC121D">
        <w:t>The Construction (Design and Management) Regulations 2015 (CDM2015)</w:t>
      </w:r>
      <w:bookmarkEnd w:id="29"/>
      <w:bookmarkEnd w:id="30"/>
    </w:p>
    <w:p w14:paraId="2710578A" w14:textId="5619B90C" w:rsidR="00BB6301" w:rsidRDefault="00FA2487" w:rsidP="00FA2487">
      <w:pPr>
        <w:pStyle w:val="TSNumberedParagraph1"/>
        <w:tabs>
          <w:tab w:val="clear" w:pos="-31680"/>
        </w:tabs>
      </w:pPr>
      <w:r>
        <w:t xml:space="preserve">The Inspector is reminded of </w:t>
      </w:r>
      <w:r w:rsidR="00230842">
        <w:t xml:space="preserve">Section 9 of </w:t>
      </w:r>
      <w:r w:rsidR="00D07AFA" w:rsidRPr="00CC121D">
        <w:t>CDM2015 [</w:t>
      </w:r>
      <w:r w:rsidR="00C47B7F">
        <w:t>1</w:t>
      </w:r>
      <w:r>
        <w:t>6</w:t>
      </w:r>
      <w:r w:rsidR="00D07AFA" w:rsidRPr="00CC121D">
        <w:t xml:space="preserve">], </w:t>
      </w:r>
      <w:r>
        <w:t xml:space="preserve">which </w:t>
      </w:r>
      <w:r w:rsidR="00D07AFA" w:rsidRPr="00CC121D">
        <w:t>places duties on designers</w:t>
      </w:r>
      <w:r>
        <w:rPr>
          <w:rStyle w:val="CommentReference"/>
        </w:rPr>
        <w:t>.</w:t>
      </w:r>
      <w:r>
        <w:t xml:space="preserve"> </w:t>
      </w:r>
      <w:r w:rsidR="00BB6301">
        <w:t>Further, the Principle Designer and Principal Contractors have additional duties in preparing pre-construction phase plan and health and safety files, which are information that are mandatorily required by CDM2015 for a construction project in G</w:t>
      </w:r>
      <w:r w:rsidR="0000171C">
        <w:t>reat Britain</w:t>
      </w:r>
      <w:r w:rsidR="00BB6301">
        <w:t>.</w:t>
      </w:r>
      <w:r>
        <w:t xml:space="preserve"> </w:t>
      </w:r>
    </w:p>
    <w:p w14:paraId="57304F10" w14:textId="6751409D" w:rsidR="00765DDA" w:rsidRPr="00CC121D" w:rsidRDefault="00765DDA" w:rsidP="00765DDA">
      <w:pPr>
        <w:pStyle w:val="TSNumberedParagraph1"/>
      </w:pPr>
      <w:r w:rsidRPr="000F2702">
        <w:t>For civil engineering, this incl</w:t>
      </w:r>
      <w:r>
        <w:t>udes a requirement placed upon the designer to consider the risks during</w:t>
      </w:r>
      <w:r w:rsidRPr="000F2702">
        <w:t xml:space="preserve"> construction, operation, </w:t>
      </w:r>
      <w:r w:rsidR="005839E1">
        <w:t>examination, inspection, maintenance and testing (</w:t>
      </w:r>
      <w:r w:rsidRPr="000F2702">
        <w:t>EIMT</w:t>
      </w:r>
      <w:r w:rsidR="005839E1">
        <w:t>)</w:t>
      </w:r>
      <w:r w:rsidRPr="000F2702">
        <w:t>, decommissioning and demolition.</w:t>
      </w:r>
    </w:p>
    <w:p w14:paraId="57304F11" w14:textId="6D20232F" w:rsidR="00D07AFA" w:rsidRDefault="00D07AFA" w:rsidP="00D07AFA">
      <w:pPr>
        <w:pStyle w:val="TSNumberedParagraph1"/>
      </w:pPr>
      <w:r w:rsidRPr="00CC121D">
        <w:t xml:space="preserve">As such, CDM2015 place duties on designers, as part of their design activities, to take due recognition of health and safety throughout the whole design life </w:t>
      </w:r>
      <w:r w:rsidR="00F92BB5">
        <w:t>of the item they are designing.</w:t>
      </w:r>
      <w:r w:rsidR="00765DDA">
        <w:t xml:space="preserve"> C</w:t>
      </w:r>
      <w:r w:rsidRPr="00CC121D">
        <w:t>D</w:t>
      </w:r>
      <w:r w:rsidR="00765DDA">
        <w:t>M</w:t>
      </w:r>
      <w:r w:rsidRPr="00CC121D">
        <w:t>2015 applies to construction projects in Great Britain and place specific legal duties and requirements on organisations and individuals</w:t>
      </w:r>
      <w:r w:rsidR="00C47B7F">
        <w:t xml:space="preserve"> who undertake specific roles </w:t>
      </w:r>
      <w:r w:rsidRPr="00CC121D">
        <w:t>e.g. Clients, Designers, Principal Designers, Principal Contractors, and Workers etc. It is the responsibility of the parties who hold duties to understand and comply with the legal duties a</w:t>
      </w:r>
      <w:r w:rsidR="00F92BB5">
        <w:t>nd requirements placed on them.</w:t>
      </w:r>
    </w:p>
    <w:p w14:paraId="57304F12" w14:textId="6B063660" w:rsidR="00600FEB" w:rsidRDefault="00600FEB" w:rsidP="00D07AFA">
      <w:pPr>
        <w:pStyle w:val="TSNumberedParagraph1"/>
      </w:pPr>
      <w:r>
        <w:t xml:space="preserve">For the purposes of CDM and the consideration of the civil engineering safety case, the designer duties may apply to the </w:t>
      </w:r>
      <w:r w:rsidR="009B508D">
        <w:t>I</w:t>
      </w:r>
      <w:r>
        <w:t xml:space="preserve">ntelligent </w:t>
      </w:r>
      <w:r w:rsidR="009B508D">
        <w:t>C</w:t>
      </w:r>
      <w:r>
        <w:t xml:space="preserve">ustomer, </w:t>
      </w:r>
      <w:r w:rsidR="009B508D">
        <w:t>D</w:t>
      </w:r>
      <w:r>
        <w:t xml:space="preserve">esign </w:t>
      </w:r>
      <w:r w:rsidR="009B508D">
        <w:t>A</w:t>
      </w:r>
      <w:r>
        <w:t>uthority and/or in-house or supply chain designers, as well as those</w:t>
      </w:r>
      <w:r w:rsidRPr="00600FEB">
        <w:t xml:space="preserve"> </w:t>
      </w:r>
      <w:r>
        <w:t>decision making parts of the organisation management</w:t>
      </w:r>
      <w:r w:rsidR="009B508D">
        <w:t xml:space="preserve"> throughout the life of the site, from design and construction through to decommissioning and delicensing</w:t>
      </w:r>
      <w:r>
        <w:t xml:space="preserve">. The Client duties remain with the </w:t>
      </w:r>
      <w:r w:rsidR="00FA434B">
        <w:t>Licensee</w:t>
      </w:r>
      <w:r>
        <w:t xml:space="preserve">, to ensure there are adequate resources available to complete the work. The Inspector </w:t>
      </w:r>
      <w:r w:rsidR="005E7C82">
        <w:t>is reminded that</w:t>
      </w:r>
      <w:r w:rsidR="001C1316">
        <w:t>,</w:t>
      </w:r>
      <w:r w:rsidR="005E7C82">
        <w:t xml:space="preserve"> when engaging with the </w:t>
      </w:r>
      <w:proofErr w:type="spellStart"/>
      <w:r w:rsidR="005E7C82">
        <w:t>dutyholder</w:t>
      </w:r>
      <w:proofErr w:type="spellEnd"/>
      <w:r w:rsidR="005E7C82">
        <w:t xml:space="preserve">, the persons they engage with may hold </w:t>
      </w:r>
      <w:r>
        <w:t>duties under CDM</w:t>
      </w:r>
      <w:r w:rsidR="00655A8B">
        <w:t>, dependent on their role</w:t>
      </w:r>
      <w:r>
        <w:t>.</w:t>
      </w:r>
    </w:p>
    <w:p w14:paraId="0CC87732" w14:textId="70CF1B5C" w:rsidR="00415B1C" w:rsidRDefault="00415B1C" w:rsidP="00D07AFA">
      <w:pPr>
        <w:pStyle w:val="TSNumberedParagraph1"/>
      </w:pPr>
      <w:r>
        <w:rPr>
          <w:rFonts w:cs="Arial"/>
          <w:szCs w:val="22"/>
        </w:rPr>
        <w:t xml:space="preserve">The Inspector may wish to undertake an exercise of mapping CDM duties to the relevant sections in their sample of assessment. The </w:t>
      </w:r>
      <w:r w:rsidR="000728BF">
        <w:rPr>
          <w:rFonts w:cs="Arial"/>
          <w:szCs w:val="22"/>
        </w:rPr>
        <w:t xml:space="preserve">Inspector is reminded of the interface with the ONR </w:t>
      </w:r>
      <w:r>
        <w:rPr>
          <w:rFonts w:cs="Arial"/>
          <w:szCs w:val="22"/>
        </w:rPr>
        <w:t>conventional health and safety</w:t>
      </w:r>
      <w:r w:rsidR="000728BF">
        <w:rPr>
          <w:rFonts w:cs="Arial"/>
          <w:szCs w:val="22"/>
        </w:rPr>
        <w:t xml:space="preserve"> inspectors</w:t>
      </w:r>
      <w:r w:rsidR="00CA2509">
        <w:rPr>
          <w:rFonts w:cs="Arial"/>
          <w:szCs w:val="22"/>
        </w:rPr>
        <w:t>,</w:t>
      </w:r>
      <w:r w:rsidR="000B08A7">
        <w:rPr>
          <w:rFonts w:cs="Arial"/>
          <w:szCs w:val="22"/>
        </w:rPr>
        <w:t xml:space="preserve"> and</w:t>
      </w:r>
      <w:r w:rsidR="00CA2509">
        <w:rPr>
          <w:rFonts w:cs="Arial"/>
          <w:szCs w:val="22"/>
        </w:rPr>
        <w:t xml:space="preserve"> </w:t>
      </w:r>
      <w:r w:rsidR="001B45D1">
        <w:rPr>
          <w:rFonts w:cs="Arial"/>
          <w:szCs w:val="22"/>
        </w:rPr>
        <w:t xml:space="preserve">a technical inspection </w:t>
      </w:r>
      <w:r w:rsidR="00CA2509">
        <w:rPr>
          <w:rFonts w:cs="Arial"/>
          <w:szCs w:val="22"/>
        </w:rPr>
        <w:t>guid</w:t>
      </w:r>
      <w:r w:rsidR="001B45D1">
        <w:rPr>
          <w:rFonts w:cs="Arial"/>
          <w:szCs w:val="22"/>
        </w:rPr>
        <w:t>e (TIG)</w:t>
      </w:r>
      <w:r w:rsidR="00CA2509">
        <w:rPr>
          <w:rFonts w:cs="Arial"/>
          <w:szCs w:val="22"/>
        </w:rPr>
        <w:t xml:space="preserve"> </w:t>
      </w:r>
      <w:r w:rsidR="000B08A7">
        <w:rPr>
          <w:rFonts w:cs="Arial"/>
          <w:szCs w:val="22"/>
        </w:rPr>
        <w:t xml:space="preserve">is due to be available in </w:t>
      </w:r>
      <w:r w:rsidR="001B45D1">
        <w:rPr>
          <w:rFonts w:cs="Arial"/>
          <w:szCs w:val="22"/>
        </w:rPr>
        <w:t>2021</w:t>
      </w:r>
      <w:r>
        <w:rPr>
          <w:rFonts w:cs="Arial"/>
          <w:szCs w:val="22"/>
        </w:rPr>
        <w:t>.</w:t>
      </w:r>
      <w:r w:rsidR="00CA2509">
        <w:rPr>
          <w:rFonts w:cs="Arial"/>
          <w:szCs w:val="22"/>
        </w:rPr>
        <w:t xml:space="preserve"> </w:t>
      </w:r>
      <w:r w:rsidR="000B08A7">
        <w:rPr>
          <w:rFonts w:cs="Arial"/>
          <w:szCs w:val="22"/>
        </w:rPr>
        <w:t>In the interim, a</w:t>
      </w:r>
      <w:r w:rsidR="00CA2509">
        <w:rPr>
          <w:rFonts w:cs="Arial"/>
          <w:szCs w:val="22"/>
        </w:rPr>
        <w:t xml:space="preserve"> mapping guide</w:t>
      </w:r>
      <w:r w:rsidR="00F46B1D">
        <w:rPr>
          <w:rFonts w:cs="Arial"/>
          <w:szCs w:val="22"/>
        </w:rPr>
        <w:t xml:space="preserve"> [1</w:t>
      </w:r>
      <w:r w:rsidR="00197292">
        <w:rPr>
          <w:rFonts w:cs="Arial"/>
          <w:szCs w:val="22"/>
        </w:rPr>
        <w:t>7</w:t>
      </w:r>
      <w:r w:rsidR="00F46B1D">
        <w:rPr>
          <w:rFonts w:cs="Arial"/>
          <w:szCs w:val="22"/>
        </w:rPr>
        <w:t>]</w:t>
      </w:r>
      <w:r w:rsidR="00CA2509">
        <w:rPr>
          <w:rFonts w:cs="Arial"/>
          <w:szCs w:val="22"/>
        </w:rPr>
        <w:t xml:space="preserve"> has been provided</w:t>
      </w:r>
      <w:r w:rsidR="002160CE">
        <w:rPr>
          <w:rFonts w:cs="Arial"/>
          <w:szCs w:val="22"/>
        </w:rPr>
        <w:t xml:space="preserve"> referencing all </w:t>
      </w:r>
      <w:r w:rsidR="00CC4125">
        <w:rPr>
          <w:rFonts w:cs="Arial"/>
          <w:szCs w:val="22"/>
        </w:rPr>
        <w:t xml:space="preserve">ONR </w:t>
      </w:r>
      <w:r w:rsidR="002160CE">
        <w:rPr>
          <w:rFonts w:cs="Arial"/>
          <w:szCs w:val="22"/>
        </w:rPr>
        <w:t>TAG documents</w:t>
      </w:r>
      <w:r w:rsidR="002B1562">
        <w:rPr>
          <w:rFonts w:cs="Arial"/>
          <w:szCs w:val="22"/>
        </w:rPr>
        <w:t xml:space="preserve"> for inspectors to consider</w:t>
      </w:r>
      <w:r w:rsidR="002160CE">
        <w:rPr>
          <w:rFonts w:cs="Arial"/>
          <w:szCs w:val="22"/>
        </w:rPr>
        <w:t>.</w:t>
      </w:r>
    </w:p>
    <w:p w14:paraId="1B572C92" w14:textId="77777777" w:rsidR="00B307EB" w:rsidRPr="00DD26A3" w:rsidRDefault="00B307EB" w:rsidP="00B307EB">
      <w:pPr>
        <w:numPr>
          <w:ilvl w:val="0"/>
          <w:numId w:val="4"/>
        </w:numPr>
        <w:overflowPunct w:val="0"/>
        <w:autoSpaceDE w:val="0"/>
        <w:autoSpaceDN w:val="0"/>
        <w:adjustRightInd w:val="0"/>
        <w:spacing w:before="220" w:after="220"/>
        <w:outlineLvl w:val="0"/>
      </w:pPr>
      <w:r>
        <w:t>The Inspector is directed toward these key principles related to CDM as part of nuclear safety civil engineering assessment:</w:t>
      </w:r>
    </w:p>
    <w:p w14:paraId="7A558D4A" w14:textId="77777777" w:rsidR="00B307EB" w:rsidRPr="00DD26A3" w:rsidRDefault="00B307EB" w:rsidP="00B307EB">
      <w:pPr>
        <w:pStyle w:val="TSBullet1Square"/>
        <w:numPr>
          <w:ilvl w:val="0"/>
          <w:numId w:val="11"/>
        </w:numPr>
        <w:tabs>
          <w:tab w:val="num" w:pos="-31680"/>
        </w:tabs>
        <w:ind w:hanging="720"/>
        <w:rPr>
          <w:lang w:eastAsia="en-GB"/>
        </w:rPr>
      </w:pPr>
      <w:r w:rsidRPr="00DD26A3">
        <w:rPr>
          <w:lang w:eastAsia="en-GB"/>
        </w:rPr>
        <w:t>managing the risks by applying the general principles of prev</w:t>
      </w:r>
      <w:r>
        <w:rPr>
          <w:lang w:eastAsia="en-GB"/>
        </w:rPr>
        <w:t>ention during design,</w:t>
      </w:r>
    </w:p>
    <w:p w14:paraId="3F1A4F30" w14:textId="19226CC7" w:rsidR="00B307EB" w:rsidRPr="00DD26A3" w:rsidRDefault="00B307EB" w:rsidP="00B307EB">
      <w:pPr>
        <w:pStyle w:val="TSBullet1Square"/>
        <w:numPr>
          <w:ilvl w:val="0"/>
          <w:numId w:val="11"/>
        </w:numPr>
        <w:tabs>
          <w:tab w:val="num" w:pos="-31680"/>
        </w:tabs>
        <w:ind w:hanging="720"/>
        <w:rPr>
          <w:lang w:eastAsia="en-GB"/>
        </w:rPr>
      </w:pPr>
      <w:r w:rsidRPr="00DD26A3">
        <w:rPr>
          <w:lang w:eastAsia="en-GB"/>
        </w:rPr>
        <w:t xml:space="preserve">appointing </w:t>
      </w:r>
      <w:r w:rsidR="005839E1">
        <w:rPr>
          <w:lang w:eastAsia="en-GB"/>
        </w:rPr>
        <w:t xml:space="preserve">suitably qualified and experienced personnel </w:t>
      </w:r>
      <w:r>
        <w:rPr>
          <w:lang w:eastAsia="en-GB"/>
        </w:rPr>
        <w:t xml:space="preserve">(SQEP) </w:t>
      </w:r>
      <w:r w:rsidRPr="00DD26A3">
        <w:rPr>
          <w:lang w:eastAsia="en-GB"/>
        </w:rPr>
        <w:t xml:space="preserve">and </w:t>
      </w:r>
      <w:r w:rsidR="005839E1">
        <w:rPr>
          <w:lang w:eastAsia="en-GB"/>
        </w:rPr>
        <w:t xml:space="preserve">appointing </w:t>
      </w:r>
      <w:r w:rsidRPr="00DD26A3">
        <w:rPr>
          <w:lang w:eastAsia="en-GB"/>
        </w:rPr>
        <w:t>o</w:t>
      </w:r>
      <w:r>
        <w:rPr>
          <w:lang w:eastAsia="en-GB"/>
        </w:rPr>
        <w:t xml:space="preserve">rganisations at the </w:t>
      </w:r>
      <w:r w:rsidR="004051FE">
        <w:rPr>
          <w:lang w:eastAsia="en-GB"/>
        </w:rPr>
        <w:t>appropriate</w:t>
      </w:r>
      <w:r>
        <w:rPr>
          <w:lang w:eastAsia="en-GB"/>
        </w:rPr>
        <w:t xml:space="preserve"> time, with all those who hold a CDM role understanding their responsibilities under CDM</w:t>
      </w:r>
      <w:r w:rsidR="00AD039A">
        <w:rPr>
          <w:lang w:eastAsia="en-GB"/>
        </w:rPr>
        <w:t>,</w:t>
      </w:r>
    </w:p>
    <w:p w14:paraId="5A0341DA" w14:textId="388E30AF" w:rsidR="00F01318" w:rsidRDefault="00B307EB" w:rsidP="002A03F6">
      <w:pPr>
        <w:pStyle w:val="TSBullet1Square"/>
        <w:numPr>
          <w:ilvl w:val="0"/>
          <w:numId w:val="11"/>
        </w:numPr>
        <w:tabs>
          <w:tab w:val="num" w:pos="-31680"/>
        </w:tabs>
        <w:ind w:hanging="720"/>
      </w:pPr>
      <w:r w:rsidRPr="00DD26A3">
        <w:rPr>
          <w:lang w:eastAsia="en-GB"/>
        </w:rPr>
        <w:t>duty holders cooperating and communicating with each oth</w:t>
      </w:r>
      <w:r>
        <w:rPr>
          <w:lang w:eastAsia="en-GB"/>
        </w:rPr>
        <w:t>er and coordinating their work</w:t>
      </w:r>
      <w:r w:rsidRPr="00DD26A3">
        <w:rPr>
          <w:lang w:eastAsia="en-GB"/>
        </w:rPr>
        <w:t>.</w:t>
      </w:r>
    </w:p>
    <w:p w14:paraId="57304F13" w14:textId="40F38A09" w:rsidR="00D07AFA" w:rsidRPr="00CC121D" w:rsidRDefault="00D07AFA" w:rsidP="00F01318">
      <w:pPr>
        <w:numPr>
          <w:ilvl w:val="0"/>
          <w:numId w:val="4"/>
        </w:numPr>
        <w:overflowPunct w:val="0"/>
        <w:autoSpaceDE w:val="0"/>
        <w:autoSpaceDN w:val="0"/>
        <w:adjustRightInd w:val="0"/>
        <w:spacing w:before="220" w:after="220"/>
        <w:outlineLvl w:val="0"/>
      </w:pPr>
      <w:r w:rsidRPr="00CC121D">
        <w:t>For more guidance</w:t>
      </w:r>
      <w:r w:rsidR="006D6BBC">
        <w:t xml:space="preserve"> on CDM2015</w:t>
      </w:r>
      <w:r w:rsidRPr="00CC121D">
        <w:t>, see</w:t>
      </w:r>
      <w:r w:rsidR="00F92BB5">
        <w:t>:</w:t>
      </w:r>
    </w:p>
    <w:p w14:paraId="57304F15" w14:textId="736E960E" w:rsidR="00D07AFA" w:rsidRDefault="00D07AFA" w:rsidP="00D07AFA">
      <w:pPr>
        <w:numPr>
          <w:ilvl w:val="2"/>
          <w:numId w:val="10"/>
        </w:numPr>
        <w:spacing w:after="240"/>
        <w:ind w:left="1418"/>
        <w:contextualSpacing/>
      </w:pPr>
      <w:r w:rsidRPr="00CC121D">
        <w:t>L153 ‘Managing health and safety in construction’ CDM2015 [</w:t>
      </w:r>
      <w:r w:rsidR="001768EE">
        <w:t>8</w:t>
      </w:r>
      <w:r w:rsidRPr="00CC121D">
        <w:t>]</w:t>
      </w:r>
      <w:r w:rsidR="00F92BB5">
        <w:t>,</w:t>
      </w:r>
    </w:p>
    <w:p w14:paraId="175A1677" w14:textId="0A8EF754" w:rsidR="007E159B" w:rsidRPr="000F2702" w:rsidRDefault="007E159B" w:rsidP="007E159B">
      <w:pPr>
        <w:numPr>
          <w:ilvl w:val="2"/>
          <w:numId w:val="10"/>
        </w:numPr>
        <w:tabs>
          <w:tab w:val="clear" w:pos="-31680"/>
        </w:tabs>
        <w:spacing w:after="240"/>
        <w:ind w:left="1418"/>
        <w:contextualSpacing/>
      </w:pPr>
      <w:r w:rsidRPr="000F2702">
        <w:t>HSG150 Health and Safety in Construction</w:t>
      </w:r>
      <w:r>
        <w:t xml:space="preserve"> </w:t>
      </w:r>
      <w:r w:rsidR="0060612D">
        <w:t>[1</w:t>
      </w:r>
      <w:r w:rsidR="00197292">
        <w:t>8</w:t>
      </w:r>
      <w:r w:rsidR="0060612D">
        <w:t>],</w:t>
      </w:r>
    </w:p>
    <w:p w14:paraId="761CA13A" w14:textId="5506E81B" w:rsidR="007E159B" w:rsidRPr="000F2702" w:rsidRDefault="007E159B" w:rsidP="007E159B">
      <w:pPr>
        <w:numPr>
          <w:ilvl w:val="2"/>
          <w:numId w:val="10"/>
        </w:numPr>
        <w:tabs>
          <w:tab w:val="clear" w:pos="-31680"/>
        </w:tabs>
        <w:spacing w:after="240"/>
        <w:ind w:left="1418"/>
        <w:contextualSpacing/>
      </w:pPr>
      <w:r w:rsidRPr="000F2702">
        <w:t>INDG411 A quick guide for clients on CDM2015</w:t>
      </w:r>
      <w:r w:rsidR="0060612D">
        <w:t xml:space="preserve"> [</w:t>
      </w:r>
      <w:r w:rsidR="00924AB4">
        <w:t>1</w:t>
      </w:r>
      <w:r w:rsidR="00197292">
        <w:t>9</w:t>
      </w:r>
      <w:r w:rsidR="0060612D">
        <w:t>]</w:t>
      </w:r>
      <w:r>
        <w:t>,</w:t>
      </w:r>
    </w:p>
    <w:p w14:paraId="436231A5" w14:textId="15241325" w:rsidR="007E159B" w:rsidRPr="00CC121D" w:rsidRDefault="007E159B" w:rsidP="007E159B">
      <w:pPr>
        <w:numPr>
          <w:ilvl w:val="2"/>
          <w:numId w:val="10"/>
        </w:numPr>
        <w:spacing w:after="240"/>
        <w:ind w:left="1418"/>
        <w:contextualSpacing/>
      </w:pPr>
      <w:r w:rsidRPr="000F2702">
        <w:t>CIRIA C756 “CDM2015 Workplace ‘in-use’ guidance for designers</w:t>
      </w:r>
      <w:r w:rsidR="0060612D">
        <w:t xml:space="preserve"> [</w:t>
      </w:r>
      <w:r w:rsidR="00197292">
        <w:t>20</w:t>
      </w:r>
      <w:r w:rsidR="0060612D">
        <w:t>]</w:t>
      </w:r>
    </w:p>
    <w:p w14:paraId="7DC2D1A8" w14:textId="77777777" w:rsidR="00941080" w:rsidRDefault="0076616F" w:rsidP="008F3139">
      <w:pPr>
        <w:pStyle w:val="TSNumberedParagraph1"/>
      </w:pPr>
      <w:r>
        <w:t>T</w:t>
      </w:r>
      <w:r w:rsidR="006D6BBC">
        <w:t xml:space="preserve">hose who hold roles under CDM2015 </w:t>
      </w:r>
      <w:r w:rsidR="00CA467B">
        <w:t xml:space="preserve">may </w:t>
      </w:r>
      <w:r w:rsidR="007E159B">
        <w:t>also hold roles of Design Authority (DA) or Intelligent Customer (IC)</w:t>
      </w:r>
      <w:r w:rsidR="00DB098C">
        <w:t>. O</w:t>
      </w:r>
      <w:r w:rsidR="007E159B">
        <w:t xml:space="preserve">ccasionally the responsibilities under CDM and Design Authority </w:t>
      </w:r>
      <w:r w:rsidR="00B67AC4">
        <w:t>are similar in intent, with the DA and IC focused on nuclear safety and quality</w:t>
      </w:r>
      <w:r w:rsidR="007E159B">
        <w:t xml:space="preserve">. </w:t>
      </w:r>
    </w:p>
    <w:p w14:paraId="207B68DC" w14:textId="77777777" w:rsidR="00941080" w:rsidRDefault="00941080">
      <w:r>
        <w:br w:type="page"/>
      </w:r>
    </w:p>
    <w:p w14:paraId="635C1E24" w14:textId="35F20375" w:rsidR="00C47B7F" w:rsidRDefault="00C47B7F" w:rsidP="008F3139">
      <w:pPr>
        <w:pStyle w:val="TSNumberedParagraph1"/>
      </w:pPr>
      <w:r>
        <w:t xml:space="preserve">For guidance </w:t>
      </w:r>
      <w:r w:rsidR="006D6BBC">
        <w:t xml:space="preserve">regarding </w:t>
      </w:r>
      <w:r w:rsidR="007E159B">
        <w:t>responsibilities of DA and IC, see:</w:t>
      </w:r>
    </w:p>
    <w:p w14:paraId="57304F16" w14:textId="790C500A" w:rsidR="00D07AFA" w:rsidRDefault="00561E8F" w:rsidP="00D07AFA">
      <w:pPr>
        <w:numPr>
          <w:ilvl w:val="2"/>
          <w:numId w:val="10"/>
        </w:numPr>
        <w:spacing w:after="240"/>
        <w:ind w:left="1418"/>
        <w:contextualSpacing/>
      </w:pPr>
      <w:r>
        <w:rPr>
          <w:iCs/>
        </w:rPr>
        <w:t>ONR-</w:t>
      </w:r>
      <w:r w:rsidR="00D07AFA" w:rsidRPr="00CC121D">
        <w:t xml:space="preserve">NS-TAST-GD-079 </w:t>
      </w:r>
      <w:r w:rsidR="0060612D">
        <w:t>‘</w:t>
      </w:r>
      <w:r w:rsidR="00D07AFA" w:rsidRPr="00CC121D">
        <w:t>Licensee Design Authority Capability</w:t>
      </w:r>
      <w:r w:rsidR="0060612D">
        <w:t>’</w:t>
      </w:r>
      <w:r w:rsidR="00F92BB5">
        <w:t>,</w:t>
      </w:r>
    </w:p>
    <w:p w14:paraId="57304F17" w14:textId="5AABF669" w:rsidR="00765DDA" w:rsidRDefault="00561E8F" w:rsidP="00D07AFA">
      <w:pPr>
        <w:numPr>
          <w:ilvl w:val="2"/>
          <w:numId w:val="10"/>
        </w:numPr>
        <w:spacing w:after="240"/>
        <w:ind w:left="1418"/>
        <w:contextualSpacing/>
      </w:pPr>
      <w:r>
        <w:rPr>
          <w:iCs/>
        </w:rPr>
        <w:t>ONR-</w:t>
      </w:r>
      <w:r w:rsidR="00C61227" w:rsidRPr="009B38C7">
        <w:t>NS-TAST-GD-049 ‘Licensee Core Safety and Intelligent Customer Capabilities’</w:t>
      </w:r>
    </w:p>
    <w:p w14:paraId="57304F1C" w14:textId="542AA1E5" w:rsidR="00D07AFA" w:rsidRPr="00CC121D" w:rsidRDefault="00D07AFA" w:rsidP="00D07AFA">
      <w:pPr>
        <w:pStyle w:val="TSHeadingNumbered11"/>
      </w:pPr>
      <w:bookmarkStart w:id="31" w:name="_Toc57912689"/>
      <w:r w:rsidRPr="00CC121D">
        <w:t>Other Legislation</w:t>
      </w:r>
      <w:bookmarkEnd w:id="31"/>
    </w:p>
    <w:p w14:paraId="57304F1D" w14:textId="77777777" w:rsidR="00D07AFA" w:rsidRPr="00CC121D" w:rsidRDefault="00D07AFA" w:rsidP="0060612D">
      <w:pPr>
        <w:pStyle w:val="TSHeadingNumbered111"/>
      </w:pPr>
      <w:r w:rsidRPr="00CC121D">
        <w:t>The Nuclear Indus</w:t>
      </w:r>
      <w:r w:rsidR="00F92BB5">
        <w:t>tries Security Regulations 2003.</w:t>
      </w:r>
    </w:p>
    <w:p w14:paraId="57304F1E" w14:textId="1E3B2330" w:rsidR="00D07AFA" w:rsidRPr="00CC121D" w:rsidRDefault="00D07AFA" w:rsidP="00D07AFA">
      <w:pPr>
        <w:pStyle w:val="TSNumberedParagraph1"/>
      </w:pPr>
      <w:r w:rsidRPr="00CC121D">
        <w:t>Nuclear Industries Security Regulations 2003 (as amended) (NISR) [</w:t>
      </w:r>
      <w:r w:rsidR="00441DC3">
        <w:t>21</w:t>
      </w:r>
      <w:r w:rsidRPr="00CC121D">
        <w:t xml:space="preserve">] places obligations on the operators of civil licensed nuclear sites with regard to physical security measures for installations, nuclear material and the security of sensitive nuclear information (SNI). NISR also covers the vetting of permanent staff and contractors. This legislation requires all civil nuclear operators to produce and implement robust nuclear site security plans (NSSP). Developers of civil nuclear </w:t>
      </w:r>
      <w:r w:rsidR="0060612D">
        <w:t>facilities</w:t>
      </w:r>
      <w:r w:rsidR="0060612D" w:rsidRPr="00CC121D">
        <w:t xml:space="preserve"> </w:t>
      </w:r>
      <w:r w:rsidRPr="00CC121D">
        <w:t>have obligations for considering security during the design and construction stages.</w:t>
      </w:r>
    </w:p>
    <w:p w14:paraId="57304F1F" w14:textId="77777777" w:rsidR="00D07AFA" w:rsidRPr="00CC121D" w:rsidRDefault="00D07AFA" w:rsidP="0060612D">
      <w:pPr>
        <w:pStyle w:val="TSHeadingNumbered111"/>
      </w:pPr>
      <w:r w:rsidRPr="00CC121D">
        <w:t>The Ionising Radiations Regulations and REPPIR</w:t>
      </w:r>
      <w:r w:rsidR="00F92BB5">
        <w:t>.</w:t>
      </w:r>
    </w:p>
    <w:p w14:paraId="57304F20" w14:textId="122261B8" w:rsidR="00D07AFA" w:rsidRPr="00CC121D" w:rsidRDefault="00D07AFA" w:rsidP="00D07AFA">
      <w:pPr>
        <w:pStyle w:val="TSNumberedParagraph1"/>
      </w:pPr>
      <w:r w:rsidRPr="00CC121D">
        <w:t>There are provisions for nuclear specific regulations under HSWA such as the Ionising Radiation Regulations (2017) [</w:t>
      </w:r>
      <w:r w:rsidR="0060612D">
        <w:t>2</w:t>
      </w:r>
      <w:r w:rsidR="00441DC3">
        <w:t>2</w:t>
      </w:r>
      <w:r w:rsidRPr="00CC121D">
        <w:t>] and Radiation (Emergency Preparedness and Public Information) Regulations (REPPIR 2001) [</w:t>
      </w:r>
      <w:r w:rsidR="0060612D">
        <w:t>2</w:t>
      </w:r>
      <w:r w:rsidR="00441DC3">
        <w:t>3</w:t>
      </w:r>
      <w:r w:rsidRPr="00CC121D">
        <w:t xml:space="preserve">]. These regulations are of particular interest to the civil engineering discipline when referring to any shielding, containment or confinement. Civil engineering structures, systems and components (SSCs) can provide the fundamental safety functional requirements. Engineering controls and design features that are the primary means of restricting exposure to ionising radiation are of interest to the </w:t>
      </w:r>
      <w:r w:rsidR="00F92BB5" w:rsidRPr="00CC121D">
        <w:t xml:space="preserve">civil engineering </w:t>
      </w:r>
      <w:r w:rsidRPr="00CC121D">
        <w:t>Inspector</w:t>
      </w:r>
      <w:r w:rsidR="00F92BB5">
        <w:t>.</w:t>
      </w:r>
    </w:p>
    <w:p w14:paraId="57304F21" w14:textId="77777777" w:rsidR="00D07AFA" w:rsidRPr="00CC121D" w:rsidRDefault="00D07AFA" w:rsidP="00D07AFA">
      <w:pPr>
        <w:pStyle w:val="TSNumberedParagraph1"/>
      </w:pPr>
      <w:r w:rsidRPr="00CC121D">
        <w:t>For more guidance on ‘Fundamental Principles’ regarding legislation, see:</w:t>
      </w:r>
    </w:p>
    <w:p w14:paraId="57304F22" w14:textId="2B214346" w:rsidR="00D07AFA" w:rsidRPr="00CC121D" w:rsidRDefault="00561E8F" w:rsidP="00D07AFA">
      <w:pPr>
        <w:numPr>
          <w:ilvl w:val="2"/>
          <w:numId w:val="10"/>
        </w:numPr>
        <w:spacing w:after="240"/>
        <w:ind w:left="1418"/>
        <w:contextualSpacing/>
      </w:pPr>
      <w:r>
        <w:rPr>
          <w:iCs/>
        </w:rPr>
        <w:t>ONR-</w:t>
      </w:r>
      <w:r w:rsidR="00D07AFA" w:rsidRPr="00CC121D">
        <w:rPr>
          <w:iCs/>
        </w:rPr>
        <w:t>NS-TAST-GD-002 ‘Radiation Shielding’</w:t>
      </w:r>
      <w:r w:rsidR="00F92BB5">
        <w:rPr>
          <w:iCs/>
        </w:rPr>
        <w:t>,</w:t>
      </w:r>
    </w:p>
    <w:p w14:paraId="57304F23" w14:textId="39D40B54" w:rsidR="00D07AFA" w:rsidRPr="00CC121D" w:rsidRDefault="00561E8F" w:rsidP="00D07AFA">
      <w:pPr>
        <w:numPr>
          <w:ilvl w:val="2"/>
          <w:numId w:val="10"/>
        </w:numPr>
        <w:spacing w:after="240"/>
        <w:ind w:left="1418"/>
        <w:contextualSpacing/>
      </w:pPr>
      <w:r>
        <w:rPr>
          <w:iCs/>
        </w:rPr>
        <w:t>ONR-</w:t>
      </w:r>
      <w:r w:rsidR="00D07AFA" w:rsidRPr="00CC121D">
        <w:t>N</w:t>
      </w:r>
      <w:r>
        <w:t>D</w:t>
      </w:r>
      <w:r w:rsidR="00D07AFA" w:rsidRPr="00CC121D">
        <w:t>-TAST-GD-004 ‘Fundamental Principles’</w:t>
      </w:r>
      <w:r w:rsidR="00F92BB5">
        <w:t>,</w:t>
      </w:r>
    </w:p>
    <w:p w14:paraId="57304F24" w14:textId="03452DDD" w:rsidR="00D07AFA" w:rsidRPr="00CC121D" w:rsidRDefault="00407613" w:rsidP="00D07AFA">
      <w:pPr>
        <w:numPr>
          <w:ilvl w:val="2"/>
          <w:numId w:val="10"/>
        </w:numPr>
        <w:spacing w:after="240"/>
        <w:ind w:left="1418"/>
        <w:contextualSpacing/>
      </w:pPr>
      <w:r>
        <w:rPr>
          <w:iCs/>
        </w:rPr>
        <w:t>ONR-N</w:t>
      </w:r>
      <w:r w:rsidR="00D07AFA" w:rsidRPr="00CC121D">
        <w:rPr>
          <w:iCs/>
        </w:rPr>
        <w:t>S-TAST-GD-082 ‘The Technical Assessment of REPPIR Submissions’</w:t>
      </w:r>
      <w:r w:rsidR="00F92BB5">
        <w:rPr>
          <w:iCs/>
        </w:rPr>
        <w:t>,</w:t>
      </w:r>
    </w:p>
    <w:p w14:paraId="57304F25" w14:textId="0FFD31E2" w:rsidR="00D07AFA" w:rsidRPr="00CC121D" w:rsidRDefault="00407613" w:rsidP="00D07AFA">
      <w:pPr>
        <w:numPr>
          <w:ilvl w:val="2"/>
          <w:numId w:val="10"/>
        </w:numPr>
        <w:spacing w:after="240"/>
        <w:ind w:left="1418"/>
        <w:contextualSpacing/>
      </w:pPr>
      <w:r>
        <w:rPr>
          <w:iCs/>
        </w:rPr>
        <w:t>ONR-</w:t>
      </w:r>
      <w:r w:rsidR="00D07AFA" w:rsidRPr="00CC121D">
        <w:t>NS-INSP-GD-054 ‘The Ionising Radiations Regulations 2017’</w:t>
      </w:r>
      <w:r w:rsidR="00F92BB5">
        <w:t>,</w:t>
      </w:r>
    </w:p>
    <w:p w14:paraId="57304F26" w14:textId="6FEABBC5" w:rsidR="00D07AFA" w:rsidRPr="00CC121D" w:rsidRDefault="00D07AFA" w:rsidP="00D07AFA">
      <w:pPr>
        <w:numPr>
          <w:ilvl w:val="2"/>
          <w:numId w:val="10"/>
        </w:numPr>
        <w:spacing w:after="240"/>
        <w:ind w:left="1418"/>
        <w:contextualSpacing/>
      </w:pPr>
      <w:r w:rsidRPr="00CC121D">
        <w:t>HSE Guidance ACOP L121 ‘Working with ionising radiation’</w:t>
      </w:r>
      <w:r w:rsidR="00CB4FFE">
        <w:t xml:space="preserve"> [2</w:t>
      </w:r>
      <w:r w:rsidR="00441DC3">
        <w:t>4</w:t>
      </w:r>
      <w:r w:rsidR="00CB4FFE">
        <w:t>]</w:t>
      </w:r>
    </w:p>
    <w:p w14:paraId="57304F27" w14:textId="3892B89C" w:rsidR="00D07AFA" w:rsidRPr="00CC121D" w:rsidRDefault="00D07AFA" w:rsidP="0060612D">
      <w:pPr>
        <w:pStyle w:val="TSHeadingNumbered111"/>
      </w:pPr>
      <w:r w:rsidRPr="00CC121D">
        <w:t>Specialised HSE legislation</w:t>
      </w:r>
    </w:p>
    <w:p w14:paraId="57304F28" w14:textId="77777777" w:rsidR="00D07AFA" w:rsidRPr="00CC121D" w:rsidRDefault="00D07AFA" w:rsidP="00D07AFA">
      <w:pPr>
        <w:pStyle w:val="TSNumberedParagraph1"/>
      </w:pPr>
      <w:r w:rsidRPr="00CC121D">
        <w:t>The nature of civil engineering is such that it interfaces strongly with plant and equipment on sites and hence there may be interfaces with other legislation, including but not limited to the following regulations:</w:t>
      </w:r>
    </w:p>
    <w:p w14:paraId="57304F29" w14:textId="781E4DAD" w:rsidR="00D07AFA" w:rsidRPr="00CC121D" w:rsidRDefault="00D07AFA" w:rsidP="00D07AFA">
      <w:pPr>
        <w:numPr>
          <w:ilvl w:val="2"/>
          <w:numId w:val="10"/>
        </w:numPr>
        <w:spacing w:after="240"/>
        <w:ind w:left="1418"/>
        <w:contextualSpacing/>
      </w:pPr>
      <w:r w:rsidRPr="00CC121D">
        <w:t>Lifting Operations and Lifting Equipment Regulations (LOLER) [</w:t>
      </w:r>
      <w:r w:rsidR="00CB4FFE">
        <w:t>2</w:t>
      </w:r>
      <w:r w:rsidR="00441DC3">
        <w:t>5</w:t>
      </w:r>
      <w:r w:rsidRPr="00CC121D">
        <w:t>]</w:t>
      </w:r>
      <w:r w:rsidR="00F92BB5">
        <w:t>,</w:t>
      </w:r>
    </w:p>
    <w:p w14:paraId="57304F2A" w14:textId="5DB4588B" w:rsidR="00D07AFA" w:rsidRPr="00CC121D" w:rsidRDefault="00D07AFA" w:rsidP="00D07AFA">
      <w:pPr>
        <w:numPr>
          <w:ilvl w:val="2"/>
          <w:numId w:val="10"/>
        </w:numPr>
        <w:spacing w:after="240"/>
        <w:ind w:left="1418"/>
        <w:contextualSpacing/>
      </w:pPr>
      <w:r w:rsidRPr="00CC121D">
        <w:t>Provision and Use of Work Equipment Regulations (PUWER) [</w:t>
      </w:r>
      <w:r w:rsidR="00CB4FFE">
        <w:t>2</w:t>
      </w:r>
      <w:r w:rsidR="00441DC3">
        <w:t>6</w:t>
      </w:r>
      <w:r w:rsidRPr="00CC121D">
        <w:t>]</w:t>
      </w:r>
      <w:r w:rsidR="00F92BB5">
        <w:t>,</w:t>
      </w:r>
    </w:p>
    <w:p w14:paraId="57304F2B" w14:textId="59A07609" w:rsidR="00D07AFA" w:rsidRPr="00CC121D" w:rsidRDefault="00D07AFA" w:rsidP="00D07AFA">
      <w:pPr>
        <w:numPr>
          <w:ilvl w:val="2"/>
          <w:numId w:val="10"/>
        </w:numPr>
        <w:spacing w:after="240"/>
        <w:ind w:left="1418"/>
        <w:contextualSpacing/>
      </w:pPr>
      <w:r w:rsidRPr="00CC121D">
        <w:t>Dangerous Substances and Explosive Atmospheres Regulations (DSEAR) [</w:t>
      </w:r>
      <w:r w:rsidR="00CB4FFE">
        <w:t>2</w:t>
      </w:r>
      <w:r w:rsidR="00441DC3">
        <w:t>7</w:t>
      </w:r>
      <w:r w:rsidRPr="00CC121D">
        <w:t>]</w:t>
      </w:r>
      <w:r w:rsidR="00F92BB5">
        <w:t>,</w:t>
      </w:r>
    </w:p>
    <w:p w14:paraId="57304F2C" w14:textId="6EFF61A3" w:rsidR="00D07AFA" w:rsidRPr="00CC121D" w:rsidRDefault="00D07AFA" w:rsidP="00D07AFA">
      <w:pPr>
        <w:numPr>
          <w:ilvl w:val="2"/>
          <w:numId w:val="10"/>
        </w:numPr>
        <w:spacing w:after="240"/>
        <w:ind w:left="1418"/>
        <w:contextualSpacing/>
      </w:pPr>
      <w:r w:rsidRPr="00CC121D">
        <w:t>Pressure Systems Safet</w:t>
      </w:r>
      <w:r w:rsidR="00F92BB5">
        <w:t>y Regulations (PSSR) 2000 [</w:t>
      </w:r>
      <w:r w:rsidR="00CB4FFE">
        <w:t>2</w:t>
      </w:r>
      <w:r w:rsidR="00441DC3">
        <w:t>8</w:t>
      </w:r>
      <w:r w:rsidR="00F92BB5">
        <w:t>].</w:t>
      </w:r>
    </w:p>
    <w:p w14:paraId="57304F2D" w14:textId="19DD105A" w:rsidR="00D07AFA" w:rsidRPr="00CC121D" w:rsidRDefault="00D07AFA" w:rsidP="0060612D">
      <w:pPr>
        <w:pStyle w:val="TSHeadingNumbered111"/>
      </w:pPr>
      <w:r w:rsidRPr="00CC121D">
        <w:t>Approved Codes of Practice</w:t>
      </w:r>
    </w:p>
    <w:p w14:paraId="57304F2E" w14:textId="77777777" w:rsidR="00D07AFA" w:rsidRPr="00CC121D" w:rsidRDefault="00D07AFA" w:rsidP="00D07AFA">
      <w:pPr>
        <w:pStyle w:val="TSNumberedParagraph1"/>
      </w:pPr>
      <w:r w:rsidRPr="00CC121D">
        <w:t>There are Approved Codes of Practice (ACOPs) associated with the specialised HSE legislation:</w:t>
      </w:r>
    </w:p>
    <w:p w14:paraId="57304F2F" w14:textId="14C1AB1B" w:rsidR="00D07AFA" w:rsidRPr="00CC121D" w:rsidRDefault="00F37C8F" w:rsidP="00D07AFA">
      <w:pPr>
        <w:numPr>
          <w:ilvl w:val="0"/>
          <w:numId w:val="2"/>
        </w:numPr>
        <w:tabs>
          <w:tab w:val="clear" w:pos="-28713"/>
          <w:tab w:val="num" w:pos="-31680"/>
        </w:tabs>
        <w:spacing w:after="240"/>
        <w:ind w:left="1440"/>
        <w:contextualSpacing/>
      </w:pPr>
      <w:r>
        <w:t xml:space="preserve">L113 </w:t>
      </w:r>
      <w:r w:rsidR="00D07AFA" w:rsidRPr="00CC121D">
        <w:t>Safe Use of Lifting Equipment, Lifting Operations and Lifting Equipment Regulations</w:t>
      </w:r>
      <w:r w:rsidR="00C5021A">
        <w:t xml:space="preserve"> </w:t>
      </w:r>
      <w:r w:rsidR="00630130">
        <w:t>(LOLER)</w:t>
      </w:r>
      <w:r w:rsidR="00D07AFA" w:rsidRPr="00CC121D">
        <w:t xml:space="preserve"> [</w:t>
      </w:r>
      <w:r w:rsidR="00CB4FFE">
        <w:t>2</w:t>
      </w:r>
      <w:r w:rsidR="00441DC3">
        <w:t>9</w:t>
      </w:r>
      <w:r w:rsidR="00F92BB5">
        <w:t>],</w:t>
      </w:r>
    </w:p>
    <w:p w14:paraId="2AB1883B" w14:textId="4CB32A23" w:rsidR="00D07C21" w:rsidRDefault="00D07AFA" w:rsidP="00D07AFA">
      <w:pPr>
        <w:numPr>
          <w:ilvl w:val="0"/>
          <w:numId w:val="2"/>
        </w:numPr>
        <w:tabs>
          <w:tab w:val="clear" w:pos="-28713"/>
          <w:tab w:val="num" w:pos="-31680"/>
          <w:tab w:val="left" w:pos="493"/>
        </w:tabs>
        <w:spacing w:before="60" w:after="60"/>
        <w:ind w:left="1440" w:right="175"/>
        <w:contextualSpacing/>
        <w:rPr>
          <w:rFonts w:cs="Helvetica 45 Light"/>
        </w:rPr>
      </w:pPr>
      <w:r w:rsidRPr="00CC121D">
        <w:t>L</w:t>
      </w:r>
      <w:r w:rsidRPr="00CC121D">
        <w:rPr>
          <w:rFonts w:cs="Helvetica 45 Light"/>
        </w:rPr>
        <w:t xml:space="preserve">22 Safe use of Work Equipment (PUWER) </w:t>
      </w:r>
      <w:r w:rsidR="00D07C21">
        <w:rPr>
          <w:rFonts w:cs="Helvetica 45 Light"/>
        </w:rPr>
        <w:t>[</w:t>
      </w:r>
      <w:r w:rsidR="00E7731E">
        <w:rPr>
          <w:rFonts w:cs="Helvetica 45 Light"/>
        </w:rPr>
        <w:t>30</w:t>
      </w:r>
      <w:r w:rsidR="00D07C21">
        <w:rPr>
          <w:rFonts w:cs="Helvetica 45 Light"/>
        </w:rPr>
        <w:t>]</w:t>
      </w:r>
    </w:p>
    <w:p w14:paraId="57304F31" w14:textId="2BA5073C" w:rsidR="00D07AFA" w:rsidRPr="00CC121D" w:rsidRDefault="00D07C21" w:rsidP="00D07AFA">
      <w:pPr>
        <w:numPr>
          <w:ilvl w:val="0"/>
          <w:numId w:val="2"/>
        </w:numPr>
        <w:tabs>
          <w:tab w:val="clear" w:pos="-28713"/>
          <w:tab w:val="num" w:pos="-31680"/>
        </w:tabs>
        <w:spacing w:after="240"/>
        <w:ind w:left="1440"/>
        <w:contextualSpacing/>
      </w:pPr>
      <w:r>
        <w:t xml:space="preserve">L138 </w:t>
      </w:r>
      <w:r w:rsidR="00D07AFA" w:rsidRPr="00CC121D">
        <w:t>Dangerous Substances and Explosive Atmospheres</w:t>
      </w:r>
      <w:r w:rsidR="004E3A64">
        <w:t xml:space="preserve"> (DSEAR)</w:t>
      </w:r>
      <w:r w:rsidR="00D07AFA" w:rsidRPr="00CC121D">
        <w:t xml:space="preserve"> [</w:t>
      </w:r>
      <w:r w:rsidR="000822CE">
        <w:t>3</w:t>
      </w:r>
      <w:r w:rsidR="00A76E68">
        <w:t>1</w:t>
      </w:r>
      <w:r w:rsidR="000822CE">
        <w:t>]</w:t>
      </w:r>
      <w:r w:rsidR="00F92BB5">
        <w:t>,</w:t>
      </w:r>
    </w:p>
    <w:p w14:paraId="57304F32" w14:textId="751269D5" w:rsidR="00D07AFA" w:rsidRPr="00CC121D" w:rsidRDefault="00D07C21" w:rsidP="00D07AFA">
      <w:pPr>
        <w:numPr>
          <w:ilvl w:val="0"/>
          <w:numId w:val="2"/>
        </w:numPr>
        <w:tabs>
          <w:tab w:val="clear" w:pos="-28713"/>
          <w:tab w:val="num" w:pos="-31680"/>
        </w:tabs>
        <w:spacing w:after="240"/>
        <w:ind w:left="1440"/>
        <w:contextualSpacing/>
      </w:pPr>
      <w:r>
        <w:t xml:space="preserve">L122 </w:t>
      </w:r>
      <w:r w:rsidR="00D07AFA" w:rsidRPr="00CC121D">
        <w:t>Safety of Pressure Systems, Pressure Systems Safety Regulations</w:t>
      </w:r>
      <w:r w:rsidR="00630130">
        <w:t xml:space="preserve"> (PSSR) </w:t>
      </w:r>
      <w:r w:rsidR="00D07AFA" w:rsidRPr="00CC121D">
        <w:t>[</w:t>
      </w:r>
      <w:r w:rsidR="00043FB9">
        <w:t>3</w:t>
      </w:r>
      <w:r w:rsidR="00E7731E">
        <w:t>2</w:t>
      </w:r>
      <w:r w:rsidR="00D07AFA" w:rsidRPr="00CC121D">
        <w:t>].</w:t>
      </w:r>
    </w:p>
    <w:p w14:paraId="57304F33" w14:textId="3313E188" w:rsidR="00D07AFA" w:rsidRPr="00CC121D" w:rsidRDefault="00D07AFA" w:rsidP="00D07AFA">
      <w:pPr>
        <w:pStyle w:val="TSNumberedParagraph1"/>
      </w:pPr>
      <w:r w:rsidRPr="00CC121D">
        <w:t xml:space="preserve">These Approved Codes </w:t>
      </w:r>
      <w:r w:rsidR="00C17F56" w:rsidRPr="00CC121D">
        <w:t>of</w:t>
      </w:r>
      <w:r w:rsidRPr="00CC121D">
        <w:t xml:space="preserve"> Practice (</w:t>
      </w:r>
      <w:proofErr w:type="spellStart"/>
      <w:r w:rsidRPr="00CC121D">
        <w:t>ACoPs</w:t>
      </w:r>
      <w:proofErr w:type="spellEnd"/>
      <w:r w:rsidRPr="00CC121D">
        <w:t xml:space="preserve">) have been approved by the Health and Safety Executive (HSE) with the consent of the Secretary of State. They give practical advice on how to comply with the law. It should be noted that </w:t>
      </w:r>
      <w:proofErr w:type="spellStart"/>
      <w:r w:rsidRPr="00CC121D">
        <w:t>ACoPs</w:t>
      </w:r>
      <w:proofErr w:type="spellEnd"/>
      <w:r w:rsidRPr="00CC121D">
        <w:t xml:space="preserve"> have a special legal status. If a </w:t>
      </w:r>
      <w:proofErr w:type="spellStart"/>
      <w:r w:rsidRPr="00CC121D">
        <w:t>dutyholder</w:t>
      </w:r>
      <w:proofErr w:type="spellEnd"/>
      <w:r w:rsidRPr="00CC121D">
        <w:t xml:space="preserve"> is prosecuted for a breach of health and safety law, and it is proved that the </w:t>
      </w:r>
      <w:proofErr w:type="spellStart"/>
      <w:r w:rsidRPr="00CC121D">
        <w:t>dutyholder</w:t>
      </w:r>
      <w:proofErr w:type="spellEnd"/>
      <w:r w:rsidRPr="00CC121D">
        <w:t xml:space="preserve"> did not follow the relevant provisions of the </w:t>
      </w:r>
      <w:proofErr w:type="spellStart"/>
      <w:r w:rsidRPr="00CC121D">
        <w:t>ACoP</w:t>
      </w:r>
      <w:proofErr w:type="spellEnd"/>
      <w:r w:rsidRPr="00CC121D">
        <w:t xml:space="preserve">, the </w:t>
      </w:r>
      <w:proofErr w:type="spellStart"/>
      <w:r w:rsidRPr="00CC121D">
        <w:t>dutyholder</w:t>
      </w:r>
      <w:proofErr w:type="spellEnd"/>
      <w:r w:rsidRPr="00CC121D">
        <w:t xml:space="preserve"> will need to show that they complied with the law in some other way or the Court will find</w:t>
      </w:r>
      <w:r w:rsidR="00F92BB5">
        <w:t xml:space="preserve"> the </w:t>
      </w:r>
      <w:proofErr w:type="spellStart"/>
      <w:r w:rsidR="00F92BB5">
        <w:t>dutyholder</w:t>
      </w:r>
      <w:proofErr w:type="spellEnd"/>
      <w:r w:rsidR="00F92BB5">
        <w:t xml:space="preserve"> to be at fault.</w:t>
      </w:r>
    </w:p>
    <w:p w14:paraId="57304F34" w14:textId="77777777" w:rsidR="00D07AFA" w:rsidRPr="00CC121D" w:rsidRDefault="00D07AFA" w:rsidP="00D07AFA">
      <w:pPr>
        <w:pStyle w:val="TSNumberedParagraph1"/>
      </w:pPr>
      <w:r w:rsidRPr="00CC121D">
        <w:t xml:space="preserve">It should be noted that </w:t>
      </w:r>
      <w:proofErr w:type="spellStart"/>
      <w:r w:rsidRPr="00CC121D">
        <w:t>ACoPs</w:t>
      </w:r>
      <w:proofErr w:type="spellEnd"/>
      <w:r w:rsidRPr="00CC121D">
        <w:t xml:space="preserve"> apply to all industry and are not written for the nuclear industry application specifically. Therefore, compliance with </w:t>
      </w:r>
      <w:proofErr w:type="spellStart"/>
      <w:r w:rsidRPr="00CC121D">
        <w:t>ACoPs</w:t>
      </w:r>
      <w:proofErr w:type="spellEnd"/>
      <w:r w:rsidRPr="00CC121D">
        <w:t xml:space="preserve"> for a relevant application in a nuclear context does not automatically ensure that all legal responsibilities have been complied with, as the nuclear context may require further work that is not nec</w:t>
      </w:r>
      <w:r w:rsidR="00F92BB5">
        <w:t xml:space="preserve">essarily captured in the </w:t>
      </w:r>
      <w:proofErr w:type="spellStart"/>
      <w:r w:rsidR="00F92BB5">
        <w:t>ACoP</w:t>
      </w:r>
      <w:proofErr w:type="spellEnd"/>
      <w:r w:rsidR="00F92BB5">
        <w:t>.</w:t>
      </w:r>
    </w:p>
    <w:p w14:paraId="57304F35" w14:textId="4B21BCAF" w:rsidR="00D07AFA" w:rsidRPr="00CC121D" w:rsidRDefault="00D07AFA" w:rsidP="0060612D">
      <w:pPr>
        <w:pStyle w:val="TSHeadingNumbered111"/>
      </w:pPr>
      <w:r w:rsidRPr="00CC121D">
        <w:t>Building Regulations</w:t>
      </w:r>
    </w:p>
    <w:p w14:paraId="57304F36" w14:textId="7E33629A" w:rsidR="00D07AFA" w:rsidRPr="00CC121D" w:rsidRDefault="00D07AFA" w:rsidP="00D07AFA">
      <w:pPr>
        <w:pStyle w:val="TSNumberedParagraph1"/>
      </w:pPr>
      <w:r w:rsidRPr="00CC121D">
        <w:t>Under the Building Act 1984, the Building Regulations 2010 [</w:t>
      </w:r>
      <w:r w:rsidR="00E7731E">
        <w:t>8</w:t>
      </w:r>
      <w:r w:rsidRPr="00CC121D">
        <w:t>] apply to Engl</w:t>
      </w:r>
      <w:r w:rsidR="00F92BB5">
        <w:t>and and Wales and set out an exclusion that:</w:t>
      </w:r>
    </w:p>
    <w:p w14:paraId="57304F37" w14:textId="77777777" w:rsidR="00D07AFA" w:rsidRPr="00CC121D" w:rsidRDefault="00D07AFA" w:rsidP="00D07AFA">
      <w:pPr>
        <w:spacing w:before="220" w:after="220"/>
        <w:ind w:left="720"/>
        <w:jc w:val="center"/>
        <w:outlineLvl w:val="0"/>
      </w:pPr>
      <w:r w:rsidRPr="00CC121D">
        <w:t>“Buildings that are controlled under other legislation:…(ii) Any building (other than a building containing a dwelling or a building used for office or canteen accommodation) erected on a site in respect of which a licence under the Nuclear Installations Act 1965 is for the time being in force.”</w:t>
      </w:r>
    </w:p>
    <w:p w14:paraId="57304F38" w14:textId="09698954" w:rsidR="00D07AFA" w:rsidRPr="00CC121D" w:rsidRDefault="00D07AFA" w:rsidP="00D07AFA">
      <w:pPr>
        <w:pStyle w:val="TSNumberedParagraph1"/>
      </w:pPr>
      <w:r w:rsidRPr="00CC121D">
        <w:t>The Building (Scotland) Regulations 2004 Technical Handbook 2019 – Non-Domestic [</w:t>
      </w:r>
      <w:r w:rsidR="004E3A64">
        <w:t>3</w:t>
      </w:r>
      <w:r w:rsidR="00C55E79">
        <w:t>3</w:t>
      </w:r>
      <w:r w:rsidRPr="00CC121D">
        <w:t>] states the same exclusion and exemption due to their control by other legislation. “A building erected on a site which is subject to licensing under the Nuclear Installations Act 1965” with the exemption of “a dwelling, residential building, office, canteen or visitor centre.”</w:t>
      </w:r>
      <w:r w:rsidR="00901E21">
        <w:t xml:space="preserve"> </w:t>
      </w:r>
      <w:r w:rsidRPr="00CC121D">
        <w:t xml:space="preserve">Although there are no current nuclear installations in Northern Ireland, the Building Regulations (Northern Ireland) 2012 </w:t>
      </w:r>
      <w:r w:rsidR="00CB4FFE">
        <w:t>[</w:t>
      </w:r>
      <w:r w:rsidR="004E3A64">
        <w:t>3</w:t>
      </w:r>
      <w:r w:rsidR="00C55E79">
        <w:t>4</w:t>
      </w:r>
      <w:r w:rsidR="00CB4FFE">
        <w:t xml:space="preserve">] </w:t>
      </w:r>
      <w:r w:rsidRPr="00CC121D">
        <w:t>state the same approach.</w:t>
      </w:r>
    </w:p>
    <w:p w14:paraId="57304F3A" w14:textId="452FF005" w:rsidR="00D07AFA" w:rsidRPr="000E6D81" w:rsidRDefault="00D07AFA" w:rsidP="00D07AFA">
      <w:pPr>
        <w:pStyle w:val="TSNumberedParagraph1"/>
        <w:tabs>
          <w:tab w:val="clear" w:pos="-31680"/>
        </w:tabs>
        <w:rPr>
          <w:rFonts w:ascii="Arial Bold" w:hAnsi="Arial Bold"/>
          <w:b/>
          <w:caps/>
        </w:rPr>
      </w:pPr>
      <w:r w:rsidRPr="00CC121D">
        <w:t>Therefore, the Building Regulations are not</w:t>
      </w:r>
      <w:r w:rsidR="00901E21">
        <w:t xml:space="preserve"> primarily</w:t>
      </w:r>
      <w:r w:rsidRPr="00CC121D">
        <w:t xml:space="preserve"> used for regulating design and construction of nuclear safety significant structures on UK nuclear licensed sites. It is the site licence and associated licence conditions that ONR use to regulate the design and construction of </w:t>
      </w:r>
      <w:r w:rsidR="00901E21">
        <w:t xml:space="preserve">nuclear safety significant </w:t>
      </w:r>
      <w:r w:rsidRPr="00CC121D">
        <w:t>structures on nuclear licensed sites, alongside the other legislation discussed in this TAG. Building Regulations still apply to buildings on the licensed site that are used for regular personnel occupancy, as stated in the exemptions.</w:t>
      </w:r>
      <w:r w:rsidR="009E3DFE">
        <w:t xml:space="preserve"> The Inspector should be aware that there are separate requirements under L</w:t>
      </w:r>
      <w:r w:rsidR="00EF258F">
        <w:t xml:space="preserve">icence </w:t>
      </w:r>
      <w:r w:rsidR="009E3DFE">
        <w:t>C</w:t>
      </w:r>
      <w:r w:rsidR="00EF258F">
        <w:t xml:space="preserve">ondition </w:t>
      </w:r>
      <w:r w:rsidR="009E3DFE">
        <w:t>7</w:t>
      </w:r>
      <w:r w:rsidR="00EF258F">
        <w:t xml:space="preserve"> (LC7)</w:t>
      </w:r>
      <w:r w:rsidR="009E3DFE">
        <w:t xml:space="preserve"> for buildings that also perform a function in an emergency</w:t>
      </w:r>
      <w:r w:rsidR="006E3C76">
        <w:t>,</w:t>
      </w:r>
      <w:r w:rsidR="009E3DFE">
        <w:t xml:space="preserve"> as stated in emergency preparedness plans.</w:t>
      </w:r>
    </w:p>
    <w:p w14:paraId="57304F3B" w14:textId="2D971B54" w:rsidR="00D07AFA" w:rsidRPr="00CC121D" w:rsidRDefault="00D07AFA" w:rsidP="00D07AFA">
      <w:pPr>
        <w:pStyle w:val="TSHeadingNumbered1"/>
      </w:pPr>
      <w:bookmarkStart w:id="32" w:name="_Toc43723300"/>
      <w:bookmarkStart w:id="33" w:name="_Toc57912690"/>
      <w:r w:rsidRPr="00CC121D">
        <w:t>RELATIONSHIP of SAFETY ASSESSMENT PRINCPLES (sAPS), WENRA REFERENCE LEVELS AND IAEA SAFETY STANDARDS</w:t>
      </w:r>
      <w:bookmarkEnd w:id="32"/>
      <w:bookmarkEnd w:id="33"/>
      <w:r w:rsidRPr="00CC121D">
        <w:t xml:space="preserve"> </w:t>
      </w:r>
    </w:p>
    <w:p w14:paraId="57304F3C" w14:textId="77777777" w:rsidR="00D07AFA" w:rsidRPr="00CC121D" w:rsidRDefault="00D07AFA" w:rsidP="00D07AFA">
      <w:pPr>
        <w:pStyle w:val="TSNumberedParagraph1"/>
      </w:pPr>
      <w:r w:rsidRPr="00CC121D">
        <w:t xml:space="preserve">The Safety Assessment Principles are aligned with the IAEA and WENRA guidance and in undertaking the review of this TAG, the alignment to updates in the documentation have been checked and references have been updated. </w:t>
      </w:r>
    </w:p>
    <w:p w14:paraId="57304F3D" w14:textId="272E4E82" w:rsidR="00D07AFA" w:rsidRPr="00CC121D" w:rsidRDefault="00D07AFA" w:rsidP="00D07AFA">
      <w:pPr>
        <w:pStyle w:val="TSHeadingNumbered11"/>
      </w:pPr>
      <w:bookmarkStart w:id="34" w:name="_Toc43723301"/>
      <w:bookmarkStart w:id="35" w:name="_Toc57912691"/>
      <w:r w:rsidRPr="00CC121D">
        <w:t>Safety Assessment Principles (SAPs)</w:t>
      </w:r>
      <w:bookmarkEnd w:id="34"/>
      <w:bookmarkEnd w:id="35"/>
    </w:p>
    <w:p w14:paraId="57304F3E" w14:textId="45AE8683" w:rsidR="00D07AFA" w:rsidRPr="00CC121D" w:rsidRDefault="00D07AFA" w:rsidP="00D07AFA">
      <w:pPr>
        <w:pStyle w:val="TSNumberedParagraph1"/>
      </w:pPr>
      <w:r w:rsidRPr="00CC121D">
        <w:t>The SAPs 2014 edition is now at Revision 1 [</w:t>
      </w:r>
      <w:r w:rsidR="0060612D">
        <w:t>1</w:t>
      </w:r>
      <w:r w:rsidRPr="00CC121D">
        <w:t>], having been updated in 2020.</w:t>
      </w:r>
    </w:p>
    <w:p w14:paraId="57304F3F" w14:textId="7617D4BF" w:rsidR="00D07AFA" w:rsidRPr="00CC121D" w:rsidRDefault="00D07AFA" w:rsidP="00D07AFA">
      <w:pPr>
        <w:pStyle w:val="TSNumberedParagraph1"/>
      </w:pPr>
      <w:r w:rsidRPr="00CC121D">
        <w:t>The SAPs paragraphs 24-44 explain the way in which the SAPs should be applied, with proportionality, according to:</w:t>
      </w:r>
    </w:p>
    <w:p w14:paraId="57304F40" w14:textId="77777777" w:rsidR="00D07AFA" w:rsidRPr="00CC121D" w:rsidRDefault="00BD4151" w:rsidP="00D07AFA">
      <w:pPr>
        <w:numPr>
          <w:ilvl w:val="2"/>
          <w:numId w:val="10"/>
        </w:numPr>
        <w:spacing w:after="240"/>
        <w:ind w:left="1418"/>
        <w:contextualSpacing/>
      </w:pPr>
      <w:r>
        <w:t>the stage of the lifecycle,</w:t>
      </w:r>
    </w:p>
    <w:p w14:paraId="57304F41" w14:textId="77777777" w:rsidR="00D07AFA" w:rsidRPr="00CC121D" w:rsidRDefault="00D07AFA" w:rsidP="00D07AFA">
      <w:pPr>
        <w:numPr>
          <w:ilvl w:val="2"/>
          <w:numId w:val="10"/>
        </w:numPr>
        <w:spacing w:after="240"/>
        <w:ind w:left="1418"/>
        <w:contextualSpacing/>
      </w:pPr>
      <w:r w:rsidRPr="00CC121D">
        <w:t xml:space="preserve">the duration </w:t>
      </w:r>
      <w:r w:rsidR="00BD4151">
        <w:t>of the activity being assessed,</w:t>
      </w:r>
    </w:p>
    <w:p w14:paraId="57304F42" w14:textId="77777777" w:rsidR="00D07AFA" w:rsidRPr="00CC121D" w:rsidRDefault="00D07AFA" w:rsidP="00D07AFA">
      <w:pPr>
        <w:numPr>
          <w:ilvl w:val="2"/>
          <w:numId w:val="10"/>
        </w:numPr>
        <w:spacing w:after="240"/>
        <w:ind w:left="1418"/>
        <w:contextualSpacing/>
      </w:pPr>
      <w:r w:rsidRPr="00CC121D">
        <w:t>with consideration of security and adjacent structures with nuclear safety significance.</w:t>
      </w:r>
    </w:p>
    <w:p w14:paraId="57304F43" w14:textId="121197F0" w:rsidR="00D07AFA" w:rsidRPr="00CC121D" w:rsidRDefault="00D07AFA" w:rsidP="00D07AFA">
      <w:pPr>
        <w:pStyle w:val="TSNumberedParagraph1"/>
      </w:pPr>
      <w:r w:rsidRPr="00CC121D">
        <w:t>Since the SAPs are not prescriptive, the Inspector will need to judge the extent to which the safety submissions presented satisfy the principles. For many aspects, this will rely on the experience and judgement of the Inspector. In the case of existing installations, there may well be some areas where the principles may not be satisfied. The Inspector should judge the significance of the shortfall against the overall safety case for the installation and take into account the relevant ALARP considerations.</w:t>
      </w:r>
    </w:p>
    <w:p w14:paraId="57304F44" w14:textId="389EBEEE" w:rsidR="00D07AFA" w:rsidRPr="00CC121D" w:rsidRDefault="00D07AFA" w:rsidP="00D07AFA">
      <w:pPr>
        <w:pStyle w:val="TSNumberedParagraph1"/>
      </w:pPr>
      <w:r w:rsidRPr="00CC121D">
        <w:t>Reference should be made to the ONR’s safety assessment principles (SAPs) [</w:t>
      </w:r>
      <w:r w:rsidR="00B134EC">
        <w:t>1</w:t>
      </w:r>
      <w:r w:rsidRPr="00CC121D">
        <w:t>] for nuclear installations and Security Assessment Principles (</w:t>
      </w:r>
      <w:proofErr w:type="spellStart"/>
      <w:r w:rsidRPr="00CC121D">
        <w:t>SyAPs</w:t>
      </w:r>
      <w:proofErr w:type="spellEnd"/>
      <w:r w:rsidRPr="00CC121D">
        <w:t>) [</w:t>
      </w:r>
      <w:r w:rsidR="00B134EC">
        <w:t>3</w:t>
      </w:r>
      <w:r w:rsidR="00C55E79">
        <w:t>5</w:t>
      </w:r>
      <w:r w:rsidRPr="00CC121D">
        <w:t>]</w:t>
      </w:r>
      <w:r w:rsidR="00BD4151">
        <w:t>,</w:t>
      </w:r>
      <w:r w:rsidRPr="00CC121D">
        <w:t xml:space="preserve"> together with other relevant technical assessment guides (TAGs) when assessing construct</w:t>
      </w:r>
      <w:r w:rsidR="00B579FF">
        <w:t>ion processes and arrangements.</w:t>
      </w:r>
    </w:p>
    <w:p w14:paraId="57304F45" w14:textId="5A977856" w:rsidR="00D07AFA" w:rsidRPr="00CC121D" w:rsidRDefault="00D07AFA" w:rsidP="00D07AFA">
      <w:pPr>
        <w:pStyle w:val="TSHeadingNumbered11"/>
      </w:pPr>
      <w:bookmarkStart w:id="36" w:name="_Toc43723302"/>
      <w:bookmarkStart w:id="37" w:name="_Toc57912692"/>
      <w:r w:rsidRPr="00CC121D">
        <w:t>Fundamental Assessment Principles</w:t>
      </w:r>
      <w:bookmarkEnd w:id="36"/>
      <w:bookmarkEnd w:id="37"/>
    </w:p>
    <w:p w14:paraId="57304F46" w14:textId="6622868E" w:rsidR="00D07AFA" w:rsidRPr="00CC121D" w:rsidRDefault="00D07AFA" w:rsidP="00D07AFA">
      <w:pPr>
        <w:pStyle w:val="TSNumberedParagraph1"/>
      </w:pPr>
      <w:r w:rsidRPr="00CC121D">
        <w:t xml:space="preserve">The other SAPs are aimed at ensuring that the fundamental principles are satisfied. If it is judged that the SAPs relevant to a particular </w:t>
      </w:r>
      <w:r w:rsidR="00327057">
        <w:t>nuclear facility</w:t>
      </w:r>
      <w:r w:rsidR="00327057" w:rsidRPr="00CC121D">
        <w:t xml:space="preserve"> </w:t>
      </w:r>
      <w:r w:rsidR="00901E21">
        <w:t xml:space="preserve">are </w:t>
      </w:r>
      <w:r w:rsidRPr="00CC121D">
        <w:t>met, this s</w:t>
      </w:r>
      <w:r w:rsidR="00BB73C4">
        <w:t xml:space="preserve">hould be sufficient to satisfy </w:t>
      </w:r>
      <w:r w:rsidR="00AB10BE">
        <w:t>the Inspector</w:t>
      </w:r>
      <w:r w:rsidRPr="00CC121D">
        <w:t xml:space="preserve"> that the installation meets the fundamental principles. The Inspector should be aware of the fundamental principles </w:t>
      </w:r>
      <w:r w:rsidR="00901E21">
        <w:t xml:space="preserve">SAPs </w:t>
      </w:r>
      <w:r w:rsidRPr="00CC121D">
        <w:t>(FP.1-F</w:t>
      </w:r>
      <w:r w:rsidR="00B579FF">
        <w:t>P.8) to frame their assessment.</w:t>
      </w:r>
    </w:p>
    <w:p w14:paraId="57304F47" w14:textId="77777777" w:rsidR="00D07AFA" w:rsidRPr="00CC121D" w:rsidRDefault="00D07AFA" w:rsidP="00D07AFA">
      <w:pPr>
        <w:pStyle w:val="TSNumberedParagraph1"/>
      </w:pPr>
      <w:r w:rsidRPr="00CC121D">
        <w:t xml:space="preserve">For </w:t>
      </w:r>
      <w:r w:rsidR="00901E21">
        <w:t xml:space="preserve">further </w:t>
      </w:r>
      <w:r w:rsidRPr="00CC121D">
        <w:t>guidance on fundamental Principles, see:</w:t>
      </w:r>
    </w:p>
    <w:p w14:paraId="57304F48" w14:textId="0F04A50C" w:rsidR="00D07AFA" w:rsidRPr="00CC121D" w:rsidRDefault="00407613" w:rsidP="00D07AFA">
      <w:pPr>
        <w:numPr>
          <w:ilvl w:val="2"/>
          <w:numId w:val="10"/>
        </w:numPr>
        <w:spacing w:after="240"/>
        <w:ind w:left="1418"/>
        <w:contextualSpacing/>
      </w:pPr>
      <w:r>
        <w:rPr>
          <w:iCs/>
        </w:rPr>
        <w:t>ONR-</w:t>
      </w:r>
      <w:r w:rsidR="00D07AFA" w:rsidRPr="00CC121D">
        <w:t>NS-TAST-GD-004 ‘Fundamental Principles’</w:t>
      </w:r>
      <w:r w:rsidR="00BD4151">
        <w:t>.</w:t>
      </w:r>
    </w:p>
    <w:p w14:paraId="57304F49" w14:textId="342445F0" w:rsidR="00D07AFA" w:rsidRPr="00CC121D" w:rsidRDefault="00D07AFA" w:rsidP="00D07AFA">
      <w:pPr>
        <w:pStyle w:val="TSHeadingNumbered11"/>
      </w:pPr>
      <w:bookmarkStart w:id="38" w:name="_Toc43723303"/>
      <w:bookmarkStart w:id="39" w:name="_Toc57912693"/>
      <w:r w:rsidRPr="00CC121D">
        <w:t>Civil Engineering SAP</w:t>
      </w:r>
      <w:bookmarkEnd w:id="38"/>
      <w:r w:rsidR="00BD4151">
        <w:t>s</w:t>
      </w:r>
      <w:bookmarkEnd w:id="39"/>
    </w:p>
    <w:p w14:paraId="57304F4C" w14:textId="3AC06E63" w:rsidR="00D07AFA" w:rsidRPr="00CC121D" w:rsidRDefault="00D07AFA" w:rsidP="002D6023">
      <w:pPr>
        <w:pStyle w:val="TSNumberedParagraph1"/>
      </w:pPr>
      <w:r w:rsidRPr="00CC121D">
        <w:t>The civil engineering SAP</w:t>
      </w:r>
      <w:r w:rsidR="00BD4151">
        <w:t>s are principles ECE.1 –ECE.26</w:t>
      </w:r>
      <w:r w:rsidR="00083B55">
        <w:t xml:space="preserve"> and are</w:t>
      </w:r>
      <w:r w:rsidR="00083B55" w:rsidRPr="00CC121D" w:rsidDel="00083B55">
        <w:t xml:space="preserve"> </w:t>
      </w:r>
      <w:r w:rsidR="00901E21">
        <w:t xml:space="preserve">generally </w:t>
      </w:r>
      <w:r w:rsidRPr="00CC121D">
        <w:t>grouped as follows:</w:t>
      </w:r>
    </w:p>
    <w:p w14:paraId="57304F4D" w14:textId="77777777" w:rsidR="00D07AFA" w:rsidRPr="00CC121D" w:rsidRDefault="00D07AFA" w:rsidP="00D07AFA">
      <w:pPr>
        <w:numPr>
          <w:ilvl w:val="2"/>
          <w:numId w:val="10"/>
        </w:numPr>
        <w:spacing w:after="240"/>
        <w:ind w:left="1418"/>
        <w:contextualSpacing/>
      </w:pPr>
      <w:r w:rsidRPr="00CC121D">
        <w:t>Principles</w:t>
      </w:r>
      <w:r w:rsidRPr="00CC121D">
        <w:tab/>
      </w:r>
      <w:r w:rsidRPr="00CC121D">
        <w:tab/>
        <w:t>ECE.1-3</w:t>
      </w:r>
    </w:p>
    <w:p w14:paraId="57304F4E" w14:textId="77777777" w:rsidR="00D07AFA" w:rsidRPr="00CC121D" w:rsidRDefault="00D07AFA" w:rsidP="00D07AFA">
      <w:pPr>
        <w:numPr>
          <w:ilvl w:val="2"/>
          <w:numId w:val="10"/>
        </w:numPr>
        <w:spacing w:after="240"/>
        <w:ind w:left="1418"/>
        <w:contextualSpacing/>
      </w:pPr>
      <w:r w:rsidRPr="00CC121D">
        <w:t>Site Investigation</w:t>
      </w:r>
      <w:r w:rsidRPr="00CC121D">
        <w:tab/>
        <w:t>ECE</w:t>
      </w:r>
      <w:r w:rsidR="00BD4151">
        <w:t>.</w:t>
      </w:r>
      <w:r w:rsidRPr="00CC121D">
        <w:t>4,5</w:t>
      </w:r>
    </w:p>
    <w:p w14:paraId="57304F4F" w14:textId="77777777" w:rsidR="00D07AFA" w:rsidRPr="00CC121D" w:rsidRDefault="00D07AFA" w:rsidP="00D07AFA">
      <w:pPr>
        <w:numPr>
          <w:ilvl w:val="2"/>
          <w:numId w:val="10"/>
        </w:numPr>
        <w:spacing w:after="240"/>
        <w:ind w:left="1418"/>
        <w:contextualSpacing/>
      </w:pPr>
      <w:r w:rsidRPr="00CC121D">
        <w:t>Design</w:t>
      </w:r>
      <w:r w:rsidRPr="00CC121D">
        <w:tab/>
      </w:r>
      <w:r w:rsidRPr="00CC121D">
        <w:tab/>
      </w:r>
      <w:r w:rsidRPr="00CC121D">
        <w:tab/>
        <w:t>ECE 6-15</w:t>
      </w:r>
    </w:p>
    <w:p w14:paraId="57304F50" w14:textId="77777777" w:rsidR="00D07AFA" w:rsidRPr="00CC121D" w:rsidRDefault="00D07AFA" w:rsidP="00D07AFA">
      <w:pPr>
        <w:numPr>
          <w:ilvl w:val="2"/>
          <w:numId w:val="10"/>
        </w:numPr>
        <w:spacing w:after="240"/>
        <w:ind w:left="1418"/>
        <w:contextualSpacing/>
      </w:pPr>
      <w:r w:rsidRPr="00CC121D">
        <w:t>Construction</w:t>
      </w:r>
      <w:r w:rsidRPr="00CC121D">
        <w:tab/>
      </w:r>
      <w:r w:rsidRPr="00CC121D">
        <w:tab/>
        <w:t>ECE 16-19, 25</w:t>
      </w:r>
    </w:p>
    <w:p w14:paraId="57304F51" w14:textId="77777777" w:rsidR="00D07AFA" w:rsidRPr="00CC121D" w:rsidRDefault="00D07AFA" w:rsidP="00D07AFA">
      <w:pPr>
        <w:numPr>
          <w:ilvl w:val="2"/>
          <w:numId w:val="10"/>
        </w:numPr>
        <w:spacing w:after="240"/>
        <w:ind w:left="1418"/>
        <w:contextualSpacing/>
      </w:pPr>
      <w:r w:rsidRPr="00CC121D">
        <w:t>EIMT</w:t>
      </w:r>
      <w:r w:rsidRPr="00CC121D">
        <w:tab/>
      </w:r>
      <w:r w:rsidRPr="00CC121D">
        <w:tab/>
      </w:r>
      <w:r w:rsidRPr="00CC121D">
        <w:tab/>
        <w:t>ECE 20-24</w:t>
      </w:r>
    </w:p>
    <w:p w14:paraId="57304F52" w14:textId="77777777" w:rsidR="00D07AFA" w:rsidRDefault="00D07AFA" w:rsidP="00D07AFA">
      <w:pPr>
        <w:numPr>
          <w:ilvl w:val="2"/>
          <w:numId w:val="10"/>
        </w:numPr>
        <w:spacing w:after="240"/>
        <w:ind w:left="1418"/>
        <w:contextualSpacing/>
      </w:pPr>
      <w:r w:rsidRPr="00CC121D">
        <w:t xml:space="preserve">Decommissioning </w:t>
      </w:r>
      <w:r w:rsidRPr="00CC121D">
        <w:tab/>
        <w:t>ECE 26</w:t>
      </w:r>
    </w:p>
    <w:p w14:paraId="0F2125C8" w14:textId="625F6B77" w:rsidR="00083B55" w:rsidRPr="00CC121D" w:rsidRDefault="00901E21" w:rsidP="007C7CB1">
      <w:pPr>
        <w:pStyle w:val="TSNumberedParagraph1"/>
      </w:pPr>
      <w:r>
        <w:t>See Appendix B for the full wording of the suite of civil engineering SAPs.</w:t>
      </w:r>
      <w:r w:rsidR="00083B55">
        <w:t xml:space="preserve"> </w:t>
      </w:r>
    </w:p>
    <w:p w14:paraId="57304F54" w14:textId="7E92B895" w:rsidR="00D07AFA" w:rsidRPr="00CC121D" w:rsidRDefault="00D07AFA" w:rsidP="00D07AFA">
      <w:pPr>
        <w:pStyle w:val="TSHeadingNumbered11"/>
      </w:pPr>
      <w:bookmarkStart w:id="40" w:name="_Toc43723304"/>
      <w:bookmarkStart w:id="41" w:name="_Toc57912694"/>
      <w:r w:rsidRPr="00CC121D">
        <w:t>Other SAPs relevant to Civil Engineering</w:t>
      </w:r>
      <w:bookmarkEnd w:id="40"/>
      <w:bookmarkEnd w:id="41"/>
    </w:p>
    <w:p w14:paraId="2C6E8133" w14:textId="3F68A795" w:rsidR="001918B6" w:rsidRPr="00BF62E6" w:rsidRDefault="001918B6" w:rsidP="002D6023">
      <w:pPr>
        <w:pStyle w:val="TSNumberedParagraph1"/>
      </w:pPr>
      <w:r>
        <w:t>Appendix B lists the key</w:t>
      </w:r>
      <w:r w:rsidRPr="00CC121D">
        <w:t xml:space="preserve"> SAPs that </w:t>
      </w:r>
      <w:r>
        <w:t xml:space="preserve">are relevant and </w:t>
      </w:r>
      <w:r w:rsidRPr="00CC121D">
        <w:t xml:space="preserve">apply to civil engineering works and structures, </w:t>
      </w:r>
      <w:r>
        <w:t xml:space="preserve">that are </w:t>
      </w:r>
      <w:r w:rsidRPr="00CC121D">
        <w:t>not specific to civil engineering.</w:t>
      </w:r>
      <w:r>
        <w:t xml:space="preserve"> </w:t>
      </w:r>
      <w:r w:rsidR="00D07AFA" w:rsidRPr="00CC121D">
        <w:t>The guidance in this document provides ONR’s interpretation of the SAP’s in a broader context for civil engineering</w:t>
      </w:r>
      <w:r w:rsidR="00901E21">
        <w:t xml:space="preserve">. </w:t>
      </w:r>
    </w:p>
    <w:p w14:paraId="57304F56" w14:textId="3E63B38B" w:rsidR="00D07AFA" w:rsidRPr="006E3C76" w:rsidRDefault="001918B6" w:rsidP="00D07AFA">
      <w:pPr>
        <w:pStyle w:val="TSNumberedParagraph1"/>
        <w:rPr>
          <w:b/>
          <w:iCs/>
        </w:rPr>
      </w:pPr>
      <w:r>
        <w:t>Further, w</w:t>
      </w:r>
      <w:r w:rsidR="00D07AFA" w:rsidRPr="00CC121D">
        <w:t xml:space="preserve">here the civil engineering </w:t>
      </w:r>
      <w:r w:rsidR="00D07AFA" w:rsidRPr="006E3C76">
        <w:t xml:space="preserve">structural design utilises ‘integrity of metal components and structures’, the following principle SAPs </w:t>
      </w:r>
      <w:r w:rsidR="00BF62E6" w:rsidRPr="006E3C76">
        <w:t xml:space="preserve">can </w:t>
      </w:r>
      <w:r w:rsidR="00D07AFA" w:rsidRPr="006E3C76">
        <w:t>apply</w:t>
      </w:r>
      <w:r w:rsidR="00E704E7" w:rsidRPr="006E3C76">
        <w:t xml:space="preserve">, albeit </w:t>
      </w:r>
      <w:r w:rsidR="00E704E7" w:rsidRPr="006E3C76">
        <w:rPr>
          <w:rFonts w:cs="Arial"/>
        </w:rPr>
        <w:t>these principles will be equally applicable to other materials with only a moderate amount of contextual interpretation</w:t>
      </w:r>
      <w:r w:rsidR="004B1FFF" w:rsidRPr="006E3C76">
        <w:rPr>
          <w:rFonts w:cs="Arial"/>
        </w:rPr>
        <w:t xml:space="preserve"> (SAPs para</w:t>
      </w:r>
      <w:r w:rsidR="00DD3FA4">
        <w:rPr>
          <w:rFonts w:cs="Arial"/>
        </w:rPr>
        <w:t>graph</w:t>
      </w:r>
      <w:r w:rsidR="004B1FFF" w:rsidRPr="006E3C76">
        <w:rPr>
          <w:rFonts w:cs="Arial"/>
        </w:rPr>
        <w:t xml:space="preserve"> 326)</w:t>
      </w:r>
      <w:r w:rsidR="00D07AFA" w:rsidRPr="006E3C76">
        <w:t>:</w:t>
      </w:r>
    </w:p>
    <w:tbl>
      <w:tblPr>
        <w:tblStyle w:val="TableGrid"/>
        <w:tblW w:w="8221" w:type="dxa"/>
        <w:tblInd w:w="76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835"/>
        <w:gridCol w:w="5386"/>
      </w:tblGrid>
      <w:tr w:rsidR="00CC121D" w:rsidRPr="00CC121D" w14:paraId="57304F59" w14:textId="77777777" w:rsidTr="00CC121D">
        <w:tc>
          <w:tcPr>
            <w:tcW w:w="2835" w:type="dxa"/>
          </w:tcPr>
          <w:p w14:paraId="57304F57" w14:textId="77777777" w:rsidR="00D07AFA" w:rsidRPr="00CC121D" w:rsidRDefault="00D07AFA" w:rsidP="00D07AFA">
            <w:pPr>
              <w:numPr>
                <w:ilvl w:val="2"/>
                <w:numId w:val="12"/>
              </w:numPr>
              <w:contextualSpacing/>
            </w:pPr>
            <w:r w:rsidRPr="00CC121D">
              <w:t>Design</w:t>
            </w:r>
            <w:r w:rsidRPr="00CC121D">
              <w:tab/>
            </w:r>
          </w:p>
        </w:tc>
        <w:tc>
          <w:tcPr>
            <w:tcW w:w="5386" w:type="dxa"/>
            <w:vAlign w:val="center"/>
          </w:tcPr>
          <w:p w14:paraId="57304F58" w14:textId="77777777" w:rsidR="00D07AFA" w:rsidRPr="00CC121D" w:rsidRDefault="00D07AFA" w:rsidP="00D07AFA">
            <w:pPr>
              <w:outlineLvl w:val="0"/>
            </w:pPr>
            <w:r w:rsidRPr="00CC121D">
              <w:t>EMC 4-10, EMC.11, EMC 13, EMC.14, EMC.16-20, EMC.21, EMC.22, EMC.25, EMC.26, EMC 27, EMC.28, EMC.29, EMC.32, EMC.33</w:t>
            </w:r>
          </w:p>
        </w:tc>
      </w:tr>
      <w:tr w:rsidR="00CC121D" w:rsidRPr="00CC121D" w14:paraId="57304F5C" w14:textId="77777777" w:rsidTr="00CC121D">
        <w:tc>
          <w:tcPr>
            <w:tcW w:w="2835" w:type="dxa"/>
          </w:tcPr>
          <w:p w14:paraId="57304F5A" w14:textId="77777777" w:rsidR="00D07AFA" w:rsidRPr="00CC121D" w:rsidRDefault="00D07AFA" w:rsidP="00D07AFA">
            <w:pPr>
              <w:numPr>
                <w:ilvl w:val="2"/>
                <w:numId w:val="12"/>
              </w:numPr>
              <w:contextualSpacing/>
            </w:pPr>
            <w:r w:rsidRPr="00CC121D">
              <w:t>Construction</w:t>
            </w:r>
          </w:p>
        </w:tc>
        <w:tc>
          <w:tcPr>
            <w:tcW w:w="5386" w:type="dxa"/>
            <w:vAlign w:val="center"/>
          </w:tcPr>
          <w:p w14:paraId="57304F5B" w14:textId="101E76D9" w:rsidR="00D07AFA" w:rsidRPr="00CC121D" w:rsidRDefault="00D07AFA" w:rsidP="00D07AFA">
            <w:pPr>
              <w:outlineLvl w:val="0"/>
            </w:pPr>
            <w:r w:rsidRPr="00CC121D">
              <w:t>EMC.5, EMC.6, EMC.13, EMC.14, EMC.17, EMC.19, EMC.20, EMC.27, EMC.30, EMC.31,</w:t>
            </w:r>
            <w:r w:rsidR="001918B6">
              <w:t xml:space="preserve"> </w:t>
            </w:r>
            <w:r w:rsidRPr="00CC121D">
              <w:t>EMC.34</w:t>
            </w:r>
          </w:p>
        </w:tc>
      </w:tr>
      <w:tr w:rsidR="00CC121D" w:rsidRPr="00CC121D" w14:paraId="57304F5F" w14:textId="77777777" w:rsidTr="00CC121D">
        <w:tc>
          <w:tcPr>
            <w:tcW w:w="2835" w:type="dxa"/>
          </w:tcPr>
          <w:p w14:paraId="57304F5D" w14:textId="77777777" w:rsidR="00D07AFA" w:rsidRPr="00CC121D" w:rsidRDefault="00D07AFA" w:rsidP="00D07AFA">
            <w:pPr>
              <w:numPr>
                <w:ilvl w:val="2"/>
                <w:numId w:val="12"/>
              </w:numPr>
              <w:contextualSpacing/>
            </w:pPr>
            <w:r w:rsidRPr="00CC121D">
              <w:t>EIMT</w:t>
            </w:r>
          </w:p>
        </w:tc>
        <w:tc>
          <w:tcPr>
            <w:tcW w:w="5386" w:type="dxa"/>
            <w:vAlign w:val="center"/>
          </w:tcPr>
          <w:p w14:paraId="57304F5E" w14:textId="77777777" w:rsidR="00D07AFA" w:rsidRPr="00CC121D" w:rsidRDefault="00D07AFA" w:rsidP="00D07AFA">
            <w:pPr>
              <w:outlineLvl w:val="0"/>
            </w:pPr>
            <w:r w:rsidRPr="00CC121D">
              <w:t>EMC.27, EMC.30</w:t>
            </w:r>
          </w:p>
        </w:tc>
      </w:tr>
    </w:tbl>
    <w:p w14:paraId="652ECA29" w14:textId="77777777" w:rsidR="00C55E79" w:rsidRDefault="00C55E79" w:rsidP="00C55E79">
      <w:pPr>
        <w:spacing w:before="240" w:after="220"/>
        <w:ind w:left="709"/>
        <w:outlineLvl w:val="0"/>
        <w:rPr>
          <w:rFonts w:ascii="Arial Bold" w:hAnsi="Arial Bold"/>
          <w:b/>
        </w:rPr>
      </w:pPr>
      <w:bookmarkStart w:id="42" w:name="_Toc43723305"/>
    </w:p>
    <w:p w14:paraId="57304F60" w14:textId="491FD4AD" w:rsidR="00D07AFA" w:rsidRPr="009156CD" w:rsidRDefault="00D07AFA" w:rsidP="009156CD">
      <w:pPr>
        <w:pStyle w:val="TSHeadingNumbered11"/>
      </w:pPr>
      <w:bookmarkStart w:id="43" w:name="_Toc57912695"/>
      <w:r w:rsidRPr="00CC121D">
        <w:t>WENRA, IAEA guidance and links to the SAPs</w:t>
      </w:r>
      <w:bookmarkEnd w:id="42"/>
      <w:bookmarkEnd w:id="43"/>
    </w:p>
    <w:p w14:paraId="57304F61" w14:textId="7F356B16" w:rsidR="00D07AFA" w:rsidRPr="00CC121D" w:rsidRDefault="00D07AFA" w:rsidP="00D07AFA">
      <w:pPr>
        <w:pStyle w:val="TSNumberedParagraph1"/>
      </w:pPr>
      <w:r w:rsidRPr="00CC121D">
        <w:t xml:space="preserve">As part of this TAG update, ONR has reviewed the WENRA reference levels and IAEA Safety Standards and concluded that expectations </w:t>
      </w:r>
      <w:r w:rsidR="00A44B3A">
        <w:t xml:space="preserve">of </w:t>
      </w:r>
      <w:r w:rsidRPr="00CC121D">
        <w:t xml:space="preserve">international guidance </w:t>
      </w:r>
      <w:r w:rsidR="00A44B3A">
        <w:t xml:space="preserve">in the area of civil engineering </w:t>
      </w:r>
      <w:r w:rsidRPr="00CC121D">
        <w:t>are alig</w:t>
      </w:r>
      <w:r w:rsidR="00BD4151">
        <w:t>ned with the SAPs and this TAG.</w:t>
      </w:r>
    </w:p>
    <w:p w14:paraId="57304F62" w14:textId="77777777" w:rsidR="00D07AFA" w:rsidRPr="009156CD" w:rsidRDefault="00D07AFA" w:rsidP="009156CD">
      <w:pPr>
        <w:pStyle w:val="TSHeadingNumbered11"/>
      </w:pPr>
      <w:bookmarkStart w:id="44" w:name="_Toc43723306"/>
      <w:bookmarkStart w:id="45" w:name="_Toc57912696"/>
      <w:r w:rsidRPr="00CC121D">
        <w:t>IAEA Documentation</w:t>
      </w:r>
      <w:bookmarkEnd w:id="44"/>
      <w:bookmarkEnd w:id="45"/>
      <w:r w:rsidRPr="00CC121D">
        <w:t xml:space="preserve"> </w:t>
      </w:r>
    </w:p>
    <w:p w14:paraId="57304F63" w14:textId="77777777" w:rsidR="00D07AFA" w:rsidRPr="00CC121D" w:rsidRDefault="00D07AFA" w:rsidP="00D07AFA">
      <w:pPr>
        <w:pStyle w:val="TSNumberedParagraph1"/>
      </w:pPr>
      <w:r w:rsidRPr="00CC121D">
        <w:t>IAEA publishes several types of documents, grouped into 'Series'. The four Series of interest for civil engineering assessment are:</w:t>
      </w:r>
    </w:p>
    <w:p w14:paraId="57304F64" w14:textId="77777777" w:rsidR="00D07AFA" w:rsidRPr="00CC121D" w:rsidRDefault="00D07AFA" w:rsidP="00D07AFA">
      <w:pPr>
        <w:numPr>
          <w:ilvl w:val="0"/>
          <w:numId w:val="2"/>
        </w:numPr>
        <w:tabs>
          <w:tab w:val="clear" w:pos="-28713"/>
          <w:tab w:val="num" w:pos="-31680"/>
          <w:tab w:val="num" w:pos="1418"/>
        </w:tabs>
        <w:spacing w:after="240"/>
        <w:ind w:left="1418" w:hanging="709"/>
        <w:contextualSpacing/>
        <w:jc w:val="both"/>
      </w:pPr>
      <w:r w:rsidRPr="00CC121D">
        <w:t>Safety Standards Series – Safety Fundamentals, Safety</w:t>
      </w:r>
      <w:r w:rsidR="00BD4151">
        <w:t xml:space="preserve"> Requirements and Safety Guides,</w:t>
      </w:r>
    </w:p>
    <w:p w14:paraId="57304F65" w14:textId="77777777" w:rsidR="00D07AFA" w:rsidRPr="00CC121D" w:rsidRDefault="00D07AFA" w:rsidP="00D07AFA">
      <w:pPr>
        <w:numPr>
          <w:ilvl w:val="0"/>
          <w:numId w:val="2"/>
        </w:numPr>
        <w:tabs>
          <w:tab w:val="clear" w:pos="-28713"/>
          <w:tab w:val="num" w:pos="-31680"/>
          <w:tab w:val="num" w:pos="1418"/>
        </w:tabs>
        <w:spacing w:after="240"/>
        <w:ind w:left="1418" w:hanging="709"/>
        <w:contextualSpacing/>
        <w:jc w:val="both"/>
      </w:pPr>
      <w:r w:rsidRPr="00CC121D">
        <w:t>Safety Reports Series</w:t>
      </w:r>
      <w:r w:rsidR="00457643">
        <w:t>,</w:t>
      </w:r>
    </w:p>
    <w:p w14:paraId="57304F66" w14:textId="77777777" w:rsidR="00D07AFA" w:rsidRPr="00CC121D" w:rsidRDefault="00D07AFA" w:rsidP="00D07AFA">
      <w:pPr>
        <w:numPr>
          <w:ilvl w:val="0"/>
          <w:numId w:val="2"/>
        </w:numPr>
        <w:tabs>
          <w:tab w:val="clear" w:pos="-28713"/>
          <w:tab w:val="num" w:pos="-31680"/>
          <w:tab w:val="num" w:pos="1418"/>
        </w:tabs>
        <w:spacing w:after="240"/>
        <w:ind w:left="1418" w:hanging="709"/>
        <w:contextualSpacing/>
        <w:jc w:val="both"/>
      </w:pPr>
      <w:r w:rsidRPr="00CC121D">
        <w:t>Technical Reports Series</w:t>
      </w:r>
      <w:r w:rsidR="00457643">
        <w:t>,</w:t>
      </w:r>
    </w:p>
    <w:p w14:paraId="57304F67" w14:textId="298F98BB" w:rsidR="00D07AFA" w:rsidRPr="00CC121D" w:rsidRDefault="00D07AFA" w:rsidP="00D07AFA">
      <w:pPr>
        <w:numPr>
          <w:ilvl w:val="0"/>
          <w:numId w:val="2"/>
        </w:numPr>
        <w:tabs>
          <w:tab w:val="clear" w:pos="-28713"/>
          <w:tab w:val="num" w:pos="-31680"/>
          <w:tab w:val="num" w:pos="1418"/>
        </w:tabs>
        <w:spacing w:after="240"/>
        <w:ind w:left="1418" w:hanging="709"/>
        <w:contextualSpacing/>
        <w:jc w:val="both"/>
      </w:pPr>
      <w:r w:rsidRPr="00CC121D">
        <w:t>Nuclear Energy Series</w:t>
      </w:r>
      <w:r w:rsidR="00A97AA2">
        <w:t>.</w:t>
      </w:r>
    </w:p>
    <w:p w14:paraId="57304F68" w14:textId="77777777" w:rsidR="00D07AFA" w:rsidRPr="00CC121D" w:rsidRDefault="00D07AFA" w:rsidP="00D07AFA">
      <w:pPr>
        <w:pStyle w:val="TSNumberedParagraph1"/>
      </w:pPr>
      <w:r w:rsidRPr="00CC121D">
        <w:t>The principal relevant IAEA standards are identified in Appendix D, grouped into sub-headings dependant on their position within the life cycle of the installation</w:t>
      </w:r>
      <w:r w:rsidR="00901E21">
        <w:t>, see section 4.8</w:t>
      </w:r>
      <w:r w:rsidR="00457643">
        <w:t>.</w:t>
      </w:r>
    </w:p>
    <w:p w14:paraId="57304F69" w14:textId="77777777" w:rsidR="00D07AFA" w:rsidRPr="009156CD" w:rsidRDefault="00D07AFA" w:rsidP="009156CD">
      <w:pPr>
        <w:pStyle w:val="TSHeadingNumbered11"/>
      </w:pPr>
      <w:bookmarkStart w:id="46" w:name="_Toc43723307"/>
      <w:bookmarkStart w:id="47" w:name="_Toc57912697"/>
      <w:r w:rsidRPr="00E525B4">
        <w:t>Safety Standards Series</w:t>
      </w:r>
      <w:bookmarkEnd w:id="46"/>
      <w:bookmarkEnd w:id="47"/>
    </w:p>
    <w:p w14:paraId="57304F6A" w14:textId="77777777" w:rsidR="00D07AFA" w:rsidRPr="00CC121D" w:rsidRDefault="00D07AFA" w:rsidP="00D07AFA">
      <w:pPr>
        <w:pStyle w:val="TSNumberedParagraph1"/>
      </w:pPr>
      <w:r w:rsidRPr="00CC121D">
        <w:t>IAEA Safety Standards Series comprises Safety Fundamentals, Safety Requirements and Safety Guides. These IAEA Safety Standards are applied by the IAEA and joint sponsoring organizations to their own operations, and are recommended for use by states and national authorities and by other international organizations in re</w:t>
      </w:r>
      <w:r w:rsidR="00E525B4">
        <w:t>lation to their own activities.</w:t>
      </w:r>
    </w:p>
    <w:p w14:paraId="57304F6B" w14:textId="77777777" w:rsidR="00D07AFA" w:rsidRPr="00CC121D" w:rsidRDefault="00D07AFA" w:rsidP="00D07AFA">
      <w:pPr>
        <w:pStyle w:val="TSNumberedParagraph1"/>
      </w:pPr>
      <w:r w:rsidRPr="00CC121D">
        <w:t>IAEA documents not listed under the Safety Standards Series are not part of IAEA Safety Standards.</w:t>
      </w:r>
    </w:p>
    <w:p w14:paraId="01CD8DDC" w14:textId="4000D8CB" w:rsidR="00D07AFA" w:rsidRPr="00CC121D" w:rsidRDefault="00D07AFA" w:rsidP="006722D2">
      <w:pPr>
        <w:pStyle w:val="TSNumberedParagraph1"/>
      </w:pPr>
      <w:r w:rsidRPr="00CC121D">
        <w:t>The IAEA documents apply only to nuclear power reactors and mostly to PWR and BWR type reactors. The remit of the ONR Safety Assessment Principles and this TAG is wider and co</w:t>
      </w:r>
      <w:r w:rsidR="00E525B4">
        <w:t>vers all GB nuclear installations.</w:t>
      </w:r>
    </w:p>
    <w:p w14:paraId="57304F6D" w14:textId="77777777" w:rsidR="00D07AFA" w:rsidRPr="00CC121D" w:rsidRDefault="00D07AFA" w:rsidP="00D07AFA">
      <w:pPr>
        <w:spacing w:before="120" w:after="220"/>
        <w:ind w:left="709"/>
        <w:outlineLvl w:val="0"/>
        <w:rPr>
          <w:rFonts w:ascii="Arial Bold" w:hAnsi="Arial Bold"/>
          <w:iCs/>
          <w:caps/>
        </w:rPr>
      </w:pPr>
      <w:bookmarkStart w:id="48" w:name="_Toc43723308"/>
      <w:r w:rsidRPr="00CC121D">
        <w:rPr>
          <w:rFonts w:ascii="Arial Bold" w:hAnsi="Arial Bold"/>
          <w:b/>
        </w:rPr>
        <w:t>IAEA</w:t>
      </w:r>
      <w:r w:rsidRPr="00CC121D">
        <w:rPr>
          <w:rFonts w:ascii="Arial Bold" w:hAnsi="Arial Bold"/>
          <w:iCs/>
          <w:caps/>
        </w:rPr>
        <w:t xml:space="preserve"> </w:t>
      </w:r>
      <w:r w:rsidRPr="00CC121D">
        <w:rPr>
          <w:rFonts w:ascii="Arial Bold" w:hAnsi="Arial Bold"/>
          <w:b/>
        </w:rPr>
        <w:t>Safety Standards Series framework</w:t>
      </w:r>
      <w:bookmarkEnd w:id="48"/>
    </w:p>
    <w:p w14:paraId="57304F6E" w14:textId="77777777" w:rsidR="00D07AFA" w:rsidRPr="00CC121D" w:rsidRDefault="00D07AFA" w:rsidP="00D07AFA">
      <w:pPr>
        <w:pStyle w:val="TSNumberedParagraph1"/>
      </w:pPr>
      <w:r w:rsidRPr="00CC121D">
        <w:t>The hierarchy of the IAEA Safety Standards Series suite of documents are as follows:</w:t>
      </w:r>
    </w:p>
    <w:p w14:paraId="57304F6F" w14:textId="77777777" w:rsidR="00D07AFA" w:rsidRPr="00CC121D" w:rsidRDefault="00D07AFA" w:rsidP="00D07AFA">
      <w:pPr>
        <w:spacing w:before="120" w:after="220"/>
        <w:ind w:left="709"/>
        <w:outlineLvl w:val="0"/>
        <w:rPr>
          <w:rFonts w:ascii="Arial Bold" w:hAnsi="Arial Bold"/>
          <w:b/>
        </w:rPr>
      </w:pPr>
      <w:r w:rsidRPr="00CC121D">
        <w:rPr>
          <w:rFonts w:ascii="Arial Bold" w:hAnsi="Arial Bold"/>
          <w:b/>
        </w:rPr>
        <w:t>IAEA Safety Fundamentals</w:t>
      </w:r>
    </w:p>
    <w:p w14:paraId="57304F70" w14:textId="77777777" w:rsidR="00D07AFA" w:rsidRPr="00CC121D" w:rsidRDefault="00D07AFA" w:rsidP="00D07AFA">
      <w:pPr>
        <w:pStyle w:val="TSNumberedParagraph1"/>
      </w:pPr>
      <w:r w:rsidRPr="00CC121D">
        <w:t>As the primary publication in the Safety Standards Series, Fundamental Safety Principles establishes the safety objectives and principles of protection and safety.</w:t>
      </w:r>
    </w:p>
    <w:p w14:paraId="57304F71" w14:textId="77777777" w:rsidR="00D07AFA" w:rsidRPr="00CC121D" w:rsidRDefault="00D07AFA" w:rsidP="00D07AFA">
      <w:pPr>
        <w:spacing w:before="120" w:after="220"/>
        <w:ind w:left="709"/>
        <w:outlineLvl w:val="0"/>
        <w:rPr>
          <w:rFonts w:ascii="Arial Bold" w:hAnsi="Arial Bold"/>
          <w:b/>
        </w:rPr>
      </w:pPr>
      <w:r w:rsidRPr="00CC121D">
        <w:rPr>
          <w:rFonts w:ascii="Arial Bold" w:hAnsi="Arial Bold"/>
          <w:b/>
        </w:rPr>
        <w:t>IAEA Safety Requirements</w:t>
      </w:r>
    </w:p>
    <w:p w14:paraId="57304F72" w14:textId="77777777" w:rsidR="00D07AFA" w:rsidRPr="00CC121D" w:rsidRDefault="00D07AFA" w:rsidP="00D07AFA">
      <w:pPr>
        <w:pStyle w:val="TSNumberedParagraph1"/>
      </w:pPr>
      <w:r w:rsidRPr="00CC121D">
        <w:t>An integrated and consistent set of Safety Requirements publications establish the requirements that must be met to ensure the protection</w:t>
      </w:r>
      <w:r w:rsidR="00E525B4">
        <w:t xml:space="preserve"> of people and the environment.</w:t>
      </w:r>
    </w:p>
    <w:p w14:paraId="57304F73" w14:textId="77777777" w:rsidR="00D07AFA" w:rsidRPr="00CC121D" w:rsidRDefault="00D07AFA" w:rsidP="00D07AFA">
      <w:pPr>
        <w:pStyle w:val="TSNumberedParagraph1"/>
      </w:pPr>
      <w:r w:rsidRPr="00CC121D">
        <w:t>The requirements are governed by the objectives and principles of the Safety Fundamentals. If they are not met, measures must be taken to reach or restore the required level of safety. These use the word ‘shall’.</w:t>
      </w:r>
    </w:p>
    <w:p w14:paraId="57304F74" w14:textId="77777777" w:rsidR="00D07AFA" w:rsidRPr="00CC121D" w:rsidRDefault="00D07AFA" w:rsidP="00D07AFA">
      <w:pPr>
        <w:spacing w:before="120" w:after="220"/>
        <w:ind w:left="709"/>
        <w:outlineLvl w:val="0"/>
        <w:rPr>
          <w:rFonts w:ascii="Arial Bold" w:hAnsi="Arial Bold"/>
          <w:b/>
        </w:rPr>
      </w:pPr>
      <w:r w:rsidRPr="00CC121D">
        <w:rPr>
          <w:rFonts w:ascii="Arial Bold" w:hAnsi="Arial Bold"/>
          <w:b/>
        </w:rPr>
        <w:t>IAEA Safety Guides</w:t>
      </w:r>
    </w:p>
    <w:p w14:paraId="57304F75" w14:textId="169E52A5" w:rsidR="00D07AFA" w:rsidRPr="00CC121D" w:rsidRDefault="00D07AFA" w:rsidP="00D07AFA">
      <w:pPr>
        <w:pStyle w:val="TSNumberedParagraph1"/>
      </w:pPr>
      <w:r w:rsidRPr="00CC121D">
        <w:t>Safety Guides provide recommendations and guidance on how to comply with the Safety Requirements and reflect a consensus that it is necessary to take the measures recommended (or equ</w:t>
      </w:r>
      <w:r w:rsidR="00621AB2">
        <w:t>ivalent alternative measures).</w:t>
      </w:r>
    </w:p>
    <w:p w14:paraId="57304F76" w14:textId="77777777" w:rsidR="00D07AFA" w:rsidRPr="00CC121D" w:rsidRDefault="00D07AFA" w:rsidP="00D07AFA">
      <w:pPr>
        <w:pStyle w:val="TSNumberedParagraph1"/>
      </w:pPr>
      <w:r w:rsidRPr="00CC121D">
        <w:t>The Safety Guides present international good practices and increasingly they reflect best practices to help users striving to achieve high levels of safety. These use the word ‘should’.</w:t>
      </w:r>
    </w:p>
    <w:p w14:paraId="57304F77" w14:textId="77777777" w:rsidR="00D07AFA" w:rsidRPr="00CC121D" w:rsidRDefault="00D07AFA" w:rsidP="00D07AFA">
      <w:pPr>
        <w:pStyle w:val="TSNumberedParagraph1"/>
      </w:pPr>
      <w:r w:rsidRPr="00CC121D">
        <w:t>ONR policy reflects this hierarchy by stating that:</w:t>
      </w:r>
    </w:p>
    <w:p w14:paraId="57304F78" w14:textId="77777777" w:rsidR="00D07AFA" w:rsidRPr="00CC121D" w:rsidRDefault="00D07AFA" w:rsidP="00D07AFA">
      <w:pPr>
        <w:numPr>
          <w:ilvl w:val="0"/>
          <w:numId w:val="2"/>
        </w:numPr>
        <w:tabs>
          <w:tab w:val="clear" w:pos="-28713"/>
          <w:tab w:val="num" w:pos="-31680"/>
          <w:tab w:val="num" w:pos="1418"/>
        </w:tabs>
        <w:spacing w:after="240"/>
        <w:ind w:left="1418" w:hanging="709"/>
        <w:contextualSpacing/>
        <w:jc w:val="both"/>
      </w:pPr>
      <w:r w:rsidRPr="00CC121D">
        <w:t>guidance in IAEA Safety Fundamentals and IAEA Safety Requirements should always be included in our SAPs and TAGs etc. (though this may need to be adapted to fi</w:t>
      </w:r>
      <w:r w:rsidR="00621AB2">
        <w:t>t with the UK legal framework),</w:t>
      </w:r>
    </w:p>
    <w:p w14:paraId="57304F79" w14:textId="77777777" w:rsidR="00D07AFA" w:rsidRPr="00CC121D" w:rsidRDefault="00D07AFA" w:rsidP="00D07AFA">
      <w:pPr>
        <w:numPr>
          <w:ilvl w:val="0"/>
          <w:numId w:val="2"/>
        </w:numPr>
        <w:tabs>
          <w:tab w:val="clear" w:pos="-28713"/>
          <w:tab w:val="num" w:pos="-31680"/>
          <w:tab w:val="num" w:pos="1418"/>
        </w:tabs>
        <w:spacing w:after="240"/>
        <w:ind w:left="1418" w:hanging="709"/>
        <w:contextualSpacing/>
        <w:jc w:val="both"/>
      </w:pPr>
      <w:r w:rsidRPr="00CC121D">
        <w:t>guidance contained in Safety Guides should normally be included (i.e. only omitted if</w:t>
      </w:r>
      <w:r w:rsidR="00621AB2">
        <w:t xml:space="preserve"> there is a compelling reason),</w:t>
      </w:r>
    </w:p>
    <w:p w14:paraId="57304F7A" w14:textId="77777777" w:rsidR="00D07AFA" w:rsidRPr="00CC121D" w:rsidRDefault="00D07AFA" w:rsidP="00D07AFA">
      <w:pPr>
        <w:numPr>
          <w:ilvl w:val="0"/>
          <w:numId w:val="2"/>
        </w:numPr>
        <w:tabs>
          <w:tab w:val="clear" w:pos="-28713"/>
          <w:tab w:val="num" w:pos="-31680"/>
          <w:tab w:val="num" w:pos="1418"/>
        </w:tabs>
        <w:spacing w:after="240"/>
        <w:ind w:left="1418" w:hanging="709"/>
        <w:contextualSpacing/>
        <w:jc w:val="both"/>
      </w:pPr>
      <w:r w:rsidRPr="00CC121D">
        <w:t xml:space="preserve">guidance in lower tier Safety Standards (such as Technical or Safety Reports) should be considered for inclusion if </w:t>
      </w:r>
      <w:r w:rsidR="00621AB2">
        <w:t>viewed as particularly relevant,</w:t>
      </w:r>
    </w:p>
    <w:p w14:paraId="57304F7C" w14:textId="6E43C5F9" w:rsidR="00D07AFA" w:rsidRPr="006722D2" w:rsidRDefault="00D07AFA" w:rsidP="00A76E68">
      <w:pPr>
        <w:numPr>
          <w:ilvl w:val="0"/>
          <w:numId w:val="2"/>
        </w:numPr>
        <w:tabs>
          <w:tab w:val="clear" w:pos="-28713"/>
          <w:tab w:val="num" w:pos="-31680"/>
          <w:tab w:val="num" w:pos="1418"/>
        </w:tabs>
        <w:spacing w:after="240"/>
        <w:ind w:left="1418" w:hanging="709"/>
        <w:contextualSpacing/>
        <w:jc w:val="both"/>
      </w:pPr>
      <w:r w:rsidRPr="00CC121D">
        <w:t xml:space="preserve">Technical Documents (TECDOCS) are not included or considered within this TAG, reflecting the less rigorous regime of their approval. </w:t>
      </w:r>
    </w:p>
    <w:p w14:paraId="57304F7D" w14:textId="5E01C762" w:rsidR="00D07AFA" w:rsidRPr="009156CD" w:rsidRDefault="00D07AFA" w:rsidP="009156CD">
      <w:pPr>
        <w:pStyle w:val="TSHeadingNumbered11"/>
      </w:pPr>
      <w:bookmarkStart w:id="49" w:name="_Toc43723309"/>
      <w:bookmarkStart w:id="50" w:name="_Toc57912698"/>
      <w:r w:rsidRPr="00621AB2">
        <w:t>Benchmarking</w:t>
      </w:r>
      <w:bookmarkEnd w:id="49"/>
      <w:bookmarkEnd w:id="50"/>
    </w:p>
    <w:p w14:paraId="57304F7E" w14:textId="77777777" w:rsidR="00D07AFA" w:rsidRPr="00CC121D" w:rsidRDefault="00D07AFA" w:rsidP="00D07AFA">
      <w:pPr>
        <w:pStyle w:val="TSNumberedParagraph1"/>
      </w:pPr>
      <w:r w:rsidRPr="00CC121D">
        <w:rPr>
          <w:iCs/>
        </w:rPr>
        <w:t xml:space="preserve">The benchmarking exercise between SAPs and IAEA guidance has been undertaken as part of this document update. Appendix D </w:t>
      </w:r>
      <w:r w:rsidRPr="00CC121D">
        <w:t>identifies</w:t>
      </w:r>
      <w:r w:rsidRPr="00CC121D">
        <w:rPr>
          <w:iCs/>
        </w:rPr>
        <w:t xml:space="preserve"> the Safety Fundamentals, Requirements, Safety Guides (alongside the Safety, Technical and Nuclear Energy Reports) that are most relevant to the following </w:t>
      </w:r>
      <w:r w:rsidR="00621AB2">
        <w:rPr>
          <w:iCs/>
        </w:rPr>
        <w:t>civil engineering topic areas:</w:t>
      </w:r>
    </w:p>
    <w:p w14:paraId="57304F7F" w14:textId="77777777" w:rsidR="00D07AFA" w:rsidRPr="00CC121D" w:rsidRDefault="00621AB2" w:rsidP="00D07AFA">
      <w:pPr>
        <w:numPr>
          <w:ilvl w:val="0"/>
          <w:numId w:val="2"/>
        </w:numPr>
        <w:tabs>
          <w:tab w:val="clear" w:pos="-28713"/>
          <w:tab w:val="num" w:pos="-31680"/>
          <w:tab w:val="num" w:pos="1418"/>
        </w:tabs>
        <w:spacing w:after="240"/>
        <w:ind w:left="1418" w:hanging="709"/>
        <w:contextualSpacing/>
        <w:jc w:val="both"/>
      </w:pPr>
      <w:r>
        <w:t>Principles,</w:t>
      </w:r>
    </w:p>
    <w:p w14:paraId="57304F80" w14:textId="77777777" w:rsidR="00D07AFA" w:rsidRPr="00CC121D" w:rsidRDefault="00D07AFA" w:rsidP="00D07AFA">
      <w:pPr>
        <w:numPr>
          <w:ilvl w:val="0"/>
          <w:numId w:val="2"/>
        </w:numPr>
        <w:tabs>
          <w:tab w:val="clear" w:pos="-28713"/>
          <w:tab w:val="num" w:pos="-31680"/>
          <w:tab w:val="num" w:pos="1418"/>
        </w:tabs>
        <w:spacing w:after="240"/>
        <w:ind w:left="1418" w:hanging="709"/>
        <w:contextualSpacing/>
        <w:jc w:val="both"/>
      </w:pPr>
      <w:r w:rsidRPr="00CC121D">
        <w:t>Siting and Site investigation,</w:t>
      </w:r>
    </w:p>
    <w:p w14:paraId="57304F81" w14:textId="77777777" w:rsidR="00D07AFA" w:rsidRPr="00CC121D" w:rsidRDefault="00D07AFA" w:rsidP="00D07AFA">
      <w:pPr>
        <w:numPr>
          <w:ilvl w:val="0"/>
          <w:numId w:val="2"/>
        </w:numPr>
        <w:tabs>
          <w:tab w:val="clear" w:pos="-28713"/>
          <w:tab w:val="num" w:pos="-31680"/>
          <w:tab w:val="num" w:pos="1418"/>
        </w:tabs>
        <w:spacing w:after="240"/>
        <w:ind w:left="1418" w:hanging="709"/>
        <w:contextualSpacing/>
        <w:jc w:val="both"/>
      </w:pPr>
      <w:r w:rsidRPr="00CC121D">
        <w:t>Design/Modifications</w:t>
      </w:r>
    </w:p>
    <w:p w14:paraId="57304F82" w14:textId="77777777" w:rsidR="00D07AFA" w:rsidRPr="00CC121D" w:rsidRDefault="00D07AFA" w:rsidP="00D07AFA">
      <w:pPr>
        <w:numPr>
          <w:ilvl w:val="0"/>
          <w:numId w:val="2"/>
        </w:numPr>
        <w:tabs>
          <w:tab w:val="clear" w:pos="-28713"/>
          <w:tab w:val="num" w:pos="-31680"/>
          <w:tab w:val="num" w:pos="1418"/>
        </w:tabs>
        <w:spacing w:after="240"/>
        <w:ind w:left="1418" w:hanging="709"/>
        <w:contextualSpacing/>
        <w:jc w:val="both"/>
      </w:pPr>
      <w:r w:rsidRPr="00CC121D">
        <w:t>Internal and Exter</w:t>
      </w:r>
      <w:r w:rsidR="00621AB2">
        <w:t>nal Hazard Loadings,</w:t>
      </w:r>
    </w:p>
    <w:p w14:paraId="57304F83" w14:textId="77777777" w:rsidR="00D07AFA" w:rsidRPr="00CC121D" w:rsidRDefault="00621AB2" w:rsidP="00D07AFA">
      <w:pPr>
        <w:numPr>
          <w:ilvl w:val="0"/>
          <w:numId w:val="2"/>
        </w:numPr>
        <w:tabs>
          <w:tab w:val="clear" w:pos="-28713"/>
          <w:tab w:val="num" w:pos="-31680"/>
          <w:tab w:val="num" w:pos="1418"/>
        </w:tabs>
        <w:spacing w:after="240"/>
        <w:ind w:left="1418" w:hanging="709"/>
        <w:contextualSpacing/>
        <w:jc w:val="both"/>
      </w:pPr>
      <w:r>
        <w:t>Construction and Commissioning,</w:t>
      </w:r>
    </w:p>
    <w:p w14:paraId="57304F84" w14:textId="77777777" w:rsidR="00D07AFA" w:rsidRPr="00CC121D" w:rsidRDefault="00D07AFA" w:rsidP="00D07AFA">
      <w:pPr>
        <w:numPr>
          <w:ilvl w:val="0"/>
          <w:numId w:val="2"/>
        </w:numPr>
        <w:tabs>
          <w:tab w:val="clear" w:pos="-28713"/>
          <w:tab w:val="num" w:pos="-31680"/>
          <w:tab w:val="num" w:pos="1418"/>
        </w:tabs>
        <w:spacing w:after="240"/>
        <w:ind w:left="1418" w:hanging="709"/>
        <w:contextualSpacing/>
        <w:jc w:val="both"/>
      </w:pPr>
      <w:r w:rsidRPr="00CC121D">
        <w:t>Operations and Maintenance,</w:t>
      </w:r>
    </w:p>
    <w:p w14:paraId="57304F85" w14:textId="77777777" w:rsidR="00D07AFA" w:rsidRPr="00CC121D" w:rsidRDefault="00D07AFA" w:rsidP="00D07AFA">
      <w:pPr>
        <w:numPr>
          <w:ilvl w:val="0"/>
          <w:numId w:val="2"/>
        </w:numPr>
        <w:tabs>
          <w:tab w:val="clear" w:pos="-28713"/>
          <w:tab w:val="num" w:pos="-31680"/>
          <w:tab w:val="num" w:pos="1418"/>
        </w:tabs>
        <w:spacing w:after="240"/>
        <w:ind w:left="1418" w:hanging="709"/>
        <w:contextualSpacing/>
        <w:jc w:val="both"/>
      </w:pPr>
      <w:r w:rsidRPr="00CC121D">
        <w:t>Decommissioning and Demolition.</w:t>
      </w:r>
    </w:p>
    <w:p w14:paraId="57304F86" w14:textId="77777777" w:rsidR="00D07AFA" w:rsidRPr="00CC121D" w:rsidRDefault="00D07AFA" w:rsidP="00D07AFA">
      <w:pPr>
        <w:pStyle w:val="TSNumberedParagraph1"/>
        <w:rPr>
          <w:iCs/>
        </w:rPr>
      </w:pPr>
      <w:r w:rsidRPr="00CC121D">
        <w:rPr>
          <w:iCs/>
        </w:rPr>
        <w:t>The key IAEA Safety Requirements for reference to civil engineering are:</w:t>
      </w:r>
    </w:p>
    <w:p w14:paraId="57304F87" w14:textId="26B0DE28" w:rsidR="00D07AFA" w:rsidRPr="00CC121D" w:rsidRDefault="00D07AFA" w:rsidP="00D07AFA">
      <w:pPr>
        <w:numPr>
          <w:ilvl w:val="0"/>
          <w:numId w:val="2"/>
        </w:numPr>
        <w:tabs>
          <w:tab w:val="clear" w:pos="-28713"/>
          <w:tab w:val="num" w:pos="-31680"/>
          <w:tab w:val="num" w:pos="1418"/>
        </w:tabs>
        <w:spacing w:after="240"/>
        <w:ind w:left="1418" w:hanging="709"/>
        <w:contextualSpacing/>
        <w:jc w:val="both"/>
      </w:pPr>
      <w:r w:rsidRPr="00CC121D">
        <w:t>SSR-2/1 ‘Safety for Nuc</w:t>
      </w:r>
      <w:r w:rsidR="00621AB2">
        <w:t>lear Power Plant Design’ [</w:t>
      </w:r>
      <w:r w:rsidR="00FD264B">
        <w:t>2</w:t>
      </w:r>
      <w:r w:rsidR="00621AB2">
        <w:t>],</w:t>
      </w:r>
    </w:p>
    <w:p w14:paraId="57304F88" w14:textId="06E5B29E" w:rsidR="00D07AFA" w:rsidRPr="00CC121D" w:rsidRDefault="00D07AFA" w:rsidP="00D07AFA">
      <w:pPr>
        <w:numPr>
          <w:ilvl w:val="0"/>
          <w:numId w:val="2"/>
        </w:numPr>
        <w:tabs>
          <w:tab w:val="clear" w:pos="-28713"/>
          <w:tab w:val="num" w:pos="-31680"/>
          <w:tab w:val="num" w:pos="1418"/>
        </w:tabs>
        <w:spacing w:after="240"/>
        <w:ind w:left="1418" w:hanging="709"/>
        <w:contextualSpacing/>
        <w:jc w:val="both"/>
      </w:pPr>
      <w:r w:rsidRPr="00CC121D">
        <w:t>SSR-2/2 ‘Safety of NPP: Commissioning and Operation’</w:t>
      </w:r>
      <w:r w:rsidR="00924BA3">
        <w:t xml:space="preserve"> [</w:t>
      </w:r>
      <w:r w:rsidR="007715C1">
        <w:t>3</w:t>
      </w:r>
      <w:r w:rsidR="0095484E">
        <w:t>6</w:t>
      </w:r>
      <w:r w:rsidR="00924BA3">
        <w:t>]</w:t>
      </w:r>
      <w:r w:rsidR="00621AB2">
        <w:t>,</w:t>
      </w:r>
    </w:p>
    <w:p w14:paraId="57304F89" w14:textId="2BACD66F" w:rsidR="00D07AFA" w:rsidRPr="00CC121D" w:rsidRDefault="00D07AFA" w:rsidP="00D07AFA">
      <w:pPr>
        <w:numPr>
          <w:ilvl w:val="0"/>
          <w:numId w:val="2"/>
        </w:numPr>
        <w:tabs>
          <w:tab w:val="clear" w:pos="-28713"/>
          <w:tab w:val="num" w:pos="-31680"/>
          <w:tab w:val="num" w:pos="1418"/>
        </w:tabs>
        <w:spacing w:after="240"/>
        <w:ind w:left="1418" w:hanging="709"/>
        <w:contextualSpacing/>
        <w:jc w:val="both"/>
      </w:pPr>
      <w:r w:rsidRPr="00CC121D">
        <w:t>GSR-6 ‘Decommissioning of Facilities’</w:t>
      </w:r>
      <w:r w:rsidR="00924BA3">
        <w:t xml:space="preserve"> [</w:t>
      </w:r>
      <w:r w:rsidR="007715C1">
        <w:t>3</w:t>
      </w:r>
      <w:r w:rsidR="0095484E">
        <w:t>7</w:t>
      </w:r>
      <w:r w:rsidR="00924BA3">
        <w:t>]</w:t>
      </w:r>
      <w:r w:rsidR="00621AB2">
        <w:t>.</w:t>
      </w:r>
    </w:p>
    <w:p w14:paraId="57304F8B" w14:textId="77777777" w:rsidR="00D07AFA" w:rsidRPr="009156CD" w:rsidRDefault="00D07AFA" w:rsidP="009156CD">
      <w:pPr>
        <w:pStyle w:val="TSHeadingNumbered11"/>
      </w:pPr>
      <w:bookmarkStart w:id="51" w:name="_Toc43723310"/>
      <w:bookmarkStart w:id="52" w:name="_Toc57912699"/>
      <w:r w:rsidRPr="00CC121D">
        <w:t>WENRA Reference Levels</w:t>
      </w:r>
      <w:bookmarkEnd w:id="51"/>
      <w:bookmarkEnd w:id="52"/>
      <w:r w:rsidRPr="00CC121D">
        <w:t xml:space="preserve"> </w:t>
      </w:r>
    </w:p>
    <w:p w14:paraId="57304F8C" w14:textId="4B4AB269" w:rsidR="00924BA3" w:rsidRDefault="00D07AFA" w:rsidP="00D07AFA">
      <w:pPr>
        <w:pStyle w:val="TSNumberedParagraph1"/>
        <w:rPr>
          <w:iCs/>
        </w:rPr>
      </w:pPr>
      <w:r w:rsidRPr="00CC121D">
        <w:rPr>
          <w:iCs/>
        </w:rPr>
        <w:t>The objective of the Western European Nuclear Regulators Association (WENRA)</w:t>
      </w:r>
      <w:r w:rsidR="007715C1">
        <w:rPr>
          <w:iCs/>
        </w:rPr>
        <w:t xml:space="preserve"> Safety Reference Levels (SRLs)</w:t>
      </w:r>
      <w:r w:rsidRPr="00CC121D">
        <w:rPr>
          <w:iCs/>
        </w:rPr>
        <w:t xml:space="preserve"> is to develop a common approach to nuclear safety in Europe by comparing national approaches to the application of the International Atomic Energy </w:t>
      </w:r>
      <w:r w:rsidR="00621AB2">
        <w:rPr>
          <w:iCs/>
        </w:rPr>
        <w:t>Agency (IAEA) safety standards.</w:t>
      </w:r>
    </w:p>
    <w:p w14:paraId="57304F8D" w14:textId="3AA92C89" w:rsidR="00D07AFA" w:rsidRPr="00CC121D" w:rsidRDefault="00D07AFA" w:rsidP="00D07AFA">
      <w:pPr>
        <w:pStyle w:val="TSNumberedParagraph1"/>
        <w:rPr>
          <w:iCs/>
        </w:rPr>
      </w:pPr>
      <w:r w:rsidRPr="00CC121D">
        <w:rPr>
          <w:iCs/>
        </w:rPr>
        <w:t>The</w:t>
      </w:r>
      <w:r w:rsidR="00626355">
        <w:rPr>
          <w:iCs/>
        </w:rPr>
        <w:t xml:space="preserve"> Safety</w:t>
      </w:r>
      <w:r w:rsidRPr="00CC121D">
        <w:rPr>
          <w:iCs/>
        </w:rPr>
        <w:t xml:space="preserve"> Reference Levels (</w:t>
      </w:r>
      <w:r w:rsidR="00626355">
        <w:rPr>
          <w:iCs/>
        </w:rPr>
        <w:t>S</w:t>
      </w:r>
      <w:r w:rsidRPr="00CC121D">
        <w:rPr>
          <w:iCs/>
        </w:rPr>
        <w:t>RLs), which are primarily based on the IAEA safety standards, represent good practices in the WENRA member states and also represent a consensus view of the main requirements to be ap</w:t>
      </w:r>
      <w:r w:rsidR="00621AB2">
        <w:rPr>
          <w:iCs/>
        </w:rPr>
        <w:t>plied to ensure nuclear safety.</w:t>
      </w:r>
    </w:p>
    <w:p w14:paraId="57304F8E" w14:textId="4A21611A" w:rsidR="00D07AFA" w:rsidRPr="00CC121D" w:rsidRDefault="00D07AFA" w:rsidP="00D07AFA">
      <w:pPr>
        <w:pStyle w:val="TSNumberedParagraph1"/>
        <w:rPr>
          <w:iCs/>
        </w:rPr>
      </w:pPr>
      <w:r w:rsidRPr="00CC121D">
        <w:rPr>
          <w:iCs/>
        </w:rPr>
        <w:t xml:space="preserve">The WENRA reference levels were re-issued in 2014 to primarily update them with lessons learned from the Fukushima </w:t>
      </w:r>
      <w:proofErr w:type="spellStart"/>
      <w:r w:rsidRPr="00CC121D">
        <w:rPr>
          <w:iCs/>
        </w:rPr>
        <w:t>Dai-ichi</w:t>
      </w:r>
      <w:proofErr w:type="spellEnd"/>
      <w:r w:rsidRPr="00CC121D">
        <w:rPr>
          <w:iCs/>
        </w:rPr>
        <w:t xml:space="preserve"> accident and insights from the EU stress tests. Key expectations in this version were the revised expectations on natural hazards and combination of events, which </w:t>
      </w:r>
      <w:r w:rsidR="00306085">
        <w:rPr>
          <w:iCs/>
        </w:rPr>
        <w:t xml:space="preserve">are reflected in </w:t>
      </w:r>
      <w:r w:rsidR="00FD41DD">
        <w:rPr>
          <w:iCs/>
        </w:rPr>
        <w:t>ONR-</w:t>
      </w:r>
      <w:r w:rsidR="00306085">
        <w:rPr>
          <w:iCs/>
        </w:rPr>
        <w:t>NS-GD-TAST-0</w:t>
      </w:r>
      <w:r w:rsidR="00621AB2">
        <w:rPr>
          <w:iCs/>
        </w:rPr>
        <w:t xml:space="preserve">13 </w:t>
      </w:r>
      <w:r w:rsidR="00306085">
        <w:rPr>
          <w:iCs/>
        </w:rPr>
        <w:t>‘</w:t>
      </w:r>
      <w:r w:rsidR="00621AB2">
        <w:rPr>
          <w:iCs/>
        </w:rPr>
        <w:t>External Hazards</w:t>
      </w:r>
      <w:r w:rsidR="00306085">
        <w:rPr>
          <w:iCs/>
        </w:rPr>
        <w:t>’</w:t>
      </w:r>
      <w:r w:rsidR="00621AB2">
        <w:rPr>
          <w:iCs/>
        </w:rPr>
        <w:t>.</w:t>
      </w:r>
    </w:p>
    <w:p w14:paraId="57304F8F" w14:textId="2753D038" w:rsidR="00D07AFA" w:rsidRPr="00CC121D" w:rsidRDefault="00D07AFA" w:rsidP="00D07AFA">
      <w:pPr>
        <w:pStyle w:val="TSNumberedParagraph1"/>
        <w:rPr>
          <w:iCs/>
        </w:rPr>
      </w:pPr>
      <w:r w:rsidRPr="00CC121D">
        <w:rPr>
          <w:iCs/>
        </w:rPr>
        <w:t>Section 4 of</w:t>
      </w:r>
      <w:r w:rsidR="00407613" w:rsidRPr="00407613">
        <w:rPr>
          <w:iCs/>
        </w:rPr>
        <w:t xml:space="preserve"> </w:t>
      </w:r>
      <w:r w:rsidR="00407613">
        <w:rPr>
          <w:iCs/>
        </w:rPr>
        <w:t>ONR-</w:t>
      </w:r>
      <w:r w:rsidRPr="00CC121D">
        <w:rPr>
          <w:iCs/>
        </w:rPr>
        <w:t xml:space="preserve">NS-TAST-GD-005 identifies the WENRA </w:t>
      </w:r>
      <w:r w:rsidR="00A76E68">
        <w:rPr>
          <w:iCs/>
        </w:rPr>
        <w:t>S</w:t>
      </w:r>
      <w:r w:rsidRPr="00CC121D">
        <w:rPr>
          <w:iCs/>
        </w:rPr>
        <w:t>RLs as Relevant Good Practice for existing Civil Nuclear Reactors.</w:t>
      </w:r>
    </w:p>
    <w:p w14:paraId="1DDD2FFE" w14:textId="340EE67A" w:rsidR="00C8646B" w:rsidRDefault="00D07AFA" w:rsidP="00D07AFA">
      <w:pPr>
        <w:pStyle w:val="TSNumberedParagraph1"/>
        <w:rPr>
          <w:iCs/>
        </w:rPr>
      </w:pPr>
      <w:r w:rsidRPr="00CC121D">
        <w:rPr>
          <w:iCs/>
        </w:rPr>
        <w:t xml:space="preserve">Section 5 and the annexes of this TAG </w:t>
      </w:r>
      <w:r w:rsidR="00C8646B">
        <w:rPr>
          <w:iCs/>
        </w:rPr>
        <w:t>references out to</w:t>
      </w:r>
      <w:r w:rsidR="00C8646B" w:rsidRPr="00CC121D">
        <w:rPr>
          <w:iCs/>
        </w:rPr>
        <w:t xml:space="preserve"> </w:t>
      </w:r>
      <w:r w:rsidRPr="00CC121D">
        <w:rPr>
          <w:iCs/>
        </w:rPr>
        <w:t>the relevant WENRA Safety Levels</w:t>
      </w:r>
      <w:r w:rsidR="00C8646B">
        <w:rPr>
          <w:iCs/>
        </w:rPr>
        <w:t xml:space="preserve"> as appropriate</w:t>
      </w:r>
      <w:r w:rsidRPr="00CC121D">
        <w:rPr>
          <w:iCs/>
        </w:rPr>
        <w:t xml:space="preserve">. </w:t>
      </w:r>
    </w:p>
    <w:p w14:paraId="57304F92" w14:textId="3AACAC1D" w:rsidR="00D07AFA" w:rsidRPr="00935C35" w:rsidRDefault="00D07AFA" w:rsidP="00935C35">
      <w:pPr>
        <w:pStyle w:val="TSNumberedParagraph1"/>
        <w:numPr>
          <w:ilvl w:val="0"/>
          <w:numId w:val="0"/>
        </w:numPr>
        <w:ind w:left="720"/>
        <w:rPr>
          <w:iCs/>
        </w:rPr>
      </w:pPr>
      <w:r w:rsidRPr="00935C35">
        <w:rPr>
          <w:iCs/>
        </w:rPr>
        <w:t>Appendix E of this TAG identifies the WENRA reference levels which can be interpreted as applicable to civil engineering works and structures. The table also identifies the corresponding ONR SAPs which capture their intent, with a mapping to the</w:t>
      </w:r>
      <w:r w:rsidRPr="0013404D">
        <w:rPr>
          <w:iCs/>
        </w:rPr>
        <w:t xml:space="preserve"> relevant section of this TAG</w:t>
      </w:r>
      <w:r w:rsidRPr="00935C35">
        <w:rPr>
          <w:iCs/>
        </w:rPr>
        <w:t>.</w:t>
      </w:r>
    </w:p>
    <w:p w14:paraId="57304F93" w14:textId="77777777" w:rsidR="00D07AFA" w:rsidRPr="00CC121D" w:rsidRDefault="00D07AFA" w:rsidP="00D07AFA">
      <w:pPr>
        <w:pStyle w:val="TSNumberedParagraph1"/>
        <w:rPr>
          <w:iCs/>
        </w:rPr>
      </w:pPr>
      <w:r w:rsidRPr="00CC121D">
        <w:rPr>
          <w:iCs/>
        </w:rPr>
        <w:t>There are three WENRA documents stipulating Safety Reference Levels for:</w:t>
      </w:r>
    </w:p>
    <w:p w14:paraId="57304F94" w14:textId="44830F8E" w:rsidR="00D07AFA" w:rsidRPr="00CC121D" w:rsidRDefault="00D07AFA" w:rsidP="00D07AFA">
      <w:pPr>
        <w:numPr>
          <w:ilvl w:val="2"/>
          <w:numId w:val="10"/>
        </w:numPr>
        <w:spacing w:after="240"/>
        <w:ind w:left="1418"/>
        <w:contextualSpacing/>
      </w:pPr>
      <w:r w:rsidRPr="00CC121D">
        <w:t>Existing Reactors</w:t>
      </w:r>
      <w:r w:rsidR="0013404D">
        <w:t xml:space="preserve"> [3</w:t>
      </w:r>
      <w:r w:rsidR="00824384">
        <w:t>8</w:t>
      </w:r>
      <w:r w:rsidR="0013404D">
        <w:t>]</w:t>
      </w:r>
      <w:r w:rsidR="00416FF9">
        <w:t>,</w:t>
      </w:r>
    </w:p>
    <w:p w14:paraId="57304F95" w14:textId="59F1A3E7" w:rsidR="00D07AFA" w:rsidRPr="00CC121D" w:rsidRDefault="00D07AFA" w:rsidP="00D07AFA">
      <w:pPr>
        <w:numPr>
          <w:ilvl w:val="2"/>
          <w:numId w:val="10"/>
        </w:numPr>
        <w:spacing w:after="240"/>
        <w:ind w:left="1418"/>
        <w:contextualSpacing/>
      </w:pPr>
      <w:r w:rsidRPr="00CC121D">
        <w:t>Decommissioning Plants</w:t>
      </w:r>
      <w:r w:rsidR="0013404D">
        <w:t xml:space="preserve"> [</w:t>
      </w:r>
      <w:r w:rsidR="00824384">
        <w:t>39</w:t>
      </w:r>
      <w:r w:rsidR="0013404D">
        <w:t>]</w:t>
      </w:r>
      <w:r w:rsidR="00416FF9">
        <w:t>,</w:t>
      </w:r>
    </w:p>
    <w:p w14:paraId="57304F96" w14:textId="127AF97C" w:rsidR="00D07AFA" w:rsidRPr="00CC121D" w:rsidRDefault="00D07AFA" w:rsidP="00D07AFA">
      <w:pPr>
        <w:numPr>
          <w:ilvl w:val="2"/>
          <w:numId w:val="10"/>
        </w:numPr>
        <w:spacing w:after="240"/>
        <w:ind w:left="1418"/>
        <w:contextualSpacing/>
      </w:pPr>
      <w:r w:rsidRPr="00CC121D">
        <w:t>Fuel and Waste Plants</w:t>
      </w:r>
      <w:r w:rsidR="0013404D">
        <w:t xml:space="preserve"> [</w:t>
      </w:r>
      <w:r w:rsidR="00824384">
        <w:t>40</w:t>
      </w:r>
      <w:r w:rsidR="0013404D">
        <w:t>]</w:t>
      </w:r>
      <w:r w:rsidR="00416FF9">
        <w:t>.</w:t>
      </w:r>
    </w:p>
    <w:p w14:paraId="626B5B70" w14:textId="2F457BB2" w:rsidR="00D07AFA" w:rsidRPr="00CC121D" w:rsidRDefault="00D07AFA" w:rsidP="006722D2">
      <w:pPr>
        <w:pStyle w:val="TSNumberedParagraph1"/>
      </w:pPr>
      <w:r w:rsidRPr="00CC121D">
        <w:t xml:space="preserve">Also, the WENRA report for the Safety of New Plant Designs </w:t>
      </w:r>
      <w:r w:rsidR="0013404D">
        <w:t>[4</w:t>
      </w:r>
      <w:r w:rsidR="00824384">
        <w:t>1</w:t>
      </w:r>
      <w:r w:rsidR="0013404D">
        <w:t xml:space="preserve">] </w:t>
      </w:r>
      <w:r w:rsidRPr="00CC121D">
        <w:t xml:space="preserve">has been considered as part of this </w:t>
      </w:r>
      <w:r w:rsidRPr="00CC121D">
        <w:rPr>
          <w:iCs/>
        </w:rPr>
        <w:t>TAG</w:t>
      </w:r>
      <w:r w:rsidRPr="00CC121D">
        <w:t xml:space="preserve"> update.</w:t>
      </w:r>
    </w:p>
    <w:p w14:paraId="57304F98" w14:textId="77777777" w:rsidR="00D07AFA" w:rsidRPr="009156CD" w:rsidRDefault="00D07AFA" w:rsidP="009156CD">
      <w:pPr>
        <w:pStyle w:val="TSHeadingNumbered111"/>
      </w:pPr>
      <w:bookmarkStart w:id="53" w:name="_Toc43723311"/>
      <w:r w:rsidRPr="00CC121D">
        <w:t>WENRA Existing Reactors Safety Reference Levels</w:t>
      </w:r>
      <w:bookmarkEnd w:id="53"/>
    </w:p>
    <w:p w14:paraId="57304F99" w14:textId="02C83E0B" w:rsidR="00D07AFA" w:rsidRPr="00CC121D" w:rsidRDefault="00D07AFA" w:rsidP="00924BA3">
      <w:pPr>
        <w:pStyle w:val="TSNumberedParagraph1"/>
      </w:pPr>
      <w:r w:rsidRPr="00CC121D">
        <w:t>The Safety R</w:t>
      </w:r>
      <w:r w:rsidRPr="00CC121D">
        <w:rPr>
          <w:iCs/>
        </w:rPr>
        <w:t>eference</w:t>
      </w:r>
      <w:r w:rsidRPr="00CC121D">
        <w:t xml:space="preserve"> Levels for existing reactors [</w:t>
      </w:r>
      <w:r w:rsidR="00016B25">
        <w:t>3</w:t>
      </w:r>
      <w:r w:rsidR="00824384">
        <w:t>8</w:t>
      </w:r>
      <w:r w:rsidRPr="00CC121D">
        <w:t xml:space="preserve">] are the most developed and </w:t>
      </w:r>
      <w:r w:rsidRPr="00924BA3">
        <w:t>encompass</w:t>
      </w:r>
      <w:r w:rsidRPr="00CC121D">
        <w:t xml:space="preserve"> a wide range of topics. The following are relevant to the civil engineering SAPs: </w:t>
      </w:r>
    </w:p>
    <w:p w14:paraId="57304F9A" w14:textId="77777777" w:rsidR="00D07AFA" w:rsidRPr="00CC121D" w:rsidRDefault="00D07AFA" w:rsidP="00D07AFA">
      <w:pPr>
        <w:numPr>
          <w:ilvl w:val="0"/>
          <w:numId w:val="2"/>
        </w:numPr>
        <w:tabs>
          <w:tab w:val="clear" w:pos="-28713"/>
          <w:tab w:val="num" w:pos="-31680"/>
          <w:tab w:val="num" w:pos="1418"/>
        </w:tabs>
        <w:spacing w:after="240"/>
        <w:ind w:left="1418" w:hanging="709"/>
        <w:contextualSpacing/>
        <w:jc w:val="both"/>
      </w:pPr>
      <w:r w:rsidRPr="00CC121D">
        <w:t xml:space="preserve">ECE.1 (functional performance) relates </w:t>
      </w:r>
      <w:r w:rsidR="00621AB2">
        <w:t>to Issue E, Issue G and Issue Q,</w:t>
      </w:r>
    </w:p>
    <w:p w14:paraId="57304F9B" w14:textId="77777777" w:rsidR="00D07AFA" w:rsidRPr="00CC121D" w:rsidRDefault="00D07AFA" w:rsidP="00D07AFA">
      <w:pPr>
        <w:numPr>
          <w:ilvl w:val="0"/>
          <w:numId w:val="2"/>
        </w:numPr>
        <w:tabs>
          <w:tab w:val="clear" w:pos="-28713"/>
          <w:tab w:val="num" w:pos="-31680"/>
          <w:tab w:val="num" w:pos="1418"/>
        </w:tabs>
        <w:spacing w:after="240"/>
        <w:ind w:left="1418" w:hanging="709"/>
        <w:contextualSpacing/>
        <w:jc w:val="both"/>
      </w:pPr>
      <w:r w:rsidRPr="00CC121D">
        <w:t>ECE.3 (defects) relates to Issue I</w:t>
      </w:r>
      <w:r w:rsidR="00621AB2">
        <w:t>,</w:t>
      </w:r>
    </w:p>
    <w:p w14:paraId="57304F9C" w14:textId="77777777" w:rsidR="00D07AFA" w:rsidRPr="00CC121D" w:rsidRDefault="00D07AFA" w:rsidP="00D07AFA">
      <w:pPr>
        <w:numPr>
          <w:ilvl w:val="0"/>
          <w:numId w:val="2"/>
        </w:numPr>
        <w:tabs>
          <w:tab w:val="clear" w:pos="-28713"/>
          <w:tab w:val="num" w:pos="-31680"/>
          <w:tab w:val="num" w:pos="1418"/>
        </w:tabs>
        <w:spacing w:after="240"/>
        <w:ind w:left="1418" w:hanging="709"/>
        <w:contextualSpacing/>
        <w:jc w:val="both"/>
      </w:pPr>
      <w:r w:rsidRPr="00CC121D">
        <w:t>ECE.8 (</w:t>
      </w:r>
      <w:proofErr w:type="spellStart"/>
      <w:r w:rsidRPr="00CC121D">
        <w:t>inspectability</w:t>
      </w:r>
      <w:proofErr w:type="spellEnd"/>
      <w:r w:rsidRPr="00CC121D">
        <w:t>) relates to Issue K</w:t>
      </w:r>
      <w:r w:rsidR="00E413CC">
        <w:t>,</w:t>
      </w:r>
    </w:p>
    <w:p w14:paraId="57304F9D" w14:textId="77777777" w:rsidR="00D07AFA" w:rsidRPr="00CC121D" w:rsidRDefault="00D07AFA" w:rsidP="00D07AFA">
      <w:pPr>
        <w:numPr>
          <w:ilvl w:val="0"/>
          <w:numId w:val="2"/>
        </w:numPr>
        <w:tabs>
          <w:tab w:val="clear" w:pos="-28713"/>
          <w:tab w:val="num" w:pos="-31680"/>
          <w:tab w:val="num" w:pos="1418"/>
        </w:tabs>
        <w:spacing w:after="240"/>
        <w:ind w:left="1418" w:hanging="709"/>
        <w:contextualSpacing/>
        <w:jc w:val="both"/>
      </w:pPr>
      <w:r w:rsidRPr="00CC121D">
        <w:t>ECE.18 (inspection during construction) relates to Issue K</w:t>
      </w:r>
      <w:r w:rsidR="00E413CC">
        <w:t>,</w:t>
      </w:r>
    </w:p>
    <w:p w14:paraId="57304F9E" w14:textId="77777777" w:rsidR="00D07AFA" w:rsidRPr="00CC121D" w:rsidRDefault="00D07AFA" w:rsidP="00D07AFA">
      <w:pPr>
        <w:numPr>
          <w:ilvl w:val="0"/>
          <w:numId w:val="2"/>
        </w:numPr>
        <w:tabs>
          <w:tab w:val="clear" w:pos="-28713"/>
          <w:tab w:val="num" w:pos="-31680"/>
          <w:tab w:val="num" w:pos="1418"/>
        </w:tabs>
        <w:spacing w:after="240"/>
        <w:ind w:left="1418" w:hanging="709"/>
        <w:contextualSpacing/>
        <w:jc w:val="both"/>
      </w:pPr>
      <w:r w:rsidRPr="00CC121D">
        <w:t>ECE.20 (inspe</w:t>
      </w:r>
      <w:r w:rsidR="00E413CC">
        <w:t>ction, testing and monitoring) r</w:t>
      </w:r>
      <w:r w:rsidRPr="00CC121D">
        <w:t>elates to Issue D</w:t>
      </w:r>
      <w:r w:rsidR="00E413CC">
        <w:t>.</w:t>
      </w:r>
    </w:p>
    <w:p w14:paraId="57304F9F" w14:textId="1B8A17FC" w:rsidR="00D07AFA" w:rsidRPr="00CC121D" w:rsidRDefault="00D07AFA" w:rsidP="009156CD">
      <w:pPr>
        <w:pStyle w:val="TSHeadingNumbered111"/>
      </w:pPr>
      <w:bookmarkStart w:id="54" w:name="_Toc43723312"/>
      <w:r w:rsidRPr="00CC121D">
        <w:t>WENRA Decommissioning Plants Safety Reference Levels</w:t>
      </w:r>
      <w:bookmarkEnd w:id="54"/>
    </w:p>
    <w:p w14:paraId="57304FA0" w14:textId="55B28BD7" w:rsidR="00D07AFA" w:rsidRPr="00CC121D" w:rsidRDefault="00D07AFA" w:rsidP="00924BA3">
      <w:pPr>
        <w:pStyle w:val="TSNumberedParagraph1"/>
      </w:pPr>
      <w:r w:rsidRPr="00CC121D">
        <w:t>WENRA also produce Reference levels for decommissioning plants</w:t>
      </w:r>
      <w:r w:rsidR="00016B25">
        <w:t xml:space="preserve"> [3</w:t>
      </w:r>
      <w:r w:rsidR="00824384">
        <w:t>9</w:t>
      </w:r>
      <w:r w:rsidR="00016B25">
        <w:t>]</w:t>
      </w:r>
      <w:r w:rsidRPr="00CC121D">
        <w:t xml:space="preserve">. The elements which specifically relate to civil engineering are: </w:t>
      </w:r>
    </w:p>
    <w:p w14:paraId="57304FA1" w14:textId="12CC7E80" w:rsidR="00D07AFA" w:rsidRPr="00CC121D" w:rsidRDefault="00D07AFA" w:rsidP="00D07AFA">
      <w:pPr>
        <w:numPr>
          <w:ilvl w:val="2"/>
          <w:numId w:val="10"/>
        </w:numPr>
        <w:spacing w:after="240"/>
        <w:ind w:left="1418"/>
        <w:contextualSpacing/>
      </w:pPr>
      <w:r w:rsidRPr="00CC121D">
        <w:t>ECE.18 (inspection during c</w:t>
      </w:r>
      <w:r w:rsidR="00E413CC">
        <w:t>onstruction) relates to DE-42,</w:t>
      </w:r>
    </w:p>
    <w:p w14:paraId="57304FA2" w14:textId="77777777" w:rsidR="00D07AFA" w:rsidRPr="00CC121D" w:rsidRDefault="00D07AFA" w:rsidP="00D07AFA">
      <w:pPr>
        <w:numPr>
          <w:ilvl w:val="2"/>
          <w:numId w:val="10"/>
        </w:numPr>
        <w:spacing w:after="240"/>
        <w:ind w:left="1418"/>
        <w:contextualSpacing/>
      </w:pPr>
      <w:r w:rsidRPr="00CC121D">
        <w:t>ECE.19 (non-conformities) relates to DE-36, DE-37</w:t>
      </w:r>
      <w:r w:rsidR="00E413CC">
        <w:t>,</w:t>
      </w:r>
    </w:p>
    <w:p w14:paraId="57304FA3" w14:textId="77777777" w:rsidR="00D07AFA" w:rsidRPr="00CC121D" w:rsidRDefault="00D07AFA" w:rsidP="00D07AFA">
      <w:pPr>
        <w:numPr>
          <w:ilvl w:val="2"/>
          <w:numId w:val="10"/>
        </w:numPr>
        <w:spacing w:after="240"/>
        <w:ind w:left="1418"/>
        <w:contextualSpacing/>
      </w:pPr>
      <w:r w:rsidRPr="00CC121D">
        <w:t>ECE.20 (inspection, testing and monitoring) relates to DE-43, DE-44</w:t>
      </w:r>
      <w:r w:rsidR="00E413CC">
        <w:t>,</w:t>
      </w:r>
    </w:p>
    <w:p w14:paraId="57304FA4" w14:textId="77777777" w:rsidR="00D07AFA" w:rsidRPr="00CC121D" w:rsidRDefault="00D07AFA" w:rsidP="00D07AFA">
      <w:pPr>
        <w:numPr>
          <w:ilvl w:val="2"/>
          <w:numId w:val="10"/>
        </w:numPr>
        <w:spacing w:after="240"/>
        <w:ind w:left="1418"/>
        <w:contextualSpacing/>
      </w:pPr>
      <w:r w:rsidRPr="00CC121D">
        <w:t>ECE.26 (provision for decommissioning) relates to DE-15, DE-16, DE-17, DE-18, DE-20, DE-21, DE-54, DE-55, DE-56</w:t>
      </w:r>
      <w:r w:rsidR="00E413CC">
        <w:t>.</w:t>
      </w:r>
    </w:p>
    <w:p w14:paraId="57304FA5" w14:textId="74011B67" w:rsidR="00D07AFA" w:rsidRPr="00CC121D" w:rsidRDefault="00D07AFA" w:rsidP="009156CD">
      <w:pPr>
        <w:pStyle w:val="TSHeadingNumbered111"/>
      </w:pPr>
      <w:bookmarkStart w:id="55" w:name="_Toc43723313"/>
      <w:r w:rsidRPr="00CC121D">
        <w:t>WENRA Fuel and Waste Plants Safety Reference Levels</w:t>
      </w:r>
      <w:bookmarkEnd w:id="55"/>
    </w:p>
    <w:p w14:paraId="57304FA6" w14:textId="3D8705C4" w:rsidR="00D07AFA" w:rsidRPr="00CC121D" w:rsidRDefault="00D07AFA" w:rsidP="00924BA3">
      <w:pPr>
        <w:pStyle w:val="TSNumberedParagraph1"/>
      </w:pPr>
      <w:r w:rsidRPr="00CC121D">
        <w:t xml:space="preserve">WENRA </w:t>
      </w:r>
      <w:r w:rsidRPr="00CC121D">
        <w:rPr>
          <w:iCs/>
        </w:rPr>
        <w:t>also</w:t>
      </w:r>
      <w:r w:rsidRPr="00CC121D">
        <w:t xml:space="preserve"> produce Reference levels for fuel and waste plants</w:t>
      </w:r>
      <w:r w:rsidR="00016B25">
        <w:t xml:space="preserve"> [</w:t>
      </w:r>
      <w:r w:rsidR="00824384">
        <w:t>40</w:t>
      </w:r>
      <w:r w:rsidR="005A1C1C">
        <w:t>]</w:t>
      </w:r>
      <w:r w:rsidRPr="00CC121D">
        <w:t xml:space="preserve">. The elements which </w:t>
      </w:r>
      <w:r w:rsidRPr="00CC121D">
        <w:rPr>
          <w:i/>
          <w:iCs/>
        </w:rPr>
        <w:t>specifically</w:t>
      </w:r>
      <w:r w:rsidRPr="00CC121D">
        <w:t xml:space="preserve"> relate to civil engineering are: </w:t>
      </w:r>
    </w:p>
    <w:p w14:paraId="57304FA7" w14:textId="77777777" w:rsidR="00D07AFA" w:rsidRPr="00CC121D" w:rsidRDefault="00D07AFA" w:rsidP="00D07AFA">
      <w:pPr>
        <w:numPr>
          <w:ilvl w:val="2"/>
          <w:numId w:val="10"/>
        </w:numPr>
        <w:spacing w:after="240"/>
        <w:ind w:left="1418"/>
        <w:contextualSpacing/>
      </w:pPr>
      <w:r w:rsidRPr="00CC121D">
        <w:t>ECE.1 (functional performance) relates to DI-23, DI-24, DI-25, DI-</w:t>
      </w:r>
      <w:r w:rsidR="00E413CC">
        <w:t>35, DI-38, DI-40, DI-53, DI-65,</w:t>
      </w:r>
    </w:p>
    <w:p w14:paraId="57304FA8" w14:textId="77777777" w:rsidR="00D07AFA" w:rsidRPr="00CC121D" w:rsidRDefault="00D07AFA" w:rsidP="00D07AFA">
      <w:pPr>
        <w:numPr>
          <w:ilvl w:val="2"/>
          <w:numId w:val="10"/>
        </w:numPr>
        <w:spacing w:after="240"/>
        <w:ind w:left="1418"/>
        <w:contextualSpacing/>
      </w:pPr>
      <w:r w:rsidRPr="00CC121D">
        <w:t xml:space="preserve">ECE.5 </w:t>
      </w:r>
      <w:r w:rsidR="00E413CC">
        <w:t>(geotechnics) relates to DI-47,</w:t>
      </w:r>
    </w:p>
    <w:p w14:paraId="57304FA9" w14:textId="77777777" w:rsidR="00D07AFA" w:rsidRPr="00CC121D" w:rsidRDefault="00D07AFA" w:rsidP="00D07AFA">
      <w:pPr>
        <w:numPr>
          <w:ilvl w:val="2"/>
          <w:numId w:val="10"/>
        </w:numPr>
        <w:spacing w:after="240"/>
        <w:ind w:left="1418"/>
        <w:contextualSpacing/>
      </w:pPr>
      <w:r w:rsidRPr="00CC121D">
        <w:t>ECE.8 (</w:t>
      </w:r>
      <w:proofErr w:type="spellStart"/>
      <w:r w:rsidRPr="00CC121D">
        <w:t>inspectability</w:t>
      </w:r>
      <w:proofErr w:type="spellEnd"/>
      <w:r w:rsidRPr="00CC121D">
        <w:t>) relates to DI-43</w:t>
      </w:r>
      <w:r w:rsidR="00E413CC">
        <w:t>,</w:t>
      </w:r>
    </w:p>
    <w:p w14:paraId="57304FAA" w14:textId="4A1DB636" w:rsidR="00D07AFA" w:rsidRPr="00CC121D" w:rsidRDefault="00D07AFA" w:rsidP="00D07AFA">
      <w:pPr>
        <w:numPr>
          <w:ilvl w:val="2"/>
          <w:numId w:val="10"/>
        </w:numPr>
        <w:spacing w:after="240"/>
        <w:ind w:left="1418"/>
        <w:contextualSpacing/>
      </w:pPr>
      <w:r w:rsidRPr="00CC121D">
        <w:t xml:space="preserve">ECE.18 (inspection during construction) </w:t>
      </w:r>
      <w:r w:rsidR="00E413CC">
        <w:t>relates to DI-48, DI-50, DI-51,</w:t>
      </w:r>
    </w:p>
    <w:p w14:paraId="57304FAB" w14:textId="77777777" w:rsidR="00D07AFA" w:rsidRPr="00CC121D" w:rsidRDefault="00D07AFA" w:rsidP="00D07AFA">
      <w:pPr>
        <w:numPr>
          <w:ilvl w:val="2"/>
          <w:numId w:val="10"/>
        </w:numPr>
        <w:spacing w:after="240"/>
        <w:ind w:left="1418"/>
        <w:contextualSpacing/>
      </w:pPr>
      <w:r w:rsidRPr="00CC121D">
        <w:t>ECE.25 (provision for construction) relates to DI-07, DI-22</w:t>
      </w:r>
      <w:r w:rsidR="00E413CC">
        <w:t>,</w:t>
      </w:r>
    </w:p>
    <w:p w14:paraId="57304FAC" w14:textId="77777777" w:rsidR="00D07AFA" w:rsidRPr="00CC121D" w:rsidRDefault="00D07AFA" w:rsidP="00D07AFA">
      <w:pPr>
        <w:numPr>
          <w:ilvl w:val="2"/>
          <w:numId w:val="10"/>
        </w:numPr>
        <w:spacing w:after="240"/>
        <w:ind w:left="1418"/>
        <w:contextualSpacing/>
      </w:pPr>
      <w:r w:rsidRPr="00CC121D">
        <w:t>ECE.26 (provision for decommissioning) relates to DI-68</w:t>
      </w:r>
      <w:r w:rsidR="00E413CC">
        <w:t>.</w:t>
      </w:r>
    </w:p>
    <w:p w14:paraId="57304FAD" w14:textId="230A400C" w:rsidR="00D07AFA" w:rsidRPr="00CC121D" w:rsidRDefault="00D07AFA" w:rsidP="009156CD">
      <w:pPr>
        <w:pStyle w:val="TSHeadingNumbered111"/>
      </w:pPr>
      <w:bookmarkStart w:id="56" w:name="_Toc43723314"/>
      <w:r w:rsidRPr="00CC121D">
        <w:t>WENRA RHWG Report Safety of New NPP Designs</w:t>
      </w:r>
      <w:bookmarkEnd w:id="56"/>
    </w:p>
    <w:p w14:paraId="6C703ADD" w14:textId="238FCFB3" w:rsidR="00824384" w:rsidRPr="00626355" w:rsidRDefault="00D07AFA" w:rsidP="00AB6883">
      <w:pPr>
        <w:pStyle w:val="TSNumberedParagraph1"/>
        <w:tabs>
          <w:tab w:val="clear" w:pos="-31680"/>
        </w:tabs>
        <w:rPr>
          <w:rFonts w:ascii="Arial Bold" w:hAnsi="Arial Bold"/>
          <w:b/>
          <w:caps/>
        </w:rPr>
      </w:pPr>
      <w:r w:rsidRPr="00CC121D">
        <w:t xml:space="preserve">The </w:t>
      </w:r>
      <w:r w:rsidR="00E413CC" w:rsidRPr="00626355">
        <w:rPr>
          <w:iCs/>
        </w:rPr>
        <w:t>Reactor H</w:t>
      </w:r>
      <w:r w:rsidRPr="00626355">
        <w:rPr>
          <w:iCs/>
        </w:rPr>
        <w:t xml:space="preserve">armonization Working Group RHWG report </w:t>
      </w:r>
      <w:r w:rsidR="005A1C1C" w:rsidRPr="00626355">
        <w:rPr>
          <w:iCs/>
        </w:rPr>
        <w:t>[4</w:t>
      </w:r>
      <w:r w:rsidR="00824384" w:rsidRPr="00626355">
        <w:rPr>
          <w:iCs/>
        </w:rPr>
        <w:t>1</w:t>
      </w:r>
      <w:r w:rsidR="005A1C1C" w:rsidRPr="00626355">
        <w:rPr>
          <w:iCs/>
        </w:rPr>
        <w:t xml:space="preserve">] </w:t>
      </w:r>
      <w:r w:rsidRPr="00626355">
        <w:rPr>
          <w:iCs/>
        </w:rPr>
        <w:t xml:space="preserve">presents the WENRA safety expectations for the design of new NPPs and covers selected key safety issues and Lessons </w:t>
      </w:r>
      <w:r w:rsidRPr="00924BA3">
        <w:t>Learnt</w:t>
      </w:r>
      <w:r w:rsidRPr="00626355">
        <w:rPr>
          <w:iCs/>
        </w:rPr>
        <w:t xml:space="preserve"> from t</w:t>
      </w:r>
      <w:r w:rsidR="00E413CC" w:rsidRPr="00626355">
        <w:rPr>
          <w:iCs/>
        </w:rPr>
        <w:t xml:space="preserve">he Fukushima </w:t>
      </w:r>
      <w:proofErr w:type="spellStart"/>
      <w:r w:rsidR="00E413CC" w:rsidRPr="00626355">
        <w:rPr>
          <w:iCs/>
        </w:rPr>
        <w:t>Dai-ichi</w:t>
      </w:r>
      <w:proofErr w:type="spellEnd"/>
      <w:r w:rsidR="00E413CC" w:rsidRPr="00626355">
        <w:rPr>
          <w:iCs/>
        </w:rPr>
        <w:t xml:space="preserve"> accident.</w:t>
      </w:r>
      <w:r w:rsidR="005A1C1C" w:rsidRPr="00626355">
        <w:rPr>
          <w:iCs/>
        </w:rPr>
        <w:t xml:space="preserve"> </w:t>
      </w:r>
      <w:r w:rsidRPr="00626355">
        <w:rPr>
          <w:iCs/>
        </w:rPr>
        <w:t>The intent of this report</w:t>
      </w:r>
      <w:r w:rsidR="005A1C1C" w:rsidRPr="00626355">
        <w:rPr>
          <w:iCs/>
        </w:rPr>
        <w:t xml:space="preserve"> [4</w:t>
      </w:r>
      <w:r w:rsidR="00641370" w:rsidRPr="00626355">
        <w:rPr>
          <w:iCs/>
        </w:rPr>
        <w:t>0</w:t>
      </w:r>
      <w:r w:rsidR="005A1C1C" w:rsidRPr="00626355">
        <w:rPr>
          <w:iCs/>
        </w:rPr>
        <w:t>]</w:t>
      </w:r>
      <w:r w:rsidRPr="00626355">
        <w:rPr>
          <w:iCs/>
        </w:rPr>
        <w:t xml:space="preserve"> is captured in </w:t>
      </w:r>
      <w:r w:rsidR="00407613" w:rsidRPr="00626355">
        <w:rPr>
          <w:iCs/>
        </w:rPr>
        <w:t>ONR-</w:t>
      </w:r>
      <w:r w:rsidRPr="00626355">
        <w:rPr>
          <w:iCs/>
        </w:rPr>
        <w:t xml:space="preserve">NS-TAST-GD-013 ‘External Hazards’ as it presents </w:t>
      </w:r>
      <w:r w:rsidRPr="00924BA3">
        <w:t>expectations</w:t>
      </w:r>
      <w:r w:rsidRPr="00626355">
        <w:rPr>
          <w:iCs/>
        </w:rPr>
        <w:t xml:space="preserve"> around the derivation of hazard loading as an input to civil engineer</w:t>
      </w:r>
      <w:r w:rsidR="00E413CC" w:rsidRPr="00626355">
        <w:rPr>
          <w:iCs/>
        </w:rPr>
        <w:t>ing.</w:t>
      </w:r>
      <w:bookmarkStart w:id="57" w:name="_Toc43723315"/>
      <w:r w:rsidR="00824384">
        <w:br w:type="page"/>
      </w:r>
    </w:p>
    <w:p w14:paraId="57304FB0" w14:textId="3F2E4094" w:rsidR="00D07AFA" w:rsidRPr="00CC121D" w:rsidRDefault="00D07AFA" w:rsidP="00D07AFA">
      <w:pPr>
        <w:pStyle w:val="TSHeadingNumbered1"/>
      </w:pPr>
      <w:bookmarkStart w:id="58" w:name="_Toc57912700"/>
      <w:r w:rsidRPr="00CC121D">
        <w:t>ADVICE TO INSPECTORS</w:t>
      </w:r>
      <w:bookmarkEnd w:id="57"/>
      <w:bookmarkEnd w:id="58"/>
    </w:p>
    <w:p w14:paraId="1447EA97" w14:textId="73BD3CD1" w:rsidR="004828E5" w:rsidRDefault="004828E5" w:rsidP="00D07AFA">
      <w:pPr>
        <w:pStyle w:val="TSHeadingNumbered11"/>
        <w:rPr>
          <w:iCs/>
        </w:rPr>
      </w:pPr>
      <w:bookmarkStart w:id="59" w:name="_Toc57912701"/>
      <w:bookmarkStart w:id="60" w:name="_Toc43723316"/>
      <w:r>
        <w:rPr>
          <w:iCs/>
        </w:rPr>
        <w:t>General</w:t>
      </w:r>
      <w:r w:rsidR="00EB7781">
        <w:rPr>
          <w:iCs/>
        </w:rPr>
        <w:t xml:space="preserve"> Guidance</w:t>
      </w:r>
      <w:bookmarkEnd w:id="59"/>
    </w:p>
    <w:p w14:paraId="438F900C" w14:textId="79797844" w:rsidR="00EB7781" w:rsidRDefault="00EB7781" w:rsidP="008F3139">
      <w:pPr>
        <w:pStyle w:val="TSNumberedParagraph1"/>
        <w:rPr>
          <w:iCs/>
        </w:rPr>
      </w:pPr>
      <w:r>
        <w:rPr>
          <w:iCs/>
        </w:rPr>
        <w:t xml:space="preserve">The following </w:t>
      </w:r>
      <w:r w:rsidR="007F7050">
        <w:rPr>
          <w:iCs/>
        </w:rPr>
        <w:t>guidance</w:t>
      </w:r>
      <w:r>
        <w:rPr>
          <w:iCs/>
        </w:rPr>
        <w:t xml:space="preserve"> has been ordered to align with the 6 annexes </w:t>
      </w:r>
      <w:r w:rsidR="00AC30CA">
        <w:rPr>
          <w:iCs/>
        </w:rPr>
        <w:t xml:space="preserve">associated with </w:t>
      </w:r>
      <w:r>
        <w:rPr>
          <w:iCs/>
        </w:rPr>
        <w:t>this head document, with ‘</w:t>
      </w:r>
      <w:r w:rsidR="004F47B2">
        <w:rPr>
          <w:iCs/>
        </w:rPr>
        <w:t>g</w:t>
      </w:r>
      <w:r>
        <w:rPr>
          <w:iCs/>
        </w:rPr>
        <w:t xml:space="preserve">eneral guidance’ and ‘other topics’ applying to all aspects of civil engineering assessment. </w:t>
      </w:r>
    </w:p>
    <w:p w14:paraId="58947540" w14:textId="738D9E4A" w:rsidR="002B6AE5" w:rsidRDefault="004A6B1C" w:rsidP="008F3139">
      <w:pPr>
        <w:pStyle w:val="TSNumberedParagraph1"/>
        <w:rPr>
          <w:iCs/>
        </w:rPr>
      </w:pPr>
      <w:r>
        <w:rPr>
          <w:iCs/>
        </w:rPr>
        <w:t>The scope of civil engineering works and assessment cover</w:t>
      </w:r>
      <w:r w:rsidR="00AC30CA">
        <w:rPr>
          <w:iCs/>
        </w:rPr>
        <w:t>s</w:t>
      </w:r>
      <w:r>
        <w:rPr>
          <w:iCs/>
        </w:rPr>
        <w:t xml:space="preserve"> a wide range of topics and it is not expected that an </w:t>
      </w:r>
      <w:r w:rsidR="00504F29">
        <w:rPr>
          <w:iCs/>
        </w:rPr>
        <w:t>i</w:t>
      </w:r>
      <w:r>
        <w:rPr>
          <w:iCs/>
        </w:rPr>
        <w:t xml:space="preserve">nspector </w:t>
      </w:r>
      <w:r w:rsidR="00AC30CA">
        <w:rPr>
          <w:iCs/>
        </w:rPr>
        <w:t xml:space="preserve">is </w:t>
      </w:r>
      <w:r>
        <w:rPr>
          <w:iCs/>
        </w:rPr>
        <w:t xml:space="preserve">an expert in all </w:t>
      </w:r>
      <w:r w:rsidR="00AC30CA">
        <w:rPr>
          <w:iCs/>
        </w:rPr>
        <w:t xml:space="preserve">civil engineering assessment </w:t>
      </w:r>
      <w:r>
        <w:rPr>
          <w:iCs/>
        </w:rPr>
        <w:t xml:space="preserve">topic areas. The Inspector is expected to </w:t>
      </w:r>
      <w:r w:rsidR="00AC30CA">
        <w:rPr>
          <w:iCs/>
        </w:rPr>
        <w:t xml:space="preserve">identify </w:t>
      </w:r>
      <w:r>
        <w:rPr>
          <w:iCs/>
        </w:rPr>
        <w:t xml:space="preserve">where there is a need to </w:t>
      </w:r>
      <w:r w:rsidR="00396FBE">
        <w:rPr>
          <w:iCs/>
        </w:rPr>
        <w:t xml:space="preserve">interface with others </w:t>
      </w:r>
      <w:r w:rsidR="00DC63DC">
        <w:rPr>
          <w:iCs/>
        </w:rPr>
        <w:t>and</w:t>
      </w:r>
      <w:r w:rsidR="00AB5DB3">
        <w:rPr>
          <w:iCs/>
        </w:rPr>
        <w:t xml:space="preserve"> </w:t>
      </w:r>
      <w:r w:rsidR="00A7785F">
        <w:rPr>
          <w:iCs/>
        </w:rPr>
        <w:t xml:space="preserve">obtain </w:t>
      </w:r>
      <w:r w:rsidR="00AB5DB3">
        <w:rPr>
          <w:iCs/>
        </w:rPr>
        <w:t xml:space="preserve">the </w:t>
      </w:r>
      <w:r w:rsidR="00A7785F">
        <w:rPr>
          <w:iCs/>
        </w:rPr>
        <w:t xml:space="preserve">necessary </w:t>
      </w:r>
      <w:r w:rsidR="00314D2F">
        <w:rPr>
          <w:iCs/>
        </w:rPr>
        <w:t>support</w:t>
      </w:r>
      <w:r w:rsidR="00AB5DB3">
        <w:rPr>
          <w:iCs/>
        </w:rPr>
        <w:t xml:space="preserve"> required </w:t>
      </w:r>
      <w:r w:rsidR="00396FBE">
        <w:rPr>
          <w:iCs/>
        </w:rPr>
        <w:t xml:space="preserve">for them </w:t>
      </w:r>
      <w:r w:rsidR="00AB5DB3">
        <w:rPr>
          <w:iCs/>
        </w:rPr>
        <w:t>to undertake assessment</w:t>
      </w:r>
      <w:r w:rsidR="00396FBE">
        <w:rPr>
          <w:iCs/>
        </w:rPr>
        <w:t xml:space="preserve"> activities</w:t>
      </w:r>
      <w:r w:rsidR="00AB5DB3">
        <w:rPr>
          <w:iCs/>
        </w:rPr>
        <w:t>.</w:t>
      </w:r>
    </w:p>
    <w:p w14:paraId="57304FB1" w14:textId="21FA241B" w:rsidR="00D07AFA" w:rsidRPr="00CC121D" w:rsidRDefault="00D07AFA" w:rsidP="008F3139">
      <w:pPr>
        <w:pStyle w:val="TSHeadingNumbered111"/>
      </w:pPr>
      <w:r w:rsidRPr="00CC121D">
        <w:t>Overall considerations for all Civil Engineering Assessments</w:t>
      </w:r>
      <w:bookmarkEnd w:id="60"/>
    </w:p>
    <w:p w14:paraId="57304FB2" w14:textId="77777777" w:rsidR="00D07AFA" w:rsidRPr="00CC121D" w:rsidRDefault="00D07AFA" w:rsidP="00D07AFA">
      <w:pPr>
        <w:pStyle w:val="TSNumberedParagraph1"/>
        <w:rPr>
          <w:iCs/>
        </w:rPr>
      </w:pPr>
      <w:r w:rsidRPr="00CC121D">
        <w:rPr>
          <w:iCs/>
        </w:rPr>
        <w:t>For all scenarios, at all stages of the lifecycle, the ONR expectation is that design and assessment o</w:t>
      </w:r>
      <w:r w:rsidR="00E8111B">
        <w:rPr>
          <w:iCs/>
        </w:rPr>
        <w:t>f structures will be procured,</w:t>
      </w:r>
      <w:r w:rsidRPr="00CC121D">
        <w:rPr>
          <w:iCs/>
        </w:rPr>
        <w:t xml:space="preserve"> undertaken and overseen by competent organisations and persons, with the required safety functions and structural performance of the civil engineering structures under normal operating, fault and accident conditions specified.</w:t>
      </w:r>
    </w:p>
    <w:p w14:paraId="3466ED1A" w14:textId="77777777" w:rsidR="00626355" w:rsidRDefault="00D07AFA" w:rsidP="00D07AFA">
      <w:pPr>
        <w:pStyle w:val="TSNumberedParagraph1"/>
        <w:rPr>
          <w:iCs/>
        </w:rPr>
      </w:pPr>
      <w:r w:rsidRPr="00CC121D">
        <w:rPr>
          <w:iCs/>
        </w:rPr>
        <w:t xml:space="preserve">The most detailed areas the Inspector </w:t>
      </w:r>
      <w:r w:rsidR="00B579FF">
        <w:rPr>
          <w:iCs/>
        </w:rPr>
        <w:t>may</w:t>
      </w:r>
      <w:r w:rsidRPr="00CC121D">
        <w:rPr>
          <w:iCs/>
        </w:rPr>
        <w:t xml:space="preserve"> examine for civil engineering assessments are justifications that are presented in design substantiation reports, schedules, calculations, methodologies, inspection records and/or drawings or processes, procedures and </w:t>
      </w:r>
      <w:r w:rsidR="00E8111B">
        <w:rPr>
          <w:iCs/>
        </w:rPr>
        <w:t xml:space="preserve">other administrative controls. </w:t>
      </w:r>
    </w:p>
    <w:p w14:paraId="5D50E83B" w14:textId="77777777" w:rsidR="00626355" w:rsidRDefault="00D07AFA" w:rsidP="00D07AFA">
      <w:pPr>
        <w:pStyle w:val="TSNumberedParagraph1"/>
        <w:rPr>
          <w:iCs/>
        </w:rPr>
      </w:pPr>
      <w:r w:rsidRPr="00CC121D">
        <w:rPr>
          <w:iCs/>
        </w:rPr>
        <w:t>It should be clear at the outset of examining such evidence what the Inspector is aiming to achieve; a speculative trawl through a large pile of documents is unlikely</w:t>
      </w:r>
      <w:r w:rsidR="00E8111B">
        <w:rPr>
          <w:iCs/>
        </w:rPr>
        <w:t xml:space="preserve"> to be efficient or insightful.</w:t>
      </w:r>
      <w:r w:rsidRPr="00CC121D">
        <w:rPr>
          <w:iCs/>
        </w:rPr>
        <w:t xml:space="preserve"> </w:t>
      </w:r>
    </w:p>
    <w:p w14:paraId="57304FB3" w14:textId="6BA2BD9C" w:rsidR="00D07AFA" w:rsidRPr="00CC121D" w:rsidRDefault="00D07AFA" w:rsidP="00D07AFA">
      <w:pPr>
        <w:pStyle w:val="TSNumberedParagraph1"/>
        <w:rPr>
          <w:iCs/>
        </w:rPr>
      </w:pPr>
      <w:r w:rsidRPr="00CC121D">
        <w:rPr>
          <w:iCs/>
        </w:rPr>
        <w:t>Equally, simply focussing on examining what is presented without consideration of what is potentially missing will lead to an inadequate assessment.</w:t>
      </w:r>
    </w:p>
    <w:p w14:paraId="57304FB4" w14:textId="77777777" w:rsidR="00D07AFA" w:rsidRPr="00824384" w:rsidRDefault="00D07AFA" w:rsidP="00D07AFA">
      <w:pPr>
        <w:pStyle w:val="TSNumberedParagraph1"/>
        <w:rPr>
          <w:iCs/>
        </w:rPr>
      </w:pPr>
      <w:r w:rsidRPr="00824384">
        <w:rPr>
          <w:iCs/>
        </w:rPr>
        <w:t>For general guidance on undertaking regulatory activities, see:</w:t>
      </w:r>
    </w:p>
    <w:p w14:paraId="57304FB5" w14:textId="17BCE32A" w:rsidR="00D07AFA" w:rsidRPr="00824384" w:rsidRDefault="00D07AFA" w:rsidP="00D07AFA">
      <w:pPr>
        <w:numPr>
          <w:ilvl w:val="2"/>
          <w:numId w:val="10"/>
        </w:numPr>
        <w:spacing w:after="240"/>
        <w:ind w:left="1418"/>
        <w:contextualSpacing/>
        <w:rPr>
          <w:iCs/>
        </w:rPr>
      </w:pPr>
      <w:r w:rsidRPr="00824384">
        <w:rPr>
          <w:iCs/>
        </w:rPr>
        <w:t xml:space="preserve">ONR ‘Licensing Nuclear Installations’ </w:t>
      </w:r>
      <w:r w:rsidR="00B93F11" w:rsidRPr="00824384">
        <w:rPr>
          <w:iCs/>
        </w:rPr>
        <w:t>[</w:t>
      </w:r>
      <w:r w:rsidR="00824384" w:rsidRPr="00824384">
        <w:rPr>
          <w:iCs/>
        </w:rPr>
        <w:t>4</w:t>
      </w:r>
      <w:r w:rsidR="00B93F11" w:rsidRPr="00824384">
        <w:rPr>
          <w:iCs/>
        </w:rPr>
        <w:t>]</w:t>
      </w:r>
      <w:r w:rsidR="00E8111B" w:rsidRPr="00824384">
        <w:rPr>
          <w:iCs/>
        </w:rPr>
        <w:t>,</w:t>
      </w:r>
    </w:p>
    <w:p w14:paraId="57304FB6" w14:textId="3DA190FB" w:rsidR="00D07AFA" w:rsidRPr="00824384" w:rsidRDefault="00407613" w:rsidP="00D07AFA">
      <w:pPr>
        <w:numPr>
          <w:ilvl w:val="2"/>
          <w:numId w:val="10"/>
        </w:numPr>
        <w:spacing w:after="240"/>
        <w:ind w:left="1418"/>
        <w:contextualSpacing/>
        <w:rPr>
          <w:iCs/>
        </w:rPr>
      </w:pPr>
      <w:r w:rsidRPr="00824384">
        <w:rPr>
          <w:iCs/>
        </w:rPr>
        <w:t>ONR-</w:t>
      </w:r>
      <w:r w:rsidR="00D07AFA" w:rsidRPr="00824384">
        <w:rPr>
          <w:iCs/>
        </w:rPr>
        <w:t>NS-TAST-GD-096 ‘Guidance on the Mechanics of Assessment’</w:t>
      </w:r>
      <w:r w:rsidR="00E8111B" w:rsidRPr="00824384">
        <w:rPr>
          <w:iCs/>
        </w:rPr>
        <w:t>,</w:t>
      </w:r>
    </w:p>
    <w:p w14:paraId="57304FB7" w14:textId="1E64DF3C" w:rsidR="00D07AFA" w:rsidRPr="00824384" w:rsidRDefault="00407613" w:rsidP="00D07AFA">
      <w:pPr>
        <w:numPr>
          <w:ilvl w:val="2"/>
          <w:numId w:val="10"/>
        </w:numPr>
        <w:spacing w:after="240"/>
        <w:ind w:left="1418"/>
        <w:contextualSpacing/>
        <w:rPr>
          <w:iCs/>
        </w:rPr>
      </w:pPr>
      <w:r w:rsidRPr="00824384">
        <w:rPr>
          <w:iCs/>
        </w:rPr>
        <w:t>ONR-</w:t>
      </w:r>
      <w:r w:rsidR="00D07AFA" w:rsidRPr="00824384">
        <w:rPr>
          <w:iCs/>
        </w:rPr>
        <w:t>NS-PER-GD-0</w:t>
      </w:r>
      <w:r w:rsidR="00E13401" w:rsidRPr="00824384">
        <w:rPr>
          <w:iCs/>
        </w:rPr>
        <w:t>0</w:t>
      </w:r>
      <w:r w:rsidR="00D07AFA" w:rsidRPr="00824384">
        <w:rPr>
          <w:iCs/>
        </w:rPr>
        <w:t xml:space="preserve">1 ‘Purpose and Scope of </w:t>
      </w:r>
      <w:proofErr w:type="spellStart"/>
      <w:r w:rsidR="00D07AFA" w:rsidRPr="00824384">
        <w:rPr>
          <w:iCs/>
        </w:rPr>
        <w:t>Permissioning</w:t>
      </w:r>
      <w:proofErr w:type="spellEnd"/>
      <w:r w:rsidR="00D07AFA" w:rsidRPr="00824384">
        <w:rPr>
          <w:iCs/>
        </w:rPr>
        <w:t xml:space="preserve">’ </w:t>
      </w:r>
    </w:p>
    <w:p w14:paraId="57304FB8" w14:textId="6B1E40BE" w:rsidR="00D07AFA" w:rsidRPr="00CC121D" w:rsidRDefault="00D07AFA" w:rsidP="00D07AFA">
      <w:pPr>
        <w:numPr>
          <w:ilvl w:val="2"/>
          <w:numId w:val="10"/>
        </w:numPr>
        <w:spacing w:after="240"/>
        <w:ind w:left="1418"/>
        <w:contextualSpacing/>
        <w:rPr>
          <w:iCs/>
        </w:rPr>
      </w:pPr>
      <w:r w:rsidRPr="00824384">
        <w:rPr>
          <w:iCs/>
        </w:rPr>
        <w:t>Technical Inspection Guide</w:t>
      </w:r>
      <w:r w:rsidR="002F03C5" w:rsidRPr="00824384">
        <w:rPr>
          <w:iCs/>
        </w:rPr>
        <w:t>s (TIGs)</w:t>
      </w:r>
      <w:r w:rsidRPr="00824384">
        <w:rPr>
          <w:iCs/>
        </w:rPr>
        <w:t xml:space="preserve"> for the relevant</w:t>
      </w:r>
      <w:r w:rsidRPr="00CC121D">
        <w:rPr>
          <w:iCs/>
        </w:rPr>
        <w:t xml:space="preserve"> Licence Condition(s)</w:t>
      </w:r>
      <w:r w:rsidR="00E8111B">
        <w:rPr>
          <w:iCs/>
        </w:rPr>
        <w:t>,</w:t>
      </w:r>
    </w:p>
    <w:p w14:paraId="57304FB9" w14:textId="07AF2413" w:rsidR="00D07AFA" w:rsidRPr="00CC121D" w:rsidRDefault="00407613" w:rsidP="00D07AFA">
      <w:pPr>
        <w:numPr>
          <w:ilvl w:val="2"/>
          <w:numId w:val="10"/>
        </w:numPr>
        <w:spacing w:after="240"/>
        <w:ind w:left="1418"/>
        <w:contextualSpacing/>
        <w:rPr>
          <w:iCs/>
        </w:rPr>
      </w:pPr>
      <w:r>
        <w:rPr>
          <w:iCs/>
        </w:rPr>
        <w:t>ONR-</w:t>
      </w:r>
      <w:r w:rsidR="00D07AFA" w:rsidRPr="00CC121D">
        <w:t>NS-INSP-GD-059 ‘Intervention Planning and Reporting’</w:t>
      </w:r>
      <w:r w:rsidR="00E8111B">
        <w:t>,</w:t>
      </w:r>
    </w:p>
    <w:p w14:paraId="57304FBA" w14:textId="7E9AD02A" w:rsidR="00D07AFA" w:rsidRPr="00CC121D" w:rsidRDefault="00407613" w:rsidP="00D07AFA">
      <w:pPr>
        <w:numPr>
          <w:ilvl w:val="2"/>
          <w:numId w:val="10"/>
        </w:numPr>
        <w:spacing w:after="240"/>
        <w:ind w:left="1418"/>
        <w:contextualSpacing/>
        <w:rPr>
          <w:iCs/>
        </w:rPr>
      </w:pPr>
      <w:r>
        <w:rPr>
          <w:iCs/>
        </w:rPr>
        <w:t>ONR-</w:t>
      </w:r>
      <w:r w:rsidR="00D07AFA" w:rsidRPr="00CC121D">
        <w:t>NS-INSP-GD-064 ‘General Inspection Guide’</w:t>
      </w:r>
      <w:r w:rsidR="00E8111B">
        <w:t>,</w:t>
      </w:r>
    </w:p>
    <w:p w14:paraId="57304FBB" w14:textId="77777777" w:rsidR="00D07AFA" w:rsidRPr="00CC121D" w:rsidRDefault="00D07AFA" w:rsidP="00D07AFA">
      <w:pPr>
        <w:numPr>
          <w:ilvl w:val="2"/>
          <w:numId w:val="10"/>
        </w:numPr>
        <w:spacing w:after="240"/>
        <w:ind w:left="1418"/>
        <w:contextualSpacing/>
        <w:rPr>
          <w:iCs/>
        </w:rPr>
      </w:pPr>
      <w:r w:rsidRPr="00CC121D">
        <w:rPr>
          <w:iCs/>
        </w:rPr>
        <w:t>ONR-RI-GD-001 ‘Regulatory Issues Databa</w:t>
      </w:r>
      <w:r w:rsidR="00E8111B">
        <w:rPr>
          <w:iCs/>
        </w:rPr>
        <w:t>se User Guide - for Inspectors’,</w:t>
      </w:r>
    </w:p>
    <w:p w14:paraId="57304FBC" w14:textId="77777777" w:rsidR="00D07AFA" w:rsidRPr="00CC121D" w:rsidRDefault="00D07AFA" w:rsidP="00D07AFA">
      <w:pPr>
        <w:numPr>
          <w:ilvl w:val="2"/>
          <w:numId w:val="10"/>
        </w:numPr>
        <w:spacing w:after="240"/>
        <w:ind w:left="1418"/>
        <w:contextualSpacing/>
        <w:rPr>
          <w:iCs/>
        </w:rPr>
      </w:pPr>
      <w:r w:rsidRPr="00CC121D">
        <w:rPr>
          <w:iCs/>
        </w:rPr>
        <w:t>ONR-RI-GD-003 ‘Management of Regulatory Issues – Guidance’</w:t>
      </w:r>
      <w:r w:rsidR="00E8111B">
        <w:rPr>
          <w:iCs/>
        </w:rPr>
        <w:t>,</w:t>
      </w:r>
    </w:p>
    <w:p w14:paraId="57304FBD" w14:textId="751D8FDC" w:rsidR="00D07AFA" w:rsidRPr="00441760" w:rsidRDefault="00D07AFA" w:rsidP="00D07AFA">
      <w:pPr>
        <w:numPr>
          <w:ilvl w:val="2"/>
          <w:numId w:val="10"/>
        </w:numPr>
        <w:spacing w:after="240"/>
        <w:ind w:left="1418"/>
        <w:contextualSpacing/>
        <w:rPr>
          <w:iCs/>
        </w:rPr>
      </w:pPr>
      <w:r w:rsidRPr="00CC121D">
        <w:rPr>
          <w:iCs/>
        </w:rPr>
        <w:t xml:space="preserve">‘Risk Informed </w:t>
      </w:r>
      <w:r w:rsidRPr="00441760">
        <w:rPr>
          <w:iCs/>
        </w:rPr>
        <w:t>Regulatory Decision Making’ [</w:t>
      </w:r>
      <w:r w:rsidR="00B21BEE" w:rsidRPr="00441760">
        <w:rPr>
          <w:iCs/>
        </w:rPr>
        <w:t>1</w:t>
      </w:r>
      <w:r w:rsidR="00A82474">
        <w:rPr>
          <w:iCs/>
        </w:rPr>
        <w:t>3</w:t>
      </w:r>
      <w:r w:rsidR="00B21BEE" w:rsidRPr="00441760">
        <w:rPr>
          <w:iCs/>
        </w:rPr>
        <w:t xml:space="preserve">] </w:t>
      </w:r>
    </w:p>
    <w:p w14:paraId="57304FBE" w14:textId="45573CA1" w:rsidR="00D07AFA" w:rsidRPr="00441760" w:rsidRDefault="00D07AFA" w:rsidP="00D07AFA">
      <w:pPr>
        <w:numPr>
          <w:ilvl w:val="2"/>
          <w:numId w:val="10"/>
        </w:numPr>
        <w:spacing w:after="240"/>
        <w:ind w:left="1418"/>
        <w:contextualSpacing/>
        <w:rPr>
          <w:iCs/>
        </w:rPr>
      </w:pPr>
      <w:r w:rsidRPr="00441760">
        <w:rPr>
          <w:iCs/>
        </w:rPr>
        <w:t xml:space="preserve">ONR Regulators </w:t>
      </w:r>
      <w:r w:rsidRPr="00441760">
        <w:t>Code</w:t>
      </w:r>
      <w:r w:rsidR="00B21BEE" w:rsidRPr="00441760">
        <w:t xml:space="preserve"> [</w:t>
      </w:r>
      <w:r w:rsidR="00B656C5" w:rsidRPr="00441760">
        <w:t>4</w:t>
      </w:r>
      <w:r w:rsidR="00A82474">
        <w:t>2</w:t>
      </w:r>
      <w:r w:rsidR="00B21BEE" w:rsidRPr="00441760">
        <w:t>]</w:t>
      </w:r>
      <w:r w:rsidR="00E8111B" w:rsidRPr="00441760">
        <w:t>.</w:t>
      </w:r>
    </w:p>
    <w:p w14:paraId="57304FBF" w14:textId="77777777" w:rsidR="00D07AFA" w:rsidRPr="00CC121D" w:rsidRDefault="00D07AFA" w:rsidP="00D07AFA">
      <w:pPr>
        <w:pStyle w:val="TSNumberedParagraph1"/>
        <w:rPr>
          <w:iCs/>
        </w:rPr>
      </w:pPr>
      <w:r w:rsidRPr="00CC121D">
        <w:rPr>
          <w:iCs/>
        </w:rPr>
        <w:t>For general guidance regarding assessment writing, see:</w:t>
      </w:r>
    </w:p>
    <w:p w14:paraId="57304FC0" w14:textId="77777777" w:rsidR="00D07AFA" w:rsidRPr="00CC121D" w:rsidRDefault="00D07AFA" w:rsidP="00D07AFA">
      <w:pPr>
        <w:numPr>
          <w:ilvl w:val="2"/>
          <w:numId w:val="10"/>
        </w:numPr>
        <w:spacing w:after="240"/>
        <w:ind w:left="1418"/>
        <w:contextualSpacing/>
        <w:rPr>
          <w:iCs/>
        </w:rPr>
      </w:pPr>
      <w:r w:rsidRPr="00CC121D">
        <w:rPr>
          <w:iCs/>
        </w:rPr>
        <w:t>HOW 2 guidance and tutorial T-series training courses</w:t>
      </w:r>
      <w:r w:rsidR="00E8111B">
        <w:rPr>
          <w:iCs/>
        </w:rPr>
        <w:t>,</w:t>
      </w:r>
    </w:p>
    <w:p w14:paraId="57304FC1" w14:textId="5DADB458" w:rsidR="00D07AFA" w:rsidRPr="00CC121D" w:rsidRDefault="00A13205" w:rsidP="00D07AFA">
      <w:pPr>
        <w:numPr>
          <w:ilvl w:val="2"/>
          <w:numId w:val="10"/>
        </w:numPr>
        <w:spacing w:after="240"/>
        <w:ind w:left="1418"/>
        <w:contextualSpacing/>
        <w:rPr>
          <w:iCs/>
        </w:rPr>
      </w:pPr>
      <w:r>
        <w:rPr>
          <w:iCs/>
          <w:lang w:val="en-US"/>
        </w:rPr>
        <w:t>ONR-</w:t>
      </w:r>
      <w:r w:rsidR="00D07AFA" w:rsidRPr="00CC121D">
        <w:rPr>
          <w:iCs/>
          <w:lang w:val="en-US"/>
        </w:rPr>
        <w:t>NS-PER-GD-015 – ‘Guidance on Production of Reports</w:t>
      </w:r>
      <w:r w:rsidR="00C80DA1">
        <w:rPr>
          <w:iCs/>
          <w:lang w:val="en-US"/>
        </w:rPr>
        <w:t xml:space="preserve"> for </w:t>
      </w:r>
      <w:proofErr w:type="spellStart"/>
      <w:r w:rsidR="00C80DA1">
        <w:rPr>
          <w:iCs/>
          <w:lang w:val="en-US"/>
        </w:rPr>
        <w:t>Permissioning</w:t>
      </w:r>
      <w:proofErr w:type="spellEnd"/>
      <w:r w:rsidR="00D07AFA" w:rsidRPr="00CC121D">
        <w:rPr>
          <w:iCs/>
          <w:lang w:val="en-US"/>
        </w:rPr>
        <w:t>’</w:t>
      </w:r>
      <w:r w:rsidR="00E8111B">
        <w:rPr>
          <w:iCs/>
          <w:lang w:val="en-US"/>
        </w:rPr>
        <w:t>,</w:t>
      </w:r>
    </w:p>
    <w:p w14:paraId="57304FC2" w14:textId="5E728875" w:rsidR="00D07AFA" w:rsidRPr="00CC121D" w:rsidRDefault="00A13205" w:rsidP="00D07AFA">
      <w:pPr>
        <w:numPr>
          <w:ilvl w:val="2"/>
          <w:numId w:val="10"/>
        </w:numPr>
        <w:spacing w:after="240"/>
        <w:ind w:left="1418"/>
        <w:contextualSpacing/>
        <w:rPr>
          <w:iCs/>
        </w:rPr>
      </w:pPr>
      <w:r>
        <w:rPr>
          <w:iCs/>
        </w:rPr>
        <w:t>ONR-</w:t>
      </w:r>
      <w:r w:rsidR="00D07AFA" w:rsidRPr="00CC121D">
        <w:rPr>
          <w:iCs/>
        </w:rPr>
        <w:t>NS-PER-GD-016 – ‘</w:t>
      </w:r>
      <w:r w:rsidR="00DC5ABE">
        <w:rPr>
          <w:iCs/>
        </w:rPr>
        <w:t xml:space="preserve">Guidance on </w:t>
      </w:r>
      <w:r w:rsidR="00D07AFA" w:rsidRPr="00CC121D">
        <w:rPr>
          <w:iCs/>
        </w:rPr>
        <w:t xml:space="preserve">Peer Review </w:t>
      </w:r>
      <w:r w:rsidR="00761D4D">
        <w:rPr>
          <w:iCs/>
        </w:rPr>
        <w:t xml:space="preserve">and acceptance </w:t>
      </w:r>
      <w:r w:rsidR="008428F0">
        <w:rPr>
          <w:iCs/>
        </w:rPr>
        <w:t xml:space="preserve">of reports for </w:t>
      </w:r>
      <w:proofErr w:type="spellStart"/>
      <w:r w:rsidR="008428F0">
        <w:rPr>
          <w:iCs/>
        </w:rPr>
        <w:t>permissioning</w:t>
      </w:r>
      <w:proofErr w:type="spellEnd"/>
      <w:r w:rsidR="00D07AFA" w:rsidRPr="00CC121D">
        <w:rPr>
          <w:iCs/>
        </w:rPr>
        <w:t>’</w:t>
      </w:r>
      <w:r w:rsidR="00E8111B">
        <w:rPr>
          <w:iCs/>
        </w:rPr>
        <w:t>,</w:t>
      </w:r>
    </w:p>
    <w:p w14:paraId="57304FC3" w14:textId="13A49CB7" w:rsidR="00D07AFA" w:rsidRPr="00CC121D" w:rsidRDefault="00D07AFA" w:rsidP="00D07AFA">
      <w:pPr>
        <w:numPr>
          <w:ilvl w:val="2"/>
          <w:numId w:val="10"/>
        </w:numPr>
        <w:spacing w:after="240"/>
        <w:ind w:left="1418"/>
        <w:contextualSpacing/>
        <w:rPr>
          <w:iCs/>
        </w:rPr>
      </w:pPr>
      <w:r w:rsidRPr="00CC121D">
        <w:t>ONR-COM-GD-002 – ‘</w:t>
      </w:r>
      <w:r w:rsidRPr="00CC121D">
        <w:rPr>
          <w:iCs/>
        </w:rPr>
        <w:t>Editorial and Formatting Style Guide’ [</w:t>
      </w:r>
      <w:r w:rsidR="00C15CBD">
        <w:rPr>
          <w:iCs/>
        </w:rPr>
        <w:t>4</w:t>
      </w:r>
      <w:r w:rsidR="00A82474">
        <w:rPr>
          <w:iCs/>
        </w:rPr>
        <w:t>3</w:t>
      </w:r>
      <w:r w:rsidR="00E8111B">
        <w:rPr>
          <w:iCs/>
        </w:rPr>
        <w:t>],</w:t>
      </w:r>
    </w:p>
    <w:p w14:paraId="57304FC4" w14:textId="43C97330" w:rsidR="00D07AFA" w:rsidRPr="00705397" w:rsidRDefault="00D07AFA" w:rsidP="00D07AFA">
      <w:pPr>
        <w:numPr>
          <w:ilvl w:val="2"/>
          <w:numId w:val="10"/>
        </w:numPr>
        <w:spacing w:after="240"/>
        <w:ind w:left="1418"/>
        <w:contextualSpacing/>
        <w:rPr>
          <w:iCs/>
        </w:rPr>
      </w:pPr>
      <w:r w:rsidRPr="00CC121D">
        <w:rPr>
          <w:iCs/>
        </w:rPr>
        <w:t>Oxford Guide to Plain English [</w:t>
      </w:r>
      <w:r w:rsidR="00C15CBD">
        <w:rPr>
          <w:iCs/>
        </w:rPr>
        <w:t>4</w:t>
      </w:r>
      <w:r w:rsidR="00A82474">
        <w:rPr>
          <w:iCs/>
        </w:rPr>
        <w:t>4</w:t>
      </w:r>
      <w:r w:rsidRPr="00CC121D">
        <w:t>]</w:t>
      </w:r>
      <w:r w:rsidR="00E8111B">
        <w:t>.</w:t>
      </w:r>
    </w:p>
    <w:p w14:paraId="6EB69386" w14:textId="5539DDC9" w:rsidR="00705397" w:rsidRPr="00CC121D" w:rsidRDefault="00A13205" w:rsidP="00D07AFA">
      <w:pPr>
        <w:numPr>
          <w:ilvl w:val="2"/>
          <w:numId w:val="10"/>
        </w:numPr>
        <w:spacing w:after="240"/>
        <w:ind w:left="1418"/>
        <w:contextualSpacing/>
        <w:rPr>
          <w:iCs/>
        </w:rPr>
      </w:pPr>
      <w:r>
        <w:t>ONR-NS-TAST-GD-096 ‘Mechanics of Assessment’</w:t>
      </w:r>
    </w:p>
    <w:p w14:paraId="28D7C6A8" w14:textId="77777777" w:rsidR="00626355" w:rsidRDefault="00626355">
      <w:pPr>
        <w:rPr>
          <w:rFonts w:ascii="Arial Bold" w:hAnsi="Arial Bold"/>
          <w:b/>
        </w:rPr>
      </w:pPr>
      <w:bookmarkStart w:id="61" w:name="_Toc43723317"/>
      <w:r>
        <w:br w:type="page"/>
      </w:r>
    </w:p>
    <w:p w14:paraId="57304FC5" w14:textId="6E4D5C38" w:rsidR="00D07AFA" w:rsidRPr="00CC121D" w:rsidRDefault="00D07AFA" w:rsidP="00DA3F7F">
      <w:pPr>
        <w:pStyle w:val="TSHeadingNumbered111"/>
      </w:pPr>
      <w:r w:rsidRPr="00CC121D">
        <w:t>Site Phases</w:t>
      </w:r>
      <w:bookmarkEnd w:id="61"/>
    </w:p>
    <w:p w14:paraId="57304FC6" w14:textId="493B307F" w:rsidR="00D07AFA" w:rsidRPr="00CC121D" w:rsidRDefault="00D07AFA" w:rsidP="00D07AFA">
      <w:pPr>
        <w:pStyle w:val="TSNumberedParagraph1"/>
        <w:rPr>
          <w:iCs/>
        </w:rPr>
      </w:pPr>
      <w:r w:rsidRPr="00CC121D">
        <w:rPr>
          <w:iCs/>
        </w:rPr>
        <w:t>The stages of</w:t>
      </w:r>
      <w:r w:rsidR="006B0ADD">
        <w:rPr>
          <w:iCs/>
        </w:rPr>
        <w:t xml:space="preserve"> civil engineering works over a lifecycle of a </w:t>
      </w:r>
      <w:r w:rsidR="0023704E">
        <w:rPr>
          <w:iCs/>
        </w:rPr>
        <w:t xml:space="preserve">nuclear </w:t>
      </w:r>
      <w:r w:rsidR="006B0ADD">
        <w:rPr>
          <w:iCs/>
        </w:rPr>
        <w:t>facility</w:t>
      </w:r>
      <w:r w:rsidR="00B46EA7">
        <w:rPr>
          <w:iCs/>
        </w:rPr>
        <w:t xml:space="preserve"> </w:t>
      </w:r>
      <w:r w:rsidR="00DA3F7F">
        <w:rPr>
          <w:iCs/>
        </w:rPr>
        <w:t xml:space="preserve">can be </w:t>
      </w:r>
      <w:r w:rsidR="006B0ADD">
        <w:rPr>
          <w:iCs/>
        </w:rPr>
        <w:t xml:space="preserve">generally </w:t>
      </w:r>
      <w:r w:rsidR="00DA3F7F">
        <w:rPr>
          <w:iCs/>
        </w:rPr>
        <w:t xml:space="preserve">summarised </w:t>
      </w:r>
      <w:r w:rsidRPr="00CC121D">
        <w:rPr>
          <w:iCs/>
        </w:rPr>
        <w:t>as follows:</w:t>
      </w:r>
    </w:p>
    <w:p w14:paraId="57304FC7" w14:textId="77777777" w:rsidR="00D07AFA" w:rsidRPr="00CC121D" w:rsidRDefault="00E8111B" w:rsidP="00D07AFA">
      <w:pPr>
        <w:numPr>
          <w:ilvl w:val="0"/>
          <w:numId w:val="11"/>
        </w:numPr>
        <w:spacing w:after="240"/>
        <w:ind w:hanging="731"/>
        <w:contextualSpacing/>
      </w:pPr>
      <w:r>
        <w:t>Site identification,</w:t>
      </w:r>
    </w:p>
    <w:p w14:paraId="57304FC8" w14:textId="6D947076" w:rsidR="00D07AFA" w:rsidRPr="00CC121D" w:rsidRDefault="00D07AFA" w:rsidP="00D07AFA">
      <w:pPr>
        <w:numPr>
          <w:ilvl w:val="0"/>
          <w:numId w:val="11"/>
        </w:numPr>
        <w:spacing w:after="240"/>
        <w:ind w:hanging="731"/>
        <w:contextualSpacing/>
      </w:pPr>
      <w:r w:rsidRPr="00CC121D">
        <w:t>Generic Design Assessment Step 1, 2,3 (and Step 4</w:t>
      </w:r>
      <w:r w:rsidR="002C37B6">
        <w:t>,</w:t>
      </w:r>
      <w:r w:rsidRPr="00CC121D">
        <w:t xml:space="preserve"> where applicable),</w:t>
      </w:r>
    </w:p>
    <w:p w14:paraId="57304FC9" w14:textId="17FEEC8D" w:rsidR="00D07AFA" w:rsidRPr="00CC121D" w:rsidRDefault="00D07AFA" w:rsidP="00D07AFA">
      <w:pPr>
        <w:numPr>
          <w:ilvl w:val="0"/>
          <w:numId w:val="11"/>
        </w:numPr>
        <w:spacing w:after="240"/>
        <w:ind w:hanging="731"/>
        <w:contextualSpacing/>
      </w:pPr>
      <w:r w:rsidRPr="00CC121D">
        <w:t>Site Licensing, including site investigations and site</w:t>
      </w:r>
      <w:r w:rsidR="002C37B6">
        <w:t>-</w:t>
      </w:r>
      <w:r w:rsidRPr="00CC121D">
        <w:t>specific considerations,</w:t>
      </w:r>
    </w:p>
    <w:p w14:paraId="57304FCA" w14:textId="77777777" w:rsidR="00D07AFA" w:rsidRPr="00CC121D" w:rsidRDefault="0023704E" w:rsidP="00D07AFA">
      <w:pPr>
        <w:numPr>
          <w:ilvl w:val="0"/>
          <w:numId w:val="11"/>
        </w:numPr>
        <w:spacing w:after="240"/>
        <w:ind w:hanging="731"/>
        <w:contextualSpacing/>
      </w:pPr>
      <w:r>
        <w:t>Construction,</w:t>
      </w:r>
    </w:p>
    <w:p w14:paraId="57304FCB" w14:textId="77777777" w:rsidR="00D07AFA" w:rsidRPr="00CC121D" w:rsidRDefault="00D07AFA" w:rsidP="00D07AFA">
      <w:pPr>
        <w:numPr>
          <w:ilvl w:val="0"/>
          <w:numId w:val="11"/>
        </w:numPr>
        <w:spacing w:after="240"/>
        <w:ind w:hanging="731"/>
        <w:contextualSpacing/>
      </w:pPr>
      <w:r w:rsidRPr="00CC121D">
        <w:t>Operation/EIMT/asset management of ageing sites</w:t>
      </w:r>
      <w:r w:rsidR="0023704E">
        <w:t>,</w:t>
      </w:r>
    </w:p>
    <w:p w14:paraId="57304FCC" w14:textId="29C5901A" w:rsidR="00D07AFA" w:rsidRDefault="00D07AFA" w:rsidP="00D07AFA">
      <w:pPr>
        <w:numPr>
          <w:ilvl w:val="0"/>
          <w:numId w:val="11"/>
        </w:numPr>
        <w:spacing w:after="240"/>
        <w:ind w:hanging="731"/>
        <w:contextualSpacing/>
      </w:pPr>
      <w:r w:rsidRPr="00CC121D">
        <w:t>Post operation decommissioni</w:t>
      </w:r>
      <w:r w:rsidR="0023704E">
        <w:t>ng, demolition, site clearance.</w:t>
      </w:r>
    </w:p>
    <w:p w14:paraId="57304FCD" w14:textId="77777777" w:rsidR="0023704E" w:rsidRPr="00CC121D" w:rsidRDefault="0023704E" w:rsidP="00D07AFA">
      <w:pPr>
        <w:numPr>
          <w:ilvl w:val="0"/>
          <w:numId w:val="11"/>
        </w:numPr>
        <w:spacing w:after="240"/>
        <w:ind w:hanging="731"/>
        <w:contextualSpacing/>
      </w:pPr>
      <w:r>
        <w:t>(possibly) De-Licencing.</w:t>
      </w:r>
    </w:p>
    <w:p w14:paraId="57304FCE" w14:textId="1F25DD2E" w:rsidR="00D07AFA" w:rsidRPr="00CC121D" w:rsidRDefault="00D07AFA" w:rsidP="00D07AFA">
      <w:pPr>
        <w:pStyle w:val="TSNumberedParagraph1"/>
        <w:rPr>
          <w:iCs/>
        </w:rPr>
      </w:pPr>
      <w:r w:rsidRPr="00CC121D">
        <w:rPr>
          <w:iCs/>
        </w:rPr>
        <w:t xml:space="preserve">The purpose of ONR assessment of design </w:t>
      </w:r>
      <w:r w:rsidR="00E01630">
        <w:rPr>
          <w:iCs/>
        </w:rPr>
        <w:t xml:space="preserve">for civil engineering works </w:t>
      </w:r>
      <w:r w:rsidRPr="00CC121D">
        <w:rPr>
          <w:iCs/>
        </w:rPr>
        <w:t>is to establish whether:</w:t>
      </w:r>
    </w:p>
    <w:p w14:paraId="57304FCF" w14:textId="77777777" w:rsidR="00D07AFA" w:rsidRPr="00CC121D" w:rsidRDefault="00D07AFA" w:rsidP="00D07AFA">
      <w:pPr>
        <w:numPr>
          <w:ilvl w:val="0"/>
          <w:numId w:val="2"/>
        </w:numPr>
        <w:tabs>
          <w:tab w:val="clear" w:pos="-28713"/>
          <w:tab w:val="num" w:pos="-31680"/>
        </w:tabs>
        <w:spacing w:after="240"/>
        <w:ind w:left="1440"/>
        <w:contextualSpacing/>
      </w:pPr>
      <w:r w:rsidRPr="00CC121D">
        <w:t xml:space="preserve">the design </w:t>
      </w:r>
      <w:r w:rsidR="0023704E">
        <w:t>arrangements,</w:t>
      </w:r>
    </w:p>
    <w:p w14:paraId="57304FD0" w14:textId="77777777" w:rsidR="00D07AFA" w:rsidRPr="00CC121D" w:rsidRDefault="00D07AFA" w:rsidP="00D07AFA">
      <w:pPr>
        <w:numPr>
          <w:ilvl w:val="0"/>
          <w:numId w:val="2"/>
        </w:numPr>
        <w:tabs>
          <w:tab w:val="clear" w:pos="-28713"/>
          <w:tab w:val="num" w:pos="-31680"/>
        </w:tabs>
        <w:spacing w:after="240"/>
        <w:ind w:left="1440"/>
        <w:contextualSpacing/>
      </w:pPr>
      <w:r w:rsidRPr="00CC121D">
        <w:t>interfaces with procurement</w:t>
      </w:r>
      <w:r w:rsidR="004812CA">
        <w:t xml:space="preserve"> and construction/installation,</w:t>
      </w:r>
    </w:p>
    <w:p w14:paraId="57304FD1" w14:textId="77777777" w:rsidR="00D07AFA" w:rsidRDefault="00D07AFA" w:rsidP="00D07AFA">
      <w:pPr>
        <w:numPr>
          <w:ilvl w:val="0"/>
          <w:numId w:val="2"/>
        </w:numPr>
        <w:tabs>
          <w:tab w:val="clear" w:pos="-28713"/>
          <w:tab w:val="num" w:pos="-31680"/>
        </w:tabs>
        <w:spacing w:after="240"/>
        <w:ind w:left="1440"/>
        <w:contextualSpacing/>
      </w:pPr>
      <w:r w:rsidRPr="00CC121D">
        <w:t>operations and associa</w:t>
      </w:r>
      <w:r w:rsidR="0023704E">
        <w:t>ted maintenance and inspection,</w:t>
      </w:r>
    </w:p>
    <w:p w14:paraId="57304FD2" w14:textId="77777777" w:rsidR="0023704E" w:rsidRPr="00CC121D" w:rsidRDefault="0023704E" w:rsidP="0023704E">
      <w:pPr>
        <w:spacing w:after="240"/>
        <w:ind w:left="1440"/>
        <w:contextualSpacing/>
      </w:pPr>
    </w:p>
    <w:p w14:paraId="57304FD3" w14:textId="77777777" w:rsidR="00D07AFA" w:rsidRPr="00CC121D" w:rsidRDefault="00D07AFA" w:rsidP="00D07AFA">
      <w:pPr>
        <w:spacing w:before="220" w:after="220"/>
        <w:ind w:left="720"/>
        <w:outlineLvl w:val="0"/>
        <w:rPr>
          <w:lang w:eastAsia="en-GB"/>
        </w:rPr>
      </w:pPr>
      <w:r w:rsidRPr="00CC121D">
        <w:rPr>
          <w:lang w:eastAsia="en-GB"/>
        </w:rPr>
        <w:t>are adequate to fulfil the safety functions, and to establish if hazards created by such arrangements are both tolerable and ALARP, in compliance with legal requirements.</w:t>
      </w:r>
    </w:p>
    <w:p w14:paraId="57304FD4" w14:textId="77777777" w:rsidR="00D07AFA" w:rsidRPr="00CC121D" w:rsidRDefault="00D07AFA" w:rsidP="00D07AFA">
      <w:pPr>
        <w:pStyle w:val="TSNumberedParagraph1"/>
        <w:rPr>
          <w:iCs/>
        </w:rPr>
      </w:pPr>
      <w:r w:rsidRPr="00CC121D">
        <w:rPr>
          <w:iCs/>
        </w:rPr>
        <w:t>This TAG is to provide guidance for the Inspector when undertaking an assessment of civi</w:t>
      </w:r>
      <w:r w:rsidR="004812CA">
        <w:rPr>
          <w:iCs/>
        </w:rPr>
        <w:t>l engineering works related to:</w:t>
      </w:r>
    </w:p>
    <w:p w14:paraId="57304FD5" w14:textId="77777777" w:rsidR="00D07AFA" w:rsidRPr="00CC121D" w:rsidRDefault="00D07AFA" w:rsidP="00D07AFA">
      <w:pPr>
        <w:numPr>
          <w:ilvl w:val="0"/>
          <w:numId w:val="11"/>
        </w:numPr>
        <w:spacing w:after="240"/>
        <w:ind w:hanging="731"/>
        <w:contextualSpacing/>
      </w:pPr>
      <w:r w:rsidRPr="00CC121D">
        <w:t>new build sites,</w:t>
      </w:r>
    </w:p>
    <w:p w14:paraId="57304FD6" w14:textId="77777777" w:rsidR="00D07AFA" w:rsidRDefault="00D07AFA" w:rsidP="00D07AFA">
      <w:pPr>
        <w:numPr>
          <w:ilvl w:val="0"/>
          <w:numId w:val="11"/>
        </w:numPr>
        <w:spacing w:after="240"/>
        <w:ind w:hanging="731"/>
        <w:contextualSpacing/>
      </w:pPr>
      <w:r w:rsidRPr="00CC121D">
        <w:t>new facilities on operational or decommissioning sites,</w:t>
      </w:r>
    </w:p>
    <w:p w14:paraId="57304FD7" w14:textId="77777777" w:rsidR="004812CA" w:rsidRPr="00CC121D" w:rsidRDefault="004812CA" w:rsidP="00D07AFA">
      <w:pPr>
        <w:numPr>
          <w:ilvl w:val="0"/>
          <w:numId w:val="11"/>
        </w:numPr>
        <w:spacing w:after="240"/>
        <w:ind w:hanging="731"/>
        <w:contextualSpacing/>
      </w:pPr>
      <w:r>
        <w:t>E</w:t>
      </w:r>
      <w:r w:rsidR="00C670A4">
        <w:t>I</w:t>
      </w:r>
      <w:r>
        <w:t>MT activities on operational and post operational sites,</w:t>
      </w:r>
    </w:p>
    <w:p w14:paraId="57304FD8" w14:textId="77777777" w:rsidR="00D07AFA" w:rsidRPr="00CC121D" w:rsidRDefault="00D07AFA" w:rsidP="00D07AFA">
      <w:pPr>
        <w:numPr>
          <w:ilvl w:val="0"/>
          <w:numId w:val="11"/>
        </w:numPr>
        <w:spacing w:after="240"/>
        <w:ind w:hanging="731"/>
        <w:contextualSpacing/>
      </w:pPr>
      <w:r w:rsidRPr="00CC121D">
        <w:t>change of use and/or modifications to existing structures on operat</w:t>
      </w:r>
      <w:r w:rsidR="004812CA">
        <w:t>ional and decommissioning sites.</w:t>
      </w:r>
    </w:p>
    <w:p w14:paraId="57304FD9" w14:textId="2669040B" w:rsidR="00D07AFA" w:rsidRPr="00CC121D" w:rsidRDefault="00D07AFA" w:rsidP="008F3139">
      <w:pPr>
        <w:pStyle w:val="TSHeadingNumbered111"/>
      </w:pPr>
      <w:bookmarkStart w:id="62" w:name="_Toc43723318"/>
      <w:r w:rsidRPr="00CC121D">
        <w:t>Sampling for Civil Engineering Assessment</w:t>
      </w:r>
      <w:bookmarkEnd w:id="62"/>
    </w:p>
    <w:p w14:paraId="57304FDA" w14:textId="02C76914" w:rsidR="00712717" w:rsidRPr="008B0232" w:rsidRDefault="00712717" w:rsidP="00712717">
      <w:pPr>
        <w:pStyle w:val="TSNumberedParagraph1"/>
        <w:rPr>
          <w:iCs/>
        </w:rPr>
      </w:pPr>
      <w:r w:rsidRPr="00493149">
        <w:rPr>
          <w:iCs/>
        </w:rPr>
        <w:t xml:space="preserve">Civil engineering assessments should focus upon activities which could result in the </w:t>
      </w:r>
      <w:r w:rsidRPr="008B0232">
        <w:rPr>
          <w:iCs/>
        </w:rPr>
        <w:t xml:space="preserve">greatest </w:t>
      </w:r>
      <w:r w:rsidR="00493149" w:rsidRPr="008B0232">
        <w:rPr>
          <w:iCs/>
        </w:rPr>
        <w:t>hazard</w:t>
      </w:r>
      <w:r w:rsidRPr="008B0232">
        <w:rPr>
          <w:iCs/>
        </w:rPr>
        <w:t xml:space="preserve"> </w:t>
      </w:r>
      <w:r w:rsidR="00493149" w:rsidRPr="008B0232">
        <w:rPr>
          <w:iCs/>
        </w:rPr>
        <w:t>or where risks</w:t>
      </w:r>
      <w:r w:rsidRPr="008B0232">
        <w:rPr>
          <w:iCs/>
        </w:rPr>
        <w:t xml:space="preserve"> are least well controlled.</w:t>
      </w:r>
      <w:r w:rsidR="00493149" w:rsidRPr="008B0232">
        <w:rPr>
          <w:iCs/>
        </w:rPr>
        <w:t xml:space="preserve"> This is achieved via proportionate sampling</w:t>
      </w:r>
      <w:r w:rsidR="00DC18A5">
        <w:rPr>
          <w:iCs/>
        </w:rPr>
        <w:t xml:space="preserve">, </w:t>
      </w:r>
      <w:r w:rsidR="00B71908">
        <w:rPr>
          <w:iCs/>
        </w:rPr>
        <w:t xml:space="preserve">see </w:t>
      </w:r>
      <w:r w:rsidR="00DC18A5">
        <w:rPr>
          <w:iCs/>
        </w:rPr>
        <w:t>para</w:t>
      </w:r>
      <w:r w:rsidR="00DD3FA4">
        <w:rPr>
          <w:iCs/>
        </w:rPr>
        <w:t>graph</w:t>
      </w:r>
      <w:r w:rsidR="00DC18A5">
        <w:rPr>
          <w:iCs/>
        </w:rPr>
        <w:t xml:space="preserve"> 82 o</w:t>
      </w:r>
      <w:r w:rsidR="00B71908">
        <w:rPr>
          <w:iCs/>
        </w:rPr>
        <w:t>f the SAPs</w:t>
      </w:r>
      <w:r w:rsidR="002C37B6">
        <w:rPr>
          <w:iCs/>
        </w:rPr>
        <w:t xml:space="preserve"> [1]</w:t>
      </w:r>
      <w:r w:rsidR="00B71908">
        <w:rPr>
          <w:iCs/>
        </w:rPr>
        <w:t xml:space="preserve"> regarding sampling </w:t>
      </w:r>
      <w:r w:rsidR="00894B83">
        <w:rPr>
          <w:iCs/>
        </w:rPr>
        <w:t xml:space="preserve">approach to the assessment of </w:t>
      </w:r>
      <w:r w:rsidR="00B71908">
        <w:rPr>
          <w:iCs/>
        </w:rPr>
        <w:t>safety cases.</w:t>
      </w:r>
    </w:p>
    <w:p w14:paraId="4365B495" w14:textId="77777777" w:rsidR="00626355" w:rsidRDefault="00D07AFA" w:rsidP="00D07AFA">
      <w:pPr>
        <w:pStyle w:val="TSNumberedParagraph1"/>
        <w:rPr>
          <w:iCs/>
        </w:rPr>
      </w:pPr>
      <w:r w:rsidRPr="008B0232">
        <w:rPr>
          <w:iCs/>
        </w:rPr>
        <w:t xml:space="preserve">The sampling strategy deserves </w:t>
      </w:r>
      <w:r w:rsidR="00AB74CF">
        <w:rPr>
          <w:iCs/>
        </w:rPr>
        <w:t xml:space="preserve">focused </w:t>
      </w:r>
      <w:r w:rsidRPr="008B0232">
        <w:rPr>
          <w:iCs/>
        </w:rPr>
        <w:t xml:space="preserve">consideration </w:t>
      </w:r>
      <w:r w:rsidR="00712717" w:rsidRPr="008B0232">
        <w:rPr>
          <w:iCs/>
        </w:rPr>
        <w:t>before</w:t>
      </w:r>
      <w:r w:rsidRPr="008B0232">
        <w:rPr>
          <w:iCs/>
        </w:rPr>
        <w:t xml:space="preserve"> the start of an assessm</w:t>
      </w:r>
      <w:r w:rsidR="008B0232" w:rsidRPr="008B0232">
        <w:rPr>
          <w:iCs/>
        </w:rPr>
        <w:t>ent, and review throughout the assessment</w:t>
      </w:r>
      <w:r w:rsidR="00712717" w:rsidRPr="008B0232">
        <w:rPr>
          <w:iCs/>
        </w:rPr>
        <w:t xml:space="preserve">. </w:t>
      </w:r>
      <w:r w:rsidRPr="008B0232">
        <w:rPr>
          <w:iCs/>
        </w:rPr>
        <w:t xml:space="preserve">The sampling strategy should detail the areas to be considered, and the rationale for </w:t>
      </w:r>
      <w:r w:rsidR="008B0232" w:rsidRPr="008B0232">
        <w:rPr>
          <w:iCs/>
        </w:rPr>
        <w:t xml:space="preserve">the </w:t>
      </w:r>
      <w:r w:rsidRPr="008B0232">
        <w:rPr>
          <w:iCs/>
        </w:rPr>
        <w:t>selection</w:t>
      </w:r>
      <w:r w:rsidR="00493149" w:rsidRPr="008B0232">
        <w:rPr>
          <w:iCs/>
        </w:rPr>
        <w:t>. It should also</w:t>
      </w:r>
      <w:r w:rsidR="008B0232" w:rsidRPr="008B0232">
        <w:rPr>
          <w:iCs/>
        </w:rPr>
        <w:t xml:space="preserve"> justify</w:t>
      </w:r>
      <w:r w:rsidRPr="008B0232">
        <w:rPr>
          <w:iCs/>
        </w:rPr>
        <w:t xml:space="preserve"> those </w:t>
      </w:r>
      <w:r w:rsidR="00712717" w:rsidRPr="008B0232">
        <w:rPr>
          <w:iCs/>
        </w:rPr>
        <w:t>areas excluded</w:t>
      </w:r>
      <w:r w:rsidR="00712717">
        <w:rPr>
          <w:iCs/>
        </w:rPr>
        <w:t xml:space="preserve"> from selection. </w:t>
      </w:r>
    </w:p>
    <w:p w14:paraId="7CF5624C" w14:textId="77777777" w:rsidR="00626355" w:rsidRDefault="00D07AFA" w:rsidP="00D07AFA">
      <w:pPr>
        <w:pStyle w:val="TSNumberedParagraph1"/>
        <w:rPr>
          <w:iCs/>
        </w:rPr>
      </w:pPr>
      <w:r w:rsidRPr="00CC121D">
        <w:rPr>
          <w:iCs/>
        </w:rPr>
        <w:t>The depth of sampling should also be identified, broad across several areas or a deep dive into a sp</w:t>
      </w:r>
      <w:r w:rsidR="00712717">
        <w:rPr>
          <w:iCs/>
        </w:rPr>
        <w:t>ecific area.</w:t>
      </w:r>
      <w:r w:rsidRPr="00CC121D">
        <w:rPr>
          <w:iCs/>
        </w:rPr>
        <w:t xml:space="preserve"> </w:t>
      </w:r>
    </w:p>
    <w:p w14:paraId="57304FDB" w14:textId="2FCD95B7" w:rsidR="00D07AFA" w:rsidRPr="00CC121D" w:rsidRDefault="00D07AFA" w:rsidP="00D07AFA">
      <w:pPr>
        <w:pStyle w:val="TSNumberedParagraph1"/>
        <w:rPr>
          <w:iCs/>
        </w:rPr>
      </w:pPr>
      <w:r w:rsidRPr="00CC121D">
        <w:rPr>
          <w:iCs/>
        </w:rPr>
        <w:t>Key points which should inform</w:t>
      </w:r>
      <w:r w:rsidR="00712717">
        <w:rPr>
          <w:iCs/>
        </w:rPr>
        <w:t xml:space="preserve"> the development of a sampling </w:t>
      </w:r>
      <w:r w:rsidRPr="00CC121D">
        <w:rPr>
          <w:iCs/>
        </w:rPr>
        <w:t>strategy are:</w:t>
      </w:r>
    </w:p>
    <w:p w14:paraId="57304FDC" w14:textId="77777777" w:rsidR="00D07AFA" w:rsidRPr="00CC121D" w:rsidRDefault="00D07AFA" w:rsidP="00D07AFA">
      <w:pPr>
        <w:numPr>
          <w:ilvl w:val="0"/>
          <w:numId w:val="11"/>
        </w:numPr>
        <w:spacing w:after="240"/>
        <w:ind w:hanging="731"/>
        <w:contextualSpacing/>
        <w:rPr>
          <w:iCs/>
        </w:rPr>
      </w:pPr>
      <w:r w:rsidRPr="00CC121D">
        <w:rPr>
          <w:iCs/>
        </w:rPr>
        <w:t>Severity of the unmitigated consequences should the works (design, justification, workmanship</w:t>
      </w:r>
      <w:r w:rsidR="008B0232">
        <w:rPr>
          <w:iCs/>
        </w:rPr>
        <w:t>,</w:t>
      </w:r>
      <w:r w:rsidRPr="00CC121D">
        <w:rPr>
          <w:iCs/>
        </w:rPr>
        <w:t xml:space="preserve"> etc.) be inadequately conceived or executed</w:t>
      </w:r>
      <w:r w:rsidR="008B0232">
        <w:rPr>
          <w:iCs/>
        </w:rPr>
        <w:t>,</w:t>
      </w:r>
    </w:p>
    <w:p w14:paraId="57304FDD" w14:textId="77777777" w:rsidR="00D07AFA" w:rsidRPr="00CC121D" w:rsidRDefault="008B0232" w:rsidP="00D07AFA">
      <w:pPr>
        <w:numPr>
          <w:ilvl w:val="0"/>
          <w:numId w:val="11"/>
        </w:numPr>
        <w:spacing w:after="240"/>
        <w:ind w:hanging="731"/>
        <w:contextualSpacing/>
        <w:rPr>
          <w:iCs/>
        </w:rPr>
      </w:pPr>
      <w:r>
        <w:rPr>
          <w:iCs/>
        </w:rPr>
        <w:t>Novelty,</w:t>
      </w:r>
    </w:p>
    <w:p w14:paraId="57304FDE" w14:textId="77777777" w:rsidR="00D07AFA" w:rsidRPr="00CC121D" w:rsidRDefault="00D07AFA" w:rsidP="00D07AFA">
      <w:pPr>
        <w:numPr>
          <w:ilvl w:val="0"/>
          <w:numId w:val="11"/>
        </w:numPr>
        <w:spacing w:after="240"/>
        <w:ind w:hanging="731"/>
        <w:contextualSpacing/>
        <w:rPr>
          <w:iCs/>
        </w:rPr>
      </w:pPr>
      <w:r w:rsidRPr="00CC121D">
        <w:rPr>
          <w:iCs/>
        </w:rPr>
        <w:t>Difficulty</w:t>
      </w:r>
      <w:r w:rsidR="008B0232">
        <w:rPr>
          <w:iCs/>
        </w:rPr>
        <w:t>,</w:t>
      </w:r>
    </w:p>
    <w:p w14:paraId="57304FDF" w14:textId="77777777" w:rsidR="00D07AFA" w:rsidRPr="00CC121D" w:rsidRDefault="00D07AFA" w:rsidP="00D07AFA">
      <w:pPr>
        <w:numPr>
          <w:ilvl w:val="0"/>
          <w:numId w:val="11"/>
        </w:numPr>
        <w:spacing w:after="240"/>
        <w:ind w:hanging="731"/>
        <w:contextualSpacing/>
        <w:rPr>
          <w:iCs/>
        </w:rPr>
      </w:pPr>
      <w:r w:rsidRPr="00CC121D">
        <w:rPr>
          <w:iCs/>
        </w:rPr>
        <w:t xml:space="preserve">Track record of the </w:t>
      </w:r>
      <w:proofErr w:type="spellStart"/>
      <w:r w:rsidRPr="00CC121D">
        <w:rPr>
          <w:iCs/>
        </w:rPr>
        <w:t>dutyholder</w:t>
      </w:r>
      <w:proofErr w:type="spellEnd"/>
      <w:r w:rsidR="008B0232">
        <w:rPr>
          <w:iCs/>
        </w:rPr>
        <w:t>,</w:t>
      </w:r>
    </w:p>
    <w:p w14:paraId="57304FE0" w14:textId="77777777" w:rsidR="00D07AFA" w:rsidRPr="00CC121D" w:rsidRDefault="00D07AFA" w:rsidP="00D07AFA">
      <w:pPr>
        <w:numPr>
          <w:ilvl w:val="0"/>
          <w:numId w:val="11"/>
        </w:numPr>
        <w:spacing w:after="240"/>
        <w:ind w:hanging="731"/>
        <w:contextualSpacing/>
        <w:rPr>
          <w:iCs/>
        </w:rPr>
      </w:pPr>
      <w:r w:rsidRPr="00CC121D">
        <w:rPr>
          <w:iCs/>
        </w:rPr>
        <w:t>Precedence</w:t>
      </w:r>
      <w:r w:rsidR="008B0232">
        <w:rPr>
          <w:iCs/>
        </w:rPr>
        <w:t>,</w:t>
      </w:r>
    </w:p>
    <w:p w14:paraId="57304FE1" w14:textId="77777777" w:rsidR="00D07AFA" w:rsidRPr="00CC121D" w:rsidRDefault="00D07AFA" w:rsidP="00D07AFA">
      <w:pPr>
        <w:numPr>
          <w:ilvl w:val="0"/>
          <w:numId w:val="11"/>
        </w:numPr>
        <w:spacing w:after="240"/>
        <w:ind w:hanging="731"/>
        <w:contextualSpacing/>
        <w:rPr>
          <w:iCs/>
        </w:rPr>
      </w:pPr>
      <w:r w:rsidRPr="00CC121D">
        <w:rPr>
          <w:iCs/>
        </w:rPr>
        <w:t>Condition of the structure and/or</w:t>
      </w:r>
      <w:r w:rsidR="008B0232">
        <w:rPr>
          <w:iCs/>
        </w:rPr>
        <w:t xml:space="preserve"> the</w:t>
      </w:r>
      <w:r w:rsidRPr="00CC121D">
        <w:rPr>
          <w:iCs/>
        </w:rPr>
        <w:t xml:space="preserve"> ground it stands on</w:t>
      </w:r>
      <w:r w:rsidR="008B0232">
        <w:rPr>
          <w:iCs/>
        </w:rPr>
        <w:t>,</w:t>
      </w:r>
    </w:p>
    <w:p w14:paraId="57304FE2" w14:textId="07818A27" w:rsidR="00D07AFA" w:rsidRPr="00CC121D" w:rsidRDefault="00D07AFA" w:rsidP="00D07AFA">
      <w:pPr>
        <w:numPr>
          <w:ilvl w:val="0"/>
          <w:numId w:val="11"/>
        </w:numPr>
        <w:spacing w:after="240"/>
        <w:ind w:hanging="731"/>
        <w:contextualSpacing/>
        <w:rPr>
          <w:iCs/>
        </w:rPr>
      </w:pPr>
      <w:r w:rsidRPr="00CC121D">
        <w:rPr>
          <w:iCs/>
        </w:rPr>
        <w:t xml:space="preserve">Particular aspects not considered before (e.g. UK or </w:t>
      </w:r>
      <w:r w:rsidR="00C17F56" w:rsidRPr="00CC121D">
        <w:rPr>
          <w:iCs/>
        </w:rPr>
        <w:t>site-specific</w:t>
      </w:r>
      <w:r w:rsidRPr="00CC121D">
        <w:rPr>
          <w:iCs/>
        </w:rPr>
        <w:t xml:space="preserve"> context)</w:t>
      </w:r>
      <w:r w:rsidR="008B0232">
        <w:rPr>
          <w:iCs/>
        </w:rPr>
        <w:t>.</w:t>
      </w:r>
    </w:p>
    <w:p w14:paraId="738A7FA8" w14:textId="77777777" w:rsidR="00626355" w:rsidRDefault="00626355">
      <w:pPr>
        <w:rPr>
          <w:rFonts w:ascii="Arial Bold" w:hAnsi="Arial Bold"/>
          <w:b/>
        </w:rPr>
      </w:pPr>
      <w:bookmarkStart w:id="63" w:name="_Toc43723319"/>
      <w:r>
        <w:br w:type="page"/>
      </w:r>
    </w:p>
    <w:p w14:paraId="57304FE3" w14:textId="2DB2A1EE" w:rsidR="00D07AFA" w:rsidRPr="00CC121D" w:rsidRDefault="00D07AFA" w:rsidP="008F3139">
      <w:pPr>
        <w:pStyle w:val="TSHeadingNumbered111"/>
      </w:pPr>
      <w:r w:rsidRPr="00CC121D">
        <w:t xml:space="preserve">ONR </w:t>
      </w:r>
      <w:r w:rsidR="009E3653" w:rsidRPr="00CC121D">
        <w:t xml:space="preserve">Internal </w:t>
      </w:r>
      <w:r w:rsidRPr="00CC121D">
        <w:t>Interfaces</w:t>
      </w:r>
      <w:bookmarkEnd w:id="63"/>
    </w:p>
    <w:p w14:paraId="6A5752EF" w14:textId="77777777" w:rsidR="009E3653" w:rsidRDefault="00646E89" w:rsidP="00D07AFA">
      <w:pPr>
        <w:pStyle w:val="TSNumberedParagraph1"/>
        <w:rPr>
          <w:iCs/>
        </w:rPr>
      </w:pPr>
      <w:r>
        <w:rPr>
          <w:iCs/>
        </w:rPr>
        <w:t>The a</w:t>
      </w:r>
      <w:r w:rsidR="00D07AFA" w:rsidRPr="00CC121D">
        <w:rPr>
          <w:iCs/>
        </w:rPr>
        <w:t>ssessment of civil engineering should not be</w:t>
      </w:r>
      <w:r>
        <w:rPr>
          <w:iCs/>
        </w:rPr>
        <w:t xml:space="preserve"> an activity that is </w:t>
      </w:r>
      <w:r w:rsidR="00D07AFA" w:rsidRPr="00CC121D">
        <w:rPr>
          <w:iCs/>
        </w:rPr>
        <w:t xml:space="preserve">undertaken in isolation. There are interfaces and overlaps between civil engineering and other disciplines within ONR, </w:t>
      </w:r>
      <w:r>
        <w:rPr>
          <w:iCs/>
        </w:rPr>
        <w:t xml:space="preserve">e.g. </w:t>
      </w:r>
      <w:r w:rsidR="00D07AFA" w:rsidRPr="00CC121D">
        <w:rPr>
          <w:iCs/>
        </w:rPr>
        <w:t xml:space="preserve">several disciplines feed </w:t>
      </w:r>
      <w:r w:rsidR="00C17F56" w:rsidRPr="00CC121D">
        <w:rPr>
          <w:iCs/>
        </w:rPr>
        <w:t>into</w:t>
      </w:r>
      <w:r w:rsidR="00D07AFA" w:rsidRPr="00CC121D">
        <w:rPr>
          <w:iCs/>
        </w:rPr>
        <w:t xml:space="preserve"> civil engineering design. </w:t>
      </w:r>
    </w:p>
    <w:p w14:paraId="0B1C065F" w14:textId="056E0F8D" w:rsidR="00626355" w:rsidRDefault="00D07AFA" w:rsidP="00D07AFA">
      <w:pPr>
        <w:pStyle w:val="TSNumberedParagraph1"/>
        <w:rPr>
          <w:iCs/>
        </w:rPr>
      </w:pPr>
      <w:r w:rsidRPr="00CC121D">
        <w:rPr>
          <w:iCs/>
        </w:rPr>
        <w:t xml:space="preserve">The TAG documents are intended to be used as </w:t>
      </w:r>
      <w:r w:rsidR="00646E89">
        <w:rPr>
          <w:iCs/>
        </w:rPr>
        <w:t xml:space="preserve">a suite of guidance which cross </w:t>
      </w:r>
      <w:r w:rsidRPr="00CC121D">
        <w:rPr>
          <w:iCs/>
        </w:rPr>
        <w:t xml:space="preserve">references </w:t>
      </w:r>
      <w:r w:rsidR="00646E89">
        <w:rPr>
          <w:iCs/>
        </w:rPr>
        <w:t xml:space="preserve">internally </w:t>
      </w:r>
      <w:r w:rsidRPr="00CC121D">
        <w:rPr>
          <w:iCs/>
        </w:rPr>
        <w:t xml:space="preserve">to each other, covering the full suite of guidance across all disciplines of ONR assessment. The outcome of an assessment is a consequence of the regulatory judgment and </w:t>
      </w:r>
      <w:r w:rsidR="008B0232">
        <w:rPr>
          <w:iCs/>
        </w:rPr>
        <w:t>opinion</w:t>
      </w:r>
      <w:r w:rsidR="00BB73C4">
        <w:rPr>
          <w:iCs/>
        </w:rPr>
        <w:t xml:space="preserve"> of a team of i</w:t>
      </w:r>
      <w:r w:rsidRPr="00CC121D">
        <w:rPr>
          <w:iCs/>
        </w:rPr>
        <w:t xml:space="preserve">nspectors, within the framework of ONR’s assessment process. </w:t>
      </w:r>
    </w:p>
    <w:p w14:paraId="57304FE4" w14:textId="4EFAEB27" w:rsidR="00D07AFA" w:rsidRPr="00CC121D" w:rsidRDefault="00D07AFA" w:rsidP="00D07AFA">
      <w:pPr>
        <w:pStyle w:val="TSNumberedParagraph1"/>
        <w:rPr>
          <w:iCs/>
        </w:rPr>
      </w:pPr>
      <w:r w:rsidRPr="00CC121D">
        <w:rPr>
          <w:iCs/>
        </w:rPr>
        <w:t xml:space="preserve">Appendix F identifies relevant ONR TAGs that should be used alongside this TAG for areas of common interest that often </w:t>
      </w:r>
      <w:r w:rsidR="008B0232">
        <w:rPr>
          <w:iCs/>
        </w:rPr>
        <w:t>overlap with other disciplines.</w:t>
      </w:r>
    </w:p>
    <w:p w14:paraId="0D431D1E" w14:textId="77777777" w:rsidR="009E3653" w:rsidRDefault="000C666E" w:rsidP="008F3139">
      <w:pPr>
        <w:pStyle w:val="TSNumberedParagraph1"/>
        <w:rPr>
          <w:iCs/>
        </w:rPr>
      </w:pPr>
      <w:r w:rsidRPr="00D45F5E">
        <w:rPr>
          <w:iCs/>
        </w:rPr>
        <w:t xml:space="preserve">There is a close relationship between the </w:t>
      </w:r>
      <w:r w:rsidR="002241B0">
        <w:rPr>
          <w:iCs/>
        </w:rPr>
        <w:t>c</w:t>
      </w:r>
      <w:r w:rsidRPr="00D45F5E">
        <w:rPr>
          <w:iCs/>
        </w:rPr>
        <w:t>ivil engineering works and internal and external hazard assessments</w:t>
      </w:r>
      <w:r w:rsidR="00D07AFA" w:rsidRPr="00D45F5E">
        <w:rPr>
          <w:iCs/>
        </w:rPr>
        <w:t xml:space="preserve">, as these develop </w:t>
      </w:r>
      <w:r w:rsidR="008B0232" w:rsidRPr="00D45F5E">
        <w:rPr>
          <w:iCs/>
        </w:rPr>
        <w:t xml:space="preserve">some of </w:t>
      </w:r>
      <w:r w:rsidR="00D07AFA" w:rsidRPr="00283386">
        <w:rPr>
          <w:iCs/>
        </w:rPr>
        <w:t xml:space="preserve">the loading functions against which civil structures provide resistance. Civil </w:t>
      </w:r>
      <w:r w:rsidR="002241B0">
        <w:rPr>
          <w:iCs/>
        </w:rPr>
        <w:t>e</w:t>
      </w:r>
      <w:r w:rsidR="00D07AFA" w:rsidRPr="00283386">
        <w:rPr>
          <w:iCs/>
        </w:rPr>
        <w:t xml:space="preserve">ngineering assessment looks to </w:t>
      </w:r>
      <w:r w:rsidR="00BF0DBB" w:rsidRPr="00283386">
        <w:rPr>
          <w:iCs/>
        </w:rPr>
        <w:t>seek assurance that</w:t>
      </w:r>
      <w:r w:rsidR="00D07AFA" w:rsidRPr="004828E5">
        <w:rPr>
          <w:iCs/>
        </w:rPr>
        <w:t xml:space="preserve"> the hazard and fault loading functions (including internal fire) are appropriate</w:t>
      </w:r>
      <w:r w:rsidRPr="004828E5">
        <w:rPr>
          <w:iCs/>
        </w:rPr>
        <w:t xml:space="preserve"> upstream of the civil engineering design</w:t>
      </w:r>
      <w:r w:rsidR="00D07AFA" w:rsidRPr="004828E5">
        <w:rPr>
          <w:iCs/>
        </w:rPr>
        <w:t xml:space="preserve">. </w:t>
      </w:r>
    </w:p>
    <w:p w14:paraId="56B092C1" w14:textId="38FAEC2C" w:rsidR="00626355" w:rsidRDefault="00D07AFA" w:rsidP="008F3139">
      <w:pPr>
        <w:pStyle w:val="TSNumberedParagraph1"/>
        <w:rPr>
          <w:iCs/>
        </w:rPr>
      </w:pPr>
      <w:r w:rsidRPr="004828E5">
        <w:rPr>
          <w:iCs/>
        </w:rPr>
        <w:t>Th</w:t>
      </w:r>
      <w:r w:rsidR="008B0232" w:rsidRPr="004828E5">
        <w:rPr>
          <w:iCs/>
        </w:rPr>
        <w:t>e</w:t>
      </w:r>
      <w:r w:rsidRPr="004828E5">
        <w:rPr>
          <w:iCs/>
        </w:rPr>
        <w:t xml:space="preserve"> Inspector </w:t>
      </w:r>
      <w:r w:rsidR="00B579FF" w:rsidRPr="004828E5">
        <w:rPr>
          <w:iCs/>
        </w:rPr>
        <w:t>may wish to</w:t>
      </w:r>
      <w:r w:rsidRPr="004828E5">
        <w:rPr>
          <w:iCs/>
        </w:rPr>
        <w:t xml:space="preserve"> </w:t>
      </w:r>
      <w:r w:rsidR="00A07E25">
        <w:rPr>
          <w:iCs/>
        </w:rPr>
        <w:t>seek assurance</w:t>
      </w:r>
      <w:r w:rsidR="00051607" w:rsidRPr="00C934CA">
        <w:rPr>
          <w:iCs/>
        </w:rPr>
        <w:t xml:space="preserve"> that </w:t>
      </w:r>
      <w:r w:rsidRPr="00C934CA">
        <w:rPr>
          <w:iCs/>
        </w:rPr>
        <w:t xml:space="preserve">these loadings and functions cater for </w:t>
      </w:r>
      <w:r w:rsidR="000C666E" w:rsidRPr="008532F8">
        <w:rPr>
          <w:iCs/>
        </w:rPr>
        <w:t xml:space="preserve">the various </w:t>
      </w:r>
      <w:r w:rsidRPr="008532F8">
        <w:rPr>
          <w:iCs/>
        </w:rPr>
        <w:t>stages of the life of the site and are included into the design and designed for appropriately, considering the required serviceability state of SSCs post-event.</w:t>
      </w:r>
      <w:r w:rsidR="00F13FA7" w:rsidRPr="00EB7781">
        <w:rPr>
          <w:iCs/>
        </w:rPr>
        <w:t xml:space="preserve"> </w:t>
      </w:r>
    </w:p>
    <w:p w14:paraId="1785F3EE" w14:textId="77777777" w:rsidR="0047131C" w:rsidRDefault="00833CBA" w:rsidP="008F3139">
      <w:pPr>
        <w:pStyle w:val="TSNumberedParagraph1"/>
        <w:rPr>
          <w:iCs/>
        </w:rPr>
      </w:pPr>
      <w:r w:rsidRPr="00EB7781">
        <w:rPr>
          <w:iCs/>
        </w:rPr>
        <w:t xml:space="preserve">The Inspector is reminded of the importance of this </w:t>
      </w:r>
      <w:r w:rsidR="00051607" w:rsidRPr="00EB7781">
        <w:rPr>
          <w:iCs/>
        </w:rPr>
        <w:t>interf</w:t>
      </w:r>
      <w:r w:rsidR="00051607" w:rsidRPr="00D93F34">
        <w:rPr>
          <w:iCs/>
        </w:rPr>
        <w:t>ace</w:t>
      </w:r>
      <w:r w:rsidR="00051607" w:rsidRPr="00CF4CA7">
        <w:rPr>
          <w:iCs/>
        </w:rPr>
        <w:t xml:space="preserve"> between the disci</w:t>
      </w:r>
      <w:r w:rsidR="00051607" w:rsidRPr="009D4AA2">
        <w:rPr>
          <w:iCs/>
        </w:rPr>
        <w:t>plines</w:t>
      </w:r>
      <w:r w:rsidRPr="00522E9F">
        <w:rPr>
          <w:iCs/>
        </w:rPr>
        <w:t>,</w:t>
      </w:r>
      <w:r w:rsidR="00051607" w:rsidRPr="00580590">
        <w:rPr>
          <w:iCs/>
        </w:rPr>
        <w:t xml:space="preserve"> to understand each sam</w:t>
      </w:r>
      <w:r w:rsidR="00051607" w:rsidRPr="004D4284">
        <w:rPr>
          <w:iCs/>
        </w:rPr>
        <w:t>ple scope</w:t>
      </w:r>
      <w:r w:rsidRPr="00411479">
        <w:rPr>
          <w:iCs/>
        </w:rPr>
        <w:t>. C</w:t>
      </w:r>
      <w:r w:rsidR="00051607" w:rsidRPr="00530B31">
        <w:rPr>
          <w:iCs/>
        </w:rPr>
        <w:t>ross</w:t>
      </w:r>
      <w:r w:rsidRPr="00530B31">
        <w:rPr>
          <w:iCs/>
        </w:rPr>
        <w:t>-</w:t>
      </w:r>
      <w:r w:rsidR="00051607" w:rsidRPr="00530B31">
        <w:rPr>
          <w:iCs/>
        </w:rPr>
        <w:t xml:space="preserve">cutting </w:t>
      </w:r>
      <w:r w:rsidR="00BF47D7" w:rsidRPr="00C47B7F">
        <w:rPr>
          <w:iCs/>
        </w:rPr>
        <w:t xml:space="preserve">case studies </w:t>
      </w:r>
      <w:r w:rsidRPr="00C47B7F">
        <w:rPr>
          <w:iCs/>
        </w:rPr>
        <w:t xml:space="preserve">or engagements </w:t>
      </w:r>
      <w:r w:rsidR="00BF47D7" w:rsidRPr="00C47B7F">
        <w:rPr>
          <w:iCs/>
        </w:rPr>
        <w:t xml:space="preserve">can be </w:t>
      </w:r>
      <w:r w:rsidRPr="00C47B7F">
        <w:rPr>
          <w:iCs/>
        </w:rPr>
        <w:t xml:space="preserve">employed </w:t>
      </w:r>
      <w:r w:rsidR="00BF47D7" w:rsidRPr="00C47B7F">
        <w:rPr>
          <w:iCs/>
        </w:rPr>
        <w:t xml:space="preserve">to </w:t>
      </w:r>
      <w:r w:rsidR="007C4E48">
        <w:rPr>
          <w:iCs/>
        </w:rPr>
        <w:t xml:space="preserve">explore </w:t>
      </w:r>
      <w:r w:rsidRPr="0060612D">
        <w:rPr>
          <w:iCs/>
        </w:rPr>
        <w:t xml:space="preserve">the </w:t>
      </w:r>
      <w:r w:rsidR="00BF47D7" w:rsidRPr="0060612D">
        <w:rPr>
          <w:iCs/>
        </w:rPr>
        <w:t>demonstrat</w:t>
      </w:r>
      <w:r w:rsidRPr="0060612D">
        <w:rPr>
          <w:iCs/>
        </w:rPr>
        <w:t>ion of</w:t>
      </w:r>
      <w:r w:rsidR="00BF47D7" w:rsidRPr="0060612D">
        <w:rPr>
          <w:iCs/>
        </w:rPr>
        <w:t xml:space="preserve"> the robustness of hazard assessment</w:t>
      </w:r>
      <w:r w:rsidRPr="0060612D">
        <w:rPr>
          <w:iCs/>
        </w:rPr>
        <w:t>s</w:t>
      </w:r>
      <w:r w:rsidR="00BF47D7" w:rsidRPr="0060612D">
        <w:rPr>
          <w:iCs/>
        </w:rPr>
        <w:t xml:space="preserve"> and </w:t>
      </w:r>
      <w:r w:rsidRPr="00B21124">
        <w:rPr>
          <w:iCs/>
        </w:rPr>
        <w:t xml:space="preserve">the </w:t>
      </w:r>
      <w:r w:rsidRPr="00B06510">
        <w:rPr>
          <w:iCs/>
        </w:rPr>
        <w:t>subsequent</w:t>
      </w:r>
      <w:r w:rsidRPr="00416388">
        <w:rPr>
          <w:iCs/>
        </w:rPr>
        <w:t xml:space="preserve"> </w:t>
      </w:r>
      <w:r w:rsidR="00BF47D7" w:rsidRPr="00443690">
        <w:rPr>
          <w:iCs/>
        </w:rPr>
        <w:t xml:space="preserve">flow </w:t>
      </w:r>
      <w:r w:rsidR="00BF47D7" w:rsidRPr="007F0416">
        <w:rPr>
          <w:iCs/>
        </w:rPr>
        <w:t>of info</w:t>
      </w:r>
      <w:r w:rsidR="00BF47D7" w:rsidRPr="00F37C8F">
        <w:rPr>
          <w:iCs/>
        </w:rPr>
        <w:t xml:space="preserve">rmation into </w:t>
      </w:r>
      <w:r w:rsidR="00BF47D7" w:rsidRPr="00B134EC">
        <w:rPr>
          <w:iCs/>
        </w:rPr>
        <w:t xml:space="preserve">civil </w:t>
      </w:r>
      <w:r w:rsidR="00BF47D7" w:rsidRPr="00327057">
        <w:rPr>
          <w:iCs/>
        </w:rPr>
        <w:t>engineering design.</w:t>
      </w:r>
      <w:r w:rsidR="00051607" w:rsidRPr="001918B6">
        <w:rPr>
          <w:iCs/>
        </w:rPr>
        <w:t xml:space="preserve"> </w:t>
      </w:r>
    </w:p>
    <w:p w14:paraId="1524BED0" w14:textId="282D4A10" w:rsidR="00D45F5E" w:rsidRPr="00EE4E6D" w:rsidRDefault="00D45F5E" w:rsidP="008F3139">
      <w:pPr>
        <w:pStyle w:val="TSNumberedParagraph1"/>
        <w:rPr>
          <w:iCs/>
        </w:rPr>
      </w:pPr>
      <w:r w:rsidRPr="001918B6">
        <w:rPr>
          <w:iCs/>
        </w:rPr>
        <w:t>Further</w:t>
      </w:r>
      <w:r w:rsidRPr="00B93F11">
        <w:rPr>
          <w:iCs/>
        </w:rPr>
        <w:t xml:space="preserve">, the Inspector is </w:t>
      </w:r>
      <w:r w:rsidR="00EE4E6D">
        <w:rPr>
          <w:iCs/>
        </w:rPr>
        <w:t xml:space="preserve">specifically </w:t>
      </w:r>
      <w:r w:rsidRPr="00EE4E6D">
        <w:rPr>
          <w:iCs/>
        </w:rPr>
        <w:t>reminded of the benefit of joint engagements with ex</w:t>
      </w:r>
      <w:r w:rsidRPr="00283386">
        <w:rPr>
          <w:iCs/>
        </w:rPr>
        <w:t>ternal</w:t>
      </w:r>
      <w:r w:rsidRPr="004828E5">
        <w:rPr>
          <w:iCs/>
        </w:rPr>
        <w:t xml:space="preserve"> hazards when assessing geotechnical information required in order to support the civil engineering works design</w:t>
      </w:r>
      <w:r w:rsidR="004A589C">
        <w:rPr>
          <w:iCs/>
        </w:rPr>
        <w:t>. This information</w:t>
      </w:r>
      <w:r w:rsidR="00476196">
        <w:rPr>
          <w:iCs/>
        </w:rPr>
        <w:t xml:space="preserve"> may</w:t>
      </w:r>
      <w:r w:rsidRPr="004828E5">
        <w:rPr>
          <w:iCs/>
        </w:rPr>
        <w:t xml:space="preserve"> have been obtained to derive the applicable seismic hazard as part of external hazard assessments</w:t>
      </w:r>
      <w:r w:rsidR="00EE4E6D">
        <w:rPr>
          <w:iCs/>
        </w:rPr>
        <w:t>.</w:t>
      </w:r>
    </w:p>
    <w:p w14:paraId="57304FE6" w14:textId="54FCBCB7" w:rsidR="00D07AFA" w:rsidRPr="00CC121D" w:rsidRDefault="00D07AFA" w:rsidP="00D07AFA">
      <w:pPr>
        <w:pStyle w:val="TSNumberedParagraph1"/>
        <w:rPr>
          <w:iCs/>
        </w:rPr>
      </w:pPr>
      <w:r w:rsidRPr="00CC121D">
        <w:rPr>
          <w:iCs/>
        </w:rPr>
        <w:t>Other common areas of interest can overlap in assessment. Topics related to civil engineering assessments are SAPs and associated guidance includ</w:t>
      </w:r>
      <w:r w:rsidR="00690FC2">
        <w:rPr>
          <w:iCs/>
        </w:rPr>
        <w:t>ing</w:t>
      </w:r>
      <w:r w:rsidRPr="00CC121D">
        <w:rPr>
          <w:iCs/>
        </w:rPr>
        <w:t>:</w:t>
      </w:r>
    </w:p>
    <w:p w14:paraId="57304FE7" w14:textId="5C915516" w:rsidR="00D07AFA" w:rsidRPr="00CC121D" w:rsidRDefault="00D07AFA" w:rsidP="00D07AFA">
      <w:pPr>
        <w:numPr>
          <w:ilvl w:val="2"/>
          <w:numId w:val="10"/>
        </w:numPr>
        <w:spacing w:after="240"/>
        <w:ind w:left="1418"/>
        <w:contextualSpacing/>
      </w:pPr>
      <w:r w:rsidRPr="00CC121D">
        <w:t>Fault Studies, PSA and Severe Accident Analysis that are the basis for the fault scenarios that give rise to the hazards, including shielding considerations, understanding the derivation of hazard</w:t>
      </w:r>
      <w:r w:rsidR="008B0232">
        <w:t xml:space="preserve"> loadings for SSCs to withstand</w:t>
      </w:r>
      <w:r w:rsidR="007C2E47">
        <w:t>.</w:t>
      </w:r>
    </w:p>
    <w:p w14:paraId="57304FE8" w14:textId="5A04B1D2" w:rsidR="00D07AFA" w:rsidRPr="00CC121D" w:rsidRDefault="00D07AFA" w:rsidP="00D07AFA">
      <w:pPr>
        <w:numPr>
          <w:ilvl w:val="2"/>
          <w:numId w:val="10"/>
        </w:numPr>
        <w:spacing w:after="240"/>
        <w:ind w:left="1418"/>
        <w:contextualSpacing/>
      </w:pPr>
      <w:r w:rsidRPr="00CC121D">
        <w:t>Structural Integrity, considering welding and leak-tightness requirements, embedded items, penetrations, construc</w:t>
      </w:r>
      <w:r w:rsidR="008B0232">
        <w:t>tion sequencing and methodology</w:t>
      </w:r>
      <w:r w:rsidR="00923E62">
        <w:t>.</w:t>
      </w:r>
    </w:p>
    <w:p w14:paraId="666A3D6B" w14:textId="21B2B6D1" w:rsidR="00CC2DF4" w:rsidRDefault="00D07AFA" w:rsidP="00D07AFA">
      <w:pPr>
        <w:numPr>
          <w:ilvl w:val="2"/>
          <w:numId w:val="10"/>
        </w:numPr>
        <w:spacing w:after="240"/>
        <w:ind w:left="1418"/>
        <w:contextualSpacing/>
      </w:pPr>
      <w:r w:rsidRPr="00CC121D">
        <w:t>Conventional Health and Safety and Human Factors disciplines when assessing design constructability and construction or decommissioning task analysis</w:t>
      </w:r>
      <w:r w:rsidR="00CC2DF4">
        <w:t>.</w:t>
      </w:r>
    </w:p>
    <w:p w14:paraId="1CE97E91" w14:textId="32C48B1C" w:rsidR="0069395C" w:rsidRDefault="00CC2DF4" w:rsidP="00D07AFA">
      <w:pPr>
        <w:numPr>
          <w:ilvl w:val="2"/>
          <w:numId w:val="10"/>
        </w:numPr>
        <w:spacing w:after="240"/>
        <w:ind w:left="1418"/>
        <w:contextualSpacing/>
      </w:pPr>
      <w:r>
        <w:t xml:space="preserve">Joint inspections when assessing work that falls under specific </w:t>
      </w:r>
      <w:r w:rsidR="00D07AFA" w:rsidRPr="00CC121D">
        <w:t>CDM 2015 considerations</w:t>
      </w:r>
      <w:r w:rsidR="001F64F5">
        <w:t xml:space="preserve"> </w:t>
      </w:r>
      <w:r w:rsidR="00D07AFA" w:rsidRPr="00CC121D">
        <w:t xml:space="preserve">when identifying </w:t>
      </w:r>
      <w:r w:rsidR="00C0499C">
        <w:t xml:space="preserve">roles </w:t>
      </w:r>
      <w:r w:rsidR="00D07AFA" w:rsidRPr="00CC121D">
        <w:t xml:space="preserve">(or confirming the absence of) </w:t>
      </w:r>
      <w:r w:rsidR="00107F7D">
        <w:t xml:space="preserve">and </w:t>
      </w:r>
      <w:r w:rsidR="0069395C">
        <w:t xml:space="preserve">CDM 2015 </w:t>
      </w:r>
      <w:r w:rsidR="00C0499C">
        <w:t>arrangements</w:t>
      </w:r>
      <w:r w:rsidR="00D07AFA" w:rsidRPr="00CC121D">
        <w:t xml:space="preserve">. </w:t>
      </w:r>
    </w:p>
    <w:p w14:paraId="48449C94" w14:textId="0816C7E6" w:rsidR="00C0499C" w:rsidRDefault="00C0499C" w:rsidP="00D07AFA">
      <w:pPr>
        <w:numPr>
          <w:ilvl w:val="2"/>
          <w:numId w:val="10"/>
        </w:numPr>
        <w:spacing w:after="240"/>
        <w:ind w:left="1418"/>
        <w:contextualSpacing/>
      </w:pPr>
      <w:r>
        <w:t>Joint inspections with conventional safety when assessing t</w:t>
      </w:r>
      <w:r w:rsidRPr="00CC121D">
        <w:t>emporary works activities that have the potential to impact on permanent nuclear safety significant civil engineering structures</w:t>
      </w:r>
      <w:r w:rsidR="006730B8">
        <w:t>.</w:t>
      </w:r>
    </w:p>
    <w:p w14:paraId="57304FE9" w14:textId="0D6238B7" w:rsidR="00D07AFA" w:rsidRPr="00CC121D" w:rsidRDefault="00302D27" w:rsidP="00D07AFA">
      <w:pPr>
        <w:numPr>
          <w:ilvl w:val="2"/>
          <w:numId w:val="10"/>
        </w:numPr>
        <w:spacing w:after="240"/>
        <w:ind w:left="1418"/>
        <w:contextualSpacing/>
      </w:pPr>
      <w:r>
        <w:t xml:space="preserve">Joint inspections with conventional safety when assessing </w:t>
      </w:r>
      <w:r w:rsidR="0069395C">
        <w:t xml:space="preserve">the exit routes for personnel and internal hazards </w:t>
      </w:r>
      <w:r w:rsidR="006730B8">
        <w:t>when considering</w:t>
      </w:r>
      <w:r w:rsidR="008F1FD5">
        <w:t xml:space="preserve"> potential</w:t>
      </w:r>
      <w:r w:rsidR="0069395C">
        <w:t xml:space="preserve"> fire damage to the structure</w:t>
      </w:r>
      <w:r w:rsidR="008F1FD5">
        <w:t>.</w:t>
      </w:r>
    </w:p>
    <w:p w14:paraId="57304FEA" w14:textId="73C9B78A" w:rsidR="00D07AFA" w:rsidRPr="00CC121D" w:rsidRDefault="00D07AFA" w:rsidP="00D07AFA">
      <w:pPr>
        <w:numPr>
          <w:ilvl w:val="2"/>
          <w:numId w:val="10"/>
        </w:numPr>
        <w:spacing w:after="240"/>
        <w:ind w:left="1418"/>
        <w:contextualSpacing/>
      </w:pPr>
      <w:r w:rsidRPr="00CC121D">
        <w:t>Mechanical Engineering, when civil engineering design includes metal components and structures</w:t>
      </w:r>
      <w:r w:rsidR="00DD21B1">
        <w:t xml:space="preserve"> or</w:t>
      </w:r>
      <w:r w:rsidRPr="00CC121D">
        <w:t xml:space="preserve"> when civil engineering design supports mechanical equipment e.g. crane supports and base structures, floor response spectra for the mechanical equipment to resist including equipment racking, embedment plates for pipe supports or cable trays, penetrations for equipment in both design and retrospective fit post structure construction, boiler supports and dampers, duct hangars</w:t>
      </w:r>
      <w:r w:rsidR="008B0232">
        <w:t xml:space="preserve"> and other supporting equipment</w:t>
      </w:r>
      <w:r w:rsidR="008F1FD5">
        <w:t>.</w:t>
      </w:r>
    </w:p>
    <w:p w14:paraId="57304FEB" w14:textId="0578EBFF" w:rsidR="00D07AFA" w:rsidRPr="00CC121D" w:rsidRDefault="00D07AFA" w:rsidP="00D07AFA">
      <w:pPr>
        <w:numPr>
          <w:ilvl w:val="2"/>
          <w:numId w:val="10"/>
        </w:numPr>
        <w:spacing w:after="240"/>
        <w:ind w:left="1418"/>
        <w:contextualSpacing/>
      </w:pPr>
      <w:r w:rsidRPr="00CC121D">
        <w:t>Layout, including a collation of the requirements upon the structure that the civil engineering design accommodates, designing structures to withstand loading and provide support, shielding</w:t>
      </w:r>
      <w:r w:rsidR="00F5014C">
        <w:t xml:space="preserve"> and/or containment/confinement</w:t>
      </w:r>
      <w:r w:rsidR="008F1FD5">
        <w:t>.</w:t>
      </w:r>
    </w:p>
    <w:p w14:paraId="57304FEC" w14:textId="3ADD634A" w:rsidR="00D07AFA" w:rsidRPr="00CC121D" w:rsidRDefault="00D07AFA" w:rsidP="00D07AFA">
      <w:pPr>
        <w:numPr>
          <w:ilvl w:val="2"/>
          <w:numId w:val="10"/>
        </w:numPr>
        <w:spacing w:after="240"/>
        <w:ind w:left="1418"/>
        <w:contextualSpacing/>
      </w:pPr>
      <w:r w:rsidRPr="00CC121D">
        <w:t xml:space="preserve">Radioactive </w:t>
      </w:r>
      <w:r w:rsidR="006204C3">
        <w:t>materials and radioactive waste</w:t>
      </w:r>
      <w:r w:rsidR="00F5014C">
        <w:t>,</w:t>
      </w:r>
      <w:r w:rsidRPr="00CC121D">
        <w:t xml:space="preserve"> when designing facilities that process or store nuclear</w:t>
      </w:r>
      <w:r w:rsidR="006204C3">
        <w:t xml:space="preserve"> materials</w:t>
      </w:r>
      <w:r w:rsidRPr="00CC121D">
        <w:t>, or for assessing earthworks within potentially contaminated ground</w:t>
      </w:r>
      <w:r w:rsidR="008F1FD5">
        <w:t>.</w:t>
      </w:r>
    </w:p>
    <w:p w14:paraId="57304FED" w14:textId="2AFDA73F" w:rsidR="00D07AFA" w:rsidRPr="00CC121D" w:rsidRDefault="00D07AFA" w:rsidP="00D07AFA">
      <w:pPr>
        <w:numPr>
          <w:ilvl w:val="2"/>
          <w:numId w:val="10"/>
        </w:numPr>
        <w:spacing w:after="240"/>
        <w:ind w:left="1418"/>
        <w:contextualSpacing/>
      </w:pPr>
      <w:r w:rsidRPr="00CC121D">
        <w:t>Decommissioning</w:t>
      </w:r>
      <w:r w:rsidR="00F5014C">
        <w:t>,</w:t>
      </w:r>
      <w:r w:rsidRPr="00CC121D">
        <w:t xml:space="preserve"> regarding site design life civil engineering requirements and design life for sea defences taking into consideration waste storage timescales, or requirements for civil engineering decommissioning activities to be part of the funded decommissioning plan in li</w:t>
      </w:r>
      <w:r w:rsidR="00F5014C">
        <w:t>ne with government policy [</w:t>
      </w:r>
      <w:r w:rsidR="00806848">
        <w:t>4</w:t>
      </w:r>
      <w:r w:rsidR="001C6AC6">
        <w:t>5</w:t>
      </w:r>
      <w:r w:rsidR="00F5014C">
        <w:t>]</w:t>
      </w:r>
      <w:r w:rsidR="008F1FD5">
        <w:t>.</w:t>
      </w:r>
    </w:p>
    <w:p w14:paraId="57304FEE" w14:textId="06086BB6" w:rsidR="00D07AFA" w:rsidRPr="00CC121D" w:rsidRDefault="00D07AFA" w:rsidP="00D07AFA">
      <w:pPr>
        <w:numPr>
          <w:ilvl w:val="2"/>
          <w:numId w:val="10"/>
        </w:numPr>
        <w:spacing w:after="240"/>
        <w:ind w:left="1418"/>
        <w:contextualSpacing/>
      </w:pPr>
      <w:r w:rsidRPr="00CC121D">
        <w:t xml:space="preserve">Organisational Capability, when considering the adequacy and competence of the Intelligent Customer and Design Authority functions, site design teams and construction workmanship and supervision, </w:t>
      </w:r>
      <w:proofErr w:type="spellStart"/>
      <w:r w:rsidR="009E3653">
        <w:t>dutyholder</w:t>
      </w:r>
      <w:proofErr w:type="spellEnd"/>
      <w:r w:rsidR="009E3653">
        <w:t xml:space="preserve"> </w:t>
      </w:r>
      <w:r w:rsidRPr="00CC121D">
        <w:t xml:space="preserve">site surveillance </w:t>
      </w:r>
      <w:r w:rsidR="009E3653">
        <w:t xml:space="preserve">arrangements </w:t>
      </w:r>
      <w:r w:rsidRPr="00CC121D">
        <w:t>during construction and EIMT works, or when assessing decision making processes</w:t>
      </w:r>
      <w:r w:rsidR="00F5014C">
        <w:t>,</w:t>
      </w:r>
      <w:r w:rsidRPr="00CC121D">
        <w:t xml:space="preserve"> e.g. optioneering, ALARP decisions, design changes and modifications, use of RGP. Considerations of training for personnel, processes and arrangements to manage </w:t>
      </w:r>
      <w:r w:rsidR="007D2919">
        <w:t>competence</w:t>
      </w:r>
      <w:r w:rsidRPr="00CC121D">
        <w:t>, nuclear baselines, learning organisation and ‘challenge culture’, leadership for safety and quality reviews, interfaces with other departments including sa</w:t>
      </w:r>
      <w:r w:rsidR="00106EF8">
        <w:t>fety case production or updates,</w:t>
      </w:r>
      <w:r w:rsidR="00D95AE6">
        <w:t xml:space="preserve"> levels of </w:t>
      </w:r>
      <w:r w:rsidR="00682B21">
        <w:t>qualification and experience</w:t>
      </w:r>
      <w:r w:rsidR="00D95AE6">
        <w:t xml:space="preserve"> required for a person to be considered competent and </w:t>
      </w:r>
      <w:r w:rsidR="00682B21">
        <w:t>suitably qualified and experienced personnel (</w:t>
      </w:r>
      <w:r w:rsidR="00D95AE6">
        <w:t>SQEP</w:t>
      </w:r>
      <w:r w:rsidR="00682B21">
        <w:t>)</w:t>
      </w:r>
      <w:r w:rsidR="00D95AE6">
        <w:t>.</w:t>
      </w:r>
    </w:p>
    <w:p w14:paraId="57304FEF" w14:textId="049D2F65" w:rsidR="00D07AFA" w:rsidRPr="00CC121D" w:rsidRDefault="00D07AFA" w:rsidP="00D07AFA">
      <w:pPr>
        <w:numPr>
          <w:ilvl w:val="2"/>
          <w:numId w:val="10"/>
        </w:numPr>
        <w:spacing w:after="240"/>
        <w:ind w:left="1418"/>
        <w:contextualSpacing/>
      </w:pPr>
      <w:r w:rsidRPr="00CC121D">
        <w:t>Supply Chain, when considering the construction or work of subcontractors, and the adequacy of the Intelligent Customer function when procuring items or services, offsite manufacture of items delivered to and used on a licensed site, site supervision and surveillance activities, welding and other construction workmanship, design and other consultant servi</w:t>
      </w:r>
      <w:r w:rsidR="00106EF8">
        <w:t>ces for civil engineering works</w:t>
      </w:r>
      <w:r w:rsidR="00A533AB">
        <w:t>.</w:t>
      </w:r>
    </w:p>
    <w:p w14:paraId="57304FF0" w14:textId="77777777" w:rsidR="00D07AFA" w:rsidRPr="00CC121D" w:rsidRDefault="00D07AFA" w:rsidP="00D07AFA">
      <w:pPr>
        <w:numPr>
          <w:ilvl w:val="2"/>
          <w:numId w:val="10"/>
        </w:numPr>
        <w:spacing w:after="240"/>
        <w:ind w:left="1418"/>
        <w:contextualSpacing/>
      </w:pPr>
      <w:r w:rsidRPr="00CC121D">
        <w:t>Quality Management and Assurance, when considering evidence of acceptance of work undertaken, records for construction, updates or revisions to information post-decisions regarding design changes or modifications, retention of information for the operation and decommissioning phases, including storage</w:t>
      </w:r>
      <w:r w:rsidR="00106EF8">
        <w:t xml:space="preserve"> and access to such information,</w:t>
      </w:r>
    </w:p>
    <w:p w14:paraId="57304FF1" w14:textId="52FF7D8F" w:rsidR="00D07AFA" w:rsidRPr="00CC121D" w:rsidRDefault="00D07AFA" w:rsidP="00D07AFA">
      <w:pPr>
        <w:numPr>
          <w:ilvl w:val="2"/>
          <w:numId w:val="10"/>
        </w:numPr>
        <w:spacing w:after="240"/>
        <w:ind w:left="1418"/>
        <w:contextualSpacing/>
      </w:pPr>
      <w:r w:rsidRPr="00CC121D">
        <w:t xml:space="preserve">Security, when considering design information and site security provisions, where civil engineering structures </w:t>
      </w:r>
      <w:r w:rsidR="00106EF8">
        <w:t>support or provide protection or</w:t>
      </w:r>
      <w:r w:rsidRPr="00CC121D">
        <w:t xml:space="preserve"> withstand</w:t>
      </w:r>
      <w:r w:rsidR="00106EF8">
        <w:t>. S</w:t>
      </w:r>
      <w:r w:rsidRPr="00CC121D">
        <w:t>ecurity provisions including aircraft crash or security fencing</w:t>
      </w:r>
      <w:r w:rsidR="00106EF8">
        <w:t>. V</w:t>
      </w:r>
      <w:r w:rsidRPr="00CC121D">
        <w:t>ulnerabilities during construct</w:t>
      </w:r>
      <w:r w:rsidR="00106EF8">
        <w:t>ion and within the supply chain</w:t>
      </w:r>
      <w:r w:rsidR="00A533AB">
        <w:t>.</w:t>
      </w:r>
    </w:p>
    <w:p w14:paraId="57304FF2" w14:textId="77777777" w:rsidR="00D07AFA" w:rsidRPr="002C3302" w:rsidRDefault="00D07AFA" w:rsidP="00D07AFA">
      <w:pPr>
        <w:numPr>
          <w:ilvl w:val="2"/>
          <w:numId w:val="10"/>
        </w:numPr>
        <w:spacing w:after="240"/>
        <w:ind w:left="1418"/>
        <w:contextualSpacing/>
      </w:pPr>
      <w:r w:rsidRPr="00CC121D">
        <w:t xml:space="preserve">Safeguards, when considering unauthorised access to construction records and other </w:t>
      </w:r>
      <w:r w:rsidRPr="002C3302">
        <w:t>information retained or stored, use and storage of information with electronic tools such as Building Information Models or analysis tools.</w:t>
      </w:r>
    </w:p>
    <w:p w14:paraId="57304FF3" w14:textId="77777777" w:rsidR="00D07AFA" w:rsidRPr="00CC121D" w:rsidRDefault="00BF0DBB" w:rsidP="00D07AFA">
      <w:pPr>
        <w:pStyle w:val="TSNumberedParagraph1"/>
        <w:rPr>
          <w:iCs/>
        </w:rPr>
      </w:pPr>
      <w:r>
        <w:rPr>
          <w:iCs/>
        </w:rPr>
        <w:t xml:space="preserve">The Inspector should consider, </w:t>
      </w:r>
      <w:r w:rsidR="00D07AFA" w:rsidRPr="002C3302">
        <w:rPr>
          <w:iCs/>
        </w:rPr>
        <w:t>identify and understand the nature of scope overlap with other disciplines</w:t>
      </w:r>
      <w:r>
        <w:rPr>
          <w:iCs/>
        </w:rPr>
        <w:t xml:space="preserve"> during an assessment</w:t>
      </w:r>
      <w:r w:rsidR="00D07AFA" w:rsidRPr="002C3302">
        <w:rPr>
          <w:iCs/>
        </w:rPr>
        <w:t xml:space="preserve">. </w:t>
      </w:r>
      <w:r>
        <w:rPr>
          <w:iCs/>
        </w:rPr>
        <w:t>The Inspector should review interfaces</w:t>
      </w:r>
      <w:r w:rsidR="00D07AFA" w:rsidRPr="002C3302">
        <w:rPr>
          <w:iCs/>
        </w:rPr>
        <w:t xml:space="preserve"> throughout an assessment to establish where new and relevant interfaces emerge as the design develops, </w:t>
      </w:r>
      <w:r>
        <w:rPr>
          <w:iCs/>
        </w:rPr>
        <w:t xml:space="preserve">and </w:t>
      </w:r>
      <w:r w:rsidR="00D07AFA" w:rsidRPr="002C3302">
        <w:rPr>
          <w:iCs/>
        </w:rPr>
        <w:t xml:space="preserve">to </w:t>
      </w:r>
      <w:r>
        <w:rPr>
          <w:iCs/>
        </w:rPr>
        <w:t xml:space="preserve">check that none </w:t>
      </w:r>
      <w:r w:rsidR="00D07AFA" w:rsidRPr="00CC121D">
        <w:rPr>
          <w:iCs/>
        </w:rPr>
        <w:t>have been overlooked.</w:t>
      </w:r>
    </w:p>
    <w:p w14:paraId="30E96901" w14:textId="77777777" w:rsidR="009E3653" w:rsidRDefault="00D07AFA" w:rsidP="00D07AFA">
      <w:pPr>
        <w:pStyle w:val="TSNumberedParagraph1"/>
        <w:rPr>
          <w:iCs/>
        </w:rPr>
      </w:pPr>
      <w:r w:rsidRPr="00CC121D">
        <w:rPr>
          <w:iCs/>
        </w:rPr>
        <w:t xml:space="preserve">The Inspector’s sampling approach may seek depth where others do not, and the Inspector may identify an issue that interfaces with, but falls outside the scope of, civil engineering, but which also falls outside the sample scope of another discipline. </w:t>
      </w:r>
    </w:p>
    <w:p w14:paraId="57304FF4" w14:textId="0C18DD2B" w:rsidR="00D07AFA" w:rsidRPr="008D069F" w:rsidRDefault="00D07AFA" w:rsidP="00D07AFA">
      <w:pPr>
        <w:pStyle w:val="TSNumberedParagraph1"/>
        <w:rPr>
          <w:iCs/>
        </w:rPr>
      </w:pPr>
      <w:r w:rsidRPr="00CC121D">
        <w:rPr>
          <w:iCs/>
        </w:rPr>
        <w:t xml:space="preserve">At an early stage in the assessment planning, the Inspector should agree interfaces with </w:t>
      </w:r>
      <w:r w:rsidRPr="008D069F">
        <w:rPr>
          <w:iCs/>
        </w:rPr>
        <w:t xml:space="preserve">other planned assessment scopes, with engagement of the </w:t>
      </w:r>
      <w:r w:rsidR="002C3302" w:rsidRPr="008D069F">
        <w:rPr>
          <w:iCs/>
        </w:rPr>
        <w:t>Project</w:t>
      </w:r>
      <w:r w:rsidRPr="008D069F">
        <w:rPr>
          <w:iCs/>
        </w:rPr>
        <w:t xml:space="preserve"> </w:t>
      </w:r>
      <w:r w:rsidR="002C3302" w:rsidRPr="008D069F">
        <w:rPr>
          <w:iCs/>
        </w:rPr>
        <w:t>or Lead Inspector</w:t>
      </w:r>
      <w:r w:rsidRPr="008D069F">
        <w:rPr>
          <w:iCs/>
        </w:rPr>
        <w:t>.</w:t>
      </w:r>
    </w:p>
    <w:p w14:paraId="187F10ED" w14:textId="77777777" w:rsidR="009E3653" w:rsidRDefault="009E3653">
      <w:pPr>
        <w:rPr>
          <w:rFonts w:ascii="Arial Bold" w:hAnsi="Arial Bold"/>
          <w:b/>
        </w:rPr>
      </w:pPr>
      <w:bookmarkStart w:id="64" w:name="_Toc43723320"/>
      <w:r>
        <w:br w:type="page"/>
      </w:r>
    </w:p>
    <w:p w14:paraId="57304FF5" w14:textId="62C0C629" w:rsidR="00D07AFA" w:rsidRPr="008D069F" w:rsidRDefault="00D07AFA" w:rsidP="008F3139">
      <w:pPr>
        <w:pStyle w:val="TSHeadingNumbered111"/>
      </w:pPr>
      <w:r w:rsidRPr="008D069F">
        <w:t>External Stakeholder Interfaces</w:t>
      </w:r>
      <w:bookmarkEnd w:id="64"/>
    </w:p>
    <w:p w14:paraId="57304FF6" w14:textId="662671BF" w:rsidR="00D07AFA" w:rsidRPr="00CC121D" w:rsidRDefault="00D07AFA" w:rsidP="00D07AFA">
      <w:pPr>
        <w:pStyle w:val="TSNumberedParagraph1"/>
        <w:rPr>
          <w:iCs/>
        </w:rPr>
      </w:pPr>
      <w:r w:rsidRPr="008D069F">
        <w:rPr>
          <w:iCs/>
        </w:rPr>
        <w:t xml:space="preserve">There are often significant interfaces and overlaps with civil engineering topics and external stakeholders. Appendix G identifies the organisations and public bodies with which ONR have interactions, alongside the duty holder(s). It is </w:t>
      </w:r>
      <w:r w:rsidR="00F6020F">
        <w:rPr>
          <w:iCs/>
        </w:rPr>
        <w:t>a key consideration</w:t>
      </w:r>
      <w:r w:rsidRPr="008D069F">
        <w:rPr>
          <w:iCs/>
        </w:rPr>
        <w:t xml:space="preserve"> for the Inspector to establish the scope of the assessments undertaken by other agencies and agree the ways of working together</w:t>
      </w:r>
      <w:r w:rsidRPr="00CC121D">
        <w:rPr>
          <w:iCs/>
        </w:rPr>
        <w:t xml:space="preserve">. </w:t>
      </w:r>
    </w:p>
    <w:p w14:paraId="57304FF7" w14:textId="77777777" w:rsidR="00D07AFA" w:rsidRPr="00CC121D" w:rsidRDefault="00D07AFA" w:rsidP="00D07AFA">
      <w:pPr>
        <w:pStyle w:val="TSNumberedParagraph1"/>
        <w:rPr>
          <w:iCs/>
        </w:rPr>
      </w:pPr>
      <w:r w:rsidRPr="00CC121D">
        <w:rPr>
          <w:iCs/>
        </w:rPr>
        <w:t>For further information on ONR Regulatory Interfaces, see:</w:t>
      </w:r>
    </w:p>
    <w:p w14:paraId="57304FF8" w14:textId="4B7D7158" w:rsidR="00D07AFA" w:rsidRPr="00CC121D" w:rsidRDefault="008D069F" w:rsidP="00D07AFA">
      <w:pPr>
        <w:numPr>
          <w:ilvl w:val="0"/>
          <w:numId w:val="11"/>
        </w:numPr>
        <w:spacing w:after="240"/>
        <w:ind w:hanging="731"/>
        <w:contextualSpacing/>
      </w:pPr>
      <w:r>
        <w:t>Annex 1 of the SAPs</w:t>
      </w:r>
      <w:r w:rsidR="00B34B95">
        <w:t xml:space="preserve"> [1]</w:t>
      </w:r>
      <w:r>
        <w:t>,</w:t>
      </w:r>
    </w:p>
    <w:p w14:paraId="57304FF9" w14:textId="5D04402C" w:rsidR="00D07AFA" w:rsidRPr="00CC121D" w:rsidRDefault="00FD41DD" w:rsidP="00D07AFA">
      <w:pPr>
        <w:numPr>
          <w:ilvl w:val="0"/>
          <w:numId w:val="11"/>
        </w:numPr>
        <w:spacing w:after="240"/>
        <w:ind w:hanging="731"/>
        <w:contextualSpacing/>
      </w:pPr>
      <w:r>
        <w:rPr>
          <w:iCs/>
        </w:rPr>
        <w:t>ONR-</w:t>
      </w:r>
      <w:r w:rsidR="00D07AFA" w:rsidRPr="00CC121D">
        <w:t xml:space="preserve">NS-INSP-GD-061, </w:t>
      </w:r>
      <w:r>
        <w:rPr>
          <w:iCs/>
        </w:rPr>
        <w:t>ONR-</w:t>
      </w:r>
      <w:r w:rsidR="00D07AFA" w:rsidRPr="00CC121D">
        <w:t xml:space="preserve">NS-INSP-GD-062, </w:t>
      </w:r>
      <w:r>
        <w:rPr>
          <w:iCs/>
        </w:rPr>
        <w:t>ONR-</w:t>
      </w:r>
      <w:r w:rsidR="00D07AFA" w:rsidRPr="00CC121D">
        <w:t>NS-INSP-GD-063 ‘Guidance to Support the Joint Regulatory Memorandum of Understanding between ONR and EA on Matters of Mutual Interest in England/Scotland/</w:t>
      </w:r>
      <w:proofErr w:type="spellStart"/>
      <w:r w:rsidR="00D07AFA" w:rsidRPr="00CC121D">
        <w:t>Wales’</w:t>
      </w:r>
      <w:proofErr w:type="spellEnd"/>
      <w:r w:rsidR="00D07AFA" w:rsidRPr="00CC121D">
        <w:t xml:space="preserve"> (respectively)</w:t>
      </w:r>
      <w:r w:rsidR="008D069F">
        <w:t>,</w:t>
      </w:r>
    </w:p>
    <w:p w14:paraId="57304FFA" w14:textId="77777777" w:rsidR="00D07AFA" w:rsidRPr="00CC121D" w:rsidRDefault="00D07AFA" w:rsidP="00D07AFA">
      <w:pPr>
        <w:numPr>
          <w:ilvl w:val="0"/>
          <w:numId w:val="11"/>
        </w:numPr>
        <w:spacing w:after="240"/>
        <w:ind w:hanging="731"/>
        <w:contextualSpacing/>
      </w:pPr>
      <w:r w:rsidRPr="00CC121D">
        <w:t>ONR-GDA-GD-004 ‘Strategy for working with Overseas Regulators’</w:t>
      </w:r>
      <w:r w:rsidR="008D069F">
        <w:t>.</w:t>
      </w:r>
    </w:p>
    <w:p w14:paraId="57304FFB" w14:textId="5D7B656A" w:rsidR="00D07AFA" w:rsidRPr="00CC121D" w:rsidRDefault="00D07AFA" w:rsidP="008F3139">
      <w:pPr>
        <w:pStyle w:val="TSHeadingNumbered111"/>
      </w:pPr>
      <w:bookmarkStart w:id="65" w:name="_Toc43723321"/>
      <w:proofErr w:type="spellStart"/>
      <w:r w:rsidRPr="00CC121D">
        <w:t>Dutyholder</w:t>
      </w:r>
      <w:proofErr w:type="spellEnd"/>
      <w:r w:rsidRPr="00CC121D">
        <w:t xml:space="preserve"> Project Planning and Organisation</w:t>
      </w:r>
      <w:bookmarkEnd w:id="65"/>
      <w:r w:rsidRPr="00CC121D">
        <w:t xml:space="preserve"> </w:t>
      </w:r>
    </w:p>
    <w:p w14:paraId="57304FFC" w14:textId="77777777" w:rsidR="00D07AFA" w:rsidRDefault="00D07AFA" w:rsidP="00D07AFA">
      <w:pPr>
        <w:pStyle w:val="TSNumberedParagraph1"/>
        <w:rPr>
          <w:iCs/>
        </w:rPr>
      </w:pPr>
      <w:r w:rsidRPr="00CC121D">
        <w:rPr>
          <w:iCs/>
        </w:rPr>
        <w:t xml:space="preserve">Licensed sites have management arrangements in place, as required by the Licence Conditions. </w:t>
      </w:r>
      <w:r w:rsidR="00876CD1">
        <w:rPr>
          <w:iCs/>
        </w:rPr>
        <w:t>The Inspector</w:t>
      </w:r>
      <w:r w:rsidRPr="00CC121D">
        <w:rPr>
          <w:iCs/>
        </w:rPr>
        <w:t xml:space="preserve"> should focus assessment on the</w:t>
      </w:r>
      <w:r w:rsidR="00876CD1">
        <w:rPr>
          <w:iCs/>
        </w:rPr>
        <w:t xml:space="preserve"> management</w:t>
      </w:r>
      <w:r w:rsidRPr="00CC121D">
        <w:rPr>
          <w:iCs/>
        </w:rPr>
        <w:t xml:space="preserve"> arrangements that are in place, as well as the technical detail of the subject being assessed, to </w:t>
      </w:r>
      <w:r w:rsidR="00876CD1">
        <w:rPr>
          <w:iCs/>
        </w:rPr>
        <w:t xml:space="preserve">seek assurance </w:t>
      </w:r>
      <w:r w:rsidRPr="00CC121D">
        <w:rPr>
          <w:iCs/>
        </w:rPr>
        <w:t>that site processes and procedures allow civil engineering works to be undertaken safely. This applies across all technical civil engineering topics and includes the assessment of project resourcing and staff competence.</w:t>
      </w:r>
    </w:p>
    <w:p w14:paraId="57304FFD" w14:textId="77777777" w:rsidR="00D07AFA" w:rsidRPr="00CC121D" w:rsidRDefault="00D07AFA" w:rsidP="00D07AFA">
      <w:pPr>
        <w:pStyle w:val="TSNumberedParagraph1"/>
        <w:rPr>
          <w:iCs/>
        </w:rPr>
      </w:pPr>
      <w:r w:rsidRPr="00CC121D">
        <w:rPr>
          <w:iCs/>
        </w:rPr>
        <w:t>The applicable SAPs for this topic are:</w:t>
      </w:r>
    </w:p>
    <w:p w14:paraId="57304FFE" w14:textId="77777777" w:rsidR="00D07AFA" w:rsidRDefault="00D07AFA" w:rsidP="00974D78">
      <w:pPr>
        <w:numPr>
          <w:ilvl w:val="0"/>
          <w:numId w:val="11"/>
        </w:numPr>
        <w:spacing w:after="240"/>
        <w:ind w:hanging="731"/>
        <w:contextualSpacing/>
      </w:pPr>
      <w:r w:rsidRPr="00974D78">
        <w:t>MS.1</w:t>
      </w:r>
      <w:r w:rsidR="00974D78" w:rsidRPr="00974D78">
        <w:t xml:space="preserve">-4 </w:t>
      </w:r>
      <w:r w:rsidR="00974D78">
        <w:t xml:space="preserve">state the expectations that the </w:t>
      </w:r>
      <w:r w:rsidR="00585E63">
        <w:t xml:space="preserve">organisation and </w:t>
      </w:r>
      <w:r w:rsidR="00974D78">
        <w:t xml:space="preserve">decisions </w:t>
      </w:r>
      <w:r w:rsidR="00585E63">
        <w:t>are managed appropriately to achieve and sustain safety and that lessons are learned from experience.</w:t>
      </w:r>
    </w:p>
    <w:p w14:paraId="57304FFF" w14:textId="77777777" w:rsidR="007B4FDC" w:rsidRPr="00974D78" w:rsidRDefault="007B4FDC" w:rsidP="00974D78">
      <w:pPr>
        <w:numPr>
          <w:ilvl w:val="0"/>
          <w:numId w:val="11"/>
        </w:numPr>
        <w:spacing w:after="240"/>
        <w:ind w:hanging="731"/>
        <w:contextualSpacing/>
      </w:pPr>
      <w:r w:rsidRPr="00CC121D">
        <w:t xml:space="preserve">SAP SC.8, which states the </w:t>
      </w:r>
      <w:r>
        <w:t xml:space="preserve">expectation that the </w:t>
      </w:r>
      <w:r w:rsidRPr="00CC121D">
        <w:t xml:space="preserve">ownership of the safety case should reside within the </w:t>
      </w:r>
      <w:proofErr w:type="spellStart"/>
      <w:r w:rsidRPr="00CC121D">
        <w:t>dutyholders</w:t>
      </w:r>
      <w:proofErr w:type="spellEnd"/>
      <w:r w:rsidRPr="00CC121D">
        <w:t xml:space="preserve"> organisation with those who have di</w:t>
      </w:r>
      <w:r>
        <w:t>rect responsibility for safety.</w:t>
      </w:r>
    </w:p>
    <w:p w14:paraId="57305000" w14:textId="74851486" w:rsidR="00D07AFA" w:rsidRPr="001F5732" w:rsidRDefault="00D07AFA" w:rsidP="005372AF">
      <w:pPr>
        <w:pStyle w:val="TSNumberedParagraph1"/>
        <w:rPr>
          <w:iCs/>
        </w:rPr>
      </w:pPr>
      <w:r w:rsidRPr="001F5732">
        <w:rPr>
          <w:iCs/>
        </w:rPr>
        <w:t xml:space="preserve">For civil engineering assessment, the Inspector </w:t>
      </w:r>
      <w:r w:rsidR="00B579FF" w:rsidRPr="001F5732">
        <w:rPr>
          <w:iCs/>
        </w:rPr>
        <w:t>may</w:t>
      </w:r>
      <w:r w:rsidRPr="001F5732">
        <w:rPr>
          <w:iCs/>
        </w:rPr>
        <w:t xml:space="preserve"> consider the adequacy of </w:t>
      </w:r>
      <w:proofErr w:type="spellStart"/>
      <w:r w:rsidRPr="001F5732">
        <w:rPr>
          <w:iCs/>
        </w:rPr>
        <w:t>dutyholders</w:t>
      </w:r>
      <w:proofErr w:type="spellEnd"/>
      <w:r w:rsidRPr="001F5732">
        <w:rPr>
          <w:iCs/>
        </w:rPr>
        <w:t xml:space="preserve"> management systems and arrangements in place for the phase of the</w:t>
      </w:r>
      <w:r w:rsidR="008D069F" w:rsidRPr="001F5732">
        <w:rPr>
          <w:iCs/>
        </w:rPr>
        <w:t xml:space="preserve"> assessment being undertaken. T</w:t>
      </w:r>
      <w:r w:rsidRPr="001F5732">
        <w:rPr>
          <w:iCs/>
        </w:rPr>
        <w:t xml:space="preserve">he Inspector </w:t>
      </w:r>
      <w:r w:rsidR="000A1296" w:rsidRPr="001F5732">
        <w:rPr>
          <w:iCs/>
        </w:rPr>
        <w:t>may</w:t>
      </w:r>
      <w:r w:rsidRPr="001F5732">
        <w:rPr>
          <w:iCs/>
        </w:rPr>
        <w:t xml:space="preserve"> </w:t>
      </w:r>
      <w:r w:rsidR="001F5732" w:rsidRPr="001F5732">
        <w:rPr>
          <w:iCs/>
        </w:rPr>
        <w:t xml:space="preserve">wish to </w:t>
      </w:r>
      <w:r w:rsidRPr="001F5732">
        <w:rPr>
          <w:iCs/>
        </w:rPr>
        <w:t xml:space="preserve">consider the </w:t>
      </w:r>
      <w:r w:rsidR="000A1296" w:rsidRPr="001F5732">
        <w:rPr>
          <w:iCs/>
        </w:rPr>
        <w:t xml:space="preserve">applicable </w:t>
      </w:r>
      <w:r w:rsidRPr="001F5732">
        <w:rPr>
          <w:iCs/>
        </w:rPr>
        <w:t>arrangements (processes, procedures, resources and man</w:t>
      </w:r>
      <w:r w:rsidR="000A1296" w:rsidRPr="001F5732">
        <w:rPr>
          <w:iCs/>
        </w:rPr>
        <w:t>agement etc.) for the following</w:t>
      </w:r>
      <w:r w:rsidRPr="001F5732">
        <w:rPr>
          <w:iCs/>
        </w:rPr>
        <w:t>:</w:t>
      </w:r>
    </w:p>
    <w:p w14:paraId="57305001" w14:textId="77777777" w:rsidR="00D07AFA" w:rsidRPr="00CC121D" w:rsidRDefault="00D07AFA" w:rsidP="00D07AFA">
      <w:pPr>
        <w:numPr>
          <w:ilvl w:val="0"/>
          <w:numId w:val="11"/>
        </w:numPr>
        <w:spacing w:after="240"/>
        <w:ind w:hanging="731"/>
        <w:contextualSpacing/>
      </w:pPr>
      <w:r w:rsidRPr="00CC121D">
        <w:t>production, use and review of safety cases</w:t>
      </w:r>
      <w:r w:rsidR="008D069F">
        <w:t>,</w:t>
      </w:r>
    </w:p>
    <w:p w14:paraId="57305002" w14:textId="01D74486" w:rsidR="00D07AFA" w:rsidRPr="00CC121D" w:rsidRDefault="00D07AFA" w:rsidP="00D07AFA">
      <w:pPr>
        <w:numPr>
          <w:ilvl w:val="0"/>
          <w:numId w:val="11"/>
        </w:numPr>
        <w:spacing w:after="240"/>
        <w:ind w:hanging="731"/>
        <w:contextualSpacing/>
      </w:pPr>
      <w:r w:rsidRPr="00CC121D">
        <w:t xml:space="preserve">design services procurement, acceptance and approval of design submissions (including </w:t>
      </w:r>
      <w:r w:rsidR="00F803D3">
        <w:t>D</w:t>
      </w:r>
      <w:r w:rsidRPr="00CC121D">
        <w:t xml:space="preserve">esign </w:t>
      </w:r>
      <w:r w:rsidR="00F803D3">
        <w:t>A</w:t>
      </w:r>
      <w:r w:rsidRPr="00CC121D">
        <w:t xml:space="preserve">uthority and </w:t>
      </w:r>
      <w:r w:rsidR="00F803D3">
        <w:t>I</w:t>
      </w:r>
      <w:r w:rsidRPr="00CC121D">
        <w:t xml:space="preserve">ntelligent </w:t>
      </w:r>
      <w:r w:rsidR="00F803D3">
        <w:t>C</w:t>
      </w:r>
      <w:r w:rsidRPr="00CC121D">
        <w:t>ustomer functions)</w:t>
      </w:r>
      <w:r w:rsidR="008D069F">
        <w:t>,</w:t>
      </w:r>
    </w:p>
    <w:p w14:paraId="57305003" w14:textId="77777777" w:rsidR="00D07AFA" w:rsidRPr="00CC121D" w:rsidRDefault="00D07AFA" w:rsidP="00D07AFA">
      <w:pPr>
        <w:numPr>
          <w:ilvl w:val="0"/>
          <w:numId w:val="11"/>
        </w:numPr>
        <w:spacing w:after="240"/>
        <w:ind w:hanging="731"/>
        <w:contextualSpacing/>
      </w:pPr>
      <w:r w:rsidRPr="00CC121D">
        <w:t>procurement, inspection and surveillance arrangements of physical work,</w:t>
      </w:r>
    </w:p>
    <w:p w14:paraId="57305004" w14:textId="77777777" w:rsidR="00D07AFA" w:rsidRPr="00CC121D" w:rsidRDefault="00D07AFA" w:rsidP="00D07AFA">
      <w:pPr>
        <w:numPr>
          <w:ilvl w:val="0"/>
          <w:numId w:val="11"/>
        </w:numPr>
        <w:spacing w:after="240"/>
        <w:ind w:hanging="731"/>
        <w:contextualSpacing/>
      </w:pPr>
      <w:r w:rsidRPr="00CC121D">
        <w:t>internal and independent challenge regarding decision making processes, classification and categorisation of modifications etc.</w:t>
      </w:r>
      <w:r w:rsidR="008D069F">
        <w:t>,</w:t>
      </w:r>
    </w:p>
    <w:p w14:paraId="57305005" w14:textId="77777777" w:rsidR="00D07AFA" w:rsidRPr="00CC121D" w:rsidRDefault="00D07AFA" w:rsidP="00D07AFA">
      <w:pPr>
        <w:numPr>
          <w:ilvl w:val="0"/>
          <w:numId w:val="11"/>
        </w:numPr>
        <w:spacing w:after="240"/>
        <w:ind w:hanging="731"/>
        <w:contextualSpacing/>
      </w:pPr>
      <w:r w:rsidRPr="00CC121D">
        <w:t>change control of documentation and information management</w:t>
      </w:r>
      <w:r w:rsidR="008D069F">
        <w:t>,</w:t>
      </w:r>
    </w:p>
    <w:p w14:paraId="57305006" w14:textId="77777777" w:rsidR="00D07AFA" w:rsidRPr="00CC121D" w:rsidRDefault="00D07AFA" w:rsidP="00D07AFA">
      <w:pPr>
        <w:numPr>
          <w:ilvl w:val="0"/>
          <w:numId w:val="11"/>
        </w:numPr>
        <w:spacing w:after="240"/>
        <w:ind w:hanging="731"/>
        <w:contextualSpacing/>
      </w:pPr>
      <w:r w:rsidRPr="00CC121D">
        <w:t>decision and associated approvals, in</w:t>
      </w:r>
      <w:r w:rsidR="008D069F">
        <w:t>cluding those for modifications,</w:t>
      </w:r>
    </w:p>
    <w:p w14:paraId="57305007" w14:textId="77777777" w:rsidR="00D07AFA" w:rsidRPr="00CC121D" w:rsidRDefault="00D07AFA" w:rsidP="00D07AFA">
      <w:pPr>
        <w:numPr>
          <w:ilvl w:val="0"/>
          <w:numId w:val="11"/>
        </w:numPr>
        <w:spacing w:after="240"/>
        <w:ind w:hanging="731"/>
        <w:contextualSpacing/>
      </w:pPr>
      <w:r w:rsidRPr="00CC121D">
        <w:t>change management, including asset management and defect management, damage or non-conformances and degradation over time, as well as contractor engagement with requests for changes or clarification of information</w:t>
      </w:r>
      <w:r w:rsidR="008D069F">
        <w:t>,</w:t>
      </w:r>
    </w:p>
    <w:p w14:paraId="57305008" w14:textId="77777777" w:rsidR="00D07AFA" w:rsidRPr="00CC121D" w:rsidRDefault="00D07AFA" w:rsidP="00D07AFA">
      <w:pPr>
        <w:numPr>
          <w:ilvl w:val="0"/>
          <w:numId w:val="11"/>
        </w:numPr>
        <w:spacing w:after="240"/>
        <w:ind w:hanging="731"/>
        <w:contextualSpacing/>
      </w:pPr>
      <w:r w:rsidRPr="00CC121D">
        <w:t>recording information e.g. decisions, physical works and inspections etc</w:t>
      </w:r>
      <w:r w:rsidR="008D069F">
        <w:t>.,</w:t>
      </w:r>
    </w:p>
    <w:p w14:paraId="57305009" w14:textId="77777777" w:rsidR="00D07AFA" w:rsidRPr="00CC121D" w:rsidRDefault="00D07AFA" w:rsidP="00D07AFA">
      <w:pPr>
        <w:numPr>
          <w:ilvl w:val="0"/>
          <w:numId w:val="11"/>
        </w:numPr>
        <w:spacing w:after="240"/>
        <w:ind w:hanging="731"/>
        <w:contextualSpacing/>
      </w:pPr>
      <w:r w:rsidRPr="00CC121D">
        <w:t xml:space="preserve">EIMT activities and the processes / procedures to </w:t>
      </w:r>
      <w:r w:rsidR="000A1296">
        <w:t xml:space="preserve">sentence and </w:t>
      </w:r>
      <w:r w:rsidRPr="00CC121D">
        <w:t>implement recommendations</w:t>
      </w:r>
      <w:r w:rsidR="008D069F">
        <w:t>,</w:t>
      </w:r>
    </w:p>
    <w:p w14:paraId="5730500A" w14:textId="77777777" w:rsidR="00D07AFA" w:rsidRPr="00CC121D" w:rsidRDefault="00D07AFA" w:rsidP="00D07AFA">
      <w:pPr>
        <w:numPr>
          <w:ilvl w:val="0"/>
          <w:numId w:val="11"/>
        </w:numPr>
        <w:spacing w:after="240"/>
        <w:ind w:hanging="731"/>
        <w:contextualSpacing/>
      </w:pPr>
      <w:r w:rsidRPr="00CC121D">
        <w:t>learning lessons from experience (internal and external to the nuclear industry)</w:t>
      </w:r>
      <w:r w:rsidR="008D069F">
        <w:t>,</w:t>
      </w:r>
    </w:p>
    <w:p w14:paraId="5730500B" w14:textId="77777777" w:rsidR="00D07AFA" w:rsidRPr="00CC121D" w:rsidRDefault="00D07AFA" w:rsidP="00D07AFA">
      <w:pPr>
        <w:numPr>
          <w:ilvl w:val="0"/>
          <w:numId w:val="11"/>
        </w:numPr>
        <w:spacing w:after="240"/>
        <w:ind w:hanging="731"/>
        <w:contextualSpacing/>
      </w:pPr>
      <w:r w:rsidRPr="00CC121D">
        <w:t>any change in phase e.g. from design th</w:t>
      </w:r>
      <w:r w:rsidR="008D069F">
        <w:t>rough construction to operation,</w:t>
      </w:r>
    </w:p>
    <w:p w14:paraId="5730500C" w14:textId="77777777" w:rsidR="00D07AFA" w:rsidRPr="00CC121D" w:rsidRDefault="00D07AFA" w:rsidP="00D07AFA">
      <w:pPr>
        <w:numPr>
          <w:ilvl w:val="0"/>
          <w:numId w:val="11"/>
        </w:numPr>
        <w:spacing w:after="240"/>
        <w:ind w:hanging="731"/>
        <w:contextualSpacing/>
      </w:pPr>
      <w:r w:rsidRPr="00CC121D">
        <w:t>the step changes in phases following cease of operations</w:t>
      </w:r>
      <w:r w:rsidR="008D069F">
        <w:t>.</w:t>
      </w:r>
    </w:p>
    <w:p w14:paraId="5730500D" w14:textId="6E850078" w:rsidR="00D07AFA" w:rsidRPr="00CC121D" w:rsidRDefault="00D07AFA" w:rsidP="00D07AFA">
      <w:pPr>
        <w:pStyle w:val="TSNumberedParagraph1"/>
        <w:rPr>
          <w:iCs/>
        </w:rPr>
      </w:pPr>
      <w:r w:rsidRPr="00CC121D">
        <w:rPr>
          <w:iCs/>
        </w:rPr>
        <w:t xml:space="preserve">ONR </w:t>
      </w:r>
      <w:r w:rsidR="00E40623">
        <w:rPr>
          <w:iCs/>
        </w:rPr>
        <w:t>key principles</w:t>
      </w:r>
      <w:r w:rsidR="00E40623" w:rsidRPr="00CC121D">
        <w:rPr>
          <w:iCs/>
        </w:rPr>
        <w:t xml:space="preserve"> </w:t>
      </w:r>
      <w:r w:rsidRPr="00CC121D">
        <w:rPr>
          <w:iCs/>
        </w:rPr>
        <w:t>for assessment of management system</w:t>
      </w:r>
      <w:r w:rsidR="000A1296">
        <w:rPr>
          <w:iCs/>
        </w:rPr>
        <w:t>s and organisational capability</w:t>
      </w:r>
      <w:r w:rsidRPr="00CC121D">
        <w:rPr>
          <w:iCs/>
        </w:rPr>
        <w:t xml:space="preserve"> are provided in:</w:t>
      </w:r>
    </w:p>
    <w:p w14:paraId="5730500E" w14:textId="204E39DB" w:rsidR="00D07AFA" w:rsidRPr="00CC121D" w:rsidRDefault="00407613" w:rsidP="00D07AFA">
      <w:pPr>
        <w:numPr>
          <w:ilvl w:val="0"/>
          <w:numId w:val="11"/>
        </w:numPr>
        <w:spacing w:after="240"/>
        <w:ind w:hanging="731"/>
        <w:contextualSpacing/>
      </w:pPr>
      <w:r>
        <w:rPr>
          <w:iCs/>
        </w:rPr>
        <w:t>ONR-</w:t>
      </w:r>
      <w:r w:rsidR="00D07AFA" w:rsidRPr="00CC121D">
        <w:t>NS-TAST</w:t>
      </w:r>
      <w:r w:rsidR="000A1296">
        <w:t>-GD-048 ‘Organisational Change’,</w:t>
      </w:r>
    </w:p>
    <w:p w14:paraId="5730500F" w14:textId="3F7C1B6B" w:rsidR="00D07AFA" w:rsidRPr="00CC121D" w:rsidRDefault="00407613" w:rsidP="00D07AFA">
      <w:pPr>
        <w:numPr>
          <w:ilvl w:val="0"/>
          <w:numId w:val="11"/>
        </w:numPr>
        <w:spacing w:after="240"/>
        <w:ind w:hanging="731"/>
        <w:contextualSpacing/>
      </w:pPr>
      <w:r>
        <w:rPr>
          <w:iCs/>
        </w:rPr>
        <w:t>ONR-</w:t>
      </w:r>
      <w:r w:rsidR="00D07AFA" w:rsidRPr="00CC121D">
        <w:t>NS-TAST-GD-065 ‘Function and Content of the Nuclear Baseline’</w:t>
      </w:r>
      <w:r w:rsidR="000A1296">
        <w:t>,</w:t>
      </w:r>
    </w:p>
    <w:p w14:paraId="57305010" w14:textId="31197B93" w:rsidR="00D07AFA" w:rsidRPr="00CC121D" w:rsidRDefault="00407613" w:rsidP="00D07AFA">
      <w:pPr>
        <w:numPr>
          <w:ilvl w:val="0"/>
          <w:numId w:val="11"/>
        </w:numPr>
        <w:spacing w:after="240"/>
        <w:ind w:hanging="731"/>
        <w:contextualSpacing/>
      </w:pPr>
      <w:r>
        <w:rPr>
          <w:iCs/>
        </w:rPr>
        <w:t>ONR-</w:t>
      </w:r>
      <w:r w:rsidR="00D07AFA" w:rsidRPr="00CC121D">
        <w:t>NS-TAST-GD-080 ‘Challenge Culture Capability (including an Internal Regulation function), and the provision of Nuclear Safety Advice’</w:t>
      </w:r>
      <w:r w:rsidR="000A1296">
        <w:t>,</w:t>
      </w:r>
    </w:p>
    <w:p w14:paraId="57305011" w14:textId="39A6830E" w:rsidR="00D07AFA" w:rsidRPr="00CC121D" w:rsidRDefault="00407613" w:rsidP="00D07AFA">
      <w:pPr>
        <w:numPr>
          <w:ilvl w:val="0"/>
          <w:numId w:val="11"/>
        </w:numPr>
        <w:spacing w:after="240"/>
        <w:ind w:hanging="731"/>
        <w:contextualSpacing/>
      </w:pPr>
      <w:r>
        <w:rPr>
          <w:iCs/>
        </w:rPr>
        <w:t>ONR-</w:t>
      </w:r>
      <w:r w:rsidR="00D07AFA" w:rsidRPr="00CC121D">
        <w:t>NS-TAST-GD-077 ‘Supply Chain Management Arrangements for the Procurement of Nuclear Safety Related Items or Services’</w:t>
      </w:r>
      <w:r w:rsidR="000A1296">
        <w:t>,</w:t>
      </w:r>
    </w:p>
    <w:p w14:paraId="57305012" w14:textId="1DC15920" w:rsidR="00D07AFA" w:rsidRPr="00CC121D" w:rsidRDefault="00407613" w:rsidP="00D07AFA">
      <w:pPr>
        <w:numPr>
          <w:ilvl w:val="0"/>
          <w:numId w:val="11"/>
        </w:numPr>
        <w:spacing w:after="240"/>
        <w:ind w:hanging="731"/>
        <w:contextualSpacing/>
      </w:pPr>
      <w:r>
        <w:rPr>
          <w:iCs/>
        </w:rPr>
        <w:t>ONR-</w:t>
      </w:r>
      <w:r w:rsidR="00D07AFA" w:rsidRPr="00CC121D">
        <w:t>NS-TAST-GD-060 ‘Procedure Design and Administrative controls’</w:t>
      </w:r>
      <w:r w:rsidR="000A1296">
        <w:t>,</w:t>
      </w:r>
    </w:p>
    <w:p w14:paraId="57305013" w14:textId="5C3B631D" w:rsidR="00D07AFA" w:rsidRPr="00CC121D" w:rsidRDefault="00407613" w:rsidP="00D07AFA">
      <w:pPr>
        <w:numPr>
          <w:ilvl w:val="0"/>
          <w:numId w:val="11"/>
        </w:numPr>
        <w:spacing w:after="240"/>
        <w:ind w:hanging="731"/>
        <w:contextualSpacing/>
      </w:pPr>
      <w:r>
        <w:rPr>
          <w:iCs/>
        </w:rPr>
        <w:t>ONR-</w:t>
      </w:r>
      <w:r w:rsidR="00D07AFA" w:rsidRPr="00CC121D">
        <w:t>NS-TAST-GD-061 ‘Staffing levels and Task Organisation’</w:t>
      </w:r>
      <w:r w:rsidR="000A1296">
        <w:t>,</w:t>
      </w:r>
    </w:p>
    <w:p w14:paraId="57305014" w14:textId="4224FF5A" w:rsidR="00D07AFA" w:rsidRPr="00CC121D" w:rsidRDefault="00407613" w:rsidP="00D07AFA">
      <w:pPr>
        <w:numPr>
          <w:ilvl w:val="0"/>
          <w:numId w:val="11"/>
        </w:numPr>
        <w:spacing w:after="240"/>
        <w:ind w:hanging="731"/>
        <w:contextualSpacing/>
      </w:pPr>
      <w:r>
        <w:rPr>
          <w:iCs/>
        </w:rPr>
        <w:t>ONR-</w:t>
      </w:r>
      <w:r w:rsidR="00D07AFA" w:rsidRPr="00CC121D">
        <w:t>NS-TAST-GD-079 ‘Licensee Design Authority Capability’</w:t>
      </w:r>
      <w:r w:rsidR="000A1296">
        <w:t>,</w:t>
      </w:r>
    </w:p>
    <w:p w14:paraId="57305015" w14:textId="6A7B0F4D" w:rsidR="00D07AFA" w:rsidRPr="00CC121D" w:rsidRDefault="00407613" w:rsidP="00D07AFA">
      <w:pPr>
        <w:numPr>
          <w:ilvl w:val="0"/>
          <w:numId w:val="11"/>
        </w:numPr>
        <w:spacing w:after="240"/>
        <w:ind w:hanging="731"/>
        <w:contextualSpacing/>
      </w:pPr>
      <w:r>
        <w:rPr>
          <w:iCs/>
        </w:rPr>
        <w:t>ONR-</w:t>
      </w:r>
      <w:r w:rsidR="00D07AFA" w:rsidRPr="00CC121D">
        <w:t>NS-TAST-GD-051 ‘The Purpose, Scope and Content of Safety Cases’</w:t>
      </w:r>
      <w:r w:rsidR="000A1296">
        <w:t>,</w:t>
      </w:r>
    </w:p>
    <w:p w14:paraId="57305016" w14:textId="30FBDD71" w:rsidR="00D07AFA" w:rsidRPr="00CC121D" w:rsidRDefault="00407613" w:rsidP="00D07AFA">
      <w:pPr>
        <w:numPr>
          <w:ilvl w:val="0"/>
          <w:numId w:val="11"/>
        </w:numPr>
        <w:spacing w:after="240"/>
        <w:ind w:hanging="731"/>
        <w:contextualSpacing/>
      </w:pPr>
      <w:r>
        <w:rPr>
          <w:iCs/>
        </w:rPr>
        <w:t>ONR-</w:t>
      </w:r>
      <w:r w:rsidR="00D07AFA" w:rsidRPr="00CC121D">
        <w:t>NS-TAST-GD-057 ‘Design Safety Assurance’</w:t>
      </w:r>
      <w:r w:rsidR="000A1296">
        <w:t>,</w:t>
      </w:r>
    </w:p>
    <w:p w14:paraId="57305017" w14:textId="50C67C15" w:rsidR="00D07AFA" w:rsidRPr="00CC121D" w:rsidRDefault="00407613" w:rsidP="00D07AFA">
      <w:pPr>
        <w:numPr>
          <w:ilvl w:val="0"/>
          <w:numId w:val="11"/>
        </w:numPr>
        <w:spacing w:after="240"/>
        <w:ind w:hanging="731"/>
        <w:contextualSpacing/>
      </w:pPr>
      <w:r>
        <w:rPr>
          <w:iCs/>
        </w:rPr>
        <w:t>ONR-</w:t>
      </w:r>
      <w:r w:rsidR="00D07AFA" w:rsidRPr="00CC121D">
        <w:t>NS-TAST-GD-094 ‘Categorisation of Safety Functions and Classification of Structures Systems and Components (SSCs)’</w:t>
      </w:r>
      <w:r w:rsidR="000A1296">
        <w:t>,</w:t>
      </w:r>
    </w:p>
    <w:p w14:paraId="57305018" w14:textId="00EF2D11" w:rsidR="00D07AFA" w:rsidRPr="00CC121D" w:rsidRDefault="00407613" w:rsidP="00D07AFA">
      <w:pPr>
        <w:numPr>
          <w:ilvl w:val="0"/>
          <w:numId w:val="11"/>
        </w:numPr>
        <w:spacing w:after="240"/>
        <w:ind w:hanging="731"/>
        <w:contextualSpacing/>
      </w:pPr>
      <w:r>
        <w:rPr>
          <w:iCs/>
        </w:rPr>
        <w:t>ONR-</w:t>
      </w:r>
      <w:r w:rsidR="00D07AFA" w:rsidRPr="00CC121D">
        <w:t>NS-TAST-GD-098 ‘Asset Management’</w:t>
      </w:r>
      <w:r w:rsidR="000A1296">
        <w:t>,</w:t>
      </w:r>
    </w:p>
    <w:p w14:paraId="57305019" w14:textId="5CD9C468" w:rsidR="00D07AFA" w:rsidRPr="00CC121D" w:rsidRDefault="00407613" w:rsidP="00D07AFA">
      <w:pPr>
        <w:numPr>
          <w:ilvl w:val="0"/>
          <w:numId w:val="11"/>
        </w:numPr>
        <w:spacing w:after="240"/>
        <w:ind w:hanging="731"/>
        <w:contextualSpacing/>
      </w:pPr>
      <w:r>
        <w:rPr>
          <w:iCs/>
        </w:rPr>
        <w:t>ONR-</w:t>
      </w:r>
      <w:r w:rsidR="00D07AFA" w:rsidRPr="00CC121D">
        <w:t>NS-TAST-GD-033 ‘</w:t>
      </w:r>
      <w:proofErr w:type="spellStart"/>
      <w:r w:rsidR="00D07AFA" w:rsidRPr="00CC121D">
        <w:t>Dutyholder</w:t>
      </w:r>
      <w:proofErr w:type="spellEnd"/>
      <w:r w:rsidR="00D07AFA" w:rsidRPr="00CC121D">
        <w:t xml:space="preserve"> Management of Records’</w:t>
      </w:r>
      <w:r w:rsidR="000A1296">
        <w:t>,</w:t>
      </w:r>
    </w:p>
    <w:p w14:paraId="5730501A" w14:textId="49D01506" w:rsidR="00D07AFA" w:rsidRPr="00CC121D" w:rsidRDefault="00407613" w:rsidP="00D07AFA">
      <w:pPr>
        <w:numPr>
          <w:ilvl w:val="0"/>
          <w:numId w:val="11"/>
        </w:numPr>
        <w:spacing w:after="240"/>
        <w:ind w:hanging="731"/>
        <w:contextualSpacing/>
      </w:pPr>
      <w:r>
        <w:rPr>
          <w:iCs/>
        </w:rPr>
        <w:t>ONR-</w:t>
      </w:r>
      <w:r w:rsidR="00D07AFA" w:rsidRPr="00CC121D">
        <w:t>NS-TAST-GD-049 ‘Licensee Core Safety and Intelligent Customer Capabilities’</w:t>
      </w:r>
      <w:r w:rsidR="000A1296">
        <w:t>,</w:t>
      </w:r>
    </w:p>
    <w:p w14:paraId="5730501B" w14:textId="79AE583A" w:rsidR="00D07AFA" w:rsidRPr="00CC121D" w:rsidRDefault="00407613" w:rsidP="00D07AFA">
      <w:pPr>
        <w:numPr>
          <w:ilvl w:val="0"/>
          <w:numId w:val="11"/>
        </w:numPr>
        <w:spacing w:after="240"/>
        <w:ind w:hanging="731"/>
        <w:contextualSpacing/>
      </w:pPr>
      <w:r>
        <w:rPr>
          <w:iCs/>
        </w:rPr>
        <w:t>ONR-</w:t>
      </w:r>
      <w:r w:rsidR="00D07AFA" w:rsidRPr="00CC121D">
        <w:t>NS-TAST-GD-027 ‘Training and Assuring Personnel Competence’</w:t>
      </w:r>
      <w:r w:rsidR="000A1296">
        <w:t>,</w:t>
      </w:r>
    </w:p>
    <w:p w14:paraId="5730501C" w14:textId="0B9738FA" w:rsidR="00D07AFA" w:rsidRPr="00CC121D" w:rsidRDefault="00407613" w:rsidP="00D07AFA">
      <w:pPr>
        <w:numPr>
          <w:ilvl w:val="0"/>
          <w:numId w:val="11"/>
        </w:numPr>
        <w:spacing w:after="240"/>
        <w:ind w:hanging="731"/>
        <w:contextualSpacing/>
      </w:pPr>
      <w:r>
        <w:rPr>
          <w:iCs/>
        </w:rPr>
        <w:t>ONR-</w:t>
      </w:r>
      <w:r w:rsidR="00D07AFA" w:rsidRPr="00CC121D">
        <w:t>NS-TAST-GD-009 ‘Examination Inspection Maintenance and Testing of Items Important to Safety’</w:t>
      </w:r>
      <w:r w:rsidR="000A1296">
        <w:t>,</w:t>
      </w:r>
    </w:p>
    <w:p w14:paraId="5730501D" w14:textId="7F641031" w:rsidR="00D07AFA" w:rsidRPr="00CC121D" w:rsidRDefault="00407613" w:rsidP="00D07AFA">
      <w:pPr>
        <w:numPr>
          <w:ilvl w:val="0"/>
          <w:numId w:val="11"/>
        </w:numPr>
        <w:spacing w:after="240"/>
        <w:ind w:hanging="731"/>
        <w:contextualSpacing/>
      </w:pPr>
      <w:r>
        <w:rPr>
          <w:iCs/>
        </w:rPr>
        <w:t>ONR-</w:t>
      </w:r>
      <w:r w:rsidR="00D07AFA" w:rsidRPr="00CC121D">
        <w:t>NS-INSP-GD-070 Safety Culture Guide for Inspectors</w:t>
      </w:r>
      <w:r w:rsidR="000A1296">
        <w:t>,</w:t>
      </w:r>
    </w:p>
    <w:p w14:paraId="5730501E" w14:textId="73FAEFA6" w:rsidR="00D07AFA" w:rsidRPr="00CC121D" w:rsidRDefault="00407613" w:rsidP="00D07AFA">
      <w:pPr>
        <w:numPr>
          <w:ilvl w:val="0"/>
          <w:numId w:val="11"/>
        </w:numPr>
        <w:spacing w:after="240"/>
        <w:ind w:hanging="731"/>
        <w:contextualSpacing/>
      </w:pPr>
      <w:r>
        <w:rPr>
          <w:iCs/>
        </w:rPr>
        <w:t>ONR-</w:t>
      </w:r>
      <w:r w:rsidR="00D07AFA" w:rsidRPr="00CC121D">
        <w:t>CNS-INSP-GD-4.0 Supply Chain Management (security)</w:t>
      </w:r>
      <w:r w:rsidR="000A1296">
        <w:t>,</w:t>
      </w:r>
    </w:p>
    <w:p w14:paraId="5730501F" w14:textId="15FA147A" w:rsidR="00D07AFA" w:rsidRPr="00CC121D" w:rsidRDefault="00D07AFA" w:rsidP="00D07AFA">
      <w:pPr>
        <w:numPr>
          <w:ilvl w:val="0"/>
          <w:numId w:val="11"/>
        </w:numPr>
        <w:spacing w:after="240"/>
        <w:ind w:hanging="731"/>
        <w:contextualSpacing/>
      </w:pPr>
      <w:r w:rsidRPr="00CC121D">
        <w:t xml:space="preserve">Suite of Technical Inspection Guides for the phase at which the assessment is being undertaken to understand the expectations regarding arrangements in place, </w:t>
      </w:r>
      <w:r w:rsidR="00937A97">
        <w:t>alongside particular consideration of</w:t>
      </w:r>
      <w:r w:rsidRPr="00CC121D">
        <w:t xml:space="preserve"> </w:t>
      </w:r>
      <w:r w:rsidR="00407613">
        <w:rPr>
          <w:iCs/>
        </w:rPr>
        <w:t>ONR-</w:t>
      </w:r>
      <w:r w:rsidRPr="00CC121D">
        <w:t>NS-INSP-GD-010 - LC10 Training</w:t>
      </w:r>
      <w:r w:rsidR="00937A97">
        <w:t>.</w:t>
      </w:r>
    </w:p>
    <w:p w14:paraId="62FFE592" w14:textId="029C0EC7" w:rsidR="004828E5" w:rsidRDefault="004828E5" w:rsidP="00D07AFA">
      <w:pPr>
        <w:pStyle w:val="TSHeadingNumbered11"/>
      </w:pPr>
      <w:bookmarkStart w:id="66" w:name="_Toc57912702"/>
      <w:bookmarkStart w:id="67" w:name="_Toc43723322"/>
      <w:r>
        <w:t>Civil Engineering Design Considerations</w:t>
      </w:r>
      <w:r w:rsidR="00EB7781">
        <w:t xml:space="preserve"> (Annex 1)</w:t>
      </w:r>
      <w:bookmarkEnd w:id="66"/>
    </w:p>
    <w:p w14:paraId="57305020" w14:textId="2DB7107A" w:rsidR="00D07AFA" w:rsidRPr="00CC121D" w:rsidRDefault="00D07AFA" w:rsidP="00E40623">
      <w:pPr>
        <w:pStyle w:val="TSHeadingNumbered111"/>
      </w:pPr>
      <w:r w:rsidRPr="00CC121D">
        <w:t>Civil Engineering Safety Case Process</w:t>
      </w:r>
      <w:bookmarkEnd w:id="67"/>
    </w:p>
    <w:p w14:paraId="06F2ED49" w14:textId="77777777" w:rsidR="001F5732" w:rsidRDefault="00D07AFA" w:rsidP="00D07AFA">
      <w:pPr>
        <w:pStyle w:val="TSNumberedParagraph1"/>
        <w:rPr>
          <w:iCs/>
        </w:rPr>
      </w:pPr>
      <w:r w:rsidRPr="00CC121D">
        <w:rPr>
          <w:iCs/>
        </w:rPr>
        <w:t>The safety case process involves parties from different disciplines who contribu</w:t>
      </w:r>
      <w:r w:rsidR="000A1296">
        <w:rPr>
          <w:iCs/>
        </w:rPr>
        <w:t>te to the overall safety case.</w:t>
      </w:r>
    </w:p>
    <w:p w14:paraId="57305021" w14:textId="3085B0C9" w:rsidR="00D07AFA" w:rsidRPr="00CC121D" w:rsidRDefault="00D07AFA" w:rsidP="00D07AFA">
      <w:pPr>
        <w:pStyle w:val="TSNumberedParagraph1"/>
        <w:rPr>
          <w:iCs/>
        </w:rPr>
      </w:pPr>
      <w:r w:rsidRPr="00CC121D">
        <w:rPr>
          <w:iCs/>
        </w:rPr>
        <w:t xml:space="preserve">The Inspector </w:t>
      </w:r>
      <w:r w:rsidR="00B579FF">
        <w:rPr>
          <w:iCs/>
        </w:rPr>
        <w:t>may</w:t>
      </w:r>
      <w:r w:rsidRPr="00CC121D">
        <w:rPr>
          <w:iCs/>
        </w:rPr>
        <w:t xml:space="preserve"> make reference to the SC suite of SAPs to </w:t>
      </w:r>
      <w:r w:rsidR="00876CD1">
        <w:rPr>
          <w:iCs/>
        </w:rPr>
        <w:t>check whether</w:t>
      </w:r>
      <w:r w:rsidRPr="00CC121D">
        <w:rPr>
          <w:iCs/>
        </w:rPr>
        <w:t xml:space="preserve"> the safety case presented meets these expectations.</w:t>
      </w:r>
    </w:p>
    <w:p w14:paraId="53DDFC4D" w14:textId="4FCCC7F0" w:rsidR="00832E48" w:rsidRPr="00D319CA" w:rsidRDefault="00832E48" w:rsidP="00D319CA">
      <w:pPr>
        <w:pStyle w:val="TSNumberedParagraph1"/>
        <w:rPr>
          <w:iCs/>
        </w:rPr>
      </w:pPr>
      <w:r w:rsidRPr="00CC121D">
        <w:rPr>
          <w:iCs/>
        </w:rPr>
        <w:t>The applicable SAPs for this topic are</w:t>
      </w:r>
      <w:r w:rsidR="00D319CA">
        <w:rPr>
          <w:iCs/>
        </w:rPr>
        <w:t xml:space="preserve"> available in the Appendix to Annex 1.</w:t>
      </w:r>
    </w:p>
    <w:p w14:paraId="57305022" w14:textId="4489FCCC" w:rsidR="00D07AFA" w:rsidRPr="00CC121D" w:rsidRDefault="00D07AFA" w:rsidP="00D07AFA">
      <w:pPr>
        <w:pStyle w:val="TSNumberedParagraph1"/>
        <w:rPr>
          <w:iCs/>
        </w:rPr>
      </w:pPr>
      <w:r w:rsidRPr="00CC121D">
        <w:rPr>
          <w:iCs/>
        </w:rPr>
        <w:t xml:space="preserve">The key </w:t>
      </w:r>
      <w:r w:rsidR="00877323">
        <w:rPr>
          <w:iCs/>
        </w:rPr>
        <w:t xml:space="preserve">assessment </w:t>
      </w:r>
      <w:r w:rsidRPr="00CC121D">
        <w:rPr>
          <w:iCs/>
        </w:rPr>
        <w:t>topics for civil engineering safety cases are listed as follows:</w:t>
      </w:r>
    </w:p>
    <w:p w14:paraId="57305023" w14:textId="77777777" w:rsidR="00D07AFA" w:rsidRPr="00CC121D" w:rsidRDefault="000A1296" w:rsidP="00D07AFA">
      <w:pPr>
        <w:numPr>
          <w:ilvl w:val="0"/>
          <w:numId w:val="11"/>
        </w:numPr>
        <w:spacing w:after="240"/>
        <w:ind w:hanging="731"/>
        <w:contextualSpacing/>
        <w:rPr>
          <w:iCs/>
        </w:rPr>
      </w:pPr>
      <w:r>
        <w:rPr>
          <w:iCs/>
        </w:rPr>
        <w:t>s</w:t>
      </w:r>
      <w:r w:rsidR="00D07AFA" w:rsidRPr="00CC121D">
        <w:rPr>
          <w:iCs/>
        </w:rPr>
        <w:t xml:space="preserve">afety case golden thread including fault analysis, hazard Identification, and </w:t>
      </w:r>
      <w:r>
        <w:rPr>
          <w:iCs/>
        </w:rPr>
        <w:t xml:space="preserve">development into resultant </w:t>
      </w:r>
      <w:r w:rsidR="00D07AFA" w:rsidRPr="00CC121D">
        <w:rPr>
          <w:iCs/>
        </w:rPr>
        <w:t>loading cases</w:t>
      </w:r>
      <w:r>
        <w:rPr>
          <w:iCs/>
        </w:rPr>
        <w:t>,</w:t>
      </w:r>
    </w:p>
    <w:p w14:paraId="5839BFF6" w14:textId="51066913" w:rsidR="00DB4D04" w:rsidRDefault="00DB4D04" w:rsidP="00D07AFA">
      <w:pPr>
        <w:numPr>
          <w:ilvl w:val="0"/>
          <w:numId w:val="11"/>
        </w:numPr>
        <w:spacing w:after="240"/>
        <w:ind w:hanging="731"/>
        <w:contextualSpacing/>
        <w:rPr>
          <w:iCs/>
        </w:rPr>
      </w:pPr>
      <w:r>
        <w:rPr>
          <w:iCs/>
        </w:rPr>
        <w:t>civil engineering safety case claims</w:t>
      </w:r>
      <w:r w:rsidR="00602566">
        <w:rPr>
          <w:iCs/>
        </w:rPr>
        <w:t>,</w:t>
      </w:r>
    </w:p>
    <w:p w14:paraId="3ADF3E7A" w14:textId="7DF9F170" w:rsidR="006D30D9" w:rsidRDefault="006D30D9" w:rsidP="00D07AFA">
      <w:pPr>
        <w:numPr>
          <w:ilvl w:val="0"/>
          <w:numId w:val="11"/>
        </w:numPr>
        <w:spacing w:after="240"/>
        <w:ind w:hanging="731"/>
        <w:contextualSpacing/>
        <w:rPr>
          <w:iCs/>
        </w:rPr>
      </w:pPr>
      <w:r>
        <w:rPr>
          <w:iCs/>
        </w:rPr>
        <w:t>the r</w:t>
      </w:r>
      <w:r w:rsidRPr="00CC121D">
        <w:rPr>
          <w:iCs/>
        </w:rPr>
        <w:t xml:space="preserve">ole of </w:t>
      </w:r>
      <w:r>
        <w:rPr>
          <w:iCs/>
        </w:rPr>
        <w:t xml:space="preserve">the </w:t>
      </w:r>
      <w:r w:rsidRPr="00CC121D">
        <w:rPr>
          <w:iCs/>
        </w:rPr>
        <w:t>De</w:t>
      </w:r>
      <w:r>
        <w:rPr>
          <w:iCs/>
        </w:rPr>
        <w:t>sign Authority and Intelligent C</w:t>
      </w:r>
      <w:r w:rsidRPr="00CC121D">
        <w:rPr>
          <w:iCs/>
        </w:rPr>
        <w:t>ustomer functions</w:t>
      </w:r>
      <w:r w:rsidR="00602566">
        <w:rPr>
          <w:iCs/>
        </w:rPr>
        <w:t>,</w:t>
      </w:r>
      <w:r>
        <w:rPr>
          <w:iCs/>
        </w:rPr>
        <w:t xml:space="preserve"> </w:t>
      </w:r>
    </w:p>
    <w:p w14:paraId="1C2C3D94" w14:textId="78B05955" w:rsidR="00DB4D04" w:rsidRDefault="00DB4D04" w:rsidP="00D07AFA">
      <w:pPr>
        <w:numPr>
          <w:ilvl w:val="0"/>
          <w:numId w:val="11"/>
        </w:numPr>
        <w:spacing w:after="240"/>
        <w:ind w:hanging="731"/>
        <w:contextualSpacing/>
        <w:rPr>
          <w:iCs/>
        </w:rPr>
      </w:pPr>
      <w:r>
        <w:rPr>
          <w:iCs/>
        </w:rPr>
        <w:t>Design Basis considerations</w:t>
      </w:r>
      <w:r w:rsidR="00602566">
        <w:rPr>
          <w:iCs/>
        </w:rPr>
        <w:t>,</w:t>
      </w:r>
    </w:p>
    <w:p w14:paraId="57305024" w14:textId="7CB4086E" w:rsidR="00D07AFA" w:rsidRPr="00CC121D" w:rsidRDefault="003C22BB" w:rsidP="00D07AFA">
      <w:pPr>
        <w:numPr>
          <w:ilvl w:val="0"/>
          <w:numId w:val="11"/>
        </w:numPr>
        <w:spacing w:after="240"/>
        <w:ind w:hanging="731"/>
        <w:contextualSpacing/>
        <w:rPr>
          <w:iCs/>
        </w:rPr>
      </w:pPr>
      <w:r>
        <w:rPr>
          <w:iCs/>
        </w:rPr>
        <w:t>f</w:t>
      </w:r>
      <w:r w:rsidR="00DB4D04">
        <w:rPr>
          <w:iCs/>
        </w:rPr>
        <w:t xml:space="preserve">undamental </w:t>
      </w:r>
      <w:r w:rsidR="000A1296">
        <w:rPr>
          <w:iCs/>
        </w:rPr>
        <w:t>s</w:t>
      </w:r>
      <w:r w:rsidR="00D07AFA" w:rsidRPr="00CC121D">
        <w:rPr>
          <w:iCs/>
        </w:rPr>
        <w:t>afety functions and safety functional requirements</w:t>
      </w:r>
      <w:r w:rsidR="000A1296">
        <w:rPr>
          <w:iCs/>
        </w:rPr>
        <w:t>,</w:t>
      </w:r>
    </w:p>
    <w:p w14:paraId="57305025" w14:textId="764A97B1" w:rsidR="00D07AFA" w:rsidRPr="00CC121D" w:rsidRDefault="00434731" w:rsidP="00D07AFA">
      <w:pPr>
        <w:numPr>
          <w:ilvl w:val="0"/>
          <w:numId w:val="11"/>
        </w:numPr>
        <w:spacing w:after="240"/>
        <w:ind w:hanging="731"/>
        <w:contextualSpacing/>
        <w:rPr>
          <w:iCs/>
        </w:rPr>
      </w:pPr>
      <w:r>
        <w:rPr>
          <w:iCs/>
        </w:rPr>
        <w:t>safety measures,</w:t>
      </w:r>
    </w:p>
    <w:p w14:paraId="57305026" w14:textId="72B314DD" w:rsidR="00D07AFA" w:rsidRPr="00CC121D" w:rsidRDefault="000A1296" w:rsidP="00D07AFA">
      <w:pPr>
        <w:numPr>
          <w:ilvl w:val="0"/>
          <w:numId w:val="11"/>
        </w:numPr>
        <w:spacing w:after="240"/>
        <w:ind w:hanging="731"/>
        <w:contextualSpacing/>
        <w:rPr>
          <w:iCs/>
        </w:rPr>
      </w:pPr>
      <w:r>
        <w:rPr>
          <w:iCs/>
        </w:rPr>
        <w:t>c</w:t>
      </w:r>
      <w:r w:rsidR="00D07AFA" w:rsidRPr="00CC121D">
        <w:rPr>
          <w:iCs/>
        </w:rPr>
        <w:t>ategorisation and classification of</w:t>
      </w:r>
      <w:r w:rsidR="00434731">
        <w:rPr>
          <w:iCs/>
        </w:rPr>
        <w:t xml:space="preserve"> civil engineering SSCs</w:t>
      </w:r>
      <w:r>
        <w:rPr>
          <w:iCs/>
        </w:rPr>
        <w:t>,</w:t>
      </w:r>
    </w:p>
    <w:p w14:paraId="57305027" w14:textId="381FE9C2" w:rsidR="00D07AFA" w:rsidRPr="00CC121D" w:rsidRDefault="000A1296" w:rsidP="00D07AFA">
      <w:pPr>
        <w:numPr>
          <w:ilvl w:val="0"/>
          <w:numId w:val="11"/>
        </w:numPr>
        <w:spacing w:after="240"/>
        <w:ind w:hanging="731"/>
        <w:contextualSpacing/>
        <w:rPr>
          <w:iCs/>
        </w:rPr>
      </w:pPr>
      <w:r>
        <w:rPr>
          <w:iCs/>
        </w:rPr>
        <w:t>independent arguments</w:t>
      </w:r>
      <w:r w:rsidR="00414FE2">
        <w:rPr>
          <w:iCs/>
        </w:rPr>
        <w:t>,</w:t>
      </w:r>
      <w:r>
        <w:rPr>
          <w:iCs/>
        </w:rPr>
        <w:t xml:space="preserve"> </w:t>
      </w:r>
      <w:r w:rsidR="006D30D9">
        <w:rPr>
          <w:iCs/>
        </w:rPr>
        <w:t xml:space="preserve">passive safety, </w:t>
      </w:r>
      <w:r>
        <w:rPr>
          <w:iCs/>
        </w:rPr>
        <w:t>and</w:t>
      </w:r>
      <w:r w:rsidR="00D07AFA" w:rsidRPr="00CC121D">
        <w:rPr>
          <w:iCs/>
        </w:rPr>
        <w:t xml:space="preserve"> defence in depth</w:t>
      </w:r>
      <w:r>
        <w:rPr>
          <w:iCs/>
        </w:rPr>
        <w:t>,</w:t>
      </w:r>
    </w:p>
    <w:p w14:paraId="57305028" w14:textId="6F0335AC" w:rsidR="00D07AFA" w:rsidRPr="00CC121D" w:rsidRDefault="006D30D9" w:rsidP="00D07AFA">
      <w:pPr>
        <w:numPr>
          <w:ilvl w:val="0"/>
          <w:numId w:val="11"/>
        </w:numPr>
        <w:spacing w:after="240"/>
        <w:ind w:hanging="731"/>
        <w:contextualSpacing/>
        <w:rPr>
          <w:iCs/>
        </w:rPr>
      </w:pPr>
      <w:r>
        <w:rPr>
          <w:iCs/>
        </w:rPr>
        <w:t>safety case documents</w:t>
      </w:r>
      <w:r w:rsidR="000A1296">
        <w:rPr>
          <w:iCs/>
        </w:rPr>
        <w:t>.</w:t>
      </w:r>
    </w:p>
    <w:p w14:paraId="57305029" w14:textId="77777777" w:rsidR="00D07AFA" w:rsidRPr="00CC121D" w:rsidRDefault="00D07AFA" w:rsidP="00D07AFA">
      <w:pPr>
        <w:pStyle w:val="TSNumberedParagraph1"/>
        <w:rPr>
          <w:iCs/>
        </w:rPr>
      </w:pPr>
      <w:r w:rsidRPr="00CC121D">
        <w:rPr>
          <w:iCs/>
        </w:rPr>
        <w:t xml:space="preserve">For the key civil engineering principles on assessment of the topics listed above, see: </w:t>
      </w:r>
    </w:p>
    <w:p w14:paraId="5730502A" w14:textId="09640347" w:rsidR="00D07AFA" w:rsidRPr="00CC121D" w:rsidRDefault="00D07AFA" w:rsidP="00D07AFA">
      <w:pPr>
        <w:numPr>
          <w:ilvl w:val="0"/>
          <w:numId w:val="11"/>
        </w:numPr>
        <w:spacing w:after="240"/>
        <w:ind w:hanging="731"/>
        <w:contextualSpacing/>
        <w:rPr>
          <w:iCs/>
        </w:rPr>
      </w:pPr>
      <w:r w:rsidRPr="00CC121D">
        <w:rPr>
          <w:iCs/>
        </w:rPr>
        <w:t xml:space="preserve">TAG 17 Annex 1 – </w:t>
      </w:r>
      <w:r w:rsidR="009A41D3">
        <w:rPr>
          <w:iCs/>
        </w:rPr>
        <w:t>’</w:t>
      </w:r>
      <w:r w:rsidRPr="00CC121D">
        <w:rPr>
          <w:iCs/>
        </w:rPr>
        <w:t>Civil Engineering – Desig</w:t>
      </w:r>
      <w:r w:rsidR="00DF758F">
        <w:rPr>
          <w:iCs/>
        </w:rPr>
        <w:t>n’</w:t>
      </w:r>
      <w:r w:rsidRPr="00CC121D">
        <w:rPr>
          <w:iCs/>
        </w:rPr>
        <w:t>.</w:t>
      </w:r>
    </w:p>
    <w:p w14:paraId="5730502B" w14:textId="77777777" w:rsidR="00D07AFA" w:rsidRPr="00CC121D" w:rsidRDefault="00D07AFA" w:rsidP="00D07AFA">
      <w:pPr>
        <w:pStyle w:val="TSNumberedParagraph1"/>
        <w:rPr>
          <w:iCs/>
        </w:rPr>
      </w:pPr>
      <w:r w:rsidRPr="00CC121D">
        <w:rPr>
          <w:iCs/>
        </w:rPr>
        <w:t>Further ONR expectations for assessments of safety cases are provided in:</w:t>
      </w:r>
    </w:p>
    <w:p w14:paraId="5730502C" w14:textId="0E3CE1D0" w:rsidR="00D07AFA" w:rsidRPr="00CC121D" w:rsidRDefault="00407613" w:rsidP="00D07AFA">
      <w:pPr>
        <w:numPr>
          <w:ilvl w:val="0"/>
          <w:numId w:val="11"/>
        </w:numPr>
        <w:spacing w:after="240"/>
        <w:ind w:hanging="731"/>
        <w:contextualSpacing/>
        <w:rPr>
          <w:iCs/>
        </w:rPr>
      </w:pPr>
      <w:r>
        <w:rPr>
          <w:iCs/>
        </w:rPr>
        <w:t>ONR-</w:t>
      </w:r>
      <w:r w:rsidR="00D07AFA" w:rsidRPr="00BD2238">
        <w:rPr>
          <w:iCs/>
        </w:rPr>
        <w:t>NS-TAST-GD-051 ‘Guidance on the Purpose, Scope and C</w:t>
      </w:r>
      <w:r w:rsidR="000A1296" w:rsidRPr="009A41D3">
        <w:rPr>
          <w:iCs/>
        </w:rPr>
        <w:t>ontent of Nuclear Safety Cases’,</w:t>
      </w:r>
    </w:p>
    <w:p w14:paraId="6C0DAEA3" w14:textId="4FEC4682" w:rsidR="00BD2238" w:rsidRPr="00BD2238" w:rsidRDefault="00407613" w:rsidP="00BD2238">
      <w:pPr>
        <w:numPr>
          <w:ilvl w:val="0"/>
          <w:numId w:val="11"/>
        </w:numPr>
        <w:spacing w:after="240"/>
        <w:ind w:hanging="731"/>
        <w:contextualSpacing/>
        <w:rPr>
          <w:iCs/>
        </w:rPr>
      </w:pPr>
      <w:r>
        <w:rPr>
          <w:iCs/>
        </w:rPr>
        <w:t>ONR-</w:t>
      </w:r>
      <w:r w:rsidR="00D07AFA" w:rsidRPr="00BD2238">
        <w:rPr>
          <w:iCs/>
        </w:rPr>
        <w:t>NS-TAST-GD-094 ‘Categorisation of Safety Functions and Classification of Structures Systems and Components (SSCs)’</w:t>
      </w:r>
      <w:r w:rsidR="000A1296" w:rsidRPr="00BD2238">
        <w:rPr>
          <w:iCs/>
        </w:rPr>
        <w:t>.</w:t>
      </w:r>
      <w:bookmarkStart w:id="68" w:name="_Toc43723323"/>
    </w:p>
    <w:p w14:paraId="5730502F" w14:textId="1ADEAFDF" w:rsidR="00D07AFA" w:rsidRPr="00CC121D" w:rsidRDefault="00D07AFA" w:rsidP="004828E5">
      <w:pPr>
        <w:pStyle w:val="TSHeadingNumbered111"/>
      </w:pPr>
      <w:r w:rsidRPr="00CC121D">
        <w:t>Design Process</w:t>
      </w:r>
      <w:bookmarkEnd w:id="68"/>
    </w:p>
    <w:p w14:paraId="71C9C7E8" w14:textId="77777777" w:rsidR="001F5732" w:rsidRDefault="00D07AFA" w:rsidP="00D07AFA">
      <w:pPr>
        <w:pStyle w:val="TSNumberedParagraph1"/>
        <w:rPr>
          <w:iCs/>
        </w:rPr>
      </w:pPr>
      <w:r w:rsidRPr="00CC121D">
        <w:rPr>
          <w:iCs/>
        </w:rPr>
        <w:t>The design process for civil engineering involves inputs from other</w:t>
      </w:r>
      <w:r w:rsidR="004D7480">
        <w:rPr>
          <w:iCs/>
        </w:rPr>
        <w:t xml:space="preserve"> discipline</w:t>
      </w:r>
      <w:r w:rsidRPr="00CC121D">
        <w:rPr>
          <w:iCs/>
        </w:rPr>
        <w:t>s e.g. for hazard derivation</w:t>
      </w:r>
      <w:r w:rsidR="00146296">
        <w:rPr>
          <w:iCs/>
        </w:rPr>
        <w:t xml:space="preserve"> and hazard assessment</w:t>
      </w:r>
      <w:r w:rsidRPr="00CC121D">
        <w:rPr>
          <w:iCs/>
        </w:rPr>
        <w:t xml:space="preserve">. </w:t>
      </w:r>
      <w:r w:rsidR="004D7480">
        <w:rPr>
          <w:iCs/>
        </w:rPr>
        <w:t>As such, t</w:t>
      </w:r>
      <w:r w:rsidRPr="00CC121D">
        <w:rPr>
          <w:iCs/>
        </w:rPr>
        <w:t>here are many SAPs that are considered for design and the</w:t>
      </w:r>
      <w:r w:rsidR="006D5E1A">
        <w:rPr>
          <w:iCs/>
        </w:rPr>
        <w:t>se are listed in a table in A</w:t>
      </w:r>
      <w:r w:rsidRPr="00CC121D">
        <w:rPr>
          <w:iCs/>
        </w:rPr>
        <w:t>nnex</w:t>
      </w:r>
      <w:r w:rsidR="006D5E1A">
        <w:rPr>
          <w:iCs/>
        </w:rPr>
        <w:t xml:space="preserve"> 1</w:t>
      </w:r>
      <w:r w:rsidRPr="00CC121D">
        <w:rPr>
          <w:iCs/>
        </w:rPr>
        <w:t xml:space="preserve">. </w:t>
      </w:r>
    </w:p>
    <w:p w14:paraId="57305030" w14:textId="13DBC964" w:rsidR="00D07AFA" w:rsidRPr="00CC121D" w:rsidRDefault="00D07AFA" w:rsidP="00D07AFA">
      <w:pPr>
        <w:pStyle w:val="TSNumberedParagraph1"/>
        <w:rPr>
          <w:iCs/>
        </w:rPr>
      </w:pPr>
      <w:r w:rsidRPr="00CC121D">
        <w:rPr>
          <w:iCs/>
        </w:rPr>
        <w:t xml:space="preserve">The Inspector </w:t>
      </w:r>
      <w:r w:rsidR="00B579FF">
        <w:rPr>
          <w:iCs/>
        </w:rPr>
        <w:t>may</w:t>
      </w:r>
      <w:r w:rsidRPr="00CC121D">
        <w:rPr>
          <w:iCs/>
        </w:rPr>
        <w:t xml:space="preserve"> make reference to the applicable SAPs to </w:t>
      </w:r>
      <w:r w:rsidR="00876CD1">
        <w:rPr>
          <w:iCs/>
        </w:rPr>
        <w:t>check whether</w:t>
      </w:r>
      <w:r w:rsidRPr="00CC121D">
        <w:rPr>
          <w:iCs/>
        </w:rPr>
        <w:t xml:space="preserve"> the design presented meets these expectations.</w:t>
      </w:r>
    </w:p>
    <w:p w14:paraId="57305031" w14:textId="77777777" w:rsidR="00D07AFA" w:rsidRPr="00CC121D" w:rsidRDefault="00D07AFA" w:rsidP="00D07AFA">
      <w:pPr>
        <w:pStyle w:val="TSNumberedParagraph1"/>
        <w:rPr>
          <w:iCs/>
        </w:rPr>
      </w:pPr>
      <w:r w:rsidRPr="00CC121D">
        <w:rPr>
          <w:iCs/>
        </w:rPr>
        <w:t>The key assessment topics for civil engineering design are listed as follows:</w:t>
      </w:r>
    </w:p>
    <w:p w14:paraId="57305032" w14:textId="77777777" w:rsidR="00D07AFA" w:rsidRPr="00CC121D" w:rsidRDefault="00D07AFA" w:rsidP="00D07AFA">
      <w:pPr>
        <w:numPr>
          <w:ilvl w:val="0"/>
          <w:numId w:val="11"/>
        </w:numPr>
        <w:spacing w:after="240"/>
        <w:ind w:hanging="731"/>
        <w:contextualSpacing/>
        <w:rPr>
          <w:iCs/>
        </w:rPr>
      </w:pPr>
      <w:r w:rsidRPr="00CC121D">
        <w:rPr>
          <w:iCs/>
        </w:rPr>
        <w:t>Design philosophy</w:t>
      </w:r>
      <w:r w:rsidR="006D5E1A">
        <w:rPr>
          <w:iCs/>
        </w:rPr>
        <w:t>,</w:t>
      </w:r>
    </w:p>
    <w:p w14:paraId="57305033" w14:textId="193D09BA" w:rsidR="00D07AFA" w:rsidRPr="00CC121D" w:rsidRDefault="00414FE2" w:rsidP="00D07AFA">
      <w:pPr>
        <w:numPr>
          <w:ilvl w:val="0"/>
          <w:numId w:val="11"/>
        </w:numPr>
        <w:spacing w:after="240"/>
        <w:ind w:hanging="731"/>
        <w:contextualSpacing/>
        <w:rPr>
          <w:iCs/>
        </w:rPr>
      </w:pPr>
      <w:r>
        <w:rPr>
          <w:iCs/>
        </w:rPr>
        <w:t>Design c</w:t>
      </w:r>
      <w:r w:rsidR="00D07AFA" w:rsidRPr="00CC121D">
        <w:rPr>
          <w:iCs/>
        </w:rPr>
        <w:t>odes and standards</w:t>
      </w:r>
      <w:r w:rsidR="006D5E1A">
        <w:rPr>
          <w:iCs/>
        </w:rPr>
        <w:t>,</w:t>
      </w:r>
    </w:p>
    <w:p w14:paraId="57305034" w14:textId="4D11CE53" w:rsidR="00D07AFA" w:rsidRPr="00CC121D" w:rsidRDefault="00D07AFA" w:rsidP="00D07AFA">
      <w:pPr>
        <w:numPr>
          <w:ilvl w:val="0"/>
          <w:numId w:val="11"/>
        </w:numPr>
        <w:spacing w:after="240"/>
        <w:ind w:hanging="731"/>
        <w:contextualSpacing/>
        <w:rPr>
          <w:iCs/>
        </w:rPr>
      </w:pPr>
      <w:r w:rsidRPr="00CC121D">
        <w:rPr>
          <w:iCs/>
        </w:rPr>
        <w:t>Conservatism</w:t>
      </w:r>
      <w:r w:rsidR="00414FE2">
        <w:rPr>
          <w:iCs/>
        </w:rPr>
        <w:t xml:space="preserve"> in design</w:t>
      </w:r>
      <w:r w:rsidR="006D5E1A">
        <w:rPr>
          <w:iCs/>
        </w:rPr>
        <w:t>,</w:t>
      </w:r>
    </w:p>
    <w:p w14:paraId="7974FF7E" w14:textId="7B0A31E8" w:rsidR="00414FE2" w:rsidRPr="00414FE2" w:rsidRDefault="00414FE2" w:rsidP="00414FE2">
      <w:pPr>
        <w:numPr>
          <w:ilvl w:val="0"/>
          <w:numId w:val="11"/>
        </w:numPr>
        <w:spacing w:after="240"/>
        <w:ind w:hanging="731"/>
        <w:contextualSpacing/>
        <w:rPr>
          <w:iCs/>
        </w:rPr>
      </w:pPr>
      <w:r w:rsidRPr="00414FE2">
        <w:rPr>
          <w:iCs/>
        </w:rPr>
        <w:t>The Intelligent Customer function</w:t>
      </w:r>
      <w:r>
        <w:rPr>
          <w:iCs/>
        </w:rPr>
        <w:t xml:space="preserve"> and </w:t>
      </w:r>
      <w:r w:rsidRPr="00414FE2">
        <w:rPr>
          <w:iCs/>
        </w:rPr>
        <w:t>Independent checks</w:t>
      </w:r>
    </w:p>
    <w:p w14:paraId="57305035" w14:textId="55AAD845" w:rsidR="00D07AFA" w:rsidRPr="00CC121D" w:rsidRDefault="006D5E1A" w:rsidP="00D07AFA">
      <w:pPr>
        <w:numPr>
          <w:ilvl w:val="0"/>
          <w:numId w:val="11"/>
        </w:numPr>
        <w:spacing w:after="240"/>
        <w:ind w:hanging="731"/>
        <w:contextualSpacing/>
        <w:rPr>
          <w:iCs/>
        </w:rPr>
      </w:pPr>
      <w:r>
        <w:rPr>
          <w:iCs/>
        </w:rPr>
        <w:t xml:space="preserve">Concept </w:t>
      </w:r>
      <w:r w:rsidR="006E5663">
        <w:rPr>
          <w:iCs/>
        </w:rPr>
        <w:t>design and design o</w:t>
      </w:r>
      <w:r>
        <w:rPr>
          <w:iCs/>
        </w:rPr>
        <w:t>ptioneering</w:t>
      </w:r>
      <w:r w:rsidR="006E5663">
        <w:rPr>
          <w:iCs/>
        </w:rPr>
        <w:t xml:space="preserve"> stages</w:t>
      </w:r>
      <w:r>
        <w:rPr>
          <w:iCs/>
        </w:rPr>
        <w:t>,</w:t>
      </w:r>
    </w:p>
    <w:p w14:paraId="57305036" w14:textId="77777777" w:rsidR="00D07AFA" w:rsidRPr="00CC121D" w:rsidRDefault="00D07AFA" w:rsidP="00D07AFA">
      <w:pPr>
        <w:numPr>
          <w:ilvl w:val="0"/>
          <w:numId w:val="11"/>
        </w:numPr>
        <w:spacing w:after="240"/>
        <w:ind w:hanging="731"/>
        <w:contextualSpacing/>
        <w:rPr>
          <w:iCs/>
        </w:rPr>
      </w:pPr>
      <w:r w:rsidRPr="00CC121D">
        <w:rPr>
          <w:iCs/>
        </w:rPr>
        <w:t>Layout</w:t>
      </w:r>
      <w:r w:rsidR="006D5E1A">
        <w:rPr>
          <w:iCs/>
        </w:rPr>
        <w:t>,</w:t>
      </w:r>
    </w:p>
    <w:p w14:paraId="06F60A0B" w14:textId="01881B2E" w:rsidR="006E5663" w:rsidRDefault="006E5663" w:rsidP="00D07AFA">
      <w:pPr>
        <w:numPr>
          <w:ilvl w:val="0"/>
          <w:numId w:val="11"/>
        </w:numPr>
        <w:spacing w:after="240"/>
        <w:ind w:hanging="731"/>
        <w:contextualSpacing/>
        <w:rPr>
          <w:iCs/>
        </w:rPr>
      </w:pPr>
      <w:r>
        <w:rPr>
          <w:iCs/>
        </w:rPr>
        <w:t>ALARP Optioneering</w:t>
      </w:r>
      <w:r w:rsidR="005007F5">
        <w:rPr>
          <w:iCs/>
        </w:rPr>
        <w:t>,</w:t>
      </w:r>
    </w:p>
    <w:p w14:paraId="008BC24F" w14:textId="42990E87" w:rsidR="006E5663" w:rsidRDefault="006E5663" w:rsidP="00D07AFA">
      <w:pPr>
        <w:numPr>
          <w:ilvl w:val="0"/>
          <w:numId w:val="11"/>
        </w:numPr>
        <w:spacing w:after="240"/>
        <w:ind w:hanging="731"/>
        <w:contextualSpacing/>
        <w:rPr>
          <w:iCs/>
        </w:rPr>
      </w:pPr>
      <w:r>
        <w:rPr>
          <w:iCs/>
        </w:rPr>
        <w:t>Novel</w:t>
      </w:r>
      <w:r w:rsidR="007C27E5">
        <w:rPr>
          <w:iCs/>
        </w:rPr>
        <w:t xml:space="preserve">, </w:t>
      </w:r>
      <w:r w:rsidR="000019F6">
        <w:rPr>
          <w:iCs/>
        </w:rPr>
        <w:t>innovative</w:t>
      </w:r>
      <w:r>
        <w:rPr>
          <w:iCs/>
        </w:rPr>
        <w:t xml:space="preserve"> and un-proven designs</w:t>
      </w:r>
      <w:r w:rsidR="005007F5">
        <w:rPr>
          <w:iCs/>
        </w:rPr>
        <w:t>,</w:t>
      </w:r>
    </w:p>
    <w:p w14:paraId="37934BF3" w14:textId="2BF66BFD" w:rsidR="00387BD8" w:rsidRDefault="00387BD8" w:rsidP="00D07AFA">
      <w:pPr>
        <w:numPr>
          <w:ilvl w:val="0"/>
          <w:numId w:val="11"/>
        </w:numPr>
        <w:spacing w:after="240"/>
        <w:ind w:hanging="731"/>
        <w:contextualSpacing/>
        <w:rPr>
          <w:iCs/>
        </w:rPr>
      </w:pPr>
      <w:r>
        <w:rPr>
          <w:iCs/>
        </w:rPr>
        <w:t>Loading</w:t>
      </w:r>
      <w:r w:rsidR="005007F5">
        <w:rPr>
          <w:iCs/>
        </w:rPr>
        <w:t>,</w:t>
      </w:r>
    </w:p>
    <w:p w14:paraId="57305038" w14:textId="04CF342D" w:rsidR="00D07AFA" w:rsidRPr="00CF263C" w:rsidRDefault="00387BD8" w:rsidP="00CF263C">
      <w:pPr>
        <w:numPr>
          <w:ilvl w:val="0"/>
          <w:numId w:val="11"/>
        </w:numPr>
        <w:spacing w:after="240"/>
        <w:ind w:hanging="731"/>
        <w:contextualSpacing/>
        <w:rPr>
          <w:iCs/>
        </w:rPr>
      </w:pPr>
      <w:r w:rsidRPr="00CF263C">
        <w:rPr>
          <w:iCs/>
        </w:rPr>
        <w:t xml:space="preserve">Finite Element Modelling and </w:t>
      </w:r>
      <w:r w:rsidR="00CF263C">
        <w:rPr>
          <w:iCs/>
        </w:rPr>
        <w:t>n</w:t>
      </w:r>
      <w:r w:rsidR="00D07AFA" w:rsidRPr="00CF263C">
        <w:rPr>
          <w:iCs/>
        </w:rPr>
        <w:t>umerical analysis</w:t>
      </w:r>
      <w:r w:rsidR="006D5E1A" w:rsidRPr="00CF263C">
        <w:rPr>
          <w:iCs/>
        </w:rPr>
        <w:t>,</w:t>
      </w:r>
    </w:p>
    <w:p w14:paraId="6625D7A4" w14:textId="27998049" w:rsidR="00CF263C" w:rsidRDefault="00CF263C" w:rsidP="00D07AFA">
      <w:pPr>
        <w:numPr>
          <w:ilvl w:val="0"/>
          <w:numId w:val="11"/>
        </w:numPr>
        <w:spacing w:after="240"/>
        <w:ind w:hanging="731"/>
        <w:contextualSpacing/>
        <w:rPr>
          <w:iCs/>
        </w:rPr>
      </w:pPr>
      <w:r>
        <w:rPr>
          <w:iCs/>
        </w:rPr>
        <w:t>Pre-stressed designs</w:t>
      </w:r>
      <w:r w:rsidR="005007F5">
        <w:rPr>
          <w:iCs/>
        </w:rPr>
        <w:t>,</w:t>
      </w:r>
    </w:p>
    <w:p w14:paraId="466F1DC3" w14:textId="46DB2CE9" w:rsidR="00CF263C" w:rsidRDefault="00CF263C" w:rsidP="00D07AFA">
      <w:pPr>
        <w:numPr>
          <w:ilvl w:val="0"/>
          <w:numId w:val="11"/>
        </w:numPr>
        <w:spacing w:after="240"/>
        <w:ind w:hanging="731"/>
        <w:contextualSpacing/>
        <w:rPr>
          <w:iCs/>
        </w:rPr>
      </w:pPr>
      <w:r>
        <w:rPr>
          <w:iCs/>
        </w:rPr>
        <w:t>Investigation and data collection</w:t>
      </w:r>
      <w:r w:rsidR="005007F5">
        <w:rPr>
          <w:iCs/>
        </w:rPr>
        <w:t>,</w:t>
      </w:r>
    </w:p>
    <w:p w14:paraId="57305039" w14:textId="0DB7FB06" w:rsidR="00D07AFA" w:rsidRPr="00CC121D" w:rsidRDefault="00D07AFA" w:rsidP="00D07AFA">
      <w:pPr>
        <w:numPr>
          <w:ilvl w:val="0"/>
          <w:numId w:val="11"/>
        </w:numPr>
        <w:spacing w:after="240"/>
        <w:ind w:hanging="731"/>
        <w:contextualSpacing/>
        <w:rPr>
          <w:iCs/>
        </w:rPr>
      </w:pPr>
      <w:r w:rsidRPr="00CC121D">
        <w:rPr>
          <w:iCs/>
        </w:rPr>
        <w:t>Design Verificat</w:t>
      </w:r>
      <w:r w:rsidR="006D5E1A">
        <w:rPr>
          <w:iCs/>
        </w:rPr>
        <w:t>ion and Validation,</w:t>
      </w:r>
    </w:p>
    <w:p w14:paraId="5730503A" w14:textId="1637B5A5" w:rsidR="00D07AFA" w:rsidRPr="00CC121D" w:rsidRDefault="00A31EE9" w:rsidP="00D07AFA">
      <w:pPr>
        <w:numPr>
          <w:ilvl w:val="0"/>
          <w:numId w:val="11"/>
        </w:numPr>
        <w:spacing w:after="240"/>
        <w:ind w:hanging="731"/>
        <w:contextualSpacing/>
        <w:rPr>
          <w:iCs/>
        </w:rPr>
      </w:pPr>
      <w:r>
        <w:rPr>
          <w:iCs/>
        </w:rPr>
        <w:t>Designing for h</w:t>
      </w:r>
      <w:r w:rsidR="00D07AFA" w:rsidRPr="00CC121D">
        <w:rPr>
          <w:iCs/>
        </w:rPr>
        <w:t>azard combinations</w:t>
      </w:r>
      <w:r w:rsidR="006D5E1A">
        <w:rPr>
          <w:iCs/>
        </w:rPr>
        <w:t>,</w:t>
      </w:r>
    </w:p>
    <w:p w14:paraId="705586C7" w14:textId="6156CFEB" w:rsidR="00A31EE9" w:rsidRDefault="00A31EE9" w:rsidP="00D07AFA">
      <w:pPr>
        <w:numPr>
          <w:ilvl w:val="0"/>
          <w:numId w:val="11"/>
        </w:numPr>
        <w:spacing w:after="240"/>
        <w:ind w:hanging="731"/>
        <w:contextualSpacing/>
        <w:rPr>
          <w:iCs/>
        </w:rPr>
      </w:pPr>
      <w:r>
        <w:rPr>
          <w:iCs/>
        </w:rPr>
        <w:t>Designing for emergencies</w:t>
      </w:r>
      <w:r w:rsidR="005007F5">
        <w:rPr>
          <w:iCs/>
        </w:rPr>
        <w:t>,</w:t>
      </w:r>
    </w:p>
    <w:p w14:paraId="3671F60A" w14:textId="77777777" w:rsidR="00A31EE9" w:rsidRDefault="00D07AFA" w:rsidP="00D07AFA">
      <w:pPr>
        <w:numPr>
          <w:ilvl w:val="0"/>
          <w:numId w:val="11"/>
        </w:numPr>
        <w:spacing w:after="240"/>
        <w:ind w:hanging="731"/>
        <w:contextualSpacing/>
        <w:rPr>
          <w:iCs/>
        </w:rPr>
      </w:pPr>
      <w:r w:rsidRPr="00CC121D">
        <w:rPr>
          <w:iCs/>
        </w:rPr>
        <w:t>Designing for construction,</w:t>
      </w:r>
    </w:p>
    <w:p w14:paraId="0C7E1C05" w14:textId="1C1161BD" w:rsidR="00A31EE9" w:rsidRDefault="00A31EE9" w:rsidP="00D07AFA">
      <w:pPr>
        <w:numPr>
          <w:ilvl w:val="0"/>
          <w:numId w:val="11"/>
        </w:numPr>
        <w:spacing w:after="240"/>
        <w:ind w:hanging="731"/>
        <w:contextualSpacing/>
        <w:rPr>
          <w:iCs/>
        </w:rPr>
      </w:pPr>
      <w:r>
        <w:rPr>
          <w:iCs/>
        </w:rPr>
        <w:t>Designing for</w:t>
      </w:r>
      <w:r w:rsidR="00D07AFA" w:rsidRPr="00CC121D">
        <w:rPr>
          <w:iCs/>
        </w:rPr>
        <w:t xml:space="preserve"> operation</w:t>
      </w:r>
      <w:r>
        <w:rPr>
          <w:iCs/>
        </w:rPr>
        <w:t xml:space="preserve"> and</w:t>
      </w:r>
      <w:r w:rsidR="00D07AFA" w:rsidRPr="00CC121D">
        <w:rPr>
          <w:iCs/>
        </w:rPr>
        <w:t xml:space="preserve"> EIMT</w:t>
      </w:r>
      <w:r w:rsidR="005007F5">
        <w:rPr>
          <w:iCs/>
        </w:rPr>
        <w:t>,</w:t>
      </w:r>
    </w:p>
    <w:p w14:paraId="5730503B" w14:textId="7F8BCAC0" w:rsidR="00D07AFA" w:rsidRPr="00CC121D" w:rsidRDefault="00A31EE9" w:rsidP="00D07AFA">
      <w:pPr>
        <w:numPr>
          <w:ilvl w:val="0"/>
          <w:numId w:val="11"/>
        </w:numPr>
        <w:spacing w:after="240"/>
        <w:ind w:hanging="731"/>
        <w:contextualSpacing/>
        <w:rPr>
          <w:iCs/>
        </w:rPr>
      </w:pPr>
      <w:r>
        <w:rPr>
          <w:iCs/>
        </w:rPr>
        <w:t xml:space="preserve">Designing for </w:t>
      </w:r>
      <w:r w:rsidR="00D07AFA" w:rsidRPr="00CC121D">
        <w:rPr>
          <w:iCs/>
        </w:rPr>
        <w:t>decommissioning</w:t>
      </w:r>
      <w:r w:rsidR="006D5E1A">
        <w:rPr>
          <w:iCs/>
        </w:rPr>
        <w:t>,</w:t>
      </w:r>
    </w:p>
    <w:p w14:paraId="397D0476" w14:textId="143A6FB6" w:rsidR="00A31EE9" w:rsidRDefault="00A31EE9" w:rsidP="00D07AFA">
      <w:pPr>
        <w:numPr>
          <w:ilvl w:val="0"/>
          <w:numId w:val="11"/>
        </w:numPr>
        <w:spacing w:after="240"/>
        <w:ind w:hanging="731"/>
        <w:contextualSpacing/>
        <w:rPr>
          <w:iCs/>
        </w:rPr>
      </w:pPr>
      <w:r>
        <w:rPr>
          <w:iCs/>
        </w:rPr>
        <w:t>Learning from previous experience</w:t>
      </w:r>
      <w:r w:rsidR="005007F5">
        <w:rPr>
          <w:iCs/>
        </w:rPr>
        <w:t>,</w:t>
      </w:r>
    </w:p>
    <w:p w14:paraId="6BCCD646" w14:textId="61DF5CC2" w:rsidR="00BC7D39" w:rsidRDefault="00A31EE9" w:rsidP="00D07AFA">
      <w:pPr>
        <w:numPr>
          <w:ilvl w:val="0"/>
          <w:numId w:val="11"/>
        </w:numPr>
        <w:spacing w:after="240"/>
        <w:ind w:hanging="731"/>
        <w:contextualSpacing/>
        <w:rPr>
          <w:iCs/>
        </w:rPr>
      </w:pPr>
      <w:r>
        <w:rPr>
          <w:iCs/>
        </w:rPr>
        <w:t xml:space="preserve">Information control and </w:t>
      </w:r>
      <w:r w:rsidR="00D07AFA" w:rsidRPr="00CC121D">
        <w:rPr>
          <w:iCs/>
        </w:rPr>
        <w:t>Document management</w:t>
      </w:r>
      <w:r w:rsidR="005007F5">
        <w:rPr>
          <w:iCs/>
        </w:rPr>
        <w:t>,</w:t>
      </w:r>
    </w:p>
    <w:p w14:paraId="5730503C" w14:textId="608C70B4" w:rsidR="00D07AFA" w:rsidRPr="00CC121D" w:rsidRDefault="00BC7D39" w:rsidP="00D07AFA">
      <w:pPr>
        <w:numPr>
          <w:ilvl w:val="0"/>
          <w:numId w:val="11"/>
        </w:numPr>
        <w:spacing w:after="240"/>
        <w:ind w:hanging="731"/>
        <w:contextualSpacing/>
        <w:rPr>
          <w:iCs/>
        </w:rPr>
      </w:pPr>
      <w:r>
        <w:rPr>
          <w:iCs/>
        </w:rPr>
        <w:t>C</w:t>
      </w:r>
      <w:r w:rsidR="00D07AFA" w:rsidRPr="00CC121D">
        <w:rPr>
          <w:iCs/>
        </w:rPr>
        <w:t>hange control</w:t>
      </w:r>
      <w:r w:rsidR="006D5E1A">
        <w:rPr>
          <w:iCs/>
        </w:rPr>
        <w:t>,</w:t>
      </w:r>
    </w:p>
    <w:p w14:paraId="5730503D" w14:textId="77777777" w:rsidR="00D07AFA" w:rsidRPr="00CC121D" w:rsidRDefault="00D07AFA" w:rsidP="00D07AFA">
      <w:pPr>
        <w:numPr>
          <w:ilvl w:val="0"/>
          <w:numId w:val="11"/>
        </w:numPr>
        <w:spacing w:after="240"/>
        <w:ind w:hanging="731"/>
        <w:contextualSpacing/>
        <w:rPr>
          <w:iCs/>
        </w:rPr>
      </w:pPr>
      <w:r w:rsidRPr="00CC121D">
        <w:rPr>
          <w:iCs/>
        </w:rPr>
        <w:t>The Interfa</w:t>
      </w:r>
      <w:r w:rsidR="006D5E1A">
        <w:rPr>
          <w:iCs/>
        </w:rPr>
        <w:t>ces between Design Disciplines,</w:t>
      </w:r>
    </w:p>
    <w:p w14:paraId="5730503E" w14:textId="06CC8BC6" w:rsidR="00D07AFA" w:rsidRPr="00CC121D" w:rsidRDefault="00D07AFA" w:rsidP="00D07AFA">
      <w:pPr>
        <w:numPr>
          <w:ilvl w:val="0"/>
          <w:numId w:val="11"/>
        </w:numPr>
        <w:spacing w:after="240"/>
        <w:ind w:hanging="731"/>
        <w:contextualSpacing/>
        <w:rPr>
          <w:iCs/>
        </w:rPr>
      </w:pPr>
      <w:r w:rsidRPr="00CC121D">
        <w:rPr>
          <w:iCs/>
        </w:rPr>
        <w:t>The Interface</w:t>
      </w:r>
      <w:r w:rsidR="006D5E1A">
        <w:rPr>
          <w:iCs/>
        </w:rPr>
        <w:t xml:space="preserve"> with </w:t>
      </w:r>
      <w:r w:rsidR="00BC7D39">
        <w:rPr>
          <w:iCs/>
        </w:rPr>
        <w:t>procurement</w:t>
      </w:r>
      <w:r w:rsidR="006D5E1A">
        <w:rPr>
          <w:iCs/>
        </w:rPr>
        <w:t>,</w:t>
      </w:r>
    </w:p>
    <w:p w14:paraId="5730503F" w14:textId="701AF15C" w:rsidR="00D07AFA" w:rsidRPr="00CC121D" w:rsidRDefault="00D07AFA" w:rsidP="00D07AFA">
      <w:pPr>
        <w:numPr>
          <w:ilvl w:val="0"/>
          <w:numId w:val="11"/>
        </w:numPr>
        <w:spacing w:after="240"/>
        <w:ind w:hanging="731"/>
        <w:contextualSpacing/>
        <w:rPr>
          <w:iCs/>
        </w:rPr>
      </w:pPr>
      <w:r w:rsidRPr="00CC121D">
        <w:rPr>
          <w:iCs/>
        </w:rPr>
        <w:t xml:space="preserve">Safety case </w:t>
      </w:r>
      <w:r w:rsidR="00BC7D39">
        <w:rPr>
          <w:iCs/>
        </w:rPr>
        <w:t xml:space="preserve">production and </w:t>
      </w:r>
      <w:r w:rsidRPr="00CC121D">
        <w:rPr>
          <w:iCs/>
        </w:rPr>
        <w:t>interface</w:t>
      </w:r>
      <w:r w:rsidR="006D5E1A">
        <w:rPr>
          <w:iCs/>
        </w:rPr>
        <w:t>,</w:t>
      </w:r>
    </w:p>
    <w:p w14:paraId="57305040" w14:textId="4AA8B6E2" w:rsidR="00D07AFA" w:rsidRPr="00CC121D" w:rsidRDefault="006D5E1A" w:rsidP="00D07AFA">
      <w:pPr>
        <w:numPr>
          <w:ilvl w:val="0"/>
          <w:numId w:val="11"/>
        </w:numPr>
        <w:spacing w:after="240"/>
        <w:ind w:hanging="731"/>
        <w:contextualSpacing/>
        <w:rPr>
          <w:iCs/>
        </w:rPr>
      </w:pPr>
      <w:r>
        <w:rPr>
          <w:iCs/>
        </w:rPr>
        <w:t>Design substantiation</w:t>
      </w:r>
      <w:r w:rsidR="00BC7D39">
        <w:rPr>
          <w:iCs/>
        </w:rPr>
        <w:t xml:space="preserve"> reports</w:t>
      </w:r>
      <w:r>
        <w:rPr>
          <w:iCs/>
        </w:rPr>
        <w:t>,</w:t>
      </w:r>
    </w:p>
    <w:p w14:paraId="695FEB16" w14:textId="4286A5F2" w:rsidR="0090046C" w:rsidRDefault="0090046C" w:rsidP="00D07AFA">
      <w:pPr>
        <w:numPr>
          <w:ilvl w:val="0"/>
          <w:numId w:val="11"/>
        </w:numPr>
        <w:spacing w:after="240"/>
        <w:ind w:hanging="731"/>
        <w:contextualSpacing/>
        <w:rPr>
          <w:iCs/>
        </w:rPr>
      </w:pPr>
      <w:r>
        <w:rPr>
          <w:iCs/>
        </w:rPr>
        <w:t>Post design review</w:t>
      </w:r>
      <w:r w:rsidR="005007F5">
        <w:rPr>
          <w:iCs/>
        </w:rPr>
        <w:t>,</w:t>
      </w:r>
    </w:p>
    <w:p w14:paraId="57305041" w14:textId="54AA4CBC" w:rsidR="00D07AFA" w:rsidRPr="00CC121D" w:rsidRDefault="00D07AFA" w:rsidP="00D07AFA">
      <w:pPr>
        <w:numPr>
          <w:ilvl w:val="0"/>
          <w:numId w:val="11"/>
        </w:numPr>
        <w:spacing w:after="240"/>
        <w:ind w:hanging="731"/>
        <w:contextualSpacing/>
        <w:rPr>
          <w:iCs/>
        </w:rPr>
      </w:pPr>
      <w:r w:rsidRPr="00CC121D">
        <w:rPr>
          <w:iCs/>
        </w:rPr>
        <w:t>Design</w:t>
      </w:r>
      <w:r w:rsidR="006D5E1A">
        <w:rPr>
          <w:iCs/>
        </w:rPr>
        <w:t xml:space="preserve"> process,</w:t>
      </w:r>
    </w:p>
    <w:p w14:paraId="57305044" w14:textId="25AC4608" w:rsidR="00D07AFA" w:rsidRPr="00CC121D" w:rsidRDefault="00D07AFA" w:rsidP="00D07AFA">
      <w:pPr>
        <w:numPr>
          <w:ilvl w:val="0"/>
          <w:numId w:val="11"/>
        </w:numPr>
        <w:spacing w:after="240"/>
        <w:ind w:hanging="731"/>
        <w:contextualSpacing/>
        <w:rPr>
          <w:iCs/>
        </w:rPr>
      </w:pPr>
      <w:r w:rsidRPr="00CC121D">
        <w:rPr>
          <w:iCs/>
        </w:rPr>
        <w:t>Design when construction activities are occurring in parallel</w:t>
      </w:r>
      <w:r w:rsidR="00E016ED">
        <w:rPr>
          <w:iCs/>
        </w:rPr>
        <w:t>.</w:t>
      </w:r>
    </w:p>
    <w:p w14:paraId="57305046" w14:textId="77777777" w:rsidR="00D07AFA" w:rsidRPr="00CC121D" w:rsidRDefault="00D07AFA" w:rsidP="00D07AFA">
      <w:pPr>
        <w:pStyle w:val="TSNumberedParagraph1"/>
        <w:rPr>
          <w:iCs/>
        </w:rPr>
      </w:pPr>
      <w:r w:rsidRPr="00CC121D">
        <w:rPr>
          <w:iCs/>
        </w:rPr>
        <w:t xml:space="preserve">For the key civil engineering principles on assessment of the topics listed above, see: </w:t>
      </w:r>
    </w:p>
    <w:p w14:paraId="57305047" w14:textId="1EB3F442" w:rsidR="00D07AFA" w:rsidRPr="00CC121D" w:rsidRDefault="00D07AFA" w:rsidP="00D07AFA">
      <w:pPr>
        <w:numPr>
          <w:ilvl w:val="0"/>
          <w:numId w:val="11"/>
        </w:numPr>
        <w:spacing w:after="240"/>
        <w:ind w:hanging="731"/>
        <w:contextualSpacing/>
        <w:rPr>
          <w:iCs/>
        </w:rPr>
      </w:pPr>
      <w:r w:rsidRPr="00CC121D">
        <w:rPr>
          <w:iCs/>
        </w:rPr>
        <w:t xml:space="preserve">TAG 17 </w:t>
      </w:r>
      <w:r w:rsidRPr="00CC121D">
        <w:t>Annex</w:t>
      </w:r>
      <w:r w:rsidRPr="00CC121D">
        <w:rPr>
          <w:iCs/>
        </w:rPr>
        <w:t xml:space="preserve"> 1 – ‘Civil Engineering – Design</w:t>
      </w:r>
      <w:r w:rsidR="00DF758F">
        <w:rPr>
          <w:iCs/>
        </w:rPr>
        <w:t>’</w:t>
      </w:r>
      <w:r w:rsidRPr="00CC121D">
        <w:rPr>
          <w:iCs/>
        </w:rPr>
        <w:t>.</w:t>
      </w:r>
    </w:p>
    <w:p w14:paraId="57305048" w14:textId="6170DB81" w:rsidR="00D07AFA" w:rsidRPr="00CC121D" w:rsidRDefault="00D07AFA" w:rsidP="00D07AFA">
      <w:pPr>
        <w:pStyle w:val="TSNumberedParagraph1"/>
        <w:rPr>
          <w:iCs/>
        </w:rPr>
      </w:pPr>
      <w:r w:rsidRPr="00CC121D">
        <w:rPr>
          <w:iCs/>
        </w:rPr>
        <w:t xml:space="preserve">Further ONR </w:t>
      </w:r>
      <w:r w:rsidR="00FC227F">
        <w:rPr>
          <w:iCs/>
        </w:rPr>
        <w:t>guidance</w:t>
      </w:r>
      <w:r w:rsidR="00FC227F" w:rsidRPr="00CC121D">
        <w:rPr>
          <w:iCs/>
        </w:rPr>
        <w:t xml:space="preserve"> </w:t>
      </w:r>
      <w:r w:rsidRPr="00CC121D">
        <w:rPr>
          <w:iCs/>
        </w:rPr>
        <w:t>for assessments of design process are provided in:</w:t>
      </w:r>
    </w:p>
    <w:p w14:paraId="57305049" w14:textId="1E65B1F8" w:rsidR="00D07AFA" w:rsidRPr="00CC121D" w:rsidRDefault="00407613" w:rsidP="00D07AFA">
      <w:pPr>
        <w:numPr>
          <w:ilvl w:val="0"/>
          <w:numId w:val="11"/>
        </w:numPr>
        <w:spacing w:after="240"/>
        <w:ind w:hanging="731"/>
        <w:contextualSpacing/>
        <w:rPr>
          <w:iCs/>
        </w:rPr>
      </w:pPr>
      <w:r>
        <w:rPr>
          <w:iCs/>
        </w:rPr>
        <w:t>ONR-</w:t>
      </w:r>
      <w:r w:rsidR="00D07AFA" w:rsidRPr="00CC121D">
        <w:rPr>
          <w:iCs/>
        </w:rPr>
        <w:t>NS-TAST-G</w:t>
      </w:r>
      <w:r w:rsidR="006D5E1A">
        <w:rPr>
          <w:iCs/>
        </w:rPr>
        <w:t>D-057 ‘Design Safety Assurance’,</w:t>
      </w:r>
    </w:p>
    <w:p w14:paraId="5730504A" w14:textId="46BE6537" w:rsidR="00D07AFA" w:rsidRPr="00CC121D" w:rsidRDefault="00407613" w:rsidP="00D07AFA">
      <w:pPr>
        <w:numPr>
          <w:ilvl w:val="0"/>
          <w:numId w:val="11"/>
        </w:numPr>
        <w:spacing w:after="240"/>
        <w:ind w:hanging="731"/>
        <w:contextualSpacing/>
        <w:rPr>
          <w:iCs/>
        </w:rPr>
      </w:pPr>
      <w:r>
        <w:rPr>
          <w:iCs/>
        </w:rPr>
        <w:t>ONR-</w:t>
      </w:r>
      <w:r w:rsidR="00D07AFA" w:rsidRPr="00CC121D">
        <w:rPr>
          <w:iCs/>
        </w:rPr>
        <w:t>NS-TAST-GD-002 ‘Safety Systems’</w:t>
      </w:r>
      <w:r w:rsidR="004D7480">
        <w:rPr>
          <w:iCs/>
        </w:rPr>
        <w:t>,</w:t>
      </w:r>
      <w:r w:rsidR="00D07AFA" w:rsidRPr="00CC121D">
        <w:rPr>
          <w:iCs/>
        </w:rPr>
        <w:t xml:space="preserve"> regarding ‘passive safety systems’</w:t>
      </w:r>
      <w:r w:rsidR="006D5E1A">
        <w:rPr>
          <w:iCs/>
        </w:rPr>
        <w:t>.</w:t>
      </w:r>
    </w:p>
    <w:p w14:paraId="5B8512CF" w14:textId="77777777" w:rsidR="001F5732" w:rsidRDefault="001F5732">
      <w:pPr>
        <w:rPr>
          <w:rFonts w:ascii="Arial Bold" w:hAnsi="Arial Bold"/>
          <w:b/>
        </w:rPr>
      </w:pPr>
      <w:bookmarkStart w:id="69" w:name="_Toc43723324"/>
      <w:r>
        <w:br w:type="page"/>
      </w:r>
    </w:p>
    <w:p w14:paraId="340FC2FA" w14:textId="65071387" w:rsidR="004828E5" w:rsidRPr="00CC121D" w:rsidRDefault="004828E5" w:rsidP="004D7480">
      <w:pPr>
        <w:pStyle w:val="TSHeadingNumbered111"/>
      </w:pPr>
      <w:r w:rsidRPr="00CC121D">
        <w:t>Hazard identification and fault analysis</w:t>
      </w:r>
    </w:p>
    <w:p w14:paraId="5BB7AE2F" w14:textId="5D94C466" w:rsidR="004828E5" w:rsidRPr="00CC121D" w:rsidRDefault="004828E5" w:rsidP="004828E5">
      <w:pPr>
        <w:pStyle w:val="TSNumberedParagraph1"/>
        <w:rPr>
          <w:iCs/>
        </w:rPr>
      </w:pPr>
      <w:r>
        <w:rPr>
          <w:iCs/>
        </w:rPr>
        <w:t>Many</w:t>
      </w:r>
      <w:r w:rsidRPr="00CC121D">
        <w:rPr>
          <w:iCs/>
        </w:rPr>
        <w:t xml:space="preserve"> inputs to civil engineering nuclear safety design are derived from the fault studies and hazards </w:t>
      </w:r>
      <w:r>
        <w:rPr>
          <w:iCs/>
        </w:rPr>
        <w:t>analysis</w:t>
      </w:r>
      <w:r w:rsidRPr="00CC121D">
        <w:rPr>
          <w:iCs/>
        </w:rPr>
        <w:t>. When considering fault analysis and hazard identification as an input to civil engineering design, the Inspec</w:t>
      </w:r>
      <w:r>
        <w:rPr>
          <w:iCs/>
        </w:rPr>
        <w:t>tor could liaise with the i</w:t>
      </w:r>
      <w:r w:rsidRPr="00CC121D">
        <w:rPr>
          <w:iCs/>
        </w:rPr>
        <w:t xml:space="preserve">nspectors who specialise in fault studies, internal hazards external hazards and human factors disciplines where necessary. The Inspector </w:t>
      </w:r>
      <w:r>
        <w:rPr>
          <w:iCs/>
        </w:rPr>
        <w:t>may wish to</w:t>
      </w:r>
      <w:r w:rsidRPr="00CC121D">
        <w:rPr>
          <w:iCs/>
        </w:rPr>
        <w:t xml:space="preserve"> </w:t>
      </w:r>
      <w:r w:rsidR="007C4E48">
        <w:rPr>
          <w:iCs/>
        </w:rPr>
        <w:t>seek</w:t>
      </w:r>
      <w:r>
        <w:rPr>
          <w:iCs/>
        </w:rPr>
        <w:t xml:space="preserve"> </w:t>
      </w:r>
      <w:r w:rsidRPr="00CC121D">
        <w:rPr>
          <w:iCs/>
        </w:rPr>
        <w:t>assur</w:t>
      </w:r>
      <w:r>
        <w:rPr>
          <w:iCs/>
        </w:rPr>
        <w:t>ance</w:t>
      </w:r>
      <w:r w:rsidRPr="00CC121D">
        <w:rPr>
          <w:iCs/>
        </w:rPr>
        <w:t xml:space="preserve"> that the inputs to the civil engineering design are accurate and adequately bounding for all scenarios considered.</w:t>
      </w:r>
      <w:r>
        <w:rPr>
          <w:iCs/>
        </w:rPr>
        <w:t xml:space="preserve"> The Inspector is reminded of the close interface with the ONR disciplines who sample the hazard assessments in more detail that will be expected as part of the civil engineering assessment.</w:t>
      </w:r>
    </w:p>
    <w:p w14:paraId="30A23836" w14:textId="77777777" w:rsidR="004828E5" w:rsidRPr="00CC121D" w:rsidRDefault="004828E5" w:rsidP="004828E5">
      <w:pPr>
        <w:pStyle w:val="TSNumberedParagraph1"/>
        <w:rPr>
          <w:iCs/>
        </w:rPr>
      </w:pPr>
      <w:r w:rsidRPr="00CC121D">
        <w:rPr>
          <w:iCs/>
        </w:rPr>
        <w:t>The key safety assessment principles for the civil engineering assessment of hazards and faults are:</w:t>
      </w:r>
    </w:p>
    <w:p w14:paraId="5A53421D" w14:textId="77777777" w:rsidR="004828E5" w:rsidRPr="00CC121D" w:rsidRDefault="004828E5" w:rsidP="004828E5">
      <w:pPr>
        <w:numPr>
          <w:ilvl w:val="0"/>
          <w:numId w:val="11"/>
        </w:numPr>
        <w:spacing w:before="240" w:after="240"/>
        <w:ind w:hanging="731"/>
        <w:contextualSpacing/>
        <w:rPr>
          <w:iCs/>
        </w:rPr>
      </w:pPr>
      <w:r w:rsidRPr="00CC121D">
        <w:rPr>
          <w:iCs/>
        </w:rPr>
        <w:t>ECE.1 and ECE.2 state the functional performance under different conditions should be specified and evidenced with independent arguments where necessary for structures req</w:t>
      </w:r>
      <w:r>
        <w:rPr>
          <w:iCs/>
        </w:rPr>
        <w:t>uiring the highest reliability,</w:t>
      </w:r>
    </w:p>
    <w:p w14:paraId="471C2BD9" w14:textId="77777777" w:rsidR="004828E5" w:rsidRPr="00CC121D" w:rsidRDefault="004828E5" w:rsidP="004828E5">
      <w:pPr>
        <w:numPr>
          <w:ilvl w:val="0"/>
          <w:numId w:val="11"/>
        </w:numPr>
        <w:spacing w:after="240"/>
        <w:ind w:hanging="731"/>
        <w:contextualSpacing/>
        <w:rPr>
          <w:iCs/>
        </w:rPr>
      </w:pPr>
      <w:r w:rsidRPr="00CC121D">
        <w:rPr>
          <w:iCs/>
        </w:rPr>
        <w:t>ECE.9 states the expectation that climate change effects are to be considered when defining the flooding load cases</w:t>
      </w:r>
      <w:r>
        <w:rPr>
          <w:iCs/>
        </w:rPr>
        <w:t>,</w:t>
      </w:r>
    </w:p>
    <w:p w14:paraId="1ECB1174" w14:textId="77777777" w:rsidR="004828E5" w:rsidRPr="00CC121D" w:rsidRDefault="004828E5" w:rsidP="004828E5">
      <w:pPr>
        <w:numPr>
          <w:ilvl w:val="0"/>
          <w:numId w:val="11"/>
        </w:numPr>
        <w:spacing w:before="240" w:after="240"/>
        <w:ind w:hanging="731"/>
        <w:contextualSpacing/>
        <w:rPr>
          <w:iCs/>
        </w:rPr>
      </w:pPr>
      <w:r w:rsidRPr="00CC121D">
        <w:rPr>
          <w:iCs/>
        </w:rPr>
        <w:t>EMC.7 and EMC.11 states there should be gradual and detectable failure based on conservative estimates f</w:t>
      </w:r>
      <w:r>
        <w:rPr>
          <w:iCs/>
        </w:rPr>
        <w:t>or different loading conditions,</w:t>
      </w:r>
    </w:p>
    <w:p w14:paraId="6F695F03" w14:textId="77777777" w:rsidR="004828E5" w:rsidRPr="00CC121D" w:rsidRDefault="004828E5" w:rsidP="004828E5">
      <w:pPr>
        <w:numPr>
          <w:ilvl w:val="0"/>
          <w:numId w:val="11"/>
        </w:numPr>
        <w:spacing w:after="240"/>
        <w:ind w:hanging="731"/>
        <w:contextualSpacing/>
        <w:rPr>
          <w:iCs/>
        </w:rPr>
      </w:pPr>
      <w:r w:rsidRPr="00CC121D">
        <w:rPr>
          <w:iCs/>
        </w:rPr>
        <w:t>EKP.4 states the expectation that safety functions will be identified by a structured analysis, based on fault sequences and possible initiating faults, including those of</w:t>
      </w:r>
      <w:r>
        <w:rPr>
          <w:iCs/>
        </w:rPr>
        <w:t xml:space="preserve"> internal and external hazards,</w:t>
      </w:r>
    </w:p>
    <w:p w14:paraId="386EE80E" w14:textId="77777777" w:rsidR="004828E5" w:rsidRPr="00CC121D" w:rsidRDefault="004828E5" w:rsidP="004828E5">
      <w:pPr>
        <w:numPr>
          <w:ilvl w:val="0"/>
          <w:numId w:val="11"/>
        </w:numPr>
        <w:spacing w:before="240" w:after="240"/>
        <w:ind w:hanging="731"/>
        <w:contextualSpacing/>
        <w:rPr>
          <w:iCs/>
        </w:rPr>
      </w:pPr>
      <w:r>
        <w:rPr>
          <w:iCs/>
        </w:rPr>
        <w:t xml:space="preserve">EHA.1-19, NT.1 and EDR.1 states the expectation that </w:t>
      </w:r>
      <w:r w:rsidRPr="00CC121D">
        <w:rPr>
          <w:iCs/>
        </w:rPr>
        <w:t>designs fail in a safe manner when considering the loading from internal and external load scenarios and various fault studies</w:t>
      </w:r>
      <w:r>
        <w:rPr>
          <w:iCs/>
        </w:rPr>
        <w:t>,</w:t>
      </w:r>
    </w:p>
    <w:p w14:paraId="11C94591" w14:textId="77777777" w:rsidR="004828E5" w:rsidRPr="00CC121D" w:rsidRDefault="004828E5" w:rsidP="004828E5">
      <w:pPr>
        <w:numPr>
          <w:ilvl w:val="0"/>
          <w:numId w:val="11"/>
        </w:numPr>
        <w:spacing w:after="240"/>
        <w:ind w:hanging="731"/>
        <w:contextualSpacing/>
        <w:rPr>
          <w:iCs/>
        </w:rPr>
      </w:pPr>
      <w:r w:rsidRPr="00CC121D">
        <w:rPr>
          <w:iCs/>
        </w:rPr>
        <w:t>EHA.13-17 state expectations related to internal hazards</w:t>
      </w:r>
      <w:r>
        <w:rPr>
          <w:iCs/>
        </w:rPr>
        <w:t>,</w:t>
      </w:r>
    </w:p>
    <w:p w14:paraId="717E9567" w14:textId="5E19BB57" w:rsidR="004828E5" w:rsidRPr="00CC121D" w:rsidRDefault="004828E5" w:rsidP="004828E5">
      <w:pPr>
        <w:numPr>
          <w:ilvl w:val="0"/>
          <w:numId w:val="11"/>
        </w:numPr>
        <w:spacing w:after="240"/>
        <w:ind w:hanging="731"/>
        <w:contextualSpacing/>
        <w:rPr>
          <w:iCs/>
        </w:rPr>
      </w:pPr>
      <w:r w:rsidRPr="00CC121D">
        <w:rPr>
          <w:iCs/>
        </w:rPr>
        <w:t>EHF.10 (and para</w:t>
      </w:r>
      <w:r w:rsidR="00DD3FA4">
        <w:rPr>
          <w:iCs/>
        </w:rPr>
        <w:t>graph</w:t>
      </w:r>
      <w:r w:rsidRPr="00CC121D">
        <w:rPr>
          <w:iCs/>
        </w:rPr>
        <w:t xml:space="preserve"> 465), the suite of FA SAPs and SAPs Annex 2 ‘basis and derivation of numerical targets’ describe the relationship between Design Basis Analysis, Probab</w:t>
      </w:r>
      <w:r w:rsidR="00C17F56">
        <w:rPr>
          <w:iCs/>
        </w:rPr>
        <w:t>i</w:t>
      </w:r>
      <w:r w:rsidRPr="00CC121D">
        <w:rPr>
          <w:iCs/>
        </w:rPr>
        <w:t>listic Safety Analysis and Severe Accident Analysis</w:t>
      </w:r>
      <w:r>
        <w:rPr>
          <w:iCs/>
        </w:rPr>
        <w:t>,</w:t>
      </w:r>
    </w:p>
    <w:p w14:paraId="2036866F" w14:textId="0DE8C373" w:rsidR="004828E5" w:rsidRPr="00A42F15" w:rsidRDefault="004828E5" w:rsidP="004828E5">
      <w:pPr>
        <w:numPr>
          <w:ilvl w:val="0"/>
          <w:numId w:val="11"/>
        </w:numPr>
        <w:spacing w:after="240"/>
        <w:ind w:hanging="731"/>
        <w:contextualSpacing/>
        <w:rPr>
          <w:iCs/>
        </w:rPr>
      </w:pPr>
      <w:r w:rsidRPr="00CC121D">
        <w:rPr>
          <w:iCs/>
        </w:rPr>
        <w:t xml:space="preserve">EHF.3 and EHF.6 state the expectation to identify interfaces between civil engineering design and areas of human interface where this has potential to impact on safety, ensuring workspaces are sufficient for operations and maintenance </w:t>
      </w:r>
      <w:r w:rsidRPr="00A42F15">
        <w:rPr>
          <w:iCs/>
        </w:rPr>
        <w:t>activities</w:t>
      </w:r>
      <w:r w:rsidR="00BD3A3E">
        <w:rPr>
          <w:iCs/>
        </w:rPr>
        <w:t>,</w:t>
      </w:r>
    </w:p>
    <w:p w14:paraId="66D00718" w14:textId="0E0B3DDD" w:rsidR="004828E5" w:rsidRPr="00A42F15" w:rsidRDefault="004828E5" w:rsidP="004828E5">
      <w:pPr>
        <w:numPr>
          <w:ilvl w:val="0"/>
          <w:numId w:val="11"/>
        </w:numPr>
        <w:spacing w:before="240" w:after="240"/>
        <w:ind w:hanging="731"/>
        <w:contextualSpacing/>
        <w:rPr>
          <w:iCs/>
        </w:rPr>
      </w:pPr>
      <w:r w:rsidRPr="00E73840">
        <w:rPr>
          <w:iCs/>
        </w:rPr>
        <w:t xml:space="preserve">MS.1-4 </w:t>
      </w:r>
      <w:r w:rsidR="007776C2" w:rsidRPr="00A52B56">
        <w:rPr>
          <w:iCs/>
        </w:rPr>
        <w:t xml:space="preserve">state the expectations </w:t>
      </w:r>
      <w:r w:rsidRPr="00DE2164">
        <w:rPr>
          <w:iCs/>
        </w:rPr>
        <w:t>for the appropriate leadership and organisation to deliver the design</w:t>
      </w:r>
      <w:r w:rsidR="004B0E0C">
        <w:rPr>
          <w:iCs/>
        </w:rPr>
        <w:t>,</w:t>
      </w:r>
    </w:p>
    <w:p w14:paraId="17241732" w14:textId="27D4F587" w:rsidR="00795C53" w:rsidRPr="00A42F15" w:rsidRDefault="004828E5" w:rsidP="004828E5">
      <w:pPr>
        <w:numPr>
          <w:ilvl w:val="0"/>
          <w:numId w:val="11"/>
        </w:numPr>
        <w:spacing w:before="240" w:after="240"/>
        <w:ind w:hanging="731"/>
        <w:contextualSpacing/>
        <w:rPr>
          <w:iCs/>
        </w:rPr>
      </w:pPr>
      <w:r w:rsidRPr="00A42F15">
        <w:rPr>
          <w:iCs/>
        </w:rPr>
        <w:t>ECS.1</w:t>
      </w:r>
      <w:r w:rsidR="00392B72" w:rsidRPr="00A42F15">
        <w:rPr>
          <w:iCs/>
        </w:rPr>
        <w:t xml:space="preserve"> and ECS.2</w:t>
      </w:r>
      <w:r w:rsidRPr="00A42F15">
        <w:rPr>
          <w:iCs/>
        </w:rPr>
        <w:t xml:space="preserve"> </w:t>
      </w:r>
      <w:r w:rsidR="007776C2" w:rsidRPr="00A42F15">
        <w:rPr>
          <w:iCs/>
        </w:rPr>
        <w:t xml:space="preserve">state the expectations for </w:t>
      </w:r>
      <w:r w:rsidR="00070EEF" w:rsidRPr="00A42F15">
        <w:rPr>
          <w:iCs/>
        </w:rPr>
        <w:t>safety categorisation</w:t>
      </w:r>
      <w:r w:rsidR="00392B72" w:rsidRPr="00A42F15">
        <w:rPr>
          <w:iCs/>
        </w:rPr>
        <w:t xml:space="preserve"> and classification</w:t>
      </w:r>
      <w:r w:rsidR="00BD3A3E">
        <w:rPr>
          <w:iCs/>
        </w:rPr>
        <w:t>,</w:t>
      </w:r>
    </w:p>
    <w:p w14:paraId="1DDDC231" w14:textId="5136CA45" w:rsidR="00392B72" w:rsidRPr="00A42F15" w:rsidRDefault="00392B72" w:rsidP="004828E5">
      <w:pPr>
        <w:numPr>
          <w:ilvl w:val="0"/>
          <w:numId w:val="11"/>
        </w:numPr>
        <w:spacing w:before="240" w:after="240"/>
        <w:ind w:hanging="731"/>
        <w:contextualSpacing/>
        <w:rPr>
          <w:iCs/>
        </w:rPr>
      </w:pPr>
      <w:r w:rsidRPr="00A42F15">
        <w:rPr>
          <w:iCs/>
        </w:rPr>
        <w:t>ECS.</w:t>
      </w:r>
      <w:r w:rsidR="003846F1" w:rsidRPr="00A42F15">
        <w:rPr>
          <w:iCs/>
        </w:rPr>
        <w:t xml:space="preserve">3. </w:t>
      </w:r>
      <w:r w:rsidRPr="00A42F15">
        <w:rPr>
          <w:iCs/>
        </w:rPr>
        <w:t>ECS.4</w:t>
      </w:r>
      <w:r w:rsidR="003846F1" w:rsidRPr="00A42F15">
        <w:rPr>
          <w:iCs/>
        </w:rPr>
        <w:t xml:space="preserve"> and ECS.5</w:t>
      </w:r>
      <w:r w:rsidRPr="00A42F15">
        <w:rPr>
          <w:iCs/>
        </w:rPr>
        <w:t xml:space="preserve"> state the expectations around codes and standards,</w:t>
      </w:r>
    </w:p>
    <w:p w14:paraId="6BC44DB8" w14:textId="269FAF0A" w:rsidR="00795C53" w:rsidRPr="00A42F15" w:rsidRDefault="004828E5" w:rsidP="004828E5">
      <w:pPr>
        <w:numPr>
          <w:ilvl w:val="0"/>
          <w:numId w:val="11"/>
        </w:numPr>
        <w:spacing w:before="240" w:after="240"/>
        <w:ind w:hanging="731"/>
        <w:contextualSpacing/>
        <w:rPr>
          <w:iCs/>
        </w:rPr>
      </w:pPr>
      <w:r w:rsidRPr="00A42F15">
        <w:rPr>
          <w:iCs/>
        </w:rPr>
        <w:t>SC4</w:t>
      </w:r>
      <w:r w:rsidR="00E35DE3" w:rsidRPr="00A42F15">
        <w:rPr>
          <w:iCs/>
        </w:rPr>
        <w:t>, SC.5, SC.6, SC.7 and SC.</w:t>
      </w:r>
      <w:r w:rsidRPr="00A42F15">
        <w:rPr>
          <w:iCs/>
        </w:rPr>
        <w:t>8</w:t>
      </w:r>
      <w:r w:rsidR="00E35DE3" w:rsidRPr="00A42F15">
        <w:rPr>
          <w:iCs/>
        </w:rPr>
        <w:t xml:space="preserve"> state the expectations around safety cases</w:t>
      </w:r>
      <w:r w:rsidRPr="00A42F15">
        <w:rPr>
          <w:iCs/>
        </w:rPr>
        <w:t xml:space="preserve">, </w:t>
      </w:r>
    </w:p>
    <w:p w14:paraId="55AD1B74" w14:textId="570ACAE7" w:rsidR="004828E5" w:rsidRPr="00A42F15" w:rsidRDefault="004828E5" w:rsidP="004828E5">
      <w:pPr>
        <w:numPr>
          <w:ilvl w:val="0"/>
          <w:numId w:val="11"/>
        </w:numPr>
        <w:spacing w:before="240" w:after="240"/>
        <w:ind w:hanging="731"/>
        <w:contextualSpacing/>
        <w:rPr>
          <w:iCs/>
        </w:rPr>
      </w:pPr>
      <w:r w:rsidRPr="00A42F15">
        <w:rPr>
          <w:iCs/>
        </w:rPr>
        <w:t xml:space="preserve">ERL.1 (and </w:t>
      </w:r>
      <w:r w:rsidR="0048633F" w:rsidRPr="00A42F15">
        <w:rPr>
          <w:iCs/>
        </w:rPr>
        <w:t>ECE.</w:t>
      </w:r>
      <w:r w:rsidR="001E1012" w:rsidRPr="00A42F15">
        <w:rPr>
          <w:iCs/>
        </w:rPr>
        <w:t>3, ECE.17</w:t>
      </w:r>
      <w:r w:rsidR="00A42F15" w:rsidRPr="00A42F15">
        <w:rPr>
          <w:iCs/>
        </w:rPr>
        <w:t>, ECE.19,</w:t>
      </w:r>
      <w:r w:rsidR="0048633F" w:rsidRPr="00A42F15">
        <w:rPr>
          <w:iCs/>
        </w:rPr>
        <w:t xml:space="preserve"> </w:t>
      </w:r>
      <w:r w:rsidRPr="00A42F15">
        <w:rPr>
          <w:iCs/>
        </w:rPr>
        <w:t>EMC.5 and EMC.6)</w:t>
      </w:r>
      <w:r w:rsidR="007A52CC" w:rsidRPr="00A42F15">
        <w:rPr>
          <w:iCs/>
        </w:rPr>
        <w:t xml:space="preserve"> state the expectations around reliability claims</w:t>
      </w:r>
      <w:r w:rsidR="0048633F" w:rsidRPr="00A42F15">
        <w:rPr>
          <w:iCs/>
        </w:rPr>
        <w:t xml:space="preserve"> and defects</w:t>
      </w:r>
      <w:r w:rsidRPr="00A42F15">
        <w:rPr>
          <w:iCs/>
        </w:rPr>
        <w:t>,</w:t>
      </w:r>
    </w:p>
    <w:p w14:paraId="6D031505" w14:textId="77777777" w:rsidR="004828E5" w:rsidRPr="00CC121D" w:rsidRDefault="004828E5" w:rsidP="004828E5">
      <w:pPr>
        <w:numPr>
          <w:ilvl w:val="0"/>
          <w:numId w:val="11"/>
        </w:numPr>
        <w:spacing w:before="240" w:after="240"/>
        <w:ind w:hanging="731"/>
        <w:contextualSpacing/>
        <w:rPr>
          <w:iCs/>
        </w:rPr>
      </w:pPr>
      <w:r w:rsidRPr="00A42F15">
        <w:rPr>
          <w:iCs/>
        </w:rPr>
        <w:t>EAD.1-4 states the expectation for the design to consider of the lifecycle duration required, establishing the proposed environment, clear understanding of the margins and ageing mech</w:t>
      </w:r>
      <w:r w:rsidRPr="00E73840">
        <w:rPr>
          <w:iCs/>
        </w:rPr>
        <w:t>anisms</w:t>
      </w:r>
      <w:r w:rsidRPr="00CC121D">
        <w:rPr>
          <w:iCs/>
        </w:rPr>
        <w:t xml:space="preserve"> throughout the projected design life, with EMT.2 stating the expectation </w:t>
      </w:r>
      <w:r>
        <w:rPr>
          <w:iCs/>
        </w:rPr>
        <w:t>for regular and systematic EIMT,</w:t>
      </w:r>
    </w:p>
    <w:p w14:paraId="2A4A3F87" w14:textId="77777777" w:rsidR="004828E5" w:rsidRPr="00B473B3" w:rsidRDefault="004828E5" w:rsidP="004828E5">
      <w:pPr>
        <w:numPr>
          <w:ilvl w:val="0"/>
          <w:numId w:val="11"/>
        </w:numPr>
        <w:spacing w:before="240" w:after="240"/>
        <w:ind w:hanging="731"/>
        <w:contextualSpacing/>
        <w:rPr>
          <w:iCs/>
        </w:rPr>
      </w:pPr>
      <w:r w:rsidRPr="00272F6F">
        <w:t>Where the structural design utilises Integrity of Metal Components and Structures, the following SAPs also apply: EMC 4-10, EMC 13-20, EMC 27, which the</w:t>
      </w:r>
      <w:r>
        <w:t xml:space="preserve"> I</w:t>
      </w:r>
      <w:r w:rsidRPr="00272F6F">
        <w:t>nspector will need</w:t>
      </w:r>
      <w:r>
        <w:t xml:space="preserve"> to include in their assessment,</w:t>
      </w:r>
    </w:p>
    <w:p w14:paraId="7D73E84B" w14:textId="77777777" w:rsidR="004828E5" w:rsidRPr="00CC121D" w:rsidRDefault="004828E5" w:rsidP="004828E5">
      <w:pPr>
        <w:numPr>
          <w:ilvl w:val="0"/>
          <w:numId w:val="11"/>
        </w:numPr>
        <w:spacing w:before="240" w:after="240"/>
        <w:ind w:hanging="731"/>
        <w:contextualSpacing/>
        <w:rPr>
          <w:iCs/>
        </w:rPr>
      </w:pPr>
      <w:r w:rsidRPr="00CC121D">
        <w:rPr>
          <w:iCs/>
        </w:rPr>
        <w:t>SC.8 the persons responsible for safety have the ownership of the safety case</w:t>
      </w:r>
      <w:r>
        <w:rPr>
          <w:iCs/>
        </w:rPr>
        <w:t>,</w:t>
      </w:r>
    </w:p>
    <w:p w14:paraId="62A385AC" w14:textId="77777777" w:rsidR="004828E5" w:rsidRPr="00CC121D" w:rsidRDefault="004828E5" w:rsidP="004828E5">
      <w:pPr>
        <w:numPr>
          <w:ilvl w:val="0"/>
          <w:numId w:val="11"/>
        </w:numPr>
        <w:spacing w:before="240" w:after="240"/>
        <w:ind w:hanging="731"/>
        <w:contextualSpacing/>
        <w:rPr>
          <w:iCs/>
        </w:rPr>
      </w:pPr>
      <w:r w:rsidRPr="00CC121D">
        <w:rPr>
          <w:iCs/>
        </w:rPr>
        <w:t>ELO.1, ELO.4, EHF.1, EH5-6 and DC.1 state the expectation that the design will consider</w:t>
      </w:r>
      <w:r>
        <w:rPr>
          <w:iCs/>
        </w:rPr>
        <w:t xml:space="preserve"> safety in</w:t>
      </w:r>
      <w:r w:rsidRPr="00CC121D">
        <w:rPr>
          <w:iCs/>
        </w:rPr>
        <w:t xml:space="preserve"> construction, mainten</w:t>
      </w:r>
      <w:r>
        <w:rPr>
          <w:iCs/>
        </w:rPr>
        <w:t>ance and decommissioning phases,</w:t>
      </w:r>
    </w:p>
    <w:p w14:paraId="364BFE36" w14:textId="77777777" w:rsidR="004828E5" w:rsidRPr="001449AB" w:rsidRDefault="004828E5" w:rsidP="004828E5">
      <w:pPr>
        <w:numPr>
          <w:ilvl w:val="0"/>
          <w:numId w:val="11"/>
        </w:numPr>
        <w:spacing w:before="240" w:after="240"/>
        <w:ind w:hanging="731"/>
        <w:contextualSpacing/>
        <w:rPr>
          <w:iCs/>
        </w:rPr>
      </w:pPr>
      <w:r w:rsidRPr="001449AB">
        <w:rPr>
          <w:iCs/>
        </w:rPr>
        <w:t>SAPs EMC.13, EMC.14, EMC.20, EMC.27 and EMC.30 for where a structural component also forms part of containment.</w:t>
      </w:r>
    </w:p>
    <w:p w14:paraId="1C643895" w14:textId="77777777" w:rsidR="004828E5" w:rsidRPr="00CC121D" w:rsidRDefault="004828E5" w:rsidP="004828E5">
      <w:pPr>
        <w:pStyle w:val="TSNumberedParagraph1"/>
        <w:rPr>
          <w:iCs/>
        </w:rPr>
      </w:pPr>
      <w:r w:rsidRPr="00CC121D">
        <w:rPr>
          <w:iCs/>
        </w:rPr>
        <w:t>For the key civil engineering principles on assessment of hazard identification and fault analysis, see:</w:t>
      </w:r>
    </w:p>
    <w:p w14:paraId="4BDB733C" w14:textId="1EB4197A" w:rsidR="004828E5" w:rsidRPr="00CC121D" w:rsidRDefault="004828E5" w:rsidP="004828E5">
      <w:pPr>
        <w:numPr>
          <w:ilvl w:val="0"/>
          <w:numId w:val="11"/>
        </w:numPr>
        <w:spacing w:after="240"/>
        <w:ind w:hanging="731"/>
        <w:contextualSpacing/>
        <w:rPr>
          <w:iCs/>
        </w:rPr>
      </w:pPr>
      <w:r>
        <w:rPr>
          <w:iCs/>
        </w:rPr>
        <w:t xml:space="preserve">TAG 17 </w:t>
      </w:r>
      <w:r w:rsidRPr="00CC121D">
        <w:rPr>
          <w:iCs/>
        </w:rPr>
        <w:t xml:space="preserve">Annex 1: </w:t>
      </w:r>
      <w:r w:rsidR="00305264">
        <w:rPr>
          <w:iCs/>
        </w:rPr>
        <w:t>‘</w:t>
      </w:r>
      <w:r w:rsidRPr="00CC121D">
        <w:rPr>
          <w:iCs/>
        </w:rPr>
        <w:t>Civil Engineering – Design</w:t>
      </w:r>
      <w:r w:rsidR="00DF758F">
        <w:rPr>
          <w:iCs/>
        </w:rPr>
        <w:t>’</w:t>
      </w:r>
      <w:r>
        <w:rPr>
          <w:iCs/>
        </w:rPr>
        <w:t>.</w:t>
      </w:r>
    </w:p>
    <w:p w14:paraId="3CE0AD19" w14:textId="77777777" w:rsidR="004828E5" w:rsidRPr="00CC121D" w:rsidRDefault="004828E5" w:rsidP="004828E5">
      <w:pPr>
        <w:pStyle w:val="TSNumberedParagraph1"/>
        <w:rPr>
          <w:iCs/>
        </w:rPr>
      </w:pPr>
      <w:r w:rsidRPr="00CC121D">
        <w:rPr>
          <w:iCs/>
        </w:rPr>
        <w:t>Further ONR expectations for assessments of hazards and faults are provided in:</w:t>
      </w:r>
    </w:p>
    <w:p w14:paraId="125D6BEE" w14:textId="04BC873B" w:rsidR="004828E5" w:rsidRPr="00CC121D" w:rsidRDefault="00407613" w:rsidP="004828E5">
      <w:pPr>
        <w:numPr>
          <w:ilvl w:val="0"/>
          <w:numId w:val="11"/>
        </w:numPr>
        <w:spacing w:after="240"/>
        <w:ind w:hanging="731"/>
        <w:contextualSpacing/>
        <w:rPr>
          <w:iCs/>
        </w:rPr>
      </w:pPr>
      <w:r>
        <w:rPr>
          <w:iCs/>
        </w:rPr>
        <w:t>ONR-</w:t>
      </w:r>
      <w:r w:rsidR="004828E5" w:rsidRPr="00CC121D">
        <w:rPr>
          <w:iCs/>
        </w:rPr>
        <w:t>NS-TAST-GD-014 ‘Internal Hazards’</w:t>
      </w:r>
      <w:r w:rsidR="004828E5">
        <w:rPr>
          <w:iCs/>
        </w:rPr>
        <w:t>,</w:t>
      </w:r>
    </w:p>
    <w:p w14:paraId="250246C1" w14:textId="12ED7A20" w:rsidR="004828E5" w:rsidRPr="00CC121D" w:rsidRDefault="00407613" w:rsidP="004828E5">
      <w:pPr>
        <w:numPr>
          <w:ilvl w:val="0"/>
          <w:numId w:val="11"/>
        </w:numPr>
        <w:spacing w:after="240"/>
        <w:ind w:hanging="731"/>
        <w:contextualSpacing/>
        <w:rPr>
          <w:iCs/>
        </w:rPr>
      </w:pPr>
      <w:r>
        <w:rPr>
          <w:iCs/>
        </w:rPr>
        <w:t>ONR-</w:t>
      </w:r>
      <w:r w:rsidR="004828E5" w:rsidRPr="00CC121D">
        <w:rPr>
          <w:iCs/>
        </w:rPr>
        <w:t>NS-TAST-GD-013 ‘External Hazards’</w:t>
      </w:r>
      <w:r w:rsidR="004828E5">
        <w:rPr>
          <w:iCs/>
        </w:rPr>
        <w:t>,</w:t>
      </w:r>
    </w:p>
    <w:p w14:paraId="636123EA" w14:textId="12A744BA" w:rsidR="004828E5" w:rsidRPr="00CC121D" w:rsidRDefault="00407613" w:rsidP="004828E5">
      <w:pPr>
        <w:numPr>
          <w:ilvl w:val="0"/>
          <w:numId w:val="11"/>
        </w:numPr>
        <w:spacing w:after="240"/>
        <w:ind w:hanging="731"/>
        <w:contextualSpacing/>
        <w:rPr>
          <w:iCs/>
        </w:rPr>
      </w:pPr>
      <w:r>
        <w:rPr>
          <w:iCs/>
        </w:rPr>
        <w:t>ONR-</w:t>
      </w:r>
      <w:r w:rsidR="004828E5" w:rsidRPr="00CC121D">
        <w:rPr>
          <w:iCs/>
        </w:rPr>
        <w:t>NS-TAST-GD-005 ‘Guidance on the demonstration of ALARP (As Low as Reasonably Practicable’</w:t>
      </w:r>
      <w:r w:rsidR="004828E5">
        <w:rPr>
          <w:iCs/>
        </w:rPr>
        <w:t>,</w:t>
      </w:r>
    </w:p>
    <w:p w14:paraId="20ABC4FE" w14:textId="50499673" w:rsidR="004828E5" w:rsidRPr="00CC121D" w:rsidRDefault="00407613" w:rsidP="004828E5">
      <w:pPr>
        <w:numPr>
          <w:ilvl w:val="0"/>
          <w:numId w:val="11"/>
        </w:numPr>
        <w:spacing w:after="240"/>
        <w:ind w:hanging="731"/>
        <w:contextualSpacing/>
        <w:rPr>
          <w:iCs/>
        </w:rPr>
      </w:pPr>
      <w:r>
        <w:rPr>
          <w:iCs/>
        </w:rPr>
        <w:t>ONR-</w:t>
      </w:r>
      <w:r w:rsidR="004828E5" w:rsidRPr="00CC121D">
        <w:rPr>
          <w:iCs/>
        </w:rPr>
        <w:t>NS-TAST-GD-017 ‘Severe accident analysis’</w:t>
      </w:r>
      <w:r w:rsidR="004828E5">
        <w:rPr>
          <w:iCs/>
        </w:rPr>
        <w:t>,</w:t>
      </w:r>
    </w:p>
    <w:p w14:paraId="78B0F6D9" w14:textId="46A6D018" w:rsidR="004828E5" w:rsidRPr="00CC121D" w:rsidRDefault="00407613" w:rsidP="004828E5">
      <w:pPr>
        <w:numPr>
          <w:ilvl w:val="0"/>
          <w:numId w:val="11"/>
        </w:numPr>
        <w:spacing w:after="240"/>
        <w:ind w:hanging="731"/>
        <w:contextualSpacing/>
        <w:rPr>
          <w:iCs/>
        </w:rPr>
      </w:pPr>
      <w:r>
        <w:rPr>
          <w:iCs/>
        </w:rPr>
        <w:t>ONR-</w:t>
      </w:r>
      <w:r w:rsidR="004828E5" w:rsidRPr="00CC121D">
        <w:rPr>
          <w:iCs/>
        </w:rPr>
        <w:t>NS-TAST-GD-030 ‘Probab</w:t>
      </w:r>
      <w:r w:rsidR="003419AD">
        <w:rPr>
          <w:iCs/>
        </w:rPr>
        <w:t>i</w:t>
      </w:r>
      <w:r w:rsidR="004828E5" w:rsidRPr="00CC121D">
        <w:rPr>
          <w:iCs/>
        </w:rPr>
        <w:t>listic safety analysis’</w:t>
      </w:r>
      <w:r w:rsidR="004828E5">
        <w:rPr>
          <w:iCs/>
        </w:rPr>
        <w:t>,</w:t>
      </w:r>
    </w:p>
    <w:p w14:paraId="37FAD3F9" w14:textId="3635BA9C" w:rsidR="004828E5" w:rsidRPr="00CC121D" w:rsidRDefault="00407613" w:rsidP="004828E5">
      <w:pPr>
        <w:numPr>
          <w:ilvl w:val="0"/>
          <w:numId w:val="11"/>
        </w:numPr>
        <w:spacing w:after="240"/>
        <w:ind w:hanging="731"/>
        <w:contextualSpacing/>
        <w:rPr>
          <w:iCs/>
        </w:rPr>
      </w:pPr>
      <w:r>
        <w:rPr>
          <w:iCs/>
        </w:rPr>
        <w:t>ONR-</w:t>
      </w:r>
      <w:r w:rsidR="004828E5" w:rsidRPr="00CC121D">
        <w:rPr>
          <w:iCs/>
        </w:rPr>
        <w:t>NS-TAST-GD-002 ‘Radiation Shielding’</w:t>
      </w:r>
      <w:r w:rsidR="004828E5">
        <w:rPr>
          <w:iCs/>
        </w:rPr>
        <w:t>,</w:t>
      </w:r>
    </w:p>
    <w:p w14:paraId="2CA2DC16" w14:textId="1CA39AB2" w:rsidR="004828E5" w:rsidRPr="00CC121D" w:rsidRDefault="00407613" w:rsidP="004828E5">
      <w:pPr>
        <w:numPr>
          <w:ilvl w:val="0"/>
          <w:numId w:val="11"/>
        </w:numPr>
        <w:spacing w:after="240"/>
        <w:ind w:hanging="731"/>
        <w:contextualSpacing/>
      </w:pPr>
      <w:r>
        <w:rPr>
          <w:iCs/>
        </w:rPr>
        <w:t>ONR-</w:t>
      </w:r>
      <w:r w:rsidR="004828E5" w:rsidRPr="00CC121D">
        <w:t>NS-TAST-GD-075 ‘Safety Aspects Specific to Nuclear Fuel in Power Reactors’</w:t>
      </w:r>
      <w:r w:rsidR="004828E5">
        <w:t>,</w:t>
      </w:r>
    </w:p>
    <w:p w14:paraId="7EE20FA8" w14:textId="4E3B1942" w:rsidR="004828E5" w:rsidRPr="00CC121D" w:rsidRDefault="00407613" w:rsidP="004828E5">
      <w:pPr>
        <w:numPr>
          <w:ilvl w:val="0"/>
          <w:numId w:val="11"/>
        </w:numPr>
        <w:spacing w:after="240"/>
        <w:ind w:hanging="731"/>
        <w:contextualSpacing/>
        <w:rPr>
          <w:iCs/>
        </w:rPr>
      </w:pPr>
      <w:r>
        <w:rPr>
          <w:iCs/>
        </w:rPr>
        <w:t>ONR-</w:t>
      </w:r>
      <w:r w:rsidR="004828E5" w:rsidRPr="00CC121D">
        <w:rPr>
          <w:iCs/>
        </w:rPr>
        <w:t>NS-TAST-GD-004 ‘Fundamental Principles’</w:t>
      </w:r>
      <w:r w:rsidR="004828E5">
        <w:rPr>
          <w:iCs/>
        </w:rPr>
        <w:t>,</w:t>
      </w:r>
    </w:p>
    <w:p w14:paraId="417F8DCD" w14:textId="40D9157A" w:rsidR="004828E5" w:rsidRPr="00CC121D" w:rsidRDefault="00407613" w:rsidP="004828E5">
      <w:pPr>
        <w:numPr>
          <w:ilvl w:val="0"/>
          <w:numId w:val="11"/>
        </w:numPr>
        <w:spacing w:after="240"/>
        <w:ind w:hanging="731"/>
        <w:contextualSpacing/>
        <w:rPr>
          <w:iCs/>
        </w:rPr>
      </w:pPr>
      <w:r>
        <w:rPr>
          <w:iCs/>
        </w:rPr>
        <w:t>ONR-</w:t>
      </w:r>
      <w:r w:rsidR="004828E5" w:rsidRPr="00CC121D">
        <w:rPr>
          <w:iCs/>
        </w:rPr>
        <w:t>NS-TAST-GD-045 ‘Fault Conditions’</w:t>
      </w:r>
      <w:r w:rsidR="004828E5">
        <w:rPr>
          <w:iCs/>
        </w:rPr>
        <w:t>,</w:t>
      </w:r>
    </w:p>
    <w:p w14:paraId="556FCF5B" w14:textId="04B3FAFA" w:rsidR="004828E5" w:rsidRPr="00CC121D" w:rsidRDefault="00407613" w:rsidP="004828E5">
      <w:pPr>
        <w:numPr>
          <w:ilvl w:val="0"/>
          <w:numId w:val="11"/>
        </w:numPr>
        <w:spacing w:after="240"/>
        <w:ind w:hanging="731"/>
        <w:contextualSpacing/>
        <w:rPr>
          <w:iCs/>
        </w:rPr>
      </w:pPr>
      <w:r>
        <w:rPr>
          <w:iCs/>
        </w:rPr>
        <w:t>ONR-</w:t>
      </w:r>
      <w:r w:rsidR="004828E5" w:rsidRPr="00CC121D">
        <w:rPr>
          <w:iCs/>
        </w:rPr>
        <w:t>NS-TAST-GD-019 ‘Essential Systems’</w:t>
      </w:r>
      <w:r w:rsidR="004828E5">
        <w:rPr>
          <w:iCs/>
        </w:rPr>
        <w:t>.</w:t>
      </w:r>
    </w:p>
    <w:p w14:paraId="3D72C6C0" w14:textId="77777777" w:rsidR="004828E5" w:rsidRPr="00CC121D" w:rsidRDefault="004828E5" w:rsidP="008F3139">
      <w:pPr>
        <w:pStyle w:val="TSHeadingNumbered111"/>
      </w:pPr>
      <w:r w:rsidRPr="00CC121D">
        <w:t>Related Accident and Emergency considerations</w:t>
      </w:r>
    </w:p>
    <w:p w14:paraId="773F94C7" w14:textId="779C7DCF" w:rsidR="004828E5" w:rsidRPr="00CC121D" w:rsidRDefault="004828E5" w:rsidP="004828E5">
      <w:pPr>
        <w:pStyle w:val="TSNumberedParagraph1"/>
        <w:rPr>
          <w:iCs/>
        </w:rPr>
      </w:pPr>
      <w:r w:rsidRPr="00CC121D">
        <w:rPr>
          <w:iCs/>
        </w:rPr>
        <w:t xml:space="preserve">The anticipated performance during normal operation, fault and accident condition should be highlighted. </w:t>
      </w:r>
      <w:r>
        <w:rPr>
          <w:iCs/>
        </w:rPr>
        <w:t>The Inspector</w:t>
      </w:r>
      <w:r w:rsidRPr="00CC121D">
        <w:rPr>
          <w:iCs/>
        </w:rPr>
        <w:t xml:space="preserve"> should be aware of when the performance requirement on civil engineering structures, systems and components (SSCs) differs when subject to different loadings. During an event, a different source of loading is applied. The Inspector </w:t>
      </w:r>
      <w:r>
        <w:rPr>
          <w:iCs/>
        </w:rPr>
        <w:t>may wish to</w:t>
      </w:r>
      <w:r w:rsidRPr="00CC121D">
        <w:rPr>
          <w:iCs/>
        </w:rPr>
        <w:t xml:space="preserve"> understand the structural response to loading from an event, with clarity around whether the civil engineering SSC is to return to fully satisfy original safety function requirements post-event. Where structural collapse is considered as a tolerable structural response to a beyond design basis event, the Inspector </w:t>
      </w:r>
      <w:r>
        <w:rPr>
          <w:iCs/>
        </w:rPr>
        <w:t>may wish to</w:t>
      </w:r>
      <w:r w:rsidRPr="00CC121D">
        <w:rPr>
          <w:iCs/>
        </w:rPr>
        <w:t xml:space="preserve"> </w:t>
      </w:r>
      <w:r w:rsidR="007C4E48">
        <w:rPr>
          <w:iCs/>
        </w:rPr>
        <w:t>seek assurance</w:t>
      </w:r>
      <w:r>
        <w:rPr>
          <w:iCs/>
        </w:rPr>
        <w:t xml:space="preserve"> that</w:t>
      </w:r>
      <w:r w:rsidRPr="00CC121D">
        <w:rPr>
          <w:iCs/>
        </w:rPr>
        <w:t xml:space="preserve"> progressive </w:t>
      </w:r>
      <w:r>
        <w:rPr>
          <w:iCs/>
        </w:rPr>
        <w:t>or disproportionate collapse is avoided by design.</w:t>
      </w:r>
    </w:p>
    <w:p w14:paraId="5D3B9F1C" w14:textId="77777777" w:rsidR="004828E5" w:rsidRPr="00CC121D" w:rsidRDefault="004828E5" w:rsidP="004828E5">
      <w:pPr>
        <w:pStyle w:val="TSNumberedParagraph1"/>
        <w:rPr>
          <w:iCs/>
        </w:rPr>
      </w:pPr>
      <w:r w:rsidRPr="00CC121D">
        <w:rPr>
          <w:iCs/>
        </w:rPr>
        <w:t>The key safety assessment principles for the civil engineering assessment of accident or emergency response are:</w:t>
      </w:r>
    </w:p>
    <w:p w14:paraId="5353E916" w14:textId="77777777" w:rsidR="004828E5" w:rsidRPr="00CC121D" w:rsidRDefault="004828E5" w:rsidP="004828E5">
      <w:pPr>
        <w:numPr>
          <w:ilvl w:val="0"/>
          <w:numId w:val="11"/>
        </w:numPr>
        <w:spacing w:after="240"/>
        <w:ind w:hanging="731"/>
        <w:contextualSpacing/>
        <w:rPr>
          <w:iCs/>
        </w:rPr>
      </w:pPr>
      <w:r w:rsidRPr="00CC121D">
        <w:rPr>
          <w:iCs/>
        </w:rPr>
        <w:t>ECE.1 states the expectation that the safety functions and structural performance under fault and accident conditions should be specified, including control rooms and on-site and off-site emergency control centres</w:t>
      </w:r>
      <w:r>
        <w:rPr>
          <w:iCs/>
        </w:rPr>
        <w:t>,</w:t>
      </w:r>
    </w:p>
    <w:p w14:paraId="5521CAC1" w14:textId="77777777" w:rsidR="004828E5" w:rsidRPr="00CC121D" w:rsidRDefault="004828E5" w:rsidP="004828E5">
      <w:pPr>
        <w:numPr>
          <w:ilvl w:val="0"/>
          <w:numId w:val="11"/>
        </w:numPr>
        <w:spacing w:after="240"/>
        <w:ind w:hanging="731"/>
        <w:contextualSpacing/>
        <w:rPr>
          <w:iCs/>
        </w:rPr>
      </w:pPr>
      <w:r w:rsidRPr="00CC121D">
        <w:rPr>
          <w:iCs/>
        </w:rPr>
        <w:t>AM.1 where civil engineering SSCs are used in accident management and emergency arrangements, e.g. fire escapes, control room structures or emergency control centre structures</w:t>
      </w:r>
      <w:r>
        <w:rPr>
          <w:iCs/>
        </w:rPr>
        <w:t>.</w:t>
      </w:r>
    </w:p>
    <w:p w14:paraId="0C6C3F2F" w14:textId="77777777" w:rsidR="004828E5" w:rsidRPr="00CC121D" w:rsidRDefault="004828E5" w:rsidP="004828E5">
      <w:pPr>
        <w:pStyle w:val="TSNumberedParagraph1"/>
        <w:rPr>
          <w:iCs/>
        </w:rPr>
      </w:pPr>
      <w:r w:rsidRPr="00CC121D">
        <w:rPr>
          <w:iCs/>
        </w:rPr>
        <w:t>For the key civil engineering principles regarding assessment of acciden</w:t>
      </w:r>
      <w:r>
        <w:rPr>
          <w:iCs/>
        </w:rPr>
        <w:t>t and emergency response, see:</w:t>
      </w:r>
    </w:p>
    <w:p w14:paraId="2FC0A539" w14:textId="6222CF0C" w:rsidR="004828E5" w:rsidRPr="00CC121D" w:rsidRDefault="004828E5" w:rsidP="004828E5">
      <w:pPr>
        <w:numPr>
          <w:ilvl w:val="0"/>
          <w:numId w:val="11"/>
        </w:numPr>
        <w:spacing w:after="240"/>
        <w:ind w:hanging="731"/>
        <w:contextualSpacing/>
        <w:rPr>
          <w:iCs/>
        </w:rPr>
      </w:pPr>
      <w:r>
        <w:rPr>
          <w:iCs/>
        </w:rPr>
        <w:t xml:space="preserve">TAG 17 </w:t>
      </w:r>
      <w:r w:rsidRPr="00CC121D">
        <w:rPr>
          <w:iCs/>
        </w:rPr>
        <w:t>Annex 1</w:t>
      </w:r>
      <w:r w:rsidR="00A42F15">
        <w:rPr>
          <w:iCs/>
        </w:rPr>
        <w:t xml:space="preserve">, </w:t>
      </w:r>
      <w:r w:rsidR="001F1442">
        <w:rPr>
          <w:iCs/>
        </w:rPr>
        <w:t>‘</w:t>
      </w:r>
      <w:r w:rsidRPr="00CC121D">
        <w:rPr>
          <w:iCs/>
        </w:rPr>
        <w:t>Civil Engineering – Design</w:t>
      </w:r>
      <w:r w:rsidR="00DF758F">
        <w:rPr>
          <w:iCs/>
        </w:rPr>
        <w:t>’</w:t>
      </w:r>
      <w:r w:rsidR="00AD753C">
        <w:rPr>
          <w:iCs/>
        </w:rPr>
        <w:t>.</w:t>
      </w:r>
    </w:p>
    <w:p w14:paraId="0C8F4990" w14:textId="0E9C0379" w:rsidR="004828E5" w:rsidRPr="00CC121D" w:rsidRDefault="004828E5" w:rsidP="004828E5">
      <w:pPr>
        <w:pStyle w:val="TSNumberedParagraph1"/>
        <w:rPr>
          <w:iCs/>
        </w:rPr>
      </w:pPr>
      <w:r w:rsidRPr="00CC121D">
        <w:rPr>
          <w:iCs/>
        </w:rPr>
        <w:t xml:space="preserve">Further ONR </w:t>
      </w:r>
      <w:r w:rsidR="0051729D">
        <w:rPr>
          <w:iCs/>
        </w:rPr>
        <w:t>guidance</w:t>
      </w:r>
      <w:r w:rsidR="0051729D" w:rsidRPr="00CC121D">
        <w:rPr>
          <w:iCs/>
        </w:rPr>
        <w:t xml:space="preserve"> </w:t>
      </w:r>
      <w:r w:rsidRPr="00CC121D">
        <w:rPr>
          <w:iCs/>
        </w:rPr>
        <w:t>for assessments of emergency response are provided in:</w:t>
      </w:r>
    </w:p>
    <w:p w14:paraId="7005C239" w14:textId="73210D54" w:rsidR="004828E5" w:rsidRPr="00CC121D" w:rsidRDefault="00407613" w:rsidP="004828E5">
      <w:pPr>
        <w:numPr>
          <w:ilvl w:val="0"/>
          <w:numId w:val="11"/>
        </w:numPr>
        <w:spacing w:after="240"/>
        <w:ind w:hanging="731"/>
        <w:contextualSpacing/>
        <w:rPr>
          <w:iCs/>
        </w:rPr>
      </w:pPr>
      <w:r>
        <w:rPr>
          <w:iCs/>
        </w:rPr>
        <w:t>ONR-</w:t>
      </w:r>
      <w:r w:rsidR="004828E5" w:rsidRPr="00CC121D">
        <w:rPr>
          <w:iCs/>
        </w:rPr>
        <w:t>NS-TAST-GD-082 ‘the Technical Assessment of REPPIR Submissions’</w:t>
      </w:r>
      <w:r w:rsidR="004828E5">
        <w:rPr>
          <w:iCs/>
        </w:rPr>
        <w:t>,</w:t>
      </w:r>
    </w:p>
    <w:p w14:paraId="27F8E54B" w14:textId="2A9B56EF" w:rsidR="004828E5" w:rsidRPr="00CC121D" w:rsidRDefault="00407613" w:rsidP="004828E5">
      <w:pPr>
        <w:numPr>
          <w:ilvl w:val="0"/>
          <w:numId w:val="11"/>
        </w:numPr>
        <w:spacing w:after="240"/>
        <w:ind w:hanging="731"/>
        <w:contextualSpacing/>
      </w:pPr>
      <w:r>
        <w:rPr>
          <w:iCs/>
        </w:rPr>
        <w:t>ONR-</w:t>
      </w:r>
      <w:r w:rsidR="004828E5" w:rsidRPr="00CC121D">
        <w:rPr>
          <w:iCs/>
        </w:rPr>
        <w:t>NS</w:t>
      </w:r>
      <w:r w:rsidR="004828E5" w:rsidRPr="00CC121D">
        <w:t>-TAST-GD-019 ‘Essential Systems’ including emergency supplies e.g. drainage and pipework (often underground)</w:t>
      </w:r>
      <w:r w:rsidR="004828E5">
        <w:t>,</w:t>
      </w:r>
    </w:p>
    <w:p w14:paraId="128126F8" w14:textId="00397D9F" w:rsidR="004828E5" w:rsidRPr="00CC121D" w:rsidRDefault="00407613" w:rsidP="004828E5">
      <w:pPr>
        <w:numPr>
          <w:ilvl w:val="0"/>
          <w:numId w:val="11"/>
        </w:numPr>
        <w:spacing w:after="240"/>
        <w:ind w:hanging="731"/>
        <w:contextualSpacing/>
      </w:pPr>
      <w:r>
        <w:rPr>
          <w:iCs/>
        </w:rPr>
        <w:t>ONR-</w:t>
      </w:r>
      <w:r w:rsidR="004828E5" w:rsidRPr="00CC121D">
        <w:t>NS-TAST-GD-045 ‘Radiological analysis for Fault Conditions’</w:t>
      </w:r>
      <w:r w:rsidR="004828E5">
        <w:t>,</w:t>
      </w:r>
    </w:p>
    <w:p w14:paraId="7FC0BED3" w14:textId="563C7766" w:rsidR="004828E5" w:rsidRPr="00CC121D" w:rsidRDefault="00407613" w:rsidP="004828E5">
      <w:pPr>
        <w:numPr>
          <w:ilvl w:val="0"/>
          <w:numId w:val="11"/>
        </w:numPr>
        <w:spacing w:after="240"/>
        <w:ind w:hanging="731"/>
        <w:contextualSpacing/>
      </w:pPr>
      <w:r>
        <w:rPr>
          <w:iCs/>
        </w:rPr>
        <w:t>ONR-</w:t>
      </w:r>
      <w:r w:rsidR="004828E5" w:rsidRPr="00CC121D">
        <w:t>NS-INSP-GD-067 ‘Offsite Emergency Arrangements’</w:t>
      </w:r>
      <w:r w:rsidR="004828E5">
        <w:t>.</w:t>
      </w:r>
    </w:p>
    <w:p w14:paraId="06FCBDDE" w14:textId="77777777" w:rsidR="001F5732" w:rsidRDefault="001F5732">
      <w:pPr>
        <w:rPr>
          <w:rFonts w:ascii="Arial Bold" w:hAnsi="Arial Bold"/>
          <w:b/>
        </w:rPr>
      </w:pPr>
      <w:r>
        <w:br w:type="page"/>
      </w:r>
    </w:p>
    <w:p w14:paraId="2065907A" w14:textId="1B2F7734" w:rsidR="004828E5" w:rsidRPr="00940C86" w:rsidRDefault="004828E5" w:rsidP="008F3139">
      <w:pPr>
        <w:pStyle w:val="TSHeadingNumbered111"/>
      </w:pPr>
      <w:r w:rsidRPr="00940C86">
        <w:t>Categorisation and Classification</w:t>
      </w:r>
    </w:p>
    <w:p w14:paraId="62BF4F1E" w14:textId="77777777" w:rsidR="001F5732" w:rsidRDefault="004828E5" w:rsidP="004828E5">
      <w:pPr>
        <w:pStyle w:val="TSNumberedParagraph1"/>
        <w:rPr>
          <w:iCs/>
        </w:rPr>
      </w:pPr>
      <w:r w:rsidRPr="00940C86">
        <w:rPr>
          <w:iCs/>
        </w:rPr>
        <w:t xml:space="preserve">The categorisation of safety functions and classification of civil engineering structures should be consistent with the potential consequence of failure of the civil engineering structures, systems and components (SSCs). </w:t>
      </w:r>
    </w:p>
    <w:p w14:paraId="73645A7B" w14:textId="290C9510" w:rsidR="004828E5" w:rsidRPr="00940C86" w:rsidRDefault="004828E5" w:rsidP="004828E5">
      <w:pPr>
        <w:pStyle w:val="TSNumberedParagraph1"/>
        <w:rPr>
          <w:iCs/>
        </w:rPr>
      </w:pPr>
      <w:r>
        <w:rPr>
          <w:iCs/>
        </w:rPr>
        <w:t>The Inspector</w:t>
      </w:r>
      <w:r w:rsidRPr="00940C86">
        <w:rPr>
          <w:iCs/>
        </w:rPr>
        <w:t xml:space="preserve"> </w:t>
      </w:r>
      <w:r w:rsidR="00FE453A">
        <w:rPr>
          <w:iCs/>
        </w:rPr>
        <w:t xml:space="preserve">may wish to seek assurance </w:t>
      </w:r>
      <w:r w:rsidRPr="00940C86">
        <w:rPr>
          <w:iCs/>
        </w:rPr>
        <w:t xml:space="preserve">that </w:t>
      </w:r>
      <w:proofErr w:type="spellStart"/>
      <w:r>
        <w:rPr>
          <w:iCs/>
        </w:rPr>
        <w:t>dutyholders</w:t>
      </w:r>
      <w:proofErr w:type="spellEnd"/>
      <w:r w:rsidRPr="00940C86">
        <w:rPr>
          <w:iCs/>
        </w:rPr>
        <w:t xml:space="preserve"> have used appropriate processes to determine the safety categorisation and associated classification of civil engineering SSCs.</w:t>
      </w:r>
    </w:p>
    <w:p w14:paraId="6BF0096E" w14:textId="1A0A74CB" w:rsidR="004828E5" w:rsidRPr="00CC121D" w:rsidRDefault="004828E5" w:rsidP="004828E5">
      <w:pPr>
        <w:pStyle w:val="TSNumberedParagraph1"/>
        <w:rPr>
          <w:iCs/>
        </w:rPr>
      </w:pPr>
      <w:r w:rsidRPr="00CC121D">
        <w:rPr>
          <w:iCs/>
        </w:rPr>
        <w:t>Unless justification is presented to the contrary, the civil engineering SSC should have a safety function categorisation and associated classification that is no lower than that claimed on any equipment that is reliant on the continued safety function(s) provided by the civil engineering</w:t>
      </w:r>
      <w:r>
        <w:rPr>
          <w:iCs/>
        </w:rPr>
        <w:t xml:space="preserve"> SSC. For example, </w:t>
      </w:r>
      <w:r w:rsidR="003419AD">
        <w:rPr>
          <w:iCs/>
        </w:rPr>
        <w:t>an</w:t>
      </w:r>
      <w:r>
        <w:rPr>
          <w:iCs/>
        </w:rPr>
        <w:t xml:space="preserve"> SSC might be supported by a civil engineering component with a lower categorisation if failure of the lower categorised component does not have a significant adverse effect upon the SSC with a higher categorisation.</w:t>
      </w:r>
    </w:p>
    <w:p w14:paraId="72A6BEC3" w14:textId="77777777" w:rsidR="004828E5" w:rsidRPr="00CC121D" w:rsidRDefault="004828E5" w:rsidP="004828E5">
      <w:pPr>
        <w:pStyle w:val="TSNumberedParagraph1"/>
        <w:rPr>
          <w:iCs/>
        </w:rPr>
      </w:pPr>
      <w:r w:rsidRPr="00CC121D">
        <w:rPr>
          <w:iCs/>
        </w:rPr>
        <w:t>The key assessment principles for the civil engineering assessment of safety categorisation and classification are:</w:t>
      </w:r>
    </w:p>
    <w:p w14:paraId="01F13E26" w14:textId="77777777" w:rsidR="004828E5" w:rsidRPr="002358CE" w:rsidRDefault="004828E5" w:rsidP="004828E5">
      <w:pPr>
        <w:numPr>
          <w:ilvl w:val="0"/>
          <w:numId w:val="11"/>
        </w:numPr>
        <w:spacing w:after="240"/>
        <w:ind w:hanging="731"/>
        <w:contextualSpacing/>
        <w:rPr>
          <w:iCs/>
        </w:rPr>
      </w:pPr>
      <w:r w:rsidRPr="002358CE">
        <w:rPr>
          <w:iCs/>
        </w:rPr>
        <w:t>SAPs ECS.1-ECS.5 state the expectations around safety categorisation, classification, use (and abs</w:t>
      </w:r>
      <w:r>
        <w:rPr>
          <w:iCs/>
        </w:rPr>
        <w:t>ence of) of codes and standards,</w:t>
      </w:r>
    </w:p>
    <w:p w14:paraId="1EE9DC4C" w14:textId="5F6CD223" w:rsidR="004828E5" w:rsidRPr="00CC121D" w:rsidRDefault="004828E5" w:rsidP="004828E5">
      <w:pPr>
        <w:numPr>
          <w:ilvl w:val="0"/>
          <w:numId w:val="11"/>
        </w:numPr>
        <w:spacing w:after="240"/>
        <w:ind w:hanging="731"/>
        <w:contextualSpacing/>
        <w:rPr>
          <w:iCs/>
        </w:rPr>
      </w:pPr>
      <w:r w:rsidRPr="00CC121D">
        <w:rPr>
          <w:iCs/>
        </w:rPr>
        <w:t xml:space="preserve">ECE.1 states the expectation that the safety function and associated structural performance </w:t>
      </w:r>
      <w:r w:rsidR="003D5541">
        <w:rPr>
          <w:iCs/>
        </w:rPr>
        <w:t xml:space="preserve">(and required resilience) </w:t>
      </w:r>
      <w:r w:rsidRPr="00CC121D">
        <w:rPr>
          <w:iCs/>
        </w:rPr>
        <w:t>of civil engineering SSCs are specified</w:t>
      </w:r>
      <w:r>
        <w:rPr>
          <w:iCs/>
        </w:rPr>
        <w:t>,</w:t>
      </w:r>
    </w:p>
    <w:p w14:paraId="0CB514B3" w14:textId="72F43B89" w:rsidR="004828E5" w:rsidRPr="00CC121D" w:rsidRDefault="004828E5" w:rsidP="004828E5">
      <w:pPr>
        <w:numPr>
          <w:ilvl w:val="0"/>
          <w:numId w:val="11"/>
        </w:numPr>
        <w:spacing w:after="240"/>
        <w:ind w:hanging="731"/>
        <w:contextualSpacing/>
        <w:rPr>
          <w:iCs/>
        </w:rPr>
      </w:pPr>
      <w:r w:rsidRPr="00CC121D">
        <w:rPr>
          <w:iCs/>
        </w:rPr>
        <w:t xml:space="preserve">ECE.2 states that the multiple, independent and diverse arguments should be provided for structures requiring the highest levels of reliability, and that for structures that are not of major safety significance, the list of factors in </w:t>
      </w:r>
      <w:r w:rsidR="00DD3FA4">
        <w:rPr>
          <w:iCs/>
        </w:rPr>
        <w:t xml:space="preserve">SAPs </w:t>
      </w:r>
      <w:r w:rsidRPr="00CC121D">
        <w:rPr>
          <w:iCs/>
        </w:rPr>
        <w:t>para</w:t>
      </w:r>
      <w:r w:rsidR="00DD3FA4">
        <w:rPr>
          <w:iCs/>
        </w:rPr>
        <w:t>graph</w:t>
      </w:r>
      <w:r w:rsidRPr="00CC121D">
        <w:rPr>
          <w:iCs/>
        </w:rPr>
        <w:t xml:space="preserve"> 337 remain relevant, though the stringency of their application should reflect the sa</w:t>
      </w:r>
      <w:r>
        <w:rPr>
          <w:iCs/>
        </w:rPr>
        <w:t>fety classification of the item,</w:t>
      </w:r>
    </w:p>
    <w:p w14:paraId="19E7CD47" w14:textId="77777777" w:rsidR="004828E5" w:rsidRPr="00CC121D" w:rsidRDefault="004828E5" w:rsidP="004828E5">
      <w:pPr>
        <w:numPr>
          <w:ilvl w:val="0"/>
          <w:numId w:val="11"/>
        </w:numPr>
        <w:spacing w:after="240"/>
        <w:ind w:hanging="731"/>
        <w:contextualSpacing/>
        <w:rPr>
          <w:iCs/>
        </w:rPr>
      </w:pPr>
      <w:r w:rsidRPr="00CC121D">
        <w:rPr>
          <w:iCs/>
        </w:rPr>
        <w:t>ECE.9 states the expectation that earthworks are assigned the appropriate safety classification</w:t>
      </w:r>
      <w:r>
        <w:rPr>
          <w:iCs/>
        </w:rPr>
        <w:t>.</w:t>
      </w:r>
    </w:p>
    <w:p w14:paraId="6CBAE3BF" w14:textId="77777777" w:rsidR="004828E5" w:rsidRPr="00CC121D" w:rsidRDefault="004828E5" w:rsidP="004828E5">
      <w:pPr>
        <w:pStyle w:val="TSNumberedParagraph1"/>
        <w:rPr>
          <w:iCs/>
        </w:rPr>
      </w:pPr>
      <w:r w:rsidRPr="00CC121D">
        <w:rPr>
          <w:iCs/>
        </w:rPr>
        <w:t>ONR expectations and further guidance on assessment of categorisation and classification is available in:</w:t>
      </w:r>
    </w:p>
    <w:p w14:paraId="58C0171D" w14:textId="7F8D9921" w:rsidR="004828E5" w:rsidRPr="00CC121D" w:rsidRDefault="004828E5" w:rsidP="004828E5">
      <w:pPr>
        <w:numPr>
          <w:ilvl w:val="0"/>
          <w:numId w:val="11"/>
        </w:numPr>
        <w:spacing w:after="240"/>
        <w:ind w:hanging="731"/>
        <w:contextualSpacing/>
        <w:rPr>
          <w:iCs/>
        </w:rPr>
      </w:pPr>
      <w:r>
        <w:rPr>
          <w:iCs/>
        </w:rPr>
        <w:t xml:space="preserve">TAG 17 </w:t>
      </w:r>
      <w:r w:rsidRPr="00CC121D">
        <w:rPr>
          <w:iCs/>
        </w:rPr>
        <w:t>Annex 1</w:t>
      </w:r>
      <w:r w:rsidR="00A42F15">
        <w:rPr>
          <w:iCs/>
        </w:rPr>
        <w:t>,</w:t>
      </w:r>
      <w:r w:rsidRPr="00CC121D">
        <w:rPr>
          <w:iCs/>
        </w:rPr>
        <w:t xml:space="preserve"> </w:t>
      </w:r>
      <w:r w:rsidR="00E66870">
        <w:rPr>
          <w:iCs/>
        </w:rPr>
        <w:t>‘</w:t>
      </w:r>
      <w:r w:rsidRPr="00CC121D">
        <w:rPr>
          <w:iCs/>
        </w:rPr>
        <w:t>Civil Engineering – Design</w:t>
      </w:r>
      <w:r w:rsidR="00DF758F">
        <w:rPr>
          <w:iCs/>
        </w:rPr>
        <w:t>’.</w:t>
      </w:r>
    </w:p>
    <w:p w14:paraId="5C438FC5" w14:textId="77777777" w:rsidR="004828E5" w:rsidRPr="00CC121D" w:rsidRDefault="004828E5" w:rsidP="004828E5">
      <w:pPr>
        <w:pStyle w:val="TSNumberedParagraph1"/>
        <w:rPr>
          <w:iCs/>
        </w:rPr>
      </w:pPr>
      <w:r w:rsidRPr="00CC121D">
        <w:rPr>
          <w:iCs/>
        </w:rPr>
        <w:t>Further ONR expectations for assessments of categorisation and classification are provided in:</w:t>
      </w:r>
    </w:p>
    <w:p w14:paraId="26EF6969" w14:textId="190F50E1" w:rsidR="004828E5" w:rsidRPr="00CC121D" w:rsidRDefault="00407613" w:rsidP="004828E5">
      <w:pPr>
        <w:numPr>
          <w:ilvl w:val="0"/>
          <w:numId w:val="11"/>
        </w:numPr>
        <w:spacing w:after="240"/>
        <w:ind w:hanging="731"/>
        <w:contextualSpacing/>
      </w:pPr>
      <w:r>
        <w:rPr>
          <w:iCs/>
        </w:rPr>
        <w:t>ONR-</w:t>
      </w:r>
      <w:r w:rsidR="004828E5" w:rsidRPr="00CC121D">
        <w:t>NS-TAST-</w:t>
      </w:r>
      <w:r w:rsidR="004828E5" w:rsidRPr="00CC121D">
        <w:rPr>
          <w:iCs/>
        </w:rPr>
        <w:t>GD</w:t>
      </w:r>
      <w:r w:rsidR="004828E5" w:rsidRPr="00CC121D">
        <w:t>-094 ‘Categorisation of Safety Functions and Classification of Structures Systems and Components (SSCs)’</w:t>
      </w:r>
      <w:r w:rsidR="004828E5">
        <w:t>,</w:t>
      </w:r>
    </w:p>
    <w:p w14:paraId="49ABA9C0" w14:textId="26507407" w:rsidR="004828E5" w:rsidRPr="00CC121D" w:rsidRDefault="00407613" w:rsidP="004828E5">
      <w:pPr>
        <w:numPr>
          <w:ilvl w:val="0"/>
          <w:numId w:val="11"/>
        </w:numPr>
        <w:spacing w:after="240"/>
        <w:ind w:hanging="731"/>
        <w:contextualSpacing/>
      </w:pPr>
      <w:r>
        <w:rPr>
          <w:iCs/>
        </w:rPr>
        <w:t>ONR-</w:t>
      </w:r>
      <w:r w:rsidR="004828E5" w:rsidRPr="00CC121D">
        <w:t>NS-TAST-GD-051 ‘The Purpose, Scope and Content of Safety Cases’</w:t>
      </w:r>
      <w:r w:rsidR="004828E5">
        <w:t>,</w:t>
      </w:r>
    </w:p>
    <w:p w14:paraId="599C04F6" w14:textId="50C1B6AE" w:rsidR="004828E5" w:rsidRPr="00CC121D" w:rsidRDefault="00407613" w:rsidP="004828E5">
      <w:pPr>
        <w:numPr>
          <w:ilvl w:val="0"/>
          <w:numId w:val="11"/>
        </w:numPr>
        <w:spacing w:after="240"/>
        <w:ind w:hanging="731"/>
        <w:contextualSpacing/>
      </w:pPr>
      <w:r>
        <w:rPr>
          <w:iCs/>
        </w:rPr>
        <w:t>ONR-</w:t>
      </w:r>
      <w:r w:rsidR="004828E5" w:rsidRPr="00CC121D">
        <w:t>NS-TAST-GD-057 ‘Design Safety Assurance’</w:t>
      </w:r>
      <w:r w:rsidR="004828E5">
        <w:t>.</w:t>
      </w:r>
    </w:p>
    <w:p w14:paraId="3D904150" w14:textId="77777777" w:rsidR="004828E5" w:rsidRPr="00CC121D" w:rsidRDefault="004828E5" w:rsidP="008F3139">
      <w:pPr>
        <w:pStyle w:val="TSHeadingNumbered111"/>
        <w:rPr>
          <w:iCs/>
        </w:rPr>
      </w:pPr>
      <w:r w:rsidRPr="00CC121D">
        <w:t>Layout</w:t>
      </w:r>
      <w:r w:rsidRPr="00CC121D">
        <w:rPr>
          <w:iCs/>
        </w:rPr>
        <w:t xml:space="preserve"> </w:t>
      </w:r>
    </w:p>
    <w:p w14:paraId="62267001" w14:textId="77777777" w:rsidR="004828E5" w:rsidRPr="00CC121D" w:rsidRDefault="004828E5" w:rsidP="004828E5">
      <w:pPr>
        <w:pStyle w:val="TSNumberedParagraph1"/>
        <w:rPr>
          <w:iCs/>
        </w:rPr>
      </w:pPr>
      <w:r w:rsidRPr="00CC121D">
        <w:rPr>
          <w:iCs/>
        </w:rPr>
        <w:t xml:space="preserve">The layout and orientation of features on the site or within a </w:t>
      </w:r>
      <w:r>
        <w:rPr>
          <w:iCs/>
        </w:rPr>
        <w:t>facility</w:t>
      </w:r>
      <w:r w:rsidRPr="00CC121D">
        <w:rPr>
          <w:iCs/>
        </w:rPr>
        <w:t xml:space="preserve"> should minimise risks to nuclear safety. This is an area for multidiscipli</w:t>
      </w:r>
      <w:r>
        <w:rPr>
          <w:iCs/>
        </w:rPr>
        <w:t>nary regulatory consideration with</w:t>
      </w:r>
      <w:r w:rsidRPr="00CC121D">
        <w:rPr>
          <w:iCs/>
        </w:rPr>
        <w:t xml:space="preserve"> a cross-cutting method, with consideration fro</w:t>
      </w:r>
      <w:r>
        <w:rPr>
          <w:iCs/>
        </w:rPr>
        <w:t>m a team of i</w:t>
      </w:r>
      <w:r w:rsidRPr="00CC121D">
        <w:rPr>
          <w:iCs/>
        </w:rPr>
        <w:t xml:space="preserve">nspectors who specialise in internal and external hazards, human factors, mechanical, electrical and </w:t>
      </w:r>
      <w:r>
        <w:rPr>
          <w:iCs/>
        </w:rPr>
        <w:t>control and instrumentation</w:t>
      </w:r>
      <w:r w:rsidRPr="00CC121D">
        <w:rPr>
          <w:iCs/>
        </w:rPr>
        <w:t xml:space="preserve"> regarding whether inputs to architectural design have been adequat</w:t>
      </w:r>
      <w:r>
        <w:rPr>
          <w:iCs/>
        </w:rPr>
        <w:t>ely considered and interpreted.</w:t>
      </w:r>
    </w:p>
    <w:p w14:paraId="3BAEF095" w14:textId="77777777" w:rsidR="001F5732" w:rsidRDefault="001F5732">
      <w:pPr>
        <w:rPr>
          <w:iCs/>
        </w:rPr>
      </w:pPr>
      <w:r>
        <w:rPr>
          <w:iCs/>
        </w:rPr>
        <w:br w:type="page"/>
      </w:r>
    </w:p>
    <w:p w14:paraId="77A3BD50" w14:textId="604B169A" w:rsidR="004828E5" w:rsidRPr="00CC121D" w:rsidRDefault="004828E5" w:rsidP="004828E5">
      <w:pPr>
        <w:pStyle w:val="TSNumberedParagraph1"/>
        <w:rPr>
          <w:iCs/>
        </w:rPr>
      </w:pPr>
      <w:r w:rsidRPr="00CC121D">
        <w:rPr>
          <w:iCs/>
        </w:rPr>
        <w:t xml:space="preserve">There are differences in assessment of a </w:t>
      </w:r>
      <w:r>
        <w:rPr>
          <w:iCs/>
        </w:rPr>
        <w:t>facility</w:t>
      </w:r>
      <w:r w:rsidRPr="00CC121D">
        <w:rPr>
          <w:iCs/>
        </w:rPr>
        <w:t xml:space="preserve"> layout and the assessment of a site structural layout, for which the following SAPs apply:</w:t>
      </w:r>
    </w:p>
    <w:p w14:paraId="5FA295EE" w14:textId="77777777" w:rsidR="004828E5" w:rsidRPr="00CC121D" w:rsidRDefault="004828E5" w:rsidP="004828E5">
      <w:pPr>
        <w:numPr>
          <w:ilvl w:val="2"/>
          <w:numId w:val="10"/>
        </w:numPr>
        <w:spacing w:after="240"/>
        <w:ind w:left="1418"/>
        <w:contextualSpacing/>
      </w:pPr>
      <w:r w:rsidRPr="00CC121D">
        <w:t>EL0.1 states the expectation for design and layout to facilitate access</w:t>
      </w:r>
      <w:r>
        <w:t xml:space="preserve"> without compromising security,</w:t>
      </w:r>
    </w:p>
    <w:p w14:paraId="7B5EACA4" w14:textId="77777777" w:rsidR="004828E5" w:rsidRPr="00CC121D" w:rsidRDefault="004828E5" w:rsidP="004828E5">
      <w:pPr>
        <w:numPr>
          <w:ilvl w:val="2"/>
          <w:numId w:val="10"/>
        </w:numPr>
        <w:spacing w:after="240"/>
        <w:ind w:left="1418"/>
        <w:contextualSpacing/>
      </w:pPr>
      <w:r w:rsidRPr="00CC121D">
        <w:t>ELO.4 states the expectation for design and layout to minimise the e</w:t>
      </w:r>
      <w:r>
        <w:t>ffects of faults and accidents,</w:t>
      </w:r>
    </w:p>
    <w:p w14:paraId="7A11FFF8" w14:textId="77777777" w:rsidR="004828E5" w:rsidRPr="00CC121D" w:rsidRDefault="004828E5" w:rsidP="004828E5">
      <w:pPr>
        <w:numPr>
          <w:ilvl w:val="2"/>
          <w:numId w:val="10"/>
        </w:numPr>
        <w:spacing w:after="240"/>
        <w:ind w:left="1418"/>
        <w:contextualSpacing/>
      </w:pPr>
      <w:r w:rsidRPr="00CC121D">
        <w:t>EMC.8 states the expectation for geometry and access arrangements to have regard for the need of examination,</w:t>
      </w:r>
    </w:p>
    <w:p w14:paraId="1F95B89E" w14:textId="77777777" w:rsidR="004828E5" w:rsidRPr="00CC121D" w:rsidRDefault="004828E5" w:rsidP="004828E5">
      <w:pPr>
        <w:numPr>
          <w:ilvl w:val="2"/>
          <w:numId w:val="10"/>
        </w:numPr>
        <w:spacing w:after="240"/>
        <w:ind w:left="1418"/>
        <w:contextualSpacing/>
        <w:rPr>
          <w:iCs/>
        </w:rPr>
      </w:pPr>
      <w:r w:rsidRPr="00CC121D">
        <w:rPr>
          <w:iCs/>
        </w:rPr>
        <w:t xml:space="preserve">EHF.6 </w:t>
      </w:r>
      <w:r w:rsidRPr="00CC121D">
        <w:t xml:space="preserve">states the expectation for </w:t>
      </w:r>
      <w:r w:rsidRPr="00CC121D">
        <w:rPr>
          <w:iCs/>
        </w:rPr>
        <w:t>workspaces to be designed to support task performance.</w:t>
      </w:r>
    </w:p>
    <w:p w14:paraId="4DD8520D" w14:textId="77777777" w:rsidR="004828E5" w:rsidRPr="00CC121D" w:rsidRDefault="004828E5" w:rsidP="004828E5">
      <w:pPr>
        <w:pStyle w:val="TSNumberedParagraph1"/>
        <w:rPr>
          <w:iCs/>
        </w:rPr>
      </w:pPr>
      <w:r w:rsidRPr="00CC121D">
        <w:rPr>
          <w:iCs/>
        </w:rPr>
        <w:t>The principal civil engineering inspection assessment requirements regarding layout are considered in:</w:t>
      </w:r>
    </w:p>
    <w:p w14:paraId="7ED08F97" w14:textId="3B5B9BB0" w:rsidR="004828E5" w:rsidRPr="00CC121D" w:rsidRDefault="004828E5" w:rsidP="004828E5">
      <w:pPr>
        <w:numPr>
          <w:ilvl w:val="2"/>
          <w:numId w:val="10"/>
        </w:numPr>
        <w:spacing w:after="240"/>
        <w:ind w:left="1418"/>
        <w:contextualSpacing/>
        <w:rPr>
          <w:iCs/>
        </w:rPr>
      </w:pPr>
      <w:r>
        <w:rPr>
          <w:iCs/>
        </w:rPr>
        <w:t>TAG 17</w:t>
      </w:r>
      <w:r w:rsidRPr="00CC121D">
        <w:rPr>
          <w:iCs/>
        </w:rPr>
        <w:t xml:space="preserve"> Annex 1</w:t>
      </w:r>
      <w:r w:rsidR="00A42F15">
        <w:rPr>
          <w:iCs/>
        </w:rPr>
        <w:t>,</w:t>
      </w:r>
      <w:r w:rsidRPr="00CC121D">
        <w:rPr>
          <w:iCs/>
        </w:rPr>
        <w:t xml:space="preserve"> </w:t>
      </w:r>
      <w:r w:rsidR="00E66870">
        <w:rPr>
          <w:iCs/>
        </w:rPr>
        <w:t>‘</w:t>
      </w:r>
      <w:r w:rsidRPr="0064131A">
        <w:t>Civil</w:t>
      </w:r>
      <w:r w:rsidRPr="00CC121D">
        <w:rPr>
          <w:iCs/>
        </w:rPr>
        <w:t xml:space="preserve"> Engineering – Design</w:t>
      </w:r>
      <w:r w:rsidR="00DF758F">
        <w:rPr>
          <w:iCs/>
        </w:rPr>
        <w:t>’</w:t>
      </w:r>
      <w:r>
        <w:rPr>
          <w:iCs/>
        </w:rPr>
        <w:t>.</w:t>
      </w:r>
    </w:p>
    <w:p w14:paraId="22219004" w14:textId="77777777" w:rsidR="004828E5" w:rsidRPr="00CC121D" w:rsidRDefault="004828E5" w:rsidP="004828E5">
      <w:pPr>
        <w:pStyle w:val="TSNumberedParagraph1"/>
        <w:rPr>
          <w:iCs/>
        </w:rPr>
      </w:pPr>
      <w:r w:rsidRPr="00CC121D">
        <w:rPr>
          <w:iCs/>
        </w:rPr>
        <w:t>Further ONR expectations on general assessment of layout design is available in:</w:t>
      </w:r>
    </w:p>
    <w:p w14:paraId="7C9E9C2D" w14:textId="308FD1DB" w:rsidR="004828E5" w:rsidRPr="00CC121D" w:rsidRDefault="00407613" w:rsidP="004828E5">
      <w:pPr>
        <w:numPr>
          <w:ilvl w:val="2"/>
          <w:numId w:val="10"/>
        </w:numPr>
        <w:spacing w:after="240"/>
        <w:ind w:left="1418"/>
        <w:contextualSpacing/>
      </w:pPr>
      <w:r>
        <w:rPr>
          <w:iCs/>
        </w:rPr>
        <w:t>ONR-</w:t>
      </w:r>
      <w:r w:rsidR="004828E5" w:rsidRPr="00CC121D">
        <w:t>NS-TAST-GD-036 ‘Diversity Redundancy Segregation and Layout of Mechanical Plant’</w:t>
      </w:r>
      <w:r w:rsidR="004828E5">
        <w:t>,</w:t>
      </w:r>
    </w:p>
    <w:p w14:paraId="6BDA696C" w14:textId="1F1FA387" w:rsidR="004828E5" w:rsidRDefault="00407613" w:rsidP="004828E5">
      <w:pPr>
        <w:numPr>
          <w:ilvl w:val="2"/>
          <w:numId w:val="10"/>
        </w:numPr>
        <w:spacing w:after="240"/>
        <w:ind w:left="1418"/>
        <w:contextualSpacing/>
      </w:pPr>
      <w:r>
        <w:rPr>
          <w:iCs/>
        </w:rPr>
        <w:t>ONR-</w:t>
      </w:r>
      <w:r w:rsidR="004828E5" w:rsidRPr="00CC121D">
        <w:t>NS-TAST-GD-062 ‘Workplaces and Work Environment’</w:t>
      </w:r>
      <w:r w:rsidR="003D5541">
        <w:t xml:space="preserve"> which</w:t>
      </w:r>
      <w:r w:rsidR="004828E5" w:rsidRPr="0064131A">
        <w:t xml:space="preserve"> refers to layout and workplace spaces and EL0.4,</w:t>
      </w:r>
    </w:p>
    <w:p w14:paraId="350B56D6" w14:textId="5FE6E189" w:rsidR="004828E5" w:rsidRPr="00CC121D" w:rsidRDefault="00407613" w:rsidP="004828E5">
      <w:pPr>
        <w:numPr>
          <w:ilvl w:val="2"/>
          <w:numId w:val="10"/>
        </w:numPr>
        <w:spacing w:after="240"/>
        <w:ind w:left="1418"/>
        <w:contextualSpacing/>
      </w:pPr>
      <w:r>
        <w:rPr>
          <w:iCs/>
        </w:rPr>
        <w:t>ONR-</w:t>
      </w:r>
      <w:r w:rsidR="004828E5" w:rsidRPr="00CC121D">
        <w:t>NS-TAST-GD-</w:t>
      </w:r>
      <w:r w:rsidR="004828E5" w:rsidRPr="0064131A">
        <w:rPr>
          <w:iCs/>
        </w:rPr>
        <w:t>064</w:t>
      </w:r>
      <w:r w:rsidR="004828E5" w:rsidRPr="00CC121D">
        <w:t xml:space="preserve"> ‘Allocation of Function Between Human and Engineered Systems’</w:t>
      </w:r>
      <w:r w:rsidR="004828E5">
        <w:t>,</w:t>
      </w:r>
    </w:p>
    <w:p w14:paraId="0F0F1A4D" w14:textId="032ED3FC" w:rsidR="004828E5" w:rsidRPr="00CC121D" w:rsidRDefault="00407613" w:rsidP="004828E5">
      <w:pPr>
        <w:numPr>
          <w:ilvl w:val="2"/>
          <w:numId w:val="10"/>
        </w:numPr>
        <w:spacing w:after="240"/>
        <w:ind w:left="1418"/>
        <w:contextualSpacing/>
      </w:pPr>
      <w:r>
        <w:rPr>
          <w:iCs/>
        </w:rPr>
        <w:t>ONR-</w:t>
      </w:r>
      <w:r w:rsidR="004828E5" w:rsidRPr="00CC121D">
        <w:t>NS-TAST-GD-058 ‘Human Factors Integration’</w:t>
      </w:r>
      <w:r w:rsidR="004828E5">
        <w:t>,</w:t>
      </w:r>
    </w:p>
    <w:p w14:paraId="5170A52F" w14:textId="02BFACAE" w:rsidR="004828E5" w:rsidRPr="00CC121D" w:rsidRDefault="00407613" w:rsidP="004828E5">
      <w:pPr>
        <w:numPr>
          <w:ilvl w:val="2"/>
          <w:numId w:val="10"/>
        </w:numPr>
        <w:spacing w:after="240"/>
        <w:ind w:left="1418"/>
        <w:contextualSpacing/>
      </w:pPr>
      <w:r>
        <w:rPr>
          <w:iCs/>
        </w:rPr>
        <w:t>ONR-</w:t>
      </w:r>
      <w:r w:rsidR="004828E5" w:rsidRPr="00CC121D">
        <w:t>NS-TAST-GD-059 ‘Human Machine Interface’</w:t>
      </w:r>
      <w:r w:rsidR="004828E5">
        <w:t>,</w:t>
      </w:r>
    </w:p>
    <w:p w14:paraId="697DD22A" w14:textId="6A09C887" w:rsidR="004828E5" w:rsidRPr="00CC121D" w:rsidRDefault="00407613" w:rsidP="004828E5">
      <w:pPr>
        <w:numPr>
          <w:ilvl w:val="2"/>
          <w:numId w:val="10"/>
        </w:numPr>
        <w:spacing w:after="240"/>
        <w:ind w:left="1418"/>
        <w:contextualSpacing/>
      </w:pPr>
      <w:r>
        <w:rPr>
          <w:iCs/>
        </w:rPr>
        <w:t>ONR-</w:t>
      </w:r>
      <w:r w:rsidR="004828E5" w:rsidRPr="00CC121D">
        <w:t>NS-TAST-GD-002 ‘Radiation Shielding’</w:t>
      </w:r>
      <w:r w:rsidR="004828E5">
        <w:t>.</w:t>
      </w:r>
    </w:p>
    <w:p w14:paraId="1AF48A26" w14:textId="77777777" w:rsidR="004828E5" w:rsidRPr="00CC121D" w:rsidRDefault="004828E5" w:rsidP="008F3139">
      <w:pPr>
        <w:pStyle w:val="TSHeadingNumbered111"/>
      </w:pPr>
      <w:r w:rsidRPr="00CC121D">
        <w:t>Numerical modelling and Analysis</w:t>
      </w:r>
    </w:p>
    <w:p w14:paraId="32649512" w14:textId="77777777" w:rsidR="004828E5" w:rsidRPr="00CC121D" w:rsidRDefault="004828E5" w:rsidP="004828E5">
      <w:pPr>
        <w:pStyle w:val="TSNumberedParagraph1"/>
        <w:rPr>
          <w:iCs/>
        </w:rPr>
      </w:pPr>
      <w:r w:rsidRPr="00CC121D">
        <w:rPr>
          <w:iCs/>
        </w:rPr>
        <w:t>Where modelling and analysis has been carried out on civil structures to derive static and dynamic structural loadings for the civil engineering design, the processes used should be adequately validated and verified.</w:t>
      </w:r>
    </w:p>
    <w:p w14:paraId="57B78F08" w14:textId="77777777" w:rsidR="004828E5" w:rsidRPr="00CC121D" w:rsidRDefault="004828E5" w:rsidP="004828E5">
      <w:pPr>
        <w:pStyle w:val="TSNumberedParagraph1"/>
        <w:rPr>
          <w:iCs/>
        </w:rPr>
      </w:pPr>
      <w:r w:rsidRPr="00CC121D">
        <w:rPr>
          <w:iCs/>
        </w:rPr>
        <w:t>The SAPs that apply to assessment of numerical modelling and analysis</w:t>
      </w:r>
      <w:r>
        <w:rPr>
          <w:iCs/>
        </w:rPr>
        <w:t>:</w:t>
      </w:r>
    </w:p>
    <w:p w14:paraId="37F7084A" w14:textId="77777777" w:rsidR="004828E5" w:rsidRPr="00CC121D" w:rsidRDefault="004828E5" w:rsidP="004828E5">
      <w:pPr>
        <w:numPr>
          <w:ilvl w:val="2"/>
          <w:numId w:val="10"/>
        </w:numPr>
        <w:spacing w:after="240"/>
        <w:ind w:left="1418"/>
        <w:contextualSpacing/>
      </w:pPr>
      <w:r w:rsidRPr="00CC121D">
        <w:rPr>
          <w:iCs/>
        </w:rPr>
        <w:t>AV.1-AV.8 state the expectations regarding ass</w:t>
      </w:r>
      <w:r>
        <w:rPr>
          <w:iCs/>
        </w:rPr>
        <w:t>urance of validity of modelling,</w:t>
      </w:r>
    </w:p>
    <w:p w14:paraId="1B05C551" w14:textId="77777777" w:rsidR="004828E5" w:rsidRPr="00CC121D" w:rsidRDefault="004828E5" w:rsidP="004828E5">
      <w:pPr>
        <w:numPr>
          <w:ilvl w:val="2"/>
          <w:numId w:val="10"/>
        </w:numPr>
        <w:spacing w:after="240"/>
        <w:ind w:left="1418"/>
        <w:contextualSpacing/>
        <w:rPr>
          <w:iCs/>
        </w:rPr>
      </w:pPr>
      <w:r w:rsidRPr="00CC121D">
        <w:rPr>
          <w:iCs/>
        </w:rPr>
        <w:t>ECE.12 to ECE.15 state the expectations on str</w:t>
      </w:r>
      <w:r>
        <w:rPr>
          <w:iCs/>
        </w:rPr>
        <w:t>uctural analysis and modelling,</w:t>
      </w:r>
    </w:p>
    <w:p w14:paraId="476F8460" w14:textId="77777777" w:rsidR="004828E5" w:rsidRPr="00CC121D" w:rsidRDefault="004828E5" w:rsidP="004828E5">
      <w:pPr>
        <w:numPr>
          <w:ilvl w:val="2"/>
          <w:numId w:val="10"/>
        </w:numPr>
        <w:spacing w:after="240"/>
        <w:ind w:left="1418"/>
        <w:contextualSpacing/>
        <w:rPr>
          <w:iCs/>
        </w:rPr>
      </w:pPr>
      <w:r w:rsidRPr="00CC121D">
        <w:rPr>
          <w:iCs/>
        </w:rPr>
        <w:t xml:space="preserve">EMC.32 and EMC.33 state the expectations regarding stress analysis of metal components when used for civil </w:t>
      </w:r>
      <w:r>
        <w:rPr>
          <w:iCs/>
        </w:rPr>
        <w:t>engineering structural design,</w:t>
      </w:r>
    </w:p>
    <w:p w14:paraId="1C362973" w14:textId="16FE6BA9" w:rsidR="004828E5" w:rsidRPr="00CC121D" w:rsidRDefault="004828E5" w:rsidP="004828E5">
      <w:pPr>
        <w:numPr>
          <w:ilvl w:val="2"/>
          <w:numId w:val="10"/>
        </w:numPr>
        <w:spacing w:after="240"/>
        <w:ind w:left="1418"/>
        <w:contextualSpacing/>
        <w:rPr>
          <w:iCs/>
        </w:rPr>
      </w:pPr>
      <w:r>
        <w:rPr>
          <w:iCs/>
        </w:rPr>
        <w:t>EMC 33</w:t>
      </w:r>
      <w:r w:rsidRPr="00CC121D">
        <w:rPr>
          <w:iCs/>
        </w:rPr>
        <w:t xml:space="preserve"> states the expectations that due consideration has been given to uncertainties in material properties and that the methodology and loading data have been verified to ensure that the analysis is demonstrably conservative. This </w:t>
      </w:r>
      <w:r w:rsidR="00F6020F">
        <w:rPr>
          <w:iCs/>
        </w:rPr>
        <w:t>can be significant</w:t>
      </w:r>
      <w:r w:rsidRPr="00CC121D">
        <w:rPr>
          <w:iCs/>
        </w:rPr>
        <w:t xml:space="preserve"> when analysing safety critical reinforced or pre-stressed concrete or steel structures.</w:t>
      </w:r>
    </w:p>
    <w:p w14:paraId="64E0DAB2" w14:textId="77777777" w:rsidR="004828E5" w:rsidRPr="00CC121D" w:rsidRDefault="004828E5" w:rsidP="004828E5">
      <w:pPr>
        <w:pStyle w:val="TSNumberedParagraph1"/>
        <w:rPr>
          <w:iCs/>
        </w:rPr>
      </w:pPr>
      <w:r w:rsidRPr="00CC121D">
        <w:rPr>
          <w:iCs/>
        </w:rPr>
        <w:t>The principal civil engineering inspection assessment requirements regarding numerical modelling and analysis are considered in:</w:t>
      </w:r>
    </w:p>
    <w:p w14:paraId="2132C82A" w14:textId="6C6DEC87" w:rsidR="004828E5" w:rsidRPr="00CC121D" w:rsidRDefault="004828E5" w:rsidP="004828E5">
      <w:pPr>
        <w:numPr>
          <w:ilvl w:val="2"/>
          <w:numId w:val="10"/>
        </w:numPr>
        <w:spacing w:after="240"/>
        <w:ind w:left="1418"/>
        <w:contextualSpacing/>
        <w:rPr>
          <w:iCs/>
        </w:rPr>
      </w:pPr>
      <w:r>
        <w:t xml:space="preserve">TAG 17 </w:t>
      </w:r>
      <w:r w:rsidRPr="00CC121D">
        <w:t>Annex 1</w:t>
      </w:r>
      <w:r w:rsidR="00826A1C">
        <w:t>,</w:t>
      </w:r>
      <w:r w:rsidRPr="00CC121D">
        <w:t xml:space="preserve"> ‘</w:t>
      </w:r>
      <w:r w:rsidRPr="00CC121D">
        <w:rPr>
          <w:iCs/>
        </w:rPr>
        <w:t>Civil Engineering – Design</w:t>
      </w:r>
      <w:r w:rsidR="00DF758F">
        <w:rPr>
          <w:iCs/>
        </w:rPr>
        <w:t>’</w:t>
      </w:r>
      <w:r w:rsidR="00AD753C">
        <w:rPr>
          <w:iCs/>
        </w:rPr>
        <w:t>,</w:t>
      </w:r>
    </w:p>
    <w:p w14:paraId="3435C382" w14:textId="407274B5" w:rsidR="004828E5" w:rsidRPr="00CC121D" w:rsidRDefault="004828E5" w:rsidP="004828E5">
      <w:pPr>
        <w:numPr>
          <w:ilvl w:val="2"/>
          <w:numId w:val="10"/>
        </w:numPr>
        <w:spacing w:after="240"/>
        <w:ind w:left="1418"/>
        <w:contextualSpacing/>
        <w:rPr>
          <w:iCs/>
        </w:rPr>
      </w:pPr>
      <w:r>
        <w:t xml:space="preserve">TAG 17 </w:t>
      </w:r>
      <w:r w:rsidRPr="00CC121D">
        <w:rPr>
          <w:iCs/>
        </w:rPr>
        <w:t>Annex 3</w:t>
      </w:r>
      <w:r w:rsidR="00826A1C">
        <w:rPr>
          <w:iCs/>
        </w:rPr>
        <w:t>,</w:t>
      </w:r>
      <w:r w:rsidRPr="00CC121D">
        <w:rPr>
          <w:iCs/>
        </w:rPr>
        <w:t xml:space="preserve"> ‘Civil Engineering –</w:t>
      </w:r>
      <w:r w:rsidR="006B41F0">
        <w:rPr>
          <w:iCs/>
        </w:rPr>
        <w:t xml:space="preserve"> </w:t>
      </w:r>
      <w:r w:rsidRPr="00CC121D">
        <w:rPr>
          <w:iCs/>
        </w:rPr>
        <w:t>Ground Investigation</w:t>
      </w:r>
      <w:r w:rsidR="006B41F0">
        <w:rPr>
          <w:iCs/>
        </w:rPr>
        <w:t>, geotechnics</w:t>
      </w:r>
      <w:r w:rsidRPr="00CC121D">
        <w:rPr>
          <w:iCs/>
        </w:rPr>
        <w:t xml:space="preserve"> and sub-surface structure design’</w:t>
      </w:r>
      <w:r w:rsidR="00AD753C">
        <w:rPr>
          <w:iCs/>
        </w:rPr>
        <w:t>.</w:t>
      </w:r>
    </w:p>
    <w:p w14:paraId="0D9A1A50" w14:textId="77777777" w:rsidR="004828E5" w:rsidRPr="00CC121D" w:rsidRDefault="004828E5" w:rsidP="004828E5">
      <w:pPr>
        <w:pStyle w:val="TSNumberedParagraph1"/>
        <w:rPr>
          <w:iCs/>
        </w:rPr>
      </w:pPr>
      <w:r w:rsidRPr="00CC121D">
        <w:rPr>
          <w:iCs/>
        </w:rPr>
        <w:t xml:space="preserve">Further ONR expectations on assessment of </w:t>
      </w:r>
      <w:r>
        <w:rPr>
          <w:iCs/>
        </w:rPr>
        <w:t xml:space="preserve">computer </w:t>
      </w:r>
      <w:r w:rsidRPr="00CC121D">
        <w:rPr>
          <w:iCs/>
        </w:rPr>
        <w:t>modelling and analysis in design are provided in:</w:t>
      </w:r>
    </w:p>
    <w:p w14:paraId="6BF0187F" w14:textId="493D54DB" w:rsidR="004828E5" w:rsidRPr="00CC121D" w:rsidRDefault="00407613" w:rsidP="004828E5">
      <w:pPr>
        <w:numPr>
          <w:ilvl w:val="2"/>
          <w:numId w:val="10"/>
        </w:numPr>
        <w:spacing w:after="240"/>
        <w:ind w:left="1418"/>
        <w:contextualSpacing/>
      </w:pPr>
      <w:r>
        <w:rPr>
          <w:iCs/>
        </w:rPr>
        <w:t>ONR-</w:t>
      </w:r>
      <w:r w:rsidR="004828E5" w:rsidRPr="00CC121D">
        <w:t>NS-TAST-GD-042 ‘</w:t>
      </w:r>
      <w:r w:rsidR="004828E5" w:rsidRPr="00CC121D">
        <w:rPr>
          <w:iCs/>
        </w:rPr>
        <w:t>Validation</w:t>
      </w:r>
      <w:r w:rsidR="004828E5" w:rsidRPr="00CC121D">
        <w:t xml:space="preserve"> of Computer Codes and Calculation Methods’</w:t>
      </w:r>
      <w:r w:rsidR="004828E5">
        <w:t>.</w:t>
      </w:r>
    </w:p>
    <w:p w14:paraId="052EDD96" w14:textId="77777777" w:rsidR="004828E5" w:rsidRPr="00CC121D" w:rsidRDefault="004828E5" w:rsidP="001820CC">
      <w:pPr>
        <w:pStyle w:val="TSHeadingNumbered111"/>
        <w:rPr>
          <w:iCs/>
          <w:caps/>
        </w:rPr>
      </w:pPr>
      <w:r w:rsidRPr="00CC121D">
        <w:t>Design Authority and Intelligent Customer functions</w:t>
      </w:r>
    </w:p>
    <w:p w14:paraId="71F7729F" w14:textId="77777777" w:rsidR="004828E5" w:rsidRPr="00CC121D" w:rsidRDefault="004828E5" w:rsidP="004828E5">
      <w:pPr>
        <w:pStyle w:val="TSNumberedParagraph1"/>
        <w:rPr>
          <w:iCs/>
        </w:rPr>
      </w:pPr>
      <w:r w:rsidRPr="00CC121D">
        <w:rPr>
          <w:iCs/>
        </w:rPr>
        <w:t xml:space="preserve">When assessing the Design Authority </w:t>
      </w:r>
      <w:r>
        <w:rPr>
          <w:iCs/>
        </w:rPr>
        <w:t xml:space="preserve">(DA) </w:t>
      </w:r>
      <w:r w:rsidRPr="00CC121D">
        <w:rPr>
          <w:iCs/>
        </w:rPr>
        <w:t xml:space="preserve">function for civil engineering works, the Inspector may need to consider the organisational capability of the </w:t>
      </w:r>
      <w:proofErr w:type="spellStart"/>
      <w:r w:rsidRPr="00CC121D">
        <w:rPr>
          <w:iCs/>
        </w:rPr>
        <w:t>dutyholder</w:t>
      </w:r>
      <w:proofErr w:type="spellEnd"/>
      <w:r w:rsidRPr="00CC121D">
        <w:rPr>
          <w:iCs/>
        </w:rPr>
        <w:t xml:space="preserve">, regarding available resources, training and management arrangements in place. The Design Authority function should also act as Intelligent Customer </w:t>
      </w:r>
      <w:r>
        <w:rPr>
          <w:iCs/>
        </w:rPr>
        <w:t xml:space="preserve">(IC) </w:t>
      </w:r>
      <w:r w:rsidRPr="00CC121D">
        <w:rPr>
          <w:iCs/>
        </w:rPr>
        <w:t>when activities are not undertaken by the duty holder directly, but where the civil engineering activities related to nuclear safety are procured e.g. civil engineering contractor works or consultative services.</w:t>
      </w:r>
    </w:p>
    <w:p w14:paraId="3CF52144" w14:textId="1AEB7993" w:rsidR="004828E5" w:rsidRPr="00CC121D" w:rsidRDefault="004828E5" w:rsidP="004828E5">
      <w:pPr>
        <w:pStyle w:val="TSNumberedParagraph1"/>
        <w:rPr>
          <w:iCs/>
        </w:rPr>
      </w:pPr>
      <w:r w:rsidRPr="00CC121D">
        <w:rPr>
          <w:iCs/>
        </w:rPr>
        <w:t>EIMT and other construction and maintenance</w:t>
      </w:r>
      <w:r w:rsidR="001820CC">
        <w:rPr>
          <w:iCs/>
        </w:rPr>
        <w:t>-</w:t>
      </w:r>
      <w:r w:rsidRPr="00CC121D">
        <w:rPr>
          <w:iCs/>
        </w:rPr>
        <w:t xml:space="preserve">based activities are often managed </w:t>
      </w:r>
      <w:r w:rsidR="001820CC" w:rsidRPr="00CC121D">
        <w:rPr>
          <w:iCs/>
        </w:rPr>
        <w:t>using</w:t>
      </w:r>
      <w:r w:rsidRPr="00CC121D">
        <w:rPr>
          <w:iCs/>
        </w:rPr>
        <w:t xml:space="preserve"> signature sheets with varying levels of acceptance. The DA and IC may have specific roles to undertake when accepting works as complete, and the Quality Control and Quality Assurance records are to be approved by the DA and IC in this instance to </w:t>
      </w:r>
      <w:r>
        <w:rPr>
          <w:iCs/>
        </w:rPr>
        <w:t>demonstrate that</w:t>
      </w:r>
      <w:r w:rsidRPr="00CC121D">
        <w:rPr>
          <w:iCs/>
        </w:rPr>
        <w:t xml:space="preserve"> the DA and IC are signing off at the relevant </w:t>
      </w:r>
      <w:r>
        <w:rPr>
          <w:iCs/>
        </w:rPr>
        <w:t>witness points</w:t>
      </w:r>
      <w:r w:rsidRPr="00CC121D">
        <w:rPr>
          <w:iCs/>
        </w:rPr>
        <w:t>.</w:t>
      </w:r>
    </w:p>
    <w:p w14:paraId="230A0FF0" w14:textId="77777777" w:rsidR="004828E5" w:rsidRPr="00CC121D" w:rsidRDefault="004828E5" w:rsidP="004828E5">
      <w:pPr>
        <w:pStyle w:val="TSNumberedParagraph1"/>
        <w:rPr>
          <w:iCs/>
        </w:rPr>
      </w:pPr>
      <w:r w:rsidRPr="00CC121D">
        <w:rPr>
          <w:iCs/>
        </w:rPr>
        <w:t>The SAPs applicable to Design Authority and Intelligent Customer functions are:</w:t>
      </w:r>
    </w:p>
    <w:p w14:paraId="541222AF" w14:textId="77777777" w:rsidR="004828E5" w:rsidRPr="00CC121D" w:rsidRDefault="004828E5" w:rsidP="004828E5">
      <w:pPr>
        <w:numPr>
          <w:ilvl w:val="2"/>
          <w:numId w:val="10"/>
        </w:numPr>
        <w:spacing w:after="240"/>
        <w:ind w:left="1418"/>
        <w:contextualSpacing/>
        <w:rPr>
          <w:iCs/>
        </w:rPr>
      </w:pPr>
      <w:r w:rsidRPr="00CC121D">
        <w:rPr>
          <w:iCs/>
        </w:rPr>
        <w:t>ECE.1 and ECE.2 state the expectations that functional performance is specified with the use appropriate use of independent arguments in safety case, which is usually undertaken by the Design Authority function</w:t>
      </w:r>
      <w:r>
        <w:rPr>
          <w:iCs/>
        </w:rPr>
        <w:t>,</w:t>
      </w:r>
    </w:p>
    <w:p w14:paraId="56C96BC4" w14:textId="77777777" w:rsidR="004828E5" w:rsidRPr="00CC121D" w:rsidRDefault="004828E5" w:rsidP="004828E5">
      <w:pPr>
        <w:numPr>
          <w:ilvl w:val="2"/>
          <w:numId w:val="10"/>
        </w:numPr>
        <w:spacing w:after="240"/>
        <w:ind w:left="1418"/>
        <w:contextualSpacing/>
        <w:rPr>
          <w:iCs/>
        </w:rPr>
      </w:pPr>
      <w:r w:rsidRPr="00CC121D">
        <w:rPr>
          <w:iCs/>
        </w:rPr>
        <w:t>ECS.1 and ECS.2 states the expectation for appropriate identification of safety functions through hazard and fault analysis, with appropriate categorisation and classification of civil engineering works and structures</w:t>
      </w:r>
      <w:r>
        <w:rPr>
          <w:iCs/>
        </w:rPr>
        <w:t>,</w:t>
      </w:r>
    </w:p>
    <w:p w14:paraId="08381007" w14:textId="77777777" w:rsidR="004828E5" w:rsidRPr="00CC121D" w:rsidRDefault="004828E5" w:rsidP="004828E5">
      <w:pPr>
        <w:numPr>
          <w:ilvl w:val="2"/>
          <w:numId w:val="10"/>
        </w:numPr>
        <w:spacing w:after="240"/>
        <w:ind w:left="1418"/>
        <w:contextualSpacing/>
        <w:rPr>
          <w:iCs/>
        </w:rPr>
      </w:pPr>
      <w:r w:rsidRPr="00CC121D">
        <w:t>SC.1 states the expectation that there is a definition of the training and qualifi</w:t>
      </w:r>
      <w:r>
        <w:t>cations needed for formal roles,</w:t>
      </w:r>
    </w:p>
    <w:p w14:paraId="69CB9D81" w14:textId="77777777" w:rsidR="004828E5" w:rsidRPr="00CC121D" w:rsidRDefault="004828E5" w:rsidP="004828E5">
      <w:pPr>
        <w:numPr>
          <w:ilvl w:val="2"/>
          <w:numId w:val="10"/>
        </w:numPr>
        <w:spacing w:after="240"/>
        <w:ind w:left="1418"/>
        <w:contextualSpacing/>
        <w:rPr>
          <w:iCs/>
        </w:rPr>
      </w:pPr>
      <w:r w:rsidRPr="00CC121D">
        <w:rPr>
          <w:iCs/>
        </w:rPr>
        <w:t xml:space="preserve">SC.4 state the expectation that the safety case will outline the requirements of suitably qualified and experienced personnel to be in post at the various stages of a site lifecycle, recognising that skills required for design and construction phases differ to those needed for civil engineering resource in the operation phase and </w:t>
      </w:r>
      <w:r>
        <w:rPr>
          <w:iCs/>
        </w:rPr>
        <w:t>then the decommissioning phase,</w:t>
      </w:r>
    </w:p>
    <w:p w14:paraId="43664A36" w14:textId="77777777" w:rsidR="004828E5" w:rsidRPr="00CC121D" w:rsidRDefault="004828E5" w:rsidP="004828E5">
      <w:pPr>
        <w:numPr>
          <w:ilvl w:val="2"/>
          <w:numId w:val="10"/>
        </w:numPr>
        <w:spacing w:after="240"/>
        <w:ind w:left="1418"/>
        <w:contextualSpacing/>
        <w:rPr>
          <w:iCs/>
        </w:rPr>
      </w:pPr>
      <w:r w:rsidRPr="00CC121D">
        <w:rPr>
          <w:iCs/>
        </w:rPr>
        <w:t>EHF.8 states the expectation that adequate competence will be demonstrated by those within the duty holde</w:t>
      </w:r>
      <w:r>
        <w:rPr>
          <w:iCs/>
        </w:rPr>
        <w:t>r organisation and supply chain,</w:t>
      </w:r>
    </w:p>
    <w:p w14:paraId="4639C61E" w14:textId="77777777" w:rsidR="004828E5" w:rsidRPr="00CC121D" w:rsidRDefault="004828E5" w:rsidP="004828E5">
      <w:pPr>
        <w:numPr>
          <w:ilvl w:val="2"/>
          <w:numId w:val="10"/>
        </w:numPr>
        <w:spacing w:after="240"/>
        <w:ind w:left="1418"/>
        <w:contextualSpacing/>
        <w:rPr>
          <w:iCs/>
        </w:rPr>
      </w:pPr>
      <w:r w:rsidRPr="00CC121D">
        <w:rPr>
          <w:iCs/>
        </w:rPr>
        <w:t xml:space="preserve">SC.8 states the expectation that the ownership of the safety case resides within the </w:t>
      </w:r>
      <w:proofErr w:type="spellStart"/>
      <w:r w:rsidRPr="00CC121D">
        <w:rPr>
          <w:iCs/>
        </w:rPr>
        <w:t>dutyholders</w:t>
      </w:r>
      <w:proofErr w:type="spellEnd"/>
      <w:r w:rsidRPr="00CC121D">
        <w:rPr>
          <w:iCs/>
        </w:rPr>
        <w:t xml:space="preserve"> organisation with those who have direct responsibility for safety</w:t>
      </w:r>
      <w:r>
        <w:rPr>
          <w:iCs/>
        </w:rPr>
        <w:t>,</w:t>
      </w:r>
    </w:p>
    <w:p w14:paraId="31725832" w14:textId="77777777" w:rsidR="004828E5" w:rsidRPr="00CC121D" w:rsidRDefault="004828E5" w:rsidP="004828E5">
      <w:pPr>
        <w:numPr>
          <w:ilvl w:val="2"/>
          <w:numId w:val="10"/>
        </w:numPr>
        <w:spacing w:after="240"/>
        <w:ind w:left="1418"/>
        <w:contextualSpacing/>
        <w:rPr>
          <w:iCs/>
        </w:rPr>
      </w:pPr>
      <w:r w:rsidRPr="00CC121D">
        <w:rPr>
          <w:iCs/>
        </w:rPr>
        <w:t>ECE.18 states the expectation for the inspection and testing of construction work to demonstrate quality</w:t>
      </w:r>
      <w:r>
        <w:rPr>
          <w:iCs/>
        </w:rPr>
        <w:t>,</w:t>
      </w:r>
    </w:p>
    <w:p w14:paraId="0AAE5434" w14:textId="77777777" w:rsidR="004828E5" w:rsidRPr="00CC121D" w:rsidRDefault="004828E5" w:rsidP="004828E5">
      <w:pPr>
        <w:numPr>
          <w:ilvl w:val="2"/>
          <w:numId w:val="10"/>
        </w:numPr>
        <w:spacing w:after="240"/>
        <w:ind w:left="1418"/>
        <w:contextualSpacing/>
        <w:rPr>
          <w:iCs/>
        </w:rPr>
      </w:pPr>
      <w:r w:rsidRPr="00CC121D">
        <w:rPr>
          <w:iCs/>
        </w:rPr>
        <w:t>ECS.3 states the expectation that civil engineering works should be completed to the appropriate codes and standards</w:t>
      </w:r>
      <w:r>
        <w:rPr>
          <w:iCs/>
        </w:rPr>
        <w:t>,</w:t>
      </w:r>
    </w:p>
    <w:p w14:paraId="5CE100CB" w14:textId="77777777" w:rsidR="004828E5" w:rsidRPr="00CC121D" w:rsidRDefault="004828E5" w:rsidP="004828E5">
      <w:pPr>
        <w:numPr>
          <w:ilvl w:val="2"/>
          <w:numId w:val="10"/>
        </w:numPr>
        <w:spacing w:after="240"/>
        <w:ind w:left="1418"/>
        <w:contextualSpacing/>
        <w:rPr>
          <w:iCs/>
        </w:rPr>
      </w:pPr>
      <w:r w:rsidRPr="00CC121D">
        <w:rPr>
          <w:iCs/>
        </w:rPr>
        <w:t xml:space="preserve">ECS.4 and ECS.5 </w:t>
      </w:r>
      <w:r>
        <w:rPr>
          <w:iCs/>
        </w:rPr>
        <w:t xml:space="preserve">states the expectations that, </w:t>
      </w:r>
      <w:r w:rsidRPr="00CC121D">
        <w:rPr>
          <w:iCs/>
        </w:rPr>
        <w:t>where there are no appropriate codes or standards,</w:t>
      </w:r>
      <w:r>
        <w:rPr>
          <w:iCs/>
        </w:rPr>
        <w:t xml:space="preserve"> </w:t>
      </w:r>
      <w:r w:rsidRPr="00CC121D">
        <w:rPr>
          <w:iCs/>
        </w:rPr>
        <w:t>an appropriate approach is adopted, with the use of experience, tests or analysis are applied as necessary</w:t>
      </w:r>
      <w:r>
        <w:rPr>
          <w:iCs/>
        </w:rPr>
        <w:t>.</w:t>
      </w:r>
    </w:p>
    <w:p w14:paraId="3EE84489" w14:textId="77777777" w:rsidR="004828E5" w:rsidRPr="00CC121D" w:rsidRDefault="004828E5" w:rsidP="004828E5">
      <w:pPr>
        <w:pStyle w:val="TSNumberedParagraph1"/>
        <w:rPr>
          <w:iCs/>
        </w:rPr>
      </w:pPr>
      <w:r w:rsidRPr="00CC121D">
        <w:rPr>
          <w:iCs/>
        </w:rPr>
        <w:t>For the principal civil engineering inspection assessment requirements r</w:t>
      </w:r>
      <w:r>
        <w:rPr>
          <w:iCs/>
        </w:rPr>
        <w:t>egarding Design Authority, see:</w:t>
      </w:r>
    </w:p>
    <w:p w14:paraId="6F9A1EF9" w14:textId="0E5F338A" w:rsidR="004828E5" w:rsidRPr="00CC121D" w:rsidRDefault="004828E5" w:rsidP="004828E5">
      <w:pPr>
        <w:numPr>
          <w:ilvl w:val="2"/>
          <w:numId w:val="10"/>
        </w:numPr>
        <w:spacing w:after="240"/>
        <w:ind w:left="1418"/>
        <w:contextualSpacing/>
        <w:rPr>
          <w:iCs/>
        </w:rPr>
      </w:pPr>
      <w:r w:rsidRPr="00CC121D">
        <w:rPr>
          <w:iCs/>
        </w:rPr>
        <w:t>TAG 17 Annex 1</w:t>
      </w:r>
      <w:r w:rsidR="00826A1C">
        <w:rPr>
          <w:iCs/>
        </w:rPr>
        <w:t>,</w:t>
      </w:r>
      <w:r w:rsidRPr="00CC121D">
        <w:rPr>
          <w:iCs/>
        </w:rPr>
        <w:t xml:space="preserve"> ‘Civil Engineering – Design</w:t>
      </w:r>
      <w:r w:rsidR="00DF758F">
        <w:rPr>
          <w:iCs/>
        </w:rPr>
        <w:t>’</w:t>
      </w:r>
      <w:r w:rsidR="00AD753C">
        <w:rPr>
          <w:iCs/>
        </w:rPr>
        <w:t>,</w:t>
      </w:r>
    </w:p>
    <w:p w14:paraId="06A3232F" w14:textId="7548EB15" w:rsidR="004828E5" w:rsidRPr="00CC121D" w:rsidRDefault="004828E5" w:rsidP="004828E5">
      <w:pPr>
        <w:numPr>
          <w:ilvl w:val="2"/>
          <w:numId w:val="10"/>
        </w:numPr>
        <w:spacing w:after="240"/>
        <w:ind w:left="1418"/>
        <w:contextualSpacing/>
        <w:rPr>
          <w:iCs/>
        </w:rPr>
      </w:pPr>
      <w:r w:rsidRPr="00CC121D">
        <w:rPr>
          <w:iCs/>
        </w:rPr>
        <w:t>TAG 17 Annex 4</w:t>
      </w:r>
      <w:r w:rsidR="00826A1C">
        <w:rPr>
          <w:iCs/>
        </w:rPr>
        <w:t>,</w:t>
      </w:r>
      <w:r w:rsidRPr="00CC121D">
        <w:rPr>
          <w:iCs/>
        </w:rPr>
        <w:t xml:space="preserve"> ‘Civil Engineering – Construction Assurance’</w:t>
      </w:r>
      <w:r w:rsidR="00AD753C">
        <w:rPr>
          <w:iCs/>
        </w:rPr>
        <w:t>.</w:t>
      </w:r>
      <w:r w:rsidRPr="00CC121D">
        <w:rPr>
          <w:iCs/>
        </w:rPr>
        <w:t xml:space="preserve"> </w:t>
      </w:r>
    </w:p>
    <w:p w14:paraId="3B8964C4" w14:textId="77777777" w:rsidR="004828E5" w:rsidRPr="00CC121D" w:rsidRDefault="004828E5" w:rsidP="004828E5">
      <w:pPr>
        <w:pStyle w:val="TSNumberedParagraph1"/>
        <w:rPr>
          <w:iCs/>
        </w:rPr>
      </w:pPr>
      <w:r w:rsidRPr="00CC121D">
        <w:rPr>
          <w:iCs/>
        </w:rPr>
        <w:t>Further ONR expectations on assessment of Design Authority and Intelligent Customer are provided in:</w:t>
      </w:r>
    </w:p>
    <w:p w14:paraId="20EB90DE" w14:textId="667D4F93" w:rsidR="004828E5" w:rsidRPr="00CC121D" w:rsidRDefault="00407613" w:rsidP="004828E5">
      <w:pPr>
        <w:numPr>
          <w:ilvl w:val="2"/>
          <w:numId w:val="10"/>
        </w:numPr>
        <w:spacing w:after="240"/>
        <w:ind w:left="1418"/>
        <w:contextualSpacing/>
        <w:rPr>
          <w:iCs/>
        </w:rPr>
      </w:pPr>
      <w:r>
        <w:rPr>
          <w:iCs/>
        </w:rPr>
        <w:t>ONR-</w:t>
      </w:r>
      <w:r w:rsidR="004828E5" w:rsidRPr="00CC121D">
        <w:rPr>
          <w:iCs/>
        </w:rPr>
        <w:t>NS-TAST-GD-079 ‘Licensee Design Authority Capability’</w:t>
      </w:r>
      <w:r w:rsidR="004828E5">
        <w:rPr>
          <w:iCs/>
        </w:rPr>
        <w:t>,</w:t>
      </w:r>
    </w:p>
    <w:p w14:paraId="08214A13" w14:textId="262806B9" w:rsidR="004828E5" w:rsidRPr="00CC121D" w:rsidRDefault="00407613" w:rsidP="004828E5">
      <w:pPr>
        <w:numPr>
          <w:ilvl w:val="2"/>
          <w:numId w:val="10"/>
        </w:numPr>
        <w:spacing w:after="240"/>
        <w:ind w:left="1418"/>
        <w:contextualSpacing/>
        <w:rPr>
          <w:iCs/>
        </w:rPr>
      </w:pPr>
      <w:r>
        <w:rPr>
          <w:iCs/>
        </w:rPr>
        <w:t>ONR-</w:t>
      </w:r>
      <w:r w:rsidR="004828E5" w:rsidRPr="00CC121D">
        <w:rPr>
          <w:iCs/>
        </w:rPr>
        <w:t>NS-TAST-GD-049 ‘Licensee Core Safety and Intelligent Customer Capabilities’</w:t>
      </w:r>
      <w:r w:rsidR="004828E5">
        <w:rPr>
          <w:iCs/>
        </w:rPr>
        <w:t>,</w:t>
      </w:r>
    </w:p>
    <w:p w14:paraId="002381F0" w14:textId="4A34B983" w:rsidR="00AD753C" w:rsidRDefault="00407613" w:rsidP="004828E5">
      <w:pPr>
        <w:numPr>
          <w:ilvl w:val="2"/>
          <w:numId w:val="10"/>
        </w:numPr>
        <w:spacing w:after="240"/>
        <w:ind w:left="1418"/>
        <w:contextualSpacing/>
        <w:rPr>
          <w:iCs/>
        </w:rPr>
      </w:pPr>
      <w:r>
        <w:rPr>
          <w:iCs/>
        </w:rPr>
        <w:t>ONR-</w:t>
      </w:r>
      <w:r w:rsidR="004828E5" w:rsidRPr="00CC121D">
        <w:rPr>
          <w:iCs/>
        </w:rPr>
        <w:t>NS-TAST-GD-077 ‘Supply Chain Management Arrangements for the Procurement of Nuclear Safety Related Items or Services’</w:t>
      </w:r>
      <w:r w:rsidR="004828E5">
        <w:rPr>
          <w:iCs/>
        </w:rPr>
        <w:t>.</w:t>
      </w:r>
    </w:p>
    <w:p w14:paraId="12B87A33" w14:textId="69ADAACC" w:rsidR="004828E5" w:rsidRPr="00CC121D" w:rsidRDefault="00AD753C" w:rsidP="009D3659">
      <w:pPr>
        <w:rPr>
          <w:iCs/>
        </w:rPr>
      </w:pPr>
      <w:r>
        <w:rPr>
          <w:iCs/>
        </w:rPr>
        <w:br w:type="page"/>
      </w:r>
    </w:p>
    <w:p w14:paraId="6D3C8F27" w14:textId="77777777" w:rsidR="004828E5" w:rsidRPr="00CC121D" w:rsidRDefault="004828E5" w:rsidP="008F3139">
      <w:pPr>
        <w:pStyle w:val="TSHeadingNumbered111"/>
      </w:pPr>
      <w:r w:rsidRPr="00CC121D">
        <w:t>Deviations and design changes</w:t>
      </w:r>
    </w:p>
    <w:p w14:paraId="474CC980" w14:textId="77777777" w:rsidR="004828E5" w:rsidRPr="00CC121D" w:rsidRDefault="004828E5" w:rsidP="004828E5">
      <w:pPr>
        <w:pStyle w:val="TSNumberedParagraph1"/>
        <w:rPr>
          <w:iCs/>
        </w:rPr>
      </w:pPr>
      <w:r w:rsidRPr="00CC121D">
        <w:rPr>
          <w:iCs/>
        </w:rPr>
        <w:t>Design chan</w:t>
      </w:r>
      <w:r>
        <w:rPr>
          <w:iCs/>
        </w:rPr>
        <w:t>ges and deviations in design should be</w:t>
      </w:r>
      <w:r w:rsidRPr="00CC121D">
        <w:rPr>
          <w:iCs/>
        </w:rPr>
        <w:t xml:space="preserve"> expected as the design develops. The Inspector should understand the processes in place for managing changes to </w:t>
      </w:r>
      <w:r>
        <w:rPr>
          <w:iCs/>
        </w:rPr>
        <w:t xml:space="preserve">the </w:t>
      </w:r>
      <w:r w:rsidRPr="00CC121D">
        <w:rPr>
          <w:iCs/>
        </w:rPr>
        <w:t>design and how decisions are made. Design changes can occur as a result of:</w:t>
      </w:r>
    </w:p>
    <w:p w14:paraId="67DAFECD" w14:textId="77777777" w:rsidR="004828E5" w:rsidRPr="00CC121D" w:rsidRDefault="004828E5" w:rsidP="004828E5">
      <w:pPr>
        <w:numPr>
          <w:ilvl w:val="2"/>
          <w:numId w:val="10"/>
        </w:numPr>
        <w:spacing w:after="240"/>
        <w:ind w:left="1418"/>
        <w:contextualSpacing/>
      </w:pPr>
      <w:r w:rsidRPr="00CC121D">
        <w:t xml:space="preserve">design </w:t>
      </w:r>
      <w:r w:rsidRPr="00CC121D">
        <w:rPr>
          <w:iCs/>
        </w:rPr>
        <w:t>development</w:t>
      </w:r>
      <w:r>
        <w:t xml:space="preserve"> and optioneering,</w:t>
      </w:r>
    </w:p>
    <w:p w14:paraId="576DED5E" w14:textId="77777777" w:rsidR="004828E5" w:rsidRPr="00CC121D" w:rsidRDefault="004828E5" w:rsidP="004828E5">
      <w:pPr>
        <w:numPr>
          <w:ilvl w:val="2"/>
          <w:numId w:val="10"/>
        </w:numPr>
        <w:spacing w:after="240"/>
        <w:ind w:left="1418"/>
        <w:contextualSpacing/>
      </w:pPr>
      <w:r w:rsidRPr="00CC121D">
        <w:t>design sensitivity</w:t>
      </w:r>
      <w:r>
        <w:t xml:space="preserve"> analysis or modelling outputs,</w:t>
      </w:r>
    </w:p>
    <w:p w14:paraId="2F380265" w14:textId="2E73183A" w:rsidR="004828E5" w:rsidRPr="00CC121D" w:rsidRDefault="004828E5" w:rsidP="004828E5">
      <w:pPr>
        <w:numPr>
          <w:ilvl w:val="2"/>
          <w:numId w:val="10"/>
        </w:numPr>
        <w:spacing w:after="240"/>
        <w:ind w:left="1418"/>
        <w:contextualSpacing/>
      </w:pPr>
      <w:r w:rsidRPr="00CC121D">
        <w:t>laboratory or site mock</w:t>
      </w:r>
      <w:r w:rsidR="00DE0C96">
        <w:t>-</w:t>
      </w:r>
      <w:r w:rsidRPr="00CC121D">
        <w:t>ups and trials, including ground investigations,</w:t>
      </w:r>
    </w:p>
    <w:p w14:paraId="12C0AEF7" w14:textId="77777777" w:rsidR="004828E5" w:rsidRPr="00CC121D" w:rsidRDefault="004828E5" w:rsidP="004828E5">
      <w:pPr>
        <w:numPr>
          <w:ilvl w:val="2"/>
          <w:numId w:val="10"/>
        </w:numPr>
        <w:spacing w:after="240"/>
        <w:ind w:left="1418"/>
        <w:contextualSpacing/>
      </w:pPr>
      <w:r w:rsidRPr="00CC121D">
        <w:t>broken assumption</w:t>
      </w:r>
      <w:r>
        <w:t>s in the design or safety case,</w:t>
      </w:r>
    </w:p>
    <w:p w14:paraId="0504FE25" w14:textId="77777777" w:rsidR="004828E5" w:rsidRDefault="004828E5" w:rsidP="004828E5">
      <w:pPr>
        <w:numPr>
          <w:ilvl w:val="2"/>
          <w:numId w:val="10"/>
        </w:numPr>
        <w:spacing w:after="240"/>
        <w:ind w:left="1418"/>
        <w:contextualSpacing/>
      </w:pPr>
      <w:r w:rsidRPr="00CC121D">
        <w:t>lack of ma</w:t>
      </w:r>
      <w:r>
        <w:t>terial or product availability,</w:t>
      </w:r>
    </w:p>
    <w:p w14:paraId="2B967EB3" w14:textId="77777777" w:rsidR="004828E5" w:rsidRPr="00CC121D" w:rsidRDefault="004828E5" w:rsidP="004828E5">
      <w:pPr>
        <w:numPr>
          <w:ilvl w:val="2"/>
          <w:numId w:val="10"/>
        </w:numPr>
        <w:spacing w:after="240"/>
        <w:ind w:left="1418"/>
        <w:contextualSpacing/>
      </w:pPr>
      <w:r>
        <w:t>shortfalls identified during review or assessment of the safety case,</w:t>
      </w:r>
    </w:p>
    <w:p w14:paraId="478767C7" w14:textId="77777777" w:rsidR="004828E5" w:rsidRPr="00CC121D" w:rsidRDefault="004828E5" w:rsidP="004828E5">
      <w:pPr>
        <w:numPr>
          <w:ilvl w:val="2"/>
          <w:numId w:val="10"/>
        </w:numPr>
        <w:spacing w:after="240"/>
        <w:ind w:left="1418"/>
        <w:contextualSpacing/>
      </w:pPr>
      <w:r w:rsidRPr="00CC121D">
        <w:t>constructio</w:t>
      </w:r>
      <w:r>
        <w:t>n non-conformances and defects,</w:t>
      </w:r>
    </w:p>
    <w:p w14:paraId="30A51376" w14:textId="77777777" w:rsidR="004828E5" w:rsidRPr="00CC121D" w:rsidRDefault="004828E5" w:rsidP="004828E5">
      <w:pPr>
        <w:numPr>
          <w:ilvl w:val="2"/>
          <w:numId w:val="10"/>
        </w:numPr>
        <w:spacing w:after="240"/>
        <w:ind w:left="1418"/>
        <w:contextualSpacing/>
      </w:pPr>
      <w:r w:rsidRPr="00CC121D">
        <w:t>installation of mechanical or other equipment, construction sequencing,</w:t>
      </w:r>
    </w:p>
    <w:p w14:paraId="47E86B5C" w14:textId="77777777" w:rsidR="004828E5" w:rsidRPr="00CC121D" w:rsidRDefault="004828E5" w:rsidP="004828E5">
      <w:pPr>
        <w:numPr>
          <w:ilvl w:val="2"/>
          <w:numId w:val="10"/>
        </w:numPr>
        <w:spacing w:after="240"/>
        <w:ind w:left="1418"/>
        <w:contextualSpacing/>
      </w:pPr>
      <w:r w:rsidRPr="00CC121D">
        <w:t>legacy defects from construction quality, commissioning identifying errors,</w:t>
      </w:r>
    </w:p>
    <w:p w14:paraId="3A6B8BED" w14:textId="77777777" w:rsidR="004828E5" w:rsidRPr="00CC121D" w:rsidRDefault="004828E5" w:rsidP="004828E5">
      <w:pPr>
        <w:numPr>
          <w:ilvl w:val="2"/>
          <w:numId w:val="10"/>
        </w:numPr>
        <w:spacing w:after="240"/>
        <w:ind w:left="1418"/>
        <w:contextualSpacing/>
      </w:pPr>
      <w:r w:rsidRPr="00CC121D">
        <w:t>EIMT identifying damage, ageing or settlement,</w:t>
      </w:r>
    </w:p>
    <w:p w14:paraId="4AE3E554" w14:textId="77777777" w:rsidR="004828E5" w:rsidRPr="00CC121D" w:rsidRDefault="004828E5" w:rsidP="004828E5">
      <w:pPr>
        <w:numPr>
          <w:ilvl w:val="2"/>
          <w:numId w:val="10"/>
        </w:numPr>
        <w:spacing w:after="240"/>
        <w:ind w:left="1418"/>
        <w:contextualSpacing/>
      </w:pPr>
      <w:r w:rsidRPr="00CC121D">
        <w:t>changes in environment and impact from other non-civil SSCs,</w:t>
      </w:r>
    </w:p>
    <w:p w14:paraId="23E1A660" w14:textId="77777777" w:rsidR="004828E5" w:rsidRPr="00CC121D" w:rsidRDefault="004828E5" w:rsidP="004828E5">
      <w:pPr>
        <w:numPr>
          <w:ilvl w:val="2"/>
          <w:numId w:val="10"/>
        </w:numPr>
        <w:spacing w:after="240"/>
        <w:ind w:left="1418"/>
        <w:contextualSpacing/>
      </w:pPr>
      <w:r w:rsidRPr="00CC121D">
        <w:t>modification and change of use,</w:t>
      </w:r>
    </w:p>
    <w:p w14:paraId="22B88911" w14:textId="77777777" w:rsidR="004828E5" w:rsidRPr="00CC121D" w:rsidRDefault="004828E5" w:rsidP="004828E5">
      <w:pPr>
        <w:numPr>
          <w:ilvl w:val="2"/>
          <w:numId w:val="10"/>
        </w:numPr>
        <w:spacing w:after="240"/>
        <w:ind w:left="1418"/>
        <w:contextualSpacing/>
      </w:pPr>
      <w:r w:rsidRPr="00CC121D">
        <w:t>decommissioning or demolition activities,</w:t>
      </w:r>
    </w:p>
    <w:p w14:paraId="1C6F2300" w14:textId="77777777" w:rsidR="004828E5" w:rsidRPr="00CC121D" w:rsidRDefault="004828E5" w:rsidP="004828E5">
      <w:pPr>
        <w:numPr>
          <w:ilvl w:val="2"/>
          <w:numId w:val="10"/>
        </w:numPr>
        <w:spacing w:after="240"/>
        <w:ind w:left="1418"/>
        <w:contextualSpacing/>
      </w:pPr>
      <w:r w:rsidRPr="00CC121D">
        <w:t xml:space="preserve">learning from experience and operational </w:t>
      </w:r>
      <w:r>
        <w:t>experience from wider industry.</w:t>
      </w:r>
    </w:p>
    <w:p w14:paraId="6E9E77F6" w14:textId="77777777" w:rsidR="004828E5" w:rsidRPr="00CC121D" w:rsidRDefault="004828E5" w:rsidP="004828E5">
      <w:pPr>
        <w:pStyle w:val="TSNumberedParagraph1"/>
        <w:rPr>
          <w:iCs/>
        </w:rPr>
      </w:pPr>
      <w:r w:rsidRPr="00CC121D">
        <w:rPr>
          <w:iCs/>
        </w:rPr>
        <w:t>The Inspector should understand the consequences of the change on the original design intent and consider what the consequences are if the proposed change is ill-conceived or executed. Design changes are categorised based on the safety function of the element being changed. The Inspector should expect the categorisation to be based on the state ‘as is’, not the remediated design once the change is implemented.</w:t>
      </w:r>
    </w:p>
    <w:p w14:paraId="506D04B6" w14:textId="77777777" w:rsidR="004828E5" w:rsidRPr="00CC121D" w:rsidRDefault="004828E5" w:rsidP="004828E5">
      <w:pPr>
        <w:pStyle w:val="TSNumberedParagraph1"/>
        <w:rPr>
          <w:iCs/>
        </w:rPr>
      </w:pPr>
      <w:r w:rsidRPr="00CC121D">
        <w:rPr>
          <w:iCs/>
        </w:rPr>
        <w:t>The SAPs applicable to design changes and deviations are:</w:t>
      </w:r>
    </w:p>
    <w:p w14:paraId="015AAD23" w14:textId="77777777" w:rsidR="004828E5" w:rsidRPr="00CC121D" w:rsidRDefault="004828E5" w:rsidP="004828E5">
      <w:pPr>
        <w:numPr>
          <w:ilvl w:val="2"/>
          <w:numId w:val="10"/>
        </w:numPr>
        <w:spacing w:after="240"/>
        <w:ind w:left="1418"/>
        <w:contextualSpacing/>
        <w:rPr>
          <w:iCs/>
        </w:rPr>
      </w:pPr>
      <w:r w:rsidRPr="00CC121D">
        <w:rPr>
          <w:iCs/>
        </w:rPr>
        <w:t>ECE.3 states the expectation that structures important to safety are sufficiently free of defects so that their safety functions are not compromised</w:t>
      </w:r>
      <w:r>
        <w:rPr>
          <w:iCs/>
        </w:rPr>
        <w:t>,</w:t>
      </w:r>
    </w:p>
    <w:p w14:paraId="0EB0C43A" w14:textId="77777777" w:rsidR="004828E5" w:rsidRPr="00CC121D" w:rsidRDefault="004828E5" w:rsidP="004828E5">
      <w:pPr>
        <w:numPr>
          <w:ilvl w:val="2"/>
          <w:numId w:val="10"/>
        </w:numPr>
        <w:spacing w:after="240"/>
        <w:ind w:left="1418"/>
        <w:contextualSpacing/>
        <w:rPr>
          <w:iCs/>
        </w:rPr>
      </w:pPr>
      <w:r w:rsidRPr="00CC121D">
        <w:rPr>
          <w:iCs/>
        </w:rPr>
        <w:t>ECE.8 states the expectation for the design to consider and allow inspection and maintenance, as lack of access can preclude future options for design change or deviation</w:t>
      </w:r>
      <w:r>
        <w:rPr>
          <w:iCs/>
        </w:rPr>
        <w:t>,</w:t>
      </w:r>
    </w:p>
    <w:p w14:paraId="2E649481" w14:textId="77777777" w:rsidR="004828E5" w:rsidRPr="00CC121D" w:rsidRDefault="004828E5" w:rsidP="004828E5">
      <w:pPr>
        <w:numPr>
          <w:ilvl w:val="2"/>
          <w:numId w:val="10"/>
        </w:numPr>
        <w:spacing w:after="240"/>
        <w:ind w:left="1418"/>
        <w:contextualSpacing/>
        <w:rPr>
          <w:iCs/>
        </w:rPr>
      </w:pPr>
      <w:r w:rsidRPr="00CC121D">
        <w:rPr>
          <w:iCs/>
        </w:rPr>
        <w:t>ECE.17 states the expectation that the construction should use appropriate materials proven techniques and quality management system to minimise defects</w:t>
      </w:r>
      <w:r>
        <w:rPr>
          <w:iCs/>
        </w:rPr>
        <w:t>,</w:t>
      </w:r>
    </w:p>
    <w:p w14:paraId="63A1D704" w14:textId="77777777" w:rsidR="004828E5" w:rsidRPr="00CC121D" w:rsidRDefault="004828E5" w:rsidP="004828E5">
      <w:pPr>
        <w:numPr>
          <w:ilvl w:val="2"/>
          <w:numId w:val="10"/>
        </w:numPr>
        <w:spacing w:after="240"/>
        <w:ind w:left="1418"/>
        <w:contextualSpacing/>
        <w:rPr>
          <w:iCs/>
        </w:rPr>
      </w:pPr>
      <w:r w:rsidRPr="00CC121D">
        <w:rPr>
          <w:iCs/>
        </w:rPr>
        <w:t>ECE.19 states the expectation that should non-conformities or defects be identified, remediation should ensure the original design intent is still achieved, and that due account should be taken for the potential for an aggregation of design changes which may undermine origin</w:t>
      </w:r>
      <w:r>
        <w:rPr>
          <w:iCs/>
        </w:rPr>
        <w:t>al design intent,</w:t>
      </w:r>
    </w:p>
    <w:p w14:paraId="52C294D9" w14:textId="77777777" w:rsidR="004828E5" w:rsidRPr="00CC121D" w:rsidRDefault="004828E5" w:rsidP="004828E5">
      <w:pPr>
        <w:numPr>
          <w:ilvl w:val="2"/>
          <w:numId w:val="10"/>
        </w:numPr>
        <w:spacing w:after="240"/>
        <w:ind w:left="1418"/>
        <w:contextualSpacing/>
        <w:rPr>
          <w:iCs/>
        </w:rPr>
      </w:pPr>
      <w:r w:rsidRPr="00CC121D">
        <w:rPr>
          <w:iCs/>
        </w:rPr>
        <w:t>ECE.20 states the expectation that inspection, testing and monitoring should take account of changes in parameters assumed in the safety case</w:t>
      </w:r>
      <w:r>
        <w:rPr>
          <w:iCs/>
        </w:rPr>
        <w:t>.</w:t>
      </w:r>
    </w:p>
    <w:p w14:paraId="0DD529A5" w14:textId="77777777" w:rsidR="004828E5" w:rsidRPr="00CC121D" w:rsidRDefault="004828E5" w:rsidP="004828E5">
      <w:pPr>
        <w:pStyle w:val="TSNumberedParagraph1"/>
        <w:rPr>
          <w:iCs/>
        </w:rPr>
      </w:pPr>
      <w:r w:rsidRPr="00CC121D">
        <w:rPr>
          <w:iCs/>
        </w:rPr>
        <w:t>For the principal civil engineering inspection assessment requirements regarding deviations and design changes, see:</w:t>
      </w:r>
    </w:p>
    <w:p w14:paraId="45AB4621" w14:textId="087C9CE3" w:rsidR="004828E5" w:rsidRPr="00CC121D" w:rsidRDefault="004828E5" w:rsidP="004828E5">
      <w:pPr>
        <w:numPr>
          <w:ilvl w:val="2"/>
          <w:numId w:val="10"/>
        </w:numPr>
        <w:spacing w:after="240"/>
        <w:ind w:left="1418"/>
        <w:contextualSpacing/>
        <w:rPr>
          <w:iCs/>
        </w:rPr>
      </w:pPr>
      <w:r w:rsidRPr="00CC121D">
        <w:rPr>
          <w:iCs/>
        </w:rPr>
        <w:t>TAG 17 Annex 1</w:t>
      </w:r>
      <w:r w:rsidR="00826A1C">
        <w:rPr>
          <w:iCs/>
        </w:rPr>
        <w:t>,</w:t>
      </w:r>
      <w:r w:rsidRPr="00CC121D">
        <w:rPr>
          <w:iCs/>
        </w:rPr>
        <w:t xml:space="preserve"> </w:t>
      </w:r>
      <w:r w:rsidR="002F0A57">
        <w:rPr>
          <w:iCs/>
        </w:rPr>
        <w:t>‘</w:t>
      </w:r>
      <w:r w:rsidRPr="00CC121D">
        <w:rPr>
          <w:iCs/>
        </w:rPr>
        <w:t>Civil Engineering – Design</w:t>
      </w:r>
      <w:r w:rsidR="00DF758F">
        <w:rPr>
          <w:iCs/>
        </w:rPr>
        <w:t>’</w:t>
      </w:r>
      <w:r w:rsidR="00AD433B">
        <w:rPr>
          <w:iCs/>
        </w:rPr>
        <w:t>,</w:t>
      </w:r>
    </w:p>
    <w:p w14:paraId="56AE39C0" w14:textId="7BB8EA16" w:rsidR="004828E5" w:rsidRPr="00CC121D" w:rsidRDefault="004828E5" w:rsidP="004828E5">
      <w:pPr>
        <w:numPr>
          <w:ilvl w:val="2"/>
          <w:numId w:val="10"/>
        </w:numPr>
        <w:spacing w:after="240"/>
        <w:ind w:left="1418"/>
        <w:contextualSpacing/>
        <w:rPr>
          <w:iCs/>
        </w:rPr>
      </w:pPr>
      <w:r w:rsidRPr="00CC121D">
        <w:rPr>
          <w:iCs/>
        </w:rPr>
        <w:t xml:space="preserve">‘Modification’ Section </w:t>
      </w:r>
      <w:r w:rsidR="00DE0C96">
        <w:rPr>
          <w:iCs/>
        </w:rPr>
        <w:t>5.9.5</w:t>
      </w:r>
      <w:r w:rsidR="00DE0C96" w:rsidRPr="00CC121D">
        <w:rPr>
          <w:iCs/>
        </w:rPr>
        <w:t xml:space="preserve"> </w:t>
      </w:r>
      <w:r w:rsidRPr="00CC121D">
        <w:rPr>
          <w:iCs/>
        </w:rPr>
        <w:t>of this document</w:t>
      </w:r>
      <w:r w:rsidR="00AD433B">
        <w:rPr>
          <w:iCs/>
        </w:rPr>
        <w:t>,</w:t>
      </w:r>
    </w:p>
    <w:p w14:paraId="74EA6BD0" w14:textId="4E9E7506" w:rsidR="004828E5" w:rsidRPr="00CC121D" w:rsidRDefault="004828E5" w:rsidP="004828E5">
      <w:pPr>
        <w:numPr>
          <w:ilvl w:val="2"/>
          <w:numId w:val="10"/>
        </w:numPr>
        <w:spacing w:after="240"/>
        <w:ind w:left="1418"/>
        <w:contextualSpacing/>
        <w:rPr>
          <w:iCs/>
        </w:rPr>
      </w:pPr>
      <w:r w:rsidRPr="00CC121D">
        <w:rPr>
          <w:iCs/>
        </w:rPr>
        <w:t xml:space="preserve">‘Non-conformances and defects’ Section </w:t>
      </w:r>
      <w:r w:rsidR="00DE0C96">
        <w:rPr>
          <w:iCs/>
        </w:rPr>
        <w:t>5.5.3</w:t>
      </w:r>
      <w:r w:rsidR="00DE0C96" w:rsidRPr="00CC121D">
        <w:rPr>
          <w:iCs/>
        </w:rPr>
        <w:t xml:space="preserve"> </w:t>
      </w:r>
      <w:r w:rsidRPr="00CC121D">
        <w:rPr>
          <w:iCs/>
        </w:rPr>
        <w:t>of this document</w:t>
      </w:r>
      <w:r w:rsidR="00CC530D">
        <w:rPr>
          <w:iCs/>
        </w:rPr>
        <w:t>.</w:t>
      </w:r>
    </w:p>
    <w:p w14:paraId="60370E6F" w14:textId="77777777" w:rsidR="004828E5" w:rsidRPr="00CC121D" w:rsidRDefault="004828E5" w:rsidP="004828E5">
      <w:pPr>
        <w:pStyle w:val="TSNumberedParagraph1"/>
        <w:rPr>
          <w:iCs/>
        </w:rPr>
      </w:pPr>
      <w:r w:rsidRPr="00CC121D">
        <w:rPr>
          <w:iCs/>
        </w:rPr>
        <w:t xml:space="preserve">Further ONR expectations on assessment of Design </w:t>
      </w:r>
      <w:r>
        <w:rPr>
          <w:iCs/>
        </w:rPr>
        <w:t xml:space="preserve">Changes and deviations </w:t>
      </w:r>
      <w:r w:rsidRPr="00CC121D">
        <w:rPr>
          <w:iCs/>
        </w:rPr>
        <w:t>are provided in:</w:t>
      </w:r>
    </w:p>
    <w:p w14:paraId="3B31AC8A" w14:textId="4F6DE801" w:rsidR="004828E5" w:rsidRPr="00CC121D" w:rsidRDefault="00FD41DD" w:rsidP="004828E5">
      <w:pPr>
        <w:numPr>
          <w:ilvl w:val="2"/>
          <w:numId w:val="10"/>
        </w:numPr>
        <w:spacing w:after="240"/>
        <w:ind w:left="1418"/>
        <w:contextualSpacing/>
        <w:rPr>
          <w:iCs/>
        </w:rPr>
      </w:pPr>
      <w:r>
        <w:rPr>
          <w:iCs/>
        </w:rPr>
        <w:t>ONR-</w:t>
      </w:r>
      <w:r w:rsidR="004828E5" w:rsidRPr="00CC121D">
        <w:rPr>
          <w:iCs/>
        </w:rPr>
        <w:t>NS-INSP-GD-020 ‘Modification to design of Plant under Construction’</w:t>
      </w:r>
      <w:r w:rsidR="004828E5">
        <w:rPr>
          <w:iCs/>
        </w:rPr>
        <w:t>,</w:t>
      </w:r>
    </w:p>
    <w:p w14:paraId="7BB4F967" w14:textId="4009BFED" w:rsidR="004828E5" w:rsidRPr="00CC121D" w:rsidRDefault="00FD41DD" w:rsidP="004828E5">
      <w:pPr>
        <w:numPr>
          <w:ilvl w:val="2"/>
          <w:numId w:val="10"/>
        </w:numPr>
        <w:spacing w:after="240"/>
        <w:ind w:left="1418"/>
        <w:contextualSpacing/>
        <w:rPr>
          <w:iCs/>
        </w:rPr>
      </w:pPr>
      <w:r>
        <w:rPr>
          <w:iCs/>
        </w:rPr>
        <w:t>ONR-</w:t>
      </w:r>
      <w:r w:rsidR="004828E5" w:rsidRPr="00CC121D">
        <w:rPr>
          <w:iCs/>
        </w:rPr>
        <w:t>NS-INSP-GD-021 ‘Commissioning’</w:t>
      </w:r>
      <w:r w:rsidR="004828E5">
        <w:rPr>
          <w:iCs/>
        </w:rPr>
        <w:t>,</w:t>
      </w:r>
    </w:p>
    <w:p w14:paraId="68D0EB5D" w14:textId="72BA553F" w:rsidR="004828E5" w:rsidRPr="00CC121D" w:rsidRDefault="00FD41DD" w:rsidP="004828E5">
      <w:pPr>
        <w:numPr>
          <w:ilvl w:val="2"/>
          <w:numId w:val="10"/>
        </w:numPr>
        <w:spacing w:after="240"/>
        <w:ind w:left="1418"/>
        <w:contextualSpacing/>
        <w:rPr>
          <w:iCs/>
        </w:rPr>
      </w:pPr>
      <w:r>
        <w:rPr>
          <w:iCs/>
        </w:rPr>
        <w:t>ONR-</w:t>
      </w:r>
      <w:r w:rsidR="004828E5" w:rsidRPr="00CC121D">
        <w:rPr>
          <w:iCs/>
        </w:rPr>
        <w:t>NS-INSP-GD-022 ‘Modification or Experiment on Existing Plant’</w:t>
      </w:r>
      <w:r w:rsidR="00CC530D">
        <w:rPr>
          <w:iCs/>
        </w:rPr>
        <w:t>,</w:t>
      </w:r>
    </w:p>
    <w:p w14:paraId="31E22DDF" w14:textId="10016AA3" w:rsidR="004828E5" w:rsidRPr="00CC121D" w:rsidRDefault="00FD41DD" w:rsidP="004828E5">
      <w:pPr>
        <w:numPr>
          <w:ilvl w:val="2"/>
          <w:numId w:val="10"/>
        </w:numPr>
        <w:spacing w:after="240"/>
        <w:ind w:left="1418"/>
        <w:contextualSpacing/>
        <w:rPr>
          <w:iCs/>
        </w:rPr>
      </w:pPr>
      <w:r>
        <w:rPr>
          <w:iCs/>
        </w:rPr>
        <w:t>ONR-</w:t>
      </w:r>
      <w:r w:rsidR="004828E5" w:rsidRPr="00CC121D">
        <w:rPr>
          <w:iCs/>
        </w:rPr>
        <w:t>NS-INSP-GD-029 ‘Duty to Carry out Tests, Inspections and Examinations’</w:t>
      </w:r>
      <w:r w:rsidR="004828E5">
        <w:rPr>
          <w:iCs/>
        </w:rPr>
        <w:t>.</w:t>
      </w:r>
    </w:p>
    <w:p w14:paraId="0F0586D9" w14:textId="0F4D0544" w:rsidR="004828E5" w:rsidRDefault="004828E5" w:rsidP="00D07AFA">
      <w:pPr>
        <w:pStyle w:val="TSHeadingNumbered11"/>
      </w:pPr>
      <w:bookmarkStart w:id="70" w:name="_Toc57912703"/>
      <w:r>
        <w:t>Building Information Modelling (BIM)</w:t>
      </w:r>
      <w:r w:rsidR="00EB7781">
        <w:t xml:space="preserve"> (Annex 2)</w:t>
      </w:r>
      <w:bookmarkEnd w:id="70"/>
    </w:p>
    <w:bookmarkEnd w:id="69"/>
    <w:p w14:paraId="5730504C" w14:textId="77777777" w:rsidR="00BB6E1D" w:rsidRPr="006A7A5D" w:rsidRDefault="00D07AFA" w:rsidP="00D07AFA">
      <w:pPr>
        <w:pStyle w:val="TSNumberedParagraph1"/>
        <w:rPr>
          <w:iCs/>
        </w:rPr>
      </w:pPr>
      <w:r w:rsidRPr="006A7A5D">
        <w:rPr>
          <w:iCs/>
        </w:rPr>
        <w:t xml:space="preserve">Civil engineering works are increasingly using electronic models alongside paper drawings, with some models </w:t>
      </w:r>
      <w:r w:rsidR="006A7A5D">
        <w:rPr>
          <w:iCs/>
        </w:rPr>
        <w:t xml:space="preserve">also </w:t>
      </w:r>
      <w:r w:rsidRPr="006A7A5D">
        <w:rPr>
          <w:iCs/>
        </w:rPr>
        <w:t xml:space="preserve">informing security and decommissioning strategies. The use of digital tools varies from the use of a ‘point cloud’ to collate data remotely to reduce time at risk in areas of high radiation, through to fully costed and scheduled civil engineering projects in a computerised model. </w:t>
      </w:r>
    </w:p>
    <w:p w14:paraId="5730504D" w14:textId="77777777" w:rsidR="00D07AFA" w:rsidRPr="00272F6F" w:rsidRDefault="00D07AFA" w:rsidP="00D07AFA">
      <w:pPr>
        <w:pStyle w:val="TSNumberedParagraph1"/>
        <w:rPr>
          <w:iCs/>
        </w:rPr>
      </w:pPr>
      <w:r w:rsidRPr="00272F6F">
        <w:rPr>
          <w:iCs/>
        </w:rPr>
        <w:t xml:space="preserve">The UK civil engineering industry is currently in transition and computer models are not used consistently. As such, BIM is used by duty holders in many ways across civil engineering works, at varying levels of </w:t>
      </w:r>
      <w:r w:rsidR="006A7A5D">
        <w:rPr>
          <w:iCs/>
        </w:rPr>
        <w:t xml:space="preserve">implementation and </w:t>
      </w:r>
      <w:r w:rsidRPr="00272F6F">
        <w:rPr>
          <w:iCs/>
        </w:rPr>
        <w:t xml:space="preserve">complexity. During civil engineering assessment, the Inspector may have ‘early’ sight of the BIM tools being used. If this is the case, the Inspector </w:t>
      </w:r>
      <w:r w:rsidR="00B579FF">
        <w:rPr>
          <w:iCs/>
        </w:rPr>
        <w:t>may</w:t>
      </w:r>
      <w:r w:rsidRPr="00272F6F">
        <w:rPr>
          <w:iCs/>
        </w:rPr>
        <w:t xml:space="preserve"> consider any </w:t>
      </w:r>
      <w:r w:rsidR="00BB6E1D">
        <w:rPr>
          <w:iCs/>
        </w:rPr>
        <w:t xml:space="preserve">security or </w:t>
      </w:r>
      <w:r w:rsidRPr="00272F6F">
        <w:rPr>
          <w:iCs/>
        </w:rPr>
        <w:t>safeguarding issues regarding the availability of information on computer systems e.g. modelling whole systems and/or adjacent services, data storage and electronic information management.</w:t>
      </w:r>
    </w:p>
    <w:p w14:paraId="5730504E" w14:textId="77777777" w:rsidR="00D07AFA" w:rsidRPr="00294530" w:rsidRDefault="00D07AFA" w:rsidP="00D07AFA">
      <w:pPr>
        <w:pStyle w:val="TSNumberedParagraph1"/>
        <w:rPr>
          <w:iCs/>
        </w:rPr>
      </w:pPr>
      <w:r w:rsidRPr="00294530">
        <w:rPr>
          <w:iCs/>
        </w:rPr>
        <w:t>The Inspector should base the depth of civil engineering assessment on the use of the model, intended and potential future use, considering the safety</w:t>
      </w:r>
      <w:r w:rsidR="006A7A5D" w:rsidRPr="00294530">
        <w:rPr>
          <w:iCs/>
        </w:rPr>
        <w:t xml:space="preserve"> and security </w:t>
      </w:r>
      <w:r w:rsidRPr="00294530">
        <w:rPr>
          <w:iCs/>
        </w:rPr>
        <w:t xml:space="preserve">consequences of a situation where the computer model is not used appropriately. The Inspector </w:t>
      </w:r>
      <w:r w:rsidR="00645E09" w:rsidRPr="00294530">
        <w:rPr>
          <w:iCs/>
        </w:rPr>
        <w:t>may</w:t>
      </w:r>
      <w:r w:rsidRPr="00294530">
        <w:rPr>
          <w:iCs/>
        </w:rPr>
        <w:t xml:space="preserve"> consider what the BIM system is designed for, what the inputs are, and how much confidence the Inspector has that the modelling system will deliver what it is intended to, to the appropriate level of accuracy. This consideration should also include the consequences of mismanagement for planned or foreseeable future uses of the model. If work </w:t>
      </w:r>
      <w:r w:rsidR="00294530" w:rsidRPr="00294530">
        <w:rPr>
          <w:iCs/>
        </w:rPr>
        <w:t xml:space="preserve">associated with BIM </w:t>
      </w:r>
      <w:r w:rsidRPr="00294530">
        <w:rPr>
          <w:iCs/>
        </w:rPr>
        <w:t xml:space="preserve">is a procured activity, the Inspector </w:t>
      </w:r>
      <w:r w:rsidR="00294530" w:rsidRPr="00294530">
        <w:rPr>
          <w:iCs/>
        </w:rPr>
        <w:t>may seek assurance that</w:t>
      </w:r>
      <w:r w:rsidRPr="00294530">
        <w:rPr>
          <w:iCs/>
        </w:rPr>
        <w:t xml:space="preserve"> the Intelligent Customer function has been adequately</w:t>
      </w:r>
      <w:r w:rsidR="006A7A5D" w:rsidRPr="00294530">
        <w:rPr>
          <w:iCs/>
        </w:rPr>
        <w:t>.</w:t>
      </w:r>
    </w:p>
    <w:p w14:paraId="5730504F" w14:textId="77777777" w:rsidR="00D07AFA" w:rsidRPr="00CC121D" w:rsidRDefault="00D07AFA" w:rsidP="00D07AFA">
      <w:pPr>
        <w:pStyle w:val="TSNumberedParagraph1"/>
        <w:rPr>
          <w:iCs/>
        </w:rPr>
      </w:pPr>
      <w:r w:rsidRPr="00CC121D">
        <w:rPr>
          <w:iCs/>
        </w:rPr>
        <w:t>The key safety assessment principles for the assessment of BIM are:</w:t>
      </w:r>
    </w:p>
    <w:p w14:paraId="57305051" w14:textId="5DEBB0D6" w:rsidR="00D07AFA" w:rsidRPr="00CC121D" w:rsidRDefault="00F519B7" w:rsidP="00D07AFA">
      <w:pPr>
        <w:numPr>
          <w:ilvl w:val="0"/>
          <w:numId w:val="11"/>
        </w:numPr>
        <w:spacing w:after="240"/>
        <w:ind w:hanging="731"/>
        <w:contextualSpacing/>
        <w:rPr>
          <w:iCs/>
        </w:rPr>
      </w:pPr>
      <w:r w:rsidRPr="00CC121D">
        <w:rPr>
          <w:iCs/>
        </w:rPr>
        <w:t>MS.1 and</w:t>
      </w:r>
      <w:r>
        <w:rPr>
          <w:iCs/>
        </w:rPr>
        <w:t xml:space="preserve"> MS.2 for management and </w:t>
      </w:r>
      <w:r w:rsidR="00D07AFA" w:rsidRPr="00CC121D">
        <w:rPr>
          <w:iCs/>
        </w:rPr>
        <w:t>MS.4 for learning from experience</w:t>
      </w:r>
      <w:r w:rsidR="006A7A5D">
        <w:rPr>
          <w:iCs/>
        </w:rPr>
        <w:t>,</w:t>
      </w:r>
    </w:p>
    <w:p w14:paraId="57305052" w14:textId="77777777" w:rsidR="00D07AFA" w:rsidRPr="00CC121D" w:rsidRDefault="00D07AFA" w:rsidP="00D07AFA">
      <w:pPr>
        <w:numPr>
          <w:ilvl w:val="0"/>
          <w:numId w:val="11"/>
        </w:numPr>
        <w:spacing w:after="240"/>
        <w:ind w:hanging="731"/>
        <w:contextualSpacing/>
        <w:rPr>
          <w:iCs/>
        </w:rPr>
      </w:pPr>
      <w:r w:rsidRPr="00CC121D">
        <w:rPr>
          <w:iCs/>
        </w:rPr>
        <w:t>SC suite of SAPs where BIM is used for visibility of the adequate safety case</w:t>
      </w:r>
      <w:r w:rsidR="006A7A5D">
        <w:rPr>
          <w:iCs/>
        </w:rPr>
        <w:t>,</w:t>
      </w:r>
    </w:p>
    <w:p w14:paraId="57305053" w14:textId="77777777" w:rsidR="00D07AFA" w:rsidRPr="00CC121D" w:rsidRDefault="00D07AFA" w:rsidP="00D07AFA">
      <w:pPr>
        <w:numPr>
          <w:ilvl w:val="0"/>
          <w:numId w:val="11"/>
        </w:numPr>
        <w:spacing w:after="240"/>
        <w:ind w:hanging="731"/>
        <w:contextualSpacing/>
        <w:rPr>
          <w:iCs/>
        </w:rPr>
      </w:pPr>
      <w:r w:rsidRPr="00CC121D">
        <w:rPr>
          <w:iCs/>
        </w:rPr>
        <w:t>ECE suite of SAPs where BIM is a tool used to manage civil engineering works</w:t>
      </w:r>
      <w:r w:rsidR="006A7A5D">
        <w:rPr>
          <w:iCs/>
        </w:rPr>
        <w:t>,</w:t>
      </w:r>
    </w:p>
    <w:p w14:paraId="57305054" w14:textId="77777777" w:rsidR="00D07AFA" w:rsidRPr="00CC121D" w:rsidRDefault="00D07AFA" w:rsidP="00D07AFA">
      <w:pPr>
        <w:numPr>
          <w:ilvl w:val="0"/>
          <w:numId w:val="11"/>
        </w:numPr>
        <w:spacing w:after="240"/>
        <w:ind w:hanging="731"/>
        <w:contextualSpacing/>
        <w:rPr>
          <w:iCs/>
        </w:rPr>
      </w:pPr>
      <w:r w:rsidRPr="00CC121D">
        <w:rPr>
          <w:iCs/>
        </w:rPr>
        <w:t>EMT.1 and EMT.6 where BIM is used as a tool to inform arrangements for maintenance and asset care</w:t>
      </w:r>
      <w:r w:rsidR="006A7A5D">
        <w:rPr>
          <w:iCs/>
        </w:rPr>
        <w:t>,</w:t>
      </w:r>
    </w:p>
    <w:p w14:paraId="57305055" w14:textId="77777777" w:rsidR="00D07AFA" w:rsidRPr="00CC121D" w:rsidRDefault="00D07AFA" w:rsidP="00D07AFA">
      <w:pPr>
        <w:numPr>
          <w:ilvl w:val="0"/>
          <w:numId w:val="11"/>
        </w:numPr>
        <w:spacing w:after="240"/>
        <w:ind w:hanging="731"/>
        <w:contextualSpacing/>
        <w:rPr>
          <w:iCs/>
        </w:rPr>
      </w:pPr>
      <w:r w:rsidRPr="00CC121D">
        <w:rPr>
          <w:iCs/>
        </w:rPr>
        <w:t>EHF.1 and EHF.9 where BIM integrates design, assessment and management systems with collaboration and cooperation with other disciplines a</w:t>
      </w:r>
      <w:r w:rsidR="006A7A5D">
        <w:rPr>
          <w:iCs/>
        </w:rPr>
        <w:t>round operational requirements,</w:t>
      </w:r>
    </w:p>
    <w:p w14:paraId="57305056" w14:textId="77777777" w:rsidR="00D07AFA" w:rsidRPr="00CC121D" w:rsidRDefault="00D07AFA" w:rsidP="00D07AFA">
      <w:pPr>
        <w:numPr>
          <w:ilvl w:val="0"/>
          <w:numId w:val="11"/>
        </w:numPr>
        <w:spacing w:after="240"/>
        <w:ind w:hanging="731"/>
        <w:contextualSpacing/>
        <w:rPr>
          <w:iCs/>
        </w:rPr>
      </w:pPr>
      <w:r w:rsidRPr="00CC121D">
        <w:rPr>
          <w:iCs/>
        </w:rPr>
        <w:t>ENM.4, ENM.6 and ENM.7 where BIM stores information about nuclear material locations e.g. where storage (controlled environments) are facilitated by civil engineering design and computer systems</w:t>
      </w:r>
      <w:r w:rsidR="006A7A5D">
        <w:rPr>
          <w:iCs/>
        </w:rPr>
        <w:t>,</w:t>
      </w:r>
    </w:p>
    <w:p w14:paraId="57305057" w14:textId="77777777" w:rsidR="00D07AFA" w:rsidRPr="00CC121D" w:rsidRDefault="00D07AFA" w:rsidP="00D07AFA">
      <w:pPr>
        <w:numPr>
          <w:ilvl w:val="0"/>
          <w:numId w:val="11"/>
        </w:numPr>
        <w:spacing w:after="240"/>
        <w:ind w:hanging="731"/>
        <w:contextualSpacing/>
        <w:rPr>
          <w:iCs/>
        </w:rPr>
      </w:pPr>
      <w:r w:rsidRPr="00CC121D">
        <w:rPr>
          <w:iCs/>
        </w:rPr>
        <w:t>AM.1 where BIM is used to inform accident management and emergency arrangements, where emergency response is f</w:t>
      </w:r>
      <w:r w:rsidR="006A7A5D">
        <w:rPr>
          <w:iCs/>
        </w:rPr>
        <w:t>acilitated by civil engineering,</w:t>
      </w:r>
    </w:p>
    <w:p w14:paraId="57305058" w14:textId="77777777" w:rsidR="00D07AFA" w:rsidRPr="00CC121D" w:rsidRDefault="00D07AFA" w:rsidP="00D07AFA">
      <w:pPr>
        <w:numPr>
          <w:ilvl w:val="0"/>
          <w:numId w:val="11"/>
        </w:numPr>
        <w:spacing w:after="240"/>
        <w:ind w:hanging="731"/>
        <w:contextualSpacing/>
        <w:rPr>
          <w:iCs/>
        </w:rPr>
      </w:pPr>
      <w:r w:rsidRPr="00CC121D">
        <w:rPr>
          <w:iCs/>
        </w:rPr>
        <w:t>DC suite of SAPs where BIM is used to inform civil engineering activities as part of the decommissioning plans and strategies e.g. used as a tool to inform planning, sequencing and timing of civil engineering activities.</w:t>
      </w:r>
    </w:p>
    <w:p w14:paraId="57305059" w14:textId="77777777" w:rsidR="00D07AFA" w:rsidRPr="00CC121D" w:rsidRDefault="00D07AFA" w:rsidP="00D07AFA">
      <w:pPr>
        <w:pStyle w:val="TSNumberedParagraph1"/>
        <w:rPr>
          <w:iCs/>
        </w:rPr>
      </w:pPr>
      <w:r w:rsidRPr="00CC121D">
        <w:rPr>
          <w:iCs/>
        </w:rPr>
        <w:t>For the key civil engineering principles on assessment o</w:t>
      </w:r>
      <w:r w:rsidR="006A7A5D">
        <w:rPr>
          <w:iCs/>
        </w:rPr>
        <w:t>f the topics listed above, see:</w:t>
      </w:r>
    </w:p>
    <w:p w14:paraId="5730505A" w14:textId="4F3F8CE3" w:rsidR="00D07AFA" w:rsidRPr="00F23C92" w:rsidRDefault="00D07AFA" w:rsidP="00D07AFA">
      <w:pPr>
        <w:numPr>
          <w:ilvl w:val="0"/>
          <w:numId w:val="11"/>
        </w:numPr>
        <w:spacing w:after="240"/>
        <w:ind w:hanging="731"/>
        <w:contextualSpacing/>
        <w:rPr>
          <w:iCs/>
        </w:rPr>
      </w:pPr>
      <w:r w:rsidRPr="00CC121D">
        <w:rPr>
          <w:iCs/>
        </w:rPr>
        <w:t xml:space="preserve">TAG 17 </w:t>
      </w:r>
      <w:r w:rsidRPr="00CC121D">
        <w:t>Annex</w:t>
      </w:r>
      <w:r w:rsidRPr="00CC121D">
        <w:rPr>
          <w:iCs/>
        </w:rPr>
        <w:t xml:space="preserve"> 2</w:t>
      </w:r>
      <w:r w:rsidR="00826A1C">
        <w:rPr>
          <w:iCs/>
        </w:rPr>
        <w:t>,</w:t>
      </w:r>
      <w:r w:rsidRPr="00CC121D">
        <w:t xml:space="preserve"> ‘Building Information Modelling’</w:t>
      </w:r>
      <w:r w:rsidR="00AD433B">
        <w:t>,</w:t>
      </w:r>
    </w:p>
    <w:p w14:paraId="3F773E48" w14:textId="47EDE145" w:rsidR="00F23C92" w:rsidRPr="00CC121D" w:rsidRDefault="00F23C92" w:rsidP="00AD433B">
      <w:pPr>
        <w:numPr>
          <w:ilvl w:val="0"/>
          <w:numId w:val="11"/>
        </w:numPr>
        <w:spacing w:after="240"/>
        <w:ind w:hanging="731"/>
        <w:contextualSpacing/>
      </w:pPr>
      <w:r w:rsidRPr="00CC121D">
        <w:t>TAG 17 Annex 4, ‘Civil Engineering – Construction Assurance’</w:t>
      </w:r>
      <w:r w:rsidR="00AD433B">
        <w:t>.</w:t>
      </w:r>
    </w:p>
    <w:p w14:paraId="5730505B" w14:textId="3BEF29EB" w:rsidR="00D07AFA" w:rsidRPr="00CC121D" w:rsidRDefault="00D07AFA" w:rsidP="00D07AFA">
      <w:pPr>
        <w:pStyle w:val="TSNumberedParagraph1"/>
        <w:rPr>
          <w:iCs/>
        </w:rPr>
      </w:pPr>
      <w:r w:rsidRPr="00CC121D">
        <w:rPr>
          <w:iCs/>
        </w:rPr>
        <w:t>Further</w:t>
      </w:r>
      <w:r w:rsidR="00E209D2">
        <w:rPr>
          <w:iCs/>
        </w:rPr>
        <w:t xml:space="preserve"> information regarding BIM information management </w:t>
      </w:r>
      <w:r w:rsidRPr="00CC121D">
        <w:rPr>
          <w:iCs/>
        </w:rPr>
        <w:t>are described in:</w:t>
      </w:r>
    </w:p>
    <w:p w14:paraId="5730505D" w14:textId="6D67F526" w:rsidR="00D07AFA" w:rsidRPr="00CC121D" w:rsidRDefault="00407613" w:rsidP="00D07AFA">
      <w:pPr>
        <w:numPr>
          <w:ilvl w:val="0"/>
          <w:numId w:val="11"/>
        </w:numPr>
        <w:spacing w:after="240"/>
        <w:ind w:hanging="731"/>
        <w:contextualSpacing/>
      </w:pPr>
      <w:r>
        <w:rPr>
          <w:iCs/>
        </w:rPr>
        <w:t>ONR-</w:t>
      </w:r>
      <w:r w:rsidR="00D07AFA" w:rsidRPr="00CC121D">
        <w:t>NS-TAST-GD-049 ‘Licensee Core Safety and Intelligent Customer Capabilities’</w:t>
      </w:r>
      <w:r w:rsidR="006A7A5D">
        <w:t>,</w:t>
      </w:r>
    </w:p>
    <w:p w14:paraId="5730505E" w14:textId="66522B28" w:rsidR="00D07AFA" w:rsidRPr="00CC121D" w:rsidRDefault="00407613" w:rsidP="00D07AFA">
      <w:pPr>
        <w:numPr>
          <w:ilvl w:val="0"/>
          <w:numId w:val="11"/>
        </w:numPr>
        <w:spacing w:after="240"/>
        <w:ind w:hanging="731"/>
        <w:contextualSpacing/>
      </w:pPr>
      <w:r>
        <w:rPr>
          <w:iCs/>
        </w:rPr>
        <w:t>ONR-</w:t>
      </w:r>
      <w:r w:rsidR="00D07AFA" w:rsidRPr="00CC121D">
        <w:t>CNS-TAST-GD-4.3 ‘Oversight of Suppliers of Items or Services of</w:t>
      </w:r>
      <w:r w:rsidR="006A7A5D">
        <w:t xml:space="preserve"> Nuclear Security Significance’,</w:t>
      </w:r>
    </w:p>
    <w:p w14:paraId="57305060" w14:textId="375D7254" w:rsidR="00D07AFA" w:rsidRPr="00CC121D" w:rsidRDefault="00407613" w:rsidP="00D07AFA">
      <w:pPr>
        <w:numPr>
          <w:ilvl w:val="0"/>
          <w:numId w:val="11"/>
        </w:numPr>
        <w:spacing w:after="240"/>
        <w:ind w:hanging="731"/>
        <w:contextualSpacing/>
      </w:pPr>
      <w:r>
        <w:rPr>
          <w:iCs/>
        </w:rPr>
        <w:t>ONR-</w:t>
      </w:r>
      <w:r w:rsidR="00D07AFA" w:rsidRPr="00CC121D">
        <w:t>CNS-TAS</w:t>
      </w:r>
      <w:r w:rsidR="006A7A5D">
        <w:t>T-GD-7.2 ‘Information Security’,</w:t>
      </w:r>
    </w:p>
    <w:p w14:paraId="57305061" w14:textId="36D62403" w:rsidR="00D07AFA" w:rsidRPr="00A713B2" w:rsidRDefault="00407613" w:rsidP="00D07AFA">
      <w:pPr>
        <w:numPr>
          <w:ilvl w:val="0"/>
          <w:numId w:val="11"/>
        </w:numPr>
        <w:spacing w:after="240"/>
        <w:ind w:hanging="731"/>
        <w:contextualSpacing/>
        <w:rPr>
          <w:b/>
          <w:iCs/>
        </w:rPr>
      </w:pPr>
      <w:r>
        <w:rPr>
          <w:iCs/>
        </w:rPr>
        <w:t>ONR-</w:t>
      </w:r>
      <w:r w:rsidR="00D07AFA" w:rsidRPr="00CC121D">
        <w:t>CNS-</w:t>
      </w:r>
      <w:r w:rsidR="00D07AFA" w:rsidRPr="0001128A">
        <w:t>TAST-GD-7.4 ‘Physical Protection of Information’</w:t>
      </w:r>
      <w:r w:rsidR="006A7A5D" w:rsidRPr="0001128A">
        <w:t>.</w:t>
      </w:r>
    </w:p>
    <w:p w14:paraId="57305062" w14:textId="24D411C4" w:rsidR="00D07AFA" w:rsidRPr="0001128A" w:rsidRDefault="00C934CA" w:rsidP="00D07AFA">
      <w:pPr>
        <w:pStyle w:val="TSHeadingNumbered11"/>
      </w:pPr>
      <w:bookmarkStart w:id="71" w:name="_Toc57912704"/>
      <w:r w:rsidRPr="0001128A">
        <w:rPr>
          <w:rFonts w:ascii="Arial" w:hAnsi="Arial" w:cs="Arial"/>
        </w:rPr>
        <w:t xml:space="preserve">Ground Engineering, Geotechnics and Underground </w:t>
      </w:r>
      <w:r w:rsidR="0001128A" w:rsidRPr="0001128A">
        <w:rPr>
          <w:rFonts w:ascii="Arial" w:hAnsi="Arial" w:cs="Arial"/>
        </w:rPr>
        <w:t>S</w:t>
      </w:r>
      <w:r w:rsidRPr="0001128A">
        <w:rPr>
          <w:rFonts w:ascii="Arial" w:hAnsi="Arial" w:cs="Arial"/>
        </w:rPr>
        <w:t xml:space="preserve">tructure </w:t>
      </w:r>
      <w:r w:rsidR="0001128A" w:rsidRPr="0001128A">
        <w:rPr>
          <w:rFonts w:ascii="Arial" w:hAnsi="Arial" w:cs="Arial"/>
        </w:rPr>
        <w:t>D</w:t>
      </w:r>
      <w:r w:rsidRPr="0001128A">
        <w:rPr>
          <w:rFonts w:ascii="Arial" w:hAnsi="Arial" w:cs="Arial"/>
        </w:rPr>
        <w:t>esign</w:t>
      </w:r>
      <w:r w:rsidR="00EB7781" w:rsidRPr="0001128A">
        <w:rPr>
          <w:rFonts w:ascii="Arial" w:hAnsi="Arial" w:cs="Arial"/>
        </w:rPr>
        <w:t xml:space="preserve"> (Annex 3)</w:t>
      </w:r>
      <w:bookmarkEnd w:id="71"/>
    </w:p>
    <w:p w14:paraId="683DA0AD" w14:textId="4425B51A" w:rsidR="004828E5" w:rsidRPr="00CC121D" w:rsidRDefault="00C934CA" w:rsidP="00F40509">
      <w:pPr>
        <w:pStyle w:val="TSHeadingNumbered111"/>
      </w:pPr>
      <w:r w:rsidRPr="0001128A">
        <w:t>Site investigations</w:t>
      </w:r>
      <w:r w:rsidRPr="00CC121D">
        <w:t>, ground investigations and geotechnical engineering</w:t>
      </w:r>
    </w:p>
    <w:p w14:paraId="57305063" w14:textId="77777777" w:rsidR="00D07AFA" w:rsidRPr="00CC121D" w:rsidRDefault="00D07AFA" w:rsidP="00D07AFA">
      <w:pPr>
        <w:pStyle w:val="TSNumberedParagraph1"/>
        <w:rPr>
          <w:iCs/>
        </w:rPr>
      </w:pPr>
      <w:r w:rsidRPr="00CC121D">
        <w:rPr>
          <w:iCs/>
        </w:rPr>
        <w:t xml:space="preserve">Fundamental to the design of any civil engineering structure is an understanding of the materials upon which it will be </w:t>
      </w:r>
      <w:r w:rsidR="006A7A5D">
        <w:rPr>
          <w:iCs/>
        </w:rPr>
        <w:t>supported</w:t>
      </w:r>
      <w:r w:rsidRPr="00CC121D">
        <w:rPr>
          <w:iCs/>
        </w:rPr>
        <w:t>, cu</w:t>
      </w:r>
      <w:r w:rsidR="006A7A5D">
        <w:rPr>
          <w:iCs/>
        </w:rPr>
        <w:t>t through or constructed from.</w:t>
      </w:r>
    </w:p>
    <w:p w14:paraId="57305064" w14:textId="77777777" w:rsidR="00D07AFA" w:rsidRPr="00CC121D" w:rsidRDefault="00D07AFA" w:rsidP="00D07AFA">
      <w:pPr>
        <w:pStyle w:val="TSNumberedParagraph1"/>
        <w:rPr>
          <w:iCs/>
        </w:rPr>
      </w:pPr>
      <w:r w:rsidRPr="00CC121D">
        <w:rPr>
          <w:iCs/>
        </w:rPr>
        <w:t>The key safety assessment principles for the assessment of such assessment are:</w:t>
      </w:r>
    </w:p>
    <w:p w14:paraId="57305065" w14:textId="77777777" w:rsidR="00D07AFA" w:rsidRPr="002C6BE1" w:rsidRDefault="00D07AFA" w:rsidP="00743241">
      <w:pPr>
        <w:numPr>
          <w:ilvl w:val="0"/>
          <w:numId w:val="11"/>
        </w:numPr>
        <w:spacing w:before="240" w:after="240"/>
        <w:ind w:hanging="731"/>
        <w:contextualSpacing/>
        <w:rPr>
          <w:iCs/>
        </w:rPr>
      </w:pPr>
      <w:r w:rsidRPr="002C6BE1">
        <w:rPr>
          <w:iCs/>
        </w:rPr>
        <w:t>ECE.4 and ECE.5 identify the need to demonstrate stability of the soil and rock which provide support for the foundations and superstruc</w:t>
      </w:r>
      <w:r w:rsidR="006A7A5D" w:rsidRPr="002C6BE1">
        <w:rPr>
          <w:iCs/>
        </w:rPr>
        <w:t>ture of a nuclear installation.</w:t>
      </w:r>
      <w:r w:rsidRPr="002C6BE1">
        <w:rPr>
          <w:iCs/>
        </w:rPr>
        <w:t xml:space="preserve"> To determine the suitability of these materials site investigations are u</w:t>
      </w:r>
      <w:r w:rsidR="006A7A5D" w:rsidRPr="002C6BE1">
        <w:rPr>
          <w:iCs/>
        </w:rPr>
        <w:t>ndertaken,</w:t>
      </w:r>
    </w:p>
    <w:p w14:paraId="57305066" w14:textId="36D5838D" w:rsidR="00D07AFA" w:rsidRPr="002C6BE1" w:rsidRDefault="00D07AFA" w:rsidP="00743241">
      <w:pPr>
        <w:numPr>
          <w:ilvl w:val="0"/>
          <w:numId w:val="11"/>
        </w:numPr>
        <w:spacing w:before="240" w:after="240"/>
        <w:ind w:hanging="731"/>
        <w:contextualSpacing/>
        <w:rPr>
          <w:iCs/>
        </w:rPr>
      </w:pPr>
      <w:r w:rsidRPr="002C6BE1">
        <w:rPr>
          <w:iCs/>
        </w:rPr>
        <w:t>ECE.7</w:t>
      </w:r>
      <w:r w:rsidR="00885D05" w:rsidRPr="002C6BE1">
        <w:rPr>
          <w:iCs/>
        </w:rPr>
        <w:t xml:space="preserve">, ECE.9 and ECE.10 </w:t>
      </w:r>
      <w:r w:rsidRPr="002C6BE1">
        <w:rPr>
          <w:iCs/>
        </w:rPr>
        <w:t>foundation design should meet the safety functional requirements placed upon them, with consideration of other earthworks activities and groundwater conditions</w:t>
      </w:r>
      <w:r w:rsidR="00885D05" w:rsidRPr="002C6BE1">
        <w:rPr>
          <w:iCs/>
        </w:rPr>
        <w:t>,</w:t>
      </w:r>
    </w:p>
    <w:p w14:paraId="15E60D32" w14:textId="77777777" w:rsidR="00743241" w:rsidRPr="002C6BE1" w:rsidRDefault="00743241" w:rsidP="00743241">
      <w:pPr>
        <w:numPr>
          <w:ilvl w:val="0"/>
          <w:numId w:val="11"/>
        </w:numPr>
        <w:spacing w:before="240" w:after="240"/>
        <w:ind w:hanging="731"/>
        <w:contextualSpacing/>
        <w:rPr>
          <w:iCs/>
        </w:rPr>
      </w:pPr>
      <w:r w:rsidRPr="002C6BE1">
        <w:rPr>
          <w:iCs/>
        </w:rPr>
        <w:t>ECE.15 refers to the expectations around the validation of the methods used in the structural analysis and models used,</w:t>
      </w:r>
    </w:p>
    <w:p w14:paraId="6CA59142" w14:textId="6C7777D2" w:rsidR="00EE6A42" w:rsidRPr="002C6BE1" w:rsidRDefault="00EE6A42" w:rsidP="00743241">
      <w:pPr>
        <w:numPr>
          <w:ilvl w:val="0"/>
          <w:numId w:val="11"/>
        </w:numPr>
        <w:spacing w:before="240" w:after="240"/>
        <w:ind w:hanging="731"/>
        <w:contextualSpacing/>
        <w:rPr>
          <w:iCs/>
        </w:rPr>
      </w:pPr>
      <w:r w:rsidRPr="002C6BE1">
        <w:rPr>
          <w:iCs/>
        </w:rPr>
        <w:t>ECE.16</w:t>
      </w:r>
      <w:r w:rsidR="00B83133" w:rsidRPr="002C6BE1">
        <w:rPr>
          <w:iCs/>
        </w:rPr>
        <w:t xml:space="preserve"> establishes the expectations when assessing</w:t>
      </w:r>
      <w:r w:rsidRPr="002C6BE1">
        <w:rPr>
          <w:iCs/>
        </w:rPr>
        <w:t xml:space="preserve"> suitability of materials used on site</w:t>
      </w:r>
      <w:r w:rsidR="00032417">
        <w:rPr>
          <w:iCs/>
        </w:rPr>
        <w:t>,</w:t>
      </w:r>
    </w:p>
    <w:p w14:paraId="57305067" w14:textId="3A1D962E" w:rsidR="00D07AFA" w:rsidRDefault="00D07AFA" w:rsidP="00743241">
      <w:pPr>
        <w:numPr>
          <w:ilvl w:val="0"/>
          <w:numId w:val="11"/>
        </w:numPr>
        <w:spacing w:before="240" w:after="240"/>
        <w:ind w:hanging="731"/>
        <w:contextualSpacing/>
        <w:rPr>
          <w:iCs/>
        </w:rPr>
      </w:pPr>
      <w:r w:rsidRPr="002C6BE1">
        <w:rPr>
          <w:iCs/>
        </w:rPr>
        <w:t xml:space="preserve">ST.4 identifies the need for assessment of the suitability of a site to support safe nuclear operations, prior to a </w:t>
      </w:r>
      <w:r w:rsidR="00885D05" w:rsidRPr="002C6BE1">
        <w:rPr>
          <w:iCs/>
        </w:rPr>
        <w:t>new site licence being granted</w:t>
      </w:r>
      <w:r w:rsidR="00032417">
        <w:rPr>
          <w:iCs/>
        </w:rPr>
        <w:t>,</w:t>
      </w:r>
    </w:p>
    <w:p w14:paraId="05822E8B" w14:textId="77777777" w:rsidR="00140749" w:rsidRPr="002C6BE1" w:rsidRDefault="00140749" w:rsidP="002C6BE1">
      <w:pPr>
        <w:numPr>
          <w:ilvl w:val="0"/>
          <w:numId w:val="11"/>
        </w:numPr>
        <w:spacing w:before="240" w:after="240"/>
        <w:ind w:hanging="731"/>
        <w:contextualSpacing/>
        <w:rPr>
          <w:iCs/>
        </w:rPr>
      </w:pPr>
      <w:r w:rsidRPr="002C6BE1">
        <w:rPr>
          <w:iCs/>
        </w:rPr>
        <w:t>ECE.24 refers to the expectations around the monitoring of settlement during and after construction, to check the validity of the design,</w:t>
      </w:r>
    </w:p>
    <w:p w14:paraId="6E402E76" w14:textId="77777777" w:rsidR="00140749" w:rsidRPr="002C6BE1" w:rsidRDefault="00140749" w:rsidP="002C6BE1">
      <w:pPr>
        <w:numPr>
          <w:ilvl w:val="0"/>
          <w:numId w:val="11"/>
        </w:numPr>
        <w:spacing w:before="240" w:after="240"/>
        <w:ind w:hanging="731"/>
        <w:contextualSpacing/>
        <w:rPr>
          <w:iCs/>
        </w:rPr>
      </w:pPr>
      <w:r w:rsidRPr="002C6BE1">
        <w:rPr>
          <w:iCs/>
        </w:rPr>
        <w:t>ECE.25 states the expectation that designs for structures important to safety will be designed so that they can be constructed in accordance with established processes that ensure the required level of safety, considering adjacent SSCs,</w:t>
      </w:r>
    </w:p>
    <w:p w14:paraId="2F4345E7" w14:textId="77777777" w:rsidR="00140749" w:rsidRPr="002C6BE1" w:rsidRDefault="00140749" w:rsidP="002C6BE1">
      <w:pPr>
        <w:numPr>
          <w:ilvl w:val="0"/>
          <w:numId w:val="11"/>
        </w:numPr>
        <w:spacing w:before="240" w:after="240"/>
        <w:ind w:hanging="731"/>
        <w:contextualSpacing/>
        <w:rPr>
          <w:iCs/>
        </w:rPr>
      </w:pPr>
      <w:r w:rsidRPr="002C6BE1">
        <w:rPr>
          <w:iCs/>
        </w:rPr>
        <w:t>EHA.9 identifies the need for the evaluation of the seismology and geology of the area around the site and the geology and hydrogeology of the site in order to derive a design basis earthquake,</w:t>
      </w:r>
    </w:p>
    <w:p w14:paraId="584C7C35" w14:textId="77777777" w:rsidR="00D61275" w:rsidRPr="002C6BE1" w:rsidRDefault="00D61275" w:rsidP="002C6BE1">
      <w:pPr>
        <w:numPr>
          <w:ilvl w:val="0"/>
          <w:numId w:val="11"/>
        </w:numPr>
        <w:spacing w:before="240" w:after="240"/>
        <w:ind w:hanging="731"/>
        <w:contextualSpacing/>
        <w:rPr>
          <w:iCs/>
        </w:rPr>
      </w:pPr>
      <w:r w:rsidRPr="002C6BE1">
        <w:rPr>
          <w:iCs/>
        </w:rPr>
        <w:t>AV.1 and AV.2 state the expectations that theoretical models and the calculation methods will adequately represent the site and the physical processes that will take place,</w:t>
      </w:r>
    </w:p>
    <w:p w14:paraId="0945EF4C" w14:textId="1C172733" w:rsidR="00D61275" w:rsidRPr="002C6BE1" w:rsidRDefault="00D61275" w:rsidP="002C6BE1">
      <w:pPr>
        <w:numPr>
          <w:ilvl w:val="0"/>
          <w:numId w:val="11"/>
        </w:numPr>
        <w:spacing w:before="240" w:after="240"/>
        <w:ind w:hanging="731"/>
        <w:contextualSpacing/>
        <w:rPr>
          <w:iCs/>
        </w:rPr>
      </w:pPr>
      <w:r w:rsidRPr="002C6BE1">
        <w:rPr>
          <w:iCs/>
        </w:rPr>
        <w:t>AV.3, AV.4 and AV.5 refers to the expectations around the use of data, the computer modes used to process the data and the documentation of the analysis</w:t>
      </w:r>
      <w:r w:rsidR="00032417">
        <w:rPr>
          <w:iCs/>
        </w:rPr>
        <w:t>,</w:t>
      </w:r>
    </w:p>
    <w:p w14:paraId="5AF9FB9E" w14:textId="3F4783C1" w:rsidR="00D61275" w:rsidRPr="002C6BE1" w:rsidRDefault="00D61275" w:rsidP="002C6BE1">
      <w:pPr>
        <w:numPr>
          <w:ilvl w:val="0"/>
          <w:numId w:val="11"/>
        </w:numPr>
        <w:spacing w:before="240" w:after="240"/>
        <w:ind w:hanging="731"/>
        <w:contextualSpacing/>
        <w:rPr>
          <w:iCs/>
        </w:rPr>
      </w:pPr>
      <w:r w:rsidRPr="002C6BE1">
        <w:rPr>
          <w:iCs/>
        </w:rPr>
        <w:t>AV.6 refers to the expectations around sensitivity analysis</w:t>
      </w:r>
      <w:r w:rsidR="00032417">
        <w:rPr>
          <w:iCs/>
        </w:rPr>
        <w:t>,</w:t>
      </w:r>
    </w:p>
    <w:p w14:paraId="4336C167" w14:textId="77777777" w:rsidR="00D61275" w:rsidRPr="002C6BE1" w:rsidRDefault="00D61275" w:rsidP="002C6BE1">
      <w:pPr>
        <w:numPr>
          <w:ilvl w:val="0"/>
          <w:numId w:val="11"/>
        </w:numPr>
        <w:spacing w:before="240" w:after="240"/>
        <w:ind w:hanging="731"/>
        <w:contextualSpacing/>
        <w:rPr>
          <w:iCs/>
        </w:rPr>
      </w:pPr>
      <w:r w:rsidRPr="002C6BE1">
        <w:rPr>
          <w:iCs/>
        </w:rPr>
        <w:t>AV.7 and AV.8 refer to the expectations around the collation of data through the life of the facility to check and update the safety analysis, with analysis reviewed and updated where necessary and reviewed periodically,</w:t>
      </w:r>
    </w:p>
    <w:p w14:paraId="30AD5AD3" w14:textId="21019C51" w:rsidR="00140749" w:rsidRPr="002C6BE1" w:rsidRDefault="00474E25" w:rsidP="002C6BE1">
      <w:pPr>
        <w:numPr>
          <w:ilvl w:val="0"/>
          <w:numId w:val="11"/>
        </w:numPr>
        <w:spacing w:before="240" w:after="240"/>
        <w:ind w:hanging="731"/>
        <w:contextualSpacing/>
        <w:rPr>
          <w:iCs/>
        </w:rPr>
      </w:pPr>
      <w:r w:rsidRPr="002C6BE1">
        <w:rPr>
          <w:iCs/>
        </w:rPr>
        <w:t>RL.5 and RL.8 are related to ground investigations associated with contamination</w:t>
      </w:r>
      <w:r w:rsidR="002C6BE1">
        <w:rPr>
          <w:iCs/>
        </w:rPr>
        <w:t>.</w:t>
      </w:r>
    </w:p>
    <w:p w14:paraId="0BB029F3" w14:textId="3BD77BF0" w:rsidR="00175219" w:rsidRDefault="00175219" w:rsidP="00D07AFA">
      <w:pPr>
        <w:pStyle w:val="TSNumberedParagraph1"/>
        <w:rPr>
          <w:iCs/>
        </w:rPr>
      </w:pPr>
      <w:r>
        <w:rPr>
          <w:iCs/>
        </w:rPr>
        <w:t xml:space="preserve">The Inspector is reminded of the close interface with external hazards when considering the </w:t>
      </w:r>
      <w:r w:rsidR="006E0A71">
        <w:rPr>
          <w:iCs/>
        </w:rPr>
        <w:t xml:space="preserve">geotechnical information </w:t>
      </w:r>
      <w:r w:rsidR="001D1BB7">
        <w:rPr>
          <w:iCs/>
        </w:rPr>
        <w:t xml:space="preserve">and data from ground investigations </w:t>
      </w:r>
      <w:r w:rsidR="00713C30">
        <w:rPr>
          <w:iCs/>
        </w:rPr>
        <w:t>which</w:t>
      </w:r>
      <w:r w:rsidR="001D1BB7">
        <w:rPr>
          <w:iCs/>
        </w:rPr>
        <w:t>,</w:t>
      </w:r>
      <w:r w:rsidR="00713C30">
        <w:rPr>
          <w:iCs/>
        </w:rPr>
        <w:t xml:space="preserve"> in many instances</w:t>
      </w:r>
      <w:r w:rsidR="001D1BB7">
        <w:rPr>
          <w:iCs/>
        </w:rPr>
        <w:t>,</w:t>
      </w:r>
      <w:r w:rsidR="00713C30">
        <w:rPr>
          <w:iCs/>
        </w:rPr>
        <w:t xml:space="preserve"> </w:t>
      </w:r>
      <w:r w:rsidR="006E0A71">
        <w:rPr>
          <w:iCs/>
        </w:rPr>
        <w:t>will have been obtained to derive the applicable seismic hazard as part of the external hazard assessment.</w:t>
      </w:r>
    </w:p>
    <w:p w14:paraId="57305068" w14:textId="4B36ADA3" w:rsidR="00D07AFA" w:rsidRPr="00CC121D" w:rsidRDefault="00D07AFA" w:rsidP="00D07AFA">
      <w:pPr>
        <w:pStyle w:val="TSNumberedParagraph1"/>
        <w:rPr>
          <w:iCs/>
        </w:rPr>
      </w:pPr>
      <w:r w:rsidRPr="00CC121D">
        <w:rPr>
          <w:iCs/>
        </w:rPr>
        <w:t>For the key civil engineering principles on assessment o</w:t>
      </w:r>
      <w:r w:rsidR="00885D05">
        <w:rPr>
          <w:iCs/>
        </w:rPr>
        <w:t>f the topics listed above, see:</w:t>
      </w:r>
    </w:p>
    <w:p w14:paraId="57305069" w14:textId="4909C32D" w:rsidR="00D07AFA" w:rsidRPr="00CC121D" w:rsidRDefault="00D07AFA" w:rsidP="00D07AFA">
      <w:pPr>
        <w:numPr>
          <w:ilvl w:val="0"/>
          <w:numId w:val="11"/>
        </w:numPr>
        <w:spacing w:after="240"/>
        <w:ind w:hanging="731"/>
        <w:contextualSpacing/>
        <w:rPr>
          <w:iCs/>
        </w:rPr>
      </w:pPr>
      <w:r w:rsidRPr="00CC121D">
        <w:rPr>
          <w:iCs/>
        </w:rPr>
        <w:t xml:space="preserve">TAG 17 </w:t>
      </w:r>
      <w:r w:rsidRPr="00CC121D">
        <w:t>Annex</w:t>
      </w:r>
      <w:r w:rsidR="00885D05">
        <w:rPr>
          <w:iCs/>
        </w:rPr>
        <w:t xml:space="preserve"> </w:t>
      </w:r>
      <w:r w:rsidRPr="00CC121D">
        <w:rPr>
          <w:iCs/>
        </w:rPr>
        <w:t>3</w:t>
      </w:r>
      <w:r w:rsidR="006670D8">
        <w:rPr>
          <w:iCs/>
        </w:rPr>
        <w:t>,</w:t>
      </w:r>
      <w:r w:rsidRPr="00CC121D">
        <w:rPr>
          <w:iCs/>
        </w:rPr>
        <w:t xml:space="preserve"> </w:t>
      </w:r>
      <w:r w:rsidRPr="00CC121D">
        <w:t>‘Civil engineering – Ground Engineering, Geotechnics and Underground structure design’</w:t>
      </w:r>
      <w:r w:rsidR="00885D05">
        <w:t>,</w:t>
      </w:r>
      <w:r w:rsidR="00B76A20" w:rsidRPr="00B76A20">
        <w:t xml:space="preserve"> </w:t>
      </w:r>
      <w:r w:rsidR="00B76A20">
        <w:t xml:space="preserve">for ground </w:t>
      </w:r>
      <w:r w:rsidR="006946E5">
        <w:t xml:space="preserve">condition </w:t>
      </w:r>
      <w:r w:rsidR="00B76A20" w:rsidRPr="00CC121D">
        <w:t>considerations</w:t>
      </w:r>
      <w:r w:rsidR="00E14823">
        <w:t>,</w:t>
      </w:r>
    </w:p>
    <w:p w14:paraId="7BAEB381" w14:textId="3AC971C1" w:rsidR="00E14823" w:rsidRDefault="00D07AFA" w:rsidP="00D07AFA">
      <w:pPr>
        <w:numPr>
          <w:ilvl w:val="0"/>
          <w:numId w:val="11"/>
        </w:numPr>
        <w:spacing w:after="240"/>
        <w:ind w:hanging="731"/>
        <w:contextualSpacing/>
      </w:pPr>
      <w:r w:rsidRPr="00CC121D">
        <w:t>TAG 17 Annex 1</w:t>
      </w:r>
      <w:r w:rsidR="006670D8">
        <w:t>,</w:t>
      </w:r>
      <w:r w:rsidRPr="00CC121D">
        <w:t xml:space="preserve"> ‘Civil engineering – Design</w:t>
      </w:r>
      <w:r w:rsidR="00DF758F">
        <w:t xml:space="preserve">’ </w:t>
      </w:r>
      <w:r w:rsidRPr="00CC121D">
        <w:t>for early concept to site suitability</w:t>
      </w:r>
      <w:r w:rsidR="00E14823">
        <w:t>.</w:t>
      </w:r>
    </w:p>
    <w:p w14:paraId="39E25451" w14:textId="004B0DD6" w:rsidR="00E14823" w:rsidRDefault="00E14823" w:rsidP="00E14823">
      <w:r>
        <w:br w:type="page"/>
      </w:r>
    </w:p>
    <w:p w14:paraId="5730506A" w14:textId="7F76C375" w:rsidR="00D07AFA" w:rsidRPr="00E14823" w:rsidRDefault="00D07AFA" w:rsidP="00E14823">
      <w:r w:rsidRPr="00CC121D">
        <w:t xml:space="preserve"> </w:t>
      </w:r>
    </w:p>
    <w:p w14:paraId="5730506B" w14:textId="439342B6" w:rsidR="00D07AFA" w:rsidRPr="00CC121D" w:rsidRDefault="00D07AFA" w:rsidP="008F3139">
      <w:pPr>
        <w:pStyle w:val="TSHeadingNumbered111"/>
      </w:pPr>
      <w:bookmarkStart w:id="72" w:name="_Toc43723325"/>
      <w:r w:rsidRPr="00CC121D">
        <w:t>Foundation Design</w:t>
      </w:r>
      <w:bookmarkEnd w:id="72"/>
      <w:r w:rsidRPr="00CC121D">
        <w:t xml:space="preserve"> </w:t>
      </w:r>
    </w:p>
    <w:p w14:paraId="4D505059" w14:textId="77777777" w:rsidR="00F519B7" w:rsidRDefault="00D07AFA" w:rsidP="00D07AFA">
      <w:pPr>
        <w:pStyle w:val="TSNumberedParagraph1"/>
        <w:rPr>
          <w:iCs/>
        </w:rPr>
      </w:pPr>
      <w:r w:rsidRPr="00CC121D">
        <w:rPr>
          <w:iCs/>
        </w:rPr>
        <w:t>Where a structure is required to resist seismic loading, the soil and rock properties for use in dynamic analysis should be determined as input parameters for the</w:t>
      </w:r>
      <w:r w:rsidR="00885D05">
        <w:rPr>
          <w:iCs/>
        </w:rPr>
        <w:t xml:space="preserve"> foundation design solutions.</w:t>
      </w:r>
      <w:r w:rsidR="001376AD">
        <w:rPr>
          <w:iCs/>
        </w:rPr>
        <w:t xml:space="preserve"> </w:t>
      </w:r>
    </w:p>
    <w:p w14:paraId="5730506C" w14:textId="1225C056" w:rsidR="00D07AFA" w:rsidRPr="00CC121D" w:rsidRDefault="001376AD" w:rsidP="00D07AFA">
      <w:pPr>
        <w:pStyle w:val="TSNumberedParagraph1"/>
        <w:rPr>
          <w:iCs/>
        </w:rPr>
      </w:pPr>
      <w:r>
        <w:rPr>
          <w:iCs/>
        </w:rPr>
        <w:t>The Inspector is reminded of the interface with external hazards discipline when assessing geotechnical information and data from ground investigations</w:t>
      </w:r>
      <w:r w:rsidR="001D1BB7" w:rsidRPr="001D1BB7">
        <w:rPr>
          <w:iCs/>
        </w:rPr>
        <w:t xml:space="preserve"> </w:t>
      </w:r>
      <w:r w:rsidR="001D1BB7">
        <w:rPr>
          <w:iCs/>
        </w:rPr>
        <w:t>which, in many instances, will have been obtained to derive the applicable seismic hazard as part of the external hazard assessment</w:t>
      </w:r>
      <w:r>
        <w:rPr>
          <w:iCs/>
        </w:rPr>
        <w:t>.</w:t>
      </w:r>
    </w:p>
    <w:p w14:paraId="5730506D" w14:textId="77777777" w:rsidR="00D07AFA" w:rsidRPr="00CC121D" w:rsidRDefault="00D07AFA" w:rsidP="00D07AFA">
      <w:pPr>
        <w:pStyle w:val="TSNumberedParagraph1"/>
        <w:rPr>
          <w:iCs/>
        </w:rPr>
      </w:pPr>
      <w:r w:rsidRPr="00CC121D">
        <w:rPr>
          <w:iCs/>
        </w:rPr>
        <w:t>The key safety assessment principles for the assessment of such assessment are:</w:t>
      </w:r>
    </w:p>
    <w:p w14:paraId="5A61A660" w14:textId="2C994118" w:rsidR="008902F9" w:rsidRPr="002C6BE1" w:rsidRDefault="008902F9" w:rsidP="008902F9">
      <w:pPr>
        <w:numPr>
          <w:ilvl w:val="0"/>
          <w:numId w:val="11"/>
        </w:numPr>
        <w:spacing w:before="240" w:after="240"/>
        <w:ind w:hanging="731"/>
        <w:contextualSpacing/>
        <w:rPr>
          <w:iCs/>
        </w:rPr>
      </w:pPr>
      <w:r w:rsidRPr="002C6BE1">
        <w:rPr>
          <w:iCs/>
        </w:rPr>
        <w:t>SAPs ECE.1 and ECE.5 and ECE.6 regarding upstream references to schedules and safety functional requirements</w:t>
      </w:r>
      <w:r w:rsidR="00032417">
        <w:rPr>
          <w:iCs/>
        </w:rPr>
        <w:t>,</w:t>
      </w:r>
    </w:p>
    <w:p w14:paraId="5730506E" w14:textId="77777777" w:rsidR="00D07AFA" w:rsidRPr="002C6BE1" w:rsidRDefault="00D07AFA" w:rsidP="00D07AFA">
      <w:pPr>
        <w:numPr>
          <w:ilvl w:val="0"/>
          <w:numId w:val="11"/>
        </w:numPr>
        <w:spacing w:before="240" w:after="240"/>
        <w:ind w:hanging="731"/>
        <w:contextualSpacing/>
        <w:rPr>
          <w:iCs/>
        </w:rPr>
      </w:pPr>
      <w:r w:rsidRPr="002C6BE1">
        <w:rPr>
          <w:iCs/>
        </w:rPr>
        <w:t xml:space="preserve">ECE.4, ECE.5, ECE.7, ECE.10, ECE.24 </w:t>
      </w:r>
      <w:r w:rsidR="00885D05" w:rsidRPr="002C6BE1">
        <w:rPr>
          <w:iCs/>
        </w:rPr>
        <w:t xml:space="preserve">which </w:t>
      </w:r>
      <w:r w:rsidRPr="002C6BE1">
        <w:rPr>
          <w:iCs/>
        </w:rPr>
        <w:t>state expectations for foundation design</w:t>
      </w:r>
      <w:r w:rsidR="00885D05" w:rsidRPr="002C6BE1">
        <w:rPr>
          <w:iCs/>
        </w:rPr>
        <w:t>,</w:t>
      </w:r>
    </w:p>
    <w:p w14:paraId="5730506F" w14:textId="07834305" w:rsidR="00D07AFA" w:rsidRPr="002C6BE1" w:rsidRDefault="00D07AFA" w:rsidP="00D07AFA">
      <w:pPr>
        <w:numPr>
          <w:ilvl w:val="0"/>
          <w:numId w:val="11"/>
        </w:numPr>
        <w:spacing w:before="240" w:after="240"/>
        <w:ind w:hanging="731"/>
        <w:contextualSpacing/>
        <w:rPr>
          <w:iCs/>
        </w:rPr>
      </w:pPr>
      <w:r w:rsidRPr="002C6BE1">
        <w:rPr>
          <w:iCs/>
        </w:rPr>
        <w:t xml:space="preserve">ECE.7 and ECE.10 </w:t>
      </w:r>
      <w:r w:rsidR="00885D05" w:rsidRPr="002C6BE1">
        <w:rPr>
          <w:iCs/>
        </w:rPr>
        <w:t xml:space="preserve">which </w:t>
      </w:r>
      <w:r w:rsidRPr="002C6BE1">
        <w:rPr>
          <w:iCs/>
        </w:rPr>
        <w:t>state expectations for foundation integrity</w:t>
      </w:r>
      <w:r w:rsidR="00885D05" w:rsidRPr="002C6BE1">
        <w:rPr>
          <w:iCs/>
        </w:rPr>
        <w:t>.</w:t>
      </w:r>
    </w:p>
    <w:p w14:paraId="51AEC7E5" w14:textId="052B62BC" w:rsidR="00963EF9" w:rsidRPr="002C6BE1" w:rsidRDefault="00963EF9" w:rsidP="00963EF9">
      <w:pPr>
        <w:numPr>
          <w:ilvl w:val="0"/>
          <w:numId w:val="11"/>
        </w:numPr>
        <w:spacing w:before="240" w:after="240"/>
        <w:ind w:hanging="731"/>
        <w:contextualSpacing/>
        <w:rPr>
          <w:iCs/>
        </w:rPr>
      </w:pPr>
      <w:r w:rsidRPr="002C6BE1">
        <w:rPr>
          <w:iCs/>
        </w:rPr>
        <w:t>ECE.12, ECE.13 and ECE.14 refer to the expectations around the structural analysis and model testing to demonstrate the structure can meet the</w:t>
      </w:r>
      <w:r w:rsidR="005839E1">
        <w:rPr>
          <w:iCs/>
        </w:rPr>
        <w:t xml:space="preserve"> safety functional requirements</w:t>
      </w:r>
      <w:r w:rsidRPr="002C6BE1">
        <w:rPr>
          <w:iCs/>
        </w:rPr>
        <w:t xml:space="preserve"> </w:t>
      </w:r>
      <w:r w:rsidR="005839E1">
        <w:rPr>
          <w:iCs/>
        </w:rPr>
        <w:t>(</w:t>
      </w:r>
      <w:r w:rsidRPr="002C6BE1">
        <w:rPr>
          <w:iCs/>
        </w:rPr>
        <w:t>SFRs</w:t>
      </w:r>
      <w:r w:rsidR="005839E1">
        <w:rPr>
          <w:iCs/>
        </w:rPr>
        <w:t>)</w:t>
      </w:r>
      <w:r w:rsidRPr="002C6BE1">
        <w:rPr>
          <w:iCs/>
        </w:rPr>
        <w:t xml:space="preserve"> over the full range of loading for the lifetime of the facility, with the appropriate use of data and sensitivity studies to demonstrate this</w:t>
      </w:r>
      <w:r w:rsidR="00032417">
        <w:rPr>
          <w:iCs/>
        </w:rPr>
        <w:t>,</w:t>
      </w:r>
    </w:p>
    <w:p w14:paraId="22E536F4" w14:textId="77777777" w:rsidR="00354461" w:rsidRPr="002C6BE1" w:rsidRDefault="00354461" w:rsidP="002C6BE1">
      <w:pPr>
        <w:numPr>
          <w:ilvl w:val="0"/>
          <w:numId w:val="11"/>
        </w:numPr>
        <w:spacing w:before="240" w:after="240"/>
        <w:ind w:hanging="731"/>
        <w:contextualSpacing/>
        <w:rPr>
          <w:iCs/>
        </w:rPr>
      </w:pPr>
      <w:r w:rsidRPr="002C6BE1">
        <w:rPr>
          <w:iCs/>
        </w:rPr>
        <w:t>ECE.18 refers to the considerations of inspection during construction</w:t>
      </w:r>
    </w:p>
    <w:p w14:paraId="74C8492F" w14:textId="65829E16" w:rsidR="007C1208" w:rsidRPr="002C6BE1" w:rsidRDefault="007C1208" w:rsidP="002C6BE1">
      <w:pPr>
        <w:numPr>
          <w:ilvl w:val="0"/>
          <w:numId w:val="11"/>
        </w:numPr>
        <w:spacing w:before="240" w:after="240"/>
        <w:ind w:hanging="731"/>
        <w:contextualSpacing/>
        <w:rPr>
          <w:iCs/>
        </w:rPr>
      </w:pPr>
      <w:r w:rsidRPr="002C6BE1">
        <w:rPr>
          <w:iCs/>
        </w:rPr>
        <w:t>EHA.18 and EHA.7 explain beyond design basis events and ‘cliff-edge’ effects and how a small change in design basis fault or event assumptions should not lead to a disproportionate increase in radiological consequences</w:t>
      </w:r>
      <w:r w:rsidR="00032417">
        <w:rPr>
          <w:iCs/>
        </w:rPr>
        <w:t>,</w:t>
      </w:r>
    </w:p>
    <w:p w14:paraId="42AC8004" w14:textId="0B1EDFA4" w:rsidR="007C1208" w:rsidRPr="002C6BE1" w:rsidRDefault="007C1208" w:rsidP="002C6BE1">
      <w:pPr>
        <w:numPr>
          <w:ilvl w:val="0"/>
          <w:numId w:val="11"/>
        </w:numPr>
        <w:spacing w:before="240" w:after="240"/>
        <w:ind w:hanging="731"/>
        <w:contextualSpacing/>
        <w:rPr>
          <w:iCs/>
        </w:rPr>
      </w:pPr>
      <w:r w:rsidRPr="002C6BE1">
        <w:rPr>
          <w:iCs/>
        </w:rPr>
        <w:t>ECE.20 sets the expectations regarding examination, inspection, maintenance and testing</w:t>
      </w:r>
      <w:r w:rsidR="00032417">
        <w:rPr>
          <w:iCs/>
        </w:rPr>
        <w:t>,</w:t>
      </w:r>
    </w:p>
    <w:p w14:paraId="0538FD45" w14:textId="77777777" w:rsidR="00262E00" w:rsidRPr="002C6BE1" w:rsidRDefault="00262E00" w:rsidP="002C6BE1">
      <w:pPr>
        <w:numPr>
          <w:ilvl w:val="0"/>
          <w:numId w:val="11"/>
        </w:numPr>
        <w:spacing w:before="240" w:after="240"/>
        <w:ind w:hanging="731"/>
        <w:contextualSpacing/>
        <w:rPr>
          <w:iCs/>
        </w:rPr>
      </w:pPr>
      <w:r w:rsidRPr="002C6BE1">
        <w:rPr>
          <w:iCs/>
        </w:rPr>
        <w:t>EDR.1 refers to the expectation that designs will be designed to be inherently safe or to fail in a safe manner, identifying potential failure modes,</w:t>
      </w:r>
    </w:p>
    <w:p w14:paraId="7658FEDA" w14:textId="77777777" w:rsidR="00262E00" w:rsidRPr="002C6BE1" w:rsidRDefault="00262E00" w:rsidP="002C6BE1">
      <w:pPr>
        <w:numPr>
          <w:ilvl w:val="0"/>
          <w:numId w:val="11"/>
        </w:numPr>
        <w:spacing w:before="240" w:after="240"/>
        <w:ind w:hanging="731"/>
        <w:contextualSpacing/>
        <w:rPr>
          <w:iCs/>
        </w:rPr>
      </w:pPr>
      <w:r w:rsidRPr="002C6BE1">
        <w:rPr>
          <w:iCs/>
        </w:rPr>
        <w:t>ERL.1 refers to the expectations around reliability of civil engineering SSCs.</w:t>
      </w:r>
    </w:p>
    <w:p w14:paraId="4F35F9A4" w14:textId="5EF79A84" w:rsidR="00262E00" w:rsidRDefault="00262E00" w:rsidP="002C6BE1">
      <w:pPr>
        <w:numPr>
          <w:ilvl w:val="0"/>
          <w:numId w:val="11"/>
        </w:numPr>
        <w:spacing w:before="240" w:after="240"/>
        <w:ind w:hanging="731"/>
        <w:contextualSpacing/>
        <w:rPr>
          <w:iCs/>
        </w:rPr>
      </w:pPr>
      <w:r>
        <w:rPr>
          <w:iCs/>
        </w:rPr>
        <w:t>EQU.1 states the expectations regarding processes for qualification to demonstrate SSCs will perform the intended function for the required duration</w:t>
      </w:r>
      <w:r w:rsidR="00032417">
        <w:rPr>
          <w:iCs/>
        </w:rPr>
        <w:t>,</w:t>
      </w:r>
    </w:p>
    <w:p w14:paraId="64B6D993" w14:textId="1341AAAF" w:rsidR="00262E00" w:rsidRPr="002C6BE1" w:rsidRDefault="00262E00" w:rsidP="002C6BE1">
      <w:pPr>
        <w:numPr>
          <w:ilvl w:val="0"/>
          <w:numId w:val="11"/>
        </w:numPr>
        <w:spacing w:before="240" w:after="240"/>
        <w:ind w:hanging="731"/>
        <w:contextualSpacing/>
        <w:rPr>
          <w:iCs/>
        </w:rPr>
      </w:pPr>
      <w:r w:rsidRPr="002C6BE1">
        <w:rPr>
          <w:iCs/>
        </w:rPr>
        <w:t>ECS.1 sets the expectation that SSCs will be categorised appropriately</w:t>
      </w:r>
      <w:r w:rsidR="00032417">
        <w:rPr>
          <w:iCs/>
        </w:rPr>
        <w:t>,</w:t>
      </w:r>
    </w:p>
    <w:p w14:paraId="55C5C3CD" w14:textId="593DC680" w:rsidR="00262E00" w:rsidRPr="002C6BE1" w:rsidRDefault="00262E00" w:rsidP="002C6BE1">
      <w:pPr>
        <w:numPr>
          <w:ilvl w:val="0"/>
          <w:numId w:val="11"/>
        </w:numPr>
        <w:spacing w:before="240" w:after="240"/>
        <w:ind w:hanging="731"/>
        <w:contextualSpacing/>
        <w:rPr>
          <w:iCs/>
        </w:rPr>
      </w:pPr>
      <w:r w:rsidRPr="002C6BE1">
        <w:rPr>
          <w:iCs/>
        </w:rPr>
        <w:t>ECS.3, ECS.4 and ECS.5 set the expectations of code use</w:t>
      </w:r>
      <w:r w:rsidR="00032417">
        <w:rPr>
          <w:iCs/>
        </w:rPr>
        <w:t>,</w:t>
      </w:r>
    </w:p>
    <w:p w14:paraId="1EF582CA" w14:textId="31F50EEB" w:rsidR="00262E00" w:rsidRPr="002C6BE1" w:rsidRDefault="00262E00" w:rsidP="002C6BE1">
      <w:pPr>
        <w:numPr>
          <w:ilvl w:val="0"/>
          <w:numId w:val="11"/>
        </w:numPr>
        <w:spacing w:before="240" w:after="240"/>
        <w:ind w:hanging="731"/>
        <w:contextualSpacing/>
        <w:rPr>
          <w:iCs/>
        </w:rPr>
      </w:pPr>
      <w:r w:rsidRPr="002C6BE1">
        <w:rPr>
          <w:iCs/>
        </w:rPr>
        <w:t>SC.5, ERL.4 and EAD.2 sets the expectations regarding optimism, uncertainty and conservatism and the associated margins across the required life of the SSC</w:t>
      </w:r>
      <w:r w:rsidR="00032417">
        <w:rPr>
          <w:iCs/>
        </w:rPr>
        <w:t>,</w:t>
      </w:r>
    </w:p>
    <w:p w14:paraId="549A7DD6" w14:textId="77777777" w:rsidR="002C6BE1" w:rsidRPr="002C6BE1" w:rsidRDefault="002C6BE1" w:rsidP="002C6BE1">
      <w:pPr>
        <w:numPr>
          <w:ilvl w:val="0"/>
          <w:numId w:val="11"/>
        </w:numPr>
        <w:spacing w:before="240" w:after="240"/>
        <w:ind w:hanging="731"/>
        <w:contextualSpacing/>
        <w:rPr>
          <w:iCs/>
        </w:rPr>
      </w:pPr>
      <w:r w:rsidRPr="002C6BE1">
        <w:rPr>
          <w:iCs/>
        </w:rPr>
        <w:t>MS.2 outlines the expectation that there is adequate human resources and that the organisation has the capability to secure and maintain the safety of its undertakings,</w:t>
      </w:r>
    </w:p>
    <w:p w14:paraId="72F7AE43" w14:textId="6D3886D3" w:rsidR="00354461" w:rsidRPr="00032417" w:rsidRDefault="002C6BE1" w:rsidP="00032417">
      <w:pPr>
        <w:numPr>
          <w:ilvl w:val="0"/>
          <w:numId w:val="11"/>
        </w:numPr>
        <w:spacing w:before="240" w:after="240"/>
        <w:ind w:hanging="731"/>
        <w:contextualSpacing/>
        <w:rPr>
          <w:iCs/>
        </w:rPr>
      </w:pPr>
      <w:r w:rsidRPr="002C6BE1">
        <w:rPr>
          <w:iCs/>
        </w:rPr>
        <w:t xml:space="preserve">DC.6 states that documents and records that may be required for decommissioning purposes should be identified, prepares, updated, retained and owned so that they will be available when </w:t>
      </w:r>
      <w:r w:rsidR="003419AD" w:rsidRPr="002C6BE1">
        <w:rPr>
          <w:iCs/>
        </w:rPr>
        <w:t>needed.</w:t>
      </w:r>
    </w:p>
    <w:p w14:paraId="57305070" w14:textId="77777777" w:rsidR="00D07AFA" w:rsidRPr="00CC121D" w:rsidRDefault="00D07AFA" w:rsidP="00D07AFA">
      <w:pPr>
        <w:pStyle w:val="TSNumberedParagraph1"/>
        <w:rPr>
          <w:iCs/>
        </w:rPr>
      </w:pPr>
      <w:r w:rsidRPr="00CC121D">
        <w:rPr>
          <w:iCs/>
        </w:rPr>
        <w:t>For the key civil engineering principles on assess</w:t>
      </w:r>
      <w:r w:rsidR="00885D05">
        <w:rPr>
          <w:iCs/>
        </w:rPr>
        <w:t>ment of foundation design, see:</w:t>
      </w:r>
    </w:p>
    <w:p w14:paraId="57305071" w14:textId="74288318" w:rsidR="00D07AFA" w:rsidRDefault="00885D05" w:rsidP="00D07AFA">
      <w:pPr>
        <w:numPr>
          <w:ilvl w:val="0"/>
          <w:numId w:val="11"/>
        </w:numPr>
        <w:spacing w:before="240" w:after="240"/>
        <w:ind w:hanging="731"/>
        <w:contextualSpacing/>
        <w:rPr>
          <w:iCs/>
        </w:rPr>
      </w:pPr>
      <w:r w:rsidRPr="00CC121D">
        <w:rPr>
          <w:iCs/>
        </w:rPr>
        <w:t xml:space="preserve">TAG 17 </w:t>
      </w:r>
      <w:r w:rsidRPr="00CC121D">
        <w:t>Annex</w:t>
      </w:r>
      <w:r>
        <w:rPr>
          <w:iCs/>
        </w:rPr>
        <w:t xml:space="preserve"> </w:t>
      </w:r>
      <w:r w:rsidRPr="00CC121D">
        <w:rPr>
          <w:iCs/>
        </w:rPr>
        <w:t xml:space="preserve">3 </w:t>
      </w:r>
      <w:r w:rsidRPr="00CC121D">
        <w:t xml:space="preserve">‘Civil </w:t>
      </w:r>
      <w:r w:rsidR="00FE2DA5">
        <w:t>E</w:t>
      </w:r>
      <w:r w:rsidRPr="00CC121D">
        <w:t>ngineering – Ground Engineering, Geotechnics and Underground structure design’</w:t>
      </w:r>
      <w:r w:rsidR="007F36C1">
        <w:rPr>
          <w:iCs/>
        </w:rPr>
        <w:t>,</w:t>
      </w:r>
    </w:p>
    <w:p w14:paraId="07D552A4" w14:textId="513A341E" w:rsidR="00F519B7" w:rsidRDefault="00FE2DA5" w:rsidP="00D07AFA">
      <w:pPr>
        <w:numPr>
          <w:ilvl w:val="0"/>
          <w:numId w:val="11"/>
        </w:numPr>
        <w:spacing w:before="240" w:after="240"/>
        <w:ind w:hanging="731"/>
        <w:contextualSpacing/>
        <w:rPr>
          <w:iCs/>
        </w:rPr>
      </w:pPr>
      <w:r>
        <w:rPr>
          <w:iCs/>
        </w:rPr>
        <w:t xml:space="preserve">TAG 17 Annex 4 ‘ Civil Engineering – Construction </w:t>
      </w:r>
      <w:proofErr w:type="spellStart"/>
      <w:r>
        <w:rPr>
          <w:iCs/>
        </w:rPr>
        <w:t>Asssurance</w:t>
      </w:r>
      <w:proofErr w:type="spellEnd"/>
      <w:r>
        <w:rPr>
          <w:iCs/>
        </w:rPr>
        <w:t>’ f</w:t>
      </w:r>
      <w:r w:rsidR="00F519B7">
        <w:rPr>
          <w:iCs/>
        </w:rPr>
        <w:t xml:space="preserve">or construction </w:t>
      </w:r>
      <w:r>
        <w:rPr>
          <w:iCs/>
        </w:rPr>
        <w:t xml:space="preserve">considerations, </w:t>
      </w:r>
    </w:p>
    <w:p w14:paraId="40EE3B3D" w14:textId="34BC0425" w:rsidR="00FE2DA5" w:rsidRPr="00CC121D" w:rsidRDefault="00FE2DA5" w:rsidP="00D07AFA">
      <w:pPr>
        <w:numPr>
          <w:ilvl w:val="0"/>
          <w:numId w:val="11"/>
        </w:numPr>
        <w:spacing w:before="240" w:after="240"/>
        <w:ind w:hanging="731"/>
        <w:contextualSpacing/>
        <w:rPr>
          <w:iCs/>
        </w:rPr>
      </w:pPr>
      <w:r>
        <w:rPr>
          <w:iCs/>
        </w:rPr>
        <w:t>TAG 17 Annex 1 ‘Civil Engineering – Design’ for other more generic design considerations</w:t>
      </w:r>
    </w:p>
    <w:p w14:paraId="57305072" w14:textId="0ED11222" w:rsidR="00D07AFA" w:rsidRPr="00CC121D" w:rsidRDefault="00407613" w:rsidP="00D07AFA">
      <w:pPr>
        <w:numPr>
          <w:ilvl w:val="0"/>
          <w:numId w:val="11"/>
        </w:numPr>
        <w:spacing w:before="240" w:after="240"/>
        <w:ind w:hanging="731"/>
        <w:contextualSpacing/>
        <w:rPr>
          <w:iCs/>
        </w:rPr>
      </w:pPr>
      <w:r>
        <w:rPr>
          <w:iCs/>
        </w:rPr>
        <w:t>ONR-</w:t>
      </w:r>
      <w:r w:rsidR="00D07AFA" w:rsidRPr="00CC121D">
        <w:rPr>
          <w:iCs/>
        </w:rPr>
        <w:t xml:space="preserve">NS-TAST-GD-013 Annex 1, </w:t>
      </w:r>
      <w:r w:rsidR="00237292">
        <w:rPr>
          <w:iCs/>
        </w:rPr>
        <w:t>‘</w:t>
      </w:r>
      <w:r w:rsidR="00D07AFA" w:rsidRPr="00CC121D">
        <w:rPr>
          <w:iCs/>
        </w:rPr>
        <w:t>Seismic Hazards</w:t>
      </w:r>
      <w:r w:rsidR="00237292">
        <w:rPr>
          <w:iCs/>
        </w:rPr>
        <w:t>’</w:t>
      </w:r>
      <w:r w:rsidR="00D07AFA" w:rsidRPr="00CC121D">
        <w:rPr>
          <w:iCs/>
        </w:rPr>
        <w:t>, for details on derivation of the seismic hazard and civil engineering design input parameters</w:t>
      </w:r>
      <w:r w:rsidR="007F36C1">
        <w:rPr>
          <w:iCs/>
        </w:rPr>
        <w:t>.</w:t>
      </w:r>
    </w:p>
    <w:p w14:paraId="4726DB21" w14:textId="77777777" w:rsidR="00FE2DA5" w:rsidRDefault="00FE2DA5">
      <w:pPr>
        <w:rPr>
          <w:rFonts w:ascii="Arial Bold" w:hAnsi="Arial Bold"/>
          <w:b/>
        </w:rPr>
      </w:pPr>
      <w:bookmarkStart w:id="73" w:name="_Toc43723329"/>
      <w:r>
        <w:br w:type="page"/>
      </w:r>
    </w:p>
    <w:p w14:paraId="6D681C46" w14:textId="4A9166F0" w:rsidR="00C934CA" w:rsidRDefault="00C934CA" w:rsidP="00D07AFA">
      <w:pPr>
        <w:pStyle w:val="TSHeadingNumbered11"/>
      </w:pPr>
      <w:bookmarkStart w:id="74" w:name="_Toc57912705"/>
      <w:r>
        <w:t>Construction Assurance</w:t>
      </w:r>
      <w:r w:rsidR="00EB7781">
        <w:t xml:space="preserve"> (Annex 4)</w:t>
      </w:r>
      <w:bookmarkEnd w:id="74"/>
    </w:p>
    <w:p w14:paraId="221A621B" w14:textId="77777777" w:rsidR="00C934CA" w:rsidRPr="00CC121D" w:rsidRDefault="00C934CA" w:rsidP="008F3139">
      <w:pPr>
        <w:pStyle w:val="TSHeadingNumbered111"/>
      </w:pPr>
      <w:r w:rsidRPr="00CC121D">
        <w:t xml:space="preserve">Construction </w:t>
      </w:r>
    </w:p>
    <w:p w14:paraId="6932784D" w14:textId="0A675A57" w:rsidR="00C934CA" w:rsidRDefault="00B064FB" w:rsidP="00C934CA">
      <w:pPr>
        <w:pStyle w:val="TSNumberedParagraph1"/>
        <w:rPr>
          <w:iCs/>
        </w:rPr>
      </w:pPr>
      <w:r>
        <w:rPr>
          <w:iCs/>
        </w:rPr>
        <w:t>The Inspector is reminded of the definition of</w:t>
      </w:r>
      <w:r w:rsidR="00C934CA" w:rsidRPr="00CC121D">
        <w:rPr>
          <w:iCs/>
        </w:rPr>
        <w:t xml:space="preserve"> ‘Construction’</w:t>
      </w:r>
      <w:r>
        <w:rPr>
          <w:iCs/>
        </w:rPr>
        <w:t>, see glossary in this document</w:t>
      </w:r>
      <w:r w:rsidR="00C934CA" w:rsidRPr="00CC121D">
        <w:rPr>
          <w:iCs/>
        </w:rPr>
        <w:t>.</w:t>
      </w:r>
    </w:p>
    <w:p w14:paraId="503E21A6" w14:textId="28B62737" w:rsidR="00C934CA" w:rsidRPr="00CC121D" w:rsidRDefault="00C934CA" w:rsidP="00C934CA">
      <w:pPr>
        <w:pStyle w:val="TSNumberedParagraph1"/>
        <w:rPr>
          <w:iCs/>
        </w:rPr>
      </w:pPr>
      <w:r w:rsidRPr="005D5A0F">
        <w:rPr>
          <w:iCs/>
        </w:rPr>
        <w:t xml:space="preserve">The </w:t>
      </w:r>
      <w:r>
        <w:rPr>
          <w:iCs/>
        </w:rPr>
        <w:t xml:space="preserve">Inspector may wish to seek assurance that the </w:t>
      </w:r>
      <w:r w:rsidRPr="005D5A0F">
        <w:rPr>
          <w:iCs/>
        </w:rPr>
        <w:t xml:space="preserve">construction processes applied ensure </w:t>
      </w:r>
      <w:r>
        <w:rPr>
          <w:iCs/>
        </w:rPr>
        <w:t xml:space="preserve">that </w:t>
      </w:r>
      <w:r w:rsidRPr="005D5A0F">
        <w:rPr>
          <w:iCs/>
        </w:rPr>
        <w:t>the civil engineering structures will satisfy their safety functional requirements</w:t>
      </w:r>
      <w:r>
        <w:rPr>
          <w:iCs/>
        </w:rPr>
        <w:t xml:space="preserve"> throughout all stages of the facility and that the intended design life will be satisfied. The Inspector may wish to seek assurance that the process(es) ensure that all construction defects are identified so that their safety consequence can be </w:t>
      </w:r>
      <w:r w:rsidR="003419AD">
        <w:rPr>
          <w:iCs/>
        </w:rPr>
        <w:t>quantified,</w:t>
      </w:r>
      <w:r>
        <w:rPr>
          <w:iCs/>
        </w:rPr>
        <w:t xml:space="preserve"> and appropriate remedial action undertaken where necessary.</w:t>
      </w:r>
    </w:p>
    <w:p w14:paraId="7A9DCAEC" w14:textId="77777777" w:rsidR="00C934CA" w:rsidRPr="00CC121D" w:rsidRDefault="00C934CA" w:rsidP="00C934CA">
      <w:pPr>
        <w:pStyle w:val="TSNumberedParagraph1"/>
        <w:rPr>
          <w:iCs/>
        </w:rPr>
      </w:pPr>
      <w:r w:rsidRPr="00CC121D">
        <w:rPr>
          <w:iCs/>
        </w:rPr>
        <w:t xml:space="preserve">The SAPs applicable </w:t>
      </w:r>
      <w:r>
        <w:rPr>
          <w:iCs/>
        </w:rPr>
        <w:t>to construction depend on the stage at which the construction is occurring, including</w:t>
      </w:r>
      <w:r w:rsidRPr="00CC121D">
        <w:rPr>
          <w:iCs/>
        </w:rPr>
        <w:t xml:space="preserve"> </w:t>
      </w:r>
      <w:r>
        <w:rPr>
          <w:iCs/>
        </w:rPr>
        <w:t>the following</w:t>
      </w:r>
      <w:r w:rsidRPr="00CC121D">
        <w:rPr>
          <w:iCs/>
        </w:rPr>
        <w:t>:</w:t>
      </w:r>
    </w:p>
    <w:p w14:paraId="1216F902" w14:textId="77777777" w:rsidR="00087599" w:rsidRPr="00CE4374" w:rsidRDefault="00087599" w:rsidP="00087599">
      <w:pPr>
        <w:numPr>
          <w:ilvl w:val="2"/>
          <w:numId w:val="10"/>
        </w:numPr>
        <w:spacing w:after="240"/>
        <w:ind w:left="1418"/>
        <w:contextualSpacing/>
        <w:rPr>
          <w:iCs/>
        </w:rPr>
      </w:pPr>
      <w:r w:rsidRPr="00CE4374">
        <w:rPr>
          <w:iCs/>
        </w:rPr>
        <w:t>ECE.3: It should be demonstrated that structures important to safety are sufficiently free of defects so that their safety functions are not compromised, that identified defects can be tolerated, and that the existence of defects that could compromise safety functions can be established through their lifecycle.</w:t>
      </w:r>
    </w:p>
    <w:p w14:paraId="165B7CD9" w14:textId="77777777" w:rsidR="00087599" w:rsidRPr="00CC121D" w:rsidRDefault="00087599" w:rsidP="00087599">
      <w:pPr>
        <w:numPr>
          <w:ilvl w:val="2"/>
          <w:numId w:val="10"/>
        </w:numPr>
        <w:spacing w:after="240"/>
        <w:ind w:left="1418"/>
        <w:contextualSpacing/>
        <w:rPr>
          <w:iCs/>
        </w:rPr>
      </w:pPr>
      <w:r>
        <w:rPr>
          <w:iCs/>
        </w:rPr>
        <w:t>ECE.15 provides assessment principles in relation to verification activities,</w:t>
      </w:r>
    </w:p>
    <w:p w14:paraId="088E2C99" w14:textId="6F344B2C" w:rsidR="00C934CA" w:rsidRPr="00CC121D" w:rsidRDefault="00C934CA" w:rsidP="00C934CA">
      <w:pPr>
        <w:numPr>
          <w:ilvl w:val="2"/>
          <w:numId w:val="10"/>
        </w:numPr>
        <w:spacing w:after="240"/>
        <w:ind w:left="1418"/>
        <w:contextualSpacing/>
        <w:rPr>
          <w:iCs/>
        </w:rPr>
      </w:pPr>
      <w:r w:rsidRPr="00CC121D">
        <w:rPr>
          <w:iCs/>
        </w:rPr>
        <w:t>ECE.16-19</w:t>
      </w:r>
      <w:r w:rsidR="00070214">
        <w:rPr>
          <w:iCs/>
        </w:rPr>
        <w:t xml:space="preserve"> establish the expectations that</w:t>
      </w:r>
      <w:r w:rsidRPr="00CC121D">
        <w:rPr>
          <w:iCs/>
        </w:rPr>
        <w:t xml:space="preserve"> the consideration of choices of material are consistent with the design intent, using proven techniques and a quality management system and surveillance in place to minimise and identify any defects. Where defects are identified, to remediate to ensure the design intent is still met and to ensure adequate quality and original design requirements and de</w:t>
      </w:r>
      <w:r>
        <w:rPr>
          <w:iCs/>
        </w:rPr>
        <w:t>sign specification is achieved,</w:t>
      </w:r>
    </w:p>
    <w:p w14:paraId="5151A41A" w14:textId="77777777" w:rsidR="00C934CA" w:rsidRPr="00CC121D" w:rsidRDefault="00C934CA" w:rsidP="00C934CA">
      <w:pPr>
        <w:numPr>
          <w:ilvl w:val="2"/>
          <w:numId w:val="10"/>
        </w:numPr>
        <w:spacing w:after="240"/>
        <w:ind w:left="1418"/>
        <w:contextualSpacing/>
        <w:rPr>
          <w:iCs/>
        </w:rPr>
      </w:pPr>
      <w:r w:rsidRPr="00CC121D">
        <w:rPr>
          <w:iCs/>
        </w:rPr>
        <w:t>ECE.23 advises that any sea or river defences which protect a nuclear licensed site from flooding should have associated EIMT under LC28 arrangements, and for other earthworks embankments to be managed</w:t>
      </w:r>
      <w:r>
        <w:rPr>
          <w:iCs/>
        </w:rPr>
        <w:t>,</w:t>
      </w:r>
    </w:p>
    <w:p w14:paraId="44114DF7" w14:textId="1D7420E6" w:rsidR="00C934CA" w:rsidRPr="00CC121D" w:rsidRDefault="00C61D5D" w:rsidP="00C934CA">
      <w:pPr>
        <w:numPr>
          <w:ilvl w:val="2"/>
          <w:numId w:val="10"/>
        </w:numPr>
        <w:spacing w:after="240"/>
        <w:ind w:left="1418"/>
        <w:contextualSpacing/>
        <w:rPr>
          <w:iCs/>
        </w:rPr>
      </w:pPr>
      <w:r w:rsidRPr="00CE4374">
        <w:rPr>
          <w:iCs/>
        </w:rPr>
        <w:t>ECE.24 There should be arrangements to monitor civil engineering structures during and after construction to check the validity of predictions of performance made during the design and for feedback into design reviews</w:t>
      </w:r>
      <w:r w:rsidR="00C934CA" w:rsidRPr="00CC121D">
        <w:rPr>
          <w:iCs/>
        </w:rPr>
        <w:t>ELO.1 for layout to allow for construction activities</w:t>
      </w:r>
      <w:r w:rsidR="00032417">
        <w:rPr>
          <w:iCs/>
        </w:rPr>
        <w:t>,</w:t>
      </w:r>
    </w:p>
    <w:p w14:paraId="55385F51" w14:textId="77777777" w:rsidR="00605E22" w:rsidRPr="00CE4374" w:rsidRDefault="00605E22" w:rsidP="00605E22">
      <w:pPr>
        <w:numPr>
          <w:ilvl w:val="2"/>
          <w:numId w:val="10"/>
        </w:numPr>
        <w:spacing w:after="240"/>
        <w:ind w:left="1418"/>
        <w:contextualSpacing/>
        <w:rPr>
          <w:iCs/>
        </w:rPr>
      </w:pPr>
      <w:r w:rsidRPr="00CE4374">
        <w:rPr>
          <w:iCs/>
        </w:rPr>
        <w:t>MS.1-4</w:t>
      </w:r>
      <w:r>
        <w:rPr>
          <w:iCs/>
        </w:rPr>
        <w:t xml:space="preserve"> for </w:t>
      </w:r>
      <w:r w:rsidRPr="00CE4374">
        <w:rPr>
          <w:iCs/>
        </w:rPr>
        <w:t xml:space="preserve">Leadership and Management for Safety, </w:t>
      </w:r>
    </w:p>
    <w:p w14:paraId="6EAD7E9D" w14:textId="77777777" w:rsidR="00605E22" w:rsidRPr="00CE4374" w:rsidRDefault="00605E22" w:rsidP="00605E22">
      <w:pPr>
        <w:numPr>
          <w:ilvl w:val="2"/>
          <w:numId w:val="10"/>
        </w:numPr>
        <w:spacing w:after="240"/>
        <w:ind w:left="1418"/>
        <w:contextualSpacing/>
        <w:rPr>
          <w:iCs/>
        </w:rPr>
      </w:pPr>
      <w:r>
        <w:rPr>
          <w:iCs/>
        </w:rPr>
        <w:t xml:space="preserve">ECS.1-3 for </w:t>
      </w:r>
      <w:r w:rsidRPr="00CE4374">
        <w:rPr>
          <w:iCs/>
        </w:rPr>
        <w:t>Safety Classification and Standards,</w:t>
      </w:r>
    </w:p>
    <w:p w14:paraId="10DF4539" w14:textId="77777777" w:rsidR="00605E22" w:rsidRPr="00CC121D" w:rsidRDefault="00605E22" w:rsidP="00605E22">
      <w:pPr>
        <w:numPr>
          <w:ilvl w:val="2"/>
          <w:numId w:val="10"/>
        </w:numPr>
        <w:spacing w:after="240"/>
        <w:ind w:left="1418"/>
        <w:contextualSpacing/>
        <w:rPr>
          <w:iCs/>
        </w:rPr>
      </w:pPr>
      <w:r w:rsidRPr="00CC121D">
        <w:rPr>
          <w:iCs/>
        </w:rPr>
        <w:t xml:space="preserve">DC.1 </w:t>
      </w:r>
      <w:r>
        <w:rPr>
          <w:iCs/>
        </w:rPr>
        <w:t xml:space="preserve">establishes </w:t>
      </w:r>
      <w:r w:rsidRPr="00CC121D">
        <w:rPr>
          <w:iCs/>
        </w:rPr>
        <w:t>the expectation that the selection of the materials to consider replacement in design, shown to be appropriate for the required design life</w:t>
      </w:r>
      <w:r>
        <w:rPr>
          <w:iCs/>
        </w:rPr>
        <w:t>,</w:t>
      </w:r>
    </w:p>
    <w:p w14:paraId="606F5CAB" w14:textId="31657CDE" w:rsidR="00605E22" w:rsidRPr="00CE4374" w:rsidRDefault="00605E22" w:rsidP="00605E22">
      <w:pPr>
        <w:numPr>
          <w:ilvl w:val="2"/>
          <w:numId w:val="10"/>
        </w:numPr>
        <w:spacing w:after="240"/>
        <w:ind w:left="1418"/>
        <w:contextualSpacing/>
        <w:rPr>
          <w:iCs/>
        </w:rPr>
      </w:pPr>
      <w:r w:rsidRPr="00CE4374">
        <w:rPr>
          <w:iCs/>
        </w:rPr>
        <w:t>DC.6</w:t>
      </w:r>
      <w:r>
        <w:rPr>
          <w:iCs/>
        </w:rPr>
        <w:t xml:space="preserve"> establishes the expectation for documents to be kept for the whole life cycle</w:t>
      </w:r>
      <w:r w:rsidR="00032417">
        <w:rPr>
          <w:iCs/>
        </w:rPr>
        <w:t>,</w:t>
      </w:r>
    </w:p>
    <w:p w14:paraId="2B42F878" w14:textId="77777777" w:rsidR="00605E22" w:rsidRPr="00CE4374" w:rsidRDefault="00605E22" w:rsidP="00605E22">
      <w:pPr>
        <w:numPr>
          <w:ilvl w:val="2"/>
          <w:numId w:val="10"/>
        </w:numPr>
        <w:spacing w:after="240"/>
        <w:ind w:left="1418"/>
        <w:contextualSpacing/>
        <w:rPr>
          <w:iCs/>
        </w:rPr>
      </w:pPr>
      <w:r w:rsidRPr="00CE4374">
        <w:rPr>
          <w:iCs/>
        </w:rPr>
        <w:t>ECV.1-3</w:t>
      </w:r>
      <w:r>
        <w:rPr>
          <w:iCs/>
        </w:rPr>
        <w:t xml:space="preserve"> for c</w:t>
      </w:r>
      <w:r w:rsidRPr="00CE4374">
        <w:rPr>
          <w:iCs/>
        </w:rPr>
        <w:t xml:space="preserve">ontainment and Ventilation, </w:t>
      </w:r>
    </w:p>
    <w:p w14:paraId="50825A4C" w14:textId="77777777" w:rsidR="00810D0B" w:rsidRPr="00CC121D" w:rsidRDefault="00810D0B" w:rsidP="00810D0B">
      <w:pPr>
        <w:numPr>
          <w:ilvl w:val="2"/>
          <w:numId w:val="10"/>
        </w:numPr>
        <w:spacing w:after="240"/>
        <w:ind w:left="1418"/>
        <w:contextualSpacing/>
        <w:rPr>
          <w:iCs/>
        </w:rPr>
      </w:pPr>
      <w:r w:rsidRPr="00CC121D">
        <w:rPr>
          <w:iCs/>
        </w:rPr>
        <w:t>EMC.5 and EMC.6 advises as to the identification and management of defects to metal components and structures</w:t>
      </w:r>
      <w:r>
        <w:rPr>
          <w:iCs/>
        </w:rPr>
        <w:t>,</w:t>
      </w:r>
    </w:p>
    <w:p w14:paraId="66E8D25F" w14:textId="77777777" w:rsidR="00C934CA" w:rsidRPr="00CC121D" w:rsidRDefault="00C934CA" w:rsidP="00C934CA">
      <w:pPr>
        <w:numPr>
          <w:ilvl w:val="2"/>
          <w:numId w:val="10"/>
        </w:numPr>
        <w:spacing w:after="240"/>
        <w:ind w:left="1418"/>
        <w:contextualSpacing/>
        <w:rPr>
          <w:iCs/>
        </w:rPr>
      </w:pPr>
      <w:r w:rsidRPr="00CC121D">
        <w:rPr>
          <w:iCs/>
        </w:rPr>
        <w:t xml:space="preserve">EMC.13 and EMC.15 </w:t>
      </w:r>
      <w:r>
        <w:rPr>
          <w:iCs/>
        </w:rPr>
        <w:t xml:space="preserve">states the expectation that </w:t>
      </w:r>
      <w:r w:rsidRPr="00CC121D">
        <w:rPr>
          <w:iCs/>
        </w:rPr>
        <w:t>all metal materials and components or structures are shown to be suitable and are suitably identified and stored e.g. reinforcement and steel sections</w:t>
      </w:r>
      <w:r>
        <w:rPr>
          <w:iCs/>
        </w:rPr>
        <w:t>,</w:t>
      </w:r>
    </w:p>
    <w:p w14:paraId="0CDB77F5" w14:textId="77777777" w:rsidR="00C934CA" w:rsidRPr="00CC121D" w:rsidRDefault="00C934CA" w:rsidP="00C934CA">
      <w:pPr>
        <w:numPr>
          <w:ilvl w:val="2"/>
          <w:numId w:val="10"/>
        </w:numPr>
        <w:spacing w:after="240"/>
        <w:ind w:left="1418"/>
        <w:contextualSpacing/>
        <w:rPr>
          <w:iCs/>
        </w:rPr>
      </w:pPr>
      <w:r w:rsidRPr="00CC121D">
        <w:rPr>
          <w:iCs/>
        </w:rPr>
        <w:t xml:space="preserve">EMC.14 </w:t>
      </w:r>
      <w:r>
        <w:rPr>
          <w:iCs/>
        </w:rPr>
        <w:t xml:space="preserve">states the expectation that </w:t>
      </w:r>
      <w:r w:rsidRPr="00CC121D">
        <w:rPr>
          <w:iCs/>
        </w:rPr>
        <w:t>proven techniques and approved procedures are used to minimise occurrence of defects</w:t>
      </w:r>
    </w:p>
    <w:p w14:paraId="2C153317" w14:textId="599B2EF6" w:rsidR="007657BF" w:rsidRPr="00CC121D" w:rsidRDefault="007657BF" w:rsidP="007657BF">
      <w:pPr>
        <w:numPr>
          <w:ilvl w:val="2"/>
          <w:numId w:val="10"/>
        </w:numPr>
        <w:spacing w:after="240"/>
        <w:ind w:left="1418"/>
        <w:contextualSpacing/>
        <w:rPr>
          <w:iCs/>
        </w:rPr>
      </w:pPr>
      <w:r w:rsidRPr="00CC121D">
        <w:rPr>
          <w:iCs/>
        </w:rPr>
        <w:t>EMC.19 for non-conformities or significant defects on metal components and structures to be remediated</w:t>
      </w:r>
      <w:r w:rsidR="00032417">
        <w:rPr>
          <w:iCs/>
        </w:rPr>
        <w:t>,</w:t>
      </w:r>
    </w:p>
    <w:p w14:paraId="5A95A5A1" w14:textId="447AEAC5" w:rsidR="00C934CA" w:rsidRPr="00CC121D" w:rsidRDefault="00C934CA" w:rsidP="00C934CA">
      <w:pPr>
        <w:numPr>
          <w:ilvl w:val="2"/>
          <w:numId w:val="10"/>
        </w:numPr>
        <w:spacing w:after="240"/>
        <w:ind w:left="1418"/>
        <w:contextualSpacing/>
        <w:rPr>
          <w:iCs/>
        </w:rPr>
      </w:pPr>
      <w:r w:rsidRPr="00CC121D">
        <w:rPr>
          <w:iCs/>
        </w:rPr>
        <w:t xml:space="preserve">EQU.1 </w:t>
      </w:r>
      <w:r w:rsidR="003419AD">
        <w:rPr>
          <w:iCs/>
        </w:rPr>
        <w:t>establishes</w:t>
      </w:r>
      <w:r w:rsidRPr="00CC121D">
        <w:rPr>
          <w:iCs/>
        </w:rPr>
        <w:t xml:space="preserve"> qualification process and procedures are required to ensure structures will perform their safety functions</w:t>
      </w:r>
      <w:r>
        <w:rPr>
          <w:iCs/>
        </w:rPr>
        <w:t xml:space="preserve"> in line with the design intent,</w:t>
      </w:r>
    </w:p>
    <w:p w14:paraId="39FFF119" w14:textId="77777777" w:rsidR="00C934CA" w:rsidRPr="00CC121D" w:rsidRDefault="00C934CA" w:rsidP="00C934CA">
      <w:pPr>
        <w:numPr>
          <w:ilvl w:val="2"/>
          <w:numId w:val="10"/>
        </w:numPr>
        <w:spacing w:after="240"/>
        <w:ind w:left="1418"/>
        <w:contextualSpacing/>
        <w:rPr>
          <w:iCs/>
        </w:rPr>
      </w:pPr>
      <w:r w:rsidRPr="00CC121D">
        <w:rPr>
          <w:iCs/>
        </w:rPr>
        <w:t>EHF.1, EHF.5 and EHF.6 consideration of constructability and construction tasks and activities on site, regarding construction sequencing and access</w:t>
      </w:r>
      <w:r>
        <w:rPr>
          <w:iCs/>
        </w:rPr>
        <w:t>.</w:t>
      </w:r>
    </w:p>
    <w:p w14:paraId="08ED520F" w14:textId="77777777" w:rsidR="00FE2DA5" w:rsidRDefault="00C934CA" w:rsidP="00C934CA">
      <w:pPr>
        <w:pStyle w:val="TSNumberedParagraph1"/>
        <w:rPr>
          <w:iCs/>
        </w:rPr>
      </w:pPr>
      <w:r w:rsidRPr="00CC121D">
        <w:rPr>
          <w:iCs/>
        </w:rPr>
        <w:t xml:space="preserve">With the wide scope of ‘construction’ which interfaces across all the phases of the lifetime of a site, most of the Annexes to this TAG consider an element of construction. </w:t>
      </w:r>
    </w:p>
    <w:p w14:paraId="2AD11D3B" w14:textId="38B167F1" w:rsidR="00C934CA" w:rsidRPr="00CC121D" w:rsidRDefault="00C934CA" w:rsidP="00C934CA">
      <w:pPr>
        <w:pStyle w:val="TSNumberedParagraph1"/>
        <w:rPr>
          <w:iCs/>
        </w:rPr>
      </w:pPr>
      <w:r>
        <w:rPr>
          <w:iCs/>
        </w:rPr>
        <w:t>T</w:t>
      </w:r>
      <w:r w:rsidRPr="00CC121D">
        <w:rPr>
          <w:iCs/>
        </w:rPr>
        <w:t>he key civil engineering principles are presented in more detail in:</w:t>
      </w:r>
    </w:p>
    <w:p w14:paraId="335B2F69" w14:textId="77777777" w:rsidR="00C934CA" w:rsidRPr="00CC121D" w:rsidRDefault="00C934CA" w:rsidP="00C934CA">
      <w:pPr>
        <w:numPr>
          <w:ilvl w:val="2"/>
          <w:numId w:val="10"/>
        </w:numPr>
        <w:spacing w:after="240"/>
        <w:ind w:left="1418"/>
        <w:contextualSpacing/>
        <w:rPr>
          <w:iCs/>
        </w:rPr>
      </w:pPr>
      <w:r w:rsidRPr="00CC121D">
        <w:rPr>
          <w:iCs/>
        </w:rPr>
        <w:t>TAG 17 Annex 4, ‘Civil Engineering - Construction Assurance’</w:t>
      </w:r>
      <w:r>
        <w:rPr>
          <w:iCs/>
        </w:rPr>
        <w:t>,</w:t>
      </w:r>
    </w:p>
    <w:p w14:paraId="4C3693DA" w14:textId="37EBA0CE" w:rsidR="00C934CA" w:rsidRPr="00CC121D" w:rsidRDefault="00C934CA" w:rsidP="00C934CA">
      <w:pPr>
        <w:numPr>
          <w:ilvl w:val="2"/>
          <w:numId w:val="10"/>
        </w:numPr>
        <w:spacing w:after="240"/>
        <w:ind w:left="1418"/>
        <w:contextualSpacing/>
        <w:rPr>
          <w:iCs/>
        </w:rPr>
      </w:pPr>
      <w:r w:rsidRPr="00CC121D">
        <w:rPr>
          <w:iCs/>
        </w:rPr>
        <w:t>TAG 17 Annex 1 ‘Civil Engineering – Design</w:t>
      </w:r>
      <w:r w:rsidR="006946E5">
        <w:rPr>
          <w:iCs/>
        </w:rPr>
        <w:t>’</w:t>
      </w:r>
      <w:r w:rsidR="00C37DE3">
        <w:rPr>
          <w:iCs/>
        </w:rPr>
        <w:t>,</w:t>
      </w:r>
    </w:p>
    <w:p w14:paraId="0DF4A192" w14:textId="6584C019" w:rsidR="00C934CA" w:rsidRPr="00E12562" w:rsidRDefault="00C934CA" w:rsidP="00E12562">
      <w:pPr>
        <w:numPr>
          <w:ilvl w:val="2"/>
          <w:numId w:val="10"/>
        </w:numPr>
        <w:spacing w:after="240"/>
        <w:ind w:left="1418"/>
        <w:contextualSpacing/>
        <w:rPr>
          <w:iCs/>
        </w:rPr>
      </w:pPr>
      <w:r w:rsidRPr="00976930">
        <w:rPr>
          <w:iCs/>
        </w:rPr>
        <w:t xml:space="preserve">TAG 17 Annex 3, Civil Engineering - </w:t>
      </w:r>
      <w:r w:rsidRPr="00D61686">
        <w:rPr>
          <w:iCs/>
        </w:rPr>
        <w:t>Ground investigations</w:t>
      </w:r>
      <w:r w:rsidR="006B41F0">
        <w:rPr>
          <w:iCs/>
        </w:rPr>
        <w:t>, geotechnics</w:t>
      </w:r>
      <w:r w:rsidR="006946E5">
        <w:rPr>
          <w:iCs/>
        </w:rPr>
        <w:t xml:space="preserve"> and</w:t>
      </w:r>
      <w:r w:rsidRPr="00D61686">
        <w:rPr>
          <w:iCs/>
        </w:rPr>
        <w:t xml:space="preserve"> underground structure</w:t>
      </w:r>
      <w:r w:rsidR="00E12562">
        <w:rPr>
          <w:iCs/>
        </w:rPr>
        <w:t xml:space="preserve"> design</w:t>
      </w:r>
      <w:r>
        <w:rPr>
          <w:iCs/>
        </w:rPr>
        <w:t>’</w:t>
      </w:r>
      <w:r w:rsidR="00C37DE3">
        <w:rPr>
          <w:iCs/>
        </w:rPr>
        <w:t>,</w:t>
      </w:r>
    </w:p>
    <w:p w14:paraId="7CE70F57" w14:textId="77777777" w:rsidR="00C934CA" w:rsidRPr="00CC121D" w:rsidRDefault="00C934CA" w:rsidP="00C934CA">
      <w:pPr>
        <w:numPr>
          <w:ilvl w:val="2"/>
          <w:numId w:val="10"/>
        </w:numPr>
        <w:spacing w:after="240"/>
        <w:ind w:left="1418"/>
        <w:contextualSpacing/>
        <w:rPr>
          <w:iCs/>
        </w:rPr>
      </w:pPr>
      <w:r w:rsidRPr="00CC121D">
        <w:rPr>
          <w:iCs/>
        </w:rPr>
        <w:t>TAG 17 Annex 2, ‘Building Information Modelling’</w:t>
      </w:r>
      <w:r>
        <w:rPr>
          <w:iCs/>
        </w:rPr>
        <w:t>,</w:t>
      </w:r>
    </w:p>
    <w:p w14:paraId="47446A60" w14:textId="5B26EF1B" w:rsidR="00C934CA" w:rsidRPr="00CC121D" w:rsidRDefault="00C934CA" w:rsidP="00C934CA">
      <w:pPr>
        <w:numPr>
          <w:ilvl w:val="2"/>
          <w:numId w:val="10"/>
        </w:numPr>
        <w:spacing w:after="240"/>
        <w:ind w:left="1418"/>
        <w:contextualSpacing/>
        <w:rPr>
          <w:iCs/>
        </w:rPr>
      </w:pPr>
      <w:r w:rsidRPr="00CC121D">
        <w:rPr>
          <w:iCs/>
        </w:rPr>
        <w:t>TAG 17 Annex 5</w:t>
      </w:r>
      <w:r w:rsidR="006B41F0">
        <w:rPr>
          <w:iCs/>
        </w:rPr>
        <w:t>,</w:t>
      </w:r>
      <w:r w:rsidRPr="00CC121D">
        <w:rPr>
          <w:iCs/>
        </w:rPr>
        <w:t xml:space="preserve"> ‘Civil Engineering – </w:t>
      </w:r>
      <w:r w:rsidR="006B41F0">
        <w:rPr>
          <w:iCs/>
        </w:rPr>
        <w:t>Ageing Management and Damaged Structures’</w:t>
      </w:r>
      <w:r>
        <w:rPr>
          <w:iCs/>
        </w:rPr>
        <w:t>,</w:t>
      </w:r>
    </w:p>
    <w:p w14:paraId="26B1C2C3" w14:textId="7FAFBBF1" w:rsidR="00C934CA" w:rsidRPr="00CC121D" w:rsidRDefault="00C934CA" w:rsidP="00C934CA">
      <w:pPr>
        <w:numPr>
          <w:ilvl w:val="2"/>
          <w:numId w:val="10"/>
        </w:numPr>
        <w:spacing w:after="240"/>
        <w:ind w:left="1418"/>
        <w:contextualSpacing/>
        <w:rPr>
          <w:iCs/>
        </w:rPr>
      </w:pPr>
      <w:r w:rsidRPr="00CC121D">
        <w:rPr>
          <w:iCs/>
        </w:rPr>
        <w:t>TAG 17 Annex 6</w:t>
      </w:r>
      <w:r w:rsidR="006B41F0">
        <w:rPr>
          <w:iCs/>
        </w:rPr>
        <w:t>,</w:t>
      </w:r>
      <w:r w:rsidRPr="00CC121D">
        <w:rPr>
          <w:iCs/>
        </w:rPr>
        <w:t xml:space="preserve"> ‘Civil Engineering – Post Operation’</w:t>
      </w:r>
      <w:r>
        <w:rPr>
          <w:iCs/>
        </w:rPr>
        <w:t>.</w:t>
      </w:r>
    </w:p>
    <w:p w14:paraId="0C897D2C" w14:textId="77777777" w:rsidR="00C934CA" w:rsidRPr="00CC121D" w:rsidRDefault="00C934CA" w:rsidP="00C934CA">
      <w:pPr>
        <w:pStyle w:val="TSNumberedParagraph1"/>
        <w:rPr>
          <w:iCs/>
        </w:rPr>
      </w:pPr>
      <w:r w:rsidRPr="00CC121D">
        <w:rPr>
          <w:iCs/>
        </w:rPr>
        <w:t>Further ONR expectations on assessment of Construction are provided in:</w:t>
      </w:r>
    </w:p>
    <w:p w14:paraId="1193BBA8" w14:textId="1325A53B" w:rsidR="00C934CA" w:rsidRPr="00CC121D" w:rsidRDefault="00407613" w:rsidP="00C934CA">
      <w:pPr>
        <w:numPr>
          <w:ilvl w:val="2"/>
          <w:numId w:val="10"/>
        </w:numPr>
        <w:spacing w:after="240"/>
        <w:ind w:left="1418"/>
        <w:contextualSpacing/>
        <w:rPr>
          <w:iCs/>
        </w:rPr>
      </w:pPr>
      <w:r>
        <w:rPr>
          <w:iCs/>
        </w:rPr>
        <w:t>ONR-</w:t>
      </w:r>
      <w:r w:rsidR="00C934CA" w:rsidRPr="00CC121D">
        <w:rPr>
          <w:iCs/>
        </w:rPr>
        <w:t>NS-INSP-GD-019 ‘LC19 - Construction and Installation of New Plant’</w:t>
      </w:r>
      <w:r w:rsidR="00C934CA">
        <w:rPr>
          <w:iCs/>
        </w:rPr>
        <w:t>,</w:t>
      </w:r>
    </w:p>
    <w:p w14:paraId="6B92D81F" w14:textId="16CBAD34" w:rsidR="00C934CA" w:rsidRPr="00CC121D" w:rsidRDefault="00407613" w:rsidP="00C934CA">
      <w:pPr>
        <w:numPr>
          <w:ilvl w:val="2"/>
          <w:numId w:val="10"/>
        </w:numPr>
        <w:spacing w:after="240"/>
        <w:ind w:left="1418"/>
        <w:contextualSpacing/>
        <w:rPr>
          <w:iCs/>
        </w:rPr>
      </w:pPr>
      <w:r>
        <w:rPr>
          <w:iCs/>
        </w:rPr>
        <w:t>ONR-</w:t>
      </w:r>
      <w:r w:rsidR="00C934CA" w:rsidRPr="00CC121D">
        <w:rPr>
          <w:iCs/>
        </w:rPr>
        <w:t>NS-INSP-GD-020 ‘LC20 - Modification to design of Plant under Construction’</w:t>
      </w:r>
      <w:r w:rsidR="00C934CA">
        <w:rPr>
          <w:iCs/>
        </w:rPr>
        <w:t>,</w:t>
      </w:r>
    </w:p>
    <w:p w14:paraId="7B7A1106" w14:textId="3344F584" w:rsidR="00C934CA" w:rsidRPr="00CC121D" w:rsidRDefault="00407613" w:rsidP="00C934CA">
      <w:pPr>
        <w:numPr>
          <w:ilvl w:val="2"/>
          <w:numId w:val="10"/>
        </w:numPr>
        <w:spacing w:after="240"/>
        <w:ind w:left="1418"/>
        <w:contextualSpacing/>
        <w:rPr>
          <w:iCs/>
        </w:rPr>
      </w:pPr>
      <w:r>
        <w:rPr>
          <w:iCs/>
        </w:rPr>
        <w:t>ONR-</w:t>
      </w:r>
      <w:r w:rsidR="00C934CA" w:rsidRPr="00CC121D">
        <w:rPr>
          <w:iCs/>
        </w:rPr>
        <w:t>NS-INSP-GD-021 ‘LC21 - Commissioning’</w:t>
      </w:r>
      <w:r w:rsidR="00C934CA">
        <w:rPr>
          <w:iCs/>
        </w:rPr>
        <w:t>,</w:t>
      </w:r>
    </w:p>
    <w:p w14:paraId="14EC0573" w14:textId="55C1A15A" w:rsidR="00C934CA" w:rsidRPr="00CC121D" w:rsidRDefault="00407613" w:rsidP="00C934CA">
      <w:pPr>
        <w:numPr>
          <w:ilvl w:val="2"/>
          <w:numId w:val="10"/>
        </w:numPr>
        <w:spacing w:after="240"/>
        <w:ind w:left="1418"/>
        <w:contextualSpacing/>
        <w:rPr>
          <w:iCs/>
        </w:rPr>
      </w:pPr>
      <w:r>
        <w:rPr>
          <w:iCs/>
        </w:rPr>
        <w:t>ONR-</w:t>
      </w:r>
      <w:r w:rsidR="00C934CA" w:rsidRPr="00CC121D">
        <w:rPr>
          <w:iCs/>
        </w:rPr>
        <w:t>NS-INSP-GD-022 ‘LC22 - Modification or Experiment on Existing Plant’</w:t>
      </w:r>
      <w:r w:rsidR="00C934CA">
        <w:rPr>
          <w:iCs/>
        </w:rPr>
        <w:t>,</w:t>
      </w:r>
    </w:p>
    <w:p w14:paraId="3D99C067" w14:textId="589967DD" w:rsidR="00C934CA" w:rsidRPr="00CC121D" w:rsidRDefault="00407613" w:rsidP="00C934CA">
      <w:pPr>
        <w:numPr>
          <w:ilvl w:val="2"/>
          <w:numId w:val="10"/>
        </w:numPr>
        <w:spacing w:after="240"/>
        <w:ind w:left="1418"/>
        <w:contextualSpacing/>
        <w:rPr>
          <w:iCs/>
        </w:rPr>
      </w:pPr>
      <w:r>
        <w:rPr>
          <w:iCs/>
        </w:rPr>
        <w:t>ONR-</w:t>
      </w:r>
      <w:r w:rsidR="00C934CA" w:rsidRPr="00CC121D">
        <w:rPr>
          <w:iCs/>
        </w:rPr>
        <w:t>NS-INSP-GD-028 ‘LC28 – Examination, Inspection, Maintenance and Testing’</w:t>
      </w:r>
      <w:r w:rsidR="00C934CA">
        <w:rPr>
          <w:iCs/>
        </w:rPr>
        <w:t>.</w:t>
      </w:r>
    </w:p>
    <w:p w14:paraId="4E770F07" w14:textId="30B21412" w:rsidR="00C934CA" w:rsidRPr="00CC121D" w:rsidRDefault="00C934CA" w:rsidP="00C934CA">
      <w:pPr>
        <w:pStyle w:val="TSNumberedParagraph1"/>
        <w:rPr>
          <w:iCs/>
        </w:rPr>
      </w:pPr>
      <w:r>
        <w:rPr>
          <w:iCs/>
        </w:rPr>
        <w:t xml:space="preserve">The Inspector is reminded of the </w:t>
      </w:r>
      <w:r w:rsidR="003F426A">
        <w:rPr>
          <w:iCs/>
        </w:rPr>
        <w:t xml:space="preserve">function </w:t>
      </w:r>
      <w:r>
        <w:rPr>
          <w:iCs/>
        </w:rPr>
        <w:t xml:space="preserve">that Design Authority and Intelligent Customer provide in construction activities. </w:t>
      </w:r>
      <w:r w:rsidRPr="00CC121D">
        <w:rPr>
          <w:iCs/>
        </w:rPr>
        <w:t>For</w:t>
      </w:r>
      <w:r>
        <w:rPr>
          <w:iCs/>
        </w:rPr>
        <w:t xml:space="preserve"> other associated guidance, see</w:t>
      </w:r>
      <w:r w:rsidRPr="00CC121D">
        <w:rPr>
          <w:iCs/>
        </w:rPr>
        <w:t>:</w:t>
      </w:r>
    </w:p>
    <w:p w14:paraId="488850B1" w14:textId="302D3A97" w:rsidR="00C934CA" w:rsidRPr="00F323F5" w:rsidRDefault="00407613" w:rsidP="00C934CA">
      <w:pPr>
        <w:numPr>
          <w:ilvl w:val="2"/>
          <w:numId w:val="10"/>
        </w:numPr>
        <w:spacing w:after="240"/>
        <w:ind w:left="1418"/>
        <w:contextualSpacing/>
        <w:rPr>
          <w:iCs/>
        </w:rPr>
      </w:pPr>
      <w:r>
        <w:rPr>
          <w:iCs/>
        </w:rPr>
        <w:t>ONR-</w:t>
      </w:r>
      <w:r w:rsidR="00C934CA" w:rsidRPr="00F323F5">
        <w:rPr>
          <w:iCs/>
        </w:rPr>
        <w:t xml:space="preserve">NS-TAST-GD-079 </w:t>
      </w:r>
      <w:r w:rsidR="00C934CA">
        <w:rPr>
          <w:iCs/>
        </w:rPr>
        <w:t>‘</w:t>
      </w:r>
      <w:r w:rsidR="00C934CA" w:rsidRPr="00F323F5">
        <w:rPr>
          <w:iCs/>
        </w:rPr>
        <w:t>Licensee Design Authority Capability</w:t>
      </w:r>
      <w:r w:rsidR="00C934CA">
        <w:rPr>
          <w:iCs/>
        </w:rPr>
        <w:t>’</w:t>
      </w:r>
      <w:r w:rsidR="00C37DE3">
        <w:rPr>
          <w:iCs/>
        </w:rPr>
        <w:t>,</w:t>
      </w:r>
    </w:p>
    <w:p w14:paraId="308C6547" w14:textId="5FA45223" w:rsidR="00C934CA" w:rsidRPr="00F323F5" w:rsidRDefault="00407613" w:rsidP="00C934CA">
      <w:pPr>
        <w:numPr>
          <w:ilvl w:val="2"/>
          <w:numId w:val="10"/>
        </w:numPr>
        <w:spacing w:after="240"/>
        <w:ind w:left="1418"/>
        <w:contextualSpacing/>
        <w:rPr>
          <w:iCs/>
        </w:rPr>
      </w:pPr>
      <w:r>
        <w:rPr>
          <w:iCs/>
        </w:rPr>
        <w:t>ONR-</w:t>
      </w:r>
      <w:r w:rsidR="00C934CA" w:rsidRPr="00F323F5">
        <w:rPr>
          <w:iCs/>
        </w:rPr>
        <w:t>NS-TAST-GD-049 ‘Licensee Core Safety and Intelligent Customer Capabilities’</w:t>
      </w:r>
      <w:r w:rsidR="00C934CA">
        <w:rPr>
          <w:iCs/>
        </w:rPr>
        <w:t>.</w:t>
      </w:r>
    </w:p>
    <w:p w14:paraId="15161981" w14:textId="77777777" w:rsidR="00C934CA" w:rsidRPr="00CC121D" w:rsidRDefault="00C934CA" w:rsidP="00C934CA">
      <w:pPr>
        <w:pStyle w:val="TSNumberedParagraph1"/>
        <w:rPr>
          <w:iCs/>
        </w:rPr>
      </w:pPr>
      <w:r>
        <w:rPr>
          <w:iCs/>
        </w:rPr>
        <w:t xml:space="preserve">The Inspector is reminded that CDM2015 applies across all civil engineering design and construction activities. </w:t>
      </w:r>
      <w:r w:rsidRPr="00CC121D">
        <w:rPr>
          <w:iCs/>
        </w:rPr>
        <w:t>For</w:t>
      </w:r>
      <w:r>
        <w:rPr>
          <w:iCs/>
        </w:rPr>
        <w:t xml:space="preserve"> other associated guidance, see</w:t>
      </w:r>
      <w:r w:rsidRPr="00CC121D">
        <w:rPr>
          <w:iCs/>
        </w:rPr>
        <w:t>:</w:t>
      </w:r>
    </w:p>
    <w:p w14:paraId="3FFA1EE7" w14:textId="5F6BB558" w:rsidR="00C934CA" w:rsidRPr="00F2343D" w:rsidRDefault="00C934CA" w:rsidP="00C934CA">
      <w:pPr>
        <w:numPr>
          <w:ilvl w:val="2"/>
          <w:numId w:val="10"/>
        </w:numPr>
        <w:spacing w:after="240"/>
        <w:ind w:left="1418"/>
        <w:contextualSpacing/>
        <w:rPr>
          <w:iCs/>
        </w:rPr>
      </w:pPr>
      <w:r w:rsidRPr="00F323F5">
        <w:rPr>
          <w:iCs/>
        </w:rPr>
        <w:t>L153 ‘Managing health and safety in construction’ CDM2015 [</w:t>
      </w:r>
      <w:r w:rsidR="001C6AC6">
        <w:rPr>
          <w:iCs/>
        </w:rPr>
        <w:t>8</w:t>
      </w:r>
      <w:r w:rsidRPr="00F323F5">
        <w:rPr>
          <w:iCs/>
        </w:rPr>
        <w:t>]</w:t>
      </w:r>
      <w:r w:rsidR="00C37DE3">
        <w:rPr>
          <w:iCs/>
        </w:rPr>
        <w:t>.</w:t>
      </w:r>
    </w:p>
    <w:p w14:paraId="1432440D" w14:textId="77777777" w:rsidR="00C934CA" w:rsidRPr="00CC121D" w:rsidRDefault="00C934CA" w:rsidP="003F426A">
      <w:pPr>
        <w:pStyle w:val="TSHeadingNumbered111"/>
      </w:pPr>
      <w:bookmarkStart w:id="75" w:name="_Toc43723332"/>
      <w:bookmarkEnd w:id="73"/>
      <w:r w:rsidRPr="00CC121D">
        <w:t>Materials selection, Manufacture and the Supply Chain</w:t>
      </w:r>
    </w:p>
    <w:p w14:paraId="676961C4" w14:textId="5F99FFE6" w:rsidR="00C934CA" w:rsidRDefault="00C934CA" w:rsidP="00C934CA">
      <w:pPr>
        <w:pStyle w:val="TSNumberedParagraph1"/>
        <w:rPr>
          <w:iCs/>
        </w:rPr>
      </w:pPr>
      <w:r w:rsidRPr="00CC121D">
        <w:rPr>
          <w:iCs/>
        </w:rPr>
        <w:t xml:space="preserve">For any construction, (including modification, repurposing or decommissioning activities), the supply chain is </w:t>
      </w:r>
      <w:r w:rsidR="00F6020F">
        <w:rPr>
          <w:iCs/>
        </w:rPr>
        <w:t>a</w:t>
      </w:r>
      <w:r w:rsidRPr="00CC121D">
        <w:rPr>
          <w:iCs/>
        </w:rPr>
        <w:t xml:space="preserve"> </w:t>
      </w:r>
      <w:r w:rsidR="00F6020F">
        <w:rPr>
          <w:iCs/>
        </w:rPr>
        <w:t xml:space="preserve">key </w:t>
      </w:r>
      <w:r w:rsidRPr="00CC121D">
        <w:rPr>
          <w:iCs/>
        </w:rPr>
        <w:t>area for civil engineering quality assurance. The</w:t>
      </w:r>
      <w:r w:rsidR="003F426A">
        <w:rPr>
          <w:iCs/>
        </w:rPr>
        <w:t xml:space="preserve"> Inspector is reminded that the</w:t>
      </w:r>
      <w:r w:rsidRPr="00CC121D">
        <w:rPr>
          <w:iCs/>
        </w:rPr>
        <w:t xml:space="preserve"> Intelligent Customer (IC) performs a crucial function in the procurement of items and services</w:t>
      </w:r>
      <w:r>
        <w:rPr>
          <w:iCs/>
        </w:rPr>
        <w:t>.</w:t>
      </w:r>
    </w:p>
    <w:p w14:paraId="31FB088D" w14:textId="4C1EBD5E" w:rsidR="00DA310C" w:rsidRPr="00CC121D" w:rsidRDefault="00DA310C" w:rsidP="00C934CA">
      <w:pPr>
        <w:pStyle w:val="TSNumberedParagraph1"/>
        <w:rPr>
          <w:iCs/>
        </w:rPr>
      </w:pPr>
      <w:r>
        <w:rPr>
          <w:iCs/>
        </w:rPr>
        <w:t xml:space="preserve">The Inspector is reminded that </w:t>
      </w:r>
      <w:r w:rsidR="00DB0D51">
        <w:rPr>
          <w:iCs/>
        </w:rPr>
        <w:t xml:space="preserve">for </w:t>
      </w:r>
      <w:r w:rsidR="009E615B">
        <w:rPr>
          <w:iCs/>
        </w:rPr>
        <w:t xml:space="preserve">this topic </w:t>
      </w:r>
      <w:r>
        <w:rPr>
          <w:iCs/>
        </w:rPr>
        <w:t>there are some specific requirements placed upon the Client, the Principal Designer and the Principal Contractor under CDM2015.</w:t>
      </w:r>
    </w:p>
    <w:p w14:paraId="50D87B23" w14:textId="77777777" w:rsidR="00C934CA" w:rsidRPr="00CC121D" w:rsidRDefault="00C934CA" w:rsidP="00C934CA">
      <w:pPr>
        <w:pStyle w:val="TSNumberedParagraph1"/>
        <w:rPr>
          <w:iCs/>
        </w:rPr>
      </w:pPr>
      <w:r w:rsidRPr="00CC121D">
        <w:rPr>
          <w:iCs/>
        </w:rPr>
        <w:t>The appropriate SAPs for consideration of materials selection and manufacture are:</w:t>
      </w:r>
    </w:p>
    <w:p w14:paraId="1BF8CCE0" w14:textId="7F444C86" w:rsidR="00C934CA" w:rsidRPr="00CC121D" w:rsidRDefault="00C934CA" w:rsidP="00C934CA">
      <w:pPr>
        <w:numPr>
          <w:ilvl w:val="2"/>
          <w:numId w:val="10"/>
        </w:numPr>
        <w:spacing w:after="240"/>
        <w:ind w:left="1418"/>
        <w:contextualSpacing/>
        <w:rPr>
          <w:iCs/>
        </w:rPr>
      </w:pPr>
      <w:r w:rsidRPr="00CC121D">
        <w:rPr>
          <w:iCs/>
        </w:rPr>
        <w:t xml:space="preserve">ECE.16 states the expectation for materials tests </w:t>
      </w:r>
      <w:r w:rsidR="002D21B4">
        <w:rPr>
          <w:iCs/>
        </w:rPr>
        <w:t>to confirm design intent is met</w:t>
      </w:r>
    </w:p>
    <w:p w14:paraId="32D87B14" w14:textId="77777777" w:rsidR="00C934CA" w:rsidRPr="00CC121D" w:rsidRDefault="00C934CA" w:rsidP="00C934CA">
      <w:pPr>
        <w:numPr>
          <w:ilvl w:val="2"/>
          <w:numId w:val="10"/>
        </w:numPr>
        <w:spacing w:after="240"/>
        <w:ind w:left="1418"/>
        <w:contextualSpacing/>
        <w:rPr>
          <w:iCs/>
        </w:rPr>
      </w:pPr>
      <w:r w:rsidRPr="00CC121D">
        <w:rPr>
          <w:iCs/>
        </w:rPr>
        <w:t>ECE.17 and ECE.18 state the expectation for the prevention of defects and the inspection during construction</w:t>
      </w:r>
      <w:r>
        <w:rPr>
          <w:iCs/>
        </w:rPr>
        <w:t>,</w:t>
      </w:r>
    </w:p>
    <w:p w14:paraId="35F66F9B" w14:textId="4DCFE964" w:rsidR="00C934CA" w:rsidRPr="00CC121D" w:rsidRDefault="00C934CA" w:rsidP="00C934CA">
      <w:pPr>
        <w:numPr>
          <w:ilvl w:val="2"/>
          <w:numId w:val="10"/>
        </w:numPr>
        <w:spacing w:after="240"/>
        <w:ind w:left="1418"/>
        <w:contextualSpacing/>
        <w:rPr>
          <w:iCs/>
        </w:rPr>
      </w:pPr>
      <w:r w:rsidRPr="00CC121D">
        <w:rPr>
          <w:iCs/>
        </w:rPr>
        <w:t xml:space="preserve">DC.1 </w:t>
      </w:r>
      <w:r w:rsidR="00EA7F19">
        <w:rPr>
          <w:iCs/>
        </w:rPr>
        <w:t>establishes</w:t>
      </w:r>
      <w:r w:rsidRPr="00CC121D">
        <w:rPr>
          <w:iCs/>
        </w:rPr>
        <w:t xml:space="preserve"> the expectation that the selection of the materials to consider replacement in design, shown to be appropriate for the required design life</w:t>
      </w:r>
      <w:r>
        <w:rPr>
          <w:iCs/>
        </w:rPr>
        <w:t>,</w:t>
      </w:r>
    </w:p>
    <w:p w14:paraId="4A244FC5" w14:textId="77777777" w:rsidR="00C934CA" w:rsidRPr="00CC121D" w:rsidRDefault="00C934CA" w:rsidP="00C934CA">
      <w:pPr>
        <w:numPr>
          <w:ilvl w:val="2"/>
          <w:numId w:val="10"/>
        </w:numPr>
        <w:spacing w:after="240"/>
        <w:ind w:left="1418"/>
        <w:contextualSpacing/>
        <w:rPr>
          <w:iCs/>
        </w:rPr>
      </w:pPr>
      <w:r w:rsidRPr="00CC121D">
        <w:t xml:space="preserve">When assessing high integrity metal </w:t>
      </w:r>
      <w:r>
        <w:t>civil structures, the Inspector</w:t>
      </w:r>
      <w:r w:rsidRPr="00CC121D">
        <w:t xml:space="preserve"> may similarly need to consider appropriate principles in the sub-section on Integrity of metal co</w:t>
      </w:r>
      <w:r>
        <w:t xml:space="preserve">mponents and structures, </w:t>
      </w:r>
      <w:r w:rsidRPr="00CC121D">
        <w:rPr>
          <w:iCs/>
        </w:rPr>
        <w:t>in particular SAPs EMC.13, EMC.14, EMC.20, EMC.27 and EMC.30 for assessing supply chain especially when offsite operations are involved in manufacturing metal components,</w:t>
      </w:r>
    </w:p>
    <w:p w14:paraId="6E1516D3" w14:textId="15BB3C1F" w:rsidR="00C934CA" w:rsidRPr="00CC121D" w:rsidRDefault="00C934CA" w:rsidP="00C934CA">
      <w:pPr>
        <w:numPr>
          <w:ilvl w:val="2"/>
          <w:numId w:val="10"/>
        </w:numPr>
        <w:spacing w:after="240"/>
        <w:ind w:left="1418"/>
        <w:contextualSpacing/>
        <w:rPr>
          <w:iCs/>
        </w:rPr>
      </w:pPr>
      <w:r w:rsidRPr="00CC121D">
        <w:rPr>
          <w:iCs/>
        </w:rPr>
        <w:t xml:space="preserve">Where a structural component also forms part of containment, the principles in SAP paragraph 519 ff. will also be relevant (see </w:t>
      </w:r>
      <w:r w:rsidR="00407613">
        <w:rPr>
          <w:iCs/>
        </w:rPr>
        <w:t>ONR-</w:t>
      </w:r>
      <w:r w:rsidRPr="00CC121D">
        <w:rPr>
          <w:iCs/>
        </w:rPr>
        <w:t>NS-TAST-GD-020 ‘Containment’)</w:t>
      </w:r>
      <w:r>
        <w:rPr>
          <w:iCs/>
        </w:rPr>
        <w:t>.</w:t>
      </w:r>
    </w:p>
    <w:p w14:paraId="3A1989D3" w14:textId="2F89CF18" w:rsidR="00C934CA" w:rsidRPr="00CC121D" w:rsidRDefault="00C934CA" w:rsidP="00C934CA">
      <w:pPr>
        <w:pStyle w:val="TSNumberedParagraph1"/>
        <w:rPr>
          <w:iCs/>
        </w:rPr>
      </w:pPr>
      <w:r w:rsidRPr="00CC121D">
        <w:rPr>
          <w:iCs/>
        </w:rPr>
        <w:t>The key civil engineering principles for</w:t>
      </w:r>
      <w:r w:rsidR="008D5948">
        <w:rPr>
          <w:iCs/>
        </w:rPr>
        <w:t xml:space="preserve"> civil engineering</w:t>
      </w:r>
      <w:r w:rsidRPr="00CC121D">
        <w:rPr>
          <w:iCs/>
        </w:rPr>
        <w:t xml:space="preserve"> assessment of material selection, manu</w:t>
      </w:r>
      <w:r>
        <w:rPr>
          <w:iCs/>
        </w:rPr>
        <w:t>facture and supply chain are in:</w:t>
      </w:r>
    </w:p>
    <w:p w14:paraId="00C93029" w14:textId="2522E623" w:rsidR="00C934CA" w:rsidRPr="00CC121D" w:rsidRDefault="003F426A" w:rsidP="00C934CA">
      <w:pPr>
        <w:numPr>
          <w:ilvl w:val="2"/>
          <w:numId w:val="10"/>
        </w:numPr>
        <w:spacing w:after="240"/>
        <w:ind w:left="1418"/>
        <w:contextualSpacing/>
        <w:rPr>
          <w:iCs/>
        </w:rPr>
      </w:pPr>
      <w:r>
        <w:rPr>
          <w:iCs/>
        </w:rPr>
        <w:t xml:space="preserve">TAG 17 </w:t>
      </w:r>
      <w:r w:rsidR="00C934CA" w:rsidRPr="00CC121D">
        <w:rPr>
          <w:iCs/>
        </w:rPr>
        <w:t xml:space="preserve">Annex 1 </w:t>
      </w:r>
      <w:r>
        <w:rPr>
          <w:iCs/>
        </w:rPr>
        <w:t>‘</w:t>
      </w:r>
      <w:r w:rsidR="00C934CA" w:rsidRPr="00CC121D">
        <w:rPr>
          <w:iCs/>
        </w:rPr>
        <w:t>Civil Engineering – Design</w:t>
      </w:r>
      <w:r w:rsidR="006946E5">
        <w:rPr>
          <w:iCs/>
        </w:rPr>
        <w:t>’</w:t>
      </w:r>
      <w:r w:rsidR="00F57CBB">
        <w:rPr>
          <w:iCs/>
        </w:rPr>
        <w:t>,</w:t>
      </w:r>
    </w:p>
    <w:p w14:paraId="41493377" w14:textId="1A4956EE" w:rsidR="00C934CA" w:rsidRPr="00CC121D" w:rsidRDefault="003F426A" w:rsidP="00C934CA">
      <w:pPr>
        <w:numPr>
          <w:ilvl w:val="2"/>
          <w:numId w:val="10"/>
        </w:numPr>
        <w:spacing w:after="240"/>
        <w:ind w:left="1418"/>
        <w:contextualSpacing/>
        <w:rPr>
          <w:iCs/>
        </w:rPr>
      </w:pPr>
      <w:r>
        <w:rPr>
          <w:iCs/>
        </w:rPr>
        <w:t xml:space="preserve">TAG 17 </w:t>
      </w:r>
      <w:r w:rsidR="00C934CA" w:rsidRPr="003F426A">
        <w:rPr>
          <w:iCs/>
        </w:rPr>
        <w:t xml:space="preserve">Annex 4 </w:t>
      </w:r>
      <w:r w:rsidRPr="003F426A">
        <w:rPr>
          <w:iCs/>
        </w:rPr>
        <w:t>‘</w:t>
      </w:r>
      <w:r w:rsidR="00C934CA" w:rsidRPr="003F426A">
        <w:rPr>
          <w:iCs/>
        </w:rPr>
        <w:t>Civil</w:t>
      </w:r>
      <w:r w:rsidR="00C934CA" w:rsidRPr="00CC121D">
        <w:rPr>
          <w:iCs/>
        </w:rPr>
        <w:t xml:space="preserve"> Engineering - Construction Assurance</w:t>
      </w:r>
      <w:r>
        <w:rPr>
          <w:iCs/>
        </w:rPr>
        <w:t>’</w:t>
      </w:r>
      <w:r w:rsidR="00C37DE3">
        <w:rPr>
          <w:iCs/>
        </w:rPr>
        <w:t>.</w:t>
      </w:r>
    </w:p>
    <w:p w14:paraId="30483A45" w14:textId="77777777" w:rsidR="00C934CA" w:rsidRPr="00CC121D" w:rsidRDefault="00C934CA" w:rsidP="00C934CA">
      <w:pPr>
        <w:pStyle w:val="TSNumberedParagraph1"/>
        <w:rPr>
          <w:iCs/>
        </w:rPr>
      </w:pPr>
      <w:r w:rsidRPr="00CC121D">
        <w:rPr>
          <w:iCs/>
        </w:rPr>
        <w:t xml:space="preserve">Further ONR expectations on </w:t>
      </w:r>
      <w:r>
        <w:rPr>
          <w:iCs/>
        </w:rPr>
        <w:t>the assessment of materials s</w:t>
      </w:r>
      <w:r w:rsidRPr="00CC121D">
        <w:rPr>
          <w:iCs/>
        </w:rPr>
        <w:t>election and manufacture are provided in:</w:t>
      </w:r>
    </w:p>
    <w:p w14:paraId="5DF0266E" w14:textId="1DD39EA5" w:rsidR="00C934CA" w:rsidRPr="00CC121D" w:rsidRDefault="00407613" w:rsidP="00C934CA">
      <w:pPr>
        <w:numPr>
          <w:ilvl w:val="2"/>
          <w:numId w:val="10"/>
        </w:numPr>
        <w:spacing w:after="240"/>
        <w:ind w:left="1418"/>
        <w:contextualSpacing/>
      </w:pPr>
      <w:r>
        <w:rPr>
          <w:iCs/>
        </w:rPr>
        <w:t>ONR-</w:t>
      </w:r>
      <w:r w:rsidR="00C934CA" w:rsidRPr="00CC121D">
        <w:t xml:space="preserve">NS-TAST-GD-077 ‘Supply Chain </w:t>
      </w:r>
      <w:r w:rsidR="00C934CA" w:rsidRPr="00D0753F">
        <w:t>Management</w:t>
      </w:r>
      <w:r w:rsidR="00C934CA" w:rsidRPr="00CC121D">
        <w:t xml:space="preserve"> Arrangements for the Procurement of Nuclear Safety Related Items or Services’</w:t>
      </w:r>
      <w:r w:rsidR="00C37DE3">
        <w:t>.</w:t>
      </w:r>
    </w:p>
    <w:p w14:paraId="1D29FE53" w14:textId="77777777" w:rsidR="00C934CA" w:rsidRPr="00E422DF" w:rsidRDefault="00C934CA" w:rsidP="00C21E01">
      <w:pPr>
        <w:pStyle w:val="TSHeadingNumbered111"/>
      </w:pPr>
      <w:r w:rsidRPr="00E422DF">
        <w:t>Non-</w:t>
      </w:r>
      <w:r w:rsidRPr="00E422DF">
        <w:rPr>
          <w:iCs/>
        </w:rPr>
        <w:t>conformances</w:t>
      </w:r>
      <w:r w:rsidRPr="00E422DF">
        <w:t xml:space="preserve"> and defects</w:t>
      </w:r>
    </w:p>
    <w:p w14:paraId="6F0E6CEC" w14:textId="6267DDCF" w:rsidR="00C934CA" w:rsidRPr="002D21B4" w:rsidRDefault="00C934CA" w:rsidP="002C22AF">
      <w:pPr>
        <w:pStyle w:val="TSNumberedParagraph1"/>
        <w:rPr>
          <w:iCs/>
        </w:rPr>
      </w:pPr>
      <w:r w:rsidRPr="002D21B4">
        <w:rPr>
          <w:iCs/>
        </w:rPr>
        <w:t xml:space="preserve">The Inspector may wish to seek assurance that, where construction non-conformities or identified defects are judged to have a significant detrimental effect on the safety function, adequate remedial action is undertaken to ensure the original design intent is still achieved. The Inspector should be aware that the </w:t>
      </w:r>
      <w:proofErr w:type="spellStart"/>
      <w:r w:rsidRPr="002D21B4">
        <w:rPr>
          <w:iCs/>
        </w:rPr>
        <w:t>dutyholder</w:t>
      </w:r>
      <w:proofErr w:type="spellEnd"/>
      <w:r w:rsidRPr="002D21B4">
        <w:rPr>
          <w:iCs/>
        </w:rPr>
        <w:t xml:space="preserve"> is responsible for the work of their consultants, contractors and supply chain to meet the design intent of the safety case. This is generally managed through the use of Design Authority and Intelligent Customer functions:</w:t>
      </w:r>
    </w:p>
    <w:p w14:paraId="17759179" w14:textId="77777777" w:rsidR="00C934CA" w:rsidRPr="00CC121D" w:rsidRDefault="00C934CA" w:rsidP="00C934CA">
      <w:pPr>
        <w:numPr>
          <w:ilvl w:val="2"/>
          <w:numId w:val="10"/>
        </w:numPr>
        <w:spacing w:after="240"/>
        <w:ind w:left="1418"/>
        <w:contextualSpacing/>
        <w:rPr>
          <w:iCs/>
        </w:rPr>
      </w:pPr>
      <w:r w:rsidRPr="00CC121D">
        <w:rPr>
          <w:iCs/>
        </w:rPr>
        <w:t>ECE.3 requires structures important to safety are sufficiently free of defects, or where defects are identified, safet</w:t>
      </w:r>
      <w:r>
        <w:rPr>
          <w:iCs/>
        </w:rPr>
        <w:t>y functions are not compromised,</w:t>
      </w:r>
    </w:p>
    <w:p w14:paraId="70D19C68" w14:textId="38BB2ABA" w:rsidR="00C934CA" w:rsidRPr="00CC121D" w:rsidRDefault="00C934CA" w:rsidP="00C934CA">
      <w:pPr>
        <w:numPr>
          <w:ilvl w:val="2"/>
          <w:numId w:val="10"/>
        </w:numPr>
        <w:spacing w:after="240"/>
        <w:ind w:left="1418"/>
        <w:contextualSpacing/>
        <w:rPr>
          <w:iCs/>
        </w:rPr>
      </w:pPr>
      <w:r w:rsidRPr="00CC121D">
        <w:rPr>
          <w:iCs/>
        </w:rPr>
        <w:t>ECE.17</w:t>
      </w:r>
      <w:r w:rsidR="00A15E33">
        <w:rPr>
          <w:iCs/>
        </w:rPr>
        <w:t>, ECE.18 and ECE.</w:t>
      </w:r>
      <w:r w:rsidRPr="00CC121D">
        <w:rPr>
          <w:iCs/>
        </w:rPr>
        <w:t>19 advises as to the prevention, identification and resolution of defects</w:t>
      </w:r>
      <w:r>
        <w:rPr>
          <w:iCs/>
        </w:rPr>
        <w:t>,</w:t>
      </w:r>
    </w:p>
    <w:p w14:paraId="346A2A28" w14:textId="77777777" w:rsidR="00C934CA" w:rsidRPr="00CC121D" w:rsidRDefault="00C934CA" w:rsidP="00C934CA">
      <w:pPr>
        <w:numPr>
          <w:ilvl w:val="2"/>
          <w:numId w:val="10"/>
        </w:numPr>
        <w:spacing w:after="240"/>
        <w:ind w:left="1418"/>
        <w:contextualSpacing/>
        <w:rPr>
          <w:iCs/>
        </w:rPr>
      </w:pPr>
      <w:r w:rsidRPr="00CC121D">
        <w:rPr>
          <w:iCs/>
        </w:rPr>
        <w:t>EMC.5 and EMC.6 advises as to the identification and management of defects to metal components and structures</w:t>
      </w:r>
      <w:r>
        <w:rPr>
          <w:iCs/>
        </w:rPr>
        <w:t>,</w:t>
      </w:r>
    </w:p>
    <w:p w14:paraId="67E01B6B" w14:textId="77777777" w:rsidR="00C934CA" w:rsidRPr="00CC121D" w:rsidRDefault="00C934CA" w:rsidP="00C934CA">
      <w:pPr>
        <w:numPr>
          <w:ilvl w:val="2"/>
          <w:numId w:val="10"/>
        </w:numPr>
        <w:spacing w:after="240"/>
        <w:ind w:left="1418"/>
        <w:contextualSpacing/>
        <w:rPr>
          <w:iCs/>
        </w:rPr>
      </w:pPr>
      <w:r w:rsidRPr="00CC121D">
        <w:rPr>
          <w:iCs/>
        </w:rPr>
        <w:t>EMC.19 for non-conformities or significant defects on metal components and structures to be remediated</w:t>
      </w:r>
      <w:r>
        <w:rPr>
          <w:iCs/>
        </w:rPr>
        <w:t>.</w:t>
      </w:r>
    </w:p>
    <w:p w14:paraId="67FC2EEE" w14:textId="77777777" w:rsidR="00C934CA" w:rsidRPr="002563D2" w:rsidRDefault="00C934CA" w:rsidP="00C934CA">
      <w:pPr>
        <w:pStyle w:val="TSNumberedParagraph1"/>
        <w:rPr>
          <w:iCs/>
        </w:rPr>
      </w:pPr>
      <w:r w:rsidRPr="00CC121D">
        <w:rPr>
          <w:iCs/>
        </w:rPr>
        <w:t xml:space="preserve">For further information on non-conformances and defects, please see the appropriate </w:t>
      </w:r>
      <w:r w:rsidRPr="002563D2">
        <w:rPr>
          <w:iCs/>
        </w:rPr>
        <w:t>reference for the phase of civil engineering these are being considered:</w:t>
      </w:r>
    </w:p>
    <w:p w14:paraId="50A15A4B" w14:textId="23921593" w:rsidR="00C934CA" w:rsidRPr="00CC121D" w:rsidRDefault="00B56590" w:rsidP="00C934CA">
      <w:pPr>
        <w:numPr>
          <w:ilvl w:val="2"/>
          <w:numId w:val="10"/>
        </w:numPr>
        <w:spacing w:after="240"/>
        <w:ind w:left="1418"/>
        <w:contextualSpacing/>
        <w:rPr>
          <w:iCs/>
        </w:rPr>
      </w:pPr>
      <w:r w:rsidRPr="002563D2">
        <w:rPr>
          <w:iCs/>
        </w:rPr>
        <w:t xml:space="preserve">TAG 17 </w:t>
      </w:r>
      <w:r w:rsidR="00C934CA" w:rsidRPr="002563D2">
        <w:rPr>
          <w:iCs/>
        </w:rPr>
        <w:t xml:space="preserve">Annex 4 </w:t>
      </w:r>
      <w:r w:rsidRPr="002563D2">
        <w:rPr>
          <w:iCs/>
        </w:rPr>
        <w:t>‘</w:t>
      </w:r>
      <w:r w:rsidR="00C934CA" w:rsidRPr="002563D2">
        <w:rPr>
          <w:iCs/>
        </w:rPr>
        <w:t>Civil</w:t>
      </w:r>
      <w:r w:rsidR="00C934CA" w:rsidRPr="00CC121D">
        <w:rPr>
          <w:iCs/>
        </w:rPr>
        <w:t xml:space="preserve"> Engineering - Construction Assurance</w:t>
      </w:r>
      <w:r>
        <w:rPr>
          <w:iCs/>
        </w:rPr>
        <w:t>’</w:t>
      </w:r>
      <w:r w:rsidR="00C934CA">
        <w:rPr>
          <w:iCs/>
        </w:rPr>
        <w:t>,</w:t>
      </w:r>
    </w:p>
    <w:p w14:paraId="5911D66C" w14:textId="5A7F1259" w:rsidR="00C934CA" w:rsidRPr="00CC121D" w:rsidRDefault="00B56590" w:rsidP="00C934CA">
      <w:pPr>
        <w:numPr>
          <w:ilvl w:val="2"/>
          <w:numId w:val="10"/>
        </w:numPr>
        <w:spacing w:after="240"/>
        <w:ind w:left="1418"/>
        <w:contextualSpacing/>
        <w:rPr>
          <w:iCs/>
        </w:rPr>
      </w:pPr>
      <w:r>
        <w:rPr>
          <w:iCs/>
        </w:rPr>
        <w:t xml:space="preserve">TAG 17 </w:t>
      </w:r>
      <w:r w:rsidR="00C934CA" w:rsidRPr="00CC121D">
        <w:rPr>
          <w:iCs/>
        </w:rPr>
        <w:t xml:space="preserve">Annex 1 </w:t>
      </w:r>
      <w:r>
        <w:rPr>
          <w:iCs/>
        </w:rPr>
        <w:t>‘</w:t>
      </w:r>
      <w:r w:rsidR="00C934CA" w:rsidRPr="00CC121D">
        <w:rPr>
          <w:iCs/>
        </w:rPr>
        <w:t>Civil Engineering – Design</w:t>
      </w:r>
      <w:r w:rsidR="006946E5">
        <w:rPr>
          <w:iCs/>
        </w:rPr>
        <w:t>’</w:t>
      </w:r>
      <w:r w:rsidR="00C934CA">
        <w:rPr>
          <w:iCs/>
        </w:rPr>
        <w:t>,</w:t>
      </w:r>
    </w:p>
    <w:p w14:paraId="1C5BCBA6" w14:textId="10707A5A" w:rsidR="00C934CA" w:rsidRPr="00CC121D" w:rsidRDefault="00C934CA" w:rsidP="00C934CA">
      <w:pPr>
        <w:numPr>
          <w:ilvl w:val="2"/>
          <w:numId w:val="10"/>
        </w:numPr>
        <w:spacing w:after="240"/>
        <w:ind w:left="1418"/>
        <w:contextualSpacing/>
        <w:rPr>
          <w:iCs/>
        </w:rPr>
      </w:pPr>
      <w:r w:rsidRPr="00CC121D">
        <w:rPr>
          <w:iCs/>
        </w:rPr>
        <w:t xml:space="preserve">‘Modification’ Section </w:t>
      </w:r>
      <w:r w:rsidR="00B56590">
        <w:rPr>
          <w:iCs/>
        </w:rPr>
        <w:t>5.9.5</w:t>
      </w:r>
      <w:r w:rsidR="00B56590" w:rsidRPr="00CC121D">
        <w:rPr>
          <w:iCs/>
        </w:rPr>
        <w:t xml:space="preserve"> </w:t>
      </w:r>
      <w:r w:rsidRPr="00CC121D">
        <w:rPr>
          <w:iCs/>
        </w:rPr>
        <w:t>of this document</w:t>
      </w:r>
      <w:r w:rsidR="002563D2">
        <w:rPr>
          <w:iCs/>
        </w:rPr>
        <w:t>.</w:t>
      </w:r>
    </w:p>
    <w:p w14:paraId="08A04DB0" w14:textId="77777777" w:rsidR="00C934CA" w:rsidRPr="00CC121D" w:rsidRDefault="00C934CA" w:rsidP="00C934CA">
      <w:pPr>
        <w:pStyle w:val="TSNumberedParagraph1"/>
        <w:rPr>
          <w:iCs/>
        </w:rPr>
      </w:pPr>
      <w:r w:rsidRPr="00CC121D">
        <w:rPr>
          <w:iCs/>
        </w:rPr>
        <w:t>Further ONR expectations on assessment of non-conformances and defects are provided in:</w:t>
      </w:r>
    </w:p>
    <w:p w14:paraId="08D11D20" w14:textId="7FEDC435" w:rsidR="00C934CA" w:rsidRPr="00CC121D" w:rsidRDefault="00407613" w:rsidP="00C934CA">
      <w:pPr>
        <w:numPr>
          <w:ilvl w:val="2"/>
          <w:numId w:val="10"/>
        </w:numPr>
        <w:spacing w:after="240"/>
        <w:ind w:left="1418"/>
        <w:contextualSpacing/>
        <w:rPr>
          <w:iCs/>
        </w:rPr>
      </w:pPr>
      <w:r>
        <w:rPr>
          <w:iCs/>
        </w:rPr>
        <w:t>ONR-</w:t>
      </w:r>
      <w:r w:rsidR="00C934CA" w:rsidRPr="00CC121D">
        <w:rPr>
          <w:iCs/>
        </w:rPr>
        <w:t>NS-TAST-GD-079 ‘Licensee Design Authority Capability’</w:t>
      </w:r>
      <w:r w:rsidR="00C934CA">
        <w:rPr>
          <w:iCs/>
        </w:rPr>
        <w:t>,</w:t>
      </w:r>
    </w:p>
    <w:p w14:paraId="59571357" w14:textId="41DD1AC7" w:rsidR="00C934CA" w:rsidRPr="00CC121D" w:rsidRDefault="00407613" w:rsidP="00C934CA">
      <w:pPr>
        <w:numPr>
          <w:ilvl w:val="2"/>
          <w:numId w:val="10"/>
        </w:numPr>
        <w:spacing w:after="240"/>
        <w:ind w:left="1418"/>
        <w:contextualSpacing/>
        <w:rPr>
          <w:iCs/>
        </w:rPr>
      </w:pPr>
      <w:r>
        <w:rPr>
          <w:iCs/>
        </w:rPr>
        <w:t>ONR-</w:t>
      </w:r>
      <w:r w:rsidR="00C934CA" w:rsidRPr="00CC121D">
        <w:rPr>
          <w:iCs/>
        </w:rPr>
        <w:t>NS-TAST-GD-049 ‘Licensee Core Safety and Intelligent Customer</w:t>
      </w:r>
      <w:r w:rsidR="002D21B4">
        <w:rPr>
          <w:iCs/>
        </w:rPr>
        <w:t>’</w:t>
      </w:r>
      <w:r w:rsidR="00C934CA">
        <w:rPr>
          <w:iCs/>
        </w:rPr>
        <w:t>,</w:t>
      </w:r>
    </w:p>
    <w:p w14:paraId="7C8DCBB7" w14:textId="4146CBF1" w:rsidR="00C934CA" w:rsidRPr="00CC121D" w:rsidRDefault="00407613" w:rsidP="00C934CA">
      <w:pPr>
        <w:numPr>
          <w:ilvl w:val="2"/>
          <w:numId w:val="10"/>
        </w:numPr>
        <w:spacing w:after="240"/>
        <w:ind w:left="1418"/>
        <w:contextualSpacing/>
        <w:rPr>
          <w:iCs/>
        </w:rPr>
      </w:pPr>
      <w:r>
        <w:rPr>
          <w:iCs/>
        </w:rPr>
        <w:t>ONR-</w:t>
      </w:r>
      <w:r w:rsidR="00C934CA" w:rsidRPr="00CC121D">
        <w:rPr>
          <w:iCs/>
        </w:rPr>
        <w:t>NS-TAST-GD-102 ‘General Guidance for Mechanical Engineering Specialism Group’</w:t>
      </w:r>
      <w:r w:rsidR="00C934CA">
        <w:rPr>
          <w:iCs/>
        </w:rPr>
        <w:t>.</w:t>
      </w:r>
    </w:p>
    <w:p w14:paraId="66CD26E3" w14:textId="77777777" w:rsidR="00C934CA" w:rsidRPr="00CC121D" w:rsidRDefault="00C934CA" w:rsidP="006E0548">
      <w:pPr>
        <w:pStyle w:val="TSHeadingNumbered111"/>
      </w:pPr>
      <w:r w:rsidRPr="00CC121D">
        <w:t>Commissioning and testing</w:t>
      </w:r>
    </w:p>
    <w:p w14:paraId="6759B299" w14:textId="77777777" w:rsidR="00C934CA" w:rsidRPr="00CC121D" w:rsidRDefault="00C934CA" w:rsidP="00C934CA">
      <w:pPr>
        <w:pStyle w:val="TSNumberedParagraph1"/>
        <w:rPr>
          <w:iCs/>
        </w:rPr>
      </w:pPr>
      <w:r w:rsidRPr="00CC121D">
        <w:rPr>
          <w:iCs/>
        </w:rPr>
        <w:t>Suitable and sufficient verification activities should be undertaken to demonstrate key safety func</w:t>
      </w:r>
      <w:r>
        <w:rPr>
          <w:iCs/>
        </w:rPr>
        <w:t>tional claims are substantiated:</w:t>
      </w:r>
    </w:p>
    <w:p w14:paraId="77257324" w14:textId="77777777" w:rsidR="00C934CA" w:rsidRPr="00CC121D" w:rsidRDefault="00C934CA" w:rsidP="00C934CA">
      <w:pPr>
        <w:numPr>
          <w:ilvl w:val="2"/>
          <w:numId w:val="10"/>
        </w:numPr>
        <w:spacing w:after="240"/>
        <w:ind w:left="1418"/>
        <w:contextualSpacing/>
        <w:rPr>
          <w:iCs/>
        </w:rPr>
      </w:pPr>
      <w:r w:rsidRPr="00CC121D">
        <w:rPr>
          <w:iCs/>
        </w:rPr>
        <w:t>ECE.3 requires structures important to safety are sufficiently free of defects, or where defects are identified, safet</w:t>
      </w:r>
      <w:r>
        <w:rPr>
          <w:iCs/>
        </w:rPr>
        <w:t>y functions are not compromised,</w:t>
      </w:r>
    </w:p>
    <w:p w14:paraId="72BF2AEE" w14:textId="77777777" w:rsidR="00C934CA" w:rsidRDefault="00C934CA" w:rsidP="00C934CA">
      <w:pPr>
        <w:numPr>
          <w:ilvl w:val="2"/>
          <w:numId w:val="10"/>
        </w:numPr>
        <w:spacing w:after="240"/>
        <w:ind w:left="1418"/>
        <w:contextualSpacing/>
        <w:rPr>
          <w:iCs/>
        </w:rPr>
      </w:pPr>
      <w:r w:rsidRPr="00CC121D">
        <w:rPr>
          <w:iCs/>
        </w:rPr>
        <w:t>ECE.8 states designs should allow inspections a</w:t>
      </w:r>
      <w:r>
        <w:rPr>
          <w:iCs/>
        </w:rPr>
        <w:t>nd maintenance to be undertaken,</w:t>
      </w:r>
    </w:p>
    <w:p w14:paraId="2ADEDA3C" w14:textId="790454B5" w:rsidR="00C934CA" w:rsidRPr="00CC121D" w:rsidRDefault="00C934CA" w:rsidP="00C934CA">
      <w:pPr>
        <w:numPr>
          <w:ilvl w:val="2"/>
          <w:numId w:val="10"/>
        </w:numPr>
        <w:spacing w:after="240"/>
        <w:ind w:left="1418"/>
        <w:contextualSpacing/>
        <w:rPr>
          <w:iCs/>
        </w:rPr>
      </w:pPr>
      <w:r>
        <w:rPr>
          <w:iCs/>
        </w:rPr>
        <w:t xml:space="preserve">ECE.15 provides assessment principles in relation to verification </w:t>
      </w:r>
      <w:r w:rsidR="002563D2">
        <w:rPr>
          <w:iCs/>
        </w:rPr>
        <w:t>activities</w:t>
      </w:r>
      <w:r>
        <w:rPr>
          <w:iCs/>
        </w:rPr>
        <w:t>,</w:t>
      </w:r>
    </w:p>
    <w:p w14:paraId="4266E752" w14:textId="77777777" w:rsidR="00C934CA" w:rsidRPr="00CC121D" w:rsidRDefault="00C934CA" w:rsidP="00C934CA">
      <w:pPr>
        <w:numPr>
          <w:ilvl w:val="2"/>
          <w:numId w:val="10"/>
        </w:numPr>
        <w:spacing w:after="240"/>
        <w:ind w:left="1418"/>
        <w:contextualSpacing/>
        <w:rPr>
          <w:iCs/>
        </w:rPr>
      </w:pPr>
      <w:r w:rsidRPr="00CC121D">
        <w:rPr>
          <w:iCs/>
        </w:rPr>
        <w:t>ECE.18 states the expectation for inspection and testing to be completed during construction to demonstrate appropriate standards of workmanship etc</w:t>
      </w:r>
      <w:r>
        <w:rPr>
          <w:iCs/>
        </w:rPr>
        <w:t>.</w:t>
      </w:r>
      <w:r w:rsidRPr="00CC121D">
        <w:rPr>
          <w:iCs/>
        </w:rPr>
        <w:t xml:space="preserve"> have been achieved.</w:t>
      </w:r>
    </w:p>
    <w:p w14:paraId="207C02EF" w14:textId="77777777" w:rsidR="00C934CA" w:rsidRPr="00CC121D" w:rsidRDefault="00C934CA" w:rsidP="00C934CA">
      <w:pPr>
        <w:pStyle w:val="TSNumberedParagraph1"/>
        <w:rPr>
          <w:iCs/>
        </w:rPr>
      </w:pPr>
      <w:r w:rsidRPr="00CC121D">
        <w:rPr>
          <w:iCs/>
        </w:rPr>
        <w:t xml:space="preserve">Pre-stressed concrete pressure vessels and containment structures should be subjected to a proof pressure test, which may be repeated during the life of the site. Consideration should also be given to carrying out leak rate testing, e.g. when commissioning or as part of periodic inspections of containment </w:t>
      </w:r>
      <w:r>
        <w:rPr>
          <w:iCs/>
        </w:rPr>
        <w:t>structures</w:t>
      </w:r>
      <w:r w:rsidRPr="00CC121D">
        <w:rPr>
          <w:iCs/>
        </w:rPr>
        <w:t>.</w:t>
      </w:r>
    </w:p>
    <w:p w14:paraId="508946EB" w14:textId="77777777" w:rsidR="00C934CA" w:rsidRPr="00CC121D" w:rsidRDefault="00C934CA" w:rsidP="00C934CA">
      <w:pPr>
        <w:pStyle w:val="TSNumberedParagraph1"/>
        <w:rPr>
          <w:iCs/>
        </w:rPr>
      </w:pPr>
      <w:r w:rsidRPr="00CC121D">
        <w:rPr>
          <w:iCs/>
        </w:rPr>
        <w:t>Civil engineering structures that retain fluids should be tested for leak tightness prior to operation. Where appropriate, drainage systems should be provided and used to confirm continuing containment integrity, or to detect, locate, collect</w:t>
      </w:r>
      <w:r>
        <w:rPr>
          <w:iCs/>
        </w:rPr>
        <w:t xml:space="preserve"> and</w:t>
      </w:r>
      <w:r w:rsidRPr="00CC121D">
        <w:rPr>
          <w:iCs/>
        </w:rPr>
        <w:t xml:space="preserve"> quantify </w:t>
      </w:r>
      <w:r>
        <w:rPr>
          <w:iCs/>
        </w:rPr>
        <w:t xml:space="preserve">any leakage </w:t>
      </w:r>
      <w:r w:rsidRPr="00CC121D">
        <w:rPr>
          <w:iCs/>
        </w:rPr>
        <w:t>and</w:t>
      </w:r>
      <w:r>
        <w:rPr>
          <w:iCs/>
        </w:rPr>
        <w:t>,</w:t>
      </w:r>
      <w:r w:rsidRPr="00CC121D">
        <w:rPr>
          <w:iCs/>
        </w:rPr>
        <w:t xml:space="preserve"> where possible</w:t>
      </w:r>
      <w:r>
        <w:rPr>
          <w:iCs/>
        </w:rPr>
        <w:t>,</w:t>
      </w:r>
      <w:r w:rsidRPr="00CC121D">
        <w:rPr>
          <w:iCs/>
        </w:rPr>
        <w:t xml:space="preserve"> </w:t>
      </w:r>
      <w:r>
        <w:rPr>
          <w:iCs/>
        </w:rPr>
        <w:t>facilitate repair of leakage</w:t>
      </w:r>
      <w:r w:rsidRPr="00CC121D">
        <w:rPr>
          <w:iCs/>
        </w:rPr>
        <w:t>.</w:t>
      </w:r>
    </w:p>
    <w:p w14:paraId="3D727E46" w14:textId="77777777" w:rsidR="00C934CA" w:rsidRPr="00CC121D" w:rsidRDefault="00C934CA" w:rsidP="00C934CA">
      <w:pPr>
        <w:pStyle w:val="TSNumberedParagraph1"/>
        <w:rPr>
          <w:iCs/>
        </w:rPr>
      </w:pPr>
      <w:r w:rsidRPr="00CC121D">
        <w:rPr>
          <w:iCs/>
        </w:rPr>
        <w:t>Other structural components, such as piles, post installed fixings and rock anchors, should be proof tested proportionate to the safety consequences of their failure or in accordance with uncertainties in their design and/or construction.</w:t>
      </w:r>
    </w:p>
    <w:p w14:paraId="6C631DF1" w14:textId="77777777" w:rsidR="00C934CA" w:rsidRPr="00CC121D" w:rsidRDefault="00C934CA" w:rsidP="00C934CA">
      <w:pPr>
        <w:pStyle w:val="TSNumberedParagraph1"/>
        <w:rPr>
          <w:iCs/>
        </w:rPr>
      </w:pPr>
      <w:r w:rsidRPr="00CC121D">
        <w:rPr>
          <w:iCs/>
        </w:rPr>
        <w:t>The key civil engineering principles for assessment of commissioning and testing are presented in:</w:t>
      </w:r>
    </w:p>
    <w:p w14:paraId="31809093" w14:textId="70CFF66F" w:rsidR="00C934CA" w:rsidRPr="00F9637D" w:rsidRDefault="00C934CA" w:rsidP="00C934CA">
      <w:pPr>
        <w:numPr>
          <w:ilvl w:val="2"/>
          <w:numId w:val="10"/>
        </w:numPr>
        <w:spacing w:after="240"/>
        <w:ind w:left="1418"/>
        <w:contextualSpacing/>
        <w:rPr>
          <w:iCs/>
        </w:rPr>
      </w:pPr>
      <w:r>
        <w:rPr>
          <w:iCs/>
        </w:rPr>
        <w:t>TAG 17 Annex 4</w:t>
      </w:r>
      <w:r w:rsidRPr="00CC121D">
        <w:rPr>
          <w:iCs/>
        </w:rPr>
        <w:t xml:space="preserve"> ‘Civil Engineering </w:t>
      </w:r>
      <w:r w:rsidR="006E0548">
        <w:rPr>
          <w:iCs/>
        </w:rPr>
        <w:t xml:space="preserve">- </w:t>
      </w:r>
      <w:r w:rsidRPr="00CC121D">
        <w:rPr>
          <w:iCs/>
        </w:rPr>
        <w:t>Construction Assurance’</w:t>
      </w:r>
      <w:r>
        <w:rPr>
          <w:iCs/>
        </w:rPr>
        <w:t>,</w:t>
      </w:r>
    </w:p>
    <w:p w14:paraId="2C373224" w14:textId="3B88ADD0" w:rsidR="00C934CA" w:rsidRPr="00F9637D" w:rsidRDefault="00407613" w:rsidP="00C934CA">
      <w:pPr>
        <w:numPr>
          <w:ilvl w:val="2"/>
          <w:numId w:val="10"/>
        </w:numPr>
        <w:spacing w:after="240"/>
        <w:ind w:left="1418"/>
        <w:contextualSpacing/>
        <w:rPr>
          <w:iCs/>
        </w:rPr>
      </w:pPr>
      <w:r>
        <w:rPr>
          <w:iCs/>
        </w:rPr>
        <w:t>ONR-</w:t>
      </w:r>
      <w:r w:rsidR="00C934CA" w:rsidRPr="00CC121D">
        <w:rPr>
          <w:iCs/>
        </w:rPr>
        <w:t xml:space="preserve">NS-TAST-GD-020 ‘Civil Engineering </w:t>
      </w:r>
      <w:r w:rsidR="006E0548">
        <w:rPr>
          <w:iCs/>
        </w:rPr>
        <w:t xml:space="preserve">- </w:t>
      </w:r>
      <w:r w:rsidR="00C934CA" w:rsidRPr="00CC121D">
        <w:rPr>
          <w:iCs/>
        </w:rPr>
        <w:t>Containments for Reactor Plants’</w:t>
      </w:r>
      <w:r w:rsidR="00C934CA">
        <w:rPr>
          <w:iCs/>
        </w:rPr>
        <w:t>.</w:t>
      </w:r>
    </w:p>
    <w:p w14:paraId="5C8B67A4" w14:textId="77777777" w:rsidR="00C934CA" w:rsidRPr="00CC121D" w:rsidRDefault="00C934CA" w:rsidP="00C934CA">
      <w:pPr>
        <w:pStyle w:val="TSNumberedParagraph1"/>
        <w:rPr>
          <w:iCs/>
        </w:rPr>
      </w:pPr>
      <w:r w:rsidRPr="00CC121D">
        <w:rPr>
          <w:iCs/>
        </w:rPr>
        <w:t>Further ONR expectations on assessment of commissioning are provided in:</w:t>
      </w:r>
    </w:p>
    <w:p w14:paraId="6B13F33D" w14:textId="4392D634" w:rsidR="00C934CA" w:rsidRDefault="00407613" w:rsidP="00C934CA">
      <w:pPr>
        <w:numPr>
          <w:ilvl w:val="2"/>
          <w:numId w:val="10"/>
        </w:numPr>
        <w:spacing w:after="240"/>
        <w:ind w:left="1418"/>
        <w:contextualSpacing/>
        <w:rPr>
          <w:iCs/>
        </w:rPr>
      </w:pPr>
      <w:r>
        <w:rPr>
          <w:iCs/>
        </w:rPr>
        <w:t>ONR-</w:t>
      </w:r>
      <w:r w:rsidR="00C934CA" w:rsidRPr="00CC121D">
        <w:rPr>
          <w:iCs/>
        </w:rPr>
        <w:t>NS-INSP-GD-021 ‘Commissioning’</w:t>
      </w:r>
      <w:r w:rsidR="00C934CA">
        <w:rPr>
          <w:iCs/>
        </w:rPr>
        <w:t>.</w:t>
      </w:r>
    </w:p>
    <w:p w14:paraId="7767643E" w14:textId="6FD10CD8" w:rsidR="00C934CA" w:rsidRPr="004E7FAC" w:rsidRDefault="00407613" w:rsidP="00C934CA">
      <w:pPr>
        <w:numPr>
          <w:ilvl w:val="2"/>
          <w:numId w:val="10"/>
        </w:numPr>
        <w:spacing w:after="240"/>
        <w:ind w:left="1418"/>
        <w:contextualSpacing/>
        <w:rPr>
          <w:iCs/>
        </w:rPr>
      </w:pPr>
      <w:r>
        <w:rPr>
          <w:iCs/>
        </w:rPr>
        <w:t>ONR-</w:t>
      </w:r>
      <w:r w:rsidR="00C934CA" w:rsidRPr="00ED60B6">
        <w:rPr>
          <w:iCs/>
        </w:rPr>
        <w:t>NS-TAST-GD-033 ‘</w:t>
      </w:r>
      <w:proofErr w:type="spellStart"/>
      <w:r w:rsidR="00C934CA" w:rsidRPr="00ED60B6">
        <w:rPr>
          <w:iCs/>
        </w:rPr>
        <w:t>Dutyholder</w:t>
      </w:r>
      <w:proofErr w:type="spellEnd"/>
      <w:r w:rsidR="00C934CA" w:rsidRPr="00ED60B6">
        <w:rPr>
          <w:iCs/>
        </w:rPr>
        <w:t xml:space="preserve"> Management of Records’.</w:t>
      </w:r>
    </w:p>
    <w:p w14:paraId="6E6B52EF" w14:textId="3068EDFF" w:rsidR="00C934CA" w:rsidRDefault="008015C6" w:rsidP="00C934CA">
      <w:pPr>
        <w:pStyle w:val="TSHeadingNumbered11"/>
        <w:rPr>
          <w:iCs/>
        </w:rPr>
      </w:pPr>
      <w:bookmarkStart w:id="76" w:name="_Toc57912706"/>
      <w:r>
        <w:t>Ageing Management and Damaged Structures</w:t>
      </w:r>
      <w:r w:rsidR="00EB7781">
        <w:rPr>
          <w:iCs/>
        </w:rPr>
        <w:t xml:space="preserve"> (Annex 5)</w:t>
      </w:r>
      <w:bookmarkEnd w:id="76"/>
    </w:p>
    <w:p w14:paraId="71BCAC0A" w14:textId="7F7CB652" w:rsidR="00C934CA" w:rsidRPr="00CC121D" w:rsidRDefault="00C934CA" w:rsidP="0043434A">
      <w:pPr>
        <w:pStyle w:val="TSHeadingNumbered111"/>
      </w:pPr>
      <w:r w:rsidRPr="00CC121D">
        <w:t>Asset Management and Ageing sites</w:t>
      </w:r>
    </w:p>
    <w:p w14:paraId="6E20E401" w14:textId="12BFE3E0" w:rsidR="00C934CA" w:rsidRPr="00CC121D" w:rsidRDefault="00C934CA" w:rsidP="00C934CA">
      <w:pPr>
        <w:pStyle w:val="TSNumberedParagraph1"/>
        <w:rPr>
          <w:iCs/>
        </w:rPr>
      </w:pPr>
      <w:r w:rsidRPr="00CC121D">
        <w:rPr>
          <w:iCs/>
        </w:rPr>
        <w:t>Suitable and sufficient activities should be undertaken to maintain and verify that safety functional requirements continue to be satisfied thought-out all sta</w:t>
      </w:r>
      <w:r>
        <w:rPr>
          <w:iCs/>
        </w:rPr>
        <w:t>ges of the life of a structure</w:t>
      </w:r>
      <w:r w:rsidR="00734713">
        <w:rPr>
          <w:iCs/>
        </w:rPr>
        <w:t>. The following SAPs [1] are relevant</w:t>
      </w:r>
      <w:r>
        <w:rPr>
          <w:iCs/>
        </w:rPr>
        <w:t>:</w:t>
      </w:r>
    </w:p>
    <w:p w14:paraId="6A12993F" w14:textId="77777777" w:rsidR="0054083D" w:rsidRPr="0054083D" w:rsidRDefault="0054083D" w:rsidP="0054083D">
      <w:pPr>
        <w:numPr>
          <w:ilvl w:val="2"/>
          <w:numId w:val="10"/>
        </w:numPr>
        <w:spacing w:after="240"/>
        <w:ind w:left="1418"/>
        <w:contextualSpacing/>
        <w:rPr>
          <w:iCs/>
        </w:rPr>
      </w:pPr>
      <w:r w:rsidRPr="0054083D">
        <w:rPr>
          <w:iCs/>
        </w:rPr>
        <w:t>EAD.2, EMC.25, EMC.31, EMC.32, ECE.3, ECE.20 are related to lifetime margins, periodic measurements, in-service repairs, detecting and monitoring leakage, stress analysis for design life and degradation, and defect management,</w:t>
      </w:r>
    </w:p>
    <w:p w14:paraId="668DE7F7" w14:textId="77777777" w:rsidR="0054083D" w:rsidRPr="0054083D" w:rsidRDefault="0054083D" w:rsidP="0054083D">
      <w:pPr>
        <w:numPr>
          <w:ilvl w:val="2"/>
          <w:numId w:val="10"/>
        </w:numPr>
        <w:spacing w:after="240"/>
        <w:ind w:left="1418"/>
        <w:contextualSpacing/>
        <w:rPr>
          <w:iCs/>
        </w:rPr>
      </w:pPr>
      <w:r w:rsidRPr="0054083D">
        <w:rPr>
          <w:iCs/>
        </w:rPr>
        <w:t>SC.8 states the expectation that those who have direct responsibility for safety own the safety case,</w:t>
      </w:r>
    </w:p>
    <w:p w14:paraId="6D08E604" w14:textId="129489AC" w:rsidR="0054083D" w:rsidRPr="0054083D" w:rsidRDefault="0054083D" w:rsidP="0054083D">
      <w:pPr>
        <w:numPr>
          <w:ilvl w:val="2"/>
          <w:numId w:val="10"/>
        </w:numPr>
        <w:spacing w:after="240"/>
        <w:ind w:left="1418"/>
        <w:contextualSpacing/>
        <w:rPr>
          <w:iCs/>
        </w:rPr>
      </w:pPr>
      <w:r w:rsidRPr="0054083D">
        <w:rPr>
          <w:iCs/>
        </w:rPr>
        <w:t>EMC.11 establishes the expectations that failure models should be gradual and predictable</w:t>
      </w:r>
      <w:r w:rsidR="00596F1F">
        <w:rPr>
          <w:iCs/>
        </w:rPr>
        <w:t>,</w:t>
      </w:r>
    </w:p>
    <w:p w14:paraId="096D07E4" w14:textId="6772531D" w:rsidR="0054083D" w:rsidRPr="0054083D" w:rsidRDefault="0054083D" w:rsidP="0054083D">
      <w:pPr>
        <w:numPr>
          <w:ilvl w:val="2"/>
          <w:numId w:val="10"/>
        </w:numPr>
        <w:spacing w:after="240"/>
        <w:ind w:left="1418"/>
        <w:contextualSpacing/>
        <w:rPr>
          <w:iCs/>
        </w:rPr>
      </w:pPr>
      <w:r w:rsidRPr="0054083D">
        <w:rPr>
          <w:iCs/>
        </w:rPr>
        <w:t>ECS.3, ECS.4 and ECS.5 when applying codes and modern standards (or lack of them) to existing structure analysis</w:t>
      </w:r>
      <w:r w:rsidR="00596F1F">
        <w:rPr>
          <w:iCs/>
        </w:rPr>
        <w:t>,</w:t>
      </w:r>
    </w:p>
    <w:p w14:paraId="36D4609D" w14:textId="27EB7241" w:rsidR="0054083D" w:rsidRPr="0054083D" w:rsidRDefault="0054083D" w:rsidP="0054083D">
      <w:pPr>
        <w:numPr>
          <w:ilvl w:val="2"/>
          <w:numId w:val="10"/>
        </w:numPr>
        <w:spacing w:after="240"/>
        <w:ind w:left="1418"/>
        <w:contextualSpacing/>
        <w:rPr>
          <w:iCs/>
        </w:rPr>
      </w:pPr>
      <w:r w:rsidRPr="0054083D">
        <w:rPr>
          <w:iCs/>
        </w:rPr>
        <w:t>EAD.3 and EAD.4 establishes the expectations for periodic measurement of material properties and parameters</w:t>
      </w:r>
      <w:r w:rsidR="00596F1F">
        <w:rPr>
          <w:iCs/>
        </w:rPr>
        <w:t>,</w:t>
      </w:r>
    </w:p>
    <w:p w14:paraId="0C8B3603" w14:textId="008AECF4" w:rsidR="0054083D" w:rsidRPr="0054083D" w:rsidRDefault="0054083D" w:rsidP="0054083D">
      <w:pPr>
        <w:numPr>
          <w:ilvl w:val="2"/>
          <w:numId w:val="10"/>
        </w:numPr>
        <w:spacing w:after="240"/>
        <w:ind w:left="1418"/>
        <w:contextualSpacing/>
        <w:rPr>
          <w:iCs/>
        </w:rPr>
      </w:pPr>
      <w:r w:rsidRPr="0054083D">
        <w:rPr>
          <w:iCs/>
        </w:rPr>
        <w:t>ECE.2 ECE.3, ECE.4 ECE.8, ECE.16, ECE.17, ECE.18, ECE.19, ECE.25 and ECE.26 apply at varying stages of a lifetime of a structure, but especially so when considering the impact ageing can have on lifetime safety functional requirements</w:t>
      </w:r>
      <w:r w:rsidR="00596F1F">
        <w:rPr>
          <w:iCs/>
        </w:rPr>
        <w:t>,</w:t>
      </w:r>
    </w:p>
    <w:p w14:paraId="53A3D5CC" w14:textId="6CB0FDCB" w:rsidR="0054083D" w:rsidRPr="0054083D" w:rsidRDefault="0054083D" w:rsidP="0054083D">
      <w:pPr>
        <w:numPr>
          <w:ilvl w:val="2"/>
          <w:numId w:val="10"/>
        </w:numPr>
        <w:spacing w:after="240"/>
        <w:ind w:left="1418"/>
        <w:contextualSpacing/>
        <w:rPr>
          <w:iCs/>
        </w:rPr>
      </w:pPr>
      <w:r w:rsidRPr="0054083D">
        <w:rPr>
          <w:iCs/>
        </w:rPr>
        <w:t>SC.6 establishes the expectation that the Safety Case should identify areas of maintenance to ensure continued safe operation and how these will be implemented</w:t>
      </w:r>
      <w:r w:rsidR="00596F1F">
        <w:rPr>
          <w:iCs/>
        </w:rPr>
        <w:t>,</w:t>
      </w:r>
    </w:p>
    <w:p w14:paraId="79FB1292" w14:textId="77777777" w:rsidR="0054083D" w:rsidRPr="0054083D" w:rsidRDefault="0054083D" w:rsidP="0054083D">
      <w:pPr>
        <w:numPr>
          <w:ilvl w:val="2"/>
          <w:numId w:val="10"/>
        </w:numPr>
        <w:spacing w:after="240"/>
        <w:ind w:left="1418"/>
        <w:contextualSpacing/>
        <w:rPr>
          <w:iCs/>
        </w:rPr>
      </w:pPr>
      <w:r w:rsidRPr="0054083D">
        <w:rPr>
          <w:iCs/>
        </w:rPr>
        <w:t>EHA.12 refers to the prevention of flooding and an appropriate level of EIMT,</w:t>
      </w:r>
    </w:p>
    <w:p w14:paraId="30046912" w14:textId="5D053494" w:rsidR="0054083D" w:rsidRPr="0054083D" w:rsidRDefault="0054083D" w:rsidP="0054083D">
      <w:pPr>
        <w:numPr>
          <w:ilvl w:val="2"/>
          <w:numId w:val="10"/>
        </w:numPr>
        <w:spacing w:after="240"/>
        <w:ind w:left="1418"/>
        <w:contextualSpacing/>
        <w:rPr>
          <w:iCs/>
        </w:rPr>
      </w:pPr>
      <w:r w:rsidRPr="0054083D">
        <w:rPr>
          <w:iCs/>
        </w:rPr>
        <w:t>EHA.15 establishes the expectation that design should prevent water from adversely affecting SSCs</w:t>
      </w:r>
      <w:r w:rsidR="00596F1F">
        <w:rPr>
          <w:iCs/>
        </w:rPr>
        <w:t>,</w:t>
      </w:r>
    </w:p>
    <w:p w14:paraId="343F9F19" w14:textId="2BBF036F" w:rsidR="0054083D" w:rsidRPr="0054083D" w:rsidRDefault="0054083D" w:rsidP="0054083D">
      <w:pPr>
        <w:numPr>
          <w:ilvl w:val="2"/>
          <w:numId w:val="10"/>
        </w:numPr>
        <w:spacing w:after="240"/>
        <w:ind w:left="1418"/>
        <w:contextualSpacing/>
        <w:rPr>
          <w:iCs/>
        </w:rPr>
      </w:pPr>
      <w:r w:rsidRPr="0054083D">
        <w:rPr>
          <w:iCs/>
        </w:rPr>
        <w:t xml:space="preserve">EMT.2, EMT.6 and EMT.8 6 establishes the expectation that provision should be made for EIMT throughout the life, including after events that may compromise the </w:t>
      </w:r>
      <w:r w:rsidR="000C7867" w:rsidRPr="0054083D">
        <w:rPr>
          <w:iCs/>
        </w:rPr>
        <w:t>structure</w:t>
      </w:r>
      <w:r w:rsidR="00596F1F">
        <w:rPr>
          <w:iCs/>
        </w:rPr>
        <w:t>,</w:t>
      </w:r>
    </w:p>
    <w:p w14:paraId="07C74778" w14:textId="59F381DB" w:rsidR="0054083D" w:rsidRPr="0054083D" w:rsidRDefault="0054083D" w:rsidP="0054083D">
      <w:pPr>
        <w:numPr>
          <w:ilvl w:val="2"/>
          <w:numId w:val="10"/>
        </w:numPr>
        <w:spacing w:after="240"/>
        <w:ind w:left="1418"/>
        <w:contextualSpacing/>
        <w:rPr>
          <w:iCs/>
        </w:rPr>
      </w:pPr>
      <w:r w:rsidRPr="0054083D">
        <w:rPr>
          <w:iCs/>
        </w:rPr>
        <w:t>ERL.1 establishes the expectation that safety claims on reliability will be supported by case by case analysis</w:t>
      </w:r>
      <w:r w:rsidR="00596F1F">
        <w:rPr>
          <w:iCs/>
        </w:rPr>
        <w:t>,</w:t>
      </w:r>
    </w:p>
    <w:p w14:paraId="030D81B7" w14:textId="6DC981CD" w:rsidR="0054083D" w:rsidRPr="0054083D" w:rsidRDefault="0054083D" w:rsidP="0054083D">
      <w:pPr>
        <w:numPr>
          <w:ilvl w:val="2"/>
          <w:numId w:val="10"/>
        </w:numPr>
        <w:spacing w:after="240"/>
        <w:ind w:left="1418"/>
        <w:contextualSpacing/>
        <w:rPr>
          <w:iCs/>
        </w:rPr>
      </w:pPr>
      <w:r w:rsidRPr="0054083D">
        <w:rPr>
          <w:iCs/>
        </w:rPr>
        <w:t>EDR.1 establishes the expectation that SSCs will ‘fail safe’, identifying potential failure modes using a formal analysis where appropriate</w:t>
      </w:r>
      <w:r w:rsidR="00596F1F">
        <w:rPr>
          <w:iCs/>
        </w:rPr>
        <w:t>.</w:t>
      </w:r>
    </w:p>
    <w:p w14:paraId="7A1F1507" w14:textId="66858E1B" w:rsidR="00C934CA" w:rsidRDefault="002C01C6" w:rsidP="00C934CA">
      <w:pPr>
        <w:pStyle w:val="TSNumberedParagraph1"/>
        <w:rPr>
          <w:iCs/>
        </w:rPr>
      </w:pPr>
      <w:r>
        <w:rPr>
          <w:iCs/>
        </w:rPr>
        <w:t>For t</w:t>
      </w:r>
      <w:r w:rsidR="00C934CA" w:rsidRPr="00CC121D">
        <w:rPr>
          <w:iCs/>
        </w:rPr>
        <w:t>he key civil engineering principle</w:t>
      </w:r>
      <w:r w:rsidR="00C934CA">
        <w:rPr>
          <w:iCs/>
        </w:rPr>
        <w:t>s for assessment of ageing sites</w:t>
      </w:r>
      <w:r>
        <w:rPr>
          <w:iCs/>
        </w:rPr>
        <w:t>, see</w:t>
      </w:r>
      <w:r w:rsidR="00C934CA" w:rsidRPr="00CC121D">
        <w:rPr>
          <w:iCs/>
        </w:rPr>
        <w:t>:</w:t>
      </w:r>
    </w:p>
    <w:p w14:paraId="1576B757" w14:textId="5CA387C9" w:rsidR="00C934CA" w:rsidRPr="00CC121D" w:rsidRDefault="00C934CA" w:rsidP="00C934CA">
      <w:pPr>
        <w:numPr>
          <w:ilvl w:val="2"/>
          <w:numId w:val="10"/>
        </w:numPr>
        <w:spacing w:after="240"/>
        <w:ind w:left="1418"/>
        <w:contextualSpacing/>
        <w:rPr>
          <w:iCs/>
        </w:rPr>
      </w:pPr>
      <w:r>
        <w:rPr>
          <w:iCs/>
        </w:rPr>
        <w:t xml:space="preserve">Annex </w:t>
      </w:r>
      <w:r w:rsidRPr="00CC121D">
        <w:rPr>
          <w:iCs/>
        </w:rPr>
        <w:t xml:space="preserve">5, </w:t>
      </w:r>
      <w:r w:rsidR="008015C6">
        <w:t>‘</w:t>
      </w:r>
      <w:r w:rsidR="008015C6" w:rsidRPr="000F2702">
        <w:t xml:space="preserve">Civil Engineering – </w:t>
      </w:r>
      <w:r w:rsidR="008015C6">
        <w:t>Ageing Management and Damaged Structures’</w:t>
      </w:r>
      <w:r>
        <w:rPr>
          <w:iCs/>
        </w:rPr>
        <w:t>.</w:t>
      </w:r>
    </w:p>
    <w:p w14:paraId="06643995" w14:textId="77777777" w:rsidR="00C934CA" w:rsidRPr="009F16D9" w:rsidRDefault="00C934CA" w:rsidP="0043434A">
      <w:pPr>
        <w:pStyle w:val="TSHeadingNumbered111"/>
      </w:pPr>
      <w:r w:rsidRPr="009F16D9">
        <w:t xml:space="preserve">INF1 </w:t>
      </w:r>
      <w:r w:rsidRPr="009F16D9">
        <w:rPr>
          <w:iCs/>
        </w:rPr>
        <w:t>Events</w:t>
      </w:r>
      <w:r w:rsidRPr="009F16D9">
        <w:t xml:space="preserve"> on site</w:t>
      </w:r>
    </w:p>
    <w:p w14:paraId="4E01CCB7" w14:textId="5A22D664" w:rsidR="00C934CA" w:rsidRPr="00CC121D" w:rsidRDefault="00C934CA" w:rsidP="00C934CA">
      <w:pPr>
        <w:pStyle w:val="TSNumberedParagraph1"/>
        <w:rPr>
          <w:iCs/>
        </w:rPr>
      </w:pPr>
      <w:r w:rsidRPr="009F16D9">
        <w:rPr>
          <w:iCs/>
        </w:rPr>
        <w:t>Incidents are notified under Licence Condition 7: Incidents on the site. Events are those that are classified in accordance with the International Nuclear Event Scale (INES). Not all incidents notified under LC7 co</w:t>
      </w:r>
      <w:r>
        <w:rPr>
          <w:iCs/>
        </w:rPr>
        <w:t xml:space="preserve">nstitute an event on the INES. </w:t>
      </w:r>
      <w:r w:rsidRPr="009F16D9">
        <w:rPr>
          <w:iCs/>
        </w:rPr>
        <w:t>During the operational and decommissioning phase, there are few INF1’s raised on sites that are related to civil engineering.</w:t>
      </w:r>
      <w:r w:rsidRPr="00CC121D">
        <w:rPr>
          <w:iCs/>
        </w:rPr>
        <w:t xml:space="preserve"> This may be related to the ‘massive and passive’ assumption; where civil engineering works and structures </w:t>
      </w:r>
      <w:r>
        <w:rPr>
          <w:iCs/>
        </w:rPr>
        <w:t>are assumed to</w:t>
      </w:r>
      <w:r w:rsidRPr="00CC121D">
        <w:rPr>
          <w:iCs/>
        </w:rPr>
        <w:t xml:space="preserve"> continue to meet their nuclear safety functions</w:t>
      </w:r>
      <w:r>
        <w:rPr>
          <w:iCs/>
        </w:rPr>
        <w:t xml:space="preserve"> regardless of age</w:t>
      </w:r>
      <w:r w:rsidRPr="00CC121D">
        <w:rPr>
          <w:iCs/>
        </w:rPr>
        <w:t xml:space="preserve">. Each structure has a </w:t>
      </w:r>
      <w:r>
        <w:rPr>
          <w:iCs/>
        </w:rPr>
        <w:t>potential vulnerability</w:t>
      </w:r>
      <w:r w:rsidRPr="00CC121D">
        <w:rPr>
          <w:iCs/>
        </w:rPr>
        <w:t>, be it joints of the weatherproof envelope, guttering blockages, windows with broken glass</w:t>
      </w:r>
      <w:r>
        <w:rPr>
          <w:iCs/>
        </w:rPr>
        <w:t xml:space="preserve"> or concrete cover depths</w:t>
      </w:r>
      <w:r w:rsidRPr="00CC121D">
        <w:rPr>
          <w:iCs/>
        </w:rPr>
        <w:t xml:space="preserve"> etc. </w:t>
      </w:r>
      <w:r w:rsidR="00F417EB">
        <w:rPr>
          <w:iCs/>
        </w:rPr>
        <w:t>S</w:t>
      </w:r>
      <w:r w:rsidRPr="00CC121D">
        <w:rPr>
          <w:iCs/>
        </w:rPr>
        <w:t xml:space="preserve">hould a structure that </w:t>
      </w:r>
      <w:r>
        <w:rPr>
          <w:iCs/>
        </w:rPr>
        <w:t xml:space="preserve">has </w:t>
      </w:r>
      <w:r w:rsidRPr="00CC121D">
        <w:rPr>
          <w:iCs/>
        </w:rPr>
        <w:t xml:space="preserve">a safety requirement </w:t>
      </w:r>
      <w:r>
        <w:rPr>
          <w:iCs/>
        </w:rPr>
        <w:t xml:space="preserve">placed upon it </w:t>
      </w:r>
      <w:r w:rsidRPr="00CC121D">
        <w:rPr>
          <w:iCs/>
        </w:rPr>
        <w:t>be compromised</w:t>
      </w:r>
      <w:r>
        <w:rPr>
          <w:iCs/>
        </w:rPr>
        <w:t xml:space="preserve"> (e.g. weatherproofing/structural)</w:t>
      </w:r>
      <w:r w:rsidRPr="00CC121D">
        <w:rPr>
          <w:iCs/>
        </w:rPr>
        <w:t xml:space="preserve">, the early signs that the </w:t>
      </w:r>
      <w:r>
        <w:rPr>
          <w:iCs/>
        </w:rPr>
        <w:t xml:space="preserve">safety function may have </w:t>
      </w:r>
      <w:r w:rsidRPr="00CC121D">
        <w:rPr>
          <w:iCs/>
        </w:rPr>
        <w:t>been compromised should be raised as a civil engineering INF1 e.g. flora growing out of structures, broken glass in windows, corrosion to steelwork</w:t>
      </w:r>
      <w:r>
        <w:rPr>
          <w:iCs/>
        </w:rPr>
        <w:t xml:space="preserve"> or rust staining/cracks in concrete</w:t>
      </w:r>
      <w:r w:rsidRPr="00CC121D">
        <w:rPr>
          <w:iCs/>
        </w:rPr>
        <w:t xml:space="preserve"> (structures that still perform their function but are showing degradation), vehicle damage to structures etc.</w:t>
      </w:r>
    </w:p>
    <w:p w14:paraId="36175C2D" w14:textId="77777777" w:rsidR="00C934CA" w:rsidRPr="00CC121D" w:rsidRDefault="00C934CA" w:rsidP="00C934CA">
      <w:pPr>
        <w:pStyle w:val="TSNumberedParagraph1"/>
        <w:rPr>
          <w:iCs/>
        </w:rPr>
      </w:pPr>
      <w:r w:rsidRPr="00CC121D">
        <w:rPr>
          <w:iCs/>
        </w:rPr>
        <w:t>For further guidance key civil engineering principles for assessment of damage, ageing and asset management are located in:</w:t>
      </w:r>
    </w:p>
    <w:p w14:paraId="39380011" w14:textId="05BFBFE7" w:rsidR="00C934CA" w:rsidRPr="00CC121D" w:rsidRDefault="00C934CA" w:rsidP="00C934CA">
      <w:pPr>
        <w:numPr>
          <w:ilvl w:val="2"/>
          <w:numId w:val="10"/>
        </w:numPr>
        <w:spacing w:after="240"/>
        <w:ind w:left="1418"/>
        <w:contextualSpacing/>
        <w:rPr>
          <w:iCs/>
        </w:rPr>
      </w:pPr>
      <w:r w:rsidRPr="00CC121D">
        <w:rPr>
          <w:iCs/>
        </w:rPr>
        <w:t>For the consideration of damage and ag</w:t>
      </w:r>
      <w:r>
        <w:rPr>
          <w:iCs/>
        </w:rPr>
        <w:t>e</w:t>
      </w:r>
      <w:r w:rsidRPr="00CC121D">
        <w:rPr>
          <w:iCs/>
        </w:rPr>
        <w:t>i</w:t>
      </w:r>
      <w:r>
        <w:rPr>
          <w:iCs/>
        </w:rPr>
        <w:t xml:space="preserve">ng, see Annex </w:t>
      </w:r>
      <w:r w:rsidRPr="00CC121D">
        <w:rPr>
          <w:iCs/>
        </w:rPr>
        <w:t xml:space="preserve">5, </w:t>
      </w:r>
      <w:r w:rsidR="008015C6">
        <w:t>‘</w:t>
      </w:r>
      <w:r w:rsidR="008015C6" w:rsidRPr="000F2702">
        <w:t xml:space="preserve">Civil Engineering – </w:t>
      </w:r>
      <w:r w:rsidR="008015C6">
        <w:t>Ageing Management and Damaged Structures’,</w:t>
      </w:r>
    </w:p>
    <w:p w14:paraId="34675E39" w14:textId="7F88C37D" w:rsidR="00C934CA" w:rsidRPr="00CC121D" w:rsidRDefault="00C934CA" w:rsidP="00C934CA">
      <w:pPr>
        <w:numPr>
          <w:ilvl w:val="2"/>
          <w:numId w:val="10"/>
        </w:numPr>
        <w:spacing w:after="240"/>
        <w:ind w:left="1418"/>
        <w:contextualSpacing/>
        <w:rPr>
          <w:iCs/>
        </w:rPr>
      </w:pPr>
      <w:r w:rsidRPr="00CC121D">
        <w:rPr>
          <w:iCs/>
        </w:rPr>
        <w:t xml:space="preserve">For the consideration of preventative actions to avoid defects, see Annex 4, </w:t>
      </w:r>
      <w:r w:rsidR="002E2EFB">
        <w:rPr>
          <w:iCs/>
        </w:rPr>
        <w:t>’</w:t>
      </w:r>
      <w:r w:rsidRPr="00CC121D">
        <w:rPr>
          <w:iCs/>
        </w:rPr>
        <w:t>Civil Engineering – Construction Assurance</w:t>
      </w:r>
      <w:r w:rsidR="002E2EFB">
        <w:rPr>
          <w:iCs/>
        </w:rPr>
        <w:t>’</w:t>
      </w:r>
      <w:r w:rsidR="00596F1F">
        <w:rPr>
          <w:iCs/>
        </w:rPr>
        <w:t>.</w:t>
      </w:r>
    </w:p>
    <w:p w14:paraId="35B59563" w14:textId="77777777" w:rsidR="00C934CA" w:rsidRPr="00CC121D" w:rsidRDefault="00C934CA" w:rsidP="00C934CA">
      <w:pPr>
        <w:pStyle w:val="TSNumberedParagraph1"/>
        <w:rPr>
          <w:iCs/>
        </w:rPr>
      </w:pPr>
      <w:r w:rsidRPr="00CC121D">
        <w:rPr>
          <w:iCs/>
        </w:rPr>
        <w:t>Further ONR expectations on assessment of INF1 events are provided in:</w:t>
      </w:r>
    </w:p>
    <w:p w14:paraId="1230C4AB" w14:textId="288E9AD8" w:rsidR="00C934CA" w:rsidRPr="00CC121D" w:rsidRDefault="00FD41DD" w:rsidP="00C934CA">
      <w:pPr>
        <w:numPr>
          <w:ilvl w:val="2"/>
          <w:numId w:val="10"/>
        </w:numPr>
        <w:spacing w:after="240"/>
        <w:ind w:left="1418"/>
        <w:contextualSpacing/>
        <w:rPr>
          <w:iCs/>
        </w:rPr>
      </w:pPr>
      <w:r>
        <w:rPr>
          <w:iCs/>
        </w:rPr>
        <w:t>ONR-</w:t>
      </w:r>
      <w:r w:rsidR="00C934CA" w:rsidRPr="00CC121D">
        <w:rPr>
          <w:iCs/>
        </w:rPr>
        <w:t>NS-INSP-GD-007 ‘LC7 – Incidents on the Site and Other Reporting and Operational Experience (OE) Processes’</w:t>
      </w:r>
      <w:r w:rsidR="00C934CA">
        <w:rPr>
          <w:iCs/>
        </w:rPr>
        <w:t>,</w:t>
      </w:r>
    </w:p>
    <w:p w14:paraId="73F59575" w14:textId="77777777" w:rsidR="00C934CA" w:rsidRPr="00CC121D" w:rsidRDefault="00C934CA" w:rsidP="00C934CA">
      <w:pPr>
        <w:numPr>
          <w:ilvl w:val="2"/>
          <w:numId w:val="10"/>
        </w:numPr>
        <w:spacing w:after="240"/>
        <w:ind w:left="1418"/>
        <w:contextualSpacing/>
        <w:rPr>
          <w:iCs/>
        </w:rPr>
      </w:pPr>
      <w:r w:rsidRPr="00CC121D">
        <w:rPr>
          <w:iCs/>
        </w:rPr>
        <w:t xml:space="preserve">ONR-OPEX-IN-002 ‘Incident Notification and Reporting Process’ </w:t>
      </w:r>
    </w:p>
    <w:p w14:paraId="2F739254" w14:textId="4E16026B" w:rsidR="00C934CA" w:rsidRPr="00CC121D" w:rsidRDefault="00407613" w:rsidP="00C934CA">
      <w:pPr>
        <w:numPr>
          <w:ilvl w:val="2"/>
          <w:numId w:val="10"/>
        </w:numPr>
        <w:spacing w:after="240"/>
        <w:ind w:left="1418"/>
        <w:contextualSpacing/>
        <w:rPr>
          <w:iCs/>
        </w:rPr>
      </w:pPr>
      <w:r>
        <w:rPr>
          <w:iCs/>
        </w:rPr>
        <w:t>ONR-</w:t>
      </w:r>
      <w:r w:rsidR="00C934CA" w:rsidRPr="00CC121D">
        <w:t>NS-TAST-GD-098 ‘Asset Management’</w:t>
      </w:r>
      <w:r w:rsidR="00C934CA">
        <w:t>,</w:t>
      </w:r>
    </w:p>
    <w:p w14:paraId="7FC17ED9" w14:textId="354F4155" w:rsidR="00C934CA" w:rsidRPr="00CC121D" w:rsidRDefault="00407613" w:rsidP="00C934CA">
      <w:pPr>
        <w:numPr>
          <w:ilvl w:val="2"/>
          <w:numId w:val="10"/>
        </w:numPr>
        <w:spacing w:after="240"/>
        <w:ind w:left="1418"/>
        <w:contextualSpacing/>
        <w:rPr>
          <w:iCs/>
        </w:rPr>
      </w:pPr>
      <w:r>
        <w:rPr>
          <w:iCs/>
        </w:rPr>
        <w:t>ONR-</w:t>
      </w:r>
      <w:r w:rsidR="00C934CA" w:rsidRPr="00CC121D">
        <w:rPr>
          <w:iCs/>
        </w:rPr>
        <w:t>NS-INSP-GD-034 ‘LC34 – Leakage and Escape of Radioactive Material and Radioactive Waste’</w:t>
      </w:r>
      <w:r w:rsidR="00C934CA">
        <w:rPr>
          <w:iCs/>
        </w:rPr>
        <w:t>.</w:t>
      </w:r>
    </w:p>
    <w:p w14:paraId="3D2C3EF9" w14:textId="77777777" w:rsidR="00C934CA" w:rsidRPr="00CC121D" w:rsidRDefault="00C934CA" w:rsidP="001257E1">
      <w:pPr>
        <w:pStyle w:val="TSHeadingNumbered111"/>
      </w:pPr>
      <w:r w:rsidRPr="00CC121D">
        <w:t xml:space="preserve">Periodic Safety </w:t>
      </w:r>
      <w:r w:rsidRPr="00CC121D">
        <w:rPr>
          <w:iCs/>
        </w:rPr>
        <w:t>Review</w:t>
      </w:r>
    </w:p>
    <w:p w14:paraId="65789EE9" w14:textId="77777777" w:rsidR="00C934CA" w:rsidRPr="00CC121D" w:rsidRDefault="00C934CA" w:rsidP="00C934CA">
      <w:pPr>
        <w:pStyle w:val="TSNumberedParagraph1"/>
        <w:rPr>
          <w:iCs/>
        </w:rPr>
      </w:pPr>
      <w:r w:rsidRPr="00CC121D">
        <w:rPr>
          <w:iCs/>
        </w:rPr>
        <w:t xml:space="preserve">Licence condition 15 requires a Periodic Safety Review (PSR) to be undertaken at intervals to be proposed by the duty holder. There is an expectation that this interval </w:t>
      </w:r>
      <w:r>
        <w:rPr>
          <w:iCs/>
        </w:rPr>
        <w:t>will be at no more than 10 years.</w:t>
      </w:r>
    </w:p>
    <w:p w14:paraId="5F754349" w14:textId="77777777" w:rsidR="00C934CA" w:rsidRPr="00CC121D" w:rsidRDefault="00C934CA" w:rsidP="00C934CA">
      <w:pPr>
        <w:numPr>
          <w:ilvl w:val="2"/>
          <w:numId w:val="10"/>
        </w:numPr>
        <w:spacing w:after="240"/>
        <w:ind w:left="1418"/>
        <w:contextualSpacing/>
      </w:pPr>
      <w:r w:rsidRPr="00CC121D">
        <w:t>SC.7 states the expectation that safety cases will be actively mai</w:t>
      </w:r>
      <w:r>
        <w:t>ntained and reviewed regularly.</w:t>
      </w:r>
    </w:p>
    <w:p w14:paraId="30A31DEA" w14:textId="77777777" w:rsidR="00C934CA" w:rsidRPr="00791A13" w:rsidRDefault="00C934CA" w:rsidP="00C934CA">
      <w:pPr>
        <w:pStyle w:val="TSNumberedParagraph1"/>
        <w:rPr>
          <w:iCs/>
        </w:rPr>
      </w:pPr>
      <w:r w:rsidRPr="00791A13">
        <w:rPr>
          <w:iCs/>
        </w:rPr>
        <w:t>For the key civil engineering principles for assessment of PSRs, see:</w:t>
      </w:r>
    </w:p>
    <w:p w14:paraId="7CBF5E0A" w14:textId="5871256E" w:rsidR="00C934CA" w:rsidRPr="00791A13" w:rsidRDefault="00C934CA" w:rsidP="00C934CA">
      <w:pPr>
        <w:numPr>
          <w:ilvl w:val="2"/>
          <w:numId w:val="10"/>
        </w:numPr>
        <w:spacing w:after="240"/>
        <w:ind w:left="1418"/>
        <w:contextualSpacing/>
        <w:rPr>
          <w:iCs/>
        </w:rPr>
      </w:pPr>
      <w:r w:rsidRPr="00791A13">
        <w:rPr>
          <w:iCs/>
        </w:rPr>
        <w:t xml:space="preserve">Where the assessment needs to consider the condition of a structure: Annex 5, </w:t>
      </w:r>
      <w:r w:rsidR="00CD12CB">
        <w:t>‘</w:t>
      </w:r>
      <w:r w:rsidR="00CD12CB" w:rsidRPr="000F2702">
        <w:t xml:space="preserve">Civil Engineering – </w:t>
      </w:r>
      <w:r w:rsidR="00CD12CB">
        <w:t>Ageing Management and Damaged Structures’</w:t>
      </w:r>
      <w:r w:rsidRPr="00791A13">
        <w:rPr>
          <w:iCs/>
        </w:rPr>
        <w:t>,</w:t>
      </w:r>
    </w:p>
    <w:p w14:paraId="5487A323" w14:textId="46C89DDF" w:rsidR="00C934CA" w:rsidRPr="00791A13" w:rsidRDefault="00C934CA" w:rsidP="00C934CA">
      <w:pPr>
        <w:numPr>
          <w:ilvl w:val="2"/>
          <w:numId w:val="10"/>
        </w:numPr>
        <w:spacing w:after="240"/>
        <w:ind w:left="1418"/>
        <w:contextualSpacing/>
        <w:rPr>
          <w:iCs/>
        </w:rPr>
      </w:pPr>
      <w:r w:rsidRPr="00791A13">
        <w:t xml:space="preserve">Where a PSR includes consideration of post operation processes, including clean out, decommissioning or any demolition; </w:t>
      </w:r>
      <w:r w:rsidRPr="00791A13">
        <w:rPr>
          <w:iCs/>
        </w:rPr>
        <w:t xml:space="preserve">Annex 6, </w:t>
      </w:r>
      <w:r w:rsidR="00E41ED2" w:rsidRPr="00791A13">
        <w:rPr>
          <w:iCs/>
        </w:rPr>
        <w:t>‘</w:t>
      </w:r>
      <w:r w:rsidRPr="00791A13">
        <w:rPr>
          <w:iCs/>
        </w:rPr>
        <w:t>Civil Engineering – Post Operation</w:t>
      </w:r>
      <w:r w:rsidR="00E41ED2" w:rsidRPr="00E73840">
        <w:rPr>
          <w:iCs/>
        </w:rPr>
        <w:t>’</w:t>
      </w:r>
      <w:r w:rsidRPr="00791A13">
        <w:rPr>
          <w:iCs/>
        </w:rPr>
        <w:t>.</w:t>
      </w:r>
    </w:p>
    <w:p w14:paraId="728A5924" w14:textId="77777777" w:rsidR="00C934CA" w:rsidRPr="00791A13" w:rsidRDefault="00C934CA" w:rsidP="00C934CA">
      <w:pPr>
        <w:pStyle w:val="TSNumberedParagraph1"/>
        <w:rPr>
          <w:iCs/>
        </w:rPr>
      </w:pPr>
      <w:r w:rsidRPr="00791A13">
        <w:rPr>
          <w:iCs/>
        </w:rPr>
        <w:t>Further ONR expectations on assessment of Periodic Safety Reviews are provided in:</w:t>
      </w:r>
    </w:p>
    <w:p w14:paraId="408ABBB4" w14:textId="1CE60507" w:rsidR="00C934CA" w:rsidRPr="00550362" w:rsidRDefault="00407613" w:rsidP="00C934CA">
      <w:pPr>
        <w:numPr>
          <w:ilvl w:val="2"/>
          <w:numId w:val="10"/>
        </w:numPr>
        <w:spacing w:after="240"/>
        <w:ind w:left="1418"/>
        <w:contextualSpacing/>
        <w:rPr>
          <w:b/>
          <w:iCs/>
        </w:rPr>
      </w:pPr>
      <w:r>
        <w:rPr>
          <w:iCs/>
        </w:rPr>
        <w:t>ONR-</w:t>
      </w:r>
      <w:r w:rsidR="00C934CA" w:rsidRPr="00E73840">
        <w:t>NS-TAST-GD-050 ‘Periodic Safety Reviews (PSR)’,</w:t>
      </w:r>
    </w:p>
    <w:p w14:paraId="254FCB86" w14:textId="7802A533" w:rsidR="00C934CA" w:rsidRPr="00D95AE6" w:rsidRDefault="00407613" w:rsidP="00C934CA">
      <w:pPr>
        <w:numPr>
          <w:ilvl w:val="2"/>
          <w:numId w:val="10"/>
        </w:numPr>
        <w:spacing w:after="240"/>
        <w:ind w:left="1418"/>
        <w:contextualSpacing/>
        <w:rPr>
          <w:b/>
          <w:iCs/>
        </w:rPr>
      </w:pPr>
      <w:r>
        <w:rPr>
          <w:iCs/>
        </w:rPr>
        <w:t>ONR-</w:t>
      </w:r>
      <w:r w:rsidR="00C934CA" w:rsidRPr="00A52B56">
        <w:t xml:space="preserve">NS-INSP-GD-015 </w:t>
      </w:r>
      <w:r w:rsidR="00C934CA" w:rsidRPr="00DE2164">
        <w:rPr>
          <w:rFonts w:cs="HelveticaNeueLT Std"/>
        </w:rPr>
        <w:t>‘LC15 Periodic Review’,</w:t>
      </w:r>
    </w:p>
    <w:p w14:paraId="013F9313" w14:textId="557B4A77" w:rsidR="00C934CA" w:rsidRPr="00791A13" w:rsidRDefault="00407613" w:rsidP="00C934CA">
      <w:pPr>
        <w:numPr>
          <w:ilvl w:val="2"/>
          <w:numId w:val="10"/>
        </w:numPr>
        <w:spacing w:after="240"/>
        <w:ind w:left="1418"/>
        <w:contextualSpacing/>
      </w:pPr>
      <w:r>
        <w:rPr>
          <w:iCs/>
        </w:rPr>
        <w:t>ONR-</w:t>
      </w:r>
      <w:r w:rsidR="00C934CA" w:rsidRPr="00791A13">
        <w:t>NS-TAST-GD-098 ‘Asset Management’,</w:t>
      </w:r>
    </w:p>
    <w:p w14:paraId="7EF9E6A3" w14:textId="163A73AA" w:rsidR="00C934CA" w:rsidRPr="00791A13" w:rsidRDefault="00407613" w:rsidP="00C934CA">
      <w:pPr>
        <w:numPr>
          <w:ilvl w:val="2"/>
          <w:numId w:val="10"/>
        </w:numPr>
        <w:spacing w:after="240"/>
        <w:ind w:left="1418"/>
        <w:contextualSpacing/>
      </w:pPr>
      <w:r>
        <w:rPr>
          <w:iCs/>
        </w:rPr>
        <w:t>ONR-</w:t>
      </w:r>
      <w:r w:rsidR="00C934CA" w:rsidRPr="00791A13">
        <w:t>NS-TAST-GD-026 ‘Decommissioning’.</w:t>
      </w:r>
    </w:p>
    <w:p w14:paraId="49CA0AEF" w14:textId="0B10BEC6" w:rsidR="00C934CA" w:rsidRPr="00791A13" w:rsidRDefault="00C934CA" w:rsidP="00D07AFA">
      <w:pPr>
        <w:pStyle w:val="TSHeadingNumbered11"/>
        <w:rPr>
          <w:iCs/>
        </w:rPr>
      </w:pPr>
      <w:bookmarkStart w:id="77" w:name="_Toc57912707"/>
      <w:r w:rsidRPr="00791A13">
        <w:rPr>
          <w:iCs/>
        </w:rPr>
        <w:t>Post Operation</w:t>
      </w:r>
      <w:r w:rsidR="00C06043">
        <w:rPr>
          <w:iCs/>
        </w:rPr>
        <w:t xml:space="preserve"> (Annex 6)</w:t>
      </w:r>
      <w:bookmarkEnd w:id="77"/>
    </w:p>
    <w:p w14:paraId="30E86778" w14:textId="77777777" w:rsidR="00C934CA" w:rsidRPr="00791A13" w:rsidRDefault="00C934CA" w:rsidP="00463BE5">
      <w:pPr>
        <w:pStyle w:val="TSHeadingNumbered111"/>
      </w:pPr>
      <w:r w:rsidRPr="00791A13">
        <w:t>Land Quality Management</w:t>
      </w:r>
    </w:p>
    <w:p w14:paraId="5ED622D6" w14:textId="4BE225D1" w:rsidR="00C934CA" w:rsidRPr="00620DFC" w:rsidRDefault="00C934CA" w:rsidP="00C934CA">
      <w:pPr>
        <w:pStyle w:val="TSNumberedParagraph1"/>
        <w:rPr>
          <w:iCs/>
        </w:rPr>
      </w:pPr>
      <w:r w:rsidRPr="00791A13">
        <w:rPr>
          <w:iCs/>
        </w:rPr>
        <w:t xml:space="preserve">Occasionally, the Inspector may wish to consider land quality management where contaminated ground </w:t>
      </w:r>
      <w:r w:rsidRPr="00620DFC">
        <w:rPr>
          <w:iCs/>
        </w:rPr>
        <w:t>is proposed to be remediated as part of civil engineering assessment. This activity can be part of new site construction or part of the decommissioning strategy for achieving the end state of the site, or at any time between.</w:t>
      </w:r>
      <w:r w:rsidR="00651EBA" w:rsidRPr="00620DFC">
        <w:rPr>
          <w:iCs/>
        </w:rPr>
        <w:t xml:space="preserve"> The relevant (non-civil engineering specific) SAPs for consideration are:</w:t>
      </w:r>
    </w:p>
    <w:p w14:paraId="58034714" w14:textId="378F0382" w:rsidR="00C934CA" w:rsidRPr="00620DFC" w:rsidRDefault="00C934CA" w:rsidP="00390A5D">
      <w:pPr>
        <w:numPr>
          <w:ilvl w:val="2"/>
          <w:numId w:val="10"/>
        </w:numPr>
        <w:spacing w:after="240"/>
        <w:ind w:left="1418"/>
        <w:contextualSpacing/>
        <w:rPr>
          <w:iCs/>
        </w:rPr>
      </w:pPr>
      <w:r w:rsidRPr="00620DFC">
        <w:rPr>
          <w:iCs/>
        </w:rPr>
        <w:t xml:space="preserve">SAPs RL.1, RL.2, RL.4, RL.6 </w:t>
      </w:r>
      <w:r w:rsidR="00C54AE4" w:rsidRPr="00620DFC">
        <w:rPr>
          <w:iCs/>
        </w:rPr>
        <w:t xml:space="preserve">and </w:t>
      </w:r>
      <w:r w:rsidRPr="00620DFC">
        <w:rPr>
          <w:iCs/>
        </w:rPr>
        <w:t>RL.8</w:t>
      </w:r>
      <w:r w:rsidR="00651EBA" w:rsidRPr="00620DFC">
        <w:rPr>
          <w:iCs/>
        </w:rPr>
        <w:t xml:space="preserve"> state the expectations </w:t>
      </w:r>
      <w:r w:rsidR="00E166DC" w:rsidRPr="00620DFC">
        <w:rPr>
          <w:iCs/>
        </w:rPr>
        <w:t>around radioactively contaminated land</w:t>
      </w:r>
      <w:r w:rsidR="00774EA5" w:rsidRPr="00620DFC">
        <w:rPr>
          <w:iCs/>
        </w:rPr>
        <w:t xml:space="preserve"> management where civil engineering input may be required.</w:t>
      </w:r>
      <w:r w:rsidR="00651EBA" w:rsidRPr="00620DFC">
        <w:rPr>
          <w:iCs/>
        </w:rPr>
        <w:t xml:space="preserve"> </w:t>
      </w:r>
    </w:p>
    <w:p w14:paraId="10CAB438" w14:textId="77777777" w:rsidR="00C934CA" w:rsidRPr="00620DFC" w:rsidRDefault="00C934CA" w:rsidP="00C934CA">
      <w:pPr>
        <w:pStyle w:val="TSNumberedParagraph1"/>
        <w:rPr>
          <w:iCs/>
        </w:rPr>
      </w:pPr>
      <w:r w:rsidRPr="00620DFC">
        <w:rPr>
          <w:iCs/>
        </w:rPr>
        <w:t>It is likely that assessments of land quality and contaminated land remediation design proposals will be led by inspectors who specialise in the management of radioactive materials, with the support of civil engineering inspectors. For such an assessment, the key civil engineering principles for assessment of land quality management are:</w:t>
      </w:r>
    </w:p>
    <w:p w14:paraId="4B7075AD" w14:textId="77777777" w:rsidR="00C934CA" w:rsidRPr="00791A13" w:rsidRDefault="00C934CA" w:rsidP="00C934CA">
      <w:pPr>
        <w:numPr>
          <w:ilvl w:val="2"/>
          <w:numId w:val="10"/>
        </w:numPr>
        <w:spacing w:after="240"/>
        <w:ind w:left="1418"/>
        <w:contextualSpacing/>
        <w:rPr>
          <w:iCs/>
        </w:rPr>
      </w:pPr>
      <w:r w:rsidRPr="00620DFC">
        <w:rPr>
          <w:iCs/>
        </w:rPr>
        <w:t>whether any optioneering studies have considered</w:t>
      </w:r>
      <w:r w:rsidRPr="00791A13">
        <w:rPr>
          <w:iCs/>
        </w:rPr>
        <w:t xml:space="preserve"> and reduced risks in accordance with the ALARP principle, including risks associated worker and public safety as well as reducing environmental impact now and in the future,</w:t>
      </w:r>
    </w:p>
    <w:p w14:paraId="345F4391" w14:textId="77777777" w:rsidR="00C934CA" w:rsidRPr="00791A13" w:rsidRDefault="00C934CA" w:rsidP="00C934CA">
      <w:pPr>
        <w:numPr>
          <w:ilvl w:val="2"/>
          <w:numId w:val="10"/>
        </w:numPr>
        <w:spacing w:after="240"/>
        <w:ind w:left="1418"/>
        <w:contextualSpacing/>
        <w:rPr>
          <w:iCs/>
        </w:rPr>
      </w:pPr>
      <w:r w:rsidRPr="00791A13">
        <w:rPr>
          <w:iCs/>
        </w:rPr>
        <w:t>whether the strategy caters for all known and suspected instances of contamination that need to be remediated,</w:t>
      </w:r>
    </w:p>
    <w:p w14:paraId="45AFE3B9" w14:textId="77777777" w:rsidR="00C934CA" w:rsidRPr="00CC121D" w:rsidRDefault="00C934CA" w:rsidP="00C934CA">
      <w:pPr>
        <w:numPr>
          <w:ilvl w:val="2"/>
          <w:numId w:val="10"/>
        </w:numPr>
        <w:spacing w:after="240"/>
        <w:ind w:left="1418"/>
        <w:contextualSpacing/>
        <w:rPr>
          <w:iCs/>
        </w:rPr>
      </w:pPr>
      <w:r w:rsidRPr="00791A13">
        <w:rPr>
          <w:iCs/>
        </w:rPr>
        <w:t>the reliability of the survey investigation work, considering</w:t>
      </w:r>
      <w:r w:rsidRPr="00CC121D">
        <w:rPr>
          <w:iCs/>
        </w:rPr>
        <w:t xml:space="preserve"> the potential efficacy of the proposed design, understanding of th</w:t>
      </w:r>
      <w:r>
        <w:rPr>
          <w:iCs/>
        </w:rPr>
        <w:t>e site geology and hydrogeology,</w:t>
      </w:r>
    </w:p>
    <w:p w14:paraId="07C00614" w14:textId="77777777" w:rsidR="00C934CA" w:rsidRPr="00CC121D" w:rsidRDefault="00C934CA" w:rsidP="00C934CA">
      <w:pPr>
        <w:numPr>
          <w:ilvl w:val="2"/>
          <w:numId w:val="10"/>
        </w:numPr>
        <w:spacing w:after="240"/>
        <w:ind w:left="1418"/>
        <w:contextualSpacing/>
        <w:rPr>
          <w:iCs/>
        </w:rPr>
      </w:pPr>
      <w:r w:rsidRPr="00CC121D">
        <w:rPr>
          <w:iCs/>
        </w:rPr>
        <w:t xml:space="preserve">the constructability of the proposed designs alongside </w:t>
      </w:r>
      <w:r>
        <w:rPr>
          <w:iCs/>
        </w:rPr>
        <w:t>conventional health and safety i</w:t>
      </w:r>
      <w:r w:rsidRPr="00CC121D">
        <w:rPr>
          <w:iCs/>
        </w:rPr>
        <w:t>nspectors,</w:t>
      </w:r>
    </w:p>
    <w:p w14:paraId="6CB5E6E2" w14:textId="77777777" w:rsidR="00C934CA" w:rsidRPr="00CC121D" w:rsidRDefault="00C934CA" w:rsidP="00C934CA">
      <w:pPr>
        <w:numPr>
          <w:ilvl w:val="2"/>
          <w:numId w:val="10"/>
        </w:numPr>
        <w:spacing w:after="240"/>
        <w:ind w:left="1418"/>
        <w:contextualSpacing/>
        <w:rPr>
          <w:iCs/>
        </w:rPr>
      </w:pPr>
      <w:r w:rsidRPr="00CC121D">
        <w:rPr>
          <w:iCs/>
        </w:rPr>
        <w:t>future EIMT,</w:t>
      </w:r>
      <w:r>
        <w:rPr>
          <w:iCs/>
        </w:rPr>
        <w:t xml:space="preserve"> (the inspector is reminded of designer duties under </w:t>
      </w:r>
      <w:r w:rsidRPr="00CC121D">
        <w:rPr>
          <w:iCs/>
        </w:rPr>
        <w:t>the CDM 2015 Regulations</w:t>
      </w:r>
      <w:r>
        <w:rPr>
          <w:iCs/>
        </w:rPr>
        <w:t>)</w:t>
      </w:r>
    </w:p>
    <w:p w14:paraId="19676018" w14:textId="77777777" w:rsidR="00C934CA" w:rsidRPr="00CC121D" w:rsidRDefault="00C934CA" w:rsidP="00C934CA">
      <w:pPr>
        <w:numPr>
          <w:ilvl w:val="2"/>
          <w:numId w:val="10"/>
        </w:numPr>
        <w:spacing w:after="240"/>
        <w:ind w:left="1418"/>
        <w:contextualSpacing/>
        <w:rPr>
          <w:iCs/>
        </w:rPr>
      </w:pPr>
      <w:r>
        <w:rPr>
          <w:iCs/>
        </w:rPr>
        <w:t>p</w:t>
      </w:r>
      <w:r w:rsidRPr="00CC121D">
        <w:rPr>
          <w:iCs/>
        </w:rPr>
        <w:t>otential impacts on achieving the future end state.</w:t>
      </w:r>
    </w:p>
    <w:p w14:paraId="2DDE3317" w14:textId="77777777" w:rsidR="00C934CA" w:rsidRPr="00CC121D" w:rsidRDefault="00C934CA" w:rsidP="00C934CA">
      <w:pPr>
        <w:pStyle w:val="TSNumberedParagraph1"/>
        <w:rPr>
          <w:iCs/>
        </w:rPr>
      </w:pPr>
      <w:r w:rsidRPr="00CC121D">
        <w:rPr>
          <w:iCs/>
        </w:rPr>
        <w:t xml:space="preserve">The related civil engineering principles for assessment of modifications are </w:t>
      </w:r>
      <w:r>
        <w:rPr>
          <w:iCs/>
        </w:rPr>
        <w:t>in</w:t>
      </w:r>
      <w:r w:rsidRPr="00CC121D">
        <w:rPr>
          <w:iCs/>
        </w:rPr>
        <w:t>:</w:t>
      </w:r>
    </w:p>
    <w:p w14:paraId="405ABFF0" w14:textId="3315038C" w:rsidR="00C934CA" w:rsidRPr="00CC121D" w:rsidRDefault="00C934CA" w:rsidP="00C934CA">
      <w:pPr>
        <w:numPr>
          <w:ilvl w:val="2"/>
          <w:numId w:val="10"/>
        </w:numPr>
        <w:spacing w:after="240"/>
        <w:ind w:left="1418"/>
        <w:contextualSpacing/>
        <w:rPr>
          <w:iCs/>
        </w:rPr>
      </w:pPr>
      <w:r w:rsidRPr="00C0760F">
        <w:rPr>
          <w:iCs/>
        </w:rPr>
        <w:t xml:space="preserve">TAG 17 Annex </w:t>
      </w:r>
      <w:r>
        <w:rPr>
          <w:iCs/>
        </w:rPr>
        <w:t>6</w:t>
      </w:r>
      <w:r w:rsidRPr="00C0760F">
        <w:rPr>
          <w:iCs/>
        </w:rPr>
        <w:t xml:space="preserve"> applies ‘Civil</w:t>
      </w:r>
      <w:r w:rsidRPr="00CC121D">
        <w:rPr>
          <w:iCs/>
        </w:rPr>
        <w:t xml:space="preserve"> Engineering – Post operation’</w:t>
      </w:r>
      <w:r w:rsidRPr="00C0760F">
        <w:rPr>
          <w:iCs/>
        </w:rPr>
        <w:t xml:space="preserve"> Section </w:t>
      </w:r>
      <w:r w:rsidR="00791A13">
        <w:rPr>
          <w:iCs/>
        </w:rPr>
        <w:t xml:space="preserve">regarding </w:t>
      </w:r>
      <w:r w:rsidRPr="00C0760F">
        <w:rPr>
          <w:iCs/>
        </w:rPr>
        <w:t>‘Site Remediation’</w:t>
      </w:r>
      <w:r>
        <w:rPr>
          <w:iCs/>
        </w:rPr>
        <w:t>.</w:t>
      </w:r>
    </w:p>
    <w:p w14:paraId="74823812" w14:textId="77777777" w:rsidR="00C934CA" w:rsidRPr="00CC121D" w:rsidRDefault="00C934CA" w:rsidP="00C934CA">
      <w:pPr>
        <w:pStyle w:val="TSNumberedParagraph1"/>
        <w:rPr>
          <w:iCs/>
        </w:rPr>
      </w:pPr>
      <w:r w:rsidRPr="00CC121D">
        <w:rPr>
          <w:iCs/>
        </w:rPr>
        <w:t>Further ONR expectations on assessment of Land Contamination are provided in:</w:t>
      </w:r>
    </w:p>
    <w:p w14:paraId="42ADFB3B" w14:textId="35AD3218" w:rsidR="00C934CA" w:rsidRPr="00CC121D" w:rsidRDefault="00407613" w:rsidP="00C934CA">
      <w:pPr>
        <w:numPr>
          <w:ilvl w:val="2"/>
          <w:numId w:val="10"/>
        </w:numPr>
        <w:spacing w:after="240"/>
        <w:ind w:left="1418"/>
        <w:contextualSpacing/>
        <w:rPr>
          <w:iCs/>
        </w:rPr>
      </w:pPr>
      <w:r>
        <w:rPr>
          <w:iCs/>
        </w:rPr>
        <w:t>ONR-</w:t>
      </w:r>
      <w:r w:rsidR="00C934CA" w:rsidRPr="00CC121D">
        <w:rPr>
          <w:iCs/>
        </w:rPr>
        <w:t>NS-TAST-GD-083 ‘Land Quality Management’</w:t>
      </w:r>
      <w:r w:rsidR="00C934CA">
        <w:rPr>
          <w:iCs/>
        </w:rPr>
        <w:t>,</w:t>
      </w:r>
    </w:p>
    <w:p w14:paraId="278BE778" w14:textId="2372DDA6" w:rsidR="00C934CA" w:rsidRPr="00CC121D" w:rsidRDefault="00407613" w:rsidP="00C934CA">
      <w:pPr>
        <w:numPr>
          <w:ilvl w:val="2"/>
          <w:numId w:val="10"/>
        </w:numPr>
        <w:spacing w:after="240"/>
        <w:ind w:left="1418"/>
        <w:contextualSpacing/>
        <w:rPr>
          <w:iCs/>
        </w:rPr>
      </w:pPr>
      <w:r>
        <w:rPr>
          <w:iCs/>
        </w:rPr>
        <w:t>ONR-</w:t>
      </w:r>
      <w:r w:rsidR="00C934CA" w:rsidRPr="00CC121D">
        <w:rPr>
          <w:iCs/>
        </w:rPr>
        <w:t>NS-TAST-GD-024 ‘Management of Radioactive Material and Radioactive Waste’</w:t>
      </w:r>
      <w:r w:rsidR="00C934CA">
        <w:rPr>
          <w:iCs/>
        </w:rPr>
        <w:t>,</w:t>
      </w:r>
    </w:p>
    <w:p w14:paraId="3D3BA2B0" w14:textId="477CD2EB" w:rsidR="00C934CA" w:rsidRPr="00CC121D" w:rsidRDefault="00407613" w:rsidP="00C934CA">
      <w:pPr>
        <w:numPr>
          <w:ilvl w:val="2"/>
          <w:numId w:val="10"/>
        </w:numPr>
        <w:spacing w:after="240"/>
        <w:ind w:left="1418"/>
        <w:contextualSpacing/>
        <w:rPr>
          <w:iCs/>
        </w:rPr>
      </w:pPr>
      <w:r>
        <w:rPr>
          <w:iCs/>
        </w:rPr>
        <w:t>ONR-</w:t>
      </w:r>
      <w:r w:rsidR="00C934CA" w:rsidRPr="00CC121D">
        <w:rPr>
          <w:iCs/>
        </w:rPr>
        <w:t>NS-TAST-GD-081 ‘Safety Aspects Specific to Storage of Spent Nuclear Fuel’</w:t>
      </w:r>
      <w:r w:rsidR="00C934CA">
        <w:rPr>
          <w:iCs/>
        </w:rPr>
        <w:t>,</w:t>
      </w:r>
    </w:p>
    <w:p w14:paraId="33DD0757" w14:textId="47390305" w:rsidR="00C934CA" w:rsidRPr="00CC121D" w:rsidRDefault="00407613" w:rsidP="00C934CA">
      <w:pPr>
        <w:numPr>
          <w:ilvl w:val="2"/>
          <w:numId w:val="10"/>
        </w:numPr>
        <w:spacing w:after="240"/>
        <w:ind w:left="1418"/>
        <w:contextualSpacing/>
        <w:rPr>
          <w:iCs/>
        </w:rPr>
      </w:pPr>
      <w:r>
        <w:rPr>
          <w:iCs/>
        </w:rPr>
        <w:t>ONR-</w:t>
      </w:r>
      <w:r w:rsidR="00C934CA" w:rsidRPr="00CC121D">
        <w:rPr>
          <w:iCs/>
        </w:rPr>
        <w:t>NS-INSP-GD-032 ‘LC32 – Accumulation of Radioactive Waste’</w:t>
      </w:r>
      <w:r w:rsidR="00C934CA">
        <w:rPr>
          <w:iCs/>
        </w:rPr>
        <w:t>,</w:t>
      </w:r>
    </w:p>
    <w:p w14:paraId="416F606F" w14:textId="2C637D2A" w:rsidR="005F300F" w:rsidRDefault="00407613" w:rsidP="00C934CA">
      <w:pPr>
        <w:numPr>
          <w:ilvl w:val="2"/>
          <w:numId w:val="10"/>
        </w:numPr>
        <w:spacing w:after="240"/>
        <w:ind w:left="1418"/>
        <w:contextualSpacing/>
        <w:rPr>
          <w:iCs/>
        </w:rPr>
      </w:pPr>
      <w:r>
        <w:rPr>
          <w:iCs/>
        </w:rPr>
        <w:t>ONR-</w:t>
      </w:r>
      <w:r w:rsidR="00C934CA" w:rsidRPr="00CC121D">
        <w:rPr>
          <w:iCs/>
        </w:rPr>
        <w:t>NS-INSP-GD-034 ‘LC34 – Leakage and Escape of Radioactive Material and Radioactive Waste’</w:t>
      </w:r>
      <w:r w:rsidR="00C934CA">
        <w:rPr>
          <w:iCs/>
        </w:rPr>
        <w:t>.</w:t>
      </w:r>
    </w:p>
    <w:p w14:paraId="190E46E8" w14:textId="44B0D1D1" w:rsidR="00C934CA" w:rsidRPr="00426F36" w:rsidRDefault="005F300F" w:rsidP="001C2C4B">
      <w:pPr>
        <w:rPr>
          <w:iCs/>
        </w:rPr>
      </w:pPr>
      <w:r>
        <w:rPr>
          <w:iCs/>
        </w:rPr>
        <w:br w:type="page"/>
      </w:r>
    </w:p>
    <w:p w14:paraId="6617499E" w14:textId="4835ED6C" w:rsidR="00C934CA" w:rsidRPr="00CC121D" w:rsidRDefault="00C934CA" w:rsidP="00550362">
      <w:pPr>
        <w:pStyle w:val="TSHeadingNumbered111"/>
      </w:pPr>
      <w:r w:rsidRPr="00CC121D">
        <w:rPr>
          <w:iCs/>
        </w:rPr>
        <w:t xml:space="preserve">Decommissioning, </w:t>
      </w:r>
      <w:r w:rsidRPr="00CC121D">
        <w:t>Demolition and other activities for delicensing</w:t>
      </w:r>
    </w:p>
    <w:p w14:paraId="0BF56ABF" w14:textId="77777777" w:rsidR="00DD550D" w:rsidRDefault="00C934CA" w:rsidP="00C934CA">
      <w:pPr>
        <w:pStyle w:val="TSNumberedParagraph1"/>
        <w:rPr>
          <w:iCs/>
        </w:rPr>
      </w:pPr>
      <w:r w:rsidRPr="00CC121D">
        <w:rPr>
          <w:iCs/>
        </w:rPr>
        <w:t>S</w:t>
      </w:r>
      <w:r>
        <w:rPr>
          <w:iCs/>
        </w:rPr>
        <w:t>ome s</w:t>
      </w:r>
      <w:r w:rsidRPr="00CC121D">
        <w:rPr>
          <w:iCs/>
        </w:rPr>
        <w:t>afety functions must be maintained after the site has cease</w:t>
      </w:r>
      <w:r>
        <w:rPr>
          <w:iCs/>
        </w:rPr>
        <w:t>d</w:t>
      </w:r>
      <w:r w:rsidRPr="00CC121D">
        <w:rPr>
          <w:iCs/>
        </w:rPr>
        <w:t xml:space="preserve"> operation to ensure the ongoing safety of the site. </w:t>
      </w:r>
      <w:r>
        <w:rPr>
          <w:iCs/>
        </w:rPr>
        <w:t xml:space="preserve">The Inspector should be aware of </w:t>
      </w:r>
      <w:r w:rsidRPr="00CC121D">
        <w:rPr>
          <w:iCs/>
        </w:rPr>
        <w:t xml:space="preserve">the risk of foreclosure, that safe options for future demolition are not limited un-necessarily in previous phases of site lifetime. </w:t>
      </w:r>
    </w:p>
    <w:p w14:paraId="2670202C" w14:textId="1A60BB12" w:rsidR="00C934CA" w:rsidRPr="00CC121D" w:rsidRDefault="00C934CA" w:rsidP="00C934CA">
      <w:pPr>
        <w:pStyle w:val="TSNumberedParagraph1"/>
        <w:rPr>
          <w:iCs/>
        </w:rPr>
      </w:pPr>
      <w:r w:rsidRPr="00CC121D">
        <w:rPr>
          <w:iCs/>
        </w:rPr>
        <w:t>Periodic Safety Reviews can identify risks related to operational civil engineering structures</w:t>
      </w:r>
      <w:r>
        <w:rPr>
          <w:iCs/>
        </w:rPr>
        <w:t>,</w:t>
      </w:r>
      <w:r w:rsidRPr="00CC121D">
        <w:rPr>
          <w:iCs/>
        </w:rPr>
        <w:t xml:space="preserve"> systems or components (SSCs) during the operati</w:t>
      </w:r>
      <w:r>
        <w:rPr>
          <w:iCs/>
        </w:rPr>
        <w:t>onal and decommissioning phases</w:t>
      </w:r>
      <w:r w:rsidRPr="00CC121D">
        <w:rPr>
          <w:iCs/>
        </w:rPr>
        <w:t>.</w:t>
      </w:r>
    </w:p>
    <w:p w14:paraId="368EEF6F" w14:textId="77777777" w:rsidR="00C934CA" w:rsidRPr="00CC121D" w:rsidRDefault="00C934CA" w:rsidP="00C934CA">
      <w:pPr>
        <w:pStyle w:val="TSNumberedParagraph1"/>
        <w:rPr>
          <w:iCs/>
        </w:rPr>
      </w:pPr>
      <w:r w:rsidRPr="00CC121D">
        <w:rPr>
          <w:iCs/>
        </w:rPr>
        <w:t>The post operation phases considered for civil engineering assessment are:</w:t>
      </w:r>
    </w:p>
    <w:p w14:paraId="248438B0" w14:textId="77777777" w:rsidR="00C934CA" w:rsidRPr="00CC121D" w:rsidRDefault="00C934CA" w:rsidP="00C934CA">
      <w:pPr>
        <w:numPr>
          <w:ilvl w:val="2"/>
          <w:numId w:val="10"/>
        </w:numPr>
        <w:spacing w:after="240"/>
        <w:ind w:left="1418"/>
        <w:contextualSpacing/>
        <w:rPr>
          <w:iCs/>
        </w:rPr>
      </w:pPr>
      <w:r w:rsidRPr="00CC121D">
        <w:rPr>
          <w:iCs/>
        </w:rPr>
        <w:t>Inactive quiescent storage</w:t>
      </w:r>
      <w:r>
        <w:rPr>
          <w:iCs/>
        </w:rPr>
        <w:t>,</w:t>
      </w:r>
    </w:p>
    <w:p w14:paraId="7F7F76B9" w14:textId="77777777" w:rsidR="00C934CA" w:rsidRPr="00CC121D" w:rsidRDefault="00C934CA" w:rsidP="00C934CA">
      <w:pPr>
        <w:numPr>
          <w:ilvl w:val="2"/>
          <w:numId w:val="10"/>
        </w:numPr>
        <w:spacing w:after="240"/>
        <w:ind w:left="1418"/>
        <w:contextualSpacing/>
        <w:rPr>
          <w:iCs/>
        </w:rPr>
      </w:pPr>
      <w:r w:rsidRPr="00CC121D">
        <w:rPr>
          <w:iCs/>
        </w:rPr>
        <w:t>Post operational clean out</w:t>
      </w:r>
      <w:r>
        <w:rPr>
          <w:iCs/>
        </w:rPr>
        <w:t>,</w:t>
      </w:r>
    </w:p>
    <w:p w14:paraId="57FA9FA6" w14:textId="77777777" w:rsidR="00C934CA" w:rsidRPr="00CC121D" w:rsidRDefault="00C934CA" w:rsidP="00C934CA">
      <w:pPr>
        <w:numPr>
          <w:ilvl w:val="2"/>
          <w:numId w:val="10"/>
        </w:numPr>
        <w:spacing w:after="240"/>
        <w:ind w:left="1418"/>
        <w:contextualSpacing/>
        <w:rPr>
          <w:iCs/>
        </w:rPr>
      </w:pPr>
      <w:r w:rsidRPr="00CC121D">
        <w:rPr>
          <w:iCs/>
        </w:rPr>
        <w:t>Care and maintenance</w:t>
      </w:r>
      <w:r>
        <w:rPr>
          <w:iCs/>
        </w:rPr>
        <w:t>,</w:t>
      </w:r>
    </w:p>
    <w:p w14:paraId="44CB9AAA" w14:textId="77777777" w:rsidR="00C934CA" w:rsidRPr="00CC121D" w:rsidRDefault="00C934CA" w:rsidP="00C934CA">
      <w:pPr>
        <w:numPr>
          <w:ilvl w:val="2"/>
          <w:numId w:val="10"/>
        </w:numPr>
        <w:spacing w:after="240"/>
        <w:ind w:left="1418"/>
        <w:contextualSpacing/>
        <w:rPr>
          <w:iCs/>
        </w:rPr>
      </w:pPr>
      <w:r w:rsidRPr="00CC121D">
        <w:rPr>
          <w:iCs/>
        </w:rPr>
        <w:t>Decommissioning</w:t>
      </w:r>
      <w:r>
        <w:rPr>
          <w:iCs/>
        </w:rPr>
        <w:t>,</w:t>
      </w:r>
    </w:p>
    <w:p w14:paraId="51F95328" w14:textId="77777777" w:rsidR="00C934CA" w:rsidRPr="00CC121D" w:rsidRDefault="00C934CA" w:rsidP="00C934CA">
      <w:pPr>
        <w:numPr>
          <w:ilvl w:val="2"/>
          <w:numId w:val="10"/>
        </w:numPr>
        <w:spacing w:after="240"/>
        <w:ind w:left="1418"/>
        <w:contextualSpacing/>
        <w:rPr>
          <w:iCs/>
        </w:rPr>
      </w:pPr>
      <w:r w:rsidRPr="00CC121D">
        <w:rPr>
          <w:iCs/>
        </w:rPr>
        <w:t>Demolition</w:t>
      </w:r>
      <w:r>
        <w:rPr>
          <w:iCs/>
        </w:rPr>
        <w:t>,</w:t>
      </w:r>
    </w:p>
    <w:p w14:paraId="64F818D8" w14:textId="77777777" w:rsidR="00C934CA" w:rsidRPr="00CC121D" w:rsidRDefault="00C934CA" w:rsidP="00C934CA">
      <w:pPr>
        <w:numPr>
          <w:ilvl w:val="2"/>
          <w:numId w:val="10"/>
        </w:numPr>
        <w:spacing w:after="240"/>
        <w:ind w:left="1418"/>
        <w:contextualSpacing/>
        <w:rPr>
          <w:iCs/>
        </w:rPr>
      </w:pPr>
      <w:r w:rsidRPr="00CC121D">
        <w:rPr>
          <w:iCs/>
        </w:rPr>
        <w:t>Site remediation</w:t>
      </w:r>
      <w:r>
        <w:rPr>
          <w:iCs/>
        </w:rPr>
        <w:t>,</w:t>
      </w:r>
    </w:p>
    <w:p w14:paraId="1CDE0537" w14:textId="77777777" w:rsidR="00C934CA" w:rsidRPr="00CC121D" w:rsidRDefault="00C934CA" w:rsidP="00C934CA">
      <w:pPr>
        <w:numPr>
          <w:ilvl w:val="2"/>
          <w:numId w:val="10"/>
        </w:numPr>
        <w:spacing w:after="240"/>
        <w:ind w:left="1418"/>
        <w:contextualSpacing/>
        <w:rPr>
          <w:iCs/>
        </w:rPr>
      </w:pPr>
      <w:r w:rsidRPr="00CC121D">
        <w:rPr>
          <w:iCs/>
        </w:rPr>
        <w:t>Delicencing</w:t>
      </w:r>
      <w:r>
        <w:rPr>
          <w:iCs/>
        </w:rPr>
        <w:t>.</w:t>
      </w:r>
    </w:p>
    <w:p w14:paraId="0C7AD44B" w14:textId="38676DD9" w:rsidR="00C934CA" w:rsidRPr="00CC121D" w:rsidRDefault="00C934CA" w:rsidP="00C934CA">
      <w:pPr>
        <w:pStyle w:val="TSNumberedParagraph1"/>
        <w:rPr>
          <w:iCs/>
        </w:rPr>
      </w:pPr>
      <w:r w:rsidRPr="00CC121D">
        <w:rPr>
          <w:iCs/>
        </w:rPr>
        <w:t xml:space="preserve">The Inspector </w:t>
      </w:r>
      <w:r>
        <w:rPr>
          <w:iCs/>
        </w:rPr>
        <w:t>may wish to</w:t>
      </w:r>
      <w:r w:rsidRPr="00CC121D">
        <w:rPr>
          <w:iCs/>
        </w:rPr>
        <w:t xml:space="preserve"> </w:t>
      </w:r>
      <w:r w:rsidR="007C4E48">
        <w:rPr>
          <w:iCs/>
        </w:rPr>
        <w:t>seek assurance</w:t>
      </w:r>
      <w:r>
        <w:rPr>
          <w:iCs/>
        </w:rPr>
        <w:t xml:space="preserve"> that</w:t>
      </w:r>
      <w:r w:rsidRPr="00CC121D">
        <w:rPr>
          <w:iCs/>
        </w:rPr>
        <w:t xml:space="preserve"> provision for decommissioning and dismantling of the nuclear </w:t>
      </w:r>
      <w:r w:rsidR="00682772">
        <w:rPr>
          <w:iCs/>
        </w:rPr>
        <w:t>facility</w:t>
      </w:r>
      <w:r w:rsidR="00682772" w:rsidRPr="00CC121D">
        <w:rPr>
          <w:iCs/>
        </w:rPr>
        <w:t xml:space="preserve"> </w:t>
      </w:r>
      <w:r w:rsidRPr="00CC121D">
        <w:rPr>
          <w:iCs/>
        </w:rPr>
        <w:t xml:space="preserve">is </w:t>
      </w:r>
      <w:r w:rsidR="00682772">
        <w:rPr>
          <w:iCs/>
        </w:rPr>
        <w:t xml:space="preserve">adequately </w:t>
      </w:r>
      <w:r w:rsidRPr="00CC121D">
        <w:rPr>
          <w:iCs/>
        </w:rPr>
        <w:t>addressed at concept design through to construction by the civil eng</w:t>
      </w:r>
      <w:r>
        <w:rPr>
          <w:iCs/>
        </w:rPr>
        <w:t>ineering Design Authority (DA)</w:t>
      </w:r>
      <w:r w:rsidR="00682772">
        <w:rPr>
          <w:iCs/>
        </w:rPr>
        <w:t xml:space="preserve"> and Intelligent Customer as appropriate</w:t>
      </w:r>
      <w:r>
        <w:rPr>
          <w:iCs/>
        </w:rPr>
        <w:t>.</w:t>
      </w:r>
    </w:p>
    <w:p w14:paraId="5F2EF565" w14:textId="5ED5E94B" w:rsidR="00C934CA" w:rsidRPr="00CC121D" w:rsidRDefault="00C934CA" w:rsidP="00C934CA">
      <w:pPr>
        <w:pStyle w:val="TSNumberedParagraph1"/>
        <w:rPr>
          <w:iCs/>
        </w:rPr>
      </w:pPr>
      <w:r w:rsidRPr="00CC121D">
        <w:rPr>
          <w:iCs/>
        </w:rPr>
        <w:t xml:space="preserve">During site operation, the Inspector </w:t>
      </w:r>
      <w:r>
        <w:rPr>
          <w:iCs/>
        </w:rPr>
        <w:t>may wish to</w:t>
      </w:r>
      <w:r w:rsidRPr="00CC121D">
        <w:rPr>
          <w:iCs/>
        </w:rPr>
        <w:t xml:space="preserve"> </w:t>
      </w:r>
      <w:r w:rsidR="007C4E48">
        <w:rPr>
          <w:iCs/>
        </w:rPr>
        <w:t>seek assurance</w:t>
      </w:r>
      <w:r>
        <w:rPr>
          <w:iCs/>
        </w:rPr>
        <w:t xml:space="preserve"> that</w:t>
      </w:r>
      <w:r w:rsidRPr="00CC121D">
        <w:rPr>
          <w:iCs/>
        </w:rPr>
        <w:t xml:space="preserve"> provision for decommissioning is continually refined, </w:t>
      </w:r>
      <w:r w:rsidR="00AC4C32">
        <w:rPr>
          <w:iCs/>
        </w:rPr>
        <w:t xml:space="preserve">which can be </w:t>
      </w:r>
      <w:r w:rsidR="00F6020F">
        <w:rPr>
          <w:iCs/>
        </w:rPr>
        <w:t xml:space="preserve">significant </w:t>
      </w:r>
      <w:r w:rsidRPr="00CC121D">
        <w:rPr>
          <w:iCs/>
        </w:rPr>
        <w:t>after any chang</w:t>
      </w:r>
      <w:r>
        <w:rPr>
          <w:iCs/>
        </w:rPr>
        <w:t>e in use of a civil structure.</w:t>
      </w:r>
    </w:p>
    <w:p w14:paraId="27890DB7" w14:textId="77777777" w:rsidR="00C934CA" w:rsidRPr="00CC121D" w:rsidRDefault="00C934CA" w:rsidP="00C934CA">
      <w:pPr>
        <w:pStyle w:val="TSNumberedParagraph1"/>
        <w:rPr>
          <w:iCs/>
        </w:rPr>
      </w:pPr>
      <w:r w:rsidRPr="00CC121D">
        <w:rPr>
          <w:iCs/>
        </w:rPr>
        <w:t>The relevant SAPs when assessing post operation site phases are:</w:t>
      </w:r>
    </w:p>
    <w:p w14:paraId="5A56DF8F" w14:textId="4DCFF99C" w:rsidR="0092713E" w:rsidRPr="0092713E" w:rsidRDefault="0092713E" w:rsidP="0092713E">
      <w:pPr>
        <w:numPr>
          <w:ilvl w:val="2"/>
          <w:numId w:val="10"/>
        </w:numPr>
        <w:spacing w:after="240"/>
        <w:ind w:left="1418"/>
        <w:contextualSpacing/>
        <w:rPr>
          <w:iCs/>
        </w:rPr>
      </w:pPr>
      <w:r w:rsidRPr="0092713E">
        <w:rPr>
          <w:iCs/>
        </w:rPr>
        <w:t>ECE.6 and EHA.18 states the expectation for loadings to be appropriately considered e.g. for the intended use of structures, or extension of operations</w:t>
      </w:r>
      <w:r w:rsidR="00385915">
        <w:rPr>
          <w:iCs/>
        </w:rPr>
        <w:t>,</w:t>
      </w:r>
    </w:p>
    <w:p w14:paraId="51CB5727" w14:textId="77777777" w:rsidR="0092713E" w:rsidRPr="0092713E" w:rsidRDefault="0092713E" w:rsidP="0092713E">
      <w:pPr>
        <w:numPr>
          <w:ilvl w:val="2"/>
          <w:numId w:val="10"/>
        </w:numPr>
        <w:spacing w:after="240"/>
        <w:ind w:left="1418"/>
        <w:contextualSpacing/>
        <w:rPr>
          <w:iCs/>
        </w:rPr>
      </w:pPr>
      <w:r w:rsidRPr="0092713E">
        <w:rPr>
          <w:iCs/>
        </w:rPr>
        <w:t>ECE.9 and EHA.12 consider the flooding hazard e.g. climate change predictions for long term e.g. for the longer durations of the Care and Maintenance phase,</w:t>
      </w:r>
    </w:p>
    <w:p w14:paraId="00DB43B8" w14:textId="3EA7BA73" w:rsidR="0092713E" w:rsidRPr="0092713E" w:rsidRDefault="0092713E" w:rsidP="0092713E">
      <w:pPr>
        <w:numPr>
          <w:ilvl w:val="2"/>
          <w:numId w:val="10"/>
        </w:numPr>
        <w:spacing w:after="240"/>
        <w:ind w:left="1418"/>
        <w:contextualSpacing/>
        <w:rPr>
          <w:iCs/>
        </w:rPr>
      </w:pPr>
      <w:r w:rsidRPr="0092713E">
        <w:rPr>
          <w:iCs/>
        </w:rPr>
        <w:t>ECE.17, EMT.6</w:t>
      </w:r>
      <w:r w:rsidRPr="0092713E">
        <w:t xml:space="preserve"> and ECE.20 establishes the expectation that provision should be made for </w:t>
      </w:r>
      <w:r w:rsidRPr="0092713E">
        <w:rPr>
          <w:iCs/>
        </w:rPr>
        <w:t>maintenance for the anticipated lifetime of the structure and considered during changes</w:t>
      </w:r>
      <w:r w:rsidR="00385915">
        <w:rPr>
          <w:iCs/>
        </w:rPr>
        <w:t>,</w:t>
      </w:r>
    </w:p>
    <w:p w14:paraId="76C1A76F" w14:textId="39F675C4" w:rsidR="0092713E" w:rsidRPr="0092713E" w:rsidRDefault="0092713E" w:rsidP="0092713E">
      <w:pPr>
        <w:numPr>
          <w:ilvl w:val="2"/>
          <w:numId w:val="10"/>
        </w:numPr>
        <w:spacing w:after="240"/>
        <w:ind w:left="1418"/>
        <w:contextualSpacing/>
        <w:rPr>
          <w:iCs/>
        </w:rPr>
      </w:pPr>
      <w:r w:rsidRPr="0092713E">
        <w:rPr>
          <w:iCs/>
        </w:rPr>
        <w:t>ECE.26 and DC.1 state the design should facilitate decommissioning and dismantling</w:t>
      </w:r>
      <w:r w:rsidR="00385915">
        <w:rPr>
          <w:iCs/>
        </w:rPr>
        <w:t>,</w:t>
      </w:r>
    </w:p>
    <w:p w14:paraId="7E413300" w14:textId="3F10BEC3" w:rsidR="0092713E" w:rsidRPr="0092713E" w:rsidRDefault="0092713E" w:rsidP="0092713E">
      <w:pPr>
        <w:numPr>
          <w:ilvl w:val="2"/>
          <w:numId w:val="10"/>
        </w:numPr>
        <w:spacing w:after="240"/>
        <w:ind w:left="1418"/>
        <w:contextualSpacing/>
        <w:rPr>
          <w:iCs/>
        </w:rPr>
      </w:pPr>
      <w:r w:rsidRPr="0092713E">
        <w:rPr>
          <w:iCs/>
        </w:rPr>
        <w:t>ECS.1 refers to adequate categorisation and classification of SSCs and how this can change during decommissioning</w:t>
      </w:r>
      <w:r w:rsidR="00385915">
        <w:rPr>
          <w:iCs/>
        </w:rPr>
        <w:t>,</w:t>
      </w:r>
    </w:p>
    <w:p w14:paraId="264E7F1D" w14:textId="00732186" w:rsidR="0092713E" w:rsidRPr="0092713E" w:rsidRDefault="0092713E" w:rsidP="0092713E">
      <w:pPr>
        <w:numPr>
          <w:ilvl w:val="2"/>
          <w:numId w:val="10"/>
        </w:numPr>
        <w:spacing w:after="240"/>
        <w:ind w:left="1418"/>
        <w:contextualSpacing/>
        <w:rPr>
          <w:iCs/>
        </w:rPr>
      </w:pPr>
      <w:r w:rsidRPr="0092713E">
        <w:rPr>
          <w:iCs/>
        </w:rPr>
        <w:t>EHA.7 states the expectations of consideration of cliff edge effects</w:t>
      </w:r>
      <w:r w:rsidR="00385915">
        <w:rPr>
          <w:iCs/>
        </w:rPr>
        <w:t>,</w:t>
      </w:r>
    </w:p>
    <w:p w14:paraId="2C6F359B" w14:textId="5BD9CD9F" w:rsidR="0092713E" w:rsidRPr="0092713E" w:rsidRDefault="0092713E" w:rsidP="0092713E">
      <w:pPr>
        <w:numPr>
          <w:ilvl w:val="2"/>
          <w:numId w:val="10"/>
        </w:numPr>
        <w:spacing w:after="240"/>
        <w:ind w:left="1418"/>
        <w:contextualSpacing/>
        <w:rPr>
          <w:iCs/>
        </w:rPr>
      </w:pPr>
      <w:r w:rsidRPr="0092713E">
        <w:rPr>
          <w:iCs/>
        </w:rPr>
        <w:t>DC.3 states an expectation that if you can’t operate a site safely then the unsafe part of the site should be decommissioned</w:t>
      </w:r>
      <w:r w:rsidR="00385915">
        <w:rPr>
          <w:iCs/>
        </w:rPr>
        <w:t>,</w:t>
      </w:r>
    </w:p>
    <w:p w14:paraId="41684C62" w14:textId="484BAA64" w:rsidR="0092713E" w:rsidRPr="0092713E" w:rsidRDefault="0092713E" w:rsidP="0092713E">
      <w:pPr>
        <w:numPr>
          <w:ilvl w:val="2"/>
          <w:numId w:val="10"/>
        </w:numPr>
        <w:spacing w:after="240"/>
        <w:ind w:left="1418"/>
        <w:contextualSpacing/>
        <w:rPr>
          <w:iCs/>
        </w:rPr>
      </w:pPr>
      <w:r w:rsidRPr="0092713E">
        <w:rPr>
          <w:iCs/>
        </w:rPr>
        <w:t>DC.4 outlines the content of a Decommissioning Plan</w:t>
      </w:r>
      <w:r w:rsidR="00385915">
        <w:rPr>
          <w:iCs/>
        </w:rPr>
        <w:t>,</w:t>
      </w:r>
    </w:p>
    <w:p w14:paraId="5947139B" w14:textId="19D48883" w:rsidR="0092713E" w:rsidRPr="0092713E" w:rsidRDefault="0092713E" w:rsidP="0092713E">
      <w:pPr>
        <w:numPr>
          <w:ilvl w:val="2"/>
          <w:numId w:val="10"/>
        </w:numPr>
        <w:spacing w:after="240"/>
        <w:ind w:left="1418"/>
        <w:contextualSpacing/>
        <w:rPr>
          <w:iCs/>
        </w:rPr>
      </w:pPr>
      <w:r w:rsidRPr="0092713E">
        <w:rPr>
          <w:iCs/>
        </w:rPr>
        <w:t>DC.5 and RL.2 states the expectation for there to be updates to decommissioning strategies and plans, to include identification and remediation of any contaminated land, to ensure the site is passively safe before entering the care and maintenance phase</w:t>
      </w:r>
      <w:r w:rsidR="00385915">
        <w:rPr>
          <w:iCs/>
        </w:rPr>
        <w:t>,</w:t>
      </w:r>
    </w:p>
    <w:p w14:paraId="16C81081" w14:textId="0985B653" w:rsidR="0092713E" w:rsidRPr="0092713E" w:rsidRDefault="0092713E" w:rsidP="0092713E">
      <w:pPr>
        <w:numPr>
          <w:ilvl w:val="2"/>
          <w:numId w:val="10"/>
        </w:numPr>
        <w:spacing w:after="240"/>
        <w:ind w:left="1418"/>
        <w:contextualSpacing/>
        <w:rPr>
          <w:iCs/>
        </w:rPr>
      </w:pPr>
      <w:r w:rsidRPr="0092713E">
        <w:rPr>
          <w:iCs/>
        </w:rPr>
        <w:t>DC.6 requires adequate arrangements to be implemented for the acquisition, retention and storage of relevant information and records</w:t>
      </w:r>
      <w:r w:rsidR="00385915">
        <w:rPr>
          <w:iCs/>
        </w:rPr>
        <w:t>,</w:t>
      </w:r>
    </w:p>
    <w:p w14:paraId="142DED9F" w14:textId="77777777" w:rsidR="0092713E" w:rsidRPr="0092713E" w:rsidRDefault="0092713E" w:rsidP="0092713E">
      <w:pPr>
        <w:numPr>
          <w:ilvl w:val="2"/>
          <w:numId w:val="10"/>
        </w:numPr>
        <w:spacing w:after="240"/>
        <w:ind w:left="1418"/>
        <w:contextualSpacing/>
        <w:rPr>
          <w:iCs/>
        </w:rPr>
      </w:pPr>
      <w:r w:rsidRPr="0092713E">
        <w:rPr>
          <w:iCs/>
        </w:rPr>
        <w:t>DC.9 sets out the expectations for an adequate decommissioning safety case</w:t>
      </w:r>
    </w:p>
    <w:p w14:paraId="4101AE8D" w14:textId="69B0527C" w:rsidR="0092713E" w:rsidRPr="0092713E" w:rsidRDefault="0092713E" w:rsidP="0092713E">
      <w:pPr>
        <w:numPr>
          <w:ilvl w:val="2"/>
          <w:numId w:val="10"/>
        </w:numPr>
        <w:spacing w:after="240"/>
        <w:ind w:left="1418"/>
        <w:contextualSpacing/>
        <w:rPr>
          <w:iCs/>
        </w:rPr>
      </w:pPr>
      <w:r w:rsidRPr="0092713E">
        <w:rPr>
          <w:iCs/>
        </w:rPr>
        <w:t>EAD.2 states the expectations that there are adequate margins for the whole life of the facility</w:t>
      </w:r>
      <w:r w:rsidR="00385915">
        <w:rPr>
          <w:iCs/>
        </w:rPr>
        <w:t>,</w:t>
      </w:r>
    </w:p>
    <w:p w14:paraId="78921D21" w14:textId="79AE02AE" w:rsidR="0092713E" w:rsidRPr="0092713E" w:rsidRDefault="0092713E" w:rsidP="0092713E">
      <w:pPr>
        <w:numPr>
          <w:ilvl w:val="2"/>
          <w:numId w:val="10"/>
        </w:numPr>
        <w:spacing w:after="240"/>
        <w:ind w:left="1418"/>
        <w:contextualSpacing/>
        <w:rPr>
          <w:iCs/>
        </w:rPr>
      </w:pPr>
      <w:r w:rsidRPr="0092713E">
        <w:rPr>
          <w:iCs/>
        </w:rPr>
        <w:t>EMC.11 failure models should be gradual and predictable</w:t>
      </w:r>
      <w:r w:rsidR="00385915">
        <w:rPr>
          <w:iCs/>
        </w:rPr>
        <w:t>,</w:t>
      </w:r>
    </w:p>
    <w:p w14:paraId="187466E3" w14:textId="23A9C95F" w:rsidR="0092713E" w:rsidRPr="0092713E" w:rsidRDefault="0092713E" w:rsidP="0092713E">
      <w:pPr>
        <w:numPr>
          <w:ilvl w:val="2"/>
          <w:numId w:val="10"/>
        </w:numPr>
        <w:spacing w:after="240"/>
        <w:ind w:left="1418"/>
        <w:contextualSpacing/>
        <w:rPr>
          <w:iCs/>
        </w:rPr>
      </w:pPr>
      <w:r w:rsidRPr="0092713E">
        <w:rPr>
          <w:iCs/>
        </w:rPr>
        <w:t>ENM.4 relates to ‘corporate memory’ and relates to record keeping</w:t>
      </w:r>
      <w:r w:rsidR="00385915">
        <w:rPr>
          <w:iCs/>
        </w:rPr>
        <w:t>,</w:t>
      </w:r>
    </w:p>
    <w:p w14:paraId="449BDB85" w14:textId="439EF43D" w:rsidR="0092713E" w:rsidRPr="0092713E" w:rsidRDefault="0092713E" w:rsidP="0092713E">
      <w:pPr>
        <w:numPr>
          <w:ilvl w:val="2"/>
          <w:numId w:val="10"/>
        </w:numPr>
        <w:spacing w:after="240"/>
        <w:ind w:left="1418"/>
        <w:contextualSpacing/>
        <w:rPr>
          <w:iCs/>
        </w:rPr>
      </w:pPr>
      <w:r w:rsidRPr="0092713E">
        <w:rPr>
          <w:iCs/>
        </w:rPr>
        <w:t>MS.2, EHF.8, DC.7 and DC.8 explain the expectations that the organisation will consider retention of information during handover between lifecycle phases with sufficient SQEP resource to undertake activities</w:t>
      </w:r>
      <w:r w:rsidR="00385915">
        <w:rPr>
          <w:iCs/>
        </w:rPr>
        <w:t>,</w:t>
      </w:r>
    </w:p>
    <w:p w14:paraId="2A415AFA" w14:textId="77777777" w:rsidR="0092713E" w:rsidRPr="0092713E" w:rsidRDefault="0092713E" w:rsidP="0092713E">
      <w:pPr>
        <w:numPr>
          <w:ilvl w:val="2"/>
          <w:numId w:val="10"/>
        </w:numPr>
        <w:spacing w:after="240"/>
        <w:ind w:left="1418"/>
        <w:contextualSpacing/>
        <w:rPr>
          <w:iCs/>
        </w:rPr>
      </w:pPr>
      <w:r w:rsidRPr="0092713E">
        <w:rPr>
          <w:iCs/>
        </w:rPr>
        <w:t>RL.1, RL.2, RL.4, RL.6 and RL.8 state the expectations around radioactively contaminated land management where civil engineering input may be required.</w:t>
      </w:r>
    </w:p>
    <w:p w14:paraId="284C049C" w14:textId="440CA0E0" w:rsidR="0092713E" w:rsidRPr="0092713E" w:rsidRDefault="0092713E" w:rsidP="0092713E">
      <w:pPr>
        <w:numPr>
          <w:ilvl w:val="2"/>
          <w:numId w:val="10"/>
        </w:numPr>
        <w:spacing w:after="240"/>
        <w:ind w:left="1418"/>
        <w:contextualSpacing/>
        <w:rPr>
          <w:iCs/>
        </w:rPr>
      </w:pPr>
      <w:r w:rsidRPr="0092713E">
        <w:rPr>
          <w:iCs/>
        </w:rPr>
        <w:t>RW.6 states the expectation that hazards will be removed systematically and progressively to achieve passive safety</w:t>
      </w:r>
      <w:r w:rsidR="00385915">
        <w:rPr>
          <w:iCs/>
        </w:rPr>
        <w:t>,</w:t>
      </w:r>
    </w:p>
    <w:p w14:paraId="07599BB5" w14:textId="33848D9D" w:rsidR="0092713E" w:rsidRPr="0092713E" w:rsidRDefault="0092713E" w:rsidP="0092713E">
      <w:pPr>
        <w:numPr>
          <w:ilvl w:val="2"/>
          <w:numId w:val="10"/>
        </w:numPr>
        <w:spacing w:after="240"/>
        <w:ind w:left="1418"/>
        <w:contextualSpacing/>
        <w:rPr>
          <w:iCs/>
        </w:rPr>
      </w:pPr>
      <w:r w:rsidRPr="0092713E">
        <w:rPr>
          <w:iCs/>
        </w:rPr>
        <w:t>SC.1 refers to decisions made regarding assessment and categorisation (SC.1) of decommissioning activities and the impact on safety</w:t>
      </w:r>
      <w:r w:rsidR="00385915">
        <w:rPr>
          <w:iCs/>
        </w:rPr>
        <w:t>,</w:t>
      </w:r>
    </w:p>
    <w:p w14:paraId="13B729BA" w14:textId="70C433A4" w:rsidR="0092713E" w:rsidRPr="0092713E" w:rsidRDefault="0092713E" w:rsidP="0092713E">
      <w:pPr>
        <w:numPr>
          <w:ilvl w:val="2"/>
          <w:numId w:val="10"/>
        </w:numPr>
        <w:spacing w:after="240"/>
        <w:ind w:left="1418"/>
        <w:contextualSpacing/>
        <w:rPr>
          <w:iCs/>
        </w:rPr>
      </w:pPr>
      <w:r w:rsidRPr="0092713E">
        <w:rPr>
          <w:iCs/>
        </w:rPr>
        <w:t xml:space="preserve">SC.8 states the expectation that the </w:t>
      </w:r>
      <w:proofErr w:type="spellStart"/>
      <w:r w:rsidRPr="0092713E">
        <w:rPr>
          <w:iCs/>
        </w:rPr>
        <w:t>dutyholder</w:t>
      </w:r>
      <w:proofErr w:type="spellEnd"/>
      <w:r w:rsidRPr="0092713E">
        <w:rPr>
          <w:iCs/>
        </w:rPr>
        <w:t xml:space="preserve"> maintains responsibility for safety</w:t>
      </w:r>
      <w:r w:rsidR="00121C93">
        <w:rPr>
          <w:iCs/>
        </w:rPr>
        <w:t>.</w:t>
      </w:r>
    </w:p>
    <w:p w14:paraId="6A49DF11" w14:textId="77777777" w:rsidR="00C934CA" w:rsidRPr="00CC121D" w:rsidRDefault="00C934CA" w:rsidP="00C934CA">
      <w:pPr>
        <w:pStyle w:val="TSNumberedParagraph1"/>
        <w:rPr>
          <w:iCs/>
        </w:rPr>
      </w:pPr>
      <w:r w:rsidRPr="00CC121D">
        <w:rPr>
          <w:iCs/>
        </w:rPr>
        <w:t>The key civil engineering principles for assessment of decommissioning and demolition activities are presented in:</w:t>
      </w:r>
    </w:p>
    <w:p w14:paraId="2EFF7561" w14:textId="7767E078" w:rsidR="00C934CA" w:rsidRPr="00CC121D" w:rsidRDefault="00C934CA" w:rsidP="00C934CA">
      <w:pPr>
        <w:numPr>
          <w:ilvl w:val="2"/>
          <w:numId w:val="10"/>
        </w:numPr>
        <w:spacing w:after="240"/>
        <w:ind w:left="1418"/>
        <w:contextualSpacing/>
        <w:rPr>
          <w:iCs/>
        </w:rPr>
      </w:pPr>
      <w:r w:rsidRPr="00CC121D">
        <w:rPr>
          <w:iCs/>
        </w:rPr>
        <w:t xml:space="preserve">TAG 17 Annex 6, </w:t>
      </w:r>
      <w:r w:rsidR="00CD12CB">
        <w:rPr>
          <w:iCs/>
        </w:rPr>
        <w:t>‘</w:t>
      </w:r>
      <w:r w:rsidRPr="00CC121D">
        <w:rPr>
          <w:iCs/>
        </w:rPr>
        <w:t>Civil</w:t>
      </w:r>
      <w:r>
        <w:rPr>
          <w:iCs/>
        </w:rPr>
        <w:t xml:space="preserve"> Engineering – post operations</w:t>
      </w:r>
      <w:r w:rsidR="00CD12CB">
        <w:rPr>
          <w:iCs/>
        </w:rPr>
        <w:t>’,</w:t>
      </w:r>
    </w:p>
    <w:p w14:paraId="1946DACA" w14:textId="252DA872" w:rsidR="00C934CA" w:rsidRPr="00CC121D" w:rsidRDefault="00C934CA" w:rsidP="00C934CA">
      <w:pPr>
        <w:numPr>
          <w:ilvl w:val="2"/>
          <w:numId w:val="10"/>
        </w:numPr>
        <w:spacing w:after="240"/>
        <w:ind w:left="1418"/>
        <w:contextualSpacing/>
        <w:rPr>
          <w:iCs/>
        </w:rPr>
      </w:pPr>
      <w:r w:rsidRPr="00CC121D">
        <w:rPr>
          <w:iCs/>
        </w:rPr>
        <w:t xml:space="preserve">TAG 17 Annex 5, </w:t>
      </w:r>
      <w:r w:rsidR="00CD12CB">
        <w:t>‘</w:t>
      </w:r>
      <w:r w:rsidR="00CD12CB" w:rsidRPr="000F2702">
        <w:t xml:space="preserve">Civil Engineering – </w:t>
      </w:r>
      <w:r w:rsidR="00CD12CB">
        <w:t>Ageing Management and Damaged Structures’</w:t>
      </w:r>
      <w:r>
        <w:rPr>
          <w:iCs/>
        </w:rPr>
        <w:t>,</w:t>
      </w:r>
    </w:p>
    <w:p w14:paraId="4E4434F9" w14:textId="6EC92584" w:rsidR="00C934CA" w:rsidRPr="00CC121D" w:rsidRDefault="00C934CA" w:rsidP="00C934CA">
      <w:pPr>
        <w:numPr>
          <w:ilvl w:val="2"/>
          <w:numId w:val="10"/>
        </w:numPr>
        <w:spacing w:after="240"/>
        <w:ind w:left="1418"/>
        <w:contextualSpacing/>
        <w:rPr>
          <w:iCs/>
        </w:rPr>
      </w:pPr>
      <w:r w:rsidRPr="00CC121D">
        <w:rPr>
          <w:iCs/>
        </w:rPr>
        <w:t xml:space="preserve">‘Modification’ Section </w:t>
      </w:r>
      <w:r w:rsidR="00AC4C32">
        <w:rPr>
          <w:iCs/>
        </w:rPr>
        <w:t xml:space="preserve">5.9.5 </w:t>
      </w:r>
      <w:r>
        <w:rPr>
          <w:iCs/>
        </w:rPr>
        <w:t>of this</w:t>
      </w:r>
      <w:r w:rsidR="00AC4C32">
        <w:rPr>
          <w:iCs/>
        </w:rPr>
        <w:t xml:space="preserve"> document</w:t>
      </w:r>
      <w:r>
        <w:rPr>
          <w:iCs/>
        </w:rPr>
        <w:t>,</w:t>
      </w:r>
    </w:p>
    <w:p w14:paraId="29B11A23" w14:textId="26F5668B" w:rsidR="008D5399" w:rsidRDefault="00C934CA" w:rsidP="00C934CA">
      <w:pPr>
        <w:numPr>
          <w:ilvl w:val="2"/>
          <w:numId w:val="10"/>
        </w:numPr>
        <w:spacing w:after="240"/>
        <w:ind w:left="1418"/>
        <w:contextualSpacing/>
        <w:rPr>
          <w:iCs/>
        </w:rPr>
      </w:pPr>
      <w:r>
        <w:rPr>
          <w:iCs/>
        </w:rPr>
        <w:t xml:space="preserve">TAG 17 </w:t>
      </w:r>
      <w:r w:rsidRPr="00CC121D">
        <w:rPr>
          <w:iCs/>
        </w:rPr>
        <w:t xml:space="preserve">Annex </w:t>
      </w:r>
      <w:r>
        <w:rPr>
          <w:iCs/>
        </w:rPr>
        <w:t>2</w:t>
      </w:r>
      <w:r w:rsidRPr="00CC121D">
        <w:rPr>
          <w:iCs/>
        </w:rPr>
        <w:t xml:space="preserve"> </w:t>
      </w:r>
      <w:r w:rsidR="00CD12CB">
        <w:rPr>
          <w:iCs/>
        </w:rPr>
        <w:t>‘</w:t>
      </w:r>
      <w:r w:rsidRPr="00CC121D">
        <w:rPr>
          <w:iCs/>
        </w:rPr>
        <w:t>Civil Engineering – Building Information Modelling</w:t>
      </w:r>
      <w:r w:rsidR="00CD12CB">
        <w:rPr>
          <w:iCs/>
        </w:rPr>
        <w:t>’</w:t>
      </w:r>
      <w:r w:rsidRPr="00CC121D">
        <w:rPr>
          <w:iCs/>
        </w:rPr>
        <w:t xml:space="preserve"> for use of tools to inform decommissioning plans and strategies</w:t>
      </w:r>
      <w:r>
        <w:rPr>
          <w:iCs/>
        </w:rPr>
        <w:t>.</w:t>
      </w:r>
    </w:p>
    <w:p w14:paraId="16EF26BA" w14:textId="31FE1F34" w:rsidR="00C934CA" w:rsidRPr="00CC121D" w:rsidRDefault="00C934CA" w:rsidP="008D5399">
      <w:pPr>
        <w:rPr>
          <w:iCs/>
        </w:rPr>
      </w:pPr>
    </w:p>
    <w:p w14:paraId="0A4476DA" w14:textId="77777777" w:rsidR="00C934CA" w:rsidRPr="00CC121D" w:rsidRDefault="00C934CA" w:rsidP="00C934CA">
      <w:pPr>
        <w:pStyle w:val="TSNumberedParagraph1"/>
        <w:rPr>
          <w:iCs/>
        </w:rPr>
      </w:pPr>
      <w:r w:rsidRPr="00CC121D">
        <w:rPr>
          <w:iCs/>
        </w:rPr>
        <w:t>Further ONR expectations on assessment of Post Operation are provided in:</w:t>
      </w:r>
    </w:p>
    <w:p w14:paraId="7F903D44" w14:textId="4D279BD4" w:rsidR="00C934CA" w:rsidRPr="00CC121D" w:rsidRDefault="00407613" w:rsidP="00C934CA">
      <w:pPr>
        <w:numPr>
          <w:ilvl w:val="2"/>
          <w:numId w:val="10"/>
        </w:numPr>
        <w:spacing w:after="240"/>
        <w:ind w:left="1418"/>
        <w:contextualSpacing/>
      </w:pPr>
      <w:r>
        <w:rPr>
          <w:iCs/>
        </w:rPr>
        <w:t>ONR-</w:t>
      </w:r>
      <w:r w:rsidR="00C934CA" w:rsidRPr="00CC121D">
        <w:t>NS</w:t>
      </w:r>
      <w:r w:rsidR="00C934CA" w:rsidRPr="00CC121D">
        <w:rPr>
          <w:rFonts w:ascii="Cambria Math" w:hAnsi="Cambria Math" w:cs="Cambria Math"/>
        </w:rPr>
        <w:t>‐</w:t>
      </w:r>
      <w:r w:rsidR="00C934CA" w:rsidRPr="00CC121D">
        <w:t xml:space="preserve">TAST-GD-026 </w:t>
      </w:r>
      <w:r w:rsidR="00AC4C32">
        <w:t>’</w:t>
      </w:r>
      <w:r w:rsidR="00C934CA" w:rsidRPr="00CC121D">
        <w:t>Decommissioning</w:t>
      </w:r>
      <w:r w:rsidR="00AC4C32">
        <w:t>’</w:t>
      </w:r>
      <w:r w:rsidR="00C934CA">
        <w:t>,</w:t>
      </w:r>
    </w:p>
    <w:p w14:paraId="5B8B631F" w14:textId="0BECA0EE" w:rsidR="00C934CA" w:rsidRPr="00CC121D" w:rsidRDefault="00407613" w:rsidP="00C934CA">
      <w:pPr>
        <w:numPr>
          <w:ilvl w:val="2"/>
          <w:numId w:val="10"/>
        </w:numPr>
        <w:spacing w:after="240"/>
        <w:ind w:left="1418"/>
        <w:contextualSpacing/>
      </w:pPr>
      <w:r>
        <w:rPr>
          <w:iCs/>
        </w:rPr>
        <w:t>ONR-</w:t>
      </w:r>
      <w:r w:rsidR="00C934CA" w:rsidRPr="00CC121D">
        <w:t>NS-TAST-GD-098 ‘Asset Management’</w:t>
      </w:r>
      <w:r w:rsidR="00C934CA">
        <w:t>,</w:t>
      </w:r>
    </w:p>
    <w:p w14:paraId="0D667B33" w14:textId="207445D2" w:rsidR="00C934CA" w:rsidRPr="00CC121D" w:rsidRDefault="00407613" w:rsidP="00C934CA">
      <w:pPr>
        <w:numPr>
          <w:ilvl w:val="2"/>
          <w:numId w:val="10"/>
        </w:numPr>
        <w:spacing w:after="240"/>
        <w:ind w:left="1418"/>
        <w:contextualSpacing/>
      </w:pPr>
      <w:r>
        <w:rPr>
          <w:iCs/>
        </w:rPr>
        <w:t>ONR-</w:t>
      </w:r>
      <w:r w:rsidR="00C934CA" w:rsidRPr="00CC121D">
        <w:t>NS-TAST-GD-024 ‘Management of Radioactive Material and Radioactive Waste’</w:t>
      </w:r>
      <w:r w:rsidR="00C934CA">
        <w:t>,</w:t>
      </w:r>
    </w:p>
    <w:p w14:paraId="2F910C53" w14:textId="3CD5573C" w:rsidR="00C934CA" w:rsidRPr="00CC121D" w:rsidRDefault="00407613" w:rsidP="00C934CA">
      <w:pPr>
        <w:numPr>
          <w:ilvl w:val="2"/>
          <w:numId w:val="10"/>
        </w:numPr>
        <w:spacing w:after="240"/>
        <w:ind w:left="1418"/>
        <w:contextualSpacing/>
      </w:pPr>
      <w:r>
        <w:rPr>
          <w:iCs/>
        </w:rPr>
        <w:t>ONR-</w:t>
      </w:r>
      <w:r w:rsidR="00C934CA" w:rsidRPr="00CC121D">
        <w:t>NS-TAST-GD-079 ‘Licensee Design Authority Capability’</w:t>
      </w:r>
      <w:r w:rsidR="00C934CA">
        <w:t>,</w:t>
      </w:r>
    </w:p>
    <w:p w14:paraId="6A9299DA" w14:textId="619F3A71" w:rsidR="00C934CA" w:rsidRPr="00CC121D" w:rsidRDefault="00C934CA" w:rsidP="00C934CA">
      <w:pPr>
        <w:numPr>
          <w:ilvl w:val="2"/>
          <w:numId w:val="10"/>
        </w:numPr>
        <w:spacing w:after="240"/>
        <w:ind w:left="1418"/>
        <w:contextualSpacing/>
      </w:pPr>
      <w:r w:rsidRPr="00CC121D">
        <w:rPr>
          <w:iCs/>
        </w:rPr>
        <w:t xml:space="preserve">Where contractors are utilised, </w:t>
      </w:r>
      <w:r w:rsidR="00407613">
        <w:rPr>
          <w:iCs/>
        </w:rPr>
        <w:t>ONR-</w:t>
      </w:r>
      <w:r w:rsidRPr="00CC121D">
        <w:t>NS-TAST-GD-049 ‘Licensee Core Safety and Intelligent Customer Capabilities’</w:t>
      </w:r>
      <w:r>
        <w:t>,</w:t>
      </w:r>
    </w:p>
    <w:p w14:paraId="152527E6" w14:textId="11FB8B14" w:rsidR="00C934CA" w:rsidRPr="00CC121D" w:rsidRDefault="00407613" w:rsidP="00C934CA">
      <w:pPr>
        <w:numPr>
          <w:ilvl w:val="2"/>
          <w:numId w:val="10"/>
        </w:numPr>
        <w:spacing w:after="240"/>
        <w:ind w:left="1418"/>
        <w:contextualSpacing/>
        <w:rPr>
          <w:iCs/>
        </w:rPr>
      </w:pPr>
      <w:r>
        <w:rPr>
          <w:iCs/>
        </w:rPr>
        <w:t>ONR-</w:t>
      </w:r>
      <w:r w:rsidR="00C934CA" w:rsidRPr="00CC121D">
        <w:rPr>
          <w:iCs/>
        </w:rPr>
        <w:t>NS-INSP-GD-15 ‘LC15 – Periodic Reviews’</w:t>
      </w:r>
      <w:r w:rsidR="00C934CA">
        <w:rPr>
          <w:iCs/>
        </w:rPr>
        <w:t>,</w:t>
      </w:r>
    </w:p>
    <w:p w14:paraId="4D786504" w14:textId="7203FE2E" w:rsidR="00C934CA" w:rsidRPr="00CC121D" w:rsidRDefault="00407613" w:rsidP="00C934CA">
      <w:pPr>
        <w:numPr>
          <w:ilvl w:val="2"/>
          <w:numId w:val="10"/>
        </w:numPr>
        <w:spacing w:after="240"/>
        <w:ind w:left="1418"/>
        <w:contextualSpacing/>
        <w:rPr>
          <w:iCs/>
        </w:rPr>
      </w:pPr>
      <w:r>
        <w:rPr>
          <w:iCs/>
        </w:rPr>
        <w:t>ONR-</w:t>
      </w:r>
      <w:r w:rsidR="00C934CA" w:rsidRPr="00CC121D">
        <w:rPr>
          <w:iCs/>
        </w:rPr>
        <w:t>NS-INSP-GD-22 ‘LC22 – Modification or Experiment on Existing Plant</w:t>
      </w:r>
      <w:r w:rsidR="00C934CA">
        <w:rPr>
          <w:iCs/>
        </w:rPr>
        <w:t>,</w:t>
      </w:r>
    </w:p>
    <w:p w14:paraId="1EC828B7" w14:textId="60035C9A" w:rsidR="00C934CA" w:rsidRPr="00ED60B6" w:rsidRDefault="00407613" w:rsidP="00C934CA">
      <w:pPr>
        <w:numPr>
          <w:ilvl w:val="2"/>
          <w:numId w:val="10"/>
        </w:numPr>
        <w:spacing w:after="240"/>
        <w:ind w:left="1418"/>
        <w:contextualSpacing/>
        <w:rPr>
          <w:iCs/>
        </w:rPr>
      </w:pPr>
      <w:r>
        <w:rPr>
          <w:iCs/>
        </w:rPr>
        <w:t>ONR-</w:t>
      </w:r>
      <w:r w:rsidR="00C934CA" w:rsidRPr="00ED60B6">
        <w:rPr>
          <w:iCs/>
        </w:rPr>
        <w:t>NS-TAST-GD-033 ‘</w:t>
      </w:r>
      <w:proofErr w:type="spellStart"/>
      <w:r w:rsidR="00C934CA" w:rsidRPr="00ED60B6">
        <w:rPr>
          <w:iCs/>
        </w:rPr>
        <w:t>Dutyholder</w:t>
      </w:r>
      <w:proofErr w:type="spellEnd"/>
      <w:r w:rsidR="00C934CA" w:rsidRPr="00ED60B6">
        <w:rPr>
          <w:iCs/>
        </w:rPr>
        <w:t xml:space="preserve"> Management of Records’</w:t>
      </w:r>
      <w:r w:rsidR="008D5399">
        <w:rPr>
          <w:iCs/>
        </w:rPr>
        <w:t>,</w:t>
      </w:r>
    </w:p>
    <w:p w14:paraId="7FCEBB49" w14:textId="6E773FBB" w:rsidR="00C934CA" w:rsidRPr="00CC121D" w:rsidRDefault="00407613" w:rsidP="00C934CA">
      <w:pPr>
        <w:numPr>
          <w:ilvl w:val="2"/>
          <w:numId w:val="10"/>
        </w:numPr>
        <w:spacing w:after="240"/>
        <w:ind w:left="1418"/>
        <w:contextualSpacing/>
        <w:rPr>
          <w:iCs/>
        </w:rPr>
      </w:pPr>
      <w:r>
        <w:rPr>
          <w:iCs/>
        </w:rPr>
        <w:t>ONR-</w:t>
      </w:r>
      <w:r w:rsidR="00C934CA" w:rsidRPr="00CC121D">
        <w:rPr>
          <w:iCs/>
        </w:rPr>
        <w:t>NS-INSP-GD-35 ‘LC35 - Decommissioning’</w:t>
      </w:r>
      <w:r w:rsidR="00C934CA">
        <w:rPr>
          <w:iCs/>
        </w:rPr>
        <w:t>,</w:t>
      </w:r>
    </w:p>
    <w:p w14:paraId="18D2B285" w14:textId="05FAC649" w:rsidR="00C934CA" w:rsidRPr="00C934CA" w:rsidRDefault="00407613" w:rsidP="00C41AED">
      <w:pPr>
        <w:numPr>
          <w:ilvl w:val="2"/>
          <w:numId w:val="10"/>
        </w:numPr>
        <w:spacing w:after="240"/>
        <w:ind w:left="1418"/>
        <w:contextualSpacing/>
        <w:rPr>
          <w:iCs/>
        </w:rPr>
      </w:pPr>
      <w:r>
        <w:rPr>
          <w:iCs/>
        </w:rPr>
        <w:t>ONR-</w:t>
      </w:r>
      <w:r w:rsidR="00C934CA" w:rsidRPr="00CC121D">
        <w:rPr>
          <w:iCs/>
        </w:rPr>
        <w:t xml:space="preserve">NS-INSP-GD-051 ‘The Regulation of Conventional Health </w:t>
      </w:r>
      <w:r w:rsidR="00C934CA">
        <w:rPr>
          <w:iCs/>
        </w:rPr>
        <w:t>and Safety on UK Nuclear Sites’.</w:t>
      </w:r>
    </w:p>
    <w:p w14:paraId="47A08C6D" w14:textId="5B98957A" w:rsidR="00C934CA" w:rsidRPr="00C934CA" w:rsidRDefault="00C934CA" w:rsidP="00D07AFA">
      <w:pPr>
        <w:pStyle w:val="TSHeadingNumbered11"/>
        <w:rPr>
          <w:iCs/>
        </w:rPr>
      </w:pPr>
      <w:bookmarkStart w:id="78" w:name="_Toc57912708"/>
      <w:r>
        <w:rPr>
          <w:iCs/>
        </w:rPr>
        <w:t xml:space="preserve">Other Topics that are relevant across </w:t>
      </w:r>
      <w:r w:rsidR="008D5948">
        <w:rPr>
          <w:iCs/>
        </w:rPr>
        <w:t xml:space="preserve">all </w:t>
      </w:r>
      <w:r>
        <w:rPr>
          <w:iCs/>
        </w:rPr>
        <w:t>the site phases / Annexes</w:t>
      </w:r>
      <w:bookmarkEnd w:id="78"/>
    </w:p>
    <w:p w14:paraId="1539FC90" w14:textId="77777777" w:rsidR="00C934CA" w:rsidRPr="00CC121D" w:rsidRDefault="00C934CA" w:rsidP="00C934CA">
      <w:pPr>
        <w:pStyle w:val="TSHeadingNumbered111"/>
      </w:pPr>
      <w:r w:rsidRPr="00CC121D">
        <w:t>C</w:t>
      </w:r>
      <w:r>
        <w:t>onstruction (</w:t>
      </w:r>
      <w:r w:rsidRPr="00CC121D">
        <w:t>D</w:t>
      </w:r>
      <w:r>
        <w:t xml:space="preserve">esign and </w:t>
      </w:r>
      <w:r w:rsidRPr="00CC121D">
        <w:t>M</w:t>
      </w:r>
      <w:r>
        <w:t>anagement)</w:t>
      </w:r>
      <w:r w:rsidRPr="00CC121D">
        <w:t xml:space="preserve"> </w:t>
      </w:r>
      <w:r>
        <w:t xml:space="preserve">2015 (CDM2015) </w:t>
      </w:r>
      <w:r w:rsidRPr="00CC121D">
        <w:t>considerations</w:t>
      </w:r>
    </w:p>
    <w:p w14:paraId="6C9AD43C" w14:textId="50ABE042" w:rsidR="00C934CA" w:rsidRPr="00CC121D" w:rsidRDefault="00B65DFA" w:rsidP="00C934CA">
      <w:pPr>
        <w:pStyle w:val="TSNumberedParagraph1"/>
        <w:rPr>
          <w:iCs/>
        </w:rPr>
      </w:pPr>
      <w:r>
        <w:rPr>
          <w:iCs/>
        </w:rPr>
        <w:t xml:space="preserve">The Inspector should note </w:t>
      </w:r>
      <w:r w:rsidR="00C934CA">
        <w:rPr>
          <w:iCs/>
        </w:rPr>
        <w:t xml:space="preserve">that </w:t>
      </w:r>
      <w:r>
        <w:rPr>
          <w:iCs/>
        </w:rPr>
        <w:t xml:space="preserve">CDM2015 </w:t>
      </w:r>
      <w:r w:rsidR="00C934CA">
        <w:rPr>
          <w:iCs/>
        </w:rPr>
        <w:t>applies at any stage of a site life cycle, including modifications to existing structures, new builds on existing sites and construction applies to any type of modification or installation, not just new build on new or existing sites</w:t>
      </w:r>
      <w:r>
        <w:rPr>
          <w:iCs/>
        </w:rPr>
        <w:t>.</w:t>
      </w:r>
      <w:r w:rsidRPr="00B65DFA">
        <w:rPr>
          <w:iCs/>
        </w:rPr>
        <w:t xml:space="preserve"> </w:t>
      </w:r>
      <w:r w:rsidRPr="00CC121D">
        <w:rPr>
          <w:iCs/>
        </w:rPr>
        <w:t>ONR expectations and further guidance on assessment of CDM</w:t>
      </w:r>
      <w:r>
        <w:rPr>
          <w:iCs/>
        </w:rPr>
        <w:t>2015</w:t>
      </w:r>
      <w:r w:rsidRPr="00CC121D">
        <w:rPr>
          <w:iCs/>
        </w:rPr>
        <w:t xml:space="preserve"> considerations in design </w:t>
      </w:r>
      <w:r>
        <w:rPr>
          <w:iCs/>
        </w:rPr>
        <w:t xml:space="preserve">and construction, </w:t>
      </w:r>
      <w:r w:rsidRPr="00CC121D">
        <w:rPr>
          <w:iCs/>
        </w:rPr>
        <w:t>is available in</w:t>
      </w:r>
      <w:r>
        <w:rPr>
          <w:iCs/>
        </w:rPr>
        <w:t>,</w:t>
      </w:r>
    </w:p>
    <w:p w14:paraId="0ACCFD48" w14:textId="2A584D6D" w:rsidR="00C934CA" w:rsidRPr="00CC121D" w:rsidRDefault="00C934CA" w:rsidP="00C934CA">
      <w:pPr>
        <w:numPr>
          <w:ilvl w:val="2"/>
          <w:numId w:val="10"/>
        </w:numPr>
        <w:spacing w:after="240"/>
        <w:ind w:left="1418"/>
        <w:contextualSpacing/>
        <w:rPr>
          <w:iCs/>
        </w:rPr>
      </w:pPr>
      <w:r>
        <w:rPr>
          <w:iCs/>
        </w:rPr>
        <w:t xml:space="preserve">TAG 17 </w:t>
      </w:r>
      <w:r w:rsidRPr="00CC121D">
        <w:rPr>
          <w:iCs/>
        </w:rPr>
        <w:t>Annex 1</w:t>
      </w:r>
      <w:r w:rsidR="006946E5">
        <w:rPr>
          <w:iCs/>
        </w:rPr>
        <w:t>,</w:t>
      </w:r>
      <w:r w:rsidRPr="00CC121D">
        <w:rPr>
          <w:iCs/>
        </w:rPr>
        <w:t xml:space="preserve"> ‘Civil Engineering – Design</w:t>
      </w:r>
      <w:r w:rsidR="006946E5">
        <w:rPr>
          <w:iCs/>
        </w:rPr>
        <w:t>’</w:t>
      </w:r>
      <w:r>
        <w:rPr>
          <w:iCs/>
        </w:rPr>
        <w:t>,</w:t>
      </w:r>
    </w:p>
    <w:p w14:paraId="751D73D1" w14:textId="2CE4E21A" w:rsidR="00C934CA" w:rsidRDefault="00C934CA" w:rsidP="00C934CA">
      <w:pPr>
        <w:numPr>
          <w:ilvl w:val="2"/>
          <w:numId w:val="10"/>
        </w:numPr>
        <w:spacing w:after="240"/>
        <w:ind w:left="1418"/>
        <w:contextualSpacing/>
        <w:rPr>
          <w:iCs/>
        </w:rPr>
      </w:pPr>
      <w:r>
        <w:rPr>
          <w:iCs/>
        </w:rPr>
        <w:t xml:space="preserve">TAG 17 </w:t>
      </w:r>
      <w:r w:rsidRPr="00CC121D">
        <w:rPr>
          <w:iCs/>
        </w:rPr>
        <w:t>Annex 4</w:t>
      </w:r>
      <w:r w:rsidR="006946E5">
        <w:rPr>
          <w:iCs/>
        </w:rPr>
        <w:t>,</w:t>
      </w:r>
      <w:r w:rsidRPr="00CC121D">
        <w:rPr>
          <w:iCs/>
        </w:rPr>
        <w:t xml:space="preserve"> ‘Civil Engineering – Construction Assurance’</w:t>
      </w:r>
      <w:r>
        <w:rPr>
          <w:iCs/>
        </w:rPr>
        <w:t>.</w:t>
      </w:r>
    </w:p>
    <w:p w14:paraId="05F10FC4" w14:textId="4D5D7DF1" w:rsidR="00C934CA" w:rsidRPr="00CC121D" w:rsidRDefault="00C934CA" w:rsidP="00C934CA">
      <w:pPr>
        <w:pStyle w:val="TSNumberedParagraph1"/>
        <w:tabs>
          <w:tab w:val="clear" w:pos="-31680"/>
        </w:tabs>
        <w:rPr>
          <w:iCs/>
        </w:rPr>
      </w:pPr>
      <w:r w:rsidRPr="00CC121D">
        <w:rPr>
          <w:iCs/>
        </w:rPr>
        <w:t xml:space="preserve">Further ONR expectations on general assessment of </w:t>
      </w:r>
      <w:r w:rsidR="00B65DFA">
        <w:rPr>
          <w:iCs/>
        </w:rPr>
        <w:t xml:space="preserve">CDM2015 </w:t>
      </w:r>
      <w:r w:rsidRPr="00CC121D">
        <w:rPr>
          <w:iCs/>
        </w:rPr>
        <w:t>is available in:</w:t>
      </w:r>
    </w:p>
    <w:p w14:paraId="0BF688FB" w14:textId="0F719F01" w:rsidR="00C934CA" w:rsidRPr="00FC21C9" w:rsidRDefault="00B65DFA" w:rsidP="00C934CA">
      <w:pPr>
        <w:numPr>
          <w:ilvl w:val="2"/>
          <w:numId w:val="10"/>
        </w:numPr>
        <w:spacing w:after="240"/>
        <w:ind w:left="1418"/>
        <w:contextualSpacing/>
        <w:rPr>
          <w:iCs/>
        </w:rPr>
      </w:pPr>
      <w:bookmarkStart w:id="79" w:name="_Toc43723330"/>
      <w:r>
        <w:rPr>
          <w:iCs/>
        </w:rPr>
        <w:t>L153</w:t>
      </w:r>
      <w:r w:rsidR="00C934CA" w:rsidRPr="00CC121D">
        <w:rPr>
          <w:iCs/>
        </w:rPr>
        <w:t xml:space="preserve">. </w:t>
      </w:r>
      <w:r w:rsidR="00FC21C9" w:rsidRPr="00CC121D">
        <w:t>‘Managing health and safety in construction’</w:t>
      </w:r>
      <w:r w:rsidR="00FC21C9">
        <w:t xml:space="preserve"> [</w:t>
      </w:r>
      <w:r w:rsidR="0096102D">
        <w:t>8</w:t>
      </w:r>
      <w:r w:rsidR="00FC21C9">
        <w:t>]</w:t>
      </w:r>
      <w:r w:rsidR="00121C93">
        <w:t>,</w:t>
      </w:r>
    </w:p>
    <w:p w14:paraId="6BEC6DBD" w14:textId="3284C7F1" w:rsidR="005812D6" w:rsidRDefault="005812D6" w:rsidP="005812D6">
      <w:pPr>
        <w:numPr>
          <w:ilvl w:val="2"/>
          <w:numId w:val="10"/>
        </w:numPr>
        <w:spacing w:after="240"/>
        <w:ind w:left="1418"/>
        <w:contextualSpacing/>
      </w:pPr>
      <w:r w:rsidRPr="000F2702">
        <w:t>HSG150 Health and Safety in Construction</w:t>
      </w:r>
      <w:r>
        <w:t xml:space="preserve"> [1</w:t>
      </w:r>
      <w:r w:rsidR="00C659BD">
        <w:t>8</w:t>
      </w:r>
      <w:r>
        <w:t>]</w:t>
      </w:r>
      <w:r w:rsidR="00121C93">
        <w:t>,</w:t>
      </w:r>
    </w:p>
    <w:p w14:paraId="683AE844" w14:textId="6A5BEC44" w:rsidR="00121C93" w:rsidRDefault="005812D6" w:rsidP="005812D6">
      <w:pPr>
        <w:numPr>
          <w:ilvl w:val="2"/>
          <w:numId w:val="10"/>
        </w:numPr>
        <w:spacing w:after="240"/>
        <w:ind w:left="1418"/>
        <w:contextualSpacing/>
      </w:pPr>
      <w:r w:rsidRPr="000F2702">
        <w:t>INDG411 A quick guide for clients on CDM2015</w:t>
      </w:r>
      <w:r>
        <w:t xml:space="preserve"> [1</w:t>
      </w:r>
      <w:r w:rsidR="00C659BD">
        <w:t>9</w:t>
      </w:r>
      <w:r>
        <w:t>]</w:t>
      </w:r>
      <w:r w:rsidR="00121C93">
        <w:t>.</w:t>
      </w:r>
    </w:p>
    <w:p w14:paraId="56986E08" w14:textId="7469FBCE" w:rsidR="005812D6" w:rsidRDefault="00121C93" w:rsidP="00121C93">
      <w:r>
        <w:br w:type="page"/>
      </w:r>
    </w:p>
    <w:p w14:paraId="5730512D" w14:textId="77478A89" w:rsidR="00D07AFA" w:rsidRPr="00CC121D" w:rsidRDefault="00D07AFA" w:rsidP="005812D6">
      <w:pPr>
        <w:pStyle w:val="TSHeadingNumbered111"/>
        <w:rPr>
          <w:caps/>
        </w:rPr>
      </w:pPr>
      <w:bookmarkStart w:id="80" w:name="_Toc43723336"/>
      <w:bookmarkEnd w:id="75"/>
      <w:bookmarkEnd w:id="79"/>
      <w:r w:rsidRPr="00CC121D">
        <w:rPr>
          <w:iCs/>
        </w:rPr>
        <w:t>Conventional</w:t>
      </w:r>
      <w:r w:rsidRPr="00CC121D">
        <w:t xml:space="preserve"> Health and Safety on sites</w:t>
      </w:r>
      <w:bookmarkEnd w:id="80"/>
    </w:p>
    <w:p w14:paraId="4B0D1600" w14:textId="77777777" w:rsidR="00C875E4" w:rsidRDefault="00D07AFA" w:rsidP="00C875E4">
      <w:pPr>
        <w:pStyle w:val="TSNumberedParagraph1"/>
        <w:rPr>
          <w:iCs/>
        </w:rPr>
      </w:pPr>
      <w:r w:rsidRPr="00CC121D">
        <w:rPr>
          <w:iCs/>
        </w:rPr>
        <w:t xml:space="preserve">On a site visit for civil engineering assessment, the Inspector is likely to visit areas where </w:t>
      </w:r>
      <w:r w:rsidR="00313BBA">
        <w:rPr>
          <w:iCs/>
        </w:rPr>
        <w:t>management arrangements fall under HSWA [</w:t>
      </w:r>
      <w:r w:rsidR="00C659BD">
        <w:rPr>
          <w:iCs/>
        </w:rPr>
        <w:t>1</w:t>
      </w:r>
      <w:r w:rsidR="0096102D">
        <w:rPr>
          <w:iCs/>
        </w:rPr>
        <w:t>2</w:t>
      </w:r>
      <w:r w:rsidR="00313BBA">
        <w:rPr>
          <w:iCs/>
        </w:rPr>
        <w:t>]</w:t>
      </w:r>
      <w:r w:rsidRPr="00CC121D">
        <w:rPr>
          <w:iCs/>
        </w:rPr>
        <w:t xml:space="preserve">. </w:t>
      </w:r>
    </w:p>
    <w:p w14:paraId="5730512E" w14:textId="0CB71DBD" w:rsidR="00D07AFA" w:rsidRPr="00CC121D" w:rsidRDefault="00D07AFA" w:rsidP="00D07AFA">
      <w:pPr>
        <w:pStyle w:val="TSNumberedParagraph1"/>
        <w:rPr>
          <w:iCs/>
        </w:rPr>
      </w:pPr>
      <w:r w:rsidRPr="00CC121D">
        <w:rPr>
          <w:iCs/>
        </w:rPr>
        <w:t xml:space="preserve">The regulation of conventional health </w:t>
      </w:r>
      <w:r w:rsidR="00E16C61">
        <w:rPr>
          <w:iCs/>
        </w:rPr>
        <w:t xml:space="preserve">and </w:t>
      </w:r>
      <w:r w:rsidRPr="00CC121D">
        <w:rPr>
          <w:iCs/>
        </w:rPr>
        <w:t xml:space="preserve">safety matters and applicable legislation </w:t>
      </w:r>
      <w:r w:rsidR="00CF4107">
        <w:rPr>
          <w:iCs/>
        </w:rPr>
        <w:t>during construction</w:t>
      </w:r>
      <w:r w:rsidRPr="00CC121D">
        <w:rPr>
          <w:iCs/>
        </w:rPr>
        <w:t xml:space="preserve"> is excluded from this TAG. As such, </w:t>
      </w:r>
      <w:r w:rsidR="00AB10BE">
        <w:rPr>
          <w:iCs/>
        </w:rPr>
        <w:t>the Inspector</w:t>
      </w:r>
      <w:r w:rsidRPr="00CC121D">
        <w:rPr>
          <w:iCs/>
        </w:rPr>
        <w:t xml:space="preserve"> should refer to:</w:t>
      </w:r>
    </w:p>
    <w:p w14:paraId="5730512F" w14:textId="2F8CB627" w:rsidR="00D07AFA" w:rsidRPr="00CC121D" w:rsidRDefault="00FD41DD" w:rsidP="00D07AFA">
      <w:pPr>
        <w:numPr>
          <w:ilvl w:val="2"/>
          <w:numId w:val="10"/>
        </w:numPr>
        <w:spacing w:after="240"/>
        <w:ind w:left="1418"/>
        <w:contextualSpacing/>
        <w:rPr>
          <w:iCs/>
        </w:rPr>
      </w:pPr>
      <w:r>
        <w:rPr>
          <w:iCs/>
        </w:rPr>
        <w:t>ONR-</w:t>
      </w:r>
      <w:r w:rsidR="00D07AFA" w:rsidRPr="00CC121D">
        <w:rPr>
          <w:iCs/>
        </w:rPr>
        <w:t>NS-INSP-GD-051 “The Regulation of Conventional Health and Saf</w:t>
      </w:r>
      <w:r w:rsidR="00CF4107">
        <w:rPr>
          <w:iCs/>
        </w:rPr>
        <w:t>ety on UK Nuclear Sites”.</w:t>
      </w:r>
    </w:p>
    <w:p w14:paraId="6D5E87AC" w14:textId="77777777" w:rsidR="00C875E4" w:rsidRPr="00CC121D" w:rsidRDefault="00C875E4" w:rsidP="00C875E4">
      <w:pPr>
        <w:pStyle w:val="TSNumberedParagraph1"/>
        <w:rPr>
          <w:iCs/>
        </w:rPr>
      </w:pPr>
      <w:r>
        <w:rPr>
          <w:iCs/>
        </w:rPr>
        <w:t xml:space="preserve">The civil engineering Inspector may attend site more frequently than other engineering disciplines within ONR, especially during the early phases of construction works. </w:t>
      </w:r>
      <w:r w:rsidRPr="00CC121D">
        <w:rPr>
          <w:iCs/>
        </w:rPr>
        <w:t xml:space="preserve">The Inspector should have an appreciation that they may </w:t>
      </w:r>
      <w:r>
        <w:rPr>
          <w:iCs/>
        </w:rPr>
        <w:t>be on site more often than the i</w:t>
      </w:r>
      <w:r w:rsidRPr="00CC121D">
        <w:rPr>
          <w:iCs/>
        </w:rPr>
        <w:t xml:space="preserve">nspectors who specialise in conventional health and safety. As such, any identified issues regarding conventional health and safety and/or CDM2015 should be discussed with the </w:t>
      </w:r>
      <w:proofErr w:type="spellStart"/>
      <w:r w:rsidRPr="00CC121D">
        <w:rPr>
          <w:iCs/>
        </w:rPr>
        <w:t>dutyholder</w:t>
      </w:r>
      <w:proofErr w:type="spellEnd"/>
      <w:r w:rsidRPr="00CC121D">
        <w:rPr>
          <w:iCs/>
        </w:rPr>
        <w:t xml:space="preserve"> and relevant </w:t>
      </w:r>
      <w:r>
        <w:rPr>
          <w:iCs/>
        </w:rPr>
        <w:t xml:space="preserve">conventional health and safety Inspector and the </w:t>
      </w:r>
      <w:r w:rsidRPr="00CC121D">
        <w:rPr>
          <w:iCs/>
        </w:rPr>
        <w:t>Site Inspect</w:t>
      </w:r>
      <w:r>
        <w:rPr>
          <w:iCs/>
        </w:rPr>
        <w:t>or at the earliest opportunity.</w:t>
      </w:r>
    </w:p>
    <w:p w14:paraId="57305130" w14:textId="469F3559" w:rsidR="00D07AFA" w:rsidRPr="00CC121D" w:rsidRDefault="00D07AFA" w:rsidP="00D07AFA">
      <w:pPr>
        <w:pStyle w:val="TSNumberedParagraph1"/>
        <w:rPr>
          <w:iCs/>
        </w:rPr>
      </w:pPr>
      <w:r w:rsidRPr="00CC121D">
        <w:rPr>
          <w:iCs/>
        </w:rPr>
        <w:t>The Inspector should avoid making generalised statements about conventional safety when undertaking civil engineering as</w:t>
      </w:r>
      <w:r w:rsidR="00CF4107">
        <w:rPr>
          <w:iCs/>
        </w:rPr>
        <w:t>sessments and site inspections</w:t>
      </w:r>
      <w:r w:rsidR="00E16C61">
        <w:rPr>
          <w:iCs/>
        </w:rPr>
        <w:t>,</w:t>
      </w:r>
      <w:r w:rsidR="00BA68C1">
        <w:rPr>
          <w:iCs/>
        </w:rPr>
        <w:t xml:space="preserve"> interventions</w:t>
      </w:r>
      <w:r w:rsidR="00E16C61">
        <w:rPr>
          <w:iCs/>
        </w:rPr>
        <w:t xml:space="preserve"> or other engagements</w:t>
      </w:r>
      <w:r w:rsidR="00CF4107">
        <w:rPr>
          <w:iCs/>
        </w:rPr>
        <w:t>.</w:t>
      </w:r>
    </w:p>
    <w:p w14:paraId="4217236E" w14:textId="77777777" w:rsidR="00B906D9" w:rsidRDefault="00985F91" w:rsidP="00985F91">
      <w:pPr>
        <w:pStyle w:val="TSNumberedParagraph1"/>
        <w:rPr>
          <w:iCs/>
        </w:rPr>
      </w:pPr>
      <w:r w:rsidRPr="00CC121D">
        <w:rPr>
          <w:iCs/>
        </w:rPr>
        <w:t>For any Matters of Evident Concern (</w:t>
      </w:r>
      <w:proofErr w:type="spellStart"/>
      <w:r w:rsidRPr="00CC121D">
        <w:rPr>
          <w:iCs/>
        </w:rPr>
        <w:t>MoEC</w:t>
      </w:r>
      <w:proofErr w:type="spellEnd"/>
      <w:r w:rsidRPr="00CC121D">
        <w:rPr>
          <w:iCs/>
        </w:rPr>
        <w:t>) or Risk of Serious Personal Injury (</w:t>
      </w:r>
      <w:proofErr w:type="spellStart"/>
      <w:r w:rsidRPr="00CC121D">
        <w:rPr>
          <w:iCs/>
        </w:rPr>
        <w:t>RoSPI</w:t>
      </w:r>
      <w:proofErr w:type="spellEnd"/>
      <w:r w:rsidRPr="00CC121D">
        <w:rPr>
          <w:iCs/>
        </w:rPr>
        <w:t>), the Inspector should be cognisant of their warranted status and that of their</w:t>
      </w:r>
      <w:r w:rsidR="008B3C4E">
        <w:rPr>
          <w:iCs/>
        </w:rPr>
        <w:t xml:space="preserve"> colleagues,</w:t>
      </w:r>
      <w:r w:rsidRPr="00CC121D">
        <w:rPr>
          <w:iCs/>
        </w:rPr>
        <w:t xml:space="preserve"> inspection team or visitors. </w:t>
      </w:r>
    </w:p>
    <w:p w14:paraId="57305132" w14:textId="64F9113C" w:rsidR="00985F91" w:rsidRPr="00985F91" w:rsidRDefault="00985F91" w:rsidP="00985F91">
      <w:pPr>
        <w:pStyle w:val="TSNumberedParagraph1"/>
        <w:rPr>
          <w:iCs/>
        </w:rPr>
      </w:pPr>
      <w:r w:rsidRPr="00CC121D">
        <w:rPr>
          <w:iCs/>
        </w:rPr>
        <w:t xml:space="preserve">For unwarranted visitors, the Inspector </w:t>
      </w:r>
      <w:r w:rsidR="00645E09">
        <w:rPr>
          <w:iCs/>
        </w:rPr>
        <w:t>may wish to</w:t>
      </w:r>
      <w:r w:rsidRPr="00CC121D">
        <w:rPr>
          <w:iCs/>
        </w:rPr>
        <w:t xml:space="preserve"> put an arrangement in place </w:t>
      </w:r>
      <w:r w:rsidR="008B3C4E">
        <w:rPr>
          <w:iCs/>
        </w:rPr>
        <w:t xml:space="preserve">prior to the site visit to enable them </w:t>
      </w:r>
      <w:r w:rsidRPr="00CC121D">
        <w:rPr>
          <w:iCs/>
        </w:rPr>
        <w:t xml:space="preserve">to raise concerns that may be related to a </w:t>
      </w:r>
      <w:proofErr w:type="spellStart"/>
      <w:r w:rsidRPr="00CC121D">
        <w:rPr>
          <w:iCs/>
        </w:rPr>
        <w:t>MoEC</w:t>
      </w:r>
      <w:proofErr w:type="spellEnd"/>
      <w:r w:rsidRPr="00CC121D">
        <w:rPr>
          <w:iCs/>
        </w:rPr>
        <w:t xml:space="preserve"> or </w:t>
      </w:r>
      <w:proofErr w:type="spellStart"/>
      <w:r w:rsidRPr="00CC121D">
        <w:rPr>
          <w:iCs/>
        </w:rPr>
        <w:t>RoS</w:t>
      </w:r>
      <w:r w:rsidR="00BB73C4">
        <w:rPr>
          <w:iCs/>
        </w:rPr>
        <w:t>PI</w:t>
      </w:r>
      <w:proofErr w:type="spellEnd"/>
      <w:r w:rsidR="00BB73C4">
        <w:rPr>
          <w:iCs/>
        </w:rPr>
        <w:t xml:space="preserve"> with the Site Inspector and i</w:t>
      </w:r>
      <w:r w:rsidRPr="00CC121D">
        <w:rPr>
          <w:iCs/>
        </w:rPr>
        <w:t xml:space="preserve">nspectors who specialise in </w:t>
      </w:r>
      <w:r>
        <w:rPr>
          <w:iCs/>
        </w:rPr>
        <w:t xml:space="preserve">conventional health and </w:t>
      </w:r>
      <w:r w:rsidRPr="00985F91">
        <w:rPr>
          <w:iCs/>
        </w:rPr>
        <w:t>safety.</w:t>
      </w:r>
    </w:p>
    <w:p w14:paraId="57305133" w14:textId="77777777" w:rsidR="00D07AFA" w:rsidRPr="00985F91" w:rsidRDefault="00D07AFA" w:rsidP="00D07AFA">
      <w:pPr>
        <w:pStyle w:val="TSNumberedParagraph1"/>
        <w:rPr>
          <w:iCs/>
        </w:rPr>
      </w:pPr>
      <w:r w:rsidRPr="00985F91">
        <w:rPr>
          <w:iCs/>
        </w:rPr>
        <w:t>Should the Inspector and/or other ONR visitors witness a MOEC or ROSPI on site, or have any conventional health and safety concerns regarding an activity that has the potential to cause harm or injury on site, the Inspector should follow this guidance:</w:t>
      </w:r>
    </w:p>
    <w:p w14:paraId="57305134" w14:textId="2D6F954D" w:rsidR="00D07AFA" w:rsidRPr="00985F91" w:rsidRDefault="00FD41DD" w:rsidP="00D07AFA">
      <w:pPr>
        <w:numPr>
          <w:ilvl w:val="2"/>
          <w:numId w:val="10"/>
        </w:numPr>
        <w:spacing w:after="240"/>
        <w:ind w:left="1418"/>
        <w:contextualSpacing/>
      </w:pPr>
      <w:r>
        <w:rPr>
          <w:iCs/>
        </w:rPr>
        <w:t>ONR-</w:t>
      </w:r>
      <w:r w:rsidR="00D07AFA" w:rsidRPr="00985F91">
        <w:t>NS-INSP-GD-051 ‘The Regulation of Conventional Health and Safety on UK Nuclear Sites’ Rev 4, in particular, paragraph 7</w:t>
      </w:r>
      <w:r w:rsidR="00985F91" w:rsidRPr="00985F91">
        <w:t>,</w:t>
      </w:r>
    </w:p>
    <w:p w14:paraId="57305135" w14:textId="1207F08D" w:rsidR="00D07AFA" w:rsidRPr="00985F91" w:rsidRDefault="00D07AFA" w:rsidP="00D07AFA">
      <w:pPr>
        <w:numPr>
          <w:ilvl w:val="2"/>
          <w:numId w:val="10"/>
        </w:numPr>
        <w:spacing w:after="240"/>
        <w:ind w:left="1418"/>
        <w:contextualSpacing/>
      </w:pPr>
      <w:r w:rsidRPr="00985F91">
        <w:t>OC 18/12 ‘Matters of Evident Concern and Potential Major Concern’, [</w:t>
      </w:r>
      <w:r w:rsidR="007E5217">
        <w:t>4</w:t>
      </w:r>
      <w:r w:rsidR="00580D31">
        <w:t>6</w:t>
      </w:r>
      <w:r w:rsidRPr="00985F91">
        <w:t>] i</w:t>
      </w:r>
      <w:r w:rsidR="00985F91" w:rsidRPr="00985F91">
        <w:t>n particular, paragraph 8 and 9,</w:t>
      </w:r>
    </w:p>
    <w:p w14:paraId="57305136" w14:textId="77777777" w:rsidR="00D07AFA" w:rsidRPr="00985F91" w:rsidRDefault="00D07AFA" w:rsidP="00D07AFA">
      <w:pPr>
        <w:numPr>
          <w:ilvl w:val="2"/>
          <w:numId w:val="10"/>
        </w:numPr>
        <w:spacing w:after="240"/>
        <w:ind w:left="1418"/>
        <w:contextualSpacing/>
      </w:pPr>
      <w:r w:rsidRPr="00985F91">
        <w:t>ONR-INSP-GD-064 ‘General Inspection Guide’ Rev 2, in particular paragr</w:t>
      </w:r>
      <w:r w:rsidR="00985F91" w:rsidRPr="00985F91">
        <w:t>aph 5.34.</w:t>
      </w:r>
    </w:p>
    <w:p w14:paraId="57305137" w14:textId="60B637F5" w:rsidR="00D07AFA" w:rsidRPr="00CC121D" w:rsidRDefault="00D07AFA" w:rsidP="004749D4">
      <w:pPr>
        <w:pStyle w:val="TSHeadingNumbered111"/>
      </w:pPr>
      <w:bookmarkStart w:id="81" w:name="_Toc43723337"/>
      <w:r w:rsidRPr="00CC121D">
        <w:t>Security on sites</w:t>
      </w:r>
      <w:bookmarkEnd w:id="81"/>
    </w:p>
    <w:p w14:paraId="57305138" w14:textId="2C2C6309" w:rsidR="00D07AFA" w:rsidRPr="00CC121D" w:rsidRDefault="00D07AFA" w:rsidP="00D07AFA">
      <w:pPr>
        <w:pStyle w:val="TSNumberedParagraph1"/>
        <w:rPr>
          <w:iCs/>
        </w:rPr>
      </w:pPr>
      <w:r w:rsidRPr="00CC121D">
        <w:rPr>
          <w:iCs/>
        </w:rPr>
        <w:t xml:space="preserve">The Inspector should have an appreciation that they may </w:t>
      </w:r>
      <w:r w:rsidR="00BB73C4">
        <w:rPr>
          <w:iCs/>
        </w:rPr>
        <w:t>be on site more often than the i</w:t>
      </w:r>
      <w:r w:rsidRPr="00CC121D">
        <w:rPr>
          <w:iCs/>
        </w:rPr>
        <w:t xml:space="preserve">nspectors who specialise in security. As such, any identified issues regarding site security should be discussed with the </w:t>
      </w:r>
      <w:proofErr w:type="spellStart"/>
      <w:r w:rsidRPr="00CC121D">
        <w:rPr>
          <w:iCs/>
        </w:rPr>
        <w:t>dutyholder</w:t>
      </w:r>
      <w:proofErr w:type="spellEnd"/>
      <w:r w:rsidRPr="00CC121D">
        <w:rPr>
          <w:iCs/>
        </w:rPr>
        <w:t xml:space="preserve"> and relevant</w:t>
      </w:r>
      <w:r w:rsidR="004749D4">
        <w:rPr>
          <w:iCs/>
        </w:rPr>
        <w:t xml:space="preserve"> security </w:t>
      </w:r>
      <w:r w:rsidR="00196693">
        <w:rPr>
          <w:iCs/>
        </w:rPr>
        <w:t>i</w:t>
      </w:r>
      <w:r w:rsidR="004749D4">
        <w:rPr>
          <w:iCs/>
        </w:rPr>
        <w:t>nspector</w:t>
      </w:r>
      <w:r w:rsidR="00702B52">
        <w:rPr>
          <w:iCs/>
        </w:rPr>
        <w:t xml:space="preserve"> and the</w:t>
      </w:r>
      <w:r w:rsidRPr="00CC121D">
        <w:rPr>
          <w:iCs/>
        </w:rPr>
        <w:t xml:space="preserve"> </w:t>
      </w:r>
      <w:r w:rsidR="00196693">
        <w:rPr>
          <w:iCs/>
        </w:rPr>
        <w:t>s</w:t>
      </w:r>
      <w:r w:rsidRPr="00CC121D">
        <w:rPr>
          <w:iCs/>
        </w:rPr>
        <w:t xml:space="preserve">ite </w:t>
      </w:r>
      <w:r w:rsidR="00196693">
        <w:rPr>
          <w:iCs/>
        </w:rPr>
        <w:t>i</w:t>
      </w:r>
      <w:r w:rsidRPr="00CC121D">
        <w:rPr>
          <w:iCs/>
        </w:rPr>
        <w:t xml:space="preserve">nspector at the </w:t>
      </w:r>
      <w:r w:rsidR="00985F91">
        <w:rPr>
          <w:iCs/>
        </w:rPr>
        <w:t>earliest opportunity.</w:t>
      </w:r>
    </w:p>
    <w:p w14:paraId="57305139" w14:textId="3DE02C6F" w:rsidR="00D07AFA" w:rsidRPr="00CC121D" w:rsidRDefault="00D07AFA" w:rsidP="00D07AFA">
      <w:pPr>
        <w:pStyle w:val="TSNumberedParagraph1"/>
        <w:rPr>
          <w:iCs/>
        </w:rPr>
      </w:pPr>
      <w:r w:rsidRPr="00CC121D">
        <w:rPr>
          <w:iCs/>
        </w:rPr>
        <w:t xml:space="preserve">The regulation of security aspects in relation to the construction of installation of </w:t>
      </w:r>
      <w:r w:rsidR="00A90D9E">
        <w:rPr>
          <w:iCs/>
        </w:rPr>
        <w:t xml:space="preserve">a </w:t>
      </w:r>
      <w:r w:rsidRPr="00CC121D">
        <w:rPr>
          <w:iCs/>
        </w:rPr>
        <w:t xml:space="preserve">new </w:t>
      </w:r>
      <w:r w:rsidR="00A90D9E">
        <w:rPr>
          <w:iCs/>
        </w:rPr>
        <w:t>facility</w:t>
      </w:r>
      <w:r w:rsidR="00A90D9E" w:rsidRPr="00CC121D">
        <w:rPr>
          <w:iCs/>
        </w:rPr>
        <w:t xml:space="preserve"> </w:t>
      </w:r>
      <w:r w:rsidRPr="00CC121D">
        <w:rPr>
          <w:iCs/>
        </w:rPr>
        <w:t>is ex</w:t>
      </w:r>
      <w:r w:rsidR="00BB73C4">
        <w:rPr>
          <w:iCs/>
        </w:rPr>
        <w:t xml:space="preserve">cluded from this TAG. As such, </w:t>
      </w:r>
      <w:r w:rsidR="00AB10BE">
        <w:rPr>
          <w:iCs/>
        </w:rPr>
        <w:t>the Inspector</w:t>
      </w:r>
      <w:r w:rsidRPr="00CC121D">
        <w:rPr>
          <w:iCs/>
        </w:rPr>
        <w:t xml:space="preserve"> should refer to the relevant Security Assessment Principles (</w:t>
      </w:r>
      <w:proofErr w:type="spellStart"/>
      <w:r w:rsidRPr="00CC121D">
        <w:rPr>
          <w:iCs/>
        </w:rPr>
        <w:t>SyAPs</w:t>
      </w:r>
      <w:proofErr w:type="spellEnd"/>
      <w:r w:rsidRPr="00CC121D">
        <w:rPr>
          <w:iCs/>
        </w:rPr>
        <w:t>) for guidance on security requirements in relation to the construction or installation of new plant, of particular relevance is:</w:t>
      </w:r>
    </w:p>
    <w:p w14:paraId="5730513A" w14:textId="5C1561D5" w:rsidR="00D07AFA" w:rsidRPr="00CC121D" w:rsidRDefault="00D07AFA" w:rsidP="00D07AFA">
      <w:pPr>
        <w:numPr>
          <w:ilvl w:val="2"/>
          <w:numId w:val="10"/>
        </w:numPr>
        <w:spacing w:after="240"/>
        <w:ind w:left="1418"/>
        <w:contextualSpacing/>
      </w:pPr>
      <w:proofErr w:type="spellStart"/>
      <w:r w:rsidRPr="00CC121D">
        <w:t>SyDP</w:t>
      </w:r>
      <w:proofErr w:type="spellEnd"/>
      <w:r w:rsidRPr="00CC121D">
        <w:t xml:space="preserve"> 6.6 - Nuclear Construction Sites</w:t>
      </w:r>
      <w:r w:rsidR="00985F91">
        <w:t>.</w:t>
      </w:r>
    </w:p>
    <w:p w14:paraId="4FB411C1" w14:textId="77777777" w:rsidR="006E740C" w:rsidRDefault="006E740C">
      <w:pPr>
        <w:rPr>
          <w:rFonts w:ascii="Arial Bold" w:hAnsi="Arial Bold"/>
          <w:b/>
        </w:rPr>
      </w:pPr>
      <w:bookmarkStart w:id="82" w:name="_Toc43723341"/>
      <w:r>
        <w:br w:type="page"/>
      </w:r>
    </w:p>
    <w:p w14:paraId="57305168" w14:textId="4056742F" w:rsidR="00D07AFA" w:rsidRPr="00CC121D" w:rsidRDefault="00D07AFA" w:rsidP="004749D4">
      <w:pPr>
        <w:pStyle w:val="TSHeadingNumbered111"/>
      </w:pPr>
      <w:r w:rsidRPr="00CC121D">
        <w:t xml:space="preserve">Examination, </w:t>
      </w:r>
      <w:r w:rsidRPr="00CC121D">
        <w:rPr>
          <w:iCs/>
        </w:rPr>
        <w:t>Inspection</w:t>
      </w:r>
      <w:r w:rsidRPr="00CC121D">
        <w:t>, Maintenance and Testing (EIMT)</w:t>
      </w:r>
      <w:bookmarkEnd w:id="82"/>
    </w:p>
    <w:p w14:paraId="57305169" w14:textId="77777777" w:rsidR="00D07AFA" w:rsidRPr="00CC121D" w:rsidRDefault="00D07AFA" w:rsidP="00F9637D">
      <w:pPr>
        <w:pStyle w:val="TSNumberedParagraph1"/>
        <w:rPr>
          <w:iCs/>
        </w:rPr>
      </w:pPr>
      <w:r w:rsidRPr="00CC121D">
        <w:rPr>
          <w:iCs/>
        </w:rPr>
        <w:t>During operation, the majority of civil engineering works require periodic EIMT to ensure the continued fulfilment of the</w:t>
      </w:r>
      <w:r w:rsidR="00315338">
        <w:rPr>
          <w:iCs/>
        </w:rPr>
        <w:t xml:space="preserve"> safety functional requirements:</w:t>
      </w:r>
    </w:p>
    <w:p w14:paraId="5730516A" w14:textId="77777777" w:rsidR="00D07AFA" w:rsidRPr="00F9637D" w:rsidRDefault="00D07AFA" w:rsidP="00D07AFA">
      <w:pPr>
        <w:numPr>
          <w:ilvl w:val="2"/>
          <w:numId w:val="10"/>
        </w:numPr>
        <w:spacing w:after="240"/>
        <w:ind w:left="1418"/>
        <w:contextualSpacing/>
        <w:rPr>
          <w:iCs/>
        </w:rPr>
      </w:pPr>
      <w:r w:rsidRPr="00F9637D">
        <w:rPr>
          <w:iCs/>
        </w:rPr>
        <w:t xml:space="preserve">ECE.8 </w:t>
      </w:r>
      <w:r w:rsidR="0064131A" w:rsidRPr="00F9637D">
        <w:rPr>
          <w:iCs/>
        </w:rPr>
        <w:t xml:space="preserve">states the expectation that </w:t>
      </w:r>
      <w:r w:rsidRPr="00F9637D">
        <w:rPr>
          <w:iCs/>
        </w:rPr>
        <w:t>designs should allow for inspection</w:t>
      </w:r>
      <w:r w:rsidR="00315338">
        <w:rPr>
          <w:iCs/>
        </w:rPr>
        <w:t>,</w:t>
      </w:r>
    </w:p>
    <w:p w14:paraId="5730516B" w14:textId="77777777" w:rsidR="00D07AFA" w:rsidRPr="00F9637D" w:rsidRDefault="00D07AFA" w:rsidP="00D07AFA">
      <w:pPr>
        <w:numPr>
          <w:ilvl w:val="2"/>
          <w:numId w:val="10"/>
        </w:numPr>
        <w:spacing w:after="240"/>
        <w:ind w:left="1418"/>
        <w:contextualSpacing/>
        <w:rPr>
          <w:iCs/>
        </w:rPr>
      </w:pPr>
      <w:r w:rsidRPr="00F9637D">
        <w:rPr>
          <w:iCs/>
        </w:rPr>
        <w:t>ECE.18 and EMC.17</w:t>
      </w:r>
      <w:r w:rsidR="0064131A" w:rsidRPr="00F9637D">
        <w:rPr>
          <w:iCs/>
        </w:rPr>
        <w:t xml:space="preserve"> state the expectation that provision is made for inspection and testing during construction to demonstrate that appropriate standards of workmanshi</w:t>
      </w:r>
      <w:r w:rsidR="00315338">
        <w:rPr>
          <w:iCs/>
        </w:rPr>
        <w:t>p etc. have been achieved,</w:t>
      </w:r>
    </w:p>
    <w:p w14:paraId="5730516C" w14:textId="73EEBE05" w:rsidR="00D07AFA" w:rsidRPr="00F9637D" w:rsidRDefault="00D07AFA" w:rsidP="00D07AFA">
      <w:pPr>
        <w:numPr>
          <w:ilvl w:val="2"/>
          <w:numId w:val="10"/>
        </w:numPr>
        <w:spacing w:after="240"/>
        <w:ind w:left="1418"/>
        <w:contextualSpacing/>
        <w:rPr>
          <w:iCs/>
        </w:rPr>
      </w:pPr>
      <w:r w:rsidRPr="00F9637D">
        <w:rPr>
          <w:iCs/>
        </w:rPr>
        <w:t>ECE.20</w:t>
      </w:r>
      <w:r w:rsidR="00F9637D" w:rsidRPr="00F9637D">
        <w:rPr>
          <w:iCs/>
        </w:rPr>
        <w:t xml:space="preserve"> </w:t>
      </w:r>
      <w:r w:rsidR="00BD0918">
        <w:rPr>
          <w:iCs/>
        </w:rPr>
        <w:t xml:space="preserve">requires </w:t>
      </w:r>
      <w:r w:rsidR="00F9637D" w:rsidRPr="00F9637D">
        <w:rPr>
          <w:iCs/>
        </w:rPr>
        <w:t>that provision is made for</w:t>
      </w:r>
      <w:r w:rsidR="00BD0918">
        <w:rPr>
          <w:iCs/>
        </w:rPr>
        <w:t xml:space="preserve"> EIMT operations</w:t>
      </w:r>
      <w:r w:rsidR="00F9637D" w:rsidRPr="00F9637D">
        <w:rPr>
          <w:iCs/>
        </w:rPr>
        <w:t>,</w:t>
      </w:r>
    </w:p>
    <w:p w14:paraId="5730516D" w14:textId="77777777" w:rsidR="00D07AFA" w:rsidRPr="00F9637D" w:rsidRDefault="00D07AFA" w:rsidP="00D07AFA">
      <w:pPr>
        <w:numPr>
          <w:ilvl w:val="2"/>
          <w:numId w:val="10"/>
        </w:numPr>
        <w:spacing w:after="240"/>
        <w:ind w:left="1418"/>
        <w:contextualSpacing/>
        <w:rPr>
          <w:iCs/>
        </w:rPr>
      </w:pPr>
      <w:r w:rsidRPr="00F9637D">
        <w:rPr>
          <w:iCs/>
        </w:rPr>
        <w:t>ECE.21</w:t>
      </w:r>
      <w:r w:rsidR="00F9637D" w:rsidRPr="00F9637D">
        <w:rPr>
          <w:iCs/>
        </w:rPr>
        <w:t xml:space="preserve"> states the expectation that pre-stressed concrete should be subjected to proof pressure tests, repeata</w:t>
      </w:r>
      <w:r w:rsidR="00315338">
        <w:rPr>
          <w:iCs/>
        </w:rPr>
        <w:t>ble during the operational life,</w:t>
      </w:r>
    </w:p>
    <w:p w14:paraId="5730516E" w14:textId="77777777" w:rsidR="00D07AFA" w:rsidRPr="00F9637D" w:rsidRDefault="00D07AFA" w:rsidP="00D07AFA">
      <w:pPr>
        <w:numPr>
          <w:ilvl w:val="2"/>
          <w:numId w:val="10"/>
        </w:numPr>
        <w:spacing w:after="240"/>
        <w:ind w:left="1418"/>
        <w:contextualSpacing/>
        <w:rPr>
          <w:iCs/>
        </w:rPr>
      </w:pPr>
      <w:r w:rsidRPr="00F9637D">
        <w:rPr>
          <w:iCs/>
        </w:rPr>
        <w:t>ECE.22</w:t>
      </w:r>
      <w:r w:rsidR="00F9637D" w:rsidRPr="00F9637D">
        <w:rPr>
          <w:iCs/>
        </w:rPr>
        <w:t xml:space="preserve"> states the expectation that structures that retain or prevent leakage are tested prior to operation</w:t>
      </w:r>
      <w:r w:rsidR="00315338">
        <w:rPr>
          <w:iCs/>
        </w:rPr>
        <w:t>,</w:t>
      </w:r>
    </w:p>
    <w:p w14:paraId="5730516F" w14:textId="77777777" w:rsidR="00D07AFA" w:rsidRPr="00F9637D" w:rsidRDefault="00D07AFA" w:rsidP="00D07AFA">
      <w:pPr>
        <w:numPr>
          <w:ilvl w:val="2"/>
          <w:numId w:val="10"/>
        </w:numPr>
        <w:spacing w:after="240"/>
        <w:ind w:left="1418"/>
        <w:contextualSpacing/>
        <w:rPr>
          <w:iCs/>
        </w:rPr>
      </w:pPr>
      <w:r w:rsidRPr="00F9637D">
        <w:rPr>
          <w:iCs/>
        </w:rPr>
        <w:t>ECE.23</w:t>
      </w:r>
      <w:r w:rsidR="00F9637D" w:rsidRPr="00F9637D">
        <w:rPr>
          <w:iCs/>
        </w:rPr>
        <w:t xml:space="preserve"> states the expectation that sea and river flood defences are routinely inspected to determine their condition</w:t>
      </w:r>
      <w:r w:rsidR="00315338">
        <w:rPr>
          <w:iCs/>
        </w:rPr>
        <w:t>,</w:t>
      </w:r>
    </w:p>
    <w:p w14:paraId="57305170" w14:textId="77777777" w:rsidR="00D07AFA" w:rsidRPr="00F9637D" w:rsidRDefault="00D07AFA" w:rsidP="00D07AFA">
      <w:pPr>
        <w:numPr>
          <w:ilvl w:val="2"/>
          <w:numId w:val="10"/>
        </w:numPr>
        <w:spacing w:after="240"/>
        <w:ind w:left="1418"/>
        <w:contextualSpacing/>
        <w:rPr>
          <w:iCs/>
        </w:rPr>
      </w:pPr>
      <w:r w:rsidRPr="00F9637D">
        <w:rPr>
          <w:iCs/>
        </w:rPr>
        <w:t>ECE.24</w:t>
      </w:r>
      <w:r w:rsidR="00F9637D" w:rsidRPr="00F9637D">
        <w:rPr>
          <w:iCs/>
        </w:rPr>
        <w:t xml:space="preserve"> states the expectation that structures will be monitored to check validity of design assumptions, during and after construction</w:t>
      </w:r>
      <w:r w:rsidR="00315338">
        <w:rPr>
          <w:iCs/>
        </w:rPr>
        <w:t>,</w:t>
      </w:r>
    </w:p>
    <w:p w14:paraId="57305171" w14:textId="148EF769" w:rsidR="00D07AFA" w:rsidRPr="00F9637D" w:rsidRDefault="00D07AFA" w:rsidP="00D07AFA">
      <w:pPr>
        <w:numPr>
          <w:ilvl w:val="2"/>
          <w:numId w:val="10"/>
        </w:numPr>
        <w:spacing w:after="240"/>
        <w:ind w:left="1418"/>
        <w:contextualSpacing/>
        <w:rPr>
          <w:iCs/>
        </w:rPr>
      </w:pPr>
      <w:r w:rsidRPr="00F9637D">
        <w:rPr>
          <w:iCs/>
        </w:rPr>
        <w:t>EAD.2</w:t>
      </w:r>
      <w:r w:rsidR="00F9637D" w:rsidRPr="00F9637D">
        <w:rPr>
          <w:iCs/>
        </w:rPr>
        <w:t xml:space="preserve"> and EAD.</w:t>
      </w:r>
      <w:r w:rsidRPr="00F9637D">
        <w:rPr>
          <w:iCs/>
        </w:rPr>
        <w:t>4</w:t>
      </w:r>
      <w:r w:rsidR="00F9637D" w:rsidRPr="00F9637D">
        <w:rPr>
          <w:iCs/>
        </w:rPr>
        <w:t xml:space="preserve"> state the expectation for adequate margins to exist in design and for measurement and monitoring of paramete</w:t>
      </w:r>
      <w:r w:rsidR="00315338">
        <w:rPr>
          <w:iCs/>
        </w:rPr>
        <w:t>rs that could change</w:t>
      </w:r>
      <w:r w:rsidR="006E740C">
        <w:rPr>
          <w:iCs/>
        </w:rPr>
        <w:t xml:space="preserve"> in</w:t>
      </w:r>
      <w:r w:rsidR="00315338">
        <w:rPr>
          <w:iCs/>
        </w:rPr>
        <w:t xml:space="preserve"> time,</w:t>
      </w:r>
    </w:p>
    <w:p w14:paraId="57305172" w14:textId="5DD2B0E1" w:rsidR="00D07AFA" w:rsidRPr="00CC121D" w:rsidRDefault="00D07AFA" w:rsidP="00D07AFA">
      <w:pPr>
        <w:numPr>
          <w:ilvl w:val="2"/>
          <w:numId w:val="10"/>
        </w:numPr>
        <w:spacing w:after="240"/>
        <w:ind w:left="1418"/>
        <w:contextualSpacing/>
        <w:rPr>
          <w:iCs/>
        </w:rPr>
      </w:pPr>
      <w:r w:rsidRPr="00CC121D">
        <w:rPr>
          <w:iCs/>
        </w:rPr>
        <w:t>SAP SC.6, para</w:t>
      </w:r>
      <w:r w:rsidR="00DD3FA4">
        <w:rPr>
          <w:iCs/>
        </w:rPr>
        <w:t>graph</w:t>
      </w:r>
      <w:r w:rsidRPr="00CC121D">
        <w:rPr>
          <w:iCs/>
        </w:rPr>
        <w:t xml:space="preserve"> 106 (c) </w:t>
      </w:r>
      <w:r w:rsidR="006E740C">
        <w:rPr>
          <w:iCs/>
        </w:rPr>
        <w:t xml:space="preserve">establishes the expectation that the </w:t>
      </w:r>
      <w:r w:rsidRPr="00CC121D">
        <w:rPr>
          <w:iCs/>
        </w:rPr>
        <w:t xml:space="preserve">safety case </w:t>
      </w:r>
      <w:r w:rsidR="006E740C">
        <w:rPr>
          <w:iCs/>
        </w:rPr>
        <w:t xml:space="preserve">justifies the </w:t>
      </w:r>
      <w:r w:rsidRPr="00CC121D">
        <w:rPr>
          <w:iCs/>
        </w:rPr>
        <w:t xml:space="preserve">requirements </w:t>
      </w:r>
      <w:r w:rsidR="006E740C">
        <w:rPr>
          <w:iCs/>
        </w:rPr>
        <w:t xml:space="preserve">and how </w:t>
      </w:r>
      <w:r w:rsidR="00BD0918">
        <w:rPr>
          <w:iCs/>
        </w:rPr>
        <w:t xml:space="preserve">to </w:t>
      </w:r>
      <w:r w:rsidRPr="00CC121D">
        <w:rPr>
          <w:iCs/>
        </w:rPr>
        <w:t>implement</w:t>
      </w:r>
      <w:r w:rsidR="00BD0918">
        <w:rPr>
          <w:iCs/>
        </w:rPr>
        <w:t xml:space="preserve"> these</w:t>
      </w:r>
      <w:r w:rsidRPr="00CC121D">
        <w:rPr>
          <w:iCs/>
        </w:rPr>
        <w:t xml:space="preserve"> effectively</w:t>
      </w:r>
      <w:r w:rsidR="00BD0918">
        <w:rPr>
          <w:iCs/>
        </w:rPr>
        <w:t xml:space="preserve"> e.g. (EIMT)</w:t>
      </w:r>
      <w:r w:rsidR="00315338">
        <w:rPr>
          <w:iCs/>
        </w:rPr>
        <w:t>,</w:t>
      </w:r>
    </w:p>
    <w:p w14:paraId="57305173" w14:textId="00BE85F6" w:rsidR="00D07AFA" w:rsidRPr="00CC121D" w:rsidRDefault="00D07AFA" w:rsidP="00D07AFA">
      <w:pPr>
        <w:numPr>
          <w:ilvl w:val="2"/>
          <w:numId w:val="10"/>
        </w:numPr>
        <w:spacing w:after="240"/>
        <w:ind w:left="1418"/>
        <w:contextualSpacing/>
        <w:rPr>
          <w:iCs/>
        </w:rPr>
      </w:pPr>
      <w:r w:rsidRPr="00CC121D">
        <w:rPr>
          <w:iCs/>
        </w:rPr>
        <w:t>EKP.4 and EKP.5 apply when identifying what the safety functions are, and what safety measures will deliver the safety functions, as the inspection and maintenance of ‘massive and passive’ s</w:t>
      </w:r>
      <w:r w:rsidR="00E43AB8">
        <w:rPr>
          <w:iCs/>
        </w:rPr>
        <w:t xml:space="preserve">afety measures is </w:t>
      </w:r>
      <w:r w:rsidR="00F6020F">
        <w:rPr>
          <w:iCs/>
        </w:rPr>
        <w:t xml:space="preserve">key </w:t>
      </w:r>
      <w:r w:rsidR="00E43AB8">
        <w:rPr>
          <w:iCs/>
        </w:rPr>
        <w:t>to e</w:t>
      </w:r>
      <w:r w:rsidRPr="00CC121D">
        <w:rPr>
          <w:iCs/>
        </w:rPr>
        <w:t xml:space="preserve">nsure that </w:t>
      </w:r>
      <w:r w:rsidR="00E43AB8">
        <w:rPr>
          <w:iCs/>
        </w:rPr>
        <w:t>SSCs</w:t>
      </w:r>
      <w:r w:rsidRPr="00CC121D">
        <w:rPr>
          <w:iCs/>
        </w:rPr>
        <w:t xml:space="preserve"> act in a way that is anticipated under fault conditions</w:t>
      </w:r>
      <w:r w:rsidR="00315338">
        <w:rPr>
          <w:iCs/>
        </w:rPr>
        <w:t>,</w:t>
      </w:r>
    </w:p>
    <w:p w14:paraId="57305174" w14:textId="67A856C4" w:rsidR="00D07AFA" w:rsidRPr="00CC121D" w:rsidRDefault="00D07AFA" w:rsidP="00D07AFA">
      <w:pPr>
        <w:numPr>
          <w:ilvl w:val="2"/>
          <w:numId w:val="10"/>
        </w:numPr>
        <w:spacing w:after="240"/>
        <w:ind w:left="1418"/>
        <w:contextualSpacing/>
        <w:rPr>
          <w:iCs/>
        </w:rPr>
      </w:pPr>
      <w:r w:rsidRPr="00CC121D">
        <w:rPr>
          <w:iCs/>
        </w:rPr>
        <w:t xml:space="preserve">EMC.21 states </w:t>
      </w:r>
      <w:r w:rsidR="00BD0918">
        <w:rPr>
          <w:iCs/>
        </w:rPr>
        <w:t>the</w:t>
      </w:r>
      <w:r w:rsidRPr="00CC121D">
        <w:rPr>
          <w:iCs/>
        </w:rPr>
        <w:t xml:space="preserve"> arrangements to detect, locate and manage leakage</w:t>
      </w:r>
      <w:r w:rsidR="00315338">
        <w:rPr>
          <w:iCs/>
        </w:rPr>
        <w:t>,</w:t>
      </w:r>
    </w:p>
    <w:p w14:paraId="57305175" w14:textId="77777777" w:rsidR="00D07AFA" w:rsidRPr="007950D6" w:rsidRDefault="00315338" w:rsidP="00D07AFA">
      <w:pPr>
        <w:numPr>
          <w:ilvl w:val="2"/>
          <w:numId w:val="10"/>
        </w:numPr>
        <w:spacing w:after="240"/>
        <w:ind w:left="1418"/>
        <w:contextualSpacing/>
        <w:rPr>
          <w:iCs/>
        </w:rPr>
      </w:pPr>
      <w:r>
        <w:rPr>
          <w:iCs/>
        </w:rPr>
        <w:t xml:space="preserve">EMC.25 </w:t>
      </w:r>
      <w:r w:rsidR="00D07AFA" w:rsidRPr="00E73840">
        <w:rPr>
          <w:iCs/>
        </w:rPr>
        <w:t xml:space="preserve">states </w:t>
      </w:r>
      <w:r w:rsidR="00D07AFA" w:rsidRPr="007950D6">
        <w:rPr>
          <w:iCs/>
        </w:rPr>
        <w:t>the need for adequate margin to exist on safety related metal structures or components to ensure the plant remains within its operating envelope throughout its operating life</w:t>
      </w:r>
      <w:r w:rsidRPr="007950D6">
        <w:rPr>
          <w:iCs/>
        </w:rPr>
        <w:t>,</w:t>
      </w:r>
    </w:p>
    <w:p w14:paraId="57305176" w14:textId="3B571B78" w:rsidR="00D07AFA" w:rsidRPr="007950D6" w:rsidRDefault="00D07AFA" w:rsidP="007950D6">
      <w:pPr>
        <w:numPr>
          <w:ilvl w:val="2"/>
          <w:numId w:val="10"/>
        </w:numPr>
        <w:spacing w:after="240"/>
        <w:ind w:left="1418"/>
        <w:contextualSpacing/>
        <w:rPr>
          <w:iCs/>
        </w:rPr>
      </w:pPr>
      <w:r w:rsidRPr="007950D6">
        <w:rPr>
          <w:iCs/>
        </w:rPr>
        <w:t>EMC.27-30 to consider whether there are arrangements in place for in service inspection to demonstrate fitness for purpose, consider the need for diversity in inspection and testing techniques, proof testing where codes require or otherwise are deemed essential for the safety case</w:t>
      </w:r>
      <w:r w:rsidR="00315338" w:rsidRPr="007950D6">
        <w:rPr>
          <w:iCs/>
        </w:rPr>
        <w:t>,</w:t>
      </w:r>
    </w:p>
    <w:p w14:paraId="57305178" w14:textId="77777777" w:rsidR="00D07AFA" w:rsidRPr="00537796" w:rsidRDefault="00D07AFA" w:rsidP="00D07AFA">
      <w:pPr>
        <w:numPr>
          <w:ilvl w:val="2"/>
          <w:numId w:val="10"/>
        </w:numPr>
        <w:spacing w:after="240"/>
        <w:ind w:left="1418"/>
        <w:contextualSpacing/>
        <w:rPr>
          <w:iCs/>
        </w:rPr>
      </w:pPr>
      <w:r w:rsidRPr="007950D6">
        <w:t xml:space="preserve">When assessing high integrity metal </w:t>
      </w:r>
      <w:r w:rsidR="00315338" w:rsidRPr="007950D6">
        <w:t>civil structures, the Inspector</w:t>
      </w:r>
      <w:r w:rsidRPr="007950D6">
        <w:t xml:space="preserve"> may similarly need to consider appropriate principles in the sub-section on Integrity of metal components and structures (paragraph</w:t>
      </w:r>
      <w:r w:rsidRPr="00537796">
        <w:t xml:space="preserve"> 280 ff.) with </w:t>
      </w:r>
      <w:r w:rsidRPr="00537796">
        <w:rPr>
          <w:iCs/>
        </w:rPr>
        <w:t>SAPs EMC.13-14, EMC.20, EMC.27 and EMC.30 are to be considered for inspections of offsite manufacturing operations involving metal</w:t>
      </w:r>
      <w:r w:rsidR="00315338" w:rsidRPr="00537796">
        <w:rPr>
          <w:iCs/>
        </w:rPr>
        <w:t xml:space="preserve"> components,</w:t>
      </w:r>
    </w:p>
    <w:p w14:paraId="57305179" w14:textId="3B5AB216" w:rsidR="00D07AFA" w:rsidRPr="00537796" w:rsidRDefault="00D07AFA" w:rsidP="00D07AFA">
      <w:pPr>
        <w:numPr>
          <w:ilvl w:val="2"/>
          <w:numId w:val="10"/>
        </w:numPr>
        <w:spacing w:after="240"/>
        <w:ind w:left="1418"/>
        <w:contextualSpacing/>
        <w:rPr>
          <w:iCs/>
        </w:rPr>
      </w:pPr>
      <w:r w:rsidRPr="00537796">
        <w:rPr>
          <w:iCs/>
        </w:rPr>
        <w:t xml:space="preserve">Where a structural component also forms part of containment, the principles in SAP paragraph 519 ff. will also be relevant (see </w:t>
      </w:r>
      <w:r w:rsidR="00407613" w:rsidRPr="00537796">
        <w:rPr>
          <w:iCs/>
        </w:rPr>
        <w:t>ONR-</w:t>
      </w:r>
      <w:r w:rsidR="008A6454" w:rsidRPr="00537796">
        <w:rPr>
          <w:iCs/>
        </w:rPr>
        <w:t>NS-TAST-GD-020 ‘Containment’</w:t>
      </w:r>
      <w:r w:rsidRPr="00537796">
        <w:rPr>
          <w:iCs/>
        </w:rPr>
        <w:t>)</w:t>
      </w:r>
      <w:r w:rsidR="00315338" w:rsidRPr="00537796">
        <w:rPr>
          <w:iCs/>
        </w:rPr>
        <w:t>.</w:t>
      </w:r>
    </w:p>
    <w:p w14:paraId="5730517A" w14:textId="77777777" w:rsidR="00D07AFA" w:rsidRPr="00CC121D" w:rsidRDefault="00D07AFA" w:rsidP="00D07AFA">
      <w:pPr>
        <w:pStyle w:val="TSNumberedParagraph1"/>
        <w:rPr>
          <w:iCs/>
        </w:rPr>
      </w:pPr>
      <w:r w:rsidRPr="00537796">
        <w:rPr>
          <w:iCs/>
        </w:rPr>
        <w:t>The key civil engineering principle</w:t>
      </w:r>
      <w:r w:rsidR="00315338" w:rsidRPr="00537796">
        <w:rPr>
          <w:iCs/>
        </w:rPr>
        <w:t>s</w:t>
      </w:r>
      <w:r w:rsidR="00315338">
        <w:rPr>
          <w:iCs/>
        </w:rPr>
        <w:t xml:space="preserve"> for assessment of EIMT are in</w:t>
      </w:r>
      <w:r w:rsidRPr="00CC121D">
        <w:rPr>
          <w:iCs/>
        </w:rPr>
        <w:t>:</w:t>
      </w:r>
    </w:p>
    <w:p w14:paraId="5730517B" w14:textId="21FF0EF8" w:rsidR="00D07AFA" w:rsidRPr="00CC121D" w:rsidRDefault="00315338" w:rsidP="00D07AFA">
      <w:pPr>
        <w:numPr>
          <w:ilvl w:val="2"/>
          <w:numId w:val="10"/>
        </w:numPr>
        <w:spacing w:after="240"/>
        <w:ind w:left="1418"/>
        <w:contextualSpacing/>
      </w:pPr>
      <w:r>
        <w:rPr>
          <w:iCs/>
        </w:rPr>
        <w:t xml:space="preserve">TAG 17 Annex </w:t>
      </w:r>
      <w:r w:rsidR="00D07AFA" w:rsidRPr="00CC121D">
        <w:rPr>
          <w:iCs/>
        </w:rPr>
        <w:t>1</w:t>
      </w:r>
      <w:r w:rsidR="006946E5">
        <w:rPr>
          <w:iCs/>
        </w:rPr>
        <w:t>,</w:t>
      </w:r>
      <w:r w:rsidR="00D07AFA" w:rsidRPr="00CC121D">
        <w:rPr>
          <w:iCs/>
        </w:rPr>
        <w:t xml:space="preserve"> ‘</w:t>
      </w:r>
      <w:r w:rsidR="006946E5">
        <w:rPr>
          <w:iCs/>
        </w:rPr>
        <w:t xml:space="preserve">Civil Engineering - </w:t>
      </w:r>
      <w:r w:rsidR="00D07AFA" w:rsidRPr="00CC121D">
        <w:rPr>
          <w:iCs/>
        </w:rPr>
        <w:t>Design</w:t>
      </w:r>
      <w:r w:rsidR="006946E5">
        <w:rPr>
          <w:iCs/>
        </w:rPr>
        <w:t>’</w:t>
      </w:r>
      <w:r>
        <w:rPr>
          <w:iCs/>
        </w:rPr>
        <w:t>,</w:t>
      </w:r>
    </w:p>
    <w:p w14:paraId="5730517C" w14:textId="514D961F" w:rsidR="00D07AFA" w:rsidRPr="00CC121D" w:rsidRDefault="00315338" w:rsidP="00D07AFA">
      <w:pPr>
        <w:numPr>
          <w:ilvl w:val="2"/>
          <w:numId w:val="10"/>
        </w:numPr>
        <w:spacing w:after="240"/>
        <w:ind w:left="1418"/>
        <w:contextualSpacing/>
        <w:rPr>
          <w:iCs/>
        </w:rPr>
      </w:pPr>
      <w:r>
        <w:rPr>
          <w:iCs/>
        </w:rPr>
        <w:t xml:space="preserve">TAG 17 Annex </w:t>
      </w:r>
      <w:r w:rsidR="00D07AFA" w:rsidRPr="00CC121D">
        <w:rPr>
          <w:iCs/>
        </w:rPr>
        <w:t xml:space="preserve">5, </w:t>
      </w:r>
      <w:r w:rsidR="00CD12CB">
        <w:t>‘</w:t>
      </w:r>
      <w:r w:rsidR="00CD12CB" w:rsidRPr="000F2702">
        <w:t xml:space="preserve">Civil Engineering – </w:t>
      </w:r>
      <w:r w:rsidR="00CD12CB">
        <w:t>Ageing Management and Damaged Structures’</w:t>
      </w:r>
      <w:r>
        <w:rPr>
          <w:iCs/>
        </w:rPr>
        <w:t>,</w:t>
      </w:r>
    </w:p>
    <w:p w14:paraId="5730517D" w14:textId="05BF8D91" w:rsidR="00D07AFA" w:rsidRPr="00CC121D" w:rsidRDefault="006946E5" w:rsidP="00D07AFA">
      <w:pPr>
        <w:numPr>
          <w:ilvl w:val="2"/>
          <w:numId w:val="10"/>
        </w:numPr>
        <w:spacing w:after="240"/>
        <w:ind w:left="1418"/>
        <w:contextualSpacing/>
        <w:rPr>
          <w:i/>
          <w:strike/>
        </w:rPr>
      </w:pPr>
      <w:r>
        <w:rPr>
          <w:iCs/>
        </w:rPr>
        <w:t>ONR-</w:t>
      </w:r>
      <w:r w:rsidR="00D07AFA" w:rsidRPr="00CC121D">
        <w:rPr>
          <w:iCs/>
        </w:rPr>
        <w:t>NS-TAST-GD-020 ‘Civil Engineering Containments for Reactor Plants’</w:t>
      </w:r>
      <w:r w:rsidR="00315338">
        <w:rPr>
          <w:iCs/>
        </w:rPr>
        <w:t>.</w:t>
      </w:r>
    </w:p>
    <w:p w14:paraId="61CF1DB2" w14:textId="5077397C" w:rsidR="006E740C" w:rsidRDefault="006E740C">
      <w:pPr>
        <w:rPr>
          <w:iCs/>
        </w:rPr>
      </w:pPr>
    </w:p>
    <w:p w14:paraId="5730517E" w14:textId="4A19FB6B" w:rsidR="00D07AFA" w:rsidRPr="00CC121D" w:rsidRDefault="00D07AFA" w:rsidP="00D07AFA">
      <w:pPr>
        <w:pStyle w:val="TSNumberedParagraph1"/>
        <w:rPr>
          <w:iCs/>
        </w:rPr>
      </w:pPr>
      <w:r w:rsidRPr="00CC121D">
        <w:rPr>
          <w:iCs/>
        </w:rPr>
        <w:t>Further ONR expectations on assessment of EIMT are provided in:</w:t>
      </w:r>
    </w:p>
    <w:p w14:paraId="5730517F" w14:textId="4670957E" w:rsidR="00D07AFA" w:rsidRPr="00CC121D" w:rsidRDefault="00407613" w:rsidP="00D07AFA">
      <w:pPr>
        <w:numPr>
          <w:ilvl w:val="2"/>
          <w:numId w:val="10"/>
        </w:numPr>
        <w:spacing w:after="240"/>
        <w:ind w:left="1418"/>
        <w:contextualSpacing/>
        <w:rPr>
          <w:iCs/>
        </w:rPr>
      </w:pPr>
      <w:r>
        <w:rPr>
          <w:iCs/>
        </w:rPr>
        <w:t>ONR-</w:t>
      </w:r>
      <w:r w:rsidR="00D07AFA" w:rsidRPr="00CC121D">
        <w:t>NS-TAST-GD-098 ‘Asset Management’</w:t>
      </w:r>
      <w:r w:rsidR="00315338">
        <w:t>,</w:t>
      </w:r>
    </w:p>
    <w:p w14:paraId="57305180" w14:textId="43761F1F" w:rsidR="00D07AFA" w:rsidRPr="00CC121D" w:rsidRDefault="00407613" w:rsidP="00D07AFA">
      <w:pPr>
        <w:numPr>
          <w:ilvl w:val="2"/>
          <w:numId w:val="10"/>
        </w:numPr>
        <w:spacing w:after="240"/>
        <w:ind w:left="1418"/>
        <w:contextualSpacing/>
      </w:pPr>
      <w:r>
        <w:rPr>
          <w:iCs/>
        </w:rPr>
        <w:t>ONR-</w:t>
      </w:r>
      <w:r w:rsidR="00D07AFA" w:rsidRPr="00CC121D">
        <w:t>NS-TAST-GD-009 ‘Examination Inspection Maintenance and Testing of Items Important to Safety’</w:t>
      </w:r>
      <w:r w:rsidR="00315338">
        <w:t>,</w:t>
      </w:r>
    </w:p>
    <w:p w14:paraId="57305181" w14:textId="0AAF9F0D" w:rsidR="00D07AFA" w:rsidRPr="00CC121D" w:rsidRDefault="00407613" w:rsidP="00D07AFA">
      <w:pPr>
        <w:numPr>
          <w:ilvl w:val="2"/>
          <w:numId w:val="10"/>
        </w:numPr>
        <w:spacing w:after="240"/>
        <w:ind w:left="1418"/>
        <w:contextualSpacing/>
        <w:rPr>
          <w:iCs/>
        </w:rPr>
      </w:pPr>
      <w:r>
        <w:rPr>
          <w:iCs/>
        </w:rPr>
        <w:t>ONR-</w:t>
      </w:r>
      <w:r w:rsidR="00D07AFA" w:rsidRPr="00CC121D">
        <w:rPr>
          <w:iCs/>
        </w:rPr>
        <w:t>NS-INSP-GD-028 ‘LC28 – Examination, Inspection, Maintenance and Testing (EIMT)’</w:t>
      </w:r>
      <w:r w:rsidR="00315338">
        <w:rPr>
          <w:iCs/>
        </w:rPr>
        <w:t>,</w:t>
      </w:r>
    </w:p>
    <w:p w14:paraId="57305182" w14:textId="24257CB1" w:rsidR="00D07AFA" w:rsidRPr="00CC121D" w:rsidRDefault="00407613" w:rsidP="00D07AFA">
      <w:pPr>
        <w:numPr>
          <w:ilvl w:val="2"/>
          <w:numId w:val="10"/>
        </w:numPr>
        <w:spacing w:after="240"/>
        <w:ind w:left="1418"/>
        <w:contextualSpacing/>
        <w:rPr>
          <w:iCs/>
        </w:rPr>
      </w:pPr>
      <w:r>
        <w:rPr>
          <w:iCs/>
        </w:rPr>
        <w:t>ONR-</w:t>
      </w:r>
      <w:r w:rsidR="00D07AFA" w:rsidRPr="00CC121D">
        <w:rPr>
          <w:iCs/>
        </w:rPr>
        <w:t>NS-INSP-GD-034 ‘LC35 – Leakage and Escape of Radioactive Material and Radioactive Waste’</w:t>
      </w:r>
      <w:r w:rsidR="00315338">
        <w:rPr>
          <w:iCs/>
        </w:rPr>
        <w:t>.</w:t>
      </w:r>
    </w:p>
    <w:p w14:paraId="573051B2" w14:textId="55215372" w:rsidR="00D07AFA" w:rsidRPr="00CC121D" w:rsidRDefault="00D07AFA" w:rsidP="00240420">
      <w:pPr>
        <w:pStyle w:val="TSHeadingNumbered111"/>
      </w:pPr>
      <w:bookmarkStart w:id="83" w:name="_Toc43723346"/>
      <w:r w:rsidRPr="00CC121D">
        <w:t xml:space="preserve">Modifications and other </w:t>
      </w:r>
      <w:r w:rsidRPr="00CC121D">
        <w:rPr>
          <w:iCs/>
        </w:rPr>
        <w:t>changes</w:t>
      </w:r>
      <w:bookmarkEnd w:id="83"/>
    </w:p>
    <w:p w14:paraId="573051B3" w14:textId="77777777" w:rsidR="00426F36" w:rsidRPr="00CC121D" w:rsidRDefault="00D07AFA" w:rsidP="00426F36">
      <w:pPr>
        <w:pStyle w:val="TSNumberedParagraph1"/>
        <w:rPr>
          <w:iCs/>
        </w:rPr>
      </w:pPr>
      <w:r w:rsidRPr="00CC121D">
        <w:rPr>
          <w:iCs/>
        </w:rPr>
        <w:t>The continued function of any structures, systems and components providing an ongoing safety function and any nuclear matter remaining within a structure must be protected during m</w:t>
      </w:r>
      <w:r w:rsidR="00426F36">
        <w:rPr>
          <w:iCs/>
        </w:rPr>
        <w:t>odification or alteration works.</w:t>
      </w:r>
      <w:r w:rsidR="00426F36" w:rsidRPr="00426F36">
        <w:rPr>
          <w:iCs/>
        </w:rPr>
        <w:t xml:space="preserve"> </w:t>
      </w:r>
      <w:r w:rsidR="00426F36" w:rsidRPr="00CC121D">
        <w:rPr>
          <w:iCs/>
        </w:rPr>
        <w:t>The key civil engineering principles for assessment of modifications are:</w:t>
      </w:r>
    </w:p>
    <w:p w14:paraId="573051B4" w14:textId="77777777" w:rsidR="00D07AFA" w:rsidRPr="001B477E" w:rsidRDefault="00D07AFA" w:rsidP="00D07AFA">
      <w:pPr>
        <w:numPr>
          <w:ilvl w:val="2"/>
          <w:numId w:val="10"/>
        </w:numPr>
        <w:spacing w:after="240"/>
        <w:ind w:left="1418"/>
        <w:contextualSpacing/>
        <w:rPr>
          <w:iCs/>
        </w:rPr>
      </w:pPr>
      <w:r w:rsidRPr="001B477E">
        <w:rPr>
          <w:iCs/>
        </w:rPr>
        <w:t>SC.8</w:t>
      </w:r>
      <w:r w:rsidR="001B477E" w:rsidRPr="001B477E">
        <w:rPr>
          <w:iCs/>
        </w:rPr>
        <w:t xml:space="preserve"> states the expectation that those who have direct responsibility for safety own the safety case</w:t>
      </w:r>
      <w:r w:rsidR="00426F36">
        <w:rPr>
          <w:iCs/>
        </w:rPr>
        <w:t>,</w:t>
      </w:r>
    </w:p>
    <w:p w14:paraId="573051B5" w14:textId="77777777" w:rsidR="00D07AFA" w:rsidRDefault="00D07AFA" w:rsidP="00D07AFA">
      <w:pPr>
        <w:numPr>
          <w:ilvl w:val="2"/>
          <w:numId w:val="10"/>
        </w:numPr>
        <w:spacing w:after="240"/>
        <w:ind w:left="1418"/>
        <w:contextualSpacing/>
        <w:rPr>
          <w:iCs/>
        </w:rPr>
      </w:pPr>
      <w:r w:rsidRPr="001B477E">
        <w:rPr>
          <w:iCs/>
        </w:rPr>
        <w:t xml:space="preserve">DC.1, DC.4, DC.5 and RL.2 state the design should facilitate decommissioning and dismantling, with updates to decommissioning strategies and plans, to include identification and remediation of any contaminated land, to ensure the site is </w:t>
      </w:r>
      <w:r w:rsidR="00C670A4">
        <w:rPr>
          <w:iCs/>
        </w:rPr>
        <w:t xml:space="preserve">passively </w:t>
      </w:r>
      <w:r w:rsidRPr="001B477E">
        <w:rPr>
          <w:iCs/>
        </w:rPr>
        <w:t>safe before entering</w:t>
      </w:r>
      <w:r w:rsidR="00426F36">
        <w:rPr>
          <w:iCs/>
        </w:rPr>
        <w:t xml:space="preserve"> the care and maintenance phase,</w:t>
      </w:r>
    </w:p>
    <w:p w14:paraId="573051B6" w14:textId="77777777" w:rsidR="00113EC2" w:rsidRPr="00113EC2" w:rsidRDefault="00113EC2" w:rsidP="00113EC2">
      <w:pPr>
        <w:numPr>
          <w:ilvl w:val="2"/>
          <w:numId w:val="10"/>
        </w:numPr>
        <w:spacing w:after="240"/>
        <w:ind w:left="1418"/>
        <w:contextualSpacing/>
        <w:rPr>
          <w:iCs/>
        </w:rPr>
      </w:pPr>
      <w:r>
        <w:rPr>
          <w:iCs/>
        </w:rPr>
        <w:t>DC.8 states that a</w:t>
      </w:r>
      <w:r w:rsidRPr="00113EC2">
        <w:rPr>
          <w:iCs/>
        </w:rPr>
        <w:t>ny modifications should be substantiated before</w:t>
      </w:r>
      <w:r>
        <w:rPr>
          <w:iCs/>
        </w:rPr>
        <w:t xml:space="preserve"> implementation,</w:t>
      </w:r>
    </w:p>
    <w:p w14:paraId="573051B7" w14:textId="77777777" w:rsidR="00D07AFA" w:rsidRPr="001B477E" w:rsidRDefault="00D07AFA" w:rsidP="00D07AFA">
      <w:pPr>
        <w:numPr>
          <w:ilvl w:val="2"/>
          <w:numId w:val="10"/>
        </w:numPr>
        <w:spacing w:after="240"/>
        <w:ind w:left="1418"/>
        <w:contextualSpacing/>
        <w:rPr>
          <w:iCs/>
        </w:rPr>
      </w:pPr>
      <w:r w:rsidRPr="001B477E">
        <w:rPr>
          <w:iCs/>
        </w:rPr>
        <w:t>EMC.11 failure models should be gradual and predictable</w:t>
      </w:r>
      <w:r w:rsidR="00426F36">
        <w:rPr>
          <w:iCs/>
        </w:rPr>
        <w:t>.</w:t>
      </w:r>
    </w:p>
    <w:p w14:paraId="573051B8" w14:textId="77777777" w:rsidR="00D07AFA" w:rsidRPr="00CC121D" w:rsidRDefault="00D07AFA" w:rsidP="00D07AFA">
      <w:pPr>
        <w:pStyle w:val="TSNumberedParagraph1"/>
        <w:rPr>
          <w:iCs/>
        </w:rPr>
      </w:pPr>
      <w:r w:rsidRPr="00CC121D">
        <w:rPr>
          <w:iCs/>
        </w:rPr>
        <w:t xml:space="preserve">Modifications can be </w:t>
      </w:r>
      <w:r w:rsidR="00426F36">
        <w:rPr>
          <w:iCs/>
        </w:rPr>
        <w:t>identified</w:t>
      </w:r>
      <w:r w:rsidRPr="00CC121D">
        <w:rPr>
          <w:iCs/>
        </w:rPr>
        <w:t xml:space="preserve"> by the duty holder for many reasons, at any stage in the design process. These modifications could be considered necessary by the duty holder in order to (but not limited to):</w:t>
      </w:r>
    </w:p>
    <w:p w14:paraId="573051B9" w14:textId="77777777" w:rsidR="00D07AFA" w:rsidRPr="00CC121D" w:rsidRDefault="00D07AFA" w:rsidP="00D07AFA">
      <w:pPr>
        <w:numPr>
          <w:ilvl w:val="2"/>
          <w:numId w:val="10"/>
        </w:numPr>
        <w:spacing w:after="240"/>
        <w:ind w:left="1418"/>
        <w:contextualSpacing/>
      </w:pPr>
      <w:r w:rsidRPr="00CC121D">
        <w:t>update installati</w:t>
      </w:r>
      <w:r w:rsidR="00426F36">
        <w:t>ons with the newest technology,</w:t>
      </w:r>
    </w:p>
    <w:p w14:paraId="573051BA" w14:textId="77777777" w:rsidR="00D07AFA" w:rsidRPr="00CC121D" w:rsidRDefault="00426F36" w:rsidP="00D07AFA">
      <w:pPr>
        <w:numPr>
          <w:ilvl w:val="2"/>
          <w:numId w:val="10"/>
        </w:numPr>
        <w:spacing w:after="240"/>
        <w:ind w:left="1418"/>
        <w:contextualSpacing/>
      </w:pPr>
      <w:r>
        <w:t>to increase efficiency,</w:t>
      </w:r>
    </w:p>
    <w:p w14:paraId="573051BB" w14:textId="77777777" w:rsidR="00D07AFA" w:rsidRPr="00CC121D" w:rsidRDefault="00D07AFA" w:rsidP="00D07AFA">
      <w:pPr>
        <w:numPr>
          <w:ilvl w:val="2"/>
          <w:numId w:val="10"/>
        </w:numPr>
        <w:spacing w:after="240"/>
        <w:ind w:left="1418"/>
        <w:contextualSpacing/>
      </w:pPr>
      <w:r w:rsidRPr="00CC121D">
        <w:t xml:space="preserve">to amend unforeseen </w:t>
      </w:r>
      <w:r w:rsidRPr="00CC121D">
        <w:rPr>
          <w:iCs/>
        </w:rPr>
        <w:t>errors</w:t>
      </w:r>
      <w:r w:rsidR="00426F36">
        <w:t xml:space="preserve"> in design or construction,</w:t>
      </w:r>
    </w:p>
    <w:p w14:paraId="573051BC" w14:textId="77777777" w:rsidR="00D07AFA" w:rsidRPr="00CC121D" w:rsidRDefault="00D07AFA" w:rsidP="00D07AFA">
      <w:pPr>
        <w:numPr>
          <w:ilvl w:val="2"/>
          <w:numId w:val="10"/>
        </w:numPr>
        <w:spacing w:after="240"/>
        <w:ind w:left="1418"/>
        <w:contextualSpacing/>
      </w:pPr>
      <w:r w:rsidRPr="00CC121D">
        <w:t>to make design</w:t>
      </w:r>
      <w:r w:rsidR="00426F36">
        <w:t>s more cost efficient to build,</w:t>
      </w:r>
    </w:p>
    <w:p w14:paraId="573051BD" w14:textId="77777777" w:rsidR="00D07AFA" w:rsidRPr="00CC121D" w:rsidRDefault="00D07AFA" w:rsidP="00D07AFA">
      <w:pPr>
        <w:numPr>
          <w:ilvl w:val="2"/>
          <w:numId w:val="10"/>
        </w:numPr>
        <w:spacing w:after="240"/>
        <w:ind w:left="1418"/>
        <w:contextualSpacing/>
      </w:pPr>
      <w:r w:rsidRPr="00CC121D">
        <w:t>for whole structures to undergo a change of use</w:t>
      </w:r>
      <w:r w:rsidR="00426F36">
        <w:t>.</w:t>
      </w:r>
    </w:p>
    <w:p w14:paraId="573051BE" w14:textId="3C06CD4E" w:rsidR="00D07AFA" w:rsidRPr="00CC121D" w:rsidRDefault="00D07AFA" w:rsidP="00D07AFA">
      <w:pPr>
        <w:pStyle w:val="TSNumberedParagraph1"/>
        <w:rPr>
          <w:iCs/>
        </w:rPr>
      </w:pPr>
      <w:r w:rsidRPr="00CC121D">
        <w:rPr>
          <w:iCs/>
        </w:rPr>
        <w:t xml:space="preserve">When assessing any modification of a civil engineering structure, the Inspector </w:t>
      </w:r>
      <w:r w:rsidR="00645E09">
        <w:rPr>
          <w:iCs/>
        </w:rPr>
        <w:t>may wish to</w:t>
      </w:r>
      <w:r w:rsidRPr="00CC121D">
        <w:rPr>
          <w:iCs/>
        </w:rPr>
        <w:t xml:space="preserve"> </w:t>
      </w:r>
      <w:r w:rsidR="007C4E48">
        <w:rPr>
          <w:iCs/>
        </w:rPr>
        <w:t>seek assurance</w:t>
      </w:r>
      <w:r w:rsidRPr="00CC121D">
        <w:rPr>
          <w:iCs/>
        </w:rPr>
        <w:t xml:space="preserve"> that the duty holder has considered the potential impacts or consequences of the activities required to implem</w:t>
      </w:r>
      <w:r w:rsidR="00426F36">
        <w:rPr>
          <w:iCs/>
        </w:rPr>
        <w:t>ent the modification or change.</w:t>
      </w:r>
    </w:p>
    <w:p w14:paraId="573051BF" w14:textId="74621616" w:rsidR="00D07AFA" w:rsidRDefault="00426F36" w:rsidP="00D07AFA">
      <w:pPr>
        <w:pStyle w:val="TSNumberedParagraph1"/>
        <w:rPr>
          <w:iCs/>
        </w:rPr>
      </w:pPr>
      <w:r>
        <w:rPr>
          <w:iCs/>
        </w:rPr>
        <w:t>T</w:t>
      </w:r>
      <w:r w:rsidR="00D07AFA" w:rsidRPr="00CC121D">
        <w:rPr>
          <w:iCs/>
        </w:rPr>
        <w:t xml:space="preserve">he Inspector should understand the consequences if the modification was ill-conceived or executed. To do this, the Inspector </w:t>
      </w:r>
      <w:r w:rsidR="00645E09">
        <w:rPr>
          <w:iCs/>
        </w:rPr>
        <w:t>may wish to</w:t>
      </w:r>
      <w:r w:rsidR="00D07AFA" w:rsidRPr="00CC121D">
        <w:rPr>
          <w:iCs/>
        </w:rPr>
        <w:t xml:space="preserve"> have sight of both the risk assessment where such risks are identified and of any arrangements in place to manage the risks. The Inspector </w:t>
      </w:r>
      <w:r w:rsidR="00645E09">
        <w:rPr>
          <w:iCs/>
        </w:rPr>
        <w:t>may</w:t>
      </w:r>
      <w:r w:rsidR="00D07AFA" w:rsidRPr="00CC121D">
        <w:rPr>
          <w:iCs/>
        </w:rPr>
        <w:t xml:space="preserve"> judge whether the risks associated with any civil engineering works have been considered and whether they are in line with the ALARP </w:t>
      </w:r>
      <w:r w:rsidR="00D07AFA" w:rsidRPr="003C6311">
        <w:rPr>
          <w:iCs/>
        </w:rPr>
        <w:t>principles e.g. time at risk.</w:t>
      </w:r>
    </w:p>
    <w:p w14:paraId="71F65056" w14:textId="118354E7" w:rsidR="00240420" w:rsidRDefault="00240420" w:rsidP="00D07AFA">
      <w:pPr>
        <w:pStyle w:val="TSNumberedParagraph1"/>
        <w:rPr>
          <w:iCs/>
        </w:rPr>
      </w:pPr>
      <w:r>
        <w:rPr>
          <w:iCs/>
        </w:rPr>
        <w:t>For more information on ALARP considerations, see:</w:t>
      </w:r>
    </w:p>
    <w:p w14:paraId="765CDD55" w14:textId="68D785C3" w:rsidR="00240420" w:rsidRPr="003C6311" w:rsidRDefault="00407613" w:rsidP="00240420">
      <w:pPr>
        <w:numPr>
          <w:ilvl w:val="2"/>
          <w:numId w:val="10"/>
        </w:numPr>
        <w:spacing w:after="240"/>
        <w:ind w:left="1418"/>
        <w:contextualSpacing/>
        <w:rPr>
          <w:iCs/>
        </w:rPr>
      </w:pPr>
      <w:r>
        <w:rPr>
          <w:iCs/>
        </w:rPr>
        <w:t>ONR-</w:t>
      </w:r>
      <w:r w:rsidR="00240420">
        <w:t>NS-TAST-</w:t>
      </w:r>
      <w:r w:rsidR="00240420" w:rsidRPr="00CC121D">
        <w:t xml:space="preserve">GD-005 </w:t>
      </w:r>
      <w:r w:rsidR="00240420">
        <w:t>‘</w:t>
      </w:r>
      <w:r w:rsidR="00240420" w:rsidRPr="00CC121D">
        <w:t>Guidance on the Demonstration of ALARP</w:t>
      </w:r>
      <w:r w:rsidR="00240420">
        <w:t>’</w:t>
      </w:r>
      <w:r w:rsidR="006C6094">
        <w:t>.</w:t>
      </w:r>
    </w:p>
    <w:p w14:paraId="573051C0" w14:textId="46BEBE00" w:rsidR="00D07AFA" w:rsidRPr="00CC121D" w:rsidRDefault="00D07AFA" w:rsidP="00D07AFA">
      <w:pPr>
        <w:pStyle w:val="TSNumberedParagraph1"/>
        <w:rPr>
          <w:iCs/>
        </w:rPr>
      </w:pPr>
      <w:r w:rsidRPr="003C6311">
        <w:rPr>
          <w:iCs/>
        </w:rPr>
        <w:t xml:space="preserve">There are often situations where nuclear </w:t>
      </w:r>
      <w:r w:rsidR="00240420">
        <w:rPr>
          <w:iCs/>
        </w:rPr>
        <w:t>facilities</w:t>
      </w:r>
      <w:r w:rsidR="00240420" w:rsidRPr="003C6311">
        <w:rPr>
          <w:iCs/>
        </w:rPr>
        <w:t xml:space="preserve"> </w:t>
      </w:r>
      <w:r w:rsidRPr="003C6311">
        <w:rPr>
          <w:iCs/>
        </w:rPr>
        <w:t xml:space="preserve">are considered as ‘post-operation’, where nearby </w:t>
      </w:r>
      <w:r w:rsidR="00240420">
        <w:rPr>
          <w:iCs/>
        </w:rPr>
        <w:t>facilities</w:t>
      </w:r>
      <w:r w:rsidR="00240420" w:rsidRPr="003C6311">
        <w:rPr>
          <w:iCs/>
        </w:rPr>
        <w:t xml:space="preserve"> </w:t>
      </w:r>
      <w:r w:rsidRPr="003C6311">
        <w:rPr>
          <w:iCs/>
        </w:rPr>
        <w:t xml:space="preserve">are still operating. Where this is the case, the </w:t>
      </w:r>
      <w:r w:rsidR="00C918DA">
        <w:rPr>
          <w:iCs/>
        </w:rPr>
        <w:t xml:space="preserve">Inspector may </w:t>
      </w:r>
      <w:r w:rsidRPr="003C6311">
        <w:rPr>
          <w:iCs/>
        </w:rPr>
        <w:t>consider the risk of any</w:t>
      </w:r>
      <w:r w:rsidRPr="00CC121D">
        <w:rPr>
          <w:iCs/>
        </w:rPr>
        <w:t xml:space="preserve"> potential impacts on adjacent </w:t>
      </w:r>
      <w:r w:rsidR="00C918DA">
        <w:rPr>
          <w:iCs/>
        </w:rPr>
        <w:t>facilities</w:t>
      </w:r>
      <w:r w:rsidR="00C918DA" w:rsidRPr="00CC121D">
        <w:rPr>
          <w:iCs/>
        </w:rPr>
        <w:t xml:space="preserve"> </w:t>
      </w:r>
      <w:r w:rsidRPr="00CC121D">
        <w:rPr>
          <w:iCs/>
        </w:rPr>
        <w:t>and how these will be mitigated or protected against.</w:t>
      </w:r>
    </w:p>
    <w:p w14:paraId="573051C1" w14:textId="77777777" w:rsidR="00D07AFA" w:rsidRPr="00CC121D" w:rsidRDefault="00D07AFA" w:rsidP="00D07AFA">
      <w:pPr>
        <w:pStyle w:val="TSNumberedParagraph1"/>
        <w:rPr>
          <w:iCs/>
        </w:rPr>
      </w:pPr>
      <w:r w:rsidRPr="00CC121D">
        <w:rPr>
          <w:iCs/>
        </w:rPr>
        <w:t xml:space="preserve">There may be optioneering studies to identify the most suitable option for a modification or change, which might include appropriateness of location, methodology or facility to accommodate the change. The Inspector </w:t>
      </w:r>
      <w:r w:rsidR="00645E09">
        <w:rPr>
          <w:iCs/>
        </w:rPr>
        <w:t>may wish to</w:t>
      </w:r>
      <w:r w:rsidRPr="00CC121D">
        <w:rPr>
          <w:iCs/>
        </w:rPr>
        <w:t xml:space="preserve"> have sight of such studies to understand the thought process behind the decisions made for the modification, to inform their assessment. Changes to the design and plant modifications should incorporate provision for decommissioning which should be included in decommissioning plan</w:t>
      </w:r>
      <w:r w:rsidR="003C6311">
        <w:rPr>
          <w:iCs/>
        </w:rPr>
        <w:t>s.</w:t>
      </w:r>
    </w:p>
    <w:p w14:paraId="573051C2" w14:textId="21704319" w:rsidR="00D07AFA" w:rsidRPr="00CC121D" w:rsidRDefault="00D07AFA" w:rsidP="00D07AFA">
      <w:pPr>
        <w:pStyle w:val="TSNumberedParagraph1"/>
        <w:rPr>
          <w:iCs/>
        </w:rPr>
      </w:pPr>
      <w:r w:rsidRPr="00CC121D">
        <w:rPr>
          <w:iCs/>
        </w:rPr>
        <w:t xml:space="preserve">When proposing a change of use or extension of life for a nuclear </w:t>
      </w:r>
      <w:r w:rsidR="00234682">
        <w:rPr>
          <w:iCs/>
        </w:rPr>
        <w:t>facility</w:t>
      </w:r>
      <w:r w:rsidRPr="00CC121D">
        <w:rPr>
          <w:iCs/>
        </w:rPr>
        <w:t xml:space="preserve">, the structure should be inspected for evidence of deterioration or distress. The design of the </w:t>
      </w:r>
      <w:r w:rsidR="00234682">
        <w:rPr>
          <w:iCs/>
        </w:rPr>
        <w:t>facility</w:t>
      </w:r>
      <w:r w:rsidR="00234682" w:rsidRPr="00CC121D">
        <w:rPr>
          <w:iCs/>
        </w:rPr>
        <w:t xml:space="preserve"> </w:t>
      </w:r>
      <w:r w:rsidRPr="00CC121D">
        <w:rPr>
          <w:iCs/>
        </w:rPr>
        <w:t>should be compared against the most relevant current design practice, and any shortfalls against current standards highlighted and duly considered. Th</w:t>
      </w:r>
      <w:r w:rsidR="00876CD1">
        <w:rPr>
          <w:iCs/>
        </w:rPr>
        <w:t xml:space="preserve">e Inspector may wish to seek assurance that, upon </w:t>
      </w:r>
      <w:r w:rsidRPr="00CC121D">
        <w:rPr>
          <w:iCs/>
        </w:rPr>
        <w:t xml:space="preserve">identifying whether any degradation has occurred, the proposed remediation to ensure the structure(s) will meet the new design intent following the change of use of the building, for the new desired lifetime of the change. This can include </w:t>
      </w:r>
      <w:r w:rsidR="00F9575A">
        <w:rPr>
          <w:iCs/>
        </w:rPr>
        <w:t xml:space="preserve">considerations of CDM 2015 including </w:t>
      </w:r>
      <w:r w:rsidRPr="00CC121D">
        <w:rPr>
          <w:iCs/>
        </w:rPr>
        <w:t>the use of the health and safety files</w:t>
      </w:r>
      <w:r w:rsidR="00F9575A">
        <w:rPr>
          <w:iCs/>
        </w:rPr>
        <w:t xml:space="preserve">, alongside other historical documents that record </w:t>
      </w:r>
      <w:r w:rsidRPr="00CC121D">
        <w:rPr>
          <w:iCs/>
        </w:rPr>
        <w:t xml:space="preserve">the condition </w:t>
      </w:r>
      <w:r w:rsidR="00F9575A">
        <w:rPr>
          <w:iCs/>
        </w:rPr>
        <w:t xml:space="preserve">(and any trending of degradation) </w:t>
      </w:r>
      <w:r w:rsidRPr="00CC121D">
        <w:rPr>
          <w:iCs/>
        </w:rPr>
        <w:t>from civil engineering maintenance schedule records.</w:t>
      </w:r>
    </w:p>
    <w:p w14:paraId="573051C3" w14:textId="62D610E0" w:rsidR="00D07AFA" w:rsidRPr="00CC121D" w:rsidRDefault="00D07AFA" w:rsidP="00D07AFA">
      <w:pPr>
        <w:pStyle w:val="TSNumberedParagraph1"/>
        <w:rPr>
          <w:iCs/>
        </w:rPr>
      </w:pPr>
      <w:r w:rsidRPr="00CC121D">
        <w:rPr>
          <w:iCs/>
        </w:rPr>
        <w:t xml:space="preserve">Where </w:t>
      </w:r>
      <w:r w:rsidR="00BE39C9">
        <w:rPr>
          <w:iCs/>
        </w:rPr>
        <w:t xml:space="preserve">a structure is proposed for a change of use and no </w:t>
      </w:r>
      <w:r w:rsidRPr="00CC121D">
        <w:rPr>
          <w:iCs/>
        </w:rPr>
        <w:t xml:space="preserve">modifications </w:t>
      </w:r>
      <w:r w:rsidR="00BE39C9">
        <w:rPr>
          <w:iCs/>
        </w:rPr>
        <w:t xml:space="preserve">are proposed </w:t>
      </w:r>
      <w:r w:rsidRPr="00CC121D">
        <w:rPr>
          <w:iCs/>
        </w:rPr>
        <w:t xml:space="preserve">to </w:t>
      </w:r>
      <w:r w:rsidR="00BE39C9">
        <w:rPr>
          <w:iCs/>
        </w:rPr>
        <w:t xml:space="preserve">repair or enhance the </w:t>
      </w:r>
      <w:r w:rsidRPr="00CC121D">
        <w:rPr>
          <w:iCs/>
        </w:rPr>
        <w:t xml:space="preserve">civil engineering structure(s), the Inspector </w:t>
      </w:r>
      <w:r w:rsidR="00645E09">
        <w:rPr>
          <w:iCs/>
        </w:rPr>
        <w:t>may</w:t>
      </w:r>
      <w:r w:rsidRPr="00CC121D">
        <w:rPr>
          <w:iCs/>
        </w:rPr>
        <w:t xml:space="preserve"> </w:t>
      </w:r>
      <w:r w:rsidR="001C001F">
        <w:rPr>
          <w:iCs/>
        </w:rPr>
        <w:t xml:space="preserve">seek assurance that </w:t>
      </w:r>
      <w:r w:rsidRPr="00CC121D">
        <w:rPr>
          <w:iCs/>
        </w:rPr>
        <w:t>a full and complete consideration of the current structural condition has been undertaken</w:t>
      </w:r>
      <w:r w:rsidR="002B6471">
        <w:rPr>
          <w:iCs/>
        </w:rPr>
        <w:t>. The Inspector may wish to consider whether there are adequate arrangements in place to check the condition of the structure upon completion of the internal modifications</w:t>
      </w:r>
      <w:r w:rsidRPr="00CC121D">
        <w:rPr>
          <w:iCs/>
        </w:rPr>
        <w:t>, e.g. internal processes may be ‘refurbished’ or otherwise modified, and these may require no physical change to the structure</w:t>
      </w:r>
      <w:r w:rsidR="00AA0829">
        <w:rPr>
          <w:iCs/>
        </w:rPr>
        <w:t xml:space="preserve">, but </w:t>
      </w:r>
      <w:r w:rsidR="002B6471">
        <w:rPr>
          <w:iCs/>
        </w:rPr>
        <w:t xml:space="preserve">previously hidden </w:t>
      </w:r>
      <w:r w:rsidR="00AA0829">
        <w:rPr>
          <w:iCs/>
        </w:rPr>
        <w:t xml:space="preserve">ageing </w:t>
      </w:r>
      <w:r w:rsidR="002B6471">
        <w:rPr>
          <w:iCs/>
        </w:rPr>
        <w:t xml:space="preserve">mechanisms may be exposed, </w:t>
      </w:r>
      <w:r w:rsidR="00AA0829">
        <w:rPr>
          <w:iCs/>
        </w:rPr>
        <w:t xml:space="preserve">or damage </w:t>
      </w:r>
      <w:r w:rsidR="002B6471">
        <w:rPr>
          <w:iCs/>
        </w:rPr>
        <w:t xml:space="preserve">incurred during </w:t>
      </w:r>
      <w:r w:rsidR="00AA0829">
        <w:rPr>
          <w:iCs/>
        </w:rPr>
        <w:t>the internal</w:t>
      </w:r>
      <w:r w:rsidR="002B6471">
        <w:rPr>
          <w:iCs/>
        </w:rPr>
        <w:t xml:space="preserve"> modification work</w:t>
      </w:r>
      <w:r w:rsidR="003C6311">
        <w:rPr>
          <w:iCs/>
        </w:rPr>
        <w:t>.</w:t>
      </w:r>
    </w:p>
    <w:p w14:paraId="573051C4" w14:textId="77777777" w:rsidR="00D07AFA" w:rsidRPr="00CC121D" w:rsidRDefault="00D07AFA" w:rsidP="00D07AFA">
      <w:pPr>
        <w:pStyle w:val="TSNumberedParagraph1"/>
        <w:rPr>
          <w:iCs/>
        </w:rPr>
      </w:pPr>
      <w:r w:rsidRPr="00CC121D">
        <w:rPr>
          <w:iCs/>
        </w:rPr>
        <w:t xml:space="preserve">Assessment of a modification or change can include ensuring that arrangements are in place for revised maintenance when a structure has a change of use or change to its required design life. The Inspector </w:t>
      </w:r>
      <w:r w:rsidR="00645E09">
        <w:rPr>
          <w:iCs/>
        </w:rPr>
        <w:t>may</w:t>
      </w:r>
      <w:r w:rsidRPr="00CC121D">
        <w:rPr>
          <w:iCs/>
        </w:rPr>
        <w:t xml:space="preserve"> consider whether the choice of structure is appropriate and whether maintenance schedules, health and safety file, decommissioning strategies and decommissioning plans have been updated in a timely manner.</w:t>
      </w:r>
    </w:p>
    <w:p w14:paraId="573051C5" w14:textId="77777777" w:rsidR="00D07AFA" w:rsidRPr="00CC121D" w:rsidRDefault="00D07AFA" w:rsidP="00D07AFA">
      <w:pPr>
        <w:pStyle w:val="TSNumberedParagraph1"/>
        <w:rPr>
          <w:iCs/>
        </w:rPr>
      </w:pPr>
      <w:r w:rsidRPr="00CC121D">
        <w:rPr>
          <w:iCs/>
        </w:rPr>
        <w:t>Where the seismic capacity of existing installations is proposed to be enhanced, this proposal must not compromise the safety function of existing structures, systems and components. Modifications must attempt to reduce the overall risks so far as is reasonably practicable for the remaining life cycle of the site.</w:t>
      </w:r>
    </w:p>
    <w:p w14:paraId="573051C6" w14:textId="77777777" w:rsidR="00D07AFA" w:rsidRPr="00CC121D" w:rsidRDefault="00D07AFA" w:rsidP="00D07AFA">
      <w:pPr>
        <w:pStyle w:val="TSNumberedParagraph1"/>
        <w:rPr>
          <w:iCs/>
        </w:rPr>
      </w:pPr>
      <w:r w:rsidRPr="00CC121D">
        <w:rPr>
          <w:iCs/>
        </w:rPr>
        <w:t>The related key civil engineering principles for assessment of modifications are also presented in:</w:t>
      </w:r>
    </w:p>
    <w:p w14:paraId="573051C7" w14:textId="06AB8C50" w:rsidR="00D07AFA" w:rsidRPr="00CC121D" w:rsidRDefault="00D07AFA" w:rsidP="00D07AFA">
      <w:pPr>
        <w:numPr>
          <w:ilvl w:val="2"/>
          <w:numId w:val="10"/>
        </w:numPr>
        <w:spacing w:after="240"/>
        <w:ind w:left="1418"/>
        <w:contextualSpacing/>
        <w:rPr>
          <w:iCs/>
        </w:rPr>
      </w:pPr>
      <w:r w:rsidRPr="00CC121D">
        <w:rPr>
          <w:iCs/>
        </w:rPr>
        <w:t>Where the modification impacts design intent</w:t>
      </w:r>
      <w:r w:rsidR="00CD2CE5">
        <w:rPr>
          <w:iCs/>
        </w:rPr>
        <w:t>, or where design changes may occur</w:t>
      </w:r>
      <w:r w:rsidRPr="00CC121D">
        <w:rPr>
          <w:iCs/>
        </w:rPr>
        <w:t xml:space="preserve">, </w:t>
      </w:r>
      <w:r w:rsidR="00CD2CE5">
        <w:rPr>
          <w:iCs/>
        </w:rPr>
        <w:t xml:space="preserve">see </w:t>
      </w:r>
      <w:r w:rsidRPr="00CC121D">
        <w:rPr>
          <w:iCs/>
        </w:rPr>
        <w:t>TAG 17 Annex 1</w:t>
      </w:r>
      <w:r w:rsidR="006946E5">
        <w:rPr>
          <w:iCs/>
        </w:rPr>
        <w:t>,</w:t>
      </w:r>
      <w:r w:rsidRPr="00CC121D">
        <w:rPr>
          <w:iCs/>
        </w:rPr>
        <w:t xml:space="preserve"> ‘Civil Engineering – Design</w:t>
      </w:r>
      <w:r w:rsidR="006946E5">
        <w:rPr>
          <w:iCs/>
        </w:rPr>
        <w:t>’</w:t>
      </w:r>
      <w:r w:rsidR="003C6311">
        <w:rPr>
          <w:iCs/>
        </w:rPr>
        <w:t>,</w:t>
      </w:r>
    </w:p>
    <w:p w14:paraId="573051C8" w14:textId="46EA2523" w:rsidR="00D07AFA" w:rsidRPr="00CC121D" w:rsidRDefault="00D07AFA" w:rsidP="00D07AFA">
      <w:pPr>
        <w:numPr>
          <w:ilvl w:val="2"/>
          <w:numId w:val="10"/>
        </w:numPr>
        <w:spacing w:after="240"/>
        <w:ind w:left="1418"/>
        <w:contextualSpacing/>
        <w:rPr>
          <w:iCs/>
        </w:rPr>
      </w:pPr>
      <w:r w:rsidRPr="00CC121D">
        <w:rPr>
          <w:iCs/>
        </w:rPr>
        <w:t xml:space="preserve">Where the modification needs to change </w:t>
      </w:r>
      <w:r w:rsidR="008D0E2E" w:rsidRPr="00CC121D">
        <w:rPr>
          <w:iCs/>
        </w:rPr>
        <w:t>layout,</w:t>
      </w:r>
      <w:r w:rsidRPr="00CC121D">
        <w:rPr>
          <w:iCs/>
        </w:rPr>
        <w:t xml:space="preserve"> which is included in a BIM model, or where 3D data capture is used, TAG 17 Annex 2 applies: ‘Building Information Modelling’</w:t>
      </w:r>
      <w:r w:rsidR="003C6311">
        <w:rPr>
          <w:iCs/>
        </w:rPr>
        <w:t>,</w:t>
      </w:r>
    </w:p>
    <w:p w14:paraId="573051C9" w14:textId="3602128F" w:rsidR="00D07AFA" w:rsidRPr="00CC121D" w:rsidRDefault="00D07AFA" w:rsidP="00D07AFA">
      <w:pPr>
        <w:numPr>
          <w:ilvl w:val="2"/>
          <w:numId w:val="10"/>
        </w:numPr>
        <w:spacing w:after="240"/>
        <w:ind w:left="1418"/>
        <w:contextualSpacing/>
        <w:rPr>
          <w:iCs/>
        </w:rPr>
      </w:pPr>
      <w:r w:rsidRPr="00CC121D">
        <w:rPr>
          <w:iCs/>
        </w:rPr>
        <w:t xml:space="preserve">Where the modification needs to consider the condition of a structure, TAG 17 Annex 5 applies </w:t>
      </w:r>
      <w:r w:rsidR="000F6F24">
        <w:rPr>
          <w:iCs/>
        </w:rPr>
        <w:t>‘</w:t>
      </w:r>
      <w:r w:rsidRPr="00CC121D">
        <w:rPr>
          <w:iCs/>
        </w:rPr>
        <w:t xml:space="preserve">Civil Engineering – </w:t>
      </w:r>
      <w:r w:rsidR="006946E5">
        <w:rPr>
          <w:iCs/>
        </w:rPr>
        <w:t>Ageing Management and Damaged Structures</w:t>
      </w:r>
      <w:r w:rsidR="000F6F24">
        <w:rPr>
          <w:iCs/>
        </w:rPr>
        <w:t>’</w:t>
      </w:r>
      <w:r w:rsidR="003C6311">
        <w:rPr>
          <w:iCs/>
        </w:rPr>
        <w:t>,</w:t>
      </w:r>
    </w:p>
    <w:p w14:paraId="573051CA" w14:textId="1FBFCF1E" w:rsidR="00D07AFA" w:rsidRPr="00CC121D" w:rsidRDefault="00D07AFA" w:rsidP="00D07AFA">
      <w:pPr>
        <w:numPr>
          <w:ilvl w:val="2"/>
          <w:numId w:val="10"/>
        </w:numPr>
        <w:spacing w:after="240"/>
        <w:ind w:left="1418"/>
        <w:contextualSpacing/>
        <w:rPr>
          <w:iCs/>
        </w:rPr>
      </w:pPr>
      <w:r w:rsidRPr="00CC121D">
        <w:t>Where the modification includes clean out, decommissioning or partial demolition, TAG 17 Annex 6 applies</w:t>
      </w:r>
      <w:r w:rsidRPr="00CC121D">
        <w:rPr>
          <w:iCs/>
        </w:rPr>
        <w:t xml:space="preserve"> </w:t>
      </w:r>
      <w:r w:rsidR="000F6F24">
        <w:rPr>
          <w:iCs/>
        </w:rPr>
        <w:t>‘</w:t>
      </w:r>
      <w:r w:rsidRPr="00CC121D">
        <w:rPr>
          <w:iCs/>
        </w:rPr>
        <w:t>Civil Engineering – Post Operation</w:t>
      </w:r>
      <w:r w:rsidR="000F6F24">
        <w:rPr>
          <w:iCs/>
        </w:rPr>
        <w:t>’</w:t>
      </w:r>
      <w:r w:rsidR="003C6311">
        <w:rPr>
          <w:iCs/>
        </w:rPr>
        <w:t>,</w:t>
      </w:r>
    </w:p>
    <w:p w14:paraId="573051CC" w14:textId="1F19AAA5" w:rsidR="00D07AFA" w:rsidRPr="00CC121D" w:rsidRDefault="00CD2CE5" w:rsidP="00D07AFA">
      <w:pPr>
        <w:numPr>
          <w:ilvl w:val="2"/>
          <w:numId w:val="10"/>
        </w:numPr>
        <w:spacing w:after="240"/>
        <w:ind w:left="1418"/>
        <w:contextualSpacing/>
        <w:rPr>
          <w:iCs/>
        </w:rPr>
      </w:pPr>
      <w:r w:rsidRPr="00CC121D" w:rsidDel="00CD2CE5">
        <w:rPr>
          <w:iCs/>
        </w:rPr>
        <w:t xml:space="preserve"> </w:t>
      </w:r>
      <w:r w:rsidR="00D07AFA" w:rsidRPr="00CC121D">
        <w:rPr>
          <w:iCs/>
        </w:rPr>
        <w:t xml:space="preserve">‘Non-conformances and defects’ Section </w:t>
      </w:r>
      <w:r>
        <w:rPr>
          <w:iCs/>
        </w:rPr>
        <w:t>5.5.3</w:t>
      </w:r>
      <w:r w:rsidR="00D07AFA" w:rsidRPr="00CC121D">
        <w:rPr>
          <w:iCs/>
        </w:rPr>
        <w:t xml:space="preserve"> of this document</w:t>
      </w:r>
      <w:r w:rsidR="003C6311">
        <w:rPr>
          <w:iCs/>
        </w:rPr>
        <w:t>.</w:t>
      </w:r>
    </w:p>
    <w:p w14:paraId="573051CD" w14:textId="77777777" w:rsidR="00D07AFA" w:rsidRPr="00CC121D" w:rsidRDefault="00D07AFA" w:rsidP="00D07AFA">
      <w:pPr>
        <w:pStyle w:val="TSNumberedParagraph1"/>
        <w:rPr>
          <w:iCs/>
        </w:rPr>
      </w:pPr>
      <w:r w:rsidRPr="00CC121D">
        <w:rPr>
          <w:iCs/>
        </w:rPr>
        <w:t>Further ONR expectations on assessment of modifications are provided in:</w:t>
      </w:r>
    </w:p>
    <w:p w14:paraId="573051CE" w14:textId="5F5880A6" w:rsidR="00D07AFA" w:rsidRPr="00CC121D" w:rsidRDefault="00407613" w:rsidP="00D07AFA">
      <w:pPr>
        <w:numPr>
          <w:ilvl w:val="2"/>
          <w:numId w:val="10"/>
        </w:numPr>
        <w:spacing w:after="240"/>
        <w:ind w:left="1418"/>
        <w:contextualSpacing/>
        <w:rPr>
          <w:iCs/>
        </w:rPr>
      </w:pPr>
      <w:r>
        <w:rPr>
          <w:iCs/>
        </w:rPr>
        <w:t>ONR-</w:t>
      </w:r>
      <w:r w:rsidR="00D07AFA" w:rsidRPr="00CC121D">
        <w:rPr>
          <w:iCs/>
        </w:rPr>
        <w:t>NS-TAST-GD-026 ‘Decommissioning’</w:t>
      </w:r>
      <w:r w:rsidR="00C54EFC">
        <w:rPr>
          <w:iCs/>
        </w:rPr>
        <w:t>,</w:t>
      </w:r>
    </w:p>
    <w:p w14:paraId="424D1063" w14:textId="2F5A8AAC" w:rsidR="00ED60B6" w:rsidRPr="00ED60B6" w:rsidRDefault="00407613" w:rsidP="00ED60B6">
      <w:pPr>
        <w:numPr>
          <w:ilvl w:val="2"/>
          <w:numId w:val="10"/>
        </w:numPr>
        <w:spacing w:after="240"/>
        <w:ind w:left="1418"/>
        <w:contextualSpacing/>
        <w:rPr>
          <w:iCs/>
        </w:rPr>
      </w:pPr>
      <w:r>
        <w:rPr>
          <w:iCs/>
        </w:rPr>
        <w:t>ONR-</w:t>
      </w:r>
      <w:r w:rsidR="00ED60B6" w:rsidRPr="00ED60B6">
        <w:rPr>
          <w:iCs/>
        </w:rPr>
        <w:t>NS-TAST-GD-033 ‘</w:t>
      </w:r>
      <w:proofErr w:type="spellStart"/>
      <w:r w:rsidR="00ED60B6" w:rsidRPr="00ED60B6">
        <w:rPr>
          <w:iCs/>
        </w:rPr>
        <w:t>Dutyholder</w:t>
      </w:r>
      <w:proofErr w:type="spellEnd"/>
      <w:r w:rsidR="00ED60B6" w:rsidRPr="00ED60B6">
        <w:rPr>
          <w:iCs/>
        </w:rPr>
        <w:t xml:space="preserve"> Management of Records’</w:t>
      </w:r>
      <w:r w:rsidR="00FC5FB1">
        <w:rPr>
          <w:iCs/>
        </w:rPr>
        <w:t>,</w:t>
      </w:r>
    </w:p>
    <w:p w14:paraId="573051CF" w14:textId="439E0EA9" w:rsidR="00D07AFA" w:rsidRPr="00CC121D" w:rsidRDefault="00407613" w:rsidP="00D07AFA">
      <w:pPr>
        <w:numPr>
          <w:ilvl w:val="2"/>
          <w:numId w:val="10"/>
        </w:numPr>
        <w:spacing w:after="240"/>
        <w:ind w:left="1418"/>
        <w:contextualSpacing/>
        <w:rPr>
          <w:iCs/>
        </w:rPr>
      </w:pPr>
      <w:r>
        <w:rPr>
          <w:iCs/>
        </w:rPr>
        <w:t>ONR-</w:t>
      </w:r>
      <w:r w:rsidR="00D07AFA" w:rsidRPr="00CC121D">
        <w:rPr>
          <w:iCs/>
        </w:rPr>
        <w:t>NS-TAST-GD-098 ‘Asset Management’</w:t>
      </w:r>
      <w:r w:rsidR="00C54EFC">
        <w:rPr>
          <w:iCs/>
        </w:rPr>
        <w:t>,</w:t>
      </w:r>
    </w:p>
    <w:p w14:paraId="573051D0" w14:textId="34F45C0E" w:rsidR="00D07AFA" w:rsidRPr="00CC121D" w:rsidRDefault="00407613" w:rsidP="00D07AFA">
      <w:pPr>
        <w:numPr>
          <w:ilvl w:val="2"/>
          <w:numId w:val="10"/>
        </w:numPr>
        <w:spacing w:after="240"/>
        <w:ind w:left="1418"/>
        <w:contextualSpacing/>
        <w:rPr>
          <w:iCs/>
        </w:rPr>
      </w:pPr>
      <w:r>
        <w:rPr>
          <w:iCs/>
        </w:rPr>
        <w:t>ONR-</w:t>
      </w:r>
      <w:r w:rsidR="00D07AFA" w:rsidRPr="00CC121D">
        <w:rPr>
          <w:iCs/>
        </w:rPr>
        <w:t>NS-INSP-GD-020 ‘LC20 – Modification to Design of Plant Under Construction’</w:t>
      </w:r>
      <w:r w:rsidR="00C54EFC">
        <w:rPr>
          <w:iCs/>
        </w:rPr>
        <w:t>,</w:t>
      </w:r>
    </w:p>
    <w:p w14:paraId="573051F5" w14:textId="6A830B92" w:rsidR="00D07AFA" w:rsidRDefault="00407613" w:rsidP="00CD2CE5">
      <w:pPr>
        <w:numPr>
          <w:ilvl w:val="2"/>
          <w:numId w:val="10"/>
        </w:numPr>
        <w:spacing w:after="240"/>
        <w:ind w:left="1418"/>
        <w:contextualSpacing/>
        <w:rPr>
          <w:iCs/>
        </w:rPr>
      </w:pPr>
      <w:r>
        <w:rPr>
          <w:iCs/>
        </w:rPr>
        <w:t>ONR-</w:t>
      </w:r>
      <w:r w:rsidR="00D07AFA" w:rsidRPr="00CC121D">
        <w:rPr>
          <w:iCs/>
        </w:rPr>
        <w:t>NS-INSP-GD-022 ‘LC22 – Modification or Experiment on Existing Plant’</w:t>
      </w:r>
      <w:r w:rsidR="00E203EF">
        <w:rPr>
          <w:iCs/>
        </w:rPr>
        <w:t>,</w:t>
      </w:r>
    </w:p>
    <w:p w14:paraId="5E46CE13" w14:textId="0E115925" w:rsidR="009538BE" w:rsidRPr="009538BE" w:rsidRDefault="00407613" w:rsidP="009538BE">
      <w:pPr>
        <w:numPr>
          <w:ilvl w:val="2"/>
          <w:numId w:val="10"/>
        </w:numPr>
        <w:tabs>
          <w:tab w:val="clear" w:pos="-31680"/>
        </w:tabs>
        <w:spacing w:after="240"/>
        <w:ind w:left="1418"/>
        <w:contextualSpacing/>
      </w:pPr>
      <w:r>
        <w:rPr>
          <w:iCs/>
        </w:rPr>
        <w:t>ONR-</w:t>
      </w:r>
      <w:r w:rsidR="009538BE" w:rsidRPr="002564A4">
        <w:t>NS-INSP-GD-035 ‘Decommissioning’</w:t>
      </w:r>
      <w:r w:rsidR="00E203EF">
        <w:t>.</w:t>
      </w:r>
    </w:p>
    <w:p w14:paraId="573051F6" w14:textId="74AC9EDE" w:rsidR="00D07AFA" w:rsidRPr="00CC121D" w:rsidRDefault="00D07AFA" w:rsidP="00D07AFA">
      <w:pPr>
        <w:pStyle w:val="TSHeadingNumbered1"/>
        <w:rPr>
          <w:iCs/>
          <w:caps w:val="0"/>
        </w:rPr>
      </w:pPr>
      <w:r w:rsidRPr="00CC121D">
        <w:br w:type="page"/>
      </w:r>
      <w:bookmarkStart w:id="84" w:name="_Toc43723348"/>
      <w:bookmarkStart w:id="85" w:name="_Toc57912709"/>
      <w:r w:rsidRPr="00CC121D">
        <w:t>REFERENCES</w:t>
      </w:r>
      <w:bookmarkEnd w:id="84"/>
      <w:bookmarkEnd w:id="85"/>
    </w:p>
    <w:p w14:paraId="1248B34B" w14:textId="77777777" w:rsidR="007269E5" w:rsidRDefault="007269E5" w:rsidP="007269E5">
      <w:pPr>
        <w:numPr>
          <w:ilvl w:val="0"/>
          <w:numId w:val="17"/>
        </w:numPr>
        <w:spacing w:after="220"/>
        <w:outlineLvl w:val="0"/>
      </w:pPr>
      <w:bookmarkStart w:id="86" w:name="_Ref524615777"/>
      <w:r w:rsidRPr="00CC121D">
        <w:t xml:space="preserve">ONR. Safety Assessment Principles for Nuclear Facilities. 2014 Edition Revision 0. November 2014. </w:t>
      </w:r>
      <w:hyperlink r:id="rId12" w:history="1">
        <w:r w:rsidRPr="00CC121D">
          <w:rPr>
            <w:u w:val="single"/>
          </w:rPr>
          <w:t>http://www.onr.org.uk/saps/saps2014.pdf</w:t>
        </w:r>
      </w:hyperlink>
      <w:bookmarkEnd w:id="86"/>
      <w:r w:rsidRPr="00CC121D">
        <w:t xml:space="preserve"> (</w:t>
      </w:r>
      <w:r>
        <w:t>last accessed November 2020).</w:t>
      </w:r>
    </w:p>
    <w:p w14:paraId="0A12F3E7" w14:textId="77777777" w:rsidR="007269E5" w:rsidRPr="00B22AF0" w:rsidRDefault="007269E5" w:rsidP="007269E5">
      <w:pPr>
        <w:numPr>
          <w:ilvl w:val="0"/>
          <w:numId w:val="17"/>
        </w:numPr>
        <w:spacing w:after="220"/>
        <w:outlineLvl w:val="0"/>
      </w:pPr>
      <w:r w:rsidRPr="00CC121D">
        <w:t xml:space="preserve">IAEA, </w:t>
      </w:r>
      <w:r w:rsidRPr="00B22AF0">
        <w:t xml:space="preserve">Specific Safety Requirements, No SSR-2/1 </w:t>
      </w:r>
      <w:r>
        <w:t>‘</w:t>
      </w:r>
      <w:r w:rsidRPr="00B22AF0">
        <w:t>Safety of Nuclear Power Plants: Design</w:t>
      </w:r>
      <w:r>
        <w:t>’</w:t>
      </w:r>
      <w:r w:rsidRPr="00B22AF0">
        <w:t>. (Rev. 1). 2016.</w:t>
      </w:r>
      <w:r>
        <w:t xml:space="preserve"> www.iaea.org</w:t>
      </w:r>
      <w:r w:rsidRPr="00B22AF0">
        <w:t xml:space="preserve"> (last accessed</w:t>
      </w:r>
      <w:r>
        <w:t xml:space="preserve"> November 2020</w:t>
      </w:r>
      <w:r w:rsidRPr="00B22AF0">
        <w:t>).</w:t>
      </w:r>
    </w:p>
    <w:p w14:paraId="1423AC7A" w14:textId="77777777" w:rsidR="007269E5" w:rsidRPr="00CC121D" w:rsidRDefault="007269E5" w:rsidP="007269E5">
      <w:pPr>
        <w:numPr>
          <w:ilvl w:val="0"/>
          <w:numId w:val="17"/>
        </w:numPr>
        <w:spacing w:after="220"/>
        <w:outlineLvl w:val="0"/>
      </w:pPr>
      <w:r>
        <w:t>Building Regulations 2010 www.gov.uk(last accessed November 2020).</w:t>
      </w:r>
    </w:p>
    <w:p w14:paraId="379C89B4" w14:textId="77777777" w:rsidR="007269E5" w:rsidRPr="00085D2D" w:rsidRDefault="007269E5" w:rsidP="007269E5">
      <w:pPr>
        <w:numPr>
          <w:ilvl w:val="0"/>
          <w:numId w:val="17"/>
        </w:numPr>
        <w:spacing w:after="220"/>
        <w:outlineLvl w:val="0"/>
        <w:rPr>
          <w:rFonts w:cs="Arial"/>
        </w:rPr>
      </w:pPr>
      <w:r w:rsidRPr="00085D2D">
        <w:rPr>
          <w:rFonts w:cs="Arial"/>
        </w:rPr>
        <w:t xml:space="preserve">ONR ‘Licensing Nuclear Installations’ </w:t>
      </w:r>
      <w:hyperlink r:id="rId13" w:history="1">
        <w:r w:rsidRPr="00085D2D">
          <w:rPr>
            <w:rFonts w:cs="Arial"/>
          </w:rPr>
          <w:t>http://www.onr.org.uk/licensing-nuclear-installations.pdf</w:t>
        </w:r>
      </w:hyperlink>
      <w:r w:rsidRPr="00085D2D">
        <w:rPr>
          <w:rFonts w:cs="Arial"/>
        </w:rPr>
        <w:t>, (last accessed November 2020)</w:t>
      </w:r>
      <w:r>
        <w:rPr>
          <w:rFonts w:cs="Arial"/>
        </w:rPr>
        <w:t>.</w:t>
      </w:r>
    </w:p>
    <w:p w14:paraId="0B5B9FE0" w14:textId="77777777" w:rsidR="007269E5" w:rsidRPr="00085D2D" w:rsidRDefault="007269E5" w:rsidP="007269E5">
      <w:pPr>
        <w:numPr>
          <w:ilvl w:val="0"/>
          <w:numId w:val="17"/>
        </w:numPr>
        <w:spacing w:after="220"/>
        <w:outlineLvl w:val="0"/>
        <w:rPr>
          <w:rFonts w:cs="Arial"/>
        </w:rPr>
      </w:pPr>
      <w:r w:rsidRPr="00085D2D">
        <w:rPr>
          <w:rFonts w:cs="Arial"/>
        </w:rPr>
        <w:t xml:space="preserve"> ‘Geological Disposal Facilities for Radioactive Waste’ IAEA SSG-14</w:t>
      </w:r>
      <w:r>
        <w:rPr>
          <w:rFonts w:cs="Arial"/>
        </w:rPr>
        <w:t xml:space="preserve"> </w:t>
      </w:r>
      <w:hyperlink r:id="rId14" w:history="1">
        <w:r w:rsidRPr="00F6308C">
          <w:rPr>
            <w:rStyle w:val="Hyperlink"/>
            <w:rFonts w:cs="Arial"/>
          </w:rPr>
          <w:t>www.iaea.org</w:t>
        </w:r>
      </w:hyperlink>
      <w:r>
        <w:rPr>
          <w:rFonts w:cs="Arial"/>
        </w:rPr>
        <w:t xml:space="preserve"> </w:t>
      </w:r>
      <w:r w:rsidRPr="00085D2D">
        <w:rPr>
          <w:rFonts w:cs="Arial"/>
        </w:rPr>
        <w:t>(last accessed November 2020)</w:t>
      </w:r>
      <w:r>
        <w:rPr>
          <w:rFonts w:cs="Arial"/>
        </w:rPr>
        <w:t>.</w:t>
      </w:r>
    </w:p>
    <w:p w14:paraId="551113EA" w14:textId="77777777" w:rsidR="007269E5" w:rsidRDefault="007269E5" w:rsidP="007269E5">
      <w:pPr>
        <w:numPr>
          <w:ilvl w:val="0"/>
          <w:numId w:val="17"/>
        </w:numPr>
        <w:spacing w:after="220"/>
        <w:outlineLvl w:val="0"/>
      </w:pPr>
      <w:r w:rsidRPr="00085D2D">
        <w:rPr>
          <w:rFonts w:cs="Arial"/>
        </w:rPr>
        <w:t>Site Investigations for Repositories for Solid Radioactive Wastes in Deep Continental Geological Formations’ IAEA</w:t>
      </w:r>
      <w:r w:rsidRPr="00CC121D">
        <w:t xml:space="preserve"> Technical Report  No. 215</w:t>
      </w:r>
      <w:r>
        <w:t>.</w:t>
      </w:r>
      <w:r w:rsidRPr="00085D2D">
        <w:rPr>
          <w:rFonts w:cs="Arial"/>
        </w:rPr>
        <w:t xml:space="preserve"> </w:t>
      </w:r>
      <w:hyperlink r:id="rId15" w:history="1">
        <w:r w:rsidRPr="00F6308C">
          <w:rPr>
            <w:rStyle w:val="Hyperlink"/>
            <w:rFonts w:cs="Arial"/>
          </w:rPr>
          <w:t>www.iaea.org</w:t>
        </w:r>
      </w:hyperlink>
      <w:r>
        <w:rPr>
          <w:rFonts w:cs="Arial"/>
        </w:rPr>
        <w:t xml:space="preserve"> </w:t>
      </w:r>
      <w:r w:rsidRPr="00085D2D">
        <w:rPr>
          <w:rFonts w:cs="Arial"/>
        </w:rPr>
        <w:t>(last accessed November 2020)</w:t>
      </w:r>
      <w:r>
        <w:rPr>
          <w:rFonts w:cs="Arial"/>
        </w:rPr>
        <w:t>.</w:t>
      </w:r>
    </w:p>
    <w:p w14:paraId="0B35D30D" w14:textId="77777777" w:rsidR="007269E5" w:rsidRDefault="007269E5" w:rsidP="007269E5">
      <w:pPr>
        <w:numPr>
          <w:ilvl w:val="0"/>
          <w:numId w:val="17"/>
        </w:numPr>
        <w:spacing w:after="220"/>
        <w:outlineLvl w:val="0"/>
      </w:pPr>
      <w:r>
        <w:rPr>
          <w:iCs/>
        </w:rPr>
        <w:t>ONR-</w:t>
      </w:r>
      <w:r w:rsidRPr="00CC121D">
        <w:t xml:space="preserve">NS-INSP-GD-056:  </w:t>
      </w:r>
      <w:r>
        <w:t>‘</w:t>
      </w:r>
      <w:r w:rsidRPr="00CC121D">
        <w:t>Regulation of GB’s Defence Programme</w:t>
      </w:r>
      <w:r>
        <w:t>’</w:t>
      </w:r>
      <w:r w:rsidRPr="00CC121D">
        <w:t xml:space="preserve">  </w:t>
      </w:r>
      <w:hyperlink r:id="rId16" w:history="1">
        <w:r w:rsidRPr="00CC121D">
          <w:rPr>
            <w:rStyle w:val="Hyperlink"/>
            <w:color w:val="auto"/>
          </w:rPr>
          <w:t>http://www.onr.org.uk/operational/tech_insp_guides/ns-insp-gd-056.pdf</w:t>
        </w:r>
      </w:hyperlink>
      <w:r>
        <w:rPr>
          <w:rStyle w:val="Hyperlink"/>
          <w:color w:val="auto"/>
        </w:rPr>
        <w:t xml:space="preserve"> </w:t>
      </w:r>
      <w:r w:rsidRPr="00085D2D">
        <w:rPr>
          <w:rFonts w:cs="Arial"/>
        </w:rPr>
        <w:t>(last accessed November 2020)</w:t>
      </w:r>
      <w:r>
        <w:rPr>
          <w:rFonts w:cs="Arial"/>
        </w:rPr>
        <w:t>.</w:t>
      </w:r>
    </w:p>
    <w:p w14:paraId="2AEE4170" w14:textId="77777777" w:rsidR="007269E5" w:rsidRPr="00085D2D" w:rsidRDefault="007269E5" w:rsidP="007269E5">
      <w:pPr>
        <w:numPr>
          <w:ilvl w:val="0"/>
          <w:numId w:val="17"/>
        </w:numPr>
        <w:spacing w:after="220"/>
        <w:outlineLvl w:val="0"/>
        <w:rPr>
          <w:rFonts w:cs="Arial"/>
        </w:rPr>
      </w:pPr>
      <w:r w:rsidRPr="00085D2D">
        <w:rPr>
          <w:rFonts w:cs="Arial"/>
        </w:rPr>
        <w:t xml:space="preserve"> ‘</w:t>
      </w:r>
      <w:r>
        <w:t xml:space="preserve">HSE publication: L153 </w:t>
      </w:r>
      <w:r w:rsidRPr="00B61E8F">
        <w:rPr>
          <w:rFonts w:cs="Arial"/>
        </w:rPr>
        <w:t>‘Managing health and safety in construction’</w:t>
      </w:r>
      <w:r>
        <w:rPr>
          <w:rFonts w:cs="Arial"/>
        </w:rPr>
        <w:t xml:space="preserve"> </w:t>
      </w:r>
      <w:hyperlink r:id="rId17" w:history="1">
        <w:r w:rsidRPr="00F6308C">
          <w:rPr>
            <w:rStyle w:val="Hyperlink"/>
            <w:rFonts w:cs="Arial"/>
          </w:rPr>
          <w:t>www.hse.gov.uk</w:t>
        </w:r>
      </w:hyperlink>
      <w:r>
        <w:rPr>
          <w:rFonts w:cs="Arial"/>
        </w:rPr>
        <w:t xml:space="preserve"> (last accessed November 2020).</w:t>
      </w:r>
    </w:p>
    <w:p w14:paraId="11512382" w14:textId="77777777" w:rsidR="007269E5" w:rsidRDefault="007269E5" w:rsidP="007269E5">
      <w:pPr>
        <w:numPr>
          <w:ilvl w:val="0"/>
          <w:numId w:val="17"/>
        </w:numPr>
        <w:spacing w:after="220"/>
        <w:outlineLvl w:val="0"/>
      </w:pPr>
      <w:r>
        <w:t>CM9 comment sheet - comments are invited on the TAG 17 head document and associated annexes (2020/315050).</w:t>
      </w:r>
    </w:p>
    <w:p w14:paraId="70CBE014" w14:textId="77777777" w:rsidR="007269E5" w:rsidRDefault="007269E5" w:rsidP="007269E5">
      <w:pPr>
        <w:numPr>
          <w:ilvl w:val="0"/>
          <w:numId w:val="17"/>
        </w:numPr>
        <w:spacing w:after="220"/>
        <w:outlineLvl w:val="0"/>
      </w:pPr>
      <w:r>
        <w:t xml:space="preserve">The Energy Act 2013 (TEA13) </w:t>
      </w:r>
      <w:hyperlink r:id="rId18" w:history="1">
        <w:r w:rsidRPr="00F6308C">
          <w:rPr>
            <w:rStyle w:val="Hyperlink"/>
          </w:rPr>
          <w:t>www.legislation.gov.uk</w:t>
        </w:r>
      </w:hyperlink>
      <w:r>
        <w:t xml:space="preserve"> </w:t>
      </w:r>
      <w:r w:rsidRPr="00085D2D">
        <w:rPr>
          <w:rFonts w:cs="Arial"/>
        </w:rPr>
        <w:t>(last accessed November 2020)</w:t>
      </w:r>
      <w:r>
        <w:rPr>
          <w:rFonts w:cs="Arial"/>
        </w:rPr>
        <w:t>.</w:t>
      </w:r>
    </w:p>
    <w:p w14:paraId="586065C3" w14:textId="77777777" w:rsidR="007269E5" w:rsidRDefault="007269E5" w:rsidP="007269E5">
      <w:pPr>
        <w:numPr>
          <w:ilvl w:val="0"/>
          <w:numId w:val="17"/>
        </w:numPr>
        <w:spacing w:after="220"/>
        <w:outlineLvl w:val="0"/>
      </w:pPr>
      <w:r>
        <w:t>Nuclear Installations Act 1965 (NIA65)</w:t>
      </w:r>
      <w:r w:rsidRPr="007D473F">
        <w:t xml:space="preserve"> </w:t>
      </w:r>
      <w:hyperlink r:id="rId19" w:history="1">
        <w:r w:rsidRPr="00F6308C">
          <w:rPr>
            <w:rStyle w:val="Hyperlink"/>
          </w:rPr>
          <w:t>www.legislation.gov.uk</w:t>
        </w:r>
      </w:hyperlink>
      <w:r>
        <w:t xml:space="preserve"> </w:t>
      </w:r>
      <w:r w:rsidRPr="00085D2D">
        <w:rPr>
          <w:rFonts w:cs="Arial"/>
        </w:rPr>
        <w:t>(last accessed November 2020)</w:t>
      </w:r>
      <w:r>
        <w:rPr>
          <w:rFonts w:cs="Arial"/>
        </w:rPr>
        <w:t>.</w:t>
      </w:r>
    </w:p>
    <w:p w14:paraId="052CC57B" w14:textId="77777777" w:rsidR="007269E5" w:rsidRDefault="007269E5" w:rsidP="007269E5">
      <w:pPr>
        <w:numPr>
          <w:ilvl w:val="0"/>
          <w:numId w:val="17"/>
        </w:numPr>
        <w:spacing w:after="220"/>
        <w:outlineLvl w:val="0"/>
      </w:pPr>
      <w:r>
        <w:t xml:space="preserve">Health and Safety at Work etc Act 1974 (HSWA74) </w:t>
      </w:r>
      <w:hyperlink r:id="rId20" w:history="1">
        <w:r w:rsidRPr="00F6308C">
          <w:rPr>
            <w:rStyle w:val="Hyperlink"/>
          </w:rPr>
          <w:t>www.legislation.gov.uk</w:t>
        </w:r>
      </w:hyperlink>
      <w:r>
        <w:t xml:space="preserve"> </w:t>
      </w:r>
      <w:r w:rsidRPr="00085D2D">
        <w:rPr>
          <w:rFonts w:cs="Arial"/>
        </w:rPr>
        <w:t>(last accessed November 2020)</w:t>
      </w:r>
      <w:r>
        <w:rPr>
          <w:rFonts w:cs="Arial"/>
        </w:rPr>
        <w:t>.</w:t>
      </w:r>
    </w:p>
    <w:p w14:paraId="21A0B8C8" w14:textId="77777777" w:rsidR="007269E5" w:rsidRDefault="007269E5" w:rsidP="007269E5">
      <w:pPr>
        <w:numPr>
          <w:ilvl w:val="0"/>
          <w:numId w:val="17"/>
        </w:numPr>
        <w:spacing w:after="220"/>
        <w:outlineLvl w:val="0"/>
      </w:pPr>
      <w:r>
        <w:t xml:space="preserve">ONR ‘Risk Informed Regulatory Decision Making’ 2017 </w:t>
      </w:r>
      <w:r w:rsidRPr="00EC3963">
        <w:t xml:space="preserve"> </w:t>
      </w:r>
      <w:hyperlink r:id="rId21" w:history="1">
        <w:r w:rsidRPr="005C27A0">
          <w:rPr>
            <w:rStyle w:val="Hyperlink"/>
          </w:rPr>
          <w:t>http://www.onr.org.uk/documents/2017/risk-informed-regulatory-decision-making.pdf</w:t>
        </w:r>
      </w:hyperlink>
      <w:r>
        <w:t xml:space="preserve"> </w:t>
      </w:r>
      <w:r w:rsidRPr="00085D2D">
        <w:rPr>
          <w:rFonts w:cs="Arial"/>
        </w:rPr>
        <w:t>(last accessed November 2020)</w:t>
      </w:r>
      <w:r>
        <w:rPr>
          <w:rFonts w:cs="Arial"/>
        </w:rPr>
        <w:t>.</w:t>
      </w:r>
    </w:p>
    <w:p w14:paraId="2DDD93DE" w14:textId="77777777" w:rsidR="007269E5" w:rsidRDefault="007269E5" w:rsidP="007269E5">
      <w:pPr>
        <w:numPr>
          <w:ilvl w:val="0"/>
          <w:numId w:val="17"/>
        </w:numPr>
        <w:spacing w:after="220"/>
        <w:outlineLvl w:val="0"/>
      </w:pPr>
      <w:r w:rsidRPr="00CC121D">
        <w:t xml:space="preserve"> </w:t>
      </w:r>
      <w:r>
        <w:t xml:space="preserve">HSE </w:t>
      </w:r>
      <w:r w:rsidRPr="00CC121D">
        <w:t>“Reducing R</w:t>
      </w:r>
      <w:r>
        <w:t xml:space="preserve">isks, Protecting People: HSE’s decision-making process”. </w:t>
      </w:r>
      <w:hyperlink r:id="rId22" w:history="1">
        <w:r w:rsidRPr="00F6308C">
          <w:rPr>
            <w:rStyle w:val="Hyperlink"/>
          </w:rPr>
          <w:t>www.hse.gov.uk</w:t>
        </w:r>
      </w:hyperlink>
      <w:r>
        <w:t xml:space="preserve"> </w:t>
      </w:r>
      <w:r w:rsidRPr="00085D2D">
        <w:rPr>
          <w:rFonts w:cs="Arial"/>
        </w:rPr>
        <w:t xml:space="preserve">(last </w:t>
      </w:r>
      <w:r w:rsidRPr="00694472">
        <w:t>accessed November 2020)</w:t>
      </w:r>
      <w:r>
        <w:t>.</w:t>
      </w:r>
    </w:p>
    <w:p w14:paraId="287E82DE" w14:textId="77777777" w:rsidR="007269E5" w:rsidRDefault="007269E5" w:rsidP="007269E5">
      <w:pPr>
        <w:numPr>
          <w:ilvl w:val="0"/>
          <w:numId w:val="17"/>
        </w:numPr>
        <w:spacing w:after="220"/>
        <w:outlineLvl w:val="0"/>
        <w:rPr>
          <w:rFonts w:ascii="Verdana" w:hAnsi="Verdana"/>
          <w:color w:val="000000"/>
          <w:sz w:val="17"/>
          <w:szCs w:val="17"/>
          <w:lang w:eastAsia="en-GB"/>
        </w:rPr>
      </w:pPr>
      <w:r w:rsidRPr="00CC121D">
        <w:t>HS</w:t>
      </w:r>
      <w:r>
        <w:t xml:space="preserve">E “Six Pack” </w:t>
      </w:r>
      <w:hyperlink r:id="rId23" w:history="1">
        <w:r w:rsidRPr="00F6308C">
          <w:rPr>
            <w:rStyle w:val="Hyperlink"/>
          </w:rPr>
          <w:t>www.hse.gov.uk</w:t>
        </w:r>
      </w:hyperlink>
      <w:r>
        <w:t xml:space="preserve"> (last accessed November 2020) contains:</w:t>
      </w:r>
      <w:r w:rsidRPr="00694472">
        <w:rPr>
          <w:rFonts w:ascii="Verdana" w:hAnsi="Verdana"/>
          <w:color w:val="000000"/>
          <w:sz w:val="17"/>
          <w:szCs w:val="17"/>
        </w:rPr>
        <w:t xml:space="preserve"> </w:t>
      </w:r>
    </w:p>
    <w:p w14:paraId="186F429C" w14:textId="77777777" w:rsidR="007269E5" w:rsidRPr="00694472" w:rsidRDefault="007269E5" w:rsidP="007269E5">
      <w:pPr>
        <w:numPr>
          <w:ilvl w:val="2"/>
          <w:numId w:val="10"/>
        </w:numPr>
        <w:spacing w:after="240"/>
        <w:ind w:left="1418"/>
        <w:contextualSpacing/>
        <w:rPr>
          <w:iCs/>
        </w:rPr>
      </w:pPr>
      <w:r w:rsidRPr="00694472">
        <w:rPr>
          <w:iCs/>
        </w:rPr>
        <w:t>HSG65 Managing for health and safety (ISBN 9780717664566)</w:t>
      </w:r>
    </w:p>
    <w:p w14:paraId="7F5B2AD7" w14:textId="77777777" w:rsidR="007269E5" w:rsidRPr="00694472" w:rsidRDefault="007269E5" w:rsidP="007269E5">
      <w:pPr>
        <w:numPr>
          <w:ilvl w:val="2"/>
          <w:numId w:val="10"/>
        </w:numPr>
        <w:spacing w:after="240"/>
        <w:ind w:left="1418"/>
        <w:contextualSpacing/>
        <w:rPr>
          <w:iCs/>
        </w:rPr>
      </w:pPr>
      <w:r w:rsidRPr="00694472">
        <w:rPr>
          <w:iCs/>
        </w:rPr>
        <w:t>L22 Safe Use of Work Equipment. (ISBN 9780717666195)</w:t>
      </w:r>
    </w:p>
    <w:p w14:paraId="678787F1" w14:textId="77777777" w:rsidR="007269E5" w:rsidRPr="00694472" w:rsidRDefault="007269E5" w:rsidP="007269E5">
      <w:pPr>
        <w:numPr>
          <w:ilvl w:val="2"/>
          <w:numId w:val="10"/>
        </w:numPr>
        <w:spacing w:after="240"/>
        <w:ind w:left="1418"/>
        <w:contextualSpacing/>
        <w:rPr>
          <w:iCs/>
        </w:rPr>
      </w:pPr>
      <w:r w:rsidRPr="00694472">
        <w:rPr>
          <w:iCs/>
        </w:rPr>
        <w:t>L23 Manual Handling. (ISBN 9780717666539)</w:t>
      </w:r>
    </w:p>
    <w:p w14:paraId="557722E8" w14:textId="77777777" w:rsidR="007269E5" w:rsidRPr="00694472" w:rsidRDefault="007269E5" w:rsidP="007269E5">
      <w:pPr>
        <w:numPr>
          <w:ilvl w:val="2"/>
          <w:numId w:val="10"/>
        </w:numPr>
        <w:spacing w:after="240"/>
        <w:ind w:left="1418"/>
        <w:contextualSpacing/>
        <w:rPr>
          <w:iCs/>
        </w:rPr>
      </w:pPr>
      <w:r w:rsidRPr="00694472">
        <w:rPr>
          <w:iCs/>
        </w:rPr>
        <w:t>L24 Workplace Health, Safety and Welfare. (ISBN 9780717665839)</w:t>
      </w:r>
    </w:p>
    <w:p w14:paraId="56830FDF" w14:textId="77777777" w:rsidR="007269E5" w:rsidRPr="00694472" w:rsidRDefault="007269E5" w:rsidP="007269E5">
      <w:pPr>
        <w:numPr>
          <w:ilvl w:val="2"/>
          <w:numId w:val="10"/>
        </w:numPr>
        <w:spacing w:after="240"/>
        <w:ind w:left="1418"/>
        <w:contextualSpacing/>
        <w:rPr>
          <w:iCs/>
        </w:rPr>
      </w:pPr>
      <w:r w:rsidRPr="00694472">
        <w:rPr>
          <w:iCs/>
        </w:rPr>
        <w:t>L25 Personal Protective Equipment at Work. (ISBN 9780717665976)</w:t>
      </w:r>
    </w:p>
    <w:p w14:paraId="7D04C5EF" w14:textId="77777777" w:rsidR="007269E5" w:rsidRDefault="007269E5" w:rsidP="007269E5">
      <w:pPr>
        <w:numPr>
          <w:ilvl w:val="2"/>
          <w:numId w:val="10"/>
        </w:numPr>
        <w:spacing w:after="240"/>
        <w:ind w:left="1418"/>
        <w:contextualSpacing/>
        <w:rPr>
          <w:iCs/>
        </w:rPr>
      </w:pPr>
      <w:r w:rsidRPr="00694472">
        <w:rPr>
          <w:iCs/>
        </w:rPr>
        <w:t>L26 Work with display screen equipment. (ISBN 9780717625826)</w:t>
      </w:r>
      <w:r>
        <w:rPr>
          <w:iCs/>
        </w:rPr>
        <w:t>.</w:t>
      </w:r>
    </w:p>
    <w:p w14:paraId="3B2A5F8E" w14:textId="77777777" w:rsidR="007269E5" w:rsidRPr="00694472" w:rsidRDefault="007269E5" w:rsidP="007269E5">
      <w:pPr>
        <w:spacing w:after="240"/>
        <w:ind w:left="1418"/>
        <w:contextualSpacing/>
        <w:rPr>
          <w:iCs/>
        </w:rPr>
      </w:pPr>
    </w:p>
    <w:p w14:paraId="63A09CA1" w14:textId="77777777" w:rsidR="007269E5" w:rsidRDefault="007269E5" w:rsidP="007269E5">
      <w:pPr>
        <w:numPr>
          <w:ilvl w:val="0"/>
          <w:numId w:val="17"/>
        </w:numPr>
        <w:spacing w:after="220"/>
        <w:outlineLvl w:val="0"/>
      </w:pPr>
      <w:r>
        <w:t xml:space="preserve">Construction (Design and Management) Regulations 2015 </w:t>
      </w:r>
      <w:hyperlink r:id="rId24" w:history="1">
        <w:r w:rsidRPr="00F6308C">
          <w:rPr>
            <w:rStyle w:val="Hyperlink"/>
          </w:rPr>
          <w:t>www.legislation.gov.uk</w:t>
        </w:r>
      </w:hyperlink>
      <w:r>
        <w:t xml:space="preserve"> </w:t>
      </w:r>
      <w:r w:rsidRPr="00085D2D">
        <w:rPr>
          <w:rFonts w:cs="Arial"/>
        </w:rPr>
        <w:t>(last accessed November 2020)</w:t>
      </w:r>
      <w:r>
        <w:rPr>
          <w:rFonts w:cs="Arial"/>
        </w:rPr>
        <w:t>.</w:t>
      </w:r>
    </w:p>
    <w:p w14:paraId="23A5C8B9" w14:textId="77777777" w:rsidR="007269E5" w:rsidRPr="00423C14" w:rsidRDefault="007269E5" w:rsidP="007269E5">
      <w:pPr>
        <w:numPr>
          <w:ilvl w:val="0"/>
          <w:numId w:val="17"/>
        </w:numPr>
        <w:spacing w:after="220"/>
        <w:outlineLvl w:val="0"/>
      </w:pPr>
      <w:r>
        <w:t>CDM mapping exercise, undertaken in conjunction with ONR Conventional health and safety inspectors (</w:t>
      </w:r>
      <w:r w:rsidRPr="00423C14">
        <w:t>CM9 2020/314402</w:t>
      </w:r>
      <w:r>
        <w:t>).</w:t>
      </w:r>
    </w:p>
    <w:p w14:paraId="2A121AD4" w14:textId="77777777" w:rsidR="007269E5" w:rsidRDefault="007269E5" w:rsidP="007269E5">
      <w:pPr>
        <w:numPr>
          <w:ilvl w:val="0"/>
          <w:numId w:val="17"/>
        </w:numPr>
        <w:spacing w:after="220"/>
        <w:outlineLvl w:val="0"/>
      </w:pPr>
      <w:r>
        <w:t xml:space="preserve">HSE Guidance </w:t>
      </w:r>
      <w:r w:rsidRPr="000F2702">
        <w:t xml:space="preserve">HSG150 </w:t>
      </w:r>
      <w:r>
        <w:t>‘</w:t>
      </w:r>
      <w:r w:rsidRPr="000F2702">
        <w:t>Health and Safety in Construction</w:t>
      </w:r>
      <w:r>
        <w:t xml:space="preserve">’ </w:t>
      </w:r>
      <w:hyperlink r:id="rId25" w:history="1">
        <w:r w:rsidRPr="00F6308C">
          <w:rPr>
            <w:rStyle w:val="Hyperlink"/>
          </w:rPr>
          <w:t>www.hse.gov.uk</w:t>
        </w:r>
      </w:hyperlink>
      <w:r>
        <w:t xml:space="preserve"> (last accessed November 2020).</w:t>
      </w:r>
    </w:p>
    <w:p w14:paraId="139C04A5" w14:textId="77777777" w:rsidR="007269E5" w:rsidRDefault="007269E5" w:rsidP="007269E5">
      <w:pPr>
        <w:numPr>
          <w:ilvl w:val="0"/>
          <w:numId w:val="17"/>
        </w:numPr>
        <w:spacing w:after="220"/>
        <w:outlineLvl w:val="0"/>
      </w:pPr>
      <w:r>
        <w:t xml:space="preserve">HSE Industrial Guidance </w:t>
      </w:r>
      <w:r w:rsidRPr="000F2702">
        <w:t xml:space="preserve">INDG411 </w:t>
      </w:r>
      <w:r>
        <w:t>‘</w:t>
      </w:r>
      <w:r w:rsidRPr="000F2702">
        <w:t>A quick guide for clients on CDM2015</w:t>
      </w:r>
      <w:r>
        <w:t xml:space="preserve">’ </w:t>
      </w:r>
      <w:hyperlink r:id="rId26" w:history="1">
        <w:r w:rsidRPr="00F6308C">
          <w:rPr>
            <w:rStyle w:val="Hyperlink"/>
          </w:rPr>
          <w:t>www.hse.gov.uk</w:t>
        </w:r>
      </w:hyperlink>
      <w:r>
        <w:t xml:space="preserve"> (last accessed November 2020).</w:t>
      </w:r>
    </w:p>
    <w:p w14:paraId="636AE84F" w14:textId="77777777" w:rsidR="007269E5" w:rsidRDefault="007269E5" w:rsidP="007269E5">
      <w:pPr>
        <w:numPr>
          <w:ilvl w:val="0"/>
          <w:numId w:val="17"/>
        </w:numPr>
        <w:spacing w:after="220"/>
        <w:outlineLvl w:val="0"/>
      </w:pPr>
      <w:r w:rsidRPr="000F2702">
        <w:t>CIRIA C756 “CDM2015 Workplace ‘in-use’ guidance for designers</w:t>
      </w:r>
      <w:r>
        <w:t>.</w:t>
      </w:r>
    </w:p>
    <w:p w14:paraId="175F0BA6" w14:textId="77777777" w:rsidR="007269E5" w:rsidRPr="00530C41" w:rsidRDefault="007269E5" w:rsidP="007269E5">
      <w:pPr>
        <w:numPr>
          <w:ilvl w:val="0"/>
          <w:numId w:val="17"/>
        </w:numPr>
        <w:spacing w:after="220"/>
        <w:outlineLvl w:val="0"/>
        <w:rPr>
          <w:rFonts w:cs="Arial"/>
          <w:lang w:eastAsia="en-GB"/>
        </w:rPr>
      </w:pPr>
      <w:r>
        <w:t xml:space="preserve"> </w:t>
      </w:r>
      <w:r w:rsidRPr="008F3B0D">
        <w:rPr>
          <w:rFonts w:cs="Arial"/>
          <w:lang w:eastAsia="en-GB"/>
        </w:rPr>
        <w:t xml:space="preserve">Nuclear Industries Security Regulations 2003 </w:t>
      </w:r>
      <w:r>
        <w:rPr>
          <w:rFonts w:cs="Arial"/>
          <w:lang w:eastAsia="en-GB"/>
        </w:rPr>
        <w:t xml:space="preserve">NISR </w:t>
      </w:r>
      <w:hyperlink r:id="rId27" w:history="1">
        <w:r w:rsidRPr="00F6308C">
          <w:rPr>
            <w:rStyle w:val="Hyperlink"/>
            <w:rFonts w:cs="Arial"/>
            <w:lang w:eastAsia="en-GB"/>
          </w:rPr>
          <w:t>www.legislation.gov.uk</w:t>
        </w:r>
      </w:hyperlink>
      <w:r>
        <w:rPr>
          <w:rFonts w:cs="Arial"/>
          <w:lang w:eastAsia="en-GB"/>
        </w:rPr>
        <w:t xml:space="preserve"> </w:t>
      </w:r>
      <w:r>
        <w:t>(last accessed November 2020).</w:t>
      </w:r>
    </w:p>
    <w:p w14:paraId="344E96D4" w14:textId="77777777" w:rsidR="007269E5" w:rsidRDefault="007269E5" w:rsidP="007269E5">
      <w:pPr>
        <w:numPr>
          <w:ilvl w:val="0"/>
          <w:numId w:val="17"/>
        </w:numPr>
        <w:spacing w:after="220"/>
        <w:outlineLvl w:val="0"/>
      </w:pPr>
      <w:bookmarkStart w:id="87" w:name="_Ref524615935"/>
      <w:r>
        <w:t xml:space="preserve">The Ionising Radiations Regulations (IRR17) </w:t>
      </w:r>
      <w:hyperlink r:id="rId28" w:history="1">
        <w:r w:rsidRPr="00F6308C">
          <w:rPr>
            <w:rStyle w:val="Hyperlink"/>
            <w:rFonts w:cs="Arial"/>
            <w:lang w:eastAsia="en-GB"/>
          </w:rPr>
          <w:t>www.legislation.gov.uk</w:t>
        </w:r>
      </w:hyperlink>
      <w:r>
        <w:rPr>
          <w:rFonts w:cs="Arial"/>
          <w:lang w:eastAsia="en-GB"/>
        </w:rPr>
        <w:t xml:space="preserve"> </w:t>
      </w:r>
      <w:r>
        <w:t>(last accessed November 2020).</w:t>
      </w:r>
    </w:p>
    <w:p w14:paraId="45FD0D58" w14:textId="77777777" w:rsidR="007269E5" w:rsidRDefault="007269E5" w:rsidP="007269E5">
      <w:pPr>
        <w:numPr>
          <w:ilvl w:val="0"/>
          <w:numId w:val="17"/>
        </w:numPr>
        <w:spacing w:after="220"/>
        <w:outlineLvl w:val="0"/>
      </w:pPr>
      <w:r>
        <w:t xml:space="preserve">Radiation (Emergency Preparedness and Public Information) Regulations 2019 (REPPIR) </w:t>
      </w:r>
      <w:hyperlink r:id="rId29" w:history="1">
        <w:r w:rsidRPr="00F6308C">
          <w:rPr>
            <w:rStyle w:val="Hyperlink"/>
          </w:rPr>
          <w:t>www.hse.gov.uk</w:t>
        </w:r>
      </w:hyperlink>
      <w:r>
        <w:t xml:space="preserve"> (last accessed November 2020).</w:t>
      </w:r>
    </w:p>
    <w:p w14:paraId="17F5CA01" w14:textId="77777777" w:rsidR="007269E5" w:rsidRDefault="007269E5" w:rsidP="007269E5">
      <w:pPr>
        <w:numPr>
          <w:ilvl w:val="0"/>
          <w:numId w:val="17"/>
        </w:numPr>
        <w:spacing w:after="220"/>
        <w:outlineLvl w:val="0"/>
      </w:pPr>
      <w:r>
        <w:t xml:space="preserve">HSE Guidance L121 ‘Working with Ionising Radiation’ </w:t>
      </w:r>
      <w:hyperlink r:id="rId30" w:history="1">
        <w:r w:rsidRPr="00F6308C">
          <w:rPr>
            <w:rStyle w:val="Hyperlink"/>
          </w:rPr>
          <w:t>www.hse.gov.uk</w:t>
        </w:r>
      </w:hyperlink>
      <w:r>
        <w:t xml:space="preserve"> (last accessed November 2020).</w:t>
      </w:r>
    </w:p>
    <w:p w14:paraId="4B534475" w14:textId="77777777" w:rsidR="007269E5" w:rsidRPr="00CC121D" w:rsidRDefault="007269E5" w:rsidP="007269E5">
      <w:pPr>
        <w:numPr>
          <w:ilvl w:val="0"/>
          <w:numId w:val="17"/>
        </w:numPr>
        <w:spacing w:after="220"/>
        <w:outlineLvl w:val="0"/>
      </w:pPr>
      <w:bookmarkStart w:id="88" w:name="_Ref524616224"/>
      <w:r w:rsidRPr="00CC121D">
        <w:t>Lifting Equipment, Lifting Operations and Lifting Equipment Regulations</w:t>
      </w:r>
      <w:r>
        <w:t xml:space="preserve"> 1998 (LOLER),</w:t>
      </w:r>
      <w:r w:rsidRPr="00CC121D">
        <w:t xml:space="preserve"> </w:t>
      </w:r>
      <w:hyperlink r:id="rId31" w:history="1">
        <w:r w:rsidRPr="00F6308C">
          <w:rPr>
            <w:rStyle w:val="Hyperlink"/>
            <w:rFonts w:cs="Arial"/>
            <w:lang w:eastAsia="en-GB"/>
          </w:rPr>
          <w:t>www.legislation.gov.uk</w:t>
        </w:r>
      </w:hyperlink>
      <w:r w:rsidRPr="00CC121D">
        <w:t xml:space="preserve"> </w:t>
      </w:r>
      <w:r>
        <w:rPr>
          <w:u w:val="single"/>
        </w:rPr>
        <w:t>(l</w:t>
      </w:r>
      <w:r w:rsidRPr="00CC121D">
        <w:t xml:space="preserve">ast accessed </w:t>
      </w:r>
      <w:r>
        <w:t>November 2020</w:t>
      </w:r>
      <w:r w:rsidRPr="00CC121D">
        <w:t>).</w:t>
      </w:r>
      <w:bookmarkEnd w:id="88"/>
    </w:p>
    <w:p w14:paraId="547609E7" w14:textId="77777777" w:rsidR="007269E5" w:rsidRDefault="007269E5" w:rsidP="007269E5">
      <w:pPr>
        <w:numPr>
          <w:ilvl w:val="0"/>
          <w:numId w:val="17"/>
        </w:numPr>
        <w:spacing w:after="220"/>
        <w:outlineLvl w:val="0"/>
      </w:pPr>
      <w:r>
        <w:t xml:space="preserve">Provision and Use of Work Equipment Regulations 1998 (PUWER) </w:t>
      </w:r>
      <w:hyperlink r:id="rId32" w:history="1">
        <w:r w:rsidRPr="00F6308C">
          <w:rPr>
            <w:rStyle w:val="Hyperlink"/>
            <w:rFonts w:cs="Arial"/>
            <w:lang w:eastAsia="en-GB"/>
          </w:rPr>
          <w:t>www.legislation.gov.uk</w:t>
        </w:r>
      </w:hyperlink>
      <w:r>
        <w:rPr>
          <w:rFonts w:cs="Arial"/>
          <w:lang w:eastAsia="en-GB"/>
        </w:rPr>
        <w:t xml:space="preserve"> </w:t>
      </w:r>
      <w:r>
        <w:t>(last accessed November 2020).</w:t>
      </w:r>
    </w:p>
    <w:p w14:paraId="4F66D51C" w14:textId="77777777" w:rsidR="007269E5" w:rsidRPr="00CC121D" w:rsidRDefault="007269E5" w:rsidP="007269E5">
      <w:pPr>
        <w:numPr>
          <w:ilvl w:val="0"/>
          <w:numId w:val="17"/>
        </w:numPr>
        <w:spacing w:after="220"/>
        <w:outlineLvl w:val="0"/>
      </w:pPr>
      <w:r w:rsidRPr="00CC121D">
        <w:t>Dangerous Substances and Explosive Atmospheres</w:t>
      </w:r>
      <w:r>
        <w:t xml:space="preserve"> Regulations 2002 </w:t>
      </w:r>
      <w:hyperlink r:id="rId33" w:history="1">
        <w:r w:rsidRPr="00F6308C">
          <w:rPr>
            <w:rStyle w:val="Hyperlink"/>
            <w:rFonts w:cs="Arial"/>
            <w:lang w:eastAsia="en-GB"/>
          </w:rPr>
          <w:t>www.legislation.gov.uk</w:t>
        </w:r>
      </w:hyperlink>
      <w:r>
        <w:rPr>
          <w:rFonts w:cs="Arial"/>
          <w:lang w:eastAsia="en-GB"/>
        </w:rPr>
        <w:t xml:space="preserve"> </w:t>
      </w:r>
      <w:bookmarkEnd w:id="87"/>
      <w:r>
        <w:t>(last accessed November 2020).</w:t>
      </w:r>
    </w:p>
    <w:p w14:paraId="370A661E" w14:textId="77777777" w:rsidR="007269E5" w:rsidRDefault="007269E5" w:rsidP="007269E5">
      <w:pPr>
        <w:numPr>
          <w:ilvl w:val="0"/>
          <w:numId w:val="17"/>
        </w:numPr>
        <w:spacing w:after="220"/>
        <w:outlineLvl w:val="0"/>
      </w:pPr>
      <w:bookmarkStart w:id="89" w:name="_Ref524616217"/>
      <w:r w:rsidRPr="00CC121D">
        <w:t>Pressure Systems</w:t>
      </w:r>
      <w:r>
        <w:t xml:space="preserve"> </w:t>
      </w:r>
      <w:r w:rsidRPr="00CC121D">
        <w:t>Safety Regulations 2000</w:t>
      </w:r>
      <w:r>
        <w:t xml:space="preserve"> (PSSR)</w:t>
      </w:r>
      <w:r w:rsidRPr="00CC121D">
        <w:t xml:space="preserve"> </w:t>
      </w:r>
      <w:hyperlink r:id="rId34" w:history="1">
        <w:r w:rsidRPr="00F6308C">
          <w:rPr>
            <w:rStyle w:val="Hyperlink"/>
            <w:rFonts w:cs="Arial"/>
            <w:lang w:eastAsia="en-GB"/>
          </w:rPr>
          <w:t>www.legislation.gov.uk</w:t>
        </w:r>
      </w:hyperlink>
      <w:r>
        <w:rPr>
          <w:rFonts w:cs="Arial"/>
          <w:lang w:eastAsia="en-GB"/>
        </w:rPr>
        <w:t xml:space="preserve"> </w:t>
      </w:r>
      <w:r>
        <w:t>(last accessed November 2020)</w:t>
      </w:r>
      <w:bookmarkEnd w:id="89"/>
      <w:r>
        <w:t>.</w:t>
      </w:r>
    </w:p>
    <w:p w14:paraId="24FC69A9" w14:textId="77777777" w:rsidR="007269E5" w:rsidRPr="00CC121D" w:rsidRDefault="007269E5" w:rsidP="007269E5">
      <w:pPr>
        <w:numPr>
          <w:ilvl w:val="0"/>
          <w:numId w:val="17"/>
        </w:numPr>
        <w:spacing w:after="220"/>
        <w:outlineLvl w:val="0"/>
      </w:pPr>
      <w:r w:rsidRPr="00CC121D">
        <w:t>HSE</w:t>
      </w:r>
      <w:r>
        <w:t xml:space="preserve"> Guidance L113 ‘</w:t>
      </w:r>
      <w:r w:rsidRPr="00CC121D">
        <w:t>Safe Use of Lifting Equipment, Lifting Operations and Lifting Equipment Regulations 1998, Approved Code of Practice and Guidance</w:t>
      </w:r>
      <w:r>
        <w:t>’</w:t>
      </w:r>
      <w:r w:rsidRPr="00CC121D">
        <w:t>, 2014</w:t>
      </w:r>
      <w:r>
        <w:t xml:space="preserve"> </w:t>
      </w:r>
      <w:hyperlink r:id="rId35" w:history="1">
        <w:r w:rsidRPr="00F6308C">
          <w:rPr>
            <w:rStyle w:val="Hyperlink"/>
          </w:rPr>
          <w:t>www.hse.gov.uk</w:t>
        </w:r>
      </w:hyperlink>
      <w:r w:rsidRPr="00CC121D">
        <w:t xml:space="preserve"> </w:t>
      </w:r>
      <w:r>
        <w:t>(last accessed November 2020).</w:t>
      </w:r>
    </w:p>
    <w:p w14:paraId="026E4D4B" w14:textId="77777777" w:rsidR="007269E5" w:rsidRDefault="007269E5" w:rsidP="007269E5">
      <w:pPr>
        <w:numPr>
          <w:ilvl w:val="0"/>
          <w:numId w:val="17"/>
        </w:numPr>
        <w:spacing w:after="220"/>
        <w:outlineLvl w:val="0"/>
      </w:pPr>
      <w:r w:rsidRPr="00CC121D">
        <w:t>HSE</w:t>
      </w:r>
      <w:r>
        <w:t xml:space="preserve"> Guidance </w:t>
      </w:r>
      <w:r w:rsidRPr="00CC121D">
        <w:t>L</w:t>
      </w:r>
      <w:r w:rsidRPr="007F0416">
        <w:t xml:space="preserve">22 </w:t>
      </w:r>
      <w:r>
        <w:t>‘</w:t>
      </w:r>
      <w:r w:rsidRPr="007F0416">
        <w:t xml:space="preserve">Safe use of Work Equipment </w:t>
      </w:r>
      <w:r w:rsidRPr="00F37C8F">
        <w:t>(PUWER)</w:t>
      </w:r>
      <w:r w:rsidRPr="00CC121D">
        <w:t xml:space="preserve"> Approved Code of Practice and Guidance</w:t>
      </w:r>
      <w:r>
        <w:t xml:space="preserve">’, </w:t>
      </w:r>
      <w:r w:rsidRPr="007F0416">
        <w:t>2014</w:t>
      </w:r>
      <w:r>
        <w:t xml:space="preserve">, enhancements made 2018 </w:t>
      </w:r>
      <w:hyperlink r:id="rId36" w:history="1">
        <w:r w:rsidRPr="00F6308C">
          <w:rPr>
            <w:rStyle w:val="Hyperlink"/>
          </w:rPr>
          <w:t>www.hse.gov.uk</w:t>
        </w:r>
      </w:hyperlink>
      <w:r w:rsidRPr="00CC121D">
        <w:t xml:space="preserve"> </w:t>
      </w:r>
      <w:r>
        <w:t>(last accessed November 2020).</w:t>
      </w:r>
    </w:p>
    <w:p w14:paraId="5C97E201" w14:textId="77777777" w:rsidR="007269E5" w:rsidRPr="00CC121D" w:rsidRDefault="007269E5" w:rsidP="007269E5">
      <w:pPr>
        <w:numPr>
          <w:ilvl w:val="0"/>
          <w:numId w:val="17"/>
        </w:numPr>
        <w:spacing w:after="220"/>
        <w:outlineLvl w:val="0"/>
      </w:pPr>
      <w:r w:rsidRPr="00CC121D">
        <w:t>HSE</w:t>
      </w:r>
      <w:r>
        <w:t xml:space="preserve"> Guidance L138 ‘</w:t>
      </w:r>
      <w:r w:rsidRPr="00CC121D">
        <w:t>Dangerous Substances and Explosive Atmospheres, Approved Code of Practice and Guidance</w:t>
      </w:r>
      <w:r>
        <w:t>’</w:t>
      </w:r>
      <w:r w:rsidRPr="00CC121D">
        <w:t>, 2013</w:t>
      </w:r>
      <w:r>
        <w:t xml:space="preserve"> </w:t>
      </w:r>
      <w:hyperlink r:id="rId37" w:history="1">
        <w:r w:rsidRPr="00F6308C">
          <w:rPr>
            <w:rStyle w:val="Hyperlink"/>
          </w:rPr>
          <w:t>www.hse.gov.uk</w:t>
        </w:r>
      </w:hyperlink>
      <w:r w:rsidRPr="00CC121D">
        <w:t xml:space="preserve"> </w:t>
      </w:r>
      <w:r>
        <w:t>(last accessed November 2020).</w:t>
      </w:r>
      <w:r w:rsidRPr="00127DBB">
        <w:t xml:space="preserve"> </w:t>
      </w:r>
    </w:p>
    <w:p w14:paraId="49C61D34" w14:textId="77777777" w:rsidR="007269E5" w:rsidRPr="00CC121D" w:rsidRDefault="007269E5" w:rsidP="007269E5">
      <w:pPr>
        <w:numPr>
          <w:ilvl w:val="0"/>
          <w:numId w:val="17"/>
        </w:numPr>
        <w:spacing w:after="220"/>
        <w:outlineLvl w:val="0"/>
      </w:pPr>
      <w:r w:rsidRPr="00CC121D">
        <w:t>HSE</w:t>
      </w:r>
      <w:r>
        <w:t xml:space="preserve"> Guidance L122 ‘</w:t>
      </w:r>
      <w:r w:rsidRPr="00CC121D">
        <w:t>Safety of Pressure Systems, Pressure Systems Safety Regulations 2000 Approved Code of Practice</w:t>
      </w:r>
      <w:r>
        <w:t>’</w:t>
      </w:r>
      <w:r w:rsidRPr="00CC121D">
        <w:t>, 2014</w:t>
      </w:r>
      <w:r>
        <w:t xml:space="preserve"> </w:t>
      </w:r>
      <w:hyperlink r:id="rId38" w:history="1">
        <w:r w:rsidRPr="00F6308C">
          <w:rPr>
            <w:rStyle w:val="Hyperlink"/>
          </w:rPr>
          <w:t>www.hse.gov.uk</w:t>
        </w:r>
      </w:hyperlink>
      <w:r w:rsidRPr="00CC121D">
        <w:t xml:space="preserve"> </w:t>
      </w:r>
      <w:r>
        <w:t>(last accessed November 2020).</w:t>
      </w:r>
    </w:p>
    <w:p w14:paraId="505B2064" w14:textId="77777777" w:rsidR="007269E5" w:rsidRPr="00CC121D" w:rsidRDefault="007269E5" w:rsidP="007269E5">
      <w:pPr>
        <w:numPr>
          <w:ilvl w:val="0"/>
          <w:numId w:val="17"/>
        </w:numPr>
        <w:spacing w:after="220"/>
        <w:outlineLvl w:val="0"/>
      </w:pPr>
      <w:r w:rsidRPr="00CC121D">
        <w:t>The Building (Scotland) Regulations 2004 Technical Handbook</w:t>
      </w:r>
      <w:r>
        <w:t>,</w:t>
      </w:r>
      <w:r w:rsidRPr="00CC121D">
        <w:t xml:space="preserve"> 2019 – Non-Domestic</w:t>
      </w:r>
      <w:r>
        <w:t>.</w:t>
      </w:r>
      <w:r w:rsidRPr="00B22AF0">
        <w:t xml:space="preserve"> </w:t>
      </w:r>
      <w:hyperlink r:id="rId39" w:history="1">
        <w:r w:rsidRPr="00F6308C">
          <w:rPr>
            <w:rStyle w:val="Hyperlink"/>
          </w:rPr>
          <w:t>www.gov.uk</w:t>
        </w:r>
      </w:hyperlink>
      <w:r>
        <w:t xml:space="preserve"> (last accessed November 2020).</w:t>
      </w:r>
    </w:p>
    <w:p w14:paraId="52F687A0" w14:textId="77777777" w:rsidR="007269E5" w:rsidRPr="00CC121D" w:rsidRDefault="007269E5" w:rsidP="007269E5">
      <w:pPr>
        <w:numPr>
          <w:ilvl w:val="0"/>
          <w:numId w:val="17"/>
        </w:numPr>
        <w:spacing w:after="220"/>
        <w:outlineLvl w:val="0"/>
      </w:pPr>
      <w:r>
        <w:t>T</w:t>
      </w:r>
      <w:r w:rsidRPr="00CC121D">
        <w:t>he Building Regulations (Northern Ireland)</w:t>
      </w:r>
      <w:r>
        <w:t>,</w:t>
      </w:r>
      <w:r w:rsidRPr="00CC121D">
        <w:t xml:space="preserve"> 2012</w:t>
      </w:r>
      <w:r w:rsidRPr="00B22AF0">
        <w:t xml:space="preserve"> </w:t>
      </w:r>
      <w:hyperlink r:id="rId40" w:history="1">
        <w:r w:rsidRPr="00F6308C">
          <w:rPr>
            <w:rStyle w:val="Hyperlink"/>
          </w:rPr>
          <w:t>www.gov.uk</w:t>
        </w:r>
      </w:hyperlink>
      <w:r>
        <w:t xml:space="preserve"> (last accessed November 2020).</w:t>
      </w:r>
    </w:p>
    <w:p w14:paraId="56BDE329" w14:textId="77777777" w:rsidR="007269E5" w:rsidRPr="00D86626" w:rsidRDefault="007269E5" w:rsidP="007269E5">
      <w:pPr>
        <w:numPr>
          <w:ilvl w:val="0"/>
          <w:numId w:val="17"/>
        </w:numPr>
        <w:spacing w:after="220"/>
        <w:outlineLvl w:val="0"/>
      </w:pPr>
      <w:bookmarkStart w:id="90" w:name="_Ref524618348"/>
      <w:r w:rsidRPr="00D86626">
        <w:t>ONR Security Assessment Principles for the Civil Nuclear Industry (</w:t>
      </w:r>
      <w:proofErr w:type="spellStart"/>
      <w:r w:rsidRPr="00D86626">
        <w:t>SyAPs</w:t>
      </w:r>
      <w:proofErr w:type="spellEnd"/>
      <w:r w:rsidRPr="00D86626">
        <w:t>) 2017 Rev. 0</w:t>
      </w:r>
      <w:hyperlink r:id="rId41" w:history="1"/>
      <w:r>
        <w:t xml:space="preserve"> </w:t>
      </w:r>
      <w:hyperlink r:id="rId42" w:history="1">
        <w:r w:rsidRPr="00D86626">
          <w:t>www.onr.org.uk/syaps</w:t>
        </w:r>
      </w:hyperlink>
      <w:r>
        <w:t xml:space="preserve"> (last accessed November 2020).</w:t>
      </w:r>
    </w:p>
    <w:p w14:paraId="4DC07429" w14:textId="77777777" w:rsidR="007269E5" w:rsidRPr="00B22AF0" w:rsidRDefault="007269E5" w:rsidP="007269E5">
      <w:pPr>
        <w:numPr>
          <w:ilvl w:val="0"/>
          <w:numId w:val="17"/>
        </w:numPr>
        <w:spacing w:after="220"/>
        <w:outlineLvl w:val="0"/>
      </w:pPr>
      <w:bookmarkStart w:id="91" w:name="_Ref524618608"/>
      <w:bookmarkEnd w:id="90"/>
      <w:r w:rsidRPr="00B22AF0">
        <w:t>IAEA</w:t>
      </w:r>
      <w:r w:rsidRPr="007440A2">
        <w:t xml:space="preserve"> </w:t>
      </w:r>
      <w:r w:rsidRPr="00B22AF0">
        <w:t>Specific Safety Requirements, No SSR-2</w:t>
      </w:r>
      <w:r>
        <w:t>/2 ‘</w:t>
      </w:r>
      <w:r w:rsidRPr="00B22AF0">
        <w:t>Safety of Nuclear Power Plants: Commissioning and Operation</w:t>
      </w:r>
      <w:r>
        <w:t>’</w:t>
      </w:r>
      <w:r w:rsidRPr="00B22AF0">
        <w:t>, 2016</w:t>
      </w:r>
      <w:bookmarkEnd w:id="91"/>
      <w:r>
        <w:t>, www.iaea.org (last accessed November 2020).</w:t>
      </w:r>
    </w:p>
    <w:p w14:paraId="6B3521AF" w14:textId="77777777" w:rsidR="007269E5" w:rsidRPr="00CC121D" w:rsidRDefault="007269E5" w:rsidP="007269E5">
      <w:pPr>
        <w:numPr>
          <w:ilvl w:val="0"/>
          <w:numId w:val="17"/>
        </w:numPr>
        <w:spacing w:after="220"/>
        <w:outlineLvl w:val="0"/>
      </w:pPr>
      <w:r w:rsidRPr="00B22AF0">
        <w:t>IAEA</w:t>
      </w:r>
      <w:r w:rsidRPr="00CC121D">
        <w:t xml:space="preserve"> </w:t>
      </w:r>
      <w:r>
        <w:t xml:space="preserve">General Safety Requirements Part 6 </w:t>
      </w:r>
      <w:r w:rsidRPr="00CC121D">
        <w:t>GSR-6 ‘Decommissioning of Facilities’</w:t>
      </w:r>
      <w:r>
        <w:t>, 2007, www.iaea.org (last accessed November 2020).</w:t>
      </w:r>
    </w:p>
    <w:p w14:paraId="705A19C7" w14:textId="7B4F7015" w:rsidR="007269E5" w:rsidRDefault="007269E5" w:rsidP="007269E5">
      <w:pPr>
        <w:numPr>
          <w:ilvl w:val="0"/>
          <w:numId w:val="17"/>
        </w:numPr>
        <w:spacing w:after="220"/>
        <w:outlineLvl w:val="0"/>
      </w:pPr>
      <w:r w:rsidRPr="00CC121D">
        <w:t>Western European Nuclear Regulators’ Association (WENRA)</w:t>
      </w:r>
      <w:r>
        <w:t xml:space="preserve"> </w:t>
      </w:r>
      <w:r w:rsidRPr="00CC121D">
        <w:t>Safety Reference Levels for Existing Reactors, Update in Relation to Lessons Learned from TEPCO Fukushima Dai-Ichi Accident, 2014</w:t>
      </w:r>
      <w:r>
        <w:t>,</w:t>
      </w:r>
      <w:r w:rsidRPr="00CC121D">
        <w:t xml:space="preserve"> </w:t>
      </w:r>
      <w:r>
        <w:t>(last accessed November 2020</w:t>
      </w:r>
      <w:r w:rsidRPr="00CC121D">
        <w:t>).</w:t>
      </w:r>
    </w:p>
    <w:p w14:paraId="4B9BD403" w14:textId="318BDB27" w:rsidR="007269E5" w:rsidRPr="00CC121D" w:rsidRDefault="007269E5" w:rsidP="007269E5">
      <w:pPr>
        <w:numPr>
          <w:ilvl w:val="0"/>
          <w:numId w:val="17"/>
        </w:numPr>
        <w:spacing w:after="220"/>
        <w:outlineLvl w:val="0"/>
      </w:pPr>
      <w:r>
        <w:t xml:space="preserve">WENRA </w:t>
      </w:r>
      <w:r w:rsidRPr="00CC121D">
        <w:t>Safety Reference Levels for Decommissioning Plants</w:t>
      </w:r>
      <w:r>
        <w:t xml:space="preserve"> (last accessed November 2020</w:t>
      </w:r>
      <w:r w:rsidRPr="00CC121D">
        <w:t>)</w:t>
      </w:r>
      <w:r>
        <w:t>.</w:t>
      </w:r>
    </w:p>
    <w:p w14:paraId="34216682" w14:textId="5D633504" w:rsidR="007269E5" w:rsidRDefault="007269E5" w:rsidP="007269E5">
      <w:pPr>
        <w:numPr>
          <w:ilvl w:val="0"/>
          <w:numId w:val="17"/>
        </w:numPr>
        <w:spacing w:after="220"/>
        <w:outlineLvl w:val="0"/>
      </w:pPr>
      <w:r>
        <w:t xml:space="preserve">WENRA </w:t>
      </w:r>
      <w:r w:rsidRPr="00CC121D">
        <w:t>Safety Reference Levels for Fuel and Waste Plants</w:t>
      </w:r>
      <w:r>
        <w:t xml:space="preserve"> (last accessed November 2020</w:t>
      </w:r>
      <w:r w:rsidRPr="00CC121D">
        <w:t>).</w:t>
      </w:r>
    </w:p>
    <w:p w14:paraId="006666E4" w14:textId="41F5D017" w:rsidR="007269E5" w:rsidRDefault="007269E5" w:rsidP="007269E5">
      <w:pPr>
        <w:numPr>
          <w:ilvl w:val="0"/>
          <w:numId w:val="17"/>
        </w:numPr>
        <w:spacing w:after="220"/>
        <w:outlineLvl w:val="0"/>
      </w:pPr>
      <w:r>
        <w:t>WENRA</w:t>
      </w:r>
      <w:r w:rsidRPr="007440A2">
        <w:t xml:space="preserve"> </w:t>
      </w:r>
      <w:r>
        <w:t>Report ‘Safety of Nuclear Power Plant Designs’ Study by Reactor Harmonization Working Group RHWG 2013, (last accessed November 2020</w:t>
      </w:r>
      <w:r w:rsidRPr="00CC121D">
        <w:t>).</w:t>
      </w:r>
    </w:p>
    <w:p w14:paraId="7385EE40" w14:textId="77777777" w:rsidR="007269E5" w:rsidRDefault="007269E5" w:rsidP="007269E5">
      <w:pPr>
        <w:numPr>
          <w:ilvl w:val="0"/>
          <w:numId w:val="17"/>
        </w:numPr>
        <w:spacing w:after="220"/>
        <w:outlineLvl w:val="0"/>
      </w:pPr>
      <w:r>
        <w:t>ONR ‘Regulators Code’. www.onr.org.uk/regulators-code.htm.</w:t>
      </w:r>
    </w:p>
    <w:p w14:paraId="7411FAA5" w14:textId="77777777" w:rsidR="007269E5" w:rsidRPr="00A314E5" w:rsidRDefault="007269E5" w:rsidP="007269E5">
      <w:pPr>
        <w:numPr>
          <w:ilvl w:val="0"/>
          <w:numId w:val="17"/>
        </w:numPr>
        <w:spacing w:after="220"/>
        <w:outlineLvl w:val="0"/>
      </w:pPr>
      <w:r w:rsidRPr="00CC121D">
        <w:t>ONR-COM-GD-002 – ‘</w:t>
      </w:r>
      <w:r w:rsidRPr="00A314E5">
        <w:t xml:space="preserve">Editorial and Formatting Style Guide’ </w:t>
      </w:r>
      <w:r>
        <w:t>(</w:t>
      </w:r>
      <w:r w:rsidRPr="00A314E5">
        <w:t>2018/162407</w:t>
      </w:r>
      <w:r>
        <w:t>).</w:t>
      </w:r>
    </w:p>
    <w:p w14:paraId="70C97BA8" w14:textId="77777777" w:rsidR="007269E5" w:rsidRPr="00A314E5" w:rsidRDefault="007269E5" w:rsidP="007269E5">
      <w:pPr>
        <w:numPr>
          <w:ilvl w:val="0"/>
          <w:numId w:val="17"/>
        </w:numPr>
        <w:spacing w:after="220"/>
        <w:outlineLvl w:val="0"/>
      </w:pPr>
      <w:r w:rsidRPr="00A314E5">
        <w:t xml:space="preserve">Oxford Guide to Plain English [ISBN </w:t>
      </w:r>
      <w:r w:rsidRPr="00CC121D">
        <w:t>978-0198844617]</w:t>
      </w:r>
      <w:r>
        <w:t>.</w:t>
      </w:r>
    </w:p>
    <w:p w14:paraId="7C99D5A3" w14:textId="77777777" w:rsidR="007269E5" w:rsidRPr="00D12C43" w:rsidRDefault="007269E5" w:rsidP="007269E5">
      <w:pPr>
        <w:numPr>
          <w:ilvl w:val="0"/>
          <w:numId w:val="17"/>
        </w:numPr>
        <w:spacing w:after="220"/>
        <w:outlineLvl w:val="0"/>
        <w:rPr>
          <w:noProof/>
        </w:rPr>
      </w:pPr>
      <w:r w:rsidRPr="00D12C43">
        <w:rPr>
          <w:noProof/>
        </w:rPr>
        <w:t>The Energy Act 2008 “Funded Decommissioning Programme Guidance for New Nuclear Power Stations</w:t>
      </w:r>
      <w:r>
        <w:rPr>
          <w:noProof/>
        </w:rPr>
        <w:t>”</w:t>
      </w:r>
      <w:r w:rsidRPr="00EA6451">
        <w:t xml:space="preserve"> </w:t>
      </w:r>
      <w:hyperlink r:id="rId43" w:history="1">
        <w:r w:rsidRPr="00F6308C">
          <w:rPr>
            <w:rStyle w:val="Hyperlink"/>
          </w:rPr>
          <w:t>https://assets.publishing.service.gov.uk/government/uploads/system/uploads/attachment_data/file/42628/3797-guidance-funded-decommissioning-programme-consult.pdf</w:t>
        </w:r>
      </w:hyperlink>
      <w:r>
        <w:t xml:space="preserve"> (last accessed November 2020).</w:t>
      </w:r>
    </w:p>
    <w:p w14:paraId="34A5C6ED" w14:textId="77777777" w:rsidR="007269E5" w:rsidRDefault="007269E5" w:rsidP="007269E5">
      <w:pPr>
        <w:numPr>
          <w:ilvl w:val="0"/>
          <w:numId w:val="17"/>
        </w:numPr>
        <w:spacing w:after="220"/>
        <w:outlineLvl w:val="0"/>
      </w:pPr>
      <w:r w:rsidRPr="00985F91">
        <w:t>OC 18/12 ‘Matters of Evident Concern and Potential Major Concern’ Version 4</w:t>
      </w:r>
      <w:r>
        <w:t>.</w:t>
      </w:r>
    </w:p>
    <w:p w14:paraId="57305204" w14:textId="77777777" w:rsidR="00D07AFA" w:rsidRPr="00CC121D" w:rsidRDefault="00D07AFA" w:rsidP="00D07AFA"/>
    <w:p w14:paraId="5730520D" w14:textId="72E6820C" w:rsidR="00D07AFA" w:rsidRPr="00CC121D" w:rsidRDefault="00D07AFA" w:rsidP="00D07AFA">
      <w:pPr>
        <w:pStyle w:val="TSHeadingNumbered1"/>
      </w:pPr>
      <w:r w:rsidRPr="00CC121D">
        <w:br w:type="page"/>
        <w:t xml:space="preserve"> </w:t>
      </w:r>
      <w:bookmarkStart w:id="92" w:name="_Toc43723350"/>
      <w:bookmarkStart w:id="93" w:name="_Toc57912710"/>
      <w:r w:rsidRPr="00CC121D">
        <w:t>Appendices</w:t>
      </w:r>
      <w:bookmarkEnd w:id="92"/>
      <w:bookmarkEnd w:id="93"/>
    </w:p>
    <w:p w14:paraId="5730520E" w14:textId="0832ADE4" w:rsidR="00D07AFA" w:rsidRPr="00CC121D" w:rsidRDefault="00D07AFA" w:rsidP="00D07AFA">
      <w:pPr>
        <w:pStyle w:val="TSHeadingNumbered11"/>
      </w:pPr>
      <w:bookmarkStart w:id="94" w:name="_Toc43723351"/>
      <w:bookmarkStart w:id="95" w:name="_Toc57912711"/>
      <w:r w:rsidRPr="00CC121D">
        <w:t xml:space="preserve">APPENDIX A: </w:t>
      </w:r>
      <w:r w:rsidR="000167D0" w:rsidRPr="00CC121D">
        <w:t>SCOPE OF CIVIL ENGINEERING WORKS AND STRUCTURES</w:t>
      </w:r>
      <w:bookmarkEnd w:id="94"/>
      <w:bookmarkEnd w:id="95"/>
    </w:p>
    <w:p w14:paraId="5730520F" w14:textId="77777777" w:rsidR="00D07AFA" w:rsidRPr="00CC121D" w:rsidRDefault="00D07AFA" w:rsidP="00D07AFA">
      <w:pPr>
        <w:spacing w:after="220"/>
        <w:outlineLvl w:val="0"/>
      </w:pPr>
      <w:r w:rsidRPr="00CC121D">
        <w:t>The term ‘civil engineering works and structures’ refers to:</w:t>
      </w:r>
    </w:p>
    <w:p w14:paraId="57305210" w14:textId="77777777" w:rsidR="00D07AFA" w:rsidRPr="00CC121D" w:rsidRDefault="00D07AFA" w:rsidP="00D07AFA">
      <w:pPr>
        <w:numPr>
          <w:ilvl w:val="1"/>
          <w:numId w:val="10"/>
        </w:numPr>
        <w:spacing w:after="240"/>
        <w:contextualSpacing/>
      </w:pPr>
      <w:r w:rsidRPr="00CC121D">
        <w:t>the production, acceptance, approval and issuance of design or documentation,</w:t>
      </w:r>
    </w:p>
    <w:p w14:paraId="57305211" w14:textId="77777777" w:rsidR="00D07AFA" w:rsidRPr="00CC121D" w:rsidRDefault="00D07AFA" w:rsidP="00D07AFA">
      <w:pPr>
        <w:numPr>
          <w:ilvl w:val="1"/>
          <w:numId w:val="10"/>
        </w:numPr>
        <w:spacing w:after="240"/>
        <w:contextualSpacing/>
      </w:pPr>
      <w:r w:rsidRPr="00CC121D">
        <w:t>decision making around the design intent,</w:t>
      </w:r>
    </w:p>
    <w:p w14:paraId="57305212" w14:textId="77777777" w:rsidR="00D07AFA" w:rsidRPr="00CC121D" w:rsidRDefault="00D07AFA" w:rsidP="00D07AFA">
      <w:pPr>
        <w:numPr>
          <w:ilvl w:val="1"/>
          <w:numId w:val="10"/>
        </w:numPr>
        <w:spacing w:after="240"/>
        <w:contextualSpacing/>
      </w:pPr>
      <w:r w:rsidRPr="00CC121D">
        <w:t>physical works,</w:t>
      </w:r>
    </w:p>
    <w:p w14:paraId="57305213" w14:textId="77777777" w:rsidR="00D07AFA" w:rsidRDefault="00D07AFA" w:rsidP="00D07AFA">
      <w:pPr>
        <w:numPr>
          <w:ilvl w:val="1"/>
          <w:numId w:val="10"/>
        </w:numPr>
        <w:spacing w:after="240"/>
        <w:contextualSpacing/>
      </w:pPr>
      <w:r w:rsidRPr="00CC121D">
        <w:t>or other activities that have the potential to impact design intent of nuclear safety related structures, systems and components (SSCs);</w:t>
      </w:r>
    </w:p>
    <w:p w14:paraId="57305214" w14:textId="77777777" w:rsidR="00AB5B88" w:rsidRPr="00CC121D" w:rsidRDefault="00AB5B88" w:rsidP="00AB5B88">
      <w:pPr>
        <w:spacing w:after="240"/>
        <w:ind w:left="1004"/>
        <w:contextualSpacing/>
      </w:pPr>
    </w:p>
    <w:p w14:paraId="57305215" w14:textId="77777777" w:rsidR="00D07AFA" w:rsidRPr="00CC121D" w:rsidRDefault="00D07AFA" w:rsidP="00D07AFA">
      <w:pPr>
        <w:spacing w:after="220"/>
        <w:outlineLvl w:val="0"/>
      </w:pPr>
      <w:r w:rsidRPr="00CC121D">
        <w:t>associated with these safety related functions:</w:t>
      </w:r>
    </w:p>
    <w:p w14:paraId="57305216" w14:textId="77777777" w:rsidR="00D07AFA" w:rsidRPr="00CC121D" w:rsidRDefault="00D07AFA" w:rsidP="00D07AFA">
      <w:pPr>
        <w:numPr>
          <w:ilvl w:val="1"/>
          <w:numId w:val="10"/>
        </w:numPr>
        <w:spacing w:after="240"/>
        <w:contextualSpacing/>
      </w:pPr>
      <w:r w:rsidRPr="00CC121D">
        <w:t>supporting safety related plant and equipment,</w:t>
      </w:r>
    </w:p>
    <w:p w14:paraId="57305217" w14:textId="77777777" w:rsidR="00D07AFA" w:rsidRPr="00CC121D" w:rsidRDefault="00D07AFA" w:rsidP="00D07AFA">
      <w:pPr>
        <w:numPr>
          <w:ilvl w:val="1"/>
          <w:numId w:val="10"/>
        </w:numPr>
        <w:spacing w:after="240"/>
        <w:contextualSpacing/>
      </w:pPr>
      <w:r w:rsidRPr="00CC121D">
        <w:t>provision of shielding,</w:t>
      </w:r>
    </w:p>
    <w:p w14:paraId="57305218" w14:textId="77777777" w:rsidR="00D07AFA" w:rsidRPr="00CC121D" w:rsidRDefault="00D07AFA" w:rsidP="00D07AFA">
      <w:pPr>
        <w:numPr>
          <w:ilvl w:val="1"/>
          <w:numId w:val="10"/>
        </w:numPr>
        <w:spacing w:after="240"/>
        <w:contextualSpacing/>
      </w:pPr>
      <w:r w:rsidRPr="00CC121D">
        <w:t>containment of nuclear matter,</w:t>
      </w:r>
    </w:p>
    <w:p w14:paraId="57305219" w14:textId="77777777" w:rsidR="00D07AFA" w:rsidRPr="00CC121D" w:rsidRDefault="00D07AFA" w:rsidP="00D07AFA">
      <w:pPr>
        <w:numPr>
          <w:ilvl w:val="1"/>
          <w:numId w:val="10"/>
        </w:numPr>
        <w:spacing w:after="240"/>
        <w:contextualSpacing/>
      </w:pPr>
      <w:r w:rsidRPr="00CC121D">
        <w:t>retaining liquids or gases (e.g. ponds, concrete pressure vessels, vaults and silos),</w:t>
      </w:r>
    </w:p>
    <w:p w14:paraId="5730521A" w14:textId="77777777" w:rsidR="00D07AFA" w:rsidRPr="00CC121D" w:rsidRDefault="00D07AFA" w:rsidP="00D07AFA">
      <w:pPr>
        <w:numPr>
          <w:ilvl w:val="1"/>
          <w:numId w:val="10"/>
        </w:numPr>
        <w:spacing w:after="240"/>
        <w:contextualSpacing/>
      </w:pPr>
      <w:r w:rsidRPr="00CC121D">
        <w:t>protection of nuclear safety related plant from external hazards,</w:t>
      </w:r>
    </w:p>
    <w:p w14:paraId="5730521B" w14:textId="77777777" w:rsidR="00D07AFA" w:rsidRPr="00CC121D" w:rsidRDefault="00D07AFA" w:rsidP="00D07AFA">
      <w:pPr>
        <w:numPr>
          <w:ilvl w:val="1"/>
          <w:numId w:val="10"/>
        </w:numPr>
        <w:spacing w:after="240"/>
        <w:contextualSpacing/>
      </w:pPr>
      <w:r w:rsidRPr="00CC121D">
        <w:t>provision of protection from malicious threat, or</w:t>
      </w:r>
    </w:p>
    <w:p w14:paraId="5730521C" w14:textId="77777777" w:rsidR="00D07AFA" w:rsidRDefault="00D07AFA" w:rsidP="00D07AFA">
      <w:pPr>
        <w:numPr>
          <w:ilvl w:val="1"/>
          <w:numId w:val="10"/>
        </w:numPr>
        <w:spacing w:after="240"/>
        <w:contextualSpacing/>
      </w:pPr>
      <w:r w:rsidRPr="00CC121D">
        <w:t>or whose failure threatens nuclear safety related structures, systems and components (SSCs) or threatens their ability to fulfil their safety functional requirements</w:t>
      </w:r>
      <w:r w:rsidR="00AB5B88">
        <w:t>;</w:t>
      </w:r>
    </w:p>
    <w:p w14:paraId="5730521D" w14:textId="77777777" w:rsidR="00AB5B88" w:rsidRPr="00CC121D" w:rsidRDefault="00AB5B88" w:rsidP="00AB5B88">
      <w:pPr>
        <w:spacing w:after="240"/>
        <w:ind w:left="1004"/>
        <w:contextualSpacing/>
      </w:pPr>
    </w:p>
    <w:p w14:paraId="5730521E" w14:textId="77777777" w:rsidR="00D07AFA" w:rsidRPr="00CC121D" w:rsidRDefault="00D07AFA" w:rsidP="00D07AFA">
      <w:pPr>
        <w:spacing w:after="220"/>
        <w:outlineLvl w:val="0"/>
      </w:pPr>
      <w:r w:rsidRPr="00CC121D">
        <w:t>as performed by either:</w:t>
      </w:r>
    </w:p>
    <w:p w14:paraId="5730521F" w14:textId="77777777" w:rsidR="00D07AFA" w:rsidRPr="00CC121D" w:rsidRDefault="00D07AFA" w:rsidP="00D07AFA">
      <w:pPr>
        <w:numPr>
          <w:ilvl w:val="1"/>
          <w:numId w:val="10"/>
        </w:numPr>
        <w:spacing w:after="240"/>
        <w:contextualSpacing/>
      </w:pPr>
      <w:r w:rsidRPr="00CC121D">
        <w:t>Nuclear safety related structures; including:</w:t>
      </w:r>
    </w:p>
    <w:p w14:paraId="57305220" w14:textId="77777777" w:rsidR="00D07AFA" w:rsidRPr="00CC121D" w:rsidRDefault="00D07AFA" w:rsidP="00D07AFA">
      <w:pPr>
        <w:numPr>
          <w:ilvl w:val="2"/>
          <w:numId w:val="10"/>
        </w:numPr>
        <w:spacing w:after="240"/>
        <w:ind w:left="2127"/>
        <w:contextualSpacing/>
      </w:pPr>
      <w:r w:rsidRPr="00CC121D">
        <w:t xml:space="preserve">structural steel-framed, </w:t>
      </w:r>
    </w:p>
    <w:p w14:paraId="57305221" w14:textId="77777777" w:rsidR="00D07AFA" w:rsidRPr="00CC121D" w:rsidRDefault="00D07AFA" w:rsidP="00D07AFA">
      <w:pPr>
        <w:numPr>
          <w:ilvl w:val="2"/>
          <w:numId w:val="10"/>
        </w:numPr>
        <w:spacing w:after="240"/>
        <w:ind w:left="2127"/>
        <w:contextualSpacing/>
      </w:pPr>
      <w:r w:rsidRPr="00CC121D">
        <w:t>concrete, sub- and super-structures,</w:t>
      </w:r>
    </w:p>
    <w:p w14:paraId="57305222" w14:textId="77777777" w:rsidR="00D07AFA" w:rsidRPr="00CC121D" w:rsidRDefault="00D07AFA" w:rsidP="00D07AFA">
      <w:pPr>
        <w:numPr>
          <w:ilvl w:val="2"/>
          <w:numId w:val="10"/>
        </w:numPr>
        <w:ind w:left="2126"/>
        <w:contextualSpacing/>
      </w:pPr>
      <w:r w:rsidRPr="00CC121D">
        <w:t>masonry,</w:t>
      </w:r>
    </w:p>
    <w:p w14:paraId="57305223" w14:textId="77777777" w:rsidR="00D07AFA" w:rsidRDefault="00D07AFA" w:rsidP="00D07AFA">
      <w:pPr>
        <w:numPr>
          <w:ilvl w:val="2"/>
          <w:numId w:val="10"/>
        </w:numPr>
        <w:ind w:left="2126"/>
        <w:contextualSpacing/>
      </w:pPr>
      <w:r w:rsidRPr="00CC121D">
        <w:t>crane and plant supports;</w:t>
      </w:r>
    </w:p>
    <w:p w14:paraId="57305224" w14:textId="77777777" w:rsidR="00AB5B88" w:rsidRPr="00CC121D" w:rsidRDefault="00AB5B88" w:rsidP="00AB5B88">
      <w:pPr>
        <w:ind w:left="2126"/>
        <w:contextualSpacing/>
      </w:pPr>
    </w:p>
    <w:p w14:paraId="57305225" w14:textId="77777777" w:rsidR="00D07AFA" w:rsidRPr="00CC121D" w:rsidRDefault="00D07AFA" w:rsidP="00D07AFA">
      <w:pPr>
        <w:spacing w:after="120"/>
        <w:outlineLvl w:val="0"/>
      </w:pPr>
      <w:r w:rsidRPr="00CC121D">
        <w:t>or</w:t>
      </w:r>
      <w:r w:rsidR="00AB5B88">
        <w:t>:</w:t>
      </w:r>
    </w:p>
    <w:p w14:paraId="57305226" w14:textId="77777777" w:rsidR="00D07AFA" w:rsidRPr="00CC121D" w:rsidRDefault="00D07AFA" w:rsidP="00AF7814">
      <w:pPr>
        <w:numPr>
          <w:ilvl w:val="1"/>
          <w:numId w:val="10"/>
        </w:numPr>
        <w:tabs>
          <w:tab w:val="clear" w:pos="-31680"/>
        </w:tabs>
        <w:spacing w:after="240"/>
        <w:contextualSpacing/>
      </w:pPr>
      <w:r w:rsidRPr="00CC121D">
        <w:t xml:space="preserve">Site infrastructure on a </w:t>
      </w:r>
      <w:r w:rsidR="00AF7814">
        <w:t>GB nuclear site</w:t>
      </w:r>
      <w:r w:rsidRPr="00CC121D">
        <w:t>; including but not limited to:</w:t>
      </w:r>
    </w:p>
    <w:p w14:paraId="57305227" w14:textId="77777777" w:rsidR="00D07AFA" w:rsidRPr="00CC121D" w:rsidRDefault="00AB5B88" w:rsidP="00D07AFA">
      <w:pPr>
        <w:numPr>
          <w:ilvl w:val="2"/>
          <w:numId w:val="10"/>
        </w:numPr>
        <w:spacing w:after="240"/>
        <w:ind w:left="2127"/>
        <w:contextualSpacing/>
      </w:pPr>
      <w:r>
        <w:t>b</w:t>
      </w:r>
      <w:r w:rsidR="00D07AFA" w:rsidRPr="00CC121D">
        <w:t xml:space="preserve">ridges, roads, railways, dockyards </w:t>
      </w:r>
      <w:r>
        <w:t>and other transportation links,</w:t>
      </w:r>
    </w:p>
    <w:p w14:paraId="57305228" w14:textId="77777777" w:rsidR="00D07AFA" w:rsidRPr="00CC121D" w:rsidRDefault="00D07AFA" w:rsidP="00D07AFA">
      <w:pPr>
        <w:numPr>
          <w:ilvl w:val="2"/>
          <w:numId w:val="10"/>
        </w:numPr>
        <w:spacing w:after="240"/>
        <w:ind w:left="2127"/>
        <w:contextualSpacing/>
      </w:pPr>
      <w:r w:rsidRPr="00CC121D">
        <w:t xml:space="preserve">pavements </w:t>
      </w:r>
      <w:r w:rsidR="00AB5B88">
        <w:t>and above-ground storage areas,</w:t>
      </w:r>
    </w:p>
    <w:p w14:paraId="57305229" w14:textId="77777777" w:rsidR="00D07AFA" w:rsidRPr="00CC121D" w:rsidRDefault="00D07AFA" w:rsidP="00D07AFA">
      <w:pPr>
        <w:numPr>
          <w:ilvl w:val="2"/>
          <w:numId w:val="10"/>
        </w:numPr>
        <w:spacing w:after="240"/>
        <w:ind w:left="2127"/>
        <w:contextualSpacing/>
      </w:pPr>
      <w:r w:rsidRPr="00CC121D">
        <w:t>street furniture e.g. supports to lighting, storm water</w:t>
      </w:r>
      <w:r w:rsidR="00AB5B88">
        <w:t xml:space="preserve"> drainage,</w:t>
      </w:r>
    </w:p>
    <w:p w14:paraId="5730522A" w14:textId="77777777" w:rsidR="00D07AFA" w:rsidRPr="00CC121D" w:rsidRDefault="00D07AFA" w:rsidP="00D07AFA">
      <w:pPr>
        <w:numPr>
          <w:ilvl w:val="2"/>
          <w:numId w:val="10"/>
        </w:numPr>
        <w:spacing w:after="240"/>
        <w:ind w:left="2127"/>
        <w:contextualSpacing/>
      </w:pPr>
      <w:r w:rsidRPr="00CC121D">
        <w:t>pipe-bridges or other supports to safety related structures</w:t>
      </w:r>
      <w:r w:rsidR="00AB5B88">
        <w:t xml:space="preserve"> systems and components (SSCs),</w:t>
      </w:r>
    </w:p>
    <w:p w14:paraId="5730522B" w14:textId="77777777" w:rsidR="00D07AFA" w:rsidRPr="00CC121D" w:rsidRDefault="00D07AFA" w:rsidP="00D07AFA">
      <w:pPr>
        <w:numPr>
          <w:ilvl w:val="2"/>
          <w:numId w:val="10"/>
        </w:numPr>
        <w:spacing w:after="240"/>
        <w:ind w:left="2127"/>
        <w:contextualSpacing/>
      </w:pPr>
      <w:r w:rsidRPr="00CC121D">
        <w:t>earthworks, soil and rock that support SSCs,</w:t>
      </w:r>
    </w:p>
    <w:p w14:paraId="5730522C" w14:textId="77777777" w:rsidR="00D07AFA" w:rsidRPr="00CC121D" w:rsidRDefault="00D07AFA" w:rsidP="00D07AFA">
      <w:pPr>
        <w:numPr>
          <w:ilvl w:val="2"/>
          <w:numId w:val="10"/>
        </w:numPr>
        <w:spacing w:after="240"/>
        <w:ind w:left="2127"/>
        <w:contextualSpacing/>
      </w:pPr>
      <w:r w:rsidRPr="00CC121D">
        <w:t>over and underground routes for services and power supplies,</w:t>
      </w:r>
    </w:p>
    <w:p w14:paraId="5730522D" w14:textId="77777777" w:rsidR="00D07AFA" w:rsidRPr="00CC121D" w:rsidRDefault="00D07AFA" w:rsidP="00D07AFA">
      <w:pPr>
        <w:numPr>
          <w:ilvl w:val="2"/>
          <w:numId w:val="10"/>
        </w:numPr>
        <w:spacing w:after="240"/>
        <w:ind w:left="2127"/>
        <w:contextualSpacing/>
      </w:pPr>
      <w:r w:rsidRPr="00CC121D">
        <w:t>water outfalls and intakes, water management zones, lagoons and other naturally fed water storage areas,</w:t>
      </w:r>
    </w:p>
    <w:p w14:paraId="5730522E" w14:textId="77777777" w:rsidR="00D07AFA" w:rsidRPr="00CC121D" w:rsidRDefault="00D07AFA" w:rsidP="00D07AFA">
      <w:pPr>
        <w:numPr>
          <w:ilvl w:val="2"/>
          <w:numId w:val="10"/>
        </w:numPr>
        <w:spacing w:after="240"/>
        <w:ind w:left="2127"/>
        <w:contextualSpacing/>
      </w:pPr>
      <w:r w:rsidRPr="00CC121D">
        <w:t xml:space="preserve">foundations, basements, vaults, </w:t>
      </w:r>
      <w:r w:rsidR="00AB5B88">
        <w:t>underground storage structures,</w:t>
      </w:r>
    </w:p>
    <w:p w14:paraId="5730522F" w14:textId="77777777" w:rsidR="00D07AFA" w:rsidRPr="00CC121D" w:rsidRDefault="00D07AFA" w:rsidP="00D07AFA">
      <w:pPr>
        <w:numPr>
          <w:ilvl w:val="2"/>
          <w:numId w:val="10"/>
        </w:numPr>
        <w:spacing w:after="240"/>
        <w:ind w:left="2127"/>
        <w:contextualSpacing/>
      </w:pPr>
      <w:r w:rsidRPr="00CC121D">
        <w:t>engineered slopes, embankments and ground support,</w:t>
      </w:r>
    </w:p>
    <w:p w14:paraId="57305230" w14:textId="77777777" w:rsidR="00D07AFA" w:rsidRPr="00CC121D" w:rsidRDefault="00D07AFA" w:rsidP="00D07AFA">
      <w:pPr>
        <w:numPr>
          <w:ilvl w:val="2"/>
          <w:numId w:val="10"/>
        </w:numPr>
        <w:spacing w:after="240"/>
        <w:ind w:left="2127"/>
        <w:contextualSpacing/>
      </w:pPr>
      <w:r w:rsidRPr="00CC121D">
        <w:t xml:space="preserve">coastal erosion, coastal flooding, or river </w:t>
      </w:r>
      <w:r w:rsidR="00AB5B88">
        <w:t>flooding defences / protection,</w:t>
      </w:r>
    </w:p>
    <w:p w14:paraId="57305231" w14:textId="77777777" w:rsidR="00D07AFA" w:rsidRPr="00CC121D" w:rsidRDefault="00D07AFA" w:rsidP="00D07AFA">
      <w:pPr>
        <w:numPr>
          <w:ilvl w:val="2"/>
          <w:numId w:val="10"/>
        </w:numPr>
        <w:spacing w:after="240"/>
        <w:ind w:left="2127"/>
        <w:contextualSpacing/>
      </w:pPr>
      <w:r w:rsidRPr="00CC121D">
        <w:t>culverts and river entrainment structures,</w:t>
      </w:r>
    </w:p>
    <w:p w14:paraId="57305232" w14:textId="77777777" w:rsidR="00D07AFA" w:rsidRPr="00CC121D" w:rsidRDefault="00D07AFA" w:rsidP="00D07AFA">
      <w:pPr>
        <w:numPr>
          <w:ilvl w:val="2"/>
          <w:numId w:val="10"/>
        </w:numPr>
        <w:spacing w:after="240"/>
        <w:ind w:left="2127"/>
        <w:contextualSpacing/>
      </w:pPr>
      <w:r w:rsidRPr="00CC121D">
        <w:t>containments/confinement, including storage ponds, vaults and silos,</w:t>
      </w:r>
    </w:p>
    <w:p w14:paraId="57305233" w14:textId="77777777" w:rsidR="00D07AFA" w:rsidRPr="00CC121D" w:rsidRDefault="00D07AFA" w:rsidP="00D07AFA">
      <w:pPr>
        <w:numPr>
          <w:ilvl w:val="2"/>
          <w:numId w:val="10"/>
        </w:numPr>
        <w:spacing w:before="240" w:after="240"/>
        <w:ind w:left="2126"/>
        <w:contextualSpacing/>
      </w:pPr>
      <w:r w:rsidRPr="00CC121D">
        <w:t>provision for protection to buildings from accidental or malicious crashes</w:t>
      </w:r>
      <w:r w:rsidR="00AB5B88">
        <w:t>,</w:t>
      </w:r>
    </w:p>
    <w:p w14:paraId="57305234" w14:textId="77777777" w:rsidR="00D07AFA" w:rsidRPr="00CC121D" w:rsidRDefault="00D07AFA" w:rsidP="00D07AFA">
      <w:pPr>
        <w:numPr>
          <w:ilvl w:val="2"/>
          <w:numId w:val="10"/>
        </w:numPr>
        <w:spacing w:before="240" w:after="240"/>
        <w:ind w:left="2126"/>
        <w:contextualSpacing/>
      </w:pPr>
      <w:r w:rsidRPr="00CC121D">
        <w:t>cladding, doors, windows, boundary fences etc. including supporting structures to nuclear safety related security equipment,</w:t>
      </w:r>
    </w:p>
    <w:p w14:paraId="57305235" w14:textId="77777777" w:rsidR="00D07AFA" w:rsidRPr="00CC121D" w:rsidRDefault="00D07AFA" w:rsidP="00D07AFA">
      <w:pPr>
        <w:numPr>
          <w:ilvl w:val="2"/>
          <w:numId w:val="10"/>
        </w:numPr>
        <w:spacing w:before="240" w:after="240"/>
        <w:ind w:left="2126"/>
        <w:contextualSpacing/>
      </w:pPr>
      <w:r w:rsidRPr="00CC121D">
        <w:t>waste stores for nuclear inventory or activated or irradiated items</w:t>
      </w:r>
      <w:r w:rsidR="00AB5B88">
        <w:t>,</w:t>
      </w:r>
    </w:p>
    <w:p w14:paraId="57305236" w14:textId="77777777" w:rsidR="00D07AFA" w:rsidRDefault="00D07AFA" w:rsidP="001B477E">
      <w:pPr>
        <w:numPr>
          <w:ilvl w:val="2"/>
          <w:numId w:val="10"/>
        </w:numPr>
        <w:spacing w:before="240" w:after="240"/>
        <w:ind w:left="2126"/>
        <w:contextualSpacing/>
      </w:pPr>
      <w:r w:rsidRPr="00CC121D">
        <w:t>leak detection pits and other structures and building services that perform a safety function requirement</w:t>
      </w:r>
      <w:r w:rsidR="00AB5B88">
        <w:t>;</w:t>
      </w:r>
    </w:p>
    <w:p w14:paraId="57305237" w14:textId="77777777" w:rsidR="001B477E" w:rsidRPr="00CC121D" w:rsidRDefault="001B477E" w:rsidP="001B477E">
      <w:pPr>
        <w:spacing w:before="240" w:after="240"/>
        <w:ind w:left="2126"/>
        <w:contextualSpacing/>
      </w:pPr>
    </w:p>
    <w:p w14:paraId="57305238" w14:textId="77777777" w:rsidR="00D07AFA" w:rsidRPr="00CC121D" w:rsidRDefault="00D07AFA" w:rsidP="001B477E">
      <w:pPr>
        <w:spacing w:before="240" w:after="220"/>
        <w:outlineLvl w:val="0"/>
        <w:rPr>
          <w:b/>
        </w:rPr>
      </w:pPr>
      <w:r w:rsidRPr="00CC121D">
        <w:t>where nuclear safety functional requirements continue to be satisfied as needed across all stages of the required life cycle.</w:t>
      </w:r>
      <w:r w:rsidRPr="00CC121D">
        <w:rPr>
          <w:b/>
        </w:rPr>
        <w:br w:type="page"/>
      </w:r>
    </w:p>
    <w:p w14:paraId="57305239" w14:textId="1CB89C6E" w:rsidR="00D07AFA" w:rsidRPr="00CC121D" w:rsidRDefault="00D07AFA" w:rsidP="00D07AFA">
      <w:pPr>
        <w:pStyle w:val="TSHeadingNumbered11"/>
      </w:pPr>
      <w:r w:rsidRPr="00CC121D">
        <w:t> </w:t>
      </w:r>
      <w:bookmarkStart w:id="96" w:name="_Toc57912712"/>
      <w:r w:rsidRPr="00CC121D">
        <w:t xml:space="preserve">APPENDIX B: </w:t>
      </w:r>
      <w:r w:rsidRPr="00CC121D">
        <w:rPr>
          <w:bCs/>
          <w:szCs w:val="22"/>
          <w:lang w:eastAsia="en-GB"/>
        </w:rPr>
        <w:t>LIST OF RELEVANT SAFETY ASSESSMENT PRINCIPLES</w:t>
      </w:r>
      <w:bookmarkEnd w:id="96"/>
      <w:r w:rsidRPr="00CC121D">
        <w:rPr>
          <w:bCs/>
          <w:szCs w:val="22"/>
          <w:lang w:eastAsia="en-GB"/>
        </w:rPr>
        <w:t xml:space="preserve"> </w:t>
      </w:r>
    </w:p>
    <w:p w14:paraId="5730523A" w14:textId="77777777" w:rsidR="00D07AFA" w:rsidRPr="00CC121D" w:rsidRDefault="00D07AFA" w:rsidP="001B477E">
      <w:pPr>
        <w:spacing w:after="216"/>
        <w:ind w:left="720"/>
        <w:rPr>
          <w:rFonts w:ascii="Arial Bold" w:hAnsi="Arial Bold"/>
          <w:b/>
          <w:bCs/>
          <w:szCs w:val="22"/>
          <w:lang w:eastAsia="en-GB"/>
        </w:rPr>
      </w:pPr>
      <w:r w:rsidRPr="00CC121D">
        <w:rPr>
          <w:rFonts w:ascii="Arial Bold" w:hAnsi="Arial Bold"/>
          <w:b/>
          <w:bCs/>
          <w:szCs w:val="22"/>
          <w:lang w:eastAsia="en-GB"/>
        </w:rPr>
        <w:t>CITATION OF CIVIL ENGINEERING SAPs IN §5 OF THIS TAG</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28" w:type="dxa"/>
          <w:bottom w:w="28" w:type="dxa"/>
          <w:right w:w="28" w:type="dxa"/>
        </w:tblCellMar>
        <w:tblLook w:val="01E0" w:firstRow="1" w:lastRow="1" w:firstColumn="1" w:lastColumn="1" w:noHBand="0" w:noVBand="0"/>
      </w:tblPr>
      <w:tblGrid>
        <w:gridCol w:w="1171"/>
        <w:gridCol w:w="1335"/>
        <w:gridCol w:w="850"/>
        <w:gridCol w:w="6275"/>
      </w:tblGrid>
      <w:tr w:rsidR="00CC121D" w:rsidRPr="00CC121D" w14:paraId="5730523C" w14:textId="77777777" w:rsidTr="00F22B72">
        <w:trPr>
          <w:jc w:val="center"/>
        </w:trPr>
        <w:tc>
          <w:tcPr>
            <w:tcW w:w="9631" w:type="dxa"/>
            <w:gridSpan w:val="4"/>
            <w:shd w:val="clear" w:color="auto" w:fill="006D68"/>
          </w:tcPr>
          <w:p w14:paraId="5730523B" w14:textId="77777777" w:rsidR="00D07AFA" w:rsidRPr="00CC121D" w:rsidRDefault="00D07AFA" w:rsidP="00D07AFA">
            <w:pPr>
              <w:widowControl w:val="0"/>
              <w:tabs>
                <w:tab w:val="left" w:pos="720"/>
              </w:tabs>
              <w:jc w:val="center"/>
              <w:rPr>
                <w:rFonts w:ascii="Arial Bold" w:hAnsi="Arial Bold" w:cs="Arial"/>
                <w:b/>
                <w:sz w:val="20"/>
              </w:rPr>
            </w:pPr>
            <w:r w:rsidRPr="00CC121D">
              <w:rPr>
                <w:rFonts w:ascii="Arial Bold" w:hAnsi="Arial Bold" w:cs="Arial"/>
                <w:b/>
                <w:sz w:val="20"/>
              </w:rPr>
              <w:t>Safety Assessment Principles for Civil Engineering</w:t>
            </w:r>
          </w:p>
        </w:tc>
      </w:tr>
      <w:tr w:rsidR="0015225A" w:rsidRPr="00CC121D" w14:paraId="57305242" w14:textId="77777777" w:rsidTr="00F22B72">
        <w:trPr>
          <w:jc w:val="center"/>
        </w:trPr>
        <w:tc>
          <w:tcPr>
            <w:tcW w:w="1171" w:type="dxa"/>
            <w:shd w:val="clear" w:color="auto" w:fill="006D68"/>
            <w:vAlign w:val="center"/>
            <w:hideMark/>
          </w:tcPr>
          <w:p w14:paraId="5730523D" w14:textId="77777777" w:rsidR="0015225A" w:rsidRPr="00CC121D" w:rsidRDefault="0015225A" w:rsidP="00D07AFA">
            <w:pPr>
              <w:widowControl w:val="0"/>
              <w:tabs>
                <w:tab w:val="left" w:pos="720"/>
              </w:tabs>
              <w:jc w:val="center"/>
              <w:rPr>
                <w:rFonts w:ascii="Arial Bold" w:hAnsi="Arial Bold" w:cs="Arial"/>
                <w:b/>
                <w:sz w:val="20"/>
              </w:rPr>
            </w:pPr>
            <w:r w:rsidRPr="00CC121D">
              <w:rPr>
                <w:rFonts w:ascii="Arial Bold" w:hAnsi="Arial Bold" w:cs="Arial"/>
                <w:b/>
                <w:sz w:val="20"/>
              </w:rPr>
              <w:t>Safety case area</w:t>
            </w:r>
          </w:p>
        </w:tc>
        <w:tc>
          <w:tcPr>
            <w:tcW w:w="1335" w:type="dxa"/>
            <w:shd w:val="clear" w:color="auto" w:fill="006D68"/>
            <w:vAlign w:val="center"/>
            <w:hideMark/>
          </w:tcPr>
          <w:p w14:paraId="5730523E" w14:textId="77777777" w:rsidR="0015225A" w:rsidRPr="00CC121D" w:rsidRDefault="0015225A" w:rsidP="00D07AFA">
            <w:pPr>
              <w:widowControl w:val="0"/>
              <w:tabs>
                <w:tab w:val="left" w:pos="720"/>
              </w:tabs>
              <w:jc w:val="center"/>
              <w:rPr>
                <w:rFonts w:ascii="Arial Bold" w:hAnsi="Arial Bold" w:cs="Arial"/>
                <w:b/>
                <w:sz w:val="20"/>
              </w:rPr>
            </w:pPr>
            <w:r w:rsidRPr="00CC121D">
              <w:rPr>
                <w:rFonts w:ascii="Arial Bold" w:hAnsi="Arial Bold" w:cs="Arial"/>
                <w:b/>
                <w:sz w:val="20"/>
              </w:rPr>
              <w:t>Subject</w:t>
            </w:r>
          </w:p>
        </w:tc>
        <w:tc>
          <w:tcPr>
            <w:tcW w:w="850" w:type="dxa"/>
            <w:shd w:val="clear" w:color="auto" w:fill="006D68"/>
          </w:tcPr>
          <w:p w14:paraId="5730523F" w14:textId="77777777" w:rsidR="0015225A" w:rsidRPr="00CC121D" w:rsidRDefault="0015225A" w:rsidP="00D07AFA">
            <w:pPr>
              <w:widowControl w:val="0"/>
              <w:tabs>
                <w:tab w:val="left" w:pos="720"/>
              </w:tabs>
              <w:jc w:val="center"/>
              <w:rPr>
                <w:rFonts w:ascii="Arial Bold" w:hAnsi="Arial Bold" w:cs="Arial"/>
                <w:b/>
                <w:sz w:val="20"/>
              </w:rPr>
            </w:pPr>
            <w:r w:rsidRPr="00CC121D">
              <w:rPr>
                <w:rFonts w:ascii="Arial Bold" w:hAnsi="Arial Bold" w:cs="Arial"/>
                <w:b/>
                <w:sz w:val="20"/>
              </w:rPr>
              <w:t xml:space="preserve">Identity </w:t>
            </w:r>
          </w:p>
        </w:tc>
        <w:tc>
          <w:tcPr>
            <w:tcW w:w="6275" w:type="dxa"/>
            <w:shd w:val="clear" w:color="auto" w:fill="006D68"/>
            <w:vAlign w:val="center"/>
            <w:hideMark/>
          </w:tcPr>
          <w:p w14:paraId="57305240" w14:textId="77777777" w:rsidR="0015225A" w:rsidRPr="00CC121D" w:rsidRDefault="0015225A" w:rsidP="00D07AFA">
            <w:pPr>
              <w:widowControl w:val="0"/>
              <w:tabs>
                <w:tab w:val="left" w:pos="720"/>
              </w:tabs>
              <w:jc w:val="center"/>
              <w:rPr>
                <w:rFonts w:ascii="Arial Bold" w:hAnsi="Arial Bold" w:cs="Arial"/>
                <w:b/>
                <w:sz w:val="20"/>
              </w:rPr>
            </w:pPr>
            <w:r w:rsidRPr="00CC121D">
              <w:rPr>
                <w:rFonts w:ascii="Arial Bold" w:hAnsi="Arial Bold" w:cs="Arial"/>
                <w:b/>
                <w:sz w:val="20"/>
              </w:rPr>
              <w:t>Wording</w:t>
            </w:r>
          </w:p>
        </w:tc>
      </w:tr>
      <w:tr w:rsidR="0015225A" w:rsidRPr="00CC121D" w14:paraId="57305249" w14:textId="77777777" w:rsidTr="00F22B72">
        <w:trPr>
          <w:trHeight w:val="601"/>
          <w:jc w:val="center"/>
        </w:trPr>
        <w:tc>
          <w:tcPr>
            <w:tcW w:w="1171" w:type="dxa"/>
            <w:vMerge w:val="restart"/>
            <w:vAlign w:val="center"/>
            <w:hideMark/>
          </w:tcPr>
          <w:p w14:paraId="57305243" w14:textId="77777777" w:rsidR="0015225A" w:rsidRPr="008D1922" w:rsidRDefault="0015225A" w:rsidP="00D07AFA">
            <w:pPr>
              <w:widowControl w:val="0"/>
              <w:tabs>
                <w:tab w:val="left" w:pos="720"/>
              </w:tabs>
              <w:rPr>
                <w:rFonts w:cs="Arial"/>
                <w:sz w:val="18"/>
                <w:szCs w:val="18"/>
              </w:rPr>
            </w:pPr>
            <w:r w:rsidRPr="008D1922">
              <w:rPr>
                <w:rFonts w:cs="Arial"/>
                <w:sz w:val="18"/>
                <w:szCs w:val="18"/>
              </w:rPr>
              <w:t>Engineering principles: civil engineering</w:t>
            </w:r>
          </w:p>
        </w:tc>
        <w:tc>
          <w:tcPr>
            <w:tcW w:w="1335" w:type="dxa"/>
            <w:vAlign w:val="center"/>
          </w:tcPr>
          <w:p w14:paraId="57305244" w14:textId="77777777" w:rsidR="0015225A" w:rsidRPr="008D1922" w:rsidRDefault="0015225A" w:rsidP="00D07AFA">
            <w:pPr>
              <w:widowControl w:val="0"/>
              <w:tabs>
                <w:tab w:val="left" w:pos="720"/>
              </w:tabs>
              <w:rPr>
                <w:rFonts w:cs="Arial"/>
                <w:sz w:val="18"/>
                <w:szCs w:val="18"/>
              </w:rPr>
            </w:pPr>
          </w:p>
          <w:p w14:paraId="57305245" w14:textId="77777777" w:rsidR="0015225A" w:rsidRPr="008D1922" w:rsidRDefault="0015225A" w:rsidP="00D07AFA">
            <w:pPr>
              <w:widowControl w:val="0"/>
              <w:tabs>
                <w:tab w:val="left" w:pos="720"/>
              </w:tabs>
              <w:rPr>
                <w:rFonts w:cs="Arial"/>
                <w:sz w:val="18"/>
                <w:szCs w:val="18"/>
              </w:rPr>
            </w:pPr>
            <w:r w:rsidRPr="008D1922">
              <w:rPr>
                <w:rFonts w:cs="Arial"/>
                <w:sz w:val="18"/>
                <w:szCs w:val="18"/>
              </w:rPr>
              <w:t>Functional performance</w:t>
            </w:r>
          </w:p>
        </w:tc>
        <w:tc>
          <w:tcPr>
            <w:tcW w:w="850" w:type="dxa"/>
            <w:vAlign w:val="center"/>
          </w:tcPr>
          <w:p w14:paraId="57305246"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ECE.1</w:t>
            </w:r>
          </w:p>
        </w:tc>
        <w:tc>
          <w:tcPr>
            <w:tcW w:w="6275" w:type="dxa"/>
            <w:vAlign w:val="center"/>
          </w:tcPr>
          <w:p w14:paraId="57305247"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The required safety functions and structural performance of the civil engineering structures under normal operating, fault and accident conditions should be specified.</w:t>
            </w:r>
          </w:p>
        </w:tc>
      </w:tr>
      <w:tr w:rsidR="0015225A" w:rsidRPr="00CC121D" w14:paraId="5730524F" w14:textId="77777777" w:rsidTr="00F22B72">
        <w:trPr>
          <w:trHeight w:val="601"/>
          <w:jc w:val="center"/>
        </w:trPr>
        <w:tc>
          <w:tcPr>
            <w:tcW w:w="1171" w:type="dxa"/>
            <w:vMerge/>
            <w:vAlign w:val="center"/>
          </w:tcPr>
          <w:p w14:paraId="5730524A" w14:textId="77777777" w:rsidR="0015225A" w:rsidRPr="008D1922" w:rsidRDefault="0015225A" w:rsidP="00D07AFA">
            <w:pPr>
              <w:widowControl w:val="0"/>
              <w:tabs>
                <w:tab w:val="left" w:pos="720"/>
              </w:tabs>
              <w:rPr>
                <w:rFonts w:cs="Arial"/>
                <w:sz w:val="18"/>
                <w:szCs w:val="18"/>
              </w:rPr>
            </w:pPr>
          </w:p>
        </w:tc>
        <w:tc>
          <w:tcPr>
            <w:tcW w:w="1335" w:type="dxa"/>
            <w:vAlign w:val="center"/>
          </w:tcPr>
          <w:p w14:paraId="5730524B" w14:textId="77777777" w:rsidR="0015225A" w:rsidRPr="008D1922" w:rsidRDefault="0015225A" w:rsidP="00D07AFA">
            <w:pPr>
              <w:widowControl w:val="0"/>
              <w:tabs>
                <w:tab w:val="left" w:pos="720"/>
              </w:tabs>
              <w:rPr>
                <w:rFonts w:cs="Arial"/>
                <w:sz w:val="18"/>
                <w:szCs w:val="18"/>
              </w:rPr>
            </w:pPr>
            <w:r w:rsidRPr="008D1922">
              <w:rPr>
                <w:rFonts w:cs="Arial"/>
                <w:sz w:val="18"/>
                <w:szCs w:val="18"/>
              </w:rPr>
              <w:t>Independent arguments</w:t>
            </w:r>
          </w:p>
        </w:tc>
        <w:tc>
          <w:tcPr>
            <w:tcW w:w="850" w:type="dxa"/>
            <w:vAlign w:val="center"/>
          </w:tcPr>
          <w:p w14:paraId="5730524C"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ECE.2</w:t>
            </w:r>
          </w:p>
        </w:tc>
        <w:tc>
          <w:tcPr>
            <w:tcW w:w="6275" w:type="dxa"/>
            <w:vAlign w:val="center"/>
          </w:tcPr>
          <w:p w14:paraId="5730524D"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For structures requiring the highest levels of reliability, multiple independent and diverse arguments should be provided in the safety case.</w:t>
            </w:r>
          </w:p>
        </w:tc>
      </w:tr>
      <w:tr w:rsidR="0015225A" w:rsidRPr="00CC121D" w14:paraId="57305255" w14:textId="77777777" w:rsidTr="00F22B72">
        <w:trPr>
          <w:jc w:val="center"/>
        </w:trPr>
        <w:tc>
          <w:tcPr>
            <w:tcW w:w="1171" w:type="dxa"/>
            <w:vMerge/>
            <w:vAlign w:val="center"/>
            <w:hideMark/>
          </w:tcPr>
          <w:p w14:paraId="57305250" w14:textId="77777777" w:rsidR="0015225A" w:rsidRPr="008D1922" w:rsidRDefault="0015225A" w:rsidP="00D07AFA">
            <w:pPr>
              <w:widowControl w:val="0"/>
              <w:tabs>
                <w:tab w:val="left" w:pos="720"/>
              </w:tabs>
              <w:spacing w:after="120"/>
              <w:rPr>
                <w:rFonts w:cs="Arial"/>
                <w:sz w:val="18"/>
                <w:szCs w:val="18"/>
              </w:rPr>
            </w:pPr>
          </w:p>
        </w:tc>
        <w:tc>
          <w:tcPr>
            <w:tcW w:w="1335" w:type="dxa"/>
            <w:vAlign w:val="center"/>
          </w:tcPr>
          <w:p w14:paraId="57305251" w14:textId="77777777" w:rsidR="0015225A" w:rsidRPr="008D1922" w:rsidRDefault="0015225A" w:rsidP="00D07AFA">
            <w:pPr>
              <w:widowControl w:val="0"/>
              <w:tabs>
                <w:tab w:val="left" w:pos="720"/>
              </w:tabs>
              <w:rPr>
                <w:rFonts w:cs="Arial"/>
                <w:sz w:val="18"/>
                <w:szCs w:val="18"/>
              </w:rPr>
            </w:pPr>
            <w:r w:rsidRPr="008D1922">
              <w:rPr>
                <w:rFonts w:cs="Arial"/>
                <w:sz w:val="18"/>
                <w:szCs w:val="18"/>
              </w:rPr>
              <w:t>Defects</w:t>
            </w:r>
          </w:p>
        </w:tc>
        <w:tc>
          <w:tcPr>
            <w:tcW w:w="850" w:type="dxa"/>
            <w:vAlign w:val="center"/>
          </w:tcPr>
          <w:p w14:paraId="57305252"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ECE.3</w:t>
            </w:r>
          </w:p>
        </w:tc>
        <w:tc>
          <w:tcPr>
            <w:tcW w:w="6275" w:type="dxa"/>
            <w:vAlign w:val="center"/>
          </w:tcPr>
          <w:p w14:paraId="57305253"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It should be demonstrated that structures important to safety are sufficiently free of defects so that their safety functions are not compromised, that identified defects can be tolerated, and that the existence of defects that could compromise safety functions can be established through their lifecycle.</w:t>
            </w:r>
          </w:p>
        </w:tc>
      </w:tr>
      <w:tr w:rsidR="0015225A" w:rsidRPr="00CC121D" w14:paraId="5730525B" w14:textId="77777777" w:rsidTr="00F22B72">
        <w:trPr>
          <w:trHeight w:val="534"/>
          <w:jc w:val="center"/>
        </w:trPr>
        <w:tc>
          <w:tcPr>
            <w:tcW w:w="1171" w:type="dxa"/>
            <w:vMerge/>
            <w:vAlign w:val="center"/>
            <w:hideMark/>
          </w:tcPr>
          <w:p w14:paraId="57305256" w14:textId="77777777" w:rsidR="0015225A" w:rsidRPr="008D1922" w:rsidRDefault="0015225A" w:rsidP="00D07AFA">
            <w:pPr>
              <w:rPr>
                <w:rFonts w:cs="Arial"/>
                <w:sz w:val="18"/>
                <w:szCs w:val="18"/>
              </w:rPr>
            </w:pPr>
          </w:p>
        </w:tc>
        <w:tc>
          <w:tcPr>
            <w:tcW w:w="1335" w:type="dxa"/>
            <w:vAlign w:val="center"/>
          </w:tcPr>
          <w:p w14:paraId="57305257" w14:textId="77777777" w:rsidR="0015225A" w:rsidRPr="008D1922" w:rsidRDefault="0015225A" w:rsidP="00D07AFA">
            <w:pPr>
              <w:widowControl w:val="0"/>
              <w:tabs>
                <w:tab w:val="left" w:pos="720"/>
              </w:tabs>
              <w:rPr>
                <w:rFonts w:cs="Arial"/>
                <w:sz w:val="18"/>
                <w:szCs w:val="18"/>
              </w:rPr>
            </w:pPr>
            <w:r w:rsidRPr="008D1922">
              <w:rPr>
                <w:rFonts w:cs="Arial"/>
                <w:sz w:val="18"/>
                <w:szCs w:val="18"/>
              </w:rPr>
              <w:t>Natural site materials</w:t>
            </w:r>
          </w:p>
        </w:tc>
        <w:tc>
          <w:tcPr>
            <w:tcW w:w="850" w:type="dxa"/>
            <w:vAlign w:val="center"/>
          </w:tcPr>
          <w:p w14:paraId="57305258"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ECE.4</w:t>
            </w:r>
          </w:p>
        </w:tc>
        <w:tc>
          <w:tcPr>
            <w:tcW w:w="6275" w:type="dxa"/>
            <w:vAlign w:val="center"/>
          </w:tcPr>
          <w:p w14:paraId="57305259"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Investigations should be carried out to determine the suitability of the natural site materials to support the foundation loadings specified for normal operation and fault conditions.</w:t>
            </w:r>
          </w:p>
        </w:tc>
      </w:tr>
      <w:tr w:rsidR="0015225A" w:rsidRPr="00CC121D" w14:paraId="57305261" w14:textId="77777777" w:rsidTr="00F22B72">
        <w:trPr>
          <w:jc w:val="center"/>
        </w:trPr>
        <w:tc>
          <w:tcPr>
            <w:tcW w:w="1171" w:type="dxa"/>
            <w:vMerge w:val="restart"/>
            <w:vAlign w:val="center"/>
            <w:hideMark/>
          </w:tcPr>
          <w:p w14:paraId="5730525C" w14:textId="77777777" w:rsidR="0015225A" w:rsidRPr="008D1922" w:rsidRDefault="0015225A" w:rsidP="00D07AFA">
            <w:pPr>
              <w:widowControl w:val="0"/>
              <w:tabs>
                <w:tab w:val="left" w:pos="720"/>
              </w:tabs>
              <w:rPr>
                <w:rFonts w:cs="Arial"/>
                <w:sz w:val="18"/>
                <w:szCs w:val="18"/>
              </w:rPr>
            </w:pPr>
            <w:r w:rsidRPr="008D1922">
              <w:rPr>
                <w:rFonts w:cs="Arial"/>
                <w:sz w:val="18"/>
                <w:szCs w:val="18"/>
              </w:rPr>
              <w:t>Engineering principles: civil engineering: investigations</w:t>
            </w:r>
          </w:p>
        </w:tc>
        <w:tc>
          <w:tcPr>
            <w:tcW w:w="1335" w:type="dxa"/>
            <w:vAlign w:val="center"/>
          </w:tcPr>
          <w:p w14:paraId="5730525D" w14:textId="77777777" w:rsidR="0015225A" w:rsidRPr="008D1922" w:rsidRDefault="0015225A" w:rsidP="00D07AFA">
            <w:pPr>
              <w:widowControl w:val="0"/>
              <w:tabs>
                <w:tab w:val="left" w:pos="720"/>
              </w:tabs>
              <w:rPr>
                <w:rFonts w:cs="Arial"/>
                <w:sz w:val="18"/>
                <w:szCs w:val="18"/>
              </w:rPr>
            </w:pPr>
            <w:r w:rsidRPr="008D1922">
              <w:rPr>
                <w:rFonts w:cs="Arial"/>
                <w:sz w:val="18"/>
                <w:szCs w:val="18"/>
              </w:rPr>
              <w:t>Geotechnical investigation</w:t>
            </w:r>
          </w:p>
        </w:tc>
        <w:tc>
          <w:tcPr>
            <w:tcW w:w="850" w:type="dxa"/>
            <w:vAlign w:val="center"/>
          </w:tcPr>
          <w:p w14:paraId="5730525E"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ECE.5</w:t>
            </w:r>
          </w:p>
        </w:tc>
        <w:tc>
          <w:tcPr>
            <w:tcW w:w="6275" w:type="dxa"/>
            <w:vAlign w:val="center"/>
          </w:tcPr>
          <w:p w14:paraId="5730525F"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The design of foundations and sub-surface structures should utilise information derived from geotechnical site investigation.</w:t>
            </w:r>
          </w:p>
        </w:tc>
      </w:tr>
      <w:tr w:rsidR="0015225A" w:rsidRPr="00CC121D" w14:paraId="57305267" w14:textId="77777777" w:rsidTr="00F22B72">
        <w:trPr>
          <w:jc w:val="center"/>
        </w:trPr>
        <w:tc>
          <w:tcPr>
            <w:tcW w:w="1171" w:type="dxa"/>
            <w:vMerge/>
            <w:vAlign w:val="center"/>
          </w:tcPr>
          <w:p w14:paraId="57305262" w14:textId="77777777" w:rsidR="0015225A" w:rsidRPr="008D1922" w:rsidRDefault="0015225A" w:rsidP="00D07AFA">
            <w:pPr>
              <w:widowControl w:val="0"/>
              <w:tabs>
                <w:tab w:val="left" w:pos="720"/>
              </w:tabs>
              <w:spacing w:after="120"/>
              <w:rPr>
                <w:rFonts w:cs="Arial"/>
                <w:sz w:val="18"/>
                <w:szCs w:val="18"/>
              </w:rPr>
            </w:pPr>
          </w:p>
        </w:tc>
        <w:tc>
          <w:tcPr>
            <w:tcW w:w="1335" w:type="dxa"/>
            <w:vAlign w:val="center"/>
          </w:tcPr>
          <w:p w14:paraId="57305263" w14:textId="77777777" w:rsidR="0015225A" w:rsidRPr="008D1922" w:rsidRDefault="0015225A" w:rsidP="00D07AFA">
            <w:pPr>
              <w:widowControl w:val="0"/>
              <w:tabs>
                <w:tab w:val="left" w:pos="720"/>
              </w:tabs>
              <w:rPr>
                <w:rFonts w:cs="Arial"/>
                <w:sz w:val="18"/>
                <w:szCs w:val="18"/>
              </w:rPr>
            </w:pPr>
            <w:r w:rsidRPr="008D1922">
              <w:rPr>
                <w:rFonts w:cs="Arial"/>
                <w:sz w:val="18"/>
                <w:szCs w:val="18"/>
              </w:rPr>
              <w:t>Loadings</w:t>
            </w:r>
          </w:p>
        </w:tc>
        <w:tc>
          <w:tcPr>
            <w:tcW w:w="850" w:type="dxa"/>
            <w:vAlign w:val="center"/>
          </w:tcPr>
          <w:p w14:paraId="57305264"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ECE.6</w:t>
            </w:r>
          </w:p>
        </w:tc>
        <w:tc>
          <w:tcPr>
            <w:tcW w:w="6275" w:type="dxa"/>
            <w:vAlign w:val="center"/>
          </w:tcPr>
          <w:p w14:paraId="57305265"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Load development and a schedule of load combinations, together with their frequencies, should be used as the basis for structural design. Loadings during normal operating, testing design basis fault and accident conditions should be included.</w:t>
            </w:r>
          </w:p>
        </w:tc>
      </w:tr>
      <w:tr w:rsidR="0015225A" w:rsidRPr="00CC121D" w14:paraId="5730526D" w14:textId="77777777" w:rsidTr="00F22B72">
        <w:trPr>
          <w:jc w:val="center"/>
        </w:trPr>
        <w:tc>
          <w:tcPr>
            <w:tcW w:w="1171" w:type="dxa"/>
            <w:vMerge w:val="restart"/>
            <w:vAlign w:val="center"/>
          </w:tcPr>
          <w:p w14:paraId="57305268" w14:textId="77777777" w:rsidR="0015225A" w:rsidRPr="008D1922" w:rsidRDefault="0015225A" w:rsidP="00D07AFA">
            <w:pPr>
              <w:widowControl w:val="0"/>
              <w:tabs>
                <w:tab w:val="left" w:pos="720"/>
              </w:tabs>
              <w:rPr>
                <w:rFonts w:cs="Arial"/>
                <w:sz w:val="18"/>
                <w:szCs w:val="18"/>
              </w:rPr>
            </w:pPr>
            <w:r w:rsidRPr="008D1922">
              <w:rPr>
                <w:rFonts w:cs="Arial"/>
                <w:sz w:val="18"/>
                <w:szCs w:val="18"/>
              </w:rPr>
              <w:t xml:space="preserve">Engineering principles: civil engineering: design </w:t>
            </w:r>
          </w:p>
        </w:tc>
        <w:tc>
          <w:tcPr>
            <w:tcW w:w="1335" w:type="dxa"/>
            <w:vAlign w:val="center"/>
          </w:tcPr>
          <w:p w14:paraId="57305269" w14:textId="77777777" w:rsidR="0015225A" w:rsidRPr="008D1922" w:rsidRDefault="0015225A" w:rsidP="00D07AFA">
            <w:pPr>
              <w:widowControl w:val="0"/>
              <w:tabs>
                <w:tab w:val="left" w:pos="720"/>
              </w:tabs>
              <w:rPr>
                <w:rFonts w:cs="Arial"/>
                <w:sz w:val="18"/>
                <w:szCs w:val="18"/>
              </w:rPr>
            </w:pPr>
            <w:r w:rsidRPr="008D1922">
              <w:rPr>
                <w:rFonts w:cs="Arial"/>
                <w:sz w:val="18"/>
                <w:szCs w:val="18"/>
              </w:rPr>
              <w:t>Foundations</w:t>
            </w:r>
          </w:p>
        </w:tc>
        <w:tc>
          <w:tcPr>
            <w:tcW w:w="850" w:type="dxa"/>
            <w:vAlign w:val="center"/>
          </w:tcPr>
          <w:p w14:paraId="5730526A"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ECE.7</w:t>
            </w:r>
          </w:p>
        </w:tc>
        <w:tc>
          <w:tcPr>
            <w:tcW w:w="6275" w:type="dxa"/>
            <w:vAlign w:val="center"/>
          </w:tcPr>
          <w:p w14:paraId="5730526B"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The foundations and sub-surface structures should be designed to meet their safety functional requirements specified for normal operation and fault conditions with an absence of cliff edge effects beyond the design basis.</w:t>
            </w:r>
          </w:p>
        </w:tc>
      </w:tr>
      <w:tr w:rsidR="0015225A" w:rsidRPr="00CC121D" w14:paraId="57305273" w14:textId="77777777" w:rsidTr="00F22B72">
        <w:trPr>
          <w:trHeight w:val="476"/>
          <w:jc w:val="center"/>
        </w:trPr>
        <w:tc>
          <w:tcPr>
            <w:tcW w:w="1171" w:type="dxa"/>
            <w:vMerge/>
            <w:vAlign w:val="center"/>
          </w:tcPr>
          <w:p w14:paraId="5730526E" w14:textId="77777777" w:rsidR="0015225A" w:rsidRPr="008D1922" w:rsidRDefault="0015225A" w:rsidP="00D07AFA">
            <w:pPr>
              <w:widowControl w:val="0"/>
              <w:tabs>
                <w:tab w:val="left" w:pos="720"/>
              </w:tabs>
              <w:spacing w:after="120"/>
              <w:rPr>
                <w:rFonts w:cs="Arial"/>
                <w:sz w:val="18"/>
                <w:szCs w:val="18"/>
              </w:rPr>
            </w:pPr>
          </w:p>
        </w:tc>
        <w:tc>
          <w:tcPr>
            <w:tcW w:w="1335" w:type="dxa"/>
            <w:vAlign w:val="center"/>
          </w:tcPr>
          <w:p w14:paraId="5730526F" w14:textId="77777777" w:rsidR="0015225A" w:rsidRPr="008D1922" w:rsidRDefault="0015225A" w:rsidP="00D07AFA">
            <w:pPr>
              <w:widowControl w:val="0"/>
              <w:tabs>
                <w:tab w:val="left" w:pos="720"/>
              </w:tabs>
              <w:rPr>
                <w:rFonts w:cs="Arial"/>
                <w:sz w:val="18"/>
                <w:szCs w:val="18"/>
              </w:rPr>
            </w:pPr>
            <w:proofErr w:type="spellStart"/>
            <w:r w:rsidRPr="008D1922">
              <w:rPr>
                <w:rFonts w:cs="Arial"/>
                <w:sz w:val="18"/>
                <w:szCs w:val="18"/>
              </w:rPr>
              <w:t>Inspectability</w:t>
            </w:r>
            <w:proofErr w:type="spellEnd"/>
          </w:p>
        </w:tc>
        <w:tc>
          <w:tcPr>
            <w:tcW w:w="850" w:type="dxa"/>
            <w:vAlign w:val="center"/>
          </w:tcPr>
          <w:p w14:paraId="57305270"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ECE.8</w:t>
            </w:r>
          </w:p>
        </w:tc>
        <w:tc>
          <w:tcPr>
            <w:tcW w:w="6275" w:type="dxa"/>
            <w:vAlign w:val="center"/>
          </w:tcPr>
          <w:p w14:paraId="57305271"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Designs should allow key load-bearing elements to be inspected and, where necessary, maintained.</w:t>
            </w:r>
          </w:p>
        </w:tc>
      </w:tr>
      <w:tr w:rsidR="0015225A" w:rsidRPr="00CC121D" w14:paraId="57305279" w14:textId="77777777" w:rsidTr="00F22B72">
        <w:trPr>
          <w:trHeight w:val="474"/>
          <w:jc w:val="center"/>
        </w:trPr>
        <w:tc>
          <w:tcPr>
            <w:tcW w:w="1171" w:type="dxa"/>
            <w:vMerge/>
            <w:vAlign w:val="center"/>
          </w:tcPr>
          <w:p w14:paraId="57305274" w14:textId="77777777" w:rsidR="0015225A" w:rsidRPr="008D1922" w:rsidRDefault="0015225A" w:rsidP="00D07AFA">
            <w:pPr>
              <w:rPr>
                <w:rFonts w:cs="Arial"/>
                <w:sz w:val="18"/>
                <w:szCs w:val="18"/>
              </w:rPr>
            </w:pPr>
          </w:p>
        </w:tc>
        <w:tc>
          <w:tcPr>
            <w:tcW w:w="1335" w:type="dxa"/>
            <w:vAlign w:val="center"/>
          </w:tcPr>
          <w:p w14:paraId="57305275" w14:textId="77777777" w:rsidR="0015225A" w:rsidRPr="008D1922" w:rsidRDefault="0015225A" w:rsidP="00D07AFA">
            <w:pPr>
              <w:widowControl w:val="0"/>
              <w:tabs>
                <w:tab w:val="left" w:pos="720"/>
              </w:tabs>
              <w:rPr>
                <w:rFonts w:cs="Arial"/>
                <w:sz w:val="18"/>
                <w:szCs w:val="18"/>
              </w:rPr>
            </w:pPr>
            <w:r w:rsidRPr="008D1922">
              <w:rPr>
                <w:rFonts w:cs="Arial"/>
                <w:sz w:val="18"/>
                <w:szCs w:val="18"/>
              </w:rPr>
              <w:t>Earthworks</w:t>
            </w:r>
          </w:p>
        </w:tc>
        <w:tc>
          <w:tcPr>
            <w:tcW w:w="850" w:type="dxa"/>
            <w:vAlign w:val="center"/>
          </w:tcPr>
          <w:p w14:paraId="57305276"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ECE.9</w:t>
            </w:r>
          </w:p>
        </w:tc>
        <w:tc>
          <w:tcPr>
            <w:tcW w:w="6275" w:type="dxa"/>
            <w:vAlign w:val="center"/>
          </w:tcPr>
          <w:p w14:paraId="57305277"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The design of embankments, natural and excavated slopes, river levees and sea defences close to the facility should not jeopardise the safety of the facility.</w:t>
            </w:r>
          </w:p>
        </w:tc>
      </w:tr>
      <w:tr w:rsidR="0015225A" w:rsidRPr="00CC121D" w14:paraId="5730527F" w14:textId="77777777" w:rsidTr="00F22B72">
        <w:trPr>
          <w:trHeight w:val="474"/>
          <w:jc w:val="center"/>
        </w:trPr>
        <w:tc>
          <w:tcPr>
            <w:tcW w:w="1171" w:type="dxa"/>
            <w:vMerge/>
            <w:vAlign w:val="center"/>
          </w:tcPr>
          <w:p w14:paraId="5730527A" w14:textId="77777777" w:rsidR="0015225A" w:rsidRPr="008D1922" w:rsidRDefault="0015225A" w:rsidP="00D07AFA">
            <w:pPr>
              <w:rPr>
                <w:rFonts w:cs="Arial"/>
                <w:sz w:val="18"/>
                <w:szCs w:val="18"/>
              </w:rPr>
            </w:pPr>
          </w:p>
        </w:tc>
        <w:tc>
          <w:tcPr>
            <w:tcW w:w="1335" w:type="dxa"/>
            <w:vAlign w:val="center"/>
          </w:tcPr>
          <w:p w14:paraId="5730527B" w14:textId="4A6E32C3" w:rsidR="0015225A" w:rsidRPr="008D1922" w:rsidRDefault="008D0E2E" w:rsidP="00D07AFA">
            <w:pPr>
              <w:widowControl w:val="0"/>
              <w:tabs>
                <w:tab w:val="left" w:pos="720"/>
              </w:tabs>
              <w:rPr>
                <w:rFonts w:cs="Arial"/>
                <w:sz w:val="18"/>
                <w:szCs w:val="18"/>
              </w:rPr>
            </w:pPr>
            <w:r w:rsidRPr="008D1922">
              <w:rPr>
                <w:rFonts w:cs="Arial"/>
                <w:sz w:val="18"/>
                <w:szCs w:val="18"/>
              </w:rPr>
              <w:t>Groundwater</w:t>
            </w:r>
          </w:p>
        </w:tc>
        <w:tc>
          <w:tcPr>
            <w:tcW w:w="850" w:type="dxa"/>
            <w:vAlign w:val="center"/>
          </w:tcPr>
          <w:p w14:paraId="5730527C"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ECE.10</w:t>
            </w:r>
          </w:p>
        </w:tc>
        <w:tc>
          <w:tcPr>
            <w:tcW w:w="6275" w:type="dxa"/>
            <w:vAlign w:val="center"/>
          </w:tcPr>
          <w:p w14:paraId="5730527D"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The design should be such that the facility remains stable against possible changes in the groundwater conditions.</w:t>
            </w:r>
          </w:p>
        </w:tc>
      </w:tr>
      <w:tr w:rsidR="0015225A" w:rsidRPr="00CC121D" w14:paraId="57305285" w14:textId="77777777" w:rsidTr="00F22B72">
        <w:trPr>
          <w:trHeight w:val="496"/>
          <w:jc w:val="center"/>
        </w:trPr>
        <w:tc>
          <w:tcPr>
            <w:tcW w:w="1171" w:type="dxa"/>
            <w:vMerge/>
            <w:vAlign w:val="center"/>
          </w:tcPr>
          <w:p w14:paraId="57305280" w14:textId="77777777" w:rsidR="0015225A" w:rsidRPr="008D1922" w:rsidRDefault="0015225A" w:rsidP="00D07AFA">
            <w:pPr>
              <w:rPr>
                <w:rFonts w:cs="Arial"/>
                <w:sz w:val="18"/>
                <w:szCs w:val="18"/>
              </w:rPr>
            </w:pPr>
          </w:p>
        </w:tc>
        <w:tc>
          <w:tcPr>
            <w:tcW w:w="1335" w:type="dxa"/>
            <w:vAlign w:val="center"/>
          </w:tcPr>
          <w:p w14:paraId="57305281"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Naturally occurring gases</w:t>
            </w:r>
          </w:p>
        </w:tc>
        <w:tc>
          <w:tcPr>
            <w:tcW w:w="850" w:type="dxa"/>
            <w:vAlign w:val="center"/>
          </w:tcPr>
          <w:p w14:paraId="57305282"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ECE.11</w:t>
            </w:r>
          </w:p>
        </w:tc>
        <w:tc>
          <w:tcPr>
            <w:tcW w:w="6275" w:type="dxa"/>
            <w:vAlign w:val="center"/>
          </w:tcPr>
          <w:p w14:paraId="57305283"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The design should take account of the possible presence of naturally occurring explosive, asphyxiant or toxic gases or vapours in underground structures such as tunnels, trenches and basements.</w:t>
            </w:r>
          </w:p>
        </w:tc>
      </w:tr>
      <w:tr w:rsidR="0015225A" w:rsidRPr="00CC121D" w14:paraId="5730528B" w14:textId="77777777" w:rsidTr="00F22B72">
        <w:trPr>
          <w:jc w:val="center"/>
        </w:trPr>
        <w:tc>
          <w:tcPr>
            <w:tcW w:w="1171" w:type="dxa"/>
            <w:vMerge/>
            <w:vAlign w:val="center"/>
          </w:tcPr>
          <w:p w14:paraId="57305286" w14:textId="77777777" w:rsidR="0015225A" w:rsidRPr="008D1922" w:rsidRDefault="0015225A" w:rsidP="00D07AFA">
            <w:pPr>
              <w:rPr>
                <w:rFonts w:cs="Arial"/>
                <w:sz w:val="18"/>
                <w:szCs w:val="18"/>
              </w:rPr>
            </w:pPr>
          </w:p>
        </w:tc>
        <w:tc>
          <w:tcPr>
            <w:tcW w:w="1335" w:type="dxa"/>
            <w:vAlign w:val="center"/>
          </w:tcPr>
          <w:p w14:paraId="57305287"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Structural analysis and model testing</w:t>
            </w:r>
          </w:p>
        </w:tc>
        <w:tc>
          <w:tcPr>
            <w:tcW w:w="850" w:type="dxa"/>
            <w:vAlign w:val="center"/>
          </w:tcPr>
          <w:p w14:paraId="57305288"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ECE.12</w:t>
            </w:r>
          </w:p>
        </w:tc>
        <w:tc>
          <w:tcPr>
            <w:tcW w:w="6275" w:type="dxa"/>
            <w:vAlign w:val="center"/>
          </w:tcPr>
          <w:p w14:paraId="57305289" w14:textId="77777777" w:rsidR="0015225A" w:rsidRPr="008D1922" w:rsidRDefault="0015225A" w:rsidP="00D07AFA">
            <w:pPr>
              <w:widowControl w:val="0"/>
              <w:tabs>
                <w:tab w:val="left" w:pos="720"/>
              </w:tabs>
              <w:spacing w:after="120"/>
              <w:jc w:val="center"/>
              <w:rPr>
                <w:rFonts w:cs="Arial"/>
                <w:sz w:val="18"/>
                <w:szCs w:val="18"/>
              </w:rPr>
            </w:pPr>
            <w:r w:rsidRPr="008D1922">
              <w:rPr>
                <w:rFonts w:cs="Arial"/>
                <w:sz w:val="18"/>
                <w:szCs w:val="18"/>
              </w:rPr>
              <w:t>Structural analysis and/or model testing should be carried out to support the design and should demonstrate that the structure can fulfil its safety functional requirements over the full range of loading for the lifetime of the facility.</w:t>
            </w:r>
          </w:p>
        </w:tc>
      </w:tr>
      <w:tr w:rsidR="0015225A" w:rsidRPr="00CC121D" w14:paraId="57305291" w14:textId="77777777" w:rsidTr="00F22B72">
        <w:trPr>
          <w:trHeight w:val="398"/>
          <w:jc w:val="center"/>
        </w:trPr>
        <w:tc>
          <w:tcPr>
            <w:tcW w:w="1171" w:type="dxa"/>
            <w:vMerge/>
            <w:vAlign w:val="center"/>
          </w:tcPr>
          <w:p w14:paraId="5730528C" w14:textId="77777777" w:rsidR="0015225A" w:rsidRPr="008D1922" w:rsidRDefault="0015225A" w:rsidP="00D07AFA">
            <w:pPr>
              <w:widowControl w:val="0"/>
              <w:tabs>
                <w:tab w:val="left" w:pos="720"/>
              </w:tabs>
              <w:spacing w:after="120"/>
              <w:rPr>
                <w:rFonts w:cs="Arial"/>
                <w:sz w:val="18"/>
                <w:szCs w:val="18"/>
              </w:rPr>
            </w:pPr>
          </w:p>
        </w:tc>
        <w:tc>
          <w:tcPr>
            <w:tcW w:w="1335" w:type="dxa"/>
            <w:vAlign w:val="center"/>
          </w:tcPr>
          <w:p w14:paraId="5730528D" w14:textId="77777777" w:rsidR="0015225A" w:rsidRPr="008D1922" w:rsidRDefault="0015225A" w:rsidP="00D07AFA">
            <w:pPr>
              <w:widowControl w:val="0"/>
              <w:tabs>
                <w:tab w:val="left" w:pos="720"/>
              </w:tabs>
              <w:rPr>
                <w:rFonts w:cs="Arial"/>
                <w:sz w:val="18"/>
                <w:szCs w:val="18"/>
              </w:rPr>
            </w:pPr>
            <w:r w:rsidRPr="008D1922">
              <w:rPr>
                <w:rFonts w:cs="Arial"/>
                <w:sz w:val="18"/>
                <w:szCs w:val="18"/>
              </w:rPr>
              <w:t>Use of data</w:t>
            </w:r>
          </w:p>
        </w:tc>
        <w:tc>
          <w:tcPr>
            <w:tcW w:w="850" w:type="dxa"/>
            <w:vAlign w:val="center"/>
          </w:tcPr>
          <w:p w14:paraId="5730528E"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ECE.13</w:t>
            </w:r>
          </w:p>
        </w:tc>
        <w:tc>
          <w:tcPr>
            <w:tcW w:w="6275" w:type="dxa"/>
            <w:vAlign w:val="center"/>
          </w:tcPr>
          <w:p w14:paraId="5730528F"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The data used in structural analysis should be selected or applied so that the analysis is demonstrably conservative.</w:t>
            </w:r>
          </w:p>
        </w:tc>
      </w:tr>
      <w:tr w:rsidR="0015225A" w:rsidRPr="00CC121D" w14:paraId="57305297" w14:textId="77777777" w:rsidTr="00F22B72">
        <w:trPr>
          <w:jc w:val="center"/>
        </w:trPr>
        <w:tc>
          <w:tcPr>
            <w:tcW w:w="1171" w:type="dxa"/>
            <w:vMerge w:val="restart"/>
            <w:vAlign w:val="center"/>
          </w:tcPr>
          <w:p w14:paraId="57305292" w14:textId="77777777" w:rsidR="0015225A" w:rsidRPr="008D1922" w:rsidRDefault="0015225A" w:rsidP="00D07AFA">
            <w:pPr>
              <w:rPr>
                <w:rFonts w:cs="Arial"/>
                <w:sz w:val="18"/>
                <w:szCs w:val="18"/>
              </w:rPr>
            </w:pPr>
            <w:r w:rsidRPr="008D1922">
              <w:rPr>
                <w:rFonts w:cs="Arial"/>
                <w:sz w:val="18"/>
                <w:szCs w:val="18"/>
              </w:rPr>
              <w:t>Engineering principles: civil engineering: structural analysis and model testing</w:t>
            </w:r>
          </w:p>
        </w:tc>
        <w:tc>
          <w:tcPr>
            <w:tcW w:w="1335" w:type="dxa"/>
            <w:vAlign w:val="center"/>
          </w:tcPr>
          <w:p w14:paraId="57305293" w14:textId="77777777" w:rsidR="0015225A" w:rsidRPr="008D1922" w:rsidRDefault="0015225A" w:rsidP="00D07AFA">
            <w:pPr>
              <w:rPr>
                <w:rFonts w:cs="Arial"/>
                <w:sz w:val="18"/>
                <w:szCs w:val="18"/>
              </w:rPr>
            </w:pPr>
            <w:r w:rsidRPr="008D1922">
              <w:rPr>
                <w:rFonts w:cs="Arial"/>
                <w:sz w:val="18"/>
                <w:szCs w:val="18"/>
              </w:rPr>
              <w:t>Sensitivity studies</w:t>
            </w:r>
          </w:p>
        </w:tc>
        <w:tc>
          <w:tcPr>
            <w:tcW w:w="850" w:type="dxa"/>
            <w:vAlign w:val="center"/>
          </w:tcPr>
          <w:p w14:paraId="57305294"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ECE.14</w:t>
            </w:r>
          </w:p>
        </w:tc>
        <w:tc>
          <w:tcPr>
            <w:tcW w:w="6275" w:type="dxa"/>
            <w:vAlign w:val="center"/>
          </w:tcPr>
          <w:p w14:paraId="57305295" w14:textId="77777777" w:rsidR="0015225A" w:rsidRPr="008D1922" w:rsidRDefault="0015225A" w:rsidP="00D07AFA">
            <w:pPr>
              <w:rPr>
                <w:rFonts w:cs="Arial"/>
                <w:sz w:val="18"/>
                <w:szCs w:val="18"/>
              </w:rPr>
            </w:pPr>
            <w:r w:rsidRPr="008D1922">
              <w:rPr>
                <w:rFonts w:cs="Arial"/>
                <w:sz w:val="18"/>
                <w:szCs w:val="18"/>
              </w:rPr>
              <w:t>Studies should be carried out to determine the sensitivity of analytical results to the assumptions made, the data used, and the methods of calculation.</w:t>
            </w:r>
          </w:p>
        </w:tc>
      </w:tr>
      <w:tr w:rsidR="0015225A" w:rsidRPr="00CC121D" w14:paraId="5730529D" w14:textId="77777777" w:rsidTr="00F22B72">
        <w:trPr>
          <w:jc w:val="center"/>
        </w:trPr>
        <w:tc>
          <w:tcPr>
            <w:tcW w:w="1171" w:type="dxa"/>
            <w:vMerge/>
            <w:vAlign w:val="center"/>
          </w:tcPr>
          <w:p w14:paraId="57305298" w14:textId="77777777" w:rsidR="0015225A" w:rsidRPr="008D1922" w:rsidRDefault="0015225A" w:rsidP="00D07AFA">
            <w:pPr>
              <w:rPr>
                <w:rFonts w:cs="Arial"/>
                <w:sz w:val="18"/>
                <w:szCs w:val="18"/>
              </w:rPr>
            </w:pPr>
          </w:p>
        </w:tc>
        <w:tc>
          <w:tcPr>
            <w:tcW w:w="1335" w:type="dxa"/>
            <w:vAlign w:val="center"/>
          </w:tcPr>
          <w:p w14:paraId="57305299"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Validation of methods</w:t>
            </w:r>
          </w:p>
        </w:tc>
        <w:tc>
          <w:tcPr>
            <w:tcW w:w="850" w:type="dxa"/>
            <w:vAlign w:val="center"/>
          </w:tcPr>
          <w:p w14:paraId="5730529A"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ECE.15</w:t>
            </w:r>
          </w:p>
        </w:tc>
        <w:tc>
          <w:tcPr>
            <w:tcW w:w="6275" w:type="dxa"/>
            <w:vAlign w:val="center"/>
          </w:tcPr>
          <w:p w14:paraId="5730529B"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Where analyses have been carried out on civil structures to derive static and dynamic structural loadings for the design, the methods used should be adequately validated and the data verified.</w:t>
            </w:r>
          </w:p>
        </w:tc>
      </w:tr>
      <w:tr w:rsidR="0015225A" w:rsidRPr="00CC121D" w14:paraId="573052A3" w14:textId="77777777" w:rsidTr="00F22B72">
        <w:trPr>
          <w:trHeight w:val="430"/>
          <w:jc w:val="center"/>
        </w:trPr>
        <w:tc>
          <w:tcPr>
            <w:tcW w:w="1171" w:type="dxa"/>
            <w:vMerge/>
            <w:vAlign w:val="center"/>
          </w:tcPr>
          <w:p w14:paraId="5730529E" w14:textId="77777777" w:rsidR="0015225A" w:rsidRPr="008D1922" w:rsidRDefault="0015225A" w:rsidP="00D07AFA">
            <w:pPr>
              <w:rPr>
                <w:rFonts w:cs="Arial"/>
                <w:sz w:val="18"/>
                <w:szCs w:val="18"/>
              </w:rPr>
            </w:pPr>
          </w:p>
        </w:tc>
        <w:tc>
          <w:tcPr>
            <w:tcW w:w="1335" w:type="dxa"/>
            <w:vAlign w:val="center"/>
          </w:tcPr>
          <w:p w14:paraId="5730529F"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Materials</w:t>
            </w:r>
          </w:p>
        </w:tc>
        <w:tc>
          <w:tcPr>
            <w:tcW w:w="850" w:type="dxa"/>
            <w:vAlign w:val="center"/>
          </w:tcPr>
          <w:p w14:paraId="573052A0"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ECE.16</w:t>
            </w:r>
          </w:p>
        </w:tc>
        <w:tc>
          <w:tcPr>
            <w:tcW w:w="6275" w:type="dxa"/>
            <w:vAlign w:val="center"/>
          </w:tcPr>
          <w:p w14:paraId="573052A1"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The construction materials used should comply with the design methodologies employed, and be shown to be suitable for enabling the design to be constructed and then operated, inspected and maintained throughout the life of the facility.</w:t>
            </w:r>
          </w:p>
        </w:tc>
      </w:tr>
      <w:tr w:rsidR="0015225A" w:rsidRPr="00CC121D" w14:paraId="573052A9" w14:textId="77777777" w:rsidTr="00F22B72">
        <w:trPr>
          <w:trHeight w:val="407"/>
          <w:jc w:val="center"/>
        </w:trPr>
        <w:tc>
          <w:tcPr>
            <w:tcW w:w="1171" w:type="dxa"/>
            <w:vMerge/>
            <w:vAlign w:val="center"/>
          </w:tcPr>
          <w:p w14:paraId="573052A4" w14:textId="77777777" w:rsidR="0015225A" w:rsidRPr="008D1922" w:rsidRDefault="0015225A" w:rsidP="00D07AFA">
            <w:pPr>
              <w:rPr>
                <w:rFonts w:cs="Arial"/>
                <w:sz w:val="18"/>
                <w:szCs w:val="18"/>
              </w:rPr>
            </w:pPr>
          </w:p>
        </w:tc>
        <w:tc>
          <w:tcPr>
            <w:tcW w:w="1335" w:type="dxa"/>
            <w:vAlign w:val="center"/>
          </w:tcPr>
          <w:p w14:paraId="573052A5"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Prevention of defects</w:t>
            </w:r>
          </w:p>
        </w:tc>
        <w:tc>
          <w:tcPr>
            <w:tcW w:w="850" w:type="dxa"/>
            <w:vAlign w:val="center"/>
          </w:tcPr>
          <w:p w14:paraId="573052A6"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ECE.17</w:t>
            </w:r>
          </w:p>
        </w:tc>
        <w:tc>
          <w:tcPr>
            <w:tcW w:w="6275" w:type="dxa"/>
            <w:vAlign w:val="center"/>
          </w:tcPr>
          <w:p w14:paraId="573052A7" w14:textId="77777777" w:rsidR="0015225A" w:rsidRPr="008D1922" w:rsidRDefault="0015225A" w:rsidP="00D07AFA">
            <w:pPr>
              <w:widowControl w:val="0"/>
              <w:tabs>
                <w:tab w:val="left" w:pos="720"/>
              </w:tabs>
              <w:spacing w:after="120"/>
              <w:jc w:val="center"/>
              <w:rPr>
                <w:rFonts w:cs="Arial"/>
                <w:sz w:val="18"/>
                <w:szCs w:val="18"/>
              </w:rPr>
            </w:pPr>
            <w:r w:rsidRPr="008D1922">
              <w:rPr>
                <w:rFonts w:cs="Arial"/>
                <w:sz w:val="18"/>
                <w:szCs w:val="18"/>
              </w:rPr>
              <w:t>The construction should use appropriate materials, proven techniques and a quality management system to minimise defects that might affect the required integrity of structures</w:t>
            </w:r>
          </w:p>
        </w:tc>
      </w:tr>
      <w:tr w:rsidR="0015225A" w:rsidRPr="00CC121D" w14:paraId="573052AF" w14:textId="77777777" w:rsidTr="00F22B72">
        <w:trPr>
          <w:jc w:val="center"/>
        </w:trPr>
        <w:tc>
          <w:tcPr>
            <w:tcW w:w="1171" w:type="dxa"/>
            <w:vMerge w:val="restart"/>
            <w:vAlign w:val="center"/>
          </w:tcPr>
          <w:p w14:paraId="573052AA" w14:textId="77777777" w:rsidR="0015225A" w:rsidRPr="008D1922" w:rsidRDefault="0015225A" w:rsidP="00D07AFA">
            <w:pPr>
              <w:rPr>
                <w:rFonts w:cs="Arial"/>
                <w:sz w:val="18"/>
                <w:szCs w:val="18"/>
              </w:rPr>
            </w:pPr>
            <w:r w:rsidRPr="008D1922">
              <w:rPr>
                <w:rFonts w:cs="Arial"/>
                <w:sz w:val="18"/>
                <w:szCs w:val="18"/>
              </w:rPr>
              <w:t>Engineering principles: civil engineering: construction</w:t>
            </w:r>
          </w:p>
        </w:tc>
        <w:tc>
          <w:tcPr>
            <w:tcW w:w="1335" w:type="dxa"/>
            <w:vAlign w:val="center"/>
          </w:tcPr>
          <w:p w14:paraId="573052AB" w14:textId="77777777" w:rsidR="0015225A" w:rsidRPr="008D1922" w:rsidRDefault="0015225A" w:rsidP="00D07AFA">
            <w:pPr>
              <w:widowControl w:val="0"/>
              <w:tabs>
                <w:tab w:val="left" w:pos="720"/>
              </w:tabs>
              <w:rPr>
                <w:rFonts w:cs="Arial"/>
                <w:sz w:val="18"/>
                <w:szCs w:val="18"/>
              </w:rPr>
            </w:pPr>
            <w:r w:rsidRPr="008D1922">
              <w:rPr>
                <w:rFonts w:cs="Arial"/>
                <w:sz w:val="18"/>
                <w:szCs w:val="18"/>
              </w:rPr>
              <w:t>Inspection during construction</w:t>
            </w:r>
          </w:p>
        </w:tc>
        <w:tc>
          <w:tcPr>
            <w:tcW w:w="850" w:type="dxa"/>
            <w:vAlign w:val="center"/>
          </w:tcPr>
          <w:p w14:paraId="573052AC"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ECE.18</w:t>
            </w:r>
          </w:p>
        </w:tc>
        <w:tc>
          <w:tcPr>
            <w:tcW w:w="6275" w:type="dxa"/>
            <w:vAlign w:val="center"/>
          </w:tcPr>
          <w:p w14:paraId="573052AD"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Provision should be made for inspection and testing during construction to demonstrate that appropriate standards of workmanship etc. have been achieved.</w:t>
            </w:r>
          </w:p>
        </w:tc>
      </w:tr>
      <w:tr w:rsidR="0015225A" w:rsidRPr="00CC121D" w14:paraId="573052B5" w14:textId="77777777" w:rsidTr="00F22B72">
        <w:trPr>
          <w:jc w:val="center"/>
        </w:trPr>
        <w:tc>
          <w:tcPr>
            <w:tcW w:w="1171" w:type="dxa"/>
            <w:vMerge/>
            <w:vAlign w:val="center"/>
          </w:tcPr>
          <w:p w14:paraId="573052B0" w14:textId="77777777" w:rsidR="0015225A" w:rsidRPr="008D1922" w:rsidRDefault="0015225A" w:rsidP="00D07AFA">
            <w:pPr>
              <w:rPr>
                <w:rFonts w:cs="Arial"/>
                <w:sz w:val="18"/>
                <w:szCs w:val="18"/>
              </w:rPr>
            </w:pPr>
          </w:p>
        </w:tc>
        <w:tc>
          <w:tcPr>
            <w:tcW w:w="1335" w:type="dxa"/>
            <w:vAlign w:val="center"/>
          </w:tcPr>
          <w:p w14:paraId="573052B1" w14:textId="77777777" w:rsidR="0015225A" w:rsidRPr="008D1922" w:rsidRDefault="0015225A" w:rsidP="00D07AFA">
            <w:pPr>
              <w:widowControl w:val="0"/>
              <w:tabs>
                <w:tab w:val="left" w:pos="720"/>
              </w:tabs>
              <w:rPr>
                <w:rFonts w:cs="Arial"/>
                <w:sz w:val="18"/>
                <w:szCs w:val="18"/>
              </w:rPr>
            </w:pPr>
            <w:r w:rsidRPr="008D1922">
              <w:rPr>
                <w:rFonts w:cs="Arial"/>
                <w:sz w:val="18"/>
                <w:szCs w:val="18"/>
              </w:rPr>
              <w:t>Non-conformities</w:t>
            </w:r>
          </w:p>
        </w:tc>
        <w:tc>
          <w:tcPr>
            <w:tcW w:w="850" w:type="dxa"/>
            <w:vAlign w:val="center"/>
          </w:tcPr>
          <w:p w14:paraId="573052B2"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ECE.19</w:t>
            </w:r>
          </w:p>
        </w:tc>
        <w:tc>
          <w:tcPr>
            <w:tcW w:w="6275" w:type="dxa"/>
            <w:vAlign w:val="center"/>
          </w:tcPr>
          <w:p w14:paraId="573052B3"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Where construction non-conformities or identified defects are judged to have a significant detrimental effect on integrity, remedial measures should be applied to ensure the original design intent is still achieved.</w:t>
            </w:r>
          </w:p>
        </w:tc>
      </w:tr>
      <w:tr w:rsidR="0015225A" w:rsidRPr="00CC121D" w14:paraId="573052BB" w14:textId="77777777" w:rsidTr="00F22B72">
        <w:trPr>
          <w:jc w:val="center"/>
        </w:trPr>
        <w:tc>
          <w:tcPr>
            <w:tcW w:w="1171" w:type="dxa"/>
            <w:vMerge/>
            <w:vAlign w:val="center"/>
          </w:tcPr>
          <w:p w14:paraId="573052B6" w14:textId="77777777" w:rsidR="0015225A" w:rsidRPr="008D1922" w:rsidRDefault="0015225A" w:rsidP="00D07AFA">
            <w:pPr>
              <w:rPr>
                <w:rFonts w:cs="Arial"/>
                <w:sz w:val="18"/>
                <w:szCs w:val="18"/>
              </w:rPr>
            </w:pPr>
          </w:p>
        </w:tc>
        <w:tc>
          <w:tcPr>
            <w:tcW w:w="1335" w:type="dxa"/>
            <w:vAlign w:val="center"/>
          </w:tcPr>
          <w:p w14:paraId="573052B7" w14:textId="77777777" w:rsidR="0015225A" w:rsidRPr="008D1922" w:rsidRDefault="0015225A" w:rsidP="00D07AFA">
            <w:pPr>
              <w:widowControl w:val="0"/>
              <w:tabs>
                <w:tab w:val="left" w:pos="720"/>
              </w:tabs>
              <w:rPr>
                <w:rFonts w:cs="Arial"/>
                <w:sz w:val="18"/>
                <w:szCs w:val="18"/>
              </w:rPr>
            </w:pPr>
            <w:r w:rsidRPr="008D1922">
              <w:rPr>
                <w:rFonts w:cs="Arial"/>
                <w:sz w:val="18"/>
                <w:szCs w:val="18"/>
              </w:rPr>
              <w:t>In-service inspection and testing</w:t>
            </w:r>
          </w:p>
        </w:tc>
        <w:tc>
          <w:tcPr>
            <w:tcW w:w="850" w:type="dxa"/>
            <w:vAlign w:val="center"/>
          </w:tcPr>
          <w:p w14:paraId="573052B8"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ECE.20</w:t>
            </w:r>
          </w:p>
        </w:tc>
        <w:tc>
          <w:tcPr>
            <w:tcW w:w="6275" w:type="dxa"/>
            <w:vAlign w:val="center"/>
          </w:tcPr>
          <w:p w14:paraId="573052B9" w14:textId="77777777" w:rsidR="0015225A" w:rsidRPr="008D1922" w:rsidRDefault="0015225A" w:rsidP="00D07AFA">
            <w:pPr>
              <w:widowControl w:val="0"/>
              <w:tabs>
                <w:tab w:val="left" w:pos="720"/>
              </w:tabs>
              <w:spacing w:after="120"/>
              <w:jc w:val="center"/>
              <w:rPr>
                <w:rFonts w:cs="Arial"/>
                <w:sz w:val="18"/>
                <w:szCs w:val="18"/>
              </w:rPr>
            </w:pPr>
            <w:r w:rsidRPr="008D1922">
              <w:rPr>
                <w:rFonts w:cs="Arial"/>
                <w:sz w:val="18"/>
                <w:szCs w:val="18"/>
              </w:rPr>
              <w:t>Provision should be made for inspection, testing and monitoring during normal operations aimed at demonstrating that the structure continues to meet its safety functional requirements. Due account should be taken of the periodicity of the activities.</w:t>
            </w:r>
          </w:p>
        </w:tc>
      </w:tr>
      <w:tr w:rsidR="0015225A" w:rsidRPr="00CC121D" w14:paraId="573052C1" w14:textId="77777777" w:rsidTr="00F22B72">
        <w:trPr>
          <w:jc w:val="center"/>
        </w:trPr>
        <w:tc>
          <w:tcPr>
            <w:tcW w:w="1171" w:type="dxa"/>
            <w:vMerge/>
            <w:vAlign w:val="center"/>
          </w:tcPr>
          <w:p w14:paraId="573052BC" w14:textId="77777777" w:rsidR="0015225A" w:rsidRPr="008D1922" w:rsidRDefault="0015225A" w:rsidP="00D07AFA">
            <w:pPr>
              <w:rPr>
                <w:rFonts w:cs="Arial"/>
                <w:sz w:val="18"/>
                <w:szCs w:val="18"/>
              </w:rPr>
            </w:pPr>
          </w:p>
        </w:tc>
        <w:tc>
          <w:tcPr>
            <w:tcW w:w="1335" w:type="dxa"/>
            <w:vAlign w:val="center"/>
          </w:tcPr>
          <w:p w14:paraId="573052BD" w14:textId="77777777" w:rsidR="0015225A" w:rsidRPr="008D1922" w:rsidRDefault="0015225A" w:rsidP="00D07AFA">
            <w:pPr>
              <w:widowControl w:val="0"/>
              <w:tabs>
                <w:tab w:val="left" w:pos="720"/>
              </w:tabs>
              <w:rPr>
                <w:rFonts w:cs="Arial"/>
                <w:sz w:val="18"/>
                <w:szCs w:val="18"/>
              </w:rPr>
            </w:pPr>
            <w:r w:rsidRPr="008D1922">
              <w:rPr>
                <w:rFonts w:cs="Arial"/>
                <w:sz w:val="18"/>
                <w:szCs w:val="18"/>
              </w:rPr>
              <w:t>Proof pressure tests</w:t>
            </w:r>
          </w:p>
        </w:tc>
        <w:tc>
          <w:tcPr>
            <w:tcW w:w="850" w:type="dxa"/>
            <w:vAlign w:val="center"/>
          </w:tcPr>
          <w:p w14:paraId="573052BE"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ECE.21</w:t>
            </w:r>
          </w:p>
        </w:tc>
        <w:tc>
          <w:tcPr>
            <w:tcW w:w="6275" w:type="dxa"/>
            <w:vAlign w:val="center"/>
          </w:tcPr>
          <w:p w14:paraId="573052BF"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Pre-stressed concrete pressure vessels and containment structures should be subjected to a proof pressure test, which may be repeated during the life of the facility.</w:t>
            </w:r>
          </w:p>
        </w:tc>
      </w:tr>
      <w:tr w:rsidR="0015225A" w:rsidRPr="00CC121D" w14:paraId="573052C7" w14:textId="77777777" w:rsidTr="00F22B72">
        <w:trPr>
          <w:jc w:val="center"/>
        </w:trPr>
        <w:tc>
          <w:tcPr>
            <w:tcW w:w="1171" w:type="dxa"/>
            <w:vMerge w:val="restart"/>
            <w:vAlign w:val="center"/>
          </w:tcPr>
          <w:p w14:paraId="573052C2" w14:textId="77777777" w:rsidR="0015225A" w:rsidRPr="008D1922" w:rsidRDefault="0015225A" w:rsidP="00D07AFA">
            <w:pPr>
              <w:rPr>
                <w:rFonts w:cs="Arial"/>
                <w:sz w:val="18"/>
                <w:szCs w:val="18"/>
              </w:rPr>
            </w:pPr>
            <w:r w:rsidRPr="008D1922">
              <w:rPr>
                <w:rFonts w:cs="Arial"/>
                <w:sz w:val="18"/>
                <w:szCs w:val="18"/>
              </w:rPr>
              <w:t>Engineering principles: civil engineering: in-service inspection and testing</w:t>
            </w:r>
          </w:p>
        </w:tc>
        <w:tc>
          <w:tcPr>
            <w:tcW w:w="1335" w:type="dxa"/>
            <w:vAlign w:val="center"/>
          </w:tcPr>
          <w:p w14:paraId="573052C3" w14:textId="77777777" w:rsidR="0015225A" w:rsidRPr="008D1922" w:rsidRDefault="0015225A" w:rsidP="00D07AFA">
            <w:pPr>
              <w:widowControl w:val="0"/>
              <w:tabs>
                <w:tab w:val="left" w:pos="720"/>
              </w:tabs>
              <w:rPr>
                <w:rFonts w:cs="Arial"/>
                <w:sz w:val="18"/>
                <w:szCs w:val="18"/>
              </w:rPr>
            </w:pPr>
            <w:r w:rsidRPr="008D1922">
              <w:rPr>
                <w:rFonts w:cs="Arial"/>
                <w:sz w:val="18"/>
                <w:szCs w:val="18"/>
              </w:rPr>
              <w:t>Leak tightness</w:t>
            </w:r>
          </w:p>
        </w:tc>
        <w:tc>
          <w:tcPr>
            <w:tcW w:w="850" w:type="dxa"/>
            <w:vAlign w:val="center"/>
          </w:tcPr>
          <w:p w14:paraId="573052C4"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ECE.22</w:t>
            </w:r>
          </w:p>
        </w:tc>
        <w:tc>
          <w:tcPr>
            <w:tcW w:w="6275" w:type="dxa"/>
            <w:vAlign w:val="center"/>
          </w:tcPr>
          <w:p w14:paraId="573052C5"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Civil engineering structures that retain or prevent leakage should be tested for leak tightness prior to operation.</w:t>
            </w:r>
          </w:p>
        </w:tc>
      </w:tr>
      <w:tr w:rsidR="0015225A" w:rsidRPr="00CC121D" w14:paraId="573052CD" w14:textId="77777777" w:rsidTr="00F22B72">
        <w:trPr>
          <w:jc w:val="center"/>
        </w:trPr>
        <w:tc>
          <w:tcPr>
            <w:tcW w:w="1171" w:type="dxa"/>
            <w:vMerge/>
            <w:vAlign w:val="center"/>
          </w:tcPr>
          <w:p w14:paraId="573052C8" w14:textId="77777777" w:rsidR="0015225A" w:rsidRPr="008D1922" w:rsidRDefault="0015225A" w:rsidP="00D07AFA">
            <w:pPr>
              <w:rPr>
                <w:rFonts w:cs="Arial"/>
                <w:sz w:val="18"/>
                <w:szCs w:val="18"/>
              </w:rPr>
            </w:pPr>
          </w:p>
        </w:tc>
        <w:tc>
          <w:tcPr>
            <w:tcW w:w="1335" w:type="dxa"/>
            <w:vAlign w:val="center"/>
          </w:tcPr>
          <w:p w14:paraId="573052C9" w14:textId="77777777" w:rsidR="0015225A" w:rsidRPr="008D1922" w:rsidRDefault="0015225A" w:rsidP="00D07AFA">
            <w:pPr>
              <w:widowControl w:val="0"/>
              <w:tabs>
                <w:tab w:val="left" w:pos="720"/>
              </w:tabs>
              <w:rPr>
                <w:rFonts w:cs="Arial"/>
                <w:sz w:val="18"/>
                <w:szCs w:val="18"/>
              </w:rPr>
            </w:pPr>
            <w:r w:rsidRPr="008D1922">
              <w:rPr>
                <w:rFonts w:cs="Arial"/>
                <w:sz w:val="18"/>
                <w:szCs w:val="18"/>
              </w:rPr>
              <w:t>Inspection of sea and river flood defences</w:t>
            </w:r>
          </w:p>
        </w:tc>
        <w:tc>
          <w:tcPr>
            <w:tcW w:w="850" w:type="dxa"/>
            <w:vAlign w:val="center"/>
          </w:tcPr>
          <w:p w14:paraId="573052CA"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ECE.23</w:t>
            </w:r>
          </w:p>
        </w:tc>
        <w:tc>
          <w:tcPr>
            <w:tcW w:w="6275" w:type="dxa"/>
            <w:vAlign w:val="center"/>
          </w:tcPr>
          <w:p w14:paraId="573052CB"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Provision should be made for the routine inspection of sea and river flood defences to determine their continued fitness for purpose.</w:t>
            </w:r>
          </w:p>
        </w:tc>
      </w:tr>
      <w:tr w:rsidR="0015225A" w:rsidRPr="00CC121D" w14:paraId="573052D3" w14:textId="77777777" w:rsidTr="00F22B72">
        <w:trPr>
          <w:jc w:val="center"/>
        </w:trPr>
        <w:tc>
          <w:tcPr>
            <w:tcW w:w="1171" w:type="dxa"/>
            <w:vMerge/>
            <w:vAlign w:val="center"/>
          </w:tcPr>
          <w:p w14:paraId="573052CE" w14:textId="77777777" w:rsidR="0015225A" w:rsidRPr="008D1922" w:rsidRDefault="0015225A" w:rsidP="00D07AFA">
            <w:pPr>
              <w:rPr>
                <w:rFonts w:cs="Arial"/>
                <w:sz w:val="18"/>
                <w:szCs w:val="18"/>
              </w:rPr>
            </w:pPr>
          </w:p>
        </w:tc>
        <w:tc>
          <w:tcPr>
            <w:tcW w:w="1335" w:type="dxa"/>
            <w:vAlign w:val="center"/>
          </w:tcPr>
          <w:p w14:paraId="573052CF" w14:textId="77777777" w:rsidR="0015225A" w:rsidRPr="008D1922" w:rsidRDefault="0015225A" w:rsidP="00D07AFA">
            <w:pPr>
              <w:widowControl w:val="0"/>
              <w:tabs>
                <w:tab w:val="left" w:pos="720"/>
              </w:tabs>
              <w:rPr>
                <w:rFonts w:cs="Arial"/>
                <w:sz w:val="18"/>
                <w:szCs w:val="18"/>
              </w:rPr>
            </w:pPr>
            <w:r w:rsidRPr="008D1922">
              <w:rPr>
                <w:rFonts w:cs="Arial"/>
                <w:sz w:val="18"/>
                <w:szCs w:val="18"/>
              </w:rPr>
              <w:t>Settlement</w:t>
            </w:r>
          </w:p>
        </w:tc>
        <w:tc>
          <w:tcPr>
            <w:tcW w:w="850" w:type="dxa"/>
            <w:vAlign w:val="center"/>
          </w:tcPr>
          <w:p w14:paraId="573052D0"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ECE.24</w:t>
            </w:r>
          </w:p>
        </w:tc>
        <w:tc>
          <w:tcPr>
            <w:tcW w:w="6275" w:type="dxa"/>
            <w:vAlign w:val="center"/>
          </w:tcPr>
          <w:p w14:paraId="573052D1"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There should be arrangements to monitor civil engineering structures during and after construction to check the validity of predictions of performance made during the design and for feedback into design reviews.</w:t>
            </w:r>
          </w:p>
        </w:tc>
      </w:tr>
      <w:tr w:rsidR="0015225A" w:rsidRPr="00CC121D" w14:paraId="573052D9" w14:textId="77777777" w:rsidTr="00F22B72">
        <w:trPr>
          <w:jc w:val="center"/>
        </w:trPr>
        <w:tc>
          <w:tcPr>
            <w:tcW w:w="1171" w:type="dxa"/>
            <w:vMerge/>
            <w:vAlign w:val="center"/>
          </w:tcPr>
          <w:p w14:paraId="573052D4" w14:textId="77777777" w:rsidR="0015225A" w:rsidRPr="008D1922" w:rsidRDefault="0015225A" w:rsidP="00D07AFA">
            <w:pPr>
              <w:rPr>
                <w:rFonts w:cs="Arial"/>
                <w:sz w:val="18"/>
                <w:szCs w:val="18"/>
              </w:rPr>
            </w:pPr>
          </w:p>
        </w:tc>
        <w:tc>
          <w:tcPr>
            <w:tcW w:w="1335" w:type="dxa"/>
            <w:vAlign w:val="center"/>
          </w:tcPr>
          <w:p w14:paraId="573052D5" w14:textId="77777777" w:rsidR="0015225A" w:rsidRPr="008D1922" w:rsidRDefault="0015225A" w:rsidP="00D07AFA">
            <w:pPr>
              <w:widowControl w:val="0"/>
              <w:tabs>
                <w:tab w:val="left" w:pos="720"/>
              </w:tabs>
              <w:rPr>
                <w:rFonts w:cs="Arial"/>
                <w:sz w:val="18"/>
                <w:szCs w:val="18"/>
              </w:rPr>
            </w:pPr>
            <w:r w:rsidRPr="008D1922">
              <w:rPr>
                <w:rFonts w:cs="Arial"/>
                <w:sz w:val="18"/>
                <w:szCs w:val="18"/>
              </w:rPr>
              <w:t>Provision for construction</w:t>
            </w:r>
          </w:p>
        </w:tc>
        <w:tc>
          <w:tcPr>
            <w:tcW w:w="850" w:type="dxa"/>
            <w:vAlign w:val="center"/>
          </w:tcPr>
          <w:p w14:paraId="573052D6"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ECE.25</w:t>
            </w:r>
          </w:p>
        </w:tc>
        <w:tc>
          <w:tcPr>
            <w:tcW w:w="6275" w:type="dxa"/>
            <w:vAlign w:val="center"/>
          </w:tcPr>
          <w:p w14:paraId="573052D7"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Items important to safety should be designed so that they can be manufactured, constructed, assembled, installed and erected in accordance with established processes that ensure the achievement of the design specifications and the required level of safety. The effects of construction hazards on any nearby safety related SSCs should be taken into account.</w:t>
            </w:r>
          </w:p>
        </w:tc>
      </w:tr>
      <w:tr w:rsidR="0015225A" w:rsidRPr="00CC121D" w14:paraId="573052DF" w14:textId="77777777" w:rsidTr="00F22B72">
        <w:trPr>
          <w:jc w:val="center"/>
        </w:trPr>
        <w:tc>
          <w:tcPr>
            <w:tcW w:w="1171" w:type="dxa"/>
            <w:vMerge/>
            <w:vAlign w:val="center"/>
          </w:tcPr>
          <w:p w14:paraId="573052DA" w14:textId="77777777" w:rsidR="0015225A" w:rsidRPr="008D1922" w:rsidRDefault="0015225A" w:rsidP="00D07AFA">
            <w:pPr>
              <w:rPr>
                <w:rFonts w:cs="Arial"/>
                <w:sz w:val="18"/>
                <w:szCs w:val="18"/>
              </w:rPr>
            </w:pPr>
          </w:p>
        </w:tc>
        <w:tc>
          <w:tcPr>
            <w:tcW w:w="1335" w:type="dxa"/>
            <w:vAlign w:val="center"/>
          </w:tcPr>
          <w:p w14:paraId="573052DB" w14:textId="77777777" w:rsidR="0015225A" w:rsidRPr="008D1922" w:rsidRDefault="0015225A" w:rsidP="00D07AFA">
            <w:pPr>
              <w:widowControl w:val="0"/>
              <w:tabs>
                <w:tab w:val="left" w:pos="720"/>
              </w:tabs>
              <w:rPr>
                <w:rFonts w:cs="Arial"/>
                <w:sz w:val="18"/>
                <w:szCs w:val="18"/>
              </w:rPr>
            </w:pPr>
            <w:r w:rsidRPr="008D1922">
              <w:rPr>
                <w:rFonts w:cs="Arial"/>
                <w:sz w:val="18"/>
                <w:szCs w:val="18"/>
              </w:rPr>
              <w:t>Provision for decommissioning</w:t>
            </w:r>
          </w:p>
        </w:tc>
        <w:tc>
          <w:tcPr>
            <w:tcW w:w="850" w:type="dxa"/>
            <w:vAlign w:val="center"/>
          </w:tcPr>
          <w:p w14:paraId="573052DC"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ECE.26</w:t>
            </w:r>
          </w:p>
        </w:tc>
        <w:tc>
          <w:tcPr>
            <w:tcW w:w="6275" w:type="dxa"/>
            <w:vAlign w:val="center"/>
          </w:tcPr>
          <w:p w14:paraId="573052DD"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Special consideration should be given at the design stage to the incorporation of features to facilitate radioactive waste management and the future decommissioning and dismantling of the facility.</w:t>
            </w:r>
          </w:p>
        </w:tc>
      </w:tr>
    </w:tbl>
    <w:p w14:paraId="573052E0" w14:textId="77777777" w:rsidR="00D07AFA" w:rsidRPr="00CC121D" w:rsidRDefault="00D07AFA" w:rsidP="00D07AFA">
      <w:pPr>
        <w:rPr>
          <w:rFonts w:ascii="Calibri" w:hAnsi="Calibri"/>
          <w:b/>
          <w:bCs/>
          <w:szCs w:val="22"/>
        </w:rPr>
      </w:pPr>
    </w:p>
    <w:p w14:paraId="573052E1" w14:textId="77777777" w:rsidR="00D07AFA" w:rsidRPr="00CC121D" w:rsidRDefault="00D07AFA" w:rsidP="001B477E">
      <w:pPr>
        <w:spacing w:after="216"/>
        <w:ind w:left="720"/>
        <w:rPr>
          <w:rFonts w:ascii="Arial Bold" w:hAnsi="Arial Bold"/>
          <w:b/>
          <w:bCs/>
          <w:szCs w:val="22"/>
          <w:lang w:eastAsia="en-GB"/>
        </w:rPr>
      </w:pPr>
      <w:r w:rsidRPr="00CC121D">
        <w:rPr>
          <w:rFonts w:ascii="Arial Bold" w:hAnsi="Arial Bold"/>
          <w:b/>
          <w:bCs/>
          <w:szCs w:val="22"/>
          <w:lang w:eastAsia="en-GB"/>
        </w:rPr>
        <w:t>CITATION OF OTHER RELEVANT SAPs IN §5 OF THIS TAG</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853"/>
        <w:gridCol w:w="1497"/>
        <w:gridCol w:w="1086"/>
        <w:gridCol w:w="5198"/>
      </w:tblGrid>
      <w:tr w:rsidR="00CC121D" w:rsidRPr="00CC121D" w14:paraId="573052E3" w14:textId="77777777" w:rsidTr="00F22B72">
        <w:trPr>
          <w:trHeight w:val="701"/>
          <w:jc w:val="center"/>
        </w:trPr>
        <w:tc>
          <w:tcPr>
            <w:tcW w:w="9634" w:type="dxa"/>
            <w:gridSpan w:val="4"/>
            <w:shd w:val="clear" w:color="auto" w:fill="EAF1DD" w:themeFill="accent3" w:themeFillTint="33"/>
            <w:vAlign w:val="center"/>
          </w:tcPr>
          <w:p w14:paraId="573052E2" w14:textId="77777777" w:rsidR="00D07AFA" w:rsidRPr="008D1922" w:rsidRDefault="00D07AFA" w:rsidP="00D07AFA">
            <w:pPr>
              <w:widowControl w:val="0"/>
              <w:tabs>
                <w:tab w:val="left" w:pos="720"/>
              </w:tabs>
              <w:ind w:left="559" w:hanging="559"/>
              <w:jc w:val="center"/>
              <w:rPr>
                <w:rFonts w:cs="Arial"/>
                <w:b/>
                <w:sz w:val="18"/>
                <w:szCs w:val="18"/>
              </w:rPr>
            </w:pPr>
            <w:r w:rsidRPr="008D1922">
              <w:rPr>
                <w:rFonts w:cs="Arial"/>
                <w:b/>
                <w:sz w:val="18"/>
                <w:szCs w:val="18"/>
              </w:rPr>
              <w:t>Safety Assessment Principles applicable to Civil Engineering outside ECE. suite</w:t>
            </w:r>
          </w:p>
        </w:tc>
      </w:tr>
      <w:tr w:rsidR="0015225A" w:rsidRPr="00CC121D" w14:paraId="573052EB" w14:textId="77777777" w:rsidTr="00F22B72">
        <w:trPr>
          <w:trHeight w:val="385"/>
          <w:jc w:val="center"/>
        </w:trPr>
        <w:tc>
          <w:tcPr>
            <w:tcW w:w="1853" w:type="dxa"/>
            <w:vMerge w:val="restart"/>
            <w:shd w:val="clear" w:color="auto" w:fill="EAF1DD" w:themeFill="accent3" w:themeFillTint="33"/>
            <w:vAlign w:val="center"/>
          </w:tcPr>
          <w:p w14:paraId="573052E4" w14:textId="77777777" w:rsidR="0015225A" w:rsidRPr="008D1922" w:rsidRDefault="0015225A" w:rsidP="00D07AFA">
            <w:pPr>
              <w:widowControl w:val="0"/>
              <w:tabs>
                <w:tab w:val="left" w:pos="720"/>
              </w:tabs>
              <w:jc w:val="center"/>
              <w:rPr>
                <w:rFonts w:cs="Arial"/>
                <w:b/>
                <w:sz w:val="18"/>
                <w:szCs w:val="18"/>
              </w:rPr>
            </w:pPr>
            <w:r w:rsidRPr="008D1922">
              <w:rPr>
                <w:rFonts w:cs="Arial"/>
                <w:b/>
                <w:sz w:val="18"/>
                <w:szCs w:val="18"/>
              </w:rPr>
              <w:t>Safety case area</w:t>
            </w:r>
          </w:p>
        </w:tc>
        <w:tc>
          <w:tcPr>
            <w:tcW w:w="1497" w:type="dxa"/>
            <w:vMerge w:val="restart"/>
            <w:shd w:val="clear" w:color="auto" w:fill="EAF1DD" w:themeFill="accent3" w:themeFillTint="33"/>
            <w:vAlign w:val="center"/>
          </w:tcPr>
          <w:p w14:paraId="573052E5" w14:textId="77777777" w:rsidR="0015225A" w:rsidRPr="008D1922" w:rsidRDefault="0015225A" w:rsidP="00D07AFA">
            <w:pPr>
              <w:widowControl w:val="0"/>
              <w:tabs>
                <w:tab w:val="left" w:pos="720"/>
              </w:tabs>
              <w:jc w:val="center"/>
              <w:rPr>
                <w:rFonts w:cs="Arial"/>
                <w:b/>
                <w:sz w:val="18"/>
                <w:szCs w:val="18"/>
              </w:rPr>
            </w:pPr>
            <w:r w:rsidRPr="008D1922">
              <w:rPr>
                <w:rFonts w:cs="Arial"/>
                <w:b/>
                <w:sz w:val="18"/>
                <w:szCs w:val="18"/>
              </w:rPr>
              <w:t>Subject</w:t>
            </w:r>
          </w:p>
        </w:tc>
        <w:tc>
          <w:tcPr>
            <w:tcW w:w="1086" w:type="dxa"/>
            <w:vMerge w:val="restart"/>
            <w:shd w:val="clear" w:color="auto" w:fill="EAF1DD" w:themeFill="accent3" w:themeFillTint="33"/>
            <w:vAlign w:val="center"/>
          </w:tcPr>
          <w:p w14:paraId="573052E8" w14:textId="77777777" w:rsidR="0015225A" w:rsidRPr="008D1922" w:rsidRDefault="0015225A" w:rsidP="00D07AFA">
            <w:pPr>
              <w:widowControl w:val="0"/>
              <w:tabs>
                <w:tab w:val="left" w:pos="720"/>
              </w:tabs>
              <w:jc w:val="center"/>
              <w:rPr>
                <w:rFonts w:cs="Arial"/>
                <w:b/>
                <w:sz w:val="18"/>
                <w:szCs w:val="18"/>
              </w:rPr>
            </w:pPr>
            <w:r w:rsidRPr="008D1922">
              <w:rPr>
                <w:rFonts w:cs="Arial"/>
                <w:b/>
                <w:sz w:val="18"/>
                <w:szCs w:val="18"/>
              </w:rPr>
              <w:t>Identity</w:t>
            </w:r>
          </w:p>
        </w:tc>
        <w:tc>
          <w:tcPr>
            <w:tcW w:w="5198" w:type="dxa"/>
            <w:vMerge w:val="restart"/>
            <w:shd w:val="clear" w:color="auto" w:fill="EAF1DD" w:themeFill="accent3" w:themeFillTint="33"/>
            <w:vAlign w:val="center"/>
          </w:tcPr>
          <w:p w14:paraId="573052E9" w14:textId="77777777" w:rsidR="0015225A" w:rsidRPr="008D1922" w:rsidRDefault="0015225A" w:rsidP="00D07AFA">
            <w:pPr>
              <w:widowControl w:val="0"/>
              <w:tabs>
                <w:tab w:val="left" w:pos="720"/>
              </w:tabs>
              <w:jc w:val="center"/>
              <w:rPr>
                <w:rFonts w:cs="Arial"/>
                <w:b/>
                <w:sz w:val="18"/>
                <w:szCs w:val="18"/>
              </w:rPr>
            </w:pPr>
            <w:r w:rsidRPr="008D1922">
              <w:rPr>
                <w:rFonts w:cs="Arial"/>
                <w:b/>
                <w:sz w:val="18"/>
                <w:szCs w:val="18"/>
              </w:rPr>
              <w:t>Wording</w:t>
            </w:r>
          </w:p>
        </w:tc>
      </w:tr>
      <w:tr w:rsidR="0015225A" w:rsidRPr="00CC121D" w14:paraId="573052F1" w14:textId="77777777" w:rsidTr="00F22B72">
        <w:trPr>
          <w:trHeight w:val="385"/>
          <w:jc w:val="center"/>
        </w:trPr>
        <w:tc>
          <w:tcPr>
            <w:tcW w:w="1853" w:type="dxa"/>
            <w:vMerge/>
            <w:shd w:val="clear" w:color="auto" w:fill="EAF1DD" w:themeFill="accent3" w:themeFillTint="33"/>
            <w:vAlign w:val="center"/>
          </w:tcPr>
          <w:p w14:paraId="573052EC" w14:textId="77777777" w:rsidR="0015225A" w:rsidRPr="008D1922" w:rsidRDefault="0015225A" w:rsidP="00D07AFA">
            <w:pPr>
              <w:widowControl w:val="0"/>
              <w:tabs>
                <w:tab w:val="left" w:pos="720"/>
              </w:tabs>
              <w:jc w:val="center"/>
              <w:rPr>
                <w:rFonts w:cs="Arial"/>
                <w:b/>
                <w:sz w:val="18"/>
                <w:szCs w:val="18"/>
              </w:rPr>
            </w:pPr>
          </w:p>
        </w:tc>
        <w:tc>
          <w:tcPr>
            <w:tcW w:w="1497" w:type="dxa"/>
            <w:vMerge/>
            <w:shd w:val="clear" w:color="auto" w:fill="EAF1DD" w:themeFill="accent3" w:themeFillTint="33"/>
            <w:vAlign w:val="center"/>
          </w:tcPr>
          <w:p w14:paraId="573052ED" w14:textId="77777777" w:rsidR="0015225A" w:rsidRPr="008D1922" w:rsidRDefault="0015225A" w:rsidP="00D07AFA">
            <w:pPr>
              <w:widowControl w:val="0"/>
              <w:tabs>
                <w:tab w:val="left" w:pos="720"/>
              </w:tabs>
              <w:jc w:val="center"/>
              <w:rPr>
                <w:rFonts w:cs="Arial"/>
                <w:b/>
                <w:sz w:val="18"/>
                <w:szCs w:val="18"/>
              </w:rPr>
            </w:pPr>
          </w:p>
        </w:tc>
        <w:tc>
          <w:tcPr>
            <w:tcW w:w="1086" w:type="dxa"/>
            <w:vMerge/>
            <w:shd w:val="clear" w:color="auto" w:fill="EAF1DD" w:themeFill="accent3" w:themeFillTint="33"/>
            <w:vAlign w:val="center"/>
          </w:tcPr>
          <w:p w14:paraId="573052EE" w14:textId="77777777" w:rsidR="0015225A" w:rsidRPr="008D1922" w:rsidRDefault="0015225A" w:rsidP="00D07AFA">
            <w:pPr>
              <w:widowControl w:val="0"/>
              <w:tabs>
                <w:tab w:val="left" w:pos="720"/>
              </w:tabs>
              <w:jc w:val="center"/>
              <w:rPr>
                <w:rFonts w:cs="Arial"/>
                <w:b/>
                <w:sz w:val="18"/>
                <w:szCs w:val="18"/>
              </w:rPr>
            </w:pPr>
          </w:p>
        </w:tc>
        <w:tc>
          <w:tcPr>
            <w:tcW w:w="5198" w:type="dxa"/>
            <w:vMerge/>
            <w:shd w:val="clear" w:color="auto" w:fill="EAF1DD" w:themeFill="accent3" w:themeFillTint="33"/>
            <w:vAlign w:val="center"/>
          </w:tcPr>
          <w:p w14:paraId="573052EF" w14:textId="77777777" w:rsidR="0015225A" w:rsidRPr="008D1922" w:rsidRDefault="0015225A" w:rsidP="00D07AFA">
            <w:pPr>
              <w:widowControl w:val="0"/>
              <w:tabs>
                <w:tab w:val="left" w:pos="720"/>
              </w:tabs>
              <w:jc w:val="center"/>
              <w:rPr>
                <w:rFonts w:cs="Arial"/>
                <w:b/>
                <w:sz w:val="18"/>
                <w:szCs w:val="18"/>
              </w:rPr>
            </w:pPr>
          </w:p>
        </w:tc>
      </w:tr>
      <w:tr w:rsidR="0015225A" w:rsidRPr="00CC121D" w14:paraId="573052F9" w14:textId="77777777" w:rsidTr="00F22B72">
        <w:trPr>
          <w:trHeight w:val="601"/>
          <w:jc w:val="center"/>
        </w:trPr>
        <w:tc>
          <w:tcPr>
            <w:tcW w:w="1853" w:type="dxa"/>
            <w:vMerge w:val="restart"/>
            <w:vAlign w:val="center"/>
          </w:tcPr>
          <w:p w14:paraId="573052F2"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Leadership and management for safety</w:t>
            </w:r>
          </w:p>
        </w:tc>
        <w:tc>
          <w:tcPr>
            <w:tcW w:w="1497" w:type="dxa"/>
            <w:vAlign w:val="center"/>
          </w:tcPr>
          <w:p w14:paraId="573052F3"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Leadership</w:t>
            </w:r>
          </w:p>
        </w:tc>
        <w:tc>
          <w:tcPr>
            <w:tcW w:w="1086" w:type="dxa"/>
            <w:vAlign w:val="center"/>
          </w:tcPr>
          <w:p w14:paraId="573052F4"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MS.1</w:t>
            </w:r>
          </w:p>
        </w:tc>
        <w:tc>
          <w:tcPr>
            <w:tcW w:w="5198" w:type="dxa"/>
            <w:vAlign w:val="center"/>
          </w:tcPr>
          <w:p w14:paraId="573052F5"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Directors, managers and leaders at all levels should focus the organisation on achieving and sustaining high standards of safety and on delivering the characteristics of a high reliability organisation</w:t>
            </w:r>
          </w:p>
        </w:tc>
      </w:tr>
      <w:tr w:rsidR="0015225A" w:rsidRPr="00CC121D" w14:paraId="573052FF" w14:textId="77777777" w:rsidTr="00F22B72">
        <w:trPr>
          <w:trHeight w:val="601"/>
          <w:jc w:val="center"/>
        </w:trPr>
        <w:tc>
          <w:tcPr>
            <w:tcW w:w="1853" w:type="dxa"/>
            <w:vMerge/>
            <w:vAlign w:val="center"/>
          </w:tcPr>
          <w:p w14:paraId="573052FA" w14:textId="77777777" w:rsidR="0015225A" w:rsidRPr="008D1922" w:rsidRDefault="0015225A" w:rsidP="00D07AFA">
            <w:pPr>
              <w:widowControl w:val="0"/>
              <w:tabs>
                <w:tab w:val="left" w:pos="720"/>
              </w:tabs>
              <w:jc w:val="center"/>
              <w:rPr>
                <w:rFonts w:cs="Arial"/>
                <w:sz w:val="18"/>
                <w:szCs w:val="18"/>
              </w:rPr>
            </w:pPr>
          </w:p>
        </w:tc>
        <w:tc>
          <w:tcPr>
            <w:tcW w:w="1497" w:type="dxa"/>
            <w:vAlign w:val="center"/>
          </w:tcPr>
          <w:p w14:paraId="573052FB"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Capable organisation</w:t>
            </w:r>
          </w:p>
        </w:tc>
        <w:tc>
          <w:tcPr>
            <w:tcW w:w="1086" w:type="dxa"/>
            <w:vAlign w:val="center"/>
          </w:tcPr>
          <w:p w14:paraId="573052FC"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MS.2</w:t>
            </w:r>
          </w:p>
        </w:tc>
        <w:tc>
          <w:tcPr>
            <w:tcW w:w="5198" w:type="dxa"/>
            <w:vAlign w:val="center"/>
          </w:tcPr>
          <w:p w14:paraId="573052FD"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The organisation should have the capability to secure and maintain the safety of its undertakings</w:t>
            </w:r>
          </w:p>
        </w:tc>
      </w:tr>
      <w:tr w:rsidR="0015225A" w:rsidRPr="00CC121D" w14:paraId="57305305" w14:textId="77777777" w:rsidTr="00F22B72">
        <w:trPr>
          <w:trHeight w:val="601"/>
          <w:jc w:val="center"/>
        </w:trPr>
        <w:tc>
          <w:tcPr>
            <w:tcW w:w="1853" w:type="dxa"/>
            <w:vMerge/>
            <w:vAlign w:val="center"/>
          </w:tcPr>
          <w:p w14:paraId="57305300" w14:textId="77777777" w:rsidR="0015225A" w:rsidRPr="008D1922" w:rsidRDefault="0015225A" w:rsidP="00D07AFA">
            <w:pPr>
              <w:widowControl w:val="0"/>
              <w:tabs>
                <w:tab w:val="left" w:pos="720"/>
              </w:tabs>
              <w:jc w:val="center"/>
              <w:rPr>
                <w:rFonts w:cs="Arial"/>
                <w:sz w:val="18"/>
                <w:szCs w:val="18"/>
              </w:rPr>
            </w:pPr>
          </w:p>
        </w:tc>
        <w:tc>
          <w:tcPr>
            <w:tcW w:w="1497" w:type="dxa"/>
            <w:vAlign w:val="center"/>
          </w:tcPr>
          <w:p w14:paraId="57305301"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Decision making</w:t>
            </w:r>
          </w:p>
        </w:tc>
        <w:tc>
          <w:tcPr>
            <w:tcW w:w="1086" w:type="dxa"/>
            <w:vAlign w:val="center"/>
          </w:tcPr>
          <w:p w14:paraId="57305302"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MS.3</w:t>
            </w:r>
          </w:p>
        </w:tc>
        <w:tc>
          <w:tcPr>
            <w:tcW w:w="5198" w:type="dxa"/>
            <w:vAlign w:val="center"/>
          </w:tcPr>
          <w:p w14:paraId="57305303"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Decisions made at all levels in the organisation affecting safety should be informed, rational, objective, transparent and prudent.</w:t>
            </w:r>
          </w:p>
        </w:tc>
      </w:tr>
      <w:tr w:rsidR="0015225A" w:rsidRPr="00CC121D" w14:paraId="5730530B" w14:textId="77777777" w:rsidTr="00F22B72">
        <w:trPr>
          <w:trHeight w:val="601"/>
          <w:jc w:val="center"/>
        </w:trPr>
        <w:tc>
          <w:tcPr>
            <w:tcW w:w="1853" w:type="dxa"/>
            <w:vMerge/>
            <w:vAlign w:val="center"/>
          </w:tcPr>
          <w:p w14:paraId="57305306" w14:textId="77777777" w:rsidR="0015225A" w:rsidRPr="008D1922" w:rsidRDefault="0015225A" w:rsidP="00D07AFA">
            <w:pPr>
              <w:widowControl w:val="0"/>
              <w:tabs>
                <w:tab w:val="left" w:pos="720"/>
              </w:tabs>
              <w:jc w:val="center"/>
              <w:rPr>
                <w:rFonts w:cs="Arial"/>
                <w:sz w:val="18"/>
                <w:szCs w:val="18"/>
              </w:rPr>
            </w:pPr>
          </w:p>
        </w:tc>
        <w:tc>
          <w:tcPr>
            <w:tcW w:w="1497" w:type="dxa"/>
            <w:vAlign w:val="center"/>
          </w:tcPr>
          <w:p w14:paraId="57305307"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Learning</w:t>
            </w:r>
          </w:p>
        </w:tc>
        <w:tc>
          <w:tcPr>
            <w:tcW w:w="1086" w:type="dxa"/>
            <w:vAlign w:val="center"/>
          </w:tcPr>
          <w:p w14:paraId="57305308"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MS.4</w:t>
            </w:r>
          </w:p>
        </w:tc>
        <w:tc>
          <w:tcPr>
            <w:tcW w:w="5198" w:type="dxa"/>
            <w:vAlign w:val="center"/>
          </w:tcPr>
          <w:p w14:paraId="57305309"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Lessons should be learned from internal and external sources to continually improve leadership, organisational capability, the management system, safety decision making and safety performance.</w:t>
            </w:r>
          </w:p>
        </w:tc>
      </w:tr>
      <w:tr w:rsidR="0015225A" w:rsidRPr="00CC121D" w14:paraId="57305313" w14:textId="77777777" w:rsidTr="00F22B72">
        <w:trPr>
          <w:trHeight w:val="601"/>
          <w:jc w:val="center"/>
        </w:trPr>
        <w:tc>
          <w:tcPr>
            <w:tcW w:w="1853" w:type="dxa"/>
            <w:vMerge w:val="restart"/>
            <w:shd w:val="clear" w:color="auto" w:fill="EEECE1" w:themeFill="background2"/>
            <w:vAlign w:val="center"/>
          </w:tcPr>
          <w:p w14:paraId="5730530C" w14:textId="77777777" w:rsidR="0015225A" w:rsidRPr="008D1922" w:rsidRDefault="0015225A" w:rsidP="00D07AFA">
            <w:pPr>
              <w:autoSpaceDE w:val="0"/>
              <w:autoSpaceDN w:val="0"/>
              <w:adjustRightInd w:val="0"/>
              <w:jc w:val="center"/>
              <w:rPr>
                <w:rFonts w:cs="Arial"/>
                <w:bCs/>
                <w:sz w:val="18"/>
                <w:szCs w:val="18"/>
                <w:lang w:eastAsia="en-GB"/>
              </w:rPr>
            </w:pPr>
            <w:r w:rsidRPr="008D1922">
              <w:rPr>
                <w:rFonts w:cs="Arial"/>
                <w:bCs/>
                <w:sz w:val="18"/>
                <w:szCs w:val="18"/>
                <w:lang w:eastAsia="en-GB"/>
              </w:rPr>
              <w:t>The regulatory assessment of</w:t>
            </w:r>
          </w:p>
          <w:p w14:paraId="5730530D" w14:textId="77777777" w:rsidR="0015225A" w:rsidRPr="008D1922" w:rsidRDefault="0015225A" w:rsidP="00D07AFA">
            <w:pPr>
              <w:autoSpaceDE w:val="0"/>
              <w:autoSpaceDN w:val="0"/>
              <w:adjustRightInd w:val="0"/>
              <w:jc w:val="center"/>
              <w:rPr>
                <w:rFonts w:eastAsiaTheme="minorHAnsi" w:cs="Arial"/>
                <w:bCs/>
                <w:sz w:val="18"/>
                <w:szCs w:val="18"/>
              </w:rPr>
            </w:pPr>
            <w:r w:rsidRPr="008D1922">
              <w:rPr>
                <w:rFonts w:cs="Arial"/>
                <w:bCs/>
                <w:sz w:val="18"/>
                <w:szCs w:val="18"/>
                <w:lang w:eastAsia="en-GB"/>
              </w:rPr>
              <w:t>safety cases</w:t>
            </w:r>
          </w:p>
        </w:tc>
        <w:tc>
          <w:tcPr>
            <w:tcW w:w="1497" w:type="dxa"/>
            <w:shd w:val="clear" w:color="auto" w:fill="EEECE1" w:themeFill="background2"/>
            <w:vAlign w:val="center"/>
          </w:tcPr>
          <w:p w14:paraId="5730530E"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lang w:eastAsia="en-GB"/>
              </w:rPr>
              <w:t>Safety case characteristics</w:t>
            </w:r>
          </w:p>
        </w:tc>
        <w:tc>
          <w:tcPr>
            <w:tcW w:w="1086" w:type="dxa"/>
            <w:shd w:val="clear" w:color="auto" w:fill="EEECE1" w:themeFill="background2"/>
            <w:vAlign w:val="center"/>
          </w:tcPr>
          <w:p w14:paraId="5730530F"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SC.4</w:t>
            </w:r>
          </w:p>
        </w:tc>
        <w:tc>
          <w:tcPr>
            <w:tcW w:w="5198" w:type="dxa"/>
            <w:shd w:val="clear" w:color="auto" w:fill="EEECE1" w:themeFill="background2"/>
            <w:vAlign w:val="center"/>
          </w:tcPr>
          <w:p w14:paraId="57305310" w14:textId="77777777" w:rsidR="0015225A" w:rsidRPr="008D1922" w:rsidRDefault="0015225A" w:rsidP="00D07AFA">
            <w:pPr>
              <w:widowControl w:val="0"/>
              <w:tabs>
                <w:tab w:val="left" w:pos="720"/>
              </w:tabs>
              <w:jc w:val="center"/>
              <w:rPr>
                <w:rFonts w:eastAsiaTheme="minorHAnsi" w:cs="Arial"/>
                <w:sz w:val="18"/>
                <w:szCs w:val="18"/>
              </w:rPr>
            </w:pPr>
            <w:r w:rsidRPr="008D1922">
              <w:rPr>
                <w:rFonts w:cs="Arial"/>
                <w:sz w:val="18"/>
                <w:szCs w:val="18"/>
                <w:lang w:eastAsia="en-GB"/>
              </w:rPr>
              <w:t>A safety case should be accurate, objective and demonstrably complete for its intended purpose.</w:t>
            </w:r>
          </w:p>
        </w:tc>
      </w:tr>
      <w:tr w:rsidR="0015225A" w:rsidRPr="00CC121D" w14:paraId="5730531B" w14:textId="77777777" w:rsidTr="00F22B72">
        <w:trPr>
          <w:trHeight w:val="601"/>
          <w:jc w:val="center"/>
        </w:trPr>
        <w:tc>
          <w:tcPr>
            <w:tcW w:w="1853" w:type="dxa"/>
            <w:vMerge/>
            <w:shd w:val="clear" w:color="auto" w:fill="EEECE1" w:themeFill="background2"/>
            <w:vAlign w:val="center"/>
          </w:tcPr>
          <w:p w14:paraId="57305314" w14:textId="77777777" w:rsidR="0015225A" w:rsidRPr="008D1922" w:rsidRDefault="0015225A" w:rsidP="00D07AFA">
            <w:pPr>
              <w:autoSpaceDE w:val="0"/>
              <w:autoSpaceDN w:val="0"/>
              <w:adjustRightInd w:val="0"/>
              <w:jc w:val="center"/>
              <w:rPr>
                <w:rFonts w:eastAsiaTheme="minorHAnsi" w:cs="Arial"/>
                <w:bCs/>
                <w:sz w:val="18"/>
                <w:szCs w:val="18"/>
              </w:rPr>
            </w:pPr>
          </w:p>
        </w:tc>
        <w:tc>
          <w:tcPr>
            <w:tcW w:w="1497" w:type="dxa"/>
            <w:shd w:val="clear" w:color="auto" w:fill="EEECE1" w:themeFill="background2"/>
            <w:vAlign w:val="center"/>
          </w:tcPr>
          <w:p w14:paraId="57305315" w14:textId="77777777" w:rsidR="0015225A" w:rsidRPr="008D1922" w:rsidRDefault="0015225A" w:rsidP="00D07AFA">
            <w:pPr>
              <w:autoSpaceDE w:val="0"/>
              <w:autoSpaceDN w:val="0"/>
              <w:adjustRightInd w:val="0"/>
              <w:jc w:val="center"/>
              <w:rPr>
                <w:rFonts w:cs="Arial"/>
                <w:sz w:val="18"/>
                <w:szCs w:val="18"/>
                <w:lang w:eastAsia="en-GB"/>
              </w:rPr>
            </w:pPr>
            <w:r w:rsidRPr="008D1922">
              <w:rPr>
                <w:rFonts w:cs="Arial"/>
                <w:sz w:val="18"/>
                <w:szCs w:val="18"/>
                <w:lang w:eastAsia="en-GB"/>
              </w:rPr>
              <w:t>Optimism, uncertainty and</w:t>
            </w:r>
          </w:p>
          <w:p w14:paraId="57305316"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lang w:eastAsia="en-GB"/>
              </w:rPr>
              <w:t>conservatism</w:t>
            </w:r>
          </w:p>
        </w:tc>
        <w:tc>
          <w:tcPr>
            <w:tcW w:w="1086" w:type="dxa"/>
            <w:shd w:val="clear" w:color="auto" w:fill="EEECE1" w:themeFill="background2"/>
            <w:vAlign w:val="center"/>
          </w:tcPr>
          <w:p w14:paraId="57305317"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SC.5</w:t>
            </w:r>
          </w:p>
        </w:tc>
        <w:tc>
          <w:tcPr>
            <w:tcW w:w="5198" w:type="dxa"/>
            <w:shd w:val="clear" w:color="auto" w:fill="EEECE1" w:themeFill="background2"/>
            <w:vAlign w:val="center"/>
          </w:tcPr>
          <w:p w14:paraId="57305318" w14:textId="77777777" w:rsidR="0015225A" w:rsidRPr="008D1922" w:rsidRDefault="0015225A" w:rsidP="00D07AFA">
            <w:pPr>
              <w:widowControl w:val="0"/>
              <w:tabs>
                <w:tab w:val="left" w:pos="720"/>
              </w:tabs>
              <w:jc w:val="center"/>
              <w:rPr>
                <w:rFonts w:eastAsiaTheme="minorHAnsi" w:cs="Arial"/>
                <w:sz w:val="18"/>
                <w:szCs w:val="18"/>
              </w:rPr>
            </w:pPr>
            <w:r w:rsidRPr="008D1922">
              <w:rPr>
                <w:rFonts w:cs="Arial"/>
                <w:sz w:val="18"/>
                <w:szCs w:val="18"/>
                <w:lang w:eastAsia="en-GB"/>
              </w:rPr>
              <w:t>Safety cases should identify areas of optimism and uncertainty, together with their significance, in addition to strengths and any claimed conservatism.</w:t>
            </w:r>
          </w:p>
        </w:tc>
      </w:tr>
      <w:tr w:rsidR="0015225A" w:rsidRPr="00CC121D" w14:paraId="57305322" w14:textId="77777777" w:rsidTr="00F22B72">
        <w:trPr>
          <w:trHeight w:val="601"/>
          <w:jc w:val="center"/>
        </w:trPr>
        <w:tc>
          <w:tcPr>
            <w:tcW w:w="1853" w:type="dxa"/>
            <w:vMerge/>
            <w:shd w:val="clear" w:color="auto" w:fill="EEECE1" w:themeFill="background2"/>
            <w:vAlign w:val="center"/>
          </w:tcPr>
          <w:p w14:paraId="5730531C" w14:textId="77777777" w:rsidR="0015225A" w:rsidRPr="008D1922" w:rsidRDefault="0015225A" w:rsidP="00D07AFA">
            <w:pPr>
              <w:autoSpaceDE w:val="0"/>
              <w:autoSpaceDN w:val="0"/>
              <w:adjustRightInd w:val="0"/>
              <w:jc w:val="center"/>
              <w:rPr>
                <w:rFonts w:eastAsiaTheme="minorHAnsi" w:cs="Arial"/>
                <w:bCs/>
                <w:sz w:val="18"/>
                <w:szCs w:val="18"/>
              </w:rPr>
            </w:pPr>
          </w:p>
        </w:tc>
        <w:tc>
          <w:tcPr>
            <w:tcW w:w="1497" w:type="dxa"/>
            <w:shd w:val="clear" w:color="auto" w:fill="EEECE1" w:themeFill="background2"/>
            <w:vAlign w:val="center"/>
          </w:tcPr>
          <w:p w14:paraId="5730531D" w14:textId="77777777" w:rsidR="0015225A" w:rsidRPr="008D1922" w:rsidRDefault="0015225A" w:rsidP="00D07AFA">
            <w:pPr>
              <w:autoSpaceDE w:val="0"/>
              <w:autoSpaceDN w:val="0"/>
              <w:adjustRightInd w:val="0"/>
              <w:jc w:val="center"/>
              <w:rPr>
                <w:rFonts w:cs="Arial"/>
                <w:sz w:val="18"/>
                <w:szCs w:val="18"/>
                <w:lang w:eastAsia="en-GB"/>
              </w:rPr>
            </w:pPr>
            <w:r w:rsidRPr="008D1922">
              <w:rPr>
                <w:rFonts w:cs="Arial"/>
                <w:sz w:val="18"/>
                <w:szCs w:val="18"/>
                <w:lang w:eastAsia="en-GB"/>
              </w:rPr>
              <w:t>Safety case content and</w:t>
            </w:r>
          </w:p>
          <w:p w14:paraId="5730531E"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lang w:eastAsia="en-GB"/>
              </w:rPr>
              <w:t>implementation</w:t>
            </w:r>
          </w:p>
        </w:tc>
        <w:tc>
          <w:tcPr>
            <w:tcW w:w="1086" w:type="dxa"/>
            <w:shd w:val="clear" w:color="auto" w:fill="EEECE1" w:themeFill="background2"/>
            <w:vAlign w:val="center"/>
          </w:tcPr>
          <w:p w14:paraId="5730531F"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SC.6</w:t>
            </w:r>
          </w:p>
        </w:tc>
        <w:tc>
          <w:tcPr>
            <w:tcW w:w="5198" w:type="dxa"/>
            <w:shd w:val="clear" w:color="auto" w:fill="EEECE1" w:themeFill="background2"/>
            <w:vAlign w:val="center"/>
          </w:tcPr>
          <w:p w14:paraId="57305320" w14:textId="77777777" w:rsidR="0015225A" w:rsidRPr="008D1922" w:rsidRDefault="0015225A" w:rsidP="00D07AFA">
            <w:pPr>
              <w:widowControl w:val="0"/>
              <w:tabs>
                <w:tab w:val="left" w:pos="720"/>
              </w:tabs>
              <w:jc w:val="center"/>
              <w:rPr>
                <w:rFonts w:eastAsiaTheme="minorHAnsi" w:cs="Arial"/>
                <w:sz w:val="18"/>
                <w:szCs w:val="18"/>
              </w:rPr>
            </w:pPr>
            <w:r w:rsidRPr="008D1922">
              <w:rPr>
                <w:rFonts w:cs="Arial"/>
                <w:sz w:val="18"/>
                <w:szCs w:val="18"/>
                <w:lang w:eastAsia="en-GB"/>
              </w:rPr>
              <w:t>The safety case for a facility or site should identify the important aspects of operation and management required for maintaining safety and how these will be implemented.</w:t>
            </w:r>
          </w:p>
        </w:tc>
      </w:tr>
      <w:tr w:rsidR="0015225A" w:rsidRPr="00CC121D" w14:paraId="57305328" w14:textId="77777777" w:rsidTr="00F22B72">
        <w:trPr>
          <w:trHeight w:val="601"/>
          <w:jc w:val="center"/>
        </w:trPr>
        <w:tc>
          <w:tcPr>
            <w:tcW w:w="1853" w:type="dxa"/>
            <w:vMerge/>
            <w:shd w:val="clear" w:color="auto" w:fill="EEECE1" w:themeFill="background2"/>
            <w:vAlign w:val="center"/>
          </w:tcPr>
          <w:p w14:paraId="57305323" w14:textId="77777777" w:rsidR="0015225A" w:rsidRPr="008D1922" w:rsidRDefault="0015225A" w:rsidP="00D07AFA">
            <w:pPr>
              <w:autoSpaceDE w:val="0"/>
              <w:autoSpaceDN w:val="0"/>
              <w:adjustRightInd w:val="0"/>
              <w:jc w:val="center"/>
              <w:rPr>
                <w:rFonts w:eastAsiaTheme="minorHAnsi" w:cs="Arial"/>
                <w:bCs/>
                <w:sz w:val="18"/>
                <w:szCs w:val="18"/>
              </w:rPr>
            </w:pPr>
          </w:p>
        </w:tc>
        <w:tc>
          <w:tcPr>
            <w:tcW w:w="1497" w:type="dxa"/>
            <w:shd w:val="clear" w:color="auto" w:fill="EEECE1" w:themeFill="background2"/>
            <w:vAlign w:val="center"/>
          </w:tcPr>
          <w:p w14:paraId="57305324" w14:textId="77777777" w:rsidR="0015225A" w:rsidRPr="008D1922" w:rsidRDefault="0015225A" w:rsidP="00D07AFA">
            <w:pPr>
              <w:autoSpaceDE w:val="0"/>
              <w:autoSpaceDN w:val="0"/>
              <w:adjustRightInd w:val="0"/>
              <w:jc w:val="center"/>
              <w:rPr>
                <w:rFonts w:cs="Arial"/>
                <w:sz w:val="18"/>
                <w:szCs w:val="18"/>
                <w:lang w:eastAsia="en-GB"/>
              </w:rPr>
            </w:pPr>
            <w:r w:rsidRPr="008D1922">
              <w:rPr>
                <w:rFonts w:cs="Arial"/>
                <w:sz w:val="18"/>
                <w:szCs w:val="18"/>
                <w:lang w:eastAsia="en-GB"/>
              </w:rPr>
              <w:t>Safety Case maintenance</w:t>
            </w:r>
          </w:p>
        </w:tc>
        <w:tc>
          <w:tcPr>
            <w:tcW w:w="1086" w:type="dxa"/>
            <w:shd w:val="clear" w:color="auto" w:fill="EEECE1" w:themeFill="background2"/>
            <w:vAlign w:val="center"/>
          </w:tcPr>
          <w:p w14:paraId="57305325"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SC.7</w:t>
            </w:r>
          </w:p>
        </w:tc>
        <w:tc>
          <w:tcPr>
            <w:tcW w:w="5198" w:type="dxa"/>
            <w:shd w:val="clear" w:color="auto" w:fill="EEECE1" w:themeFill="background2"/>
            <w:vAlign w:val="center"/>
          </w:tcPr>
          <w:p w14:paraId="57305326" w14:textId="77777777" w:rsidR="0015225A" w:rsidRPr="008D1922" w:rsidRDefault="0015225A" w:rsidP="00D07AFA">
            <w:pPr>
              <w:widowControl w:val="0"/>
              <w:tabs>
                <w:tab w:val="left" w:pos="720"/>
              </w:tabs>
              <w:jc w:val="center"/>
              <w:rPr>
                <w:rFonts w:cs="Arial"/>
                <w:sz w:val="18"/>
                <w:szCs w:val="18"/>
                <w:lang w:eastAsia="en-GB"/>
              </w:rPr>
            </w:pPr>
            <w:r w:rsidRPr="008D1922">
              <w:rPr>
                <w:rFonts w:cs="Arial"/>
                <w:sz w:val="18"/>
                <w:szCs w:val="18"/>
                <w:lang w:eastAsia="en-GB"/>
              </w:rPr>
              <w:t>A safety case should be actively maintained throughout each of the lifecycle stages, and reviewed regularly</w:t>
            </w:r>
          </w:p>
        </w:tc>
      </w:tr>
      <w:tr w:rsidR="0015225A" w:rsidRPr="00CC121D" w14:paraId="5730532E" w14:textId="77777777" w:rsidTr="00F22B72">
        <w:trPr>
          <w:trHeight w:val="601"/>
          <w:jc w:val="center"/>
        </w:trPr>
        <w:tc>
          <w:tcPr>
            <w:tcW w:w="1853" w:type="dxa"/>
            <w:vMerge/>
            <w:shd w:val="clear" w:color="auto" w:fill="EEECE1" w:themeFill="background2"/>
            <w:vAlign w:val="center"/>
          </w:tcPr>
          <w:p w14:paraId="57305329" w14:textId="77777777" w:rsidR="0015225A" w:rsidRPr="008D1922" w:rsidRDefault="0015225A" w:rsidP="00D07AFA">
            <w:pPr>
              <w:autoSpaceDE w:val="0"/>
              <w:autoSpaceDN w:val="0"/>
              <w:adjustRightInd w:val="0"/>
              <w:jc w:val="center"/>
              <w:rPr>
                <w:rFonts w:eastAsiaTheme="minorHAnsi" w:cs="Arial"/>
                <w:bCs/>
                <w:sz w:val="18"/>
                <w:szCs w:val="18"/>
              </w:rPr>
            </w:pPr>
          </w:p>
        </w:tc>
        <w:tc>
          <w:tcPr>
            <w:tcW w:w="1497" w:type="dxa"/>
            <w:shd w:val="clear" w:color="auto" w:fill="EEECE1" w:themeFill="background2"/>
            <w:vAlign w:val="center"/>
          </w:tcPr>
          <w:p w14:paraId="5730532A"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lang w:eastAsia="en-GB"/>
              </w:rPr>
              <w:t>Safety case ownership</w:t>
            </w:r>
          </w:p>
        </w:tc>
        <w:tc>
          <w:tcPr>
            <w:tcW w:w="1086" w:type="dxa"/>
            <w:shd w:val="clear" w:color="auto" w:fill="EEECE1" w:themeFill="background2"/>
            <w:vAlign w:val="center"/>
          </w:tcPr>
          <w:p w14:paraId="5730532B"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SC.8</w:t>
            </w:r>
          </w:p>
        </w:tc>
        <w:tc>
          <w:tcPr>
            <w:tcW w:w="5198" w:type="dxa"/>
            <w:shd w:val="clear" w:color="auto" w:fill="EEECE1" w:themeFill="background2"/>
            <w:vAlign w:val="center"/>
          </w:tcPr>
          <w:p w14:paraId="5730532C" w14:textId="77777777" w:rsidR="0015225A" w:rsidRPr="008D1922" w:rsidRDefault="0015225A" w:rsidP="00D07AFA">
            <w:pPr>
              <w:autoSpaceDE w:val="0"/>
              <w:autoSpaceDN w:val="0"/>
              <w:adjustRightInd w:val="0"/>
              <w:jc w:val="center"/>
              <w:rPr>
                <w:rFonts w:cs="Arial"/>
                <w:sz w:val="18"/>
                <w:szCs w:val="18"/>
                <w:lang w:eastAsia="en-GB"/>
              </w:rPr>
            </w:pPr>
            <w:r w:rsidRPr="008D1922">
              <w:rPr>
                <w:rFonts w:cs="Arial"/>
                <w:sz w:val="18"/>
                <w:szCs w:val="18"/>
                <w:lang w:eastAsia="en-GB"/>
              </w:rPr>
              <w:t xml:space="preserve">Ownership of the safety case should reside within the </w:t>
            </w:r>
            <w:proofErr w:type="spellStart"/>
            <w:r w:rsidRPr="008D1922">
              <w:rPr>
                <w:rFonts w:cs="Arial"/>
                <w:sz w:val="18"/>
                <w:szCs w:val="18"/>
                <w:lang w:eastAsia="en-GB"/>
              </w:rPr>
              <w:t>dutyholder’s</w:t>
            </w:r>
            <w:proofErr w:type="spellEnd"/>
            <w:r w:rsidRPr="008D1922">
              <w:rPr>
                <w:rFonts w:cs="Arial"/>
                <w:sz w:val="18"/>
                <w:szCs w:val="18"/>
                <w:lang w:eastAsia="en-GB"/>
              </w:rPr>
              <w:t xml:space="preserve"> organisation with those who have direct responsibility for safety.</w:t>
            </w:r>
          </w:p>
        </w:tc>
      </w:tr>
      <w:tr w:rsidR="0015225A" w:rsidRPr="00CC121D" w14:paraId="57305335" w14:textId="77777777" w:rsidTr="00F22B72">
        <w:trPr>
          <w:trHeight w:val="601"/>
          <w:jc w:val="center"/>
        </w:trPr>
        <w:tc>
          <w:tcPr>
            <w:tcW w:w="1853" w:type="dxa"/>
            <w:vMerge w:val="restart"/>
            <w:vAlign w:val="center"/>
          </w:tcPr>
          <w:p w14:paraId="5730532F" w14:textId="77777777" w:rsidR="0015225A" w:rsidRPr="008D1922" w:rsidRDefault="0015225A" w:rsidP="00D07AFA">
            <w:pPr>
              <w:autoSpaceDE w:val="0"/>
              <w:autoSpaceDN w:val="0"/>
              <w:adjustRightInd w:val="0"/>
              <w:jc w:val="center"/>
              <w:rPr>
                <w:rFonts w:eastAsiaTheme="minorHAnsi" w:cs="Arial"/>
                <w:bCs/>
                <w:sz w:val="18"/>
                <w:szCs w:val="18"/>
              </w:rPr>
            </w:pPr>
            <w:r w:rsidRPr="008D1922">
              <w:rPr>
                <w:rFonts w:cs="Arial"/>
                <w:sz w:val="18"/>
                <w:szCs w:val="18"/>
              </w:rPr>
              <w:t>Siting</w:t>
            </w:r>
          </w:p>
        </w:tc>
        <w:tc>
          <w:tcPr>
            <w:tcW w:w="1497" w:type="dxa"/>
            <w:vAlign w:val="center"/>
          </w:tcPr>
          <w:p w14:paraId="57305330"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Development control planning advice</w:t>
            </w:r>
          </w:p>
        </w:tc>
        <w:tc>
          <w:tcPr>
            <w:tcW w:w="1086" w:type="dxa"/>
            <w:vAlign w:val="center"/>
          </w:tcPr>
          <w:p w14:paraId="57305331"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ST.1</w:t>
            </w:r>
          </w:p>
        </w:tc>
        <w:tc>
          <w:tcPr>
            <w:tcW w:w="5198" w:type="dxa"/>
            <w:vAlign w:val="center"/>
          </w:tcPr>
          <w:p w14:paraId="57305332" w14:textId="77777777" w:rsidR="0015225A" w:rsidRPr="008D1922" w:rsidRDefault="0015225A" w:rsidP="00D07AFA">
            <w:pPr>
              <w:autoSpaceDE w:val="0"/>
              <w:autoSpaceDN w:val="0"/>
              <w:adjustRightInd w:val="0"/>
              <w:jc w:val="center"/>
              <w:rPr>
                <w:rFonts w:eastAsiaTheme="minorHAnsi" w:cs="Arial"/>
                <w:sz w:val="18"/>
                <w:szCs w:val="18"/>
              </w:rPr>
            </w:pPr>
            <w:r w:rsidRPr="008D1922">
              <w:rPr>
                <w:rFonts w:eastAsiaTheme="minorHAnsi" w:cs="Arial"/>
                <w:sz w:val="18"/>
                <w:szCs w:val="18"/>
              </w:rPr>
              <w:t>Development control planning advice provided by ONR should align with siting criteria set by</w:t>
            </w:r>
          </w:p>
          <w:p w14:paraId="57305333" w14:textId="77777777" w:rsidR="0015225A" w:rsidRPr="008D1922" w:rsidRDefault="0015225A" w:rsidP="00D07AFA">
            <w:pPr>
              <w:widowControl w:val="0"/>
              <w:tabs>
                <w:tab w:val="left" w:pos="720"/>
              </w:tabs>
              <w:jc w:val="center"/>
              <w:rPr>
                <w:rFonts w:eastAsiaTheme="minorHAnsi" w:cs="Arial"/>
                <w:sz w:val="18"/>
                <w:szCs w:val="18"/>
              </w:rPr>
            </w:pPr>
            <w:r w:rsidRPr="008D1922">
              <w:rPr>
                <w:rFonts w:eastAsiaTheme="minorHAnsi" w:cs="Arial"/>
                <w:sz w:val="18"/>
                <w:szCs w:val="18"/>
              </w:rPr>
              <w:t>Government policy.</w:t>
            </w:r>
          </w:p>
        </w:tc>
      </w:tr>
      <w:tr w:rsidR="0015225A" w:rsidRPr="00CC121D" w14:paraId="5730533C" w14:textId="77777777" w:rsidTr="00F22B72">
        <w:trPr>
          <w:trHeight w:val="601"/>
          <w:jc w:val="center"/>
        </w:trPr>
        <w:tc>
          <w:tcPr>
            <w:tcW w:w="1853" w:type="dxa"/>
            <w:vMerge/>
            <w:vAlign w:val="center"/>
          </w:tcPr>
          <w:p w14:paraId="57305336" w14:textId="77777777" w:rsidR="0015225A" w:rsidRPr="008D1922" w:rsidRDefault="0015225A" w:rsidP="00D07AFA">
            <w:pPr>
              <w:autoSpaceDE w:val="0"/>
              <w:autoSpaceDN w:val="0"/>
              <w:adjustRightInd w:val="0"/>
              <w:jc w:val="center"/>
              <w:rPr>
                <w:rFonts w:eastAsiaTheme="minorHAnsi" w:cs="Arial"/>
                <w:bCs/>
                <w:sz w:val="18"/>
                <w:szCs w:val="18"/>
              </w:rPr>
            </w:pPr>
          </w:p>
        </w:tc>
        <w:tc>
          <w:tcPr>
            <w:tcW w:w="1497" w:type="dxa"/>
            <w:vAlign w:val="center"/>
          </w:tcPr>
          <w:p w14:paraId="57305337"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Suitability of the site</w:t>
            </w:r>
          </w:p>
        </w:tc>
        <w:tc>
          <w:tcPr>
            <w:tcW w:w="1086" w:type="dxa"/>
            <w:vAlign w:val="center"/>
          </w:tcPr>
          <w:p w14:paraId="57305338"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ST.4</w:t>
            </w:r>
          </w:p>
        </w:tc>
        <w:tc>
          <w:tcPr>
            <w:tcW w:w="5198" w:type="dxa"/>
            <w:vAlign w:val="center"/>
          </w:tcPr>
          <w:p w14:paraId="57305339" w14:textId="77777777" w:rsidR="0015225A" w:rsidRPr="008D1922" w:rsidRDefault="0015225A" w:rsidP="00D07AFA">
            <w:pPr>
              <w:autoSpaceDE w:val="0"/>
              <w:autoSpaceDN w:val="0"/>
              <w:adjustRightInd w:val="0"/>
              <w:jc w:val="center"/>
              <w:rPr>
                <w:rFonts w:eastAsiaTheme="minorHAnsi" w:cs="Arial"/>
                <w:sz w:val="18"/>
                <w:szCs w:val="18"/>
              </w:rPr>
            </w:pPr>
            <w:r w:rsidRPr="008D1922">
              <w:rPr>
                <w:rFonts w:eastAsiaTheme="minorHAnsi" w:cs="Arial"/>
                <w:sz w:val="18"/>
                <w:szCs w:val="18"/>
              </w:rPr>
              <w:t>The suitability of the site to support safe nuclear operations should be assessed prior to</w:t>
            </w:r>
          </w:p>
          <w:p w14:paraId="5730533A" w14:textId="77777777" w:rsidR="0015225A" w:rsidRPr="008D1922" w:rsidRDefault="0015225A" w:rsidP="00D07AFA">
            <w:pPr>
              <w:widowControl w:val="0"/>
              <w:tabs>
                <w:tab w:val="left" w:pos="720"/>
              </w:tabs>
              <w:jc w:val="center"/>
              <w:rPr>
                <w:rFonts w:eastAsiaTheme="minorHAnsi" w:cs="Arial"/>
                <w:sz w:val="18"/>
                <w:szCs w:val="18"/>
              </w:rPr>
            </w:pPr>
            <w:r w:rsidRPr="008D1922">
              <w:rPr>
                <w:rFonts w:eastAsiaTheme="minorHAnsi" w:cs="Arial"/>
                <w:sz w:val="18"/>
                <w:szCs w:val="18"/>
              </w:rPr>
              <w:t>granting a new site licence</w:t>
            </w:r>
          </w:p>
        </w:tc>
      </w:tr>
      <w:tr w:rsidR="0015225A" w:rsidRPr="00CC121D" w14:paraId="57305345" w14:textId="77777777" w:rsidTr="00F22B72">
        <w:trPr>
          <w:trHeight w:val="601"/>
          <w:jc w:val="center"/>
        </w:trPr>
        <w:tc>
          <w:tcPr>
            <w:tcW w:w="1853" w:type="dxa"/>
            <w:vMerge w:val="restart"/>
            <w:shd w:val="clear" w:color="auto" w:fill="EEECE1" w:themeFill="background2"/>
            <w:vAlign w:val="center"/>
            <w:hideMark/>
          </w:tcPr>
          <w:p w14:paraId="5730533D" w14:textId="77777777" w:rsidR="0015225A" w:rsidRPr="008D1922" w:rsidRDefault="0015225A" w:rsidP="00D07AFA">
            <w:pPr>
              <w:autoSpaceDE w:val="0"/>
              <w:autoSpaceDN w:val="0"/>
              <w:adjustRightInd w:val="0"/>
              <w:jc w:val="center"/>
              <w:rPr>
                <w:rFonts w:eastAsiaTheme="minorHAnsi" w:cs="Arial"/>
                <w:bCs/>
                <w:sz w:val="18"/>
                <w:szCs w:val="18"/>
              </w:rPr>
            </w:pPr>
            <w:r w:rsidRPr="008D1922">
              <w:rPr>
                <w:rFonts w:eastAsiaTheme="minorHAnsi" w:cs="Arial"/>
                <w:bCs/>
                <w:sz w:val="18"/>
                <w:szCs w:val="18"/>
              </w:rPr>
              <w:t>Engineering principles: key</w:t>
            </w:r>
          </w:p>
          <w:p w14:paraId="5730533E" w14:textId="77777777" w:rsidR="0015225A" w:rsidRPr="008D1922" w:rsidRDefault="0015225A" w:rsidP="00D07AFA">
            <w:pPr>
              <w:widowControl w:val="0"/>
              <w:tabs>
                <w:tab w:val="left" w:pos="720"/>
              </w:tabs>
              <w:jc w:val="center"/>
              <w:rPr>
                <w:rFonts w:cs="Arial"/>
                <w:sz w:val="18"/>
                <w:szCs w:val="18"/>
              </w:rPr>
            </w:pPr>
            <w:r w:rsidRPr="008D1922">
              <w:rPr>
                <w:rFonts w:eastAsiaTheme="minorHAnsi" w:cs="Arial"/>
                <w:bCs/>
                <w:sz w:val="18"/>
                <w:szCs w:val="18"/>
              </w:rPr>
              <w:t>principles</w:t>
            </w:r>
          </w:p>
        </w:tc>
        <w:tc>
          <w:tcPr>
            <w:tcW w:w="1497" w:type="dxa"/>
            <w:shd w:val="clear" w:color="auto" w:fill="EEECE1" w:themeFill="background2"/>
            <w:vAlign w:val="center"/>
          </w:tcPr>
          <w:p w14:paraId="5730533F"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Defence in depth</w:t>
            </w:r>
          </w:p>
        </w:tc>
        <w:tc>
          <w:tcPr>
            <w:tcW w:w="1086" w:type="dxa"/>
            <w:shd w:val="clear" w:color="auto" w:fill="EEECE1" w:themeFill="background2"/>
            <w:vAlign w:val="center"/>
          </w:tcPr>
          <w:p w14:paraId="57305340"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EKP.3</w:t>
            </w:r>
          </w:p>
        </w:tc>
        <w:tc>
          <w:tcPr>
            <w:tcW w:w="5198" w:type="dxa"/>
            <w:shd w:val="clear" w:color="auto" w:fill="EEECE1" w:themeFill="background2"/>
            <w:vAlign w:val="center"/>
          </w:tcPr>
          <w:p w14:paraId="57305341" w14:textId="77777777" w:rsidR="0015225A" w:rsidRPr="008D1922" w:rsidRDefault="0015225A" w:rsidP="00D07AFA">
            <w:pPr>
              <w:widowControl w:val="0"/>
              <w:tabs>
                <w:tab w:val="left" w:pos="720"/>
              </w:tabs>
              <w:jc w:val="center"/>
              <w:rPr>
                <w:rFonts w:cs="Arial"/>
                <w:sz w:val="18"/>
                <w:szCs w:val="18"/>
              </w:rPr>
            </w:pPr>
            <w:r w:rsidRPr="008D1922">
              <w:rPr>
                <w:rFonts w:eastAsiaTheme="minorHAnsi" w:cs="Arial"/>
                <w:sz w:val="18"/>
                <w:szCs w:val="18"/>
              </w:rPr>
              <w:t>Nuclear facilities should be designed and operated so that defence in depth against potentially significant faults or failures is achieved by the provision of multiple independent barriers to fault progression.</w:t>
            </w:r>
          </w:p>
        </w:tc>
      </w:tr>
      <w:tr w:rsidR="0015225A" w:rsidRPr="00CC121D" w14:paraId="5730534B" w14:textId="77777777" w:rsidTr="00F22B72">
        <w:trPr>
          <w:trHeight w:val="601"/>
          <w:jc w:val="center"/>
        </w:trPr>
        <w:tc>
          <w:tcPr>
            <w:tcW w:w="1853" w:type="dxa"/>
            <w:vMerge/>
            <w:shd w:val="clear" w:color="auto" w:fill="EEECE1" w:themeFill="background2"/>
            <w:vAlign w:val="center"/>
          </w:tcPr>
          <w:p w14:paraId="57305346" w14:textId="77777777" w:rsidR="0015225A" w:rsidRPr="008D1922" w:rsidRDefault="0015225A" w:rsidP="00D07AFA">
            <w:pPr>
              <w:widowControl w:val="0"/>
              <w:tabs>
                <w:tab w:val="left" w:pos="720"/>
              </w:tabs>
              <w:jc w:val="center"/>
              <w:rPr>
                <w:rFonts w:cs="Arial"/>
                <w:sz w:val="18"/>
                <w:szCs w:val="18"/>
              </w:rPr>
            </w:pPr>
          </w:p>
        </w:tc>
        <w:tc>
          <w:tcPr>
            <w:tcW w:w="1497" w:type="dxa"/>
            <w:shd w:val="clear" w:color="auto" w:fill="EEECE1" w:themeFill="background2"/>
            <w:vAlign w:val="center"/>
          </w:tcPr>
          <w:p w14:paraId="57305347"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Safety function</w:t>
            </w:r>
          </w:p>
        </w:tc>
        <w:tc>
          <w:tcPr>
            <w:tcW w:w="1086" w:type="dxa"/>
            <w:shd w:val="clear" w:color="auto" w:fill="EEECE1" w:themeFill="background2"/>
            <w:vAlign w:val="center"/>
          </w:tcPr>
          <w:p w14:paraId="57305348"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EKP.4</w:t>
            </w:r>
          </w:p>
        </w:tc>
        <w:tc>
          <w:tcPr>
            <w:tcW w:w="5198" w:type="dxa"/>
            <w:shd w:val="clear" w:color="auto" w:fill="EEECE1" w:themeFill="background2"/>
            <w:vAlign w:val="center"/>
          </w:tcPr>
          <w:p w14:paraId="57305349" w14:textId="77777777" w:rsidR="0015225A" w:rsidRPr="008D1922" w:rsidRDefault="0015225A" w:rsidP="00D07AFA">
            <w:pPr>
              <w:widowControl w:val="0"/>
              <w:tabs>
                <w:tab w:val="left" w:pos="720"/>
              </w:tabs>
              <w:jc w:val="center"/>
              <w:rPr>
                <w:rFonts w:cs="Arial"/>
                <w:sz w:val="18"/>
                <w:szCs w:val="18"/>
              </w:rPr>
            </w:pPr>
            <w:r w:rsidRPr="008D1922">
              <w:rPr>
                <w:rFonts w:eastAsiaTheme="minorHAnsi" w:cs="Arial"/>
                <w:sz w:val="18"/>
                <w:szCs w:val="18"/>
              </w:rPr>
              <w:t>The safety function(s) to be delivered within the facility should be identified by a structured analysis</w:t>
            </w:r>
          </w:p>
        </w:tc>
      </w:tr>
      <w:tr w:rsidR="0015225A" w:rsidRPr="00CC121D" w14:paraId="57305351" w14:textId="77777777" w:rsidTr="00F22B72">
        <w:trPr>
          <w:trHeight w:val="647"/>
          <w:jc w:val="center"/>
        </w:trPr>
        <w:tc>
          <w:tcPr>
            <w:tcW w:w="1853" w:type="dxa"/>
            <w:vMerge/>
            <w:shd w:val="clear" w:color="auto" w:fill="EEECE1" w:themeFill="background2"/>
            <w:vAlign w:val="center"/>
            <w:hideMark/>
          </w:tcPr>
          <w:p w14:paraId="5730534C" w14:textId="77777777" w:rsidR="0015225A" w:rsidRPr="008D1922" w:rsidRDefault="0015225A" w:rsidP="00D07AFA">
            <w:pPr>
              <w:widowControl w:val="0"/>
              <w:tabs>
                <w:tab w:val="left" w:pos="720"/>
              </w:tabs>
              <w:spacing w:after="120"/>
              <w:jc w:val="center"/>
              <w:rPr>
                <w:rFonts w:cs="Arial"/>
                <w:sz w:val="18"/>
                <w:szCs w:val="18"/>
              </w:rPr>
            </w:pPr>
          </w:p>
        </w:tc>
        <w:tc>
          <w:tcPr>
            <w:tcW w:w="1497" w:type="dxa"/>
            <w:shd w:val="clear" w:color="auto" w:fill="EEECE1" w:themeFill="background2"/>
            <w:vAlign w:val="center"/>
          </w:tcPr>
          <w:p w14:paraId="5730534D"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Safety Measures</w:t>
            </w:r>
          </w:p>
        </w:tc>
        <w:tc>
          <w:tcPr>
            <w:tcW w:w="1086" w:type="dxa"/>
            <w:shd w:val="clear" w:color="auto" w:fill="EEECE1" w:themeFill="background2"/>
            <w:vAlign w:val="center"/>
          </w:tcPr>
          <w:p w14:paraId="5730534E"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EKP.5</w:t>
            </w:r>
          </w:p>
        </w:tc>
        <w:tc>
          <w:tcPr>
            <w:tcW w:w="5198" w:type="dxa"/>
            <w:shd w:val="clear" w:color="auto" w:fill="EEECE1" w:themeFill="background2"/>
            <w:vAlign w:val="center"/>
          </w:tcPr>
          <w:p w14:paraId="5730534F" w14:textId="77777777" w:rsidR="0015225A" w:rsidRPr="008D1922" w:rsidRDefault="0015225A" w:rsidP="00D07AFA">
            <w:pPr>
              <w:widowControl w:val="0"/>
              <w:tabs>
                <w:tab w:val="left" w:pos="720"/>
              </w:tabs>
              <w:jc w:val="center"/>
              <w:rPr>
                <w:rFonts w:cs="Arial"/>
                <w:sz w:val="18"/>
                <w:szCs w:val="18"/>
              </w:rPr>
            </w:pPr>
            <w:r w:rsidRPr="008D1922">
              <w:rPr>
                <w:rFonts w:eastAsiaTheme="minorHAnsi" w:cs="Arial"/>
                <w:sz w:val="18"/>
                <w:szCs w:val="18"/>
              </w:rPr>
              <w:t>The safety function(s) to be delivered within the facility should be identified by a structured analysis</w:t>
            </w:r>
          </w:p>
        </w:tc>
      </w:tr>
      <w:tr w:rsidR="0015225A" w:rsidRPr="00CC121D" w14:paraId="5730535C" w14:textId="77777777" w:rsidTr="00F22B72">
        <w:trPr>
          <w:jc w:val="center"/>
        </w:trPr>
        <w:tc>
          <w:tcPr>
            <w:tcW w:w="1853" w:type="dxa"/>
            <w:vMerge w:val="restart"/>
            <w:vAlign w:val="center"/>
          </w:tcPr>
          <w:p w14:paraId="57305352" w14:textId="77777777" w:rsidR="0015225A" w:rsidRPr="008D1922" w:rsidRDefault="0015225A" w:rsidP="00D07AFA">
            <w:pPr>
              <w:autoSpaceDE w:val="0"/>
              <w:autoSpaceDN w:val="0"/>
              <w:adjustRightInd w:val="0"/>
              <w:jc w:val="center"/>
              <w:rPr>
                <w:rFonts w:eastAsiaTheme="minorHAnsi" w:cs="Arial"/>
                <w:bCs/>
                <w:sz w:val="18"/>
                <w:szCs w:val="18"/>
              </w:rPr>
            </w:pPr>
            <w:r w:rsidRPr="008D1922">
              <w:rPr>
                <w:rFonts w:eastAsiaTheme="minorHAnsi" w:cs="Arial"/>
                <w:bCs/>
                <w:sz w:val="18"/>
                <w:szCs w:val="18"/>
              </w:rPr>
              <w:t>Engineering principles: safety</w:t>
            </w:r>
          </w:p>
          <w:p w14:paraId="57305353" w14:textId="77777777" w:rsidR="0015225A" w:rsidRPr="008D1922" w:rsidRDefault="0015225A" w:rsidP="00D07AFA">
            <w:pPr>
              <w:widowControl w:val="0"/>
              <w:tabs>
                <w:tab w:val="left" w:pos="720"/>
              </w:tabs>
              <w:jc w:val="center"/>
              <w:rPr>
                <w:rFonts w:cs="Arial"/>
                <w:sz w:val="18"/>
                <w:szCs w:val="18"/>
              </w:rPr>
            </w:pPr>
            <w:r w:rsidRPr="008D1922">
              <w:rPr>
                <w:rFonts w:eastAsiaTheme="minorHAnsi" w:cs="Arial"/>
                <w:bCs/>
                <w:sz w:val="18"/>
                <w:szCs w:val="18"/>
              </w:rPr>
              <w:t>classification and standards</w:t>
            </w:r>
          </w:p>
        </w:tc>
        <w:tc>
          <w:tcPr>
            <w:tcW w:w="1497" w:type="dxa"/>
            <w:vAlign w:val="center"/>
          </w:tcPr>
          <w:p w14:paraId="57305354"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Safety Categorisation</w:t>
            </w:r>
          </w:p>
        </w:tc>
        <w:tc>
          <w:tcPr>
            <w:tcW w:w="1086" w:type="dxa"/>
            <w:vAlign w:val="center"/>
          </w:tcPr>
          <w:p w14:paraId="57305355"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ECS.1</w:t>
            </w:r>
          </w:p>
          <w:p w14:paraId="57305356" w14:textId="77777777" w:rsidR="0015225A" w:rsidRPr="008D1922" w:rsidRDefault="0015225A" w:rsidP="00D07AFA">
            <w:pPr>
              <w:jc w:val="center"/>
              <w:rPr>
                <w:rFonts w:cs="Arial"/>
                <w:sz w:val="18"/>
                <w:szCs w:val="18"/>
              </w:rPr>
            </w:pPr>
          </w:p>
          <w:p w14:paraId="57305357" w14:textId="77777777" w:rsidR="0015225A" w:rsidRPr="008D1922" w:rsidRDefault="0015225A" w:rsidP="00D07AFA">
            <w:pPr>
              <w:jc w:val="center"/>
              <w:rPr>
                <w:rFonts w:cs="Arial"/>
                <w:sz w:val="18"/>
                <w:szCs w:val="18"/>
              </w:rPr>
            </w:pPr>
          </w:p>
          <w:p w14:paraId="57305358" w14:textId="77777777" w:rsidR="0015225A" w:rsidRPr="008D1922" w:rsidRDefault="0015225A" w:rsidP="00D07AFA">
            <w:pPr>
              <w:jc w:val="center"/>
              <w:rPr>
                <w:rFonts w:cs="Arial"/>
                <w:sz w:val="18"/>
                <w:szCs w:val="18"/>
              </w:rPr>
            </w:pPr>
          </w:p>
        </w:tc>
        <w:tc>
          <w:tcPr>
            <w:tcW w:w="5198" w:type="dxa"/>
            <w:vAlign w:val="center"/>
          </w:tcPr>
          <w:p w14:paraId="57305359" w14:textId="77777777" w:rsidR="0015225A" w:rsidRPr="008D1922" w:rsidRDefault="0015225A" w:rsidP="00D07AFA">
            <w:pPr>
              <w:autoSpaceDE w:val="0"/>
              <w:autoSpaceDN w:val="0"/>
              <w:adjustRightInd w:val="0"/>
              <w:jc w:val="center"/>
              <w:rPr>
                <w:rFonts w:eastAsiaTheme="minorHAnsi" w:cs="Arial"/>
                <w:sz w:val="18"/>
                <w:szCs w:val="18"/>
              </w:rPr>
            </w:pPr>
            <w:r w:rsidRPr="008D1922">
              <w:rPr>
                <w:rFonts w:eastAsiaTheme="minorHAnsi" w:cs="Arial"/>
                <w:sz w:val="18"/>
                <w:szCs w:val="18"/>
              </w:rPr>
              <w:t>The safety functions to be delivered within the facility, both during normal operation and in</w:t>
            </w:r>
          </w:p>
          <w:p w14:paraId="5730535A" w14:textId="77777777" w:rsidR="0015225A" w:rsidRPr="008D1922" w:rsidRDefault="0015225A" w:rsidP="00D07AFA">
            <w:pPr>
              <w:widowControl w:val="0"/>
              <w:tabs>
                <w:tab w:val="left" w:pos="720"/>
              </w:tabs>
              <w:jc w:val="center"/>
              <w:rPr>
                <w:rFonts w:cs="Arial"/>
                <w:sz w:val="18"/>
                <w:szCs w:val="18"/>
              </w:rPr>
            </w:pPr>
            <w:r w:rsidRPr="008D1922">
              <w:rPr>
                <w:rFonts w:eastAsiaTheme="minorHAnsi" w:cs="Arial"/>
                <w:sz w:val="18"/>
                <w:szCs w:val="18"/>
              </w:rPr>
              <w:t>the event of a fault or accident, should be identified and then categorised based on their significance with regard to safety.</w:t>
            </w:r>
          </w:p>
        </w:tc>
      </w:tr>
      <w:tr w:rsidR="0015225A" w:rsidRPr="00CC121D" w14:paraId="57305364" w14:textId="77777777" w:rsidTr="00F22B72">
        <w:trPr>
          <w:jc w:val="center"/>
        </w:trPr>
        <w:tc>
          <w:tcPr>
            <w:tcW w:w="1853" w:type="dxa"/>
            <w:vMerge/>
            <w:vAlign w:val="center"/>
          </w:tcPr>
          <w:p w14:paraId="5730535D" w14:textId="77777777" w:rsidR="0015225A" w:rsidRPr="008D1922" w:rsidRDefault="0015225A" w:rsidP="00D07AFA">
            <w:pPr>
              <w:widowControl w:val="0"/>
              <w:tabs>
                <w:tab w:val="left" w:pos="720"/>
              </w:tabs>
              <w:spacing w:after="120"/>
              <w:jc w:val="center"/>
              <w:rPr>
                <w:rFonts w:cs="Arial"/>
                <w:sz w:val="18"/>
                <w:szCs w:val="18"/>
              </w:rPr>
            </w:pPr>
          </w:p>
        </w:tc>
        <w:tc>
          <w:tcPr>
            <w:tcW w:w="1497" w:type="dxa"/>
            <w:vAlign w:val="center"/>
          </w:tcPr>
          <w:p w14:paraId="5730535E" w14:textId="77777777" w:rsidR="0015225A" w:rsidRPr="008D1922" w:rsidRDefault="0015225A" w:rsidP="00D07AFA">
            <w:pPr>
              <w:autoSpaceDE w:val="0"/>
              <w:autoSpaceDN w:val="0"/>
              <w:adjustRightInd w:val="0"/>
              <w:jc w:val="center"/>
              <w:rPr>
                <w:rFonts w:eastAsiaTheme="minorHAnsi" w:cs="Arial"/>
                <w:sz w:val="18"/>
                <w:szCs w:val="18"/>
              </w:rPr>
            </w:pPr>
            <w:r w:rsidRPr="008D1922">
              <w:rPr>
                <w:rFonts w:eastAsiaTheme="minorHAnsi" w:cs="Arial"/>
                <w:sz w:val="18"/>
                <w:szCs w:val="18"/>
              </w:rPr>
              <w:t>Safety classification of structures,</w:t>
            </w:r>
          </w:p>
          <w:p w14:paraId="5730535F" w14:textId="77777777" w:rsidR="0015225A" w:rsidRPr="008D1922" w:rsidRDefault="0015225A" w:rsidP="00D07AFA">
            <w:pPr>
              <w:widowControl w:val="0"/>
              <w:tabs>
                <w:tab w:val="left" w:pos="720"/>
              </w:tabs>
              <w:jc w:val="center"/>
              <w:rPr>
                <w:rFonts w:cs="Arial"/>
                <w:sz w:val="18"/>
                <w:szCs w:val="18"/>
              </w:rPr>
            </w:pPr>
            <w:r w:rsidRPr="008D1922">
              <w:rPr>
                <w:rFonts w:eastAsiaTheme="minorHAnsi" w:cs="Arial"/>
                <w:sz w:val="18"/>
                <w:szCs w:val="18"/>
              </w:rPr>
              <w:t>systems and components</w:t>
            </w:r>
          </w:p>
        </w:tc>
        <w:tc>
          <w:tcPr>
            <w:tcW w:w="1086" w:type="dxa"/>
            <w:vAlign w:val="center"/>
          </w:tcPr>
          <w:p w14:paraId="57305360"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ECS.2</w:t>
            </w:r>
          </w:p>
          <w:p w14:paraId="57305361" w14:textId="77777777" w:rsidR="0015225A" w:rsidRPr="008D1922" w:rsidRDefault="0015225A" w:rsidP="00D07AFA">
            <w:pPr>
              <w:widowControl w:val="0"/>
              <w:tabs>
                <w:tab w:val="left" w:pos="720"/>
              </w:tabs>
              <w:jc w:val="center"/>
              <w:rPr>
                <w:rFonts w:cs="Arial"/>
                <w:sz w:val="18"/>
                <w:szCs w:val="18"/>
              </w:rPr>
            </w:pPr>
          </w:p>
        </w:tc>
        <w:tc>
          <w:tcPr>
            <w:tcW w:w="5198" w:type="dxa"/>
            <w:vAlign w:val="center"/>
          </w:tcPr>
          <w:p w14:paraId="57305362" w14:textId="77777777" w:rsidR="0015225A" w:rsidRPr="008D1922" w:rsidRDefault="0015225A" w:rsidP="00D07AFA">
            <w:pPr>
              <w:widowControl w:val="0"/>
              <w:tabs>
                <w:tab w:val="left" w:pos="720"/>
              </w:tabs>
              <w:jc w:val="center"/>
              <w:rPr>
                <w:rFonts w:cs="Arial"/>
                <w:sz w:val="18"/>
                <w:szCs w:val="18"/>
              </w:rPr>
            </w:pPr>
            <w:r w:rsidRPr="008D1922">
              <w:rPr>
                <w:rFonts w:eastAsiaTheme="minorHAnsi" w:cs="Arial"/>
                <w:sz w:val="18"/>
                <w:szCs w:val="18"/>
              </w:rPr>
              <w:t>Structures, systems and components that have to deliver safety functions should be identified and classified on the basis of those functions and their significance to safety.</w:t>
            </w:r>
          </w:p>
        </w:tc>
      </w:tr>
      <w:tr w:rsidR="0015225A" w:rsidRPr="00CC121D" w14:paraId="5730536A" w14:textId="77777777" w:rsidTr="00F22B72">
        <w:trPr>
          <w:jc w:val="center"/>
        </w:trPr>
        <w:tc>
          <w:tcPr>
            <w:tcW w:w="1853" w:type="dxa"/>
            <w:vMerge/>
            <w:vAlign w:val="center"/>
          </w:tcPr>
          <w:p w14:paraId="57305365" w14:textId="77777777" w:rsidR="0015225A" w:rsidRPr="008D1922" w:rsidRDefault="0015225A" w:rsidP="00D07AFA">
            <w:pPr>
              <w:widowControl w:val="0"/>
              <w:tabs>
                <w:tab w:val="left" w:pos="720"/>
              </w:tabs>
              <w:jc w:val="center"/>
              <w:rPr>
                <w:rFonts w:cs="Arial"/>
                <w:sz w:val="18"/>
                <w:szCs w:val="18"/>
              </w:rPr>
            </w:pPr>
          </w:p>
        </w:tc>
        <w:tc>
          <w:tcPr>
            <w:tcW w:w="1497" w:type="dxa"/>
            <w:vAlign w:val="center"/>
          </w:tcPr>
          <w:p w14:paraId="57305366"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lang w:eastAsia="en-GB"/>
              </w:rPr>
              <w:t>Codes and standards</w:t>
            </w:r>
          </w:p>
        </w:tc>
        <w:tc>
          <w:tcPr>
            <w:tcW w:w="1086" w:type="dxa"/>
            <w:vAlign w:val="center"/>
          </w:tcPr>
          <w:p w14:paraId="57305367"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ECS.3</w:t>
            </w:r>
          </w:p>
        </w:tc>
        <w:tc>
          <w:tcPr>
            <w:tcW w:w="5198" w:type="dxa"/>
            <w:vAlign w:val="center"/>
          </w:tcPr>
          <w:p w14:paraId="57305368"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lang w:eastAsia="en-GB"/>
              </w:rPr>
              <w:t>Structures, systems and components that are important to safety should be designed, manufactured, constructed, installed, commissioned, quality assured, maintained, tested and inspected to the appropriate codes and standards.</w:t>
            </w:r>
          </w:p>
        </w:tc>
      </w:tr>
      <w:tr w:rsidR="0015225A" w:rsidRPr="00CC121D" w14:paraId="57305371" w14:textId="77777777" w:rsidTr="00F22B72">
        <w:trPr>
          <w:jc w:val="center"/>
        </w:trPr>
        <w:tc>
          <w:tcPr>
            <w:tcW w:w="1853" w:type="dxa"/>
            <w:vMerge/>
            <w:vAlign w:val="center"/>
          </w:tcPr>
          <w:p w14:paraId="5730536B" w14:textId="77777777" w:rsidR="0015225A" w:rsidRPr="008D1922" w:rsidRDefault="0015225A" w:rsidP="00D07AFA">
            <w:pPr>
              <w:widowControl w:val="0"/>
              <w:tabs>
                <w:tab w:val="left" w:pos="720"/>
              </w:tabs>
              <w:jc w:val="center"/>
              <w:rPr>
                <w:rFonts w:cs="Arial"/>
                <w:sz w:val="18"/>
                <w:szCs w:val="18"/>
              </w:rPr>
            </w:pPr>
          </w:p>
        </w:tc>
        <w:tc>
          <w:tcPr>
            <w:tcW w:w="1497" w:type="dxa"/>
            <w:vAlign w:val="center"/>
          </w:tcPr>
          <w:p w14:paraId="5730536C" w14:textId="77777777" w:rsidR="0015225A" w:rsidRPr="008D1922" w:rsidRDefault="0015225A" w:rsidP="00D07AFA">
            <w:pPr>
              <w:autoSpaceDE w:val="0"/>
              <w:autoSpaceDN w:val="0"/>
              <w:adjustRightInd w:val="0"/>
              <w:jc w:val="center"/>
              <w:rPr>
                <w:rFonts w:cs="Arial"/>
                <w:sz w:val="18"/>
                <w:szCs w:val="18"/>
                <w:lang w:eastAsia="en-GB"/>
              </w:rPr>
            </w:pPr>
            <w:r w:rsidRPr="008D1922">
              <w:rPr>
                <w:rFonts w:cs="Arial"/>
                <w:sz w:val="18"/>
                <w:szCs w:val="18"/>
                <w:lang w:eastAsia="en-GB"/>
              </w:rPr>
              <w:t>Absence of established codes and</w:t>
            </w:r>
          </w:p>
          <w:p w14:paraId="5730536D"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lang w:eastAsia="en-GB"/>
              </w:rPr>
              <w:t>standards</w:t>
            </w:r>
          </w:p>
        </w:tc>
        <w:tc>
          <w:tcPr>
            <w:tcW w:w="1086" w:type="dxa"/>
            <w:vAlign w:val="center"/>
          </w:tcPr>
          <w:p w14:paraId="5730536E"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ECS.4</w:t>
            </w:r>
          </w:p>
        </w:tc>
        <w:tc>
          <w:tcPr>
            <w:tcW w:w="5198" w:type="dxa"/>
            <w:vAlign w:val="center"/>
          </w:tcPr>
          <w:p w14:paraId="5730536F"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lang w:eastAsia="en-GB"/>
              </w:rPr>
              <w:t>Where there are no appropriate established codes or standards, an approach derived from existing codes or standards for similar equipment, in applications with similar safety significance, should be adopted.</w:t>
            </w:r>
          </w:p>
        </w:tc>
      </w:tr>
      <w:tr w:rsidR="0015225A" w:rsidRPr="00CC121D" w14:paraId="57305377" w14:textId="77777777" w:rsidTr="00F22B72">
        <w:trPr>
          <w:jc w:val="center"/>
        </w:trPr>
        <w:tc>
          <w:tcPr>
            <w:tcW w:w="1853" w:type="dxa"/>
            <w:vMerge/>
            <w:vAlign w:val="center"/>
          </w:tcPr>
          <w:p w14:paraId="57305372" w14:textId="77777777" w:rsidR="0015225A" w:rsidRPr="008D1922" w:rsidRDefault="0015225A" w:rsidP="00D07AFA">
            <w:pPr>
              <w:widowControl w:val="0"/>
              <w:tabs>
                <w:tab w:val="left" w:pos="720"/>
              </w:tabs>
              <w:jc w:val="center"/>
              <w:rPr>
                <w:rFonts w:cs="Arial"/>
                <w:sz w:val="18"/>
                <w:szCs w:val="18"/>
              </w:rPr>
            </w:pPr>
          </w:p>
        </w:tc>
        <w:tc>
          <w:tcPr>
            <w:tcW w:w="1497" w:type="dxa"/>
            <w:vAlign w:val="center"/>
          </w:tcPr>
          <w:p w14:paraId="57305373"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lang w:eastAsia="en-GB"/>
              </w:rPr>
              <w:t>Use of experience, tests or analysis</w:t>
            </w:r>
          </w:p>
        </w:tc>
        <w:tc>
          <w:tcPr>
            <w:tcW w:w="1086" w:type="dxa"/>
            <w:vAlign w:val="center"/>
          </w:tcPr>
          <w:p w14:paraId="57305374"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ECS.5</w:t>
            </w:r>
          </w:p>
        </w:tc>
        <w:tc>
          <w:tcPr>
            <w:tcW w:w="5198" w:type="dxa"/>
            <w:vAlign w:val="center"/>
          </w:tcPr>
          <w:p w14:paraId="57305375" w14:textId="77777777" w:rsidR="0015225A" w:rsidRPr="008D1922" w:rsidRDefault="0015225A" w:rsidP="00D07AFA">
            <w:pPr>
              <w:autoSpaceDE w:val="0"/>
              <w:autoSpaceDN w:val="0"/>
              <w:adjustRightInd w:val="0"/>
              <w:jc w:val="center"/>
              <w:rPr>
                <w:rFonts w:eastAsiaTheme="minorHAnsi" w:cs="Arial"/>
                <w:sz w:val="18"/>
                <w:szCs w:val="18"/>
              </w:rPr>
            </w:pPr>
            <w:r w:rsidRPr="008D1922">
              <w:rPr>
                <w:rFonts w:cs="Arial"/>
                <w:sz w:val="18"/>
                <w:szCs w:val="18"/>
                <w:lang w:eastAsia="en-GB"/>
              </w:rPr>
              <w:t>In the absence of applicable or relevant codes and standards, the results of experience, tests, analysis, or a combination thereof, should be applied to demonstrate that the structure, system or component will perform its safety function(s) to a level commensurate with its classification.</w:t>
            </w:r>
          </w:p>
        </w:tc>
      </w:tr>
      <w:tr w:rsidR="0015225A" w:rsidRPr="00CC121D" w14:paraId="57305380" w14:textId="77777777" w:rsidTr="00F22B72">
        <w:trPr>
          <w:jc w:val="center"/>
        </w:trPr>
        <w:tc>
          <w:tcPr>
            <w:tcW w:w="1853" w:type="dxa"/>
            <w:shd w:val="clear" w:color="auto" w:fill="EEECE1" w:themeFill="background2"/>
            <w:vAlign w:val="center"/>
          </w:tcPr>
          <w:p w14:paraId="57305378" w14:textId="77777777" w:rsidR="0015225A" w:rsidRPr="008D1922" w:rsidRDefault="0015225A" w:rsidP="00D07AFA">
            <w:pPr>
              <w:autoSpaceDE w:val="0"/>
              <w:autoSpaceDN w:val="0"/>
              <w:adjustRightInd w:val="0"/>
              <w:jc w:val="center"/>
              <w:rPr>
                <w:rFonts w:cs="Arial"/>
                <w:bCs/>
                <w:sz w:val="18"/>
                <w:szCs w:val="18"/>
                <w:lang w:eastAsia="en-GB"/>
              </w:rPr>
            </w:pPr>
            <w:r w:rsidRPr="008D1922">
              <w:rPr>
                <w:rFonts w:cs="Arial"/>
                <w:bCs/>
                <w:sz w:val="18"/>
                <w:szCs w:val="18"/>
                <w:lang w:eastAsia="en-GB"/>
              </w:rPr>
              <w:t>Engineering principles:</w:t>
            </w:r>
          </w:p>
          <w:p w14:paraId="57305379" w14:textId="77777777" w:rsidR="0015225A" w:rsidRPr="008D1922" w:rsidRDefault="0015225A" w:rsidP="00D07AFA">
            <w:pPr>
              <w:widowControl w:val="0"/>
              <w:tabs>
                <w:tab w:val="left" w:pos="720"/>
              </w:tabs>
              <w:jc w:val="center"/>
              <w:rPr>
                <w:rFonts w:cs="Arial"/>
                <w:sz w:val="18"/>
                <w:szCs w:val="18"/>
              </w:rPr>
            </w:pPr>
            <w:r w:rsidRPr="008D1922">
              <w:rPr>
                <w:rFonts w:cs="Arial"/>
                <w:bCs/>
                <w:sz w:val="18"/>
                <w:szCs w:val="18"/>
                <w:lang w:eastAsia="en-GB"/>
              </w:rPr>
              <w:t>equipment qualification</w:t>
            </w:r>
          </w:p>
          <w:p w14:paraId="5730537A" w14:textId="77777777" w:rsidR="0015225A" w:rsidRPr="008D1922" w:rsidRDefault="0015225A" w:rsidP="00D07AFA">
            <w:pPr>
              <w:jc w:val="center"/>
              <w:rPr>
                <w:rFonts w:cs="Arial"/>
                <w:sz w:val="18"/>
                <w:szCs w:val="18"/>
              </w:rPr>
            </w:pPr>
          </w:p>
        </w:tc>
        <w:tc>
          <w:tcPr>
            <w:tcW w:w="1497" w:type="dxa"/>
            <w:shd w:val="clear" w:color="auto" w:fill="EEECE1" w:themeFill="background2"/>
            <w:vAlign w:val="center"/>
          </w:tcPr>
          <w:p w14:paraId="5730537B"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lang w:eastAsia="en-GB"/>
              </w:rPr>
              <w:t>Qualification procedures</w:t>
            </w:r>
          </w:p>
          <w:p w14:paraId="5730537C" w14:textId="77777777" w:rsidR="0015225A" w:rsidRPr="008D1922" w:rsidRDefault="0015225A" w:rsidP="00D07AFA">
            <w:pPr>
              <w:widowControl w:val="0"/>
              <w:tabs>
                <w:tab w:val="left" w:pos="720"/>
              </w:tabs>
              <w:jc w:val="center"/>
              <w:rPr>
                <w:rFonts w:cs="Arial"/>
                <w:sz w:val="18"/>
                <w:szCs w:val="18"/>
              </w:rPr>
            </w:pPr>
          </w:p>
        </w:tc>
        <w:tc>
          <w:tcPr>
            <w:tcW w:w="1086" w:type="dxa"/>
            <w:shd w:val="clear" w:color="auto" w:fill="EEECE1" w:themeFill="background2"/>
            <w:vAlign w:val="center"/>
          </w:tcPr>
          <w:p w14:paraId="5730537D"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EQU.1</w:t>
            </w:r>
          </w:p>
        </w:tc>
        <w:tc>
          <w:tcPr>
            <w:tcW w:w="5198" w:type="dxa"/>
            <w:shd w:val="clear" w:color="auto" w:fill="EEECE1" w:themeFill="background2"/>
            <w:vAlign w:val="center"/>
          </w:tcPr>
          <w:p w14:paraId="5730537E"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lang w:eastAsia="en-GB"/>
              </w:rPr>
              <w:t>Qualification procedures should be applied to confirm that structures, systems and components will perform their allocated safety function(s) in all normal operational, fault and accident conditions identified in the safety case and for the duration of their operational lives.</w:t>
            </w:r>
          </w:p>
        </w:tc>
      </w:tr>
      <w:tr w:rsidR="0015225A" w:rsidRPr="00CC121D" w14:paraId="57305389" w14:textId="77777777" w:rsidTr="00F22B72">
        <w:trPr>
          <w:trHeight w:val="476"/>
          <w:jc w:val="center"/>
        </w:trPr>
        <w:tc>
          <w:tcPr>
            <w:tcW w:w="1853" w:type="dxa"/>
            <w:vMerge w:val="restart"/>
            <w:vAlign w:val="center"/>
          </w:tcPr>
          <w:p w14:paraId="57305381" w14:textId="77777777" w:rsidR="0015225A" w:rsidRPr="008D1922" w:rsidRDefault="0015225A" w:rsidP="00D07AFA">
            <w:pPr>
              <w:autoSpaceDE w:val="0"/>
              <w:autoSpaceDN w:val="0"/>
              <w:adjustRightInd w:val="0"/>
              <w:jc w:val="center"/>
              <w:rPr>
                <w:rFonts w:cs="Arial"/>
                <w:bCs/>
                <w:sz w:val="18"/>
                <w:szCs w:val="18"/>
                <w:lang w:eastAsia="en-GB"/>
              </w:rPr>
            </w:pPr>
            <w:r w:rsidRPr="008D1922">
              <w:rPr>
                <w:rFonts w:cs="Arial"/>
                <w:bCs/>
                <w:sz w:val="18"/>
                <w:szCs w:val="18"/>
                <w:lang w:eastAsia="en-GB"/>
              </w:rPr>
              <w:t>Engineering principles: design</w:t>
            </w:r>
          </w:p>
          <w:p w14:paraId="57305382" w14:textId="77777777" w:rsidR="0015225A" w:rsidRPr="008D1922" w:rsidRDefault="0015225A" w:rsidP="00D07AFA">
            <w:pPr>
              <w:widowControl w:val="0"/>
              <w:tabs>
                <w:tab w:val="left" w:pos="720"/>
              </w:tabs>
              <w:spacing w:after="120"/>
              <w:jc w:val="center"/>
              <w:rPr>
                <w:rFonts w:cs="Arial"/>
                <w:sz w:val="18"/>
                <w:szCs w:val="18"/>
              </w:rPr>
            </w:pPr>
            <w:r w:rsidRPr="008D1922">
              <w:rPr>
                <w:rFonts w:cs="Arial"/>
                <w:bCs/>
                <w:sz w:val="18"/>
                <w:szCs w:val="18"/>
                <w:lang w:eastAsia="en-GB"/>
              </w:rPr>
              <w:t>for reliability</w:t>
            </w:r>
          </w:p>
        </w:tc>
        <w:tc>
          <w:tcPr>
            <w:tcW w:w="1497" w:type="dxa"/>
            <w:vAlign w:val="center"/>
          </w:tcPr>
          <w:p w14:paraId="57305383"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lang w:eastAsia="en-GB"/>
              </w:rPr>
              <w:t>Failure to safety</w:t>
            </w:r>
          </w:p>
        </w:tc>
        <w:tc>
          <w:tcPr>
            <w:tcW w:w="1086" w:type="dxa"/>
            <w:vAlign w:val="center"/>
          </w:tcPr>
          <w:p w14:paraId="57305384"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EDR.1</w:t>
            </w:r>
          </w:p>
        </w:tc>
        <w:tc>
          <w:tcPr>
            <w:tcW w:w="5198" w:type="dxa"/>
            <w:vAlign w:val="center"/>
          </w:tcPr>
          <w:p w14:paraId="57305385" w14:textId="77777777" w:rsidR="0015225A" w:rsidRPr="008D1922" w:rsidRDefault="0015225A" w:rsidP="00D07AFA">
            <w:pPr>
              <w:autoSpaceDE w:val="0"/>
              <w:autoSpaceDN w:val="0"/>
              <w:adjustRightInd w:val="0"/>
              <w:jc w:val="center"/>
              <w:rPr>
                <w:rFonts w:cs="Arial"/>
                <w:sz w:val="18"/>
                <w:szCs w:val="18"/>
                <w:lang w:eastAsia="en-GB"/>
              </w:rPr>
            </w:pPr>
            <w:r w:rsidRPr="008D1922">
              <w:rPr>
                <w:rFonts w:cs="Arial"/>
                <w:sz w:val="18"/>
                <w:szCs w:val="18"/>
                <w:lang w:eastAsia="en-GB"/>
              </w:rPr>
              <w:t>Due account should be taken of the need for structures, systems and components to be</w:t>
            </w:r>
          </w:p>
          <w:p w14:paraId="57305386" w14:textId="77777777" w:rsidR="0015225A" w:rsidRPr="008D1922" w:rsidRDefault="0015225A" w:rsidP="00D07AFA">
            <w:pPr>
              <w:autoSpaceDE w:val="0"/>
              <w:autoSpaceDN w:val="0"/>
              <w:adjustRightInd w:val="0"/>
              <w:jc w:val="center"/>
              <w:rPr>
                <w:rFonts w:cs="Arial"/>
                <w:sz w:val="18"/>
                <w:szCs w:val="18"/>
                <w:lang w:eastAsia="en-GB"/>
              </w:rPr>
            </w:pPr>
            <w:r w:rsidRPr="008D1922">
              <w:rPr>
                <w:rFonts w:cs="Arial"/>
                <w:sz w:val="18"/>
                <w:szCs w:val="18"/>
                <w:lang w:eastAsia="en-GB"/>
              </w:rPr>
              <w:t>designed to be inherently safe, or to fail in a safe manner, and potential failure modes should</w:t>
            </w:r>
          </w:p>
          <w:p w14:paraId="57305387" w14:textId="77777777" w:rsidR="0015225A" w:rsidRPr="008D1922" w:rsidRDefault="0015225A" w:rsidP="00D07AFA">
            <w:pPr>
              <w:widowControl w:val="0"/>
              <w:tabs>
                <w:tab w:val="left" w:pos="720"/>
              </w:tabs>
              <w:jc w:val="center"/>
              <w:rPr>
                <w:rFonts w:cs="Arial"/>
                <w:sz w:val="18"/>
                <w:szCs w:val="18"/>
                <w:lang w:eastAsia="en-GB"/>
              </w:rPr>
            </w:pPr>
            <w:r w:rsidRPr="008D1922">
              <w:rPr>
                <w:rFonts w:cs="Arial"/>
                <w:sz w:val="18"/>
                <w:szCs w:val="18"/>
                <w:lang w:eastAsia="en-GB"/>
              </w:rPr>
              <w:t>be identified, using a formal analysis where appropriate.</w:t>
            </w:r>
          </w:p>
        </w:tc>
      </w:tr>
      <w:tr w:rsidR="0015225A" w:rsidRPr="00CC121D" w14:paraId="5730538F" w14:textId="77777777" w:rsidTr="00F22B72">
        <w:trPr>
          <w:trHeight w:val="476"/>
          <w:jc w:val="center"/>
        </w:trPr>
        <w:tc>
          <w:tcPr>
            <w:tcW w:w="1853" w:type="dxa"/>
            <w:vMerge/>
            <w:vAlign w:val="center"/>
          </w:tcPr>
          <w:p w14:paraId="5730538A" w14:textId="77777777" w:rsidR="0015225A" w:rsidRPr="008D1922" w:rsidRDefault="0015225A" w:rsidP="00D07AFA">
            <w:pPr>
              <w:autoSpaceDE w:val="0"/>
              <w:autoSpaceDN w:val="0"/>
              <w:adjustRightInd w:val="0"/>
              <w:jc w:val="center"/>
              <w:rPr>
                <w:rFonts w:cs="Arial"/>
                <w:bCs/>
                <w:sz w:val="18"/>
                <w:szCs w:val="18"/>
                <w:lang w:eastAsia="en-GB"/>
              </w:rPr>
            </w:pPr>
          </w:p>
        </w:tc>
        <w:tc>
          <w:tcPr>
            <w:tcW w:w="1497" w:type="dxa"/>
            <w:vAlign w:val="center"/>
          </w:tcPr>
          <w:p w14:paraId="5730538B" w14:textId="77777777" w:rsidR="0015225A" w:rsidRPr="008D1922" w:rsidRDefault="0015225A" w:rsidP="00D07AFA">
            <w:pPr>
              <w:widowControl w:val="0"/>
              <w:tabs>
                <w:tab w:val="left" w:pos="720"/>
              </w:tabs>
              <w:jc w:val="center"/>
              <w:rPr>
                <w:rFonts w:cs="Arial"/>
                <w:sz w:val="18"/>
                <w:szCs w:val="18"/>
                <w:lang w:eastAsia="en-GB"/>
              </w:rPr>
            </w:pPr>
            <w:r w:rsidRPr="008D1922">
              <w:rPr>
                <w:rFonts w:cs="Arial"/>
                <w:sz w:val="18"/>
                <w:szCs w:val="18"/>
                <w:lang w:eastAsia="en-GB"/>
              </w:rPr>
              <w:t>Redundancy, Diversity and segregation</w:t>
            </w:r>
          </w:p>
        </w:tc>
        <w:tc>
          <w:tcPr>
            <w:tcW w:w="1086" w:type="dxa"/>
            <w:vAlign w:val="center"/>
          </w:tcPr>
          <w:p w14:paraId="5730538C"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EDR.2</w:t>
            </w:r>
          </w:p>
        </w:tc>
        <w:tc>
          <w:tcPr>
            <w:tcW w:w="5198" w:type="dxa"/>
            <w:vAlign w:val="center"/>
          </w:tcPr>
          <w:p w14:paraId="5730538D" w14:textId="77777777" w:rsidR="0015225A" w:rsidRPr="008D1922" w:rsidRDefault="0015225A" w:rsidP="00D07AFA">
            <w:pPr>
              <w:autoSpaceDE w:val="0"/>
              <w:autoSpaceDN w:val="0"/>
              <w:adjustRightInd w:val="0"/>
              <w:jc w:val="center"/>
              <w:rPr>
                <w:rFonts w:cs="Arial"/>
                <w:sz w:val="18"/>
                <w:szCs w:val="18"/>
                <w:lang w:eastAsia="en-GB"/>
              </w:rPr>
            </w:pPr>
            <w:r w:rsidRPr="008D1922">
              <w:rPr>
                <w:rFonts w:cs="Arial"/>
                <w:sz w:val="18"/>
                <w:szCs w:val="18"/>
                <w:lang w:eastAsia="en-GB"/>
              </w:rPr>
              <w:t>Redundancy, diversity and segregation should be incorporated as appropriate within the designs of structures, systems and components.</w:t>
            </w:r>
          </w:p>
        </w:tc>
      </w:tr>
      <w:tr w:rsidR="0015225A" w:rsidRPr="00CC121D" w14:paraId="57305395" w14:textId="77777777" w:rsidTr="00F22B72">
        <w:trPr>
          <w:trHeight w:val="476"/>
          <w:jc w:val="center"/>
        </w:trPr>
        <w:tc>
          <w:tcPr>
            <w:tcW w:w="1853" w:type="dxa"/>
            <w:vMerge/>
            <w:vAlign w:val="center"/>
          </w:tcPr>
          <w:p w14:paraId="57305390" w14:textId="77777777" w:rsidR="0015225A" w:rsidRPr="008D1922" w:rsidRDefault="0015225A" w:rsidP="00D07AFA">
            <w:pPr>
              <w:autoSpaceDE w:val="0"/>
              <w:autoSpaceDN w:val="0"/>
              <w:adjustRightInd w:val="0"/>
              <w:jc w:val="center"/>
              <w:rPr>
                <w:rFonts w:cs="Arial"/>
                <w:bCs/>
                <w:sz w:val="18"/>
                <w:szCs w:val="18"/>
                <w:lang w:eastAsia="en-GB"/>
              </w:rPr>
            </w:pPr>
          </w:p>
        </w:tc>
        <w:tc>
          <w:tcPr>
            <w:tcW w:w="1497" w:type="dxa"/>
            <w:vAlign w:val="center"/>
          </w:tcPr>
          <w:p w14:paraId="57305391" w14:textId="77777777" w:rsidR="0015225A" w:rsidRPr="008D1922" w:rsidRDefault="0015225A" w:rsidP="00D07AFA">
            <w:pPr>
              <w:widowControl w:val="0"/>
              <w:tabs>
                <w:tab w:val="left" w:pos="720"/>
              </w:tabs>
              <w:jc w:val="center"/>
              <w:rPr>
                <w:rFonts w:cs="Arial"/>
                <w:sz w:val="18"/>
                <w:szCs w:val="18"/>
                <w:lang w:eastAsia="en-GB"/>
              </w:rPr>
            </w:pPr>
            <w:r w:rsidRPr="008D1922">
              <w:rPr>
                <w:rFonts w:cs="Arial"/>
                <w:sz w:val="18"/>
                <w:szCs w:val="18"/>
                <w:lang w:eastAsia="en-GB"/>
              </w:rPr>
              <w:t>Common cause failure</w:t>
            </w:r>
          </w:p>
        </w:tc>
        <w:tc>
          <w:tcPr>
            <w:tcW w:w="1086" w:type="dxa"/>
            <w:vAlign w:val="center"/>
          </w:tcPr>
          <w:p w14:paraId="57305392"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EDR.3</w:t>
            </w:r>
          </w:p>
        </w:tc>
        <w:tc>
          <w:tcPr>
            <w:tcW w:w="5198" w:type="dxa"/>
            <w:vAlign w:val="center"/>
          </w:tcPr>
          <w:p w14:paraId="57305393" w14:textId="77777777" w:rsidR="0015225A" w:rsidRPr="008D1922" w:rsidRDefault="0015225A" w:rsidP="00D07AFA">
            <w:pPr>
              <w:autoSpaceDE w:val="0"/>
              <w:autoSpaceDN w:val="0"/>
              <w:adjustRightInd w:val="0"/>
              <w:jc w:val="center"/>
              <w:rPr>
                <w:rFonts w:cs="Arial"/>
                <w:sz w:val="18"/>
                <w:szCs w:val="18"/>
                <w:lang w:eastAsia="en-GB"/>
              </w:rPr>
            </w:pPr>
            <w:r w:rsidRPr="008D1922">
              <w:rPr>
                <w:rFonts w:cs="Arial"/>
                <w:sz w:val="18"/>
                <w:szCs w:val="18"/>
                <w:lang w:eastAsia="en-GB"/>
              </w:rPr>
              <w:t>Common cause failure (CCF) should be addressed explicitly where a structure, system or component employs redundant or diverse components, measurements or actions to provide high reliability.</w:t>
            </w:r>
          </w:p>
        </w:tc>
      </w:tr>
      <w:tr w:rsidR="0015225A" w:rsidRPr="00CC121D" w14:paraId="5730539B" w14:textId="77777777" w:rsidTr="00F22B72">
        <w:trPr>
          <w:trHeight w:val="476"/>
          <w:jc w:val="center"/>
        </w:trPr>
        <w:tc>
          <w:tcPr>
            <w:tcW w:w="1853" w:type="dxa"/>
            <w:vMerge/>
            <w:vAlign w:val="center"/>
          </w:tcPr>
          <w:p w14:paraId="57305396" w14:textId="77777777" w:rsidR="0015225A" w:rsidRPr="008D1922" w:rsidRDefault="0015225A" w:rsidP="00D07AFA">
            <w:pPr>
              <w:autoSpaceDE w:val="0"/>
              <w:autoSpaceDN w:val="0"/>
              <w:adjustRightInd w:val="0"/>
              <w:jc w:val="center"/>
              <w:rPr>
                <w:rFonts w:cs="Arial"/>
                <w:bCs/>
                <w:sz w:val="18"/>
                <w:szCs w:val="18"/>
                <w:lang w:eastAsia="en-GB"/>
              </w:rPr>
            </w:pPr>
          </w:p>
        </w:tc>
        <w:tc>
          <w:tcPr>
            <w:tcW w:w="1497" w:type="dxa"/>
            <w:vAlign w:val="center"/>
          </w:tcPr>
          <w:p w14:paraId="57305397" w14:textId="77777777" w:rsidR="0015225A" w:rsidRPr="008D1922" w:rsidRDefault="0015225A" w:rsidP="00D07AFA">
            <w:pPr>
              <w:widowControl w:val="0"/>
              <w:tabs>
                <w:tab w:val="left" w:pos="720"/>
              </w:tabs>
              <w:jc w:val="center"/>
              <w:rPr>
                <w:rFonts w:cs="Arial"/>
                <w:sz w:val="18"/>
                <w:szCs w:val="18"/>
                <w:lang w:eastAsia="en-GB"/>
              </w:rPr>
            </w:pPr>
            <w:r w:rsidRPr="008D1922">
              <w:rPr>
                <w:rFonts w:cs="Arial"/>
                <w:sz w:val="18"/>
                <w:szCs w:val="18"/>
                <w:lang w:eastAsia="en-GB"/>
              </w:rPr>
              <w:t>Single failure criterion</w:t>
            </w:r>
          </w:p>
        </w:tc>
        <w:tc>
          <w:tcPr>
            <w:tcW w:w="1086" w:type="dxa"/>
            <w:vAlign w:val="center"/>
          </w:tcPr>
          <w:p w14:paraId="57305398"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EDR.4</w:t>
            </w:r>
          </w:p>
        </w:tc>
        <w:tc>
          <w:tcPr>
            <w:tcW w:w="5198" w:type="dxa"/>
            <w:vAlign w:val="center"/>
          </w:tcPr>
          <w:p w14:paraId="57305399" w14:textId="77777777" w:rsidR="0015225A" w:rsidRPr="008D1922" w:rsidRDefault="0015225A" w:rsidP="00D07AFA">
            <w:pPr>
              <w:autoSpaceDE w:val="0"/>
              <w:autoSpaceDN w:val="0"/>
              <w:adjustRightInd w:val="0"/>
              <w:jc w:val="center"/>
              <w:rPr>
                <w:rFonts w:cs="Arial"/>
                <w:sz w:val="18"/>
                <w:szCs w:val="18"/>
                <w:lang w:eastAsia="en-GB"/>
              </w:rPr>
            </w:pPr>
            <w:r w:rsidRPr="008D1922">
              <w:rPr>
                <w:rFonts w:cs="Arial"/>
                <w:sz w:val="18"/>
                <w:szCs w:val="18"/>
                <w:lang w:eastAsia="en-GB"/>
              </w:rPr>
              <w:t>During any normally permissible state of plant availability, no single random failure, assumed to occur anywhere within the systems provided to secure a safety function, should prevent the performance of that safety function.</w:t>
            </w:r>
          </w:p>
        </w:tc>
      </w:tr>
      <w:tr w:rsidR="0015225A" w:rsidRPr="00CC121D" w14:paraId="573053A2" w14:textId="77777777" w:rsidTr="00F22B72">
        <w:trPr>
          <w:trHeight w:val="474"/>
          <w:jc w:val="center"/>
        </w:trPr>
        <w:tc>
          <w:tcPr>
            <w:tcW w:w="1853" w:type="dxa"/>
            <w:vMerge w:val="restart"/>
            <w:shd w:val="clear" w:color="auto" w:fill="EEECE1" w:themeFill="background2"/>
            <w:vAlign w:val="center"/>
          </w:tcPr>
          <w:p w14:paraId="5730539C" w14:textId="77777777" w:rsidR="0015225A" w:rsidRPr="008D1922" w:rsidRDefault="0015225A" w:rsidP="00D07AFA">
            <w:pPr>
              <w:autoSpaceDE w:val="0"/>
              <w:autoSpaceDN w:val="0"/>
              <w:adjustRightInd w:val="0"/>
              <w:jc w:val="center"/>
              <w:rPr>
                <w:rFonts w:cs="Arial"/>
                <w:bCs/>
                <w:sz w:val="18"/>
                <w:szCs w:val="18"/>
                <w:lang w:eastAsia="en-GB"/>
              </w:rPr>
            </w:pPr>
            <w:r w:rsidRPr="008D1922">
              <w:rPr>
                <w:rFonts w:cs="Arial"/>
                <w:bCs/>
                <w:sz w:val="18"/>
                <w:szCs w:val="18"/>
                <w:lang w:eastAsia="en-GB"/>
              </w:rPr>
              <w:t>Engineering principles: reliability</w:t>
            </w:r>
          </w:p>
          <w:p w14:paraId="5730539D" w14:textId="77777777" w:rsidR="0015225A" w:rsidRPr="008D1922" w:rsidRDefault="0015225A" w:rsidP="00D07AFA">
            <w:pPr>
              <w:jc w:val="center"/>
              <w:rPr>
                <w:rFonts w:cs="Arial"/>
                <w:sz w:val="18"/>
                <w:szCs w:val="18"/>
              </w:rPr>
            </w:pPr>
            <w:r w:rsidRPr="008D1922">
              <w:rPr>
                <w:rFonts w:cs="Arial"/>
                <w:bCs/>
                <w:sz w:val="18"/>
                <w:szCs w:val="18"/>
                <w:lang w:eastAsia="en-GB"/>
              </w:rPr>
              <w:t>claims</w:t>
            </w:r>
          </w:p>
        </w:tc>
        <w:tc>
          <w:tcPr>
            <w:tcW w:w="1497" w:type="dxa"/>
            <w:shd w:val="clear" w:color="auto" w:fill="EEECE1" w:themeFill="background2"/>
            <w:vAlign w:val="center"/>
          </w:tcPr>
          <w:p w14:paraId="5730539E"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lang w:eastAsia="en-GB"/>
              </w:rPr>
              <w:t>Form of claims</w:t>
            </w:r>
          </w:p>
        </w:tc>
        <w:tc>
          <w:tcPr>
            <w:tcW w:w="1086" w:type="dxa"/>
            <w:shd w:val="clear" w:color="auto" w:fill="EEECE1" w:themeFill="background2"/>
            <w:vAlign w:val="center"/>
          </w:tcPr>
          <w:p w14:paraId="5730539F"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ERL.1</w:t>
            </w:r>
          </w:p>
        </w:tc>
        <w:tc>
          <w:tcPr>
            <w:tcW w:w="5198" w:type="dxa"/>
            <w:shd w:val="clear" w:color="auto" w:fill="EEECE1" w:themeFill="background2"/>
            <w:vAlign w:val="center"/>
          </w:tcPr>
          <w:p w14:paraId="573053A0" w14:textId="77777777" w:rsidR="0015225A" w:rsidRPr="008D1922" w:rsidRDefault="0015225A" w:rsidP="00D07AFA">
            <w:pPr>
              <w:widowControl w:val="0"/>
              <w:tabs>
                <w:tab w:val="left" w:pos="720"/>
              </w:tabs>
              <w:jc w:val="center"/>
              <w:rPr>
                <w:rFonts w:cs="Arial"/>
                <w:sz w:val="18"/>
                <w:szCs w:val="18"/>
                <w:lang w:eastAsia="en-GB"/>
              </w:rPr>
            </w:pPr>
            <w:r w:rsidRPr="008D1922">
              <w:rPr>
                <w:rFonts w:cs="Arial"/>
                <w:sz w:val="18"/>
                <w:szCs w:val="18"/>
                <w:lang w:eastAsia="en-GB"/>
              </w:rPr>
              <w:t>The reliability claimed for any structure, system or component should take into account its novelty, experience relevant to its proposed environment, and uncertainties in operating and fault conditions, physical data and design methods</w:t>
            </w:r>
          </w:p>
        </w:tc>
      </w:tr>
      <w:tr w:rsidR="0015225A" w:rsidRPr="00CC121D" w14:paraId="573053A8" w14:textId="77777777" w:rsidTr="00F22B72">
        <w:trPr>
          <w:trHeight w:val="474"/>
          <w:jc w:val="center"/>
        </w:trPr>
        <w:tc>
          <w:tcPr>
            <w:tcW w:w="1853" w:type="dxa"/>
            <w:vMerge/>
            <w:shd w:val="clear" w:color="auto" w:fill="EEECE1" w:themeFill="background2"/>
            <w:vAlign w:val="center"/>
          </w:tcPr>
          <w:p w14:paraId="573053A3" w14:textId="77777777" w:rsidR="0015225A" w:rsidRPr="008D1922" w:rsidRDefault="0015225A" w:rsidP="00D07AFA">
            <w:pPr>
              <w:autoSpaceDE w:val="0"/>
              <w:autoSpaceDN w:val="0"/>
              <w:adjustRightInd w:val="0"/>
              <w:jc w:val="center"/>
              <w:rPr>
                <w:rFonts w:cs="Arial"/>
                <w:bCs/>
                <w:sz w:val="18"/>
                <w:szCs w:val="18"/>
                <w:lang w:eastAsia="en-GB"/>
              </w:rPr>
            </w:pPr>
          </w:p>
        </w:tc>
        <w:tc>
          <w:tcPr>
            <w:tcW w:w="1497" w:type="dxa"/>
            <w:shd w:val="clear" w:color="auto" w:fill="EEECE1" w:themeFill="background2"/>
            <w:vAlign w:val="center"/>
          </w:tcPr>
          <w:p w14:paraId="573053A4" w14:textId="77777777" w:rsidR="0015225A" w:rsidRPr="008D1922" w:rsidRDefault="0015225A" w:rsidP="00D07AFA">
            <w:pPr>
              <w:widowControl w:val="0"/>
              <w:tabs>
                <w:tab w:val="left" w:pos="720"/>
              </w:tabs>
              <w:jc w:val="center"/>
              <w:rPr>
                <w:rFonts w:cs="Arial"/>
                <w:sz w:val="18"/>
                <w:szCs w:val="18"/>
                <w:lang w:eastAsia="en-GB"/>
              </w:rPr>
            </w:pPr>
            <w:r w:rsidRPr="008D1922">
              <w:rPr>
                <w:rFonts w:cs="Arial"/>
                <w:sz w:val="18"/>
                <w:szCs w:val="18"/>
                <w:lang w:eastAsia="en-GB"/>
              </w:rPr>
              <w:t>Margins of conservatism</w:t>
            </w:r>
          </w:p>
        </w:tc>
        <w:tc>
          <w:tcPr>
            <w:tcW w:w="1086" w:type="dxa"/>
            <w:shd w:val="clear" w:color="auto" w:fill="EEECE1" w:themeFill="background2"/>
            <w:vAlign w:val="center"/>
          </w:tcPr>
          <w:p w14:paraId="573053A5"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ERL.4</w:t>
            </w:r>
          </w:p>
        </w:tc>
        <w:tc>
          <w:tcPr>
            <w:tcW w:w="5198" w:type="dxa"/>
            <w:shd w:val="clear" w:color="auto" w:fill="EEECE1" w:themeFill="background2"/>
            <w:vAlign w:val="center"/>
          </w:tcPr>
          <w:p w14:paraId="573053A6" w14:textId="77777777" w:rsidR="0015225A" w:rsidRPr="008D1922" w:rsidRDefault="0015225A" w:rsidP="00D07AFA">
            <w:pPr>
              <w:widowControl w:val="0"/>
              <w:tabs>
                <w:tab w:val="left" w:pos="720"/>
              </w:tabs>
              <w:jc w:val="center"/>
              <w:rPr>
                <w:rFonts w:cs="Arial"/>
                <w:sz w:val="18"/>
                <w:szCs w:val="18"/>
                <w:lang w:eastAsia="en-GB"/>
              </w:rPr>
            </w:pPr>
            <w:r w:rsidRPr="008D1922">
              <w:rPr>
                <w:rFonts w:cs="Arial"/>
                <w:sz w:val="18"/>
                <w:szCs w:val="18"/>
                <w:lang w:eastAsia="en-GB"/>
              </w:rPr>
              <w:t>Where safety-related systems and/or other means are claimed to reduce the frequency of a fault sequence, the safety case should include a margin of conservatism to allow for uncertainties.</w:t>
            </w:r>
          </w:p>
        </w:tc>
      </w:tr>
      <w:tr w:rsidR="0015225A" w:rsidRPr="00CC121D" w14:paraId="573053B0" w14:textId="77777777" w:rsidTr="00F22B72">
        <w:trPr>
          <w:trHeight w:val="474"/>
          <w:jc w:val="center"/>
        </w:trPr>
        <w:tc>
          <w:tcPr>
            <w:tcW w:w="1853" w:type="dxa"/>
            <w:vMerge w:val="restart"/>
            <w:vAlign w:val="center"/>
          </w:tcPr>
          <w:p w14:paraId="573053A9" w14:textId="77777777" w:rsidR="0015225A" w:rsidRPr="008D1922" w:rsidRDefault="0015225A" w:rsidP="00D07AFA">
            <w:pPr>
              <w:autoSpaceDE w:val="0"/>
              <w:autoSpaceDN w:val="0"/>
              <w:adjustRightInd w:val="0"/>
              <w:jc w:val="center"/>
              <w:rPr>
                <w:rFonts w:eastAsiaTheme="minorHAnsi" w:cs="Arial"/>
                <w:bCs/>
                <w:sz w:val="18"/>
                <w:szCs w:val="18"/>
              </w:rPr>
            </w:pPr>
            <w:r w:rsidRPr="008D1922">
              <w:rPr>
                <w:rFonts w:eastAsiaTheme="minorHAnsi" w:cs="Arial"/>
                <w:bCs/>
                <w:sz w:val="18"/>
                <w:szCs w:val="18"/>
              </w:rPr>
              <w:t>Engineering principles:</w:t>
            </w:r>
          </w:p>
          <w:p w14:paraId="573053AA" w14:textId="77777777" w:rsidR="0015225A" w:rsidRPr="008D1922" w:rsidRDefault="0015225A" w:rsidP="00D07AFA">
            <w:pPr>
              <w:autoSpaceDE w:val="0"/>
              <w:autoSpaceDN w:val="0"/>
              <w:adjustRightInd w:val="0"/>
              <w:jc w:val="center"/>
              <w:rPr>
                <w:rFonts w:eastAsiaTheme="minorHAnsi" w:cs="Arial"/>
                <w:bCs/>
                <w:sz w:val="18"/>
                <w:szCs w:val="18"/>
              </w:rPr>
            </w:pPr>
            <w:r w:rsidRPr="008D1922">
              <w:rPr>
                <w:rFonts w:eastAsiaTheme="minorHAnsi" w:cs="Arial"/>
                <w:bCs/>
                <w:sz w:val="18"/>
                <w:szCs w:val="18"/>
              </w:rPr>
              <w:t>maintenance, inspection and</w:t>
            </w:r>
          </w:p>
          <w:p w14:paraId="573053AB" w14:textId="77777777" w:rsidR="0015225A" w:rsidRPr="008D1922" w:rsidRDefault="0015225A" w:rsidP="00D07AFA">
            <w:pPr>
              <w:jc w:val="center"/>
              <w:rPr>
                <w:rFonts w:cs="Arial"/>
                <w:sz w:val="18"/>
                <w:szCs w:val="18"/>
              </w:rPr>
            </w:pPr>
            <w:r w:rsidRPr="008D1922">
              <w:rPr>
                <w:rFonts w:eastAsiaTheme="minorHAnsi" w:cs="Arial"/>
                <w:bCs/>
                <w:sz w:val="18"/>
                <w:szCs w:val="18"/>
              </w:rPr>
              <w:t>testing</w:t>
            </w:r>
          </w:p>
        </w:tc>
        <w:tc>
          <w:tcPr>
            <w:tcW w:w="1497" w:type="dxa"/>
            <w:vAlign w:val="center"/>
          </w:tcPr>
          <w:p w14:paraId="573053AC"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Identification of requirements</w:t>
            </w:r>
          </w:p>
        </w:tc>
        <w:tc>
          <w:tcPr>
            <w:tcW w:w="1086" w:type="dxa"/>
            <w:vAlign w:val="center"/>
          </w:tcPr>
          <w:p w14:paraId="573053AD" w14:textId="77777777" w:rsidR="0015225A" w:rsidRPr="008D1922" w:rsidRDefault="0015225A" w:rsidP="00D07AFA">
            <w:pPr>
              <w:widowControl w:val="0"/>
              <w:tabs>
                <w:tab w:val="left" w:pos="720"/>
              </w:tabs>
              <w:jc w:val="center"/>
              <w:rPr>
                <w:rFonts w:eastAsiaTheme="minorHAnsi" w:cs="Arial"/>
                <w:sz w:val="18"/>
                <w:szCs w:val="18"/>
              </w:rPr>
            </w:pPr>
            <w:r w:rsidRPr="008D1922">
              <w:rPr>
                <w:rFonts w:eastAsiaTheme="minorHAnsi" w:cs="Arial"/>
                <w:sz w:val="18"/>
                <w:szCs w:val="18"/>
              </w:rPr>
              <w:t>EMT.1</w:t>
            </w:r>
          </w:p>
        </w:tc>
        <w:tc>
          <w:tcPr>
            <w:tcW w:w="5198" w:type="dxa"/>
            <w:vAlign w:val="center"/>
          </w:tcPr>
          <w:p w14:paraId="573053AE" w14:textId="77777777" w:rsidR="0015225A" w:rsidRPr="008D1922" w:rsidRDefault="0015225A" w:rsidP="00D07AFA">
            <w:pPr>
              <w:autoSpaceDE w:val="0"/>
              <w:autoSpaceDN w:val="0"/>
              <w:adjustRightInd w:val="0"/>
              <w:jc w:val="center"/>
              <w:rPr>
                <w:rFonts w:eastAsiaTheme="minorHAnsi" w:cs="Arial"/>
                <w:sz w:val="18"/>
                <w:szCs w:val="18"/>
              </w:rPr>
            </w:pPr>
            <w:r w:rsidRPr="008D1922">
              <w:rPr>
                <w:rFonts w:eastAsiaTheme="minorHAnsi" w:cs="Arial"/>
                <w:sz w:val="18"/>
                <w:szCs w:val="18"/>
              </w:rPr>
              <w:t>Safety requirements for in-service testing, inspection and other maintenance procedures and frequencies should be identified in the safety case.</w:t>
            </w:r>
          </w:p>
        </w:tc>
      </w:tr>
      <w:tr w:rsidR="0015225A" w:rsidRPr="00CC121D" w14:paraId="573053B6" w14:textId="77777777" w:rsidTr="00F22B72">
        <w:trPr>
          <w:trHeight w:val="474"/>
          <w:jc w:val="center"/>
        </w:trPr>
        <w:tc>
          <w:tcPr>
            <w:tcW w:w="1853" w:type="dxa"/>
            <w:vMerge/>
            <w:vAlign w:val="center"/>
          </w:tcPr>
          <w:p w14:paraId="573053B1" w14:textId="77777777" w:rsidR="0015225A" w:rsidRPr="008D1922" w:rsidRDefault="0015225A" w:rsidP="00D07AFA">
            <w:pPr>
              <w:autoSpaceDE w:val="0"/>
              <w:autoSpaceDN w:val="0"/>
              <w:adjustRightInd w:val="0"/>
              <w:jc w:val="center"/>
              <w:rPr>
                <w:rFonts w:eastAsiaTheme="minorHAnsi" w:cs="Arial"/>
                <w:bCs/>
                <w:sz w:val="18"/>
                <w:szCs w:val="18"/>
              </w:rPr>
            </w:pPr>
          </w:p>
        </w:tc>
        <w:tc>
          <w:tcPr>
            <w:tcW w:w="1497" w:type="dxa"/>
            <w:vAlign w:val="center"/>
          </w:tcPr>
          <w:p w14:paraId="573053B2"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Frequency</w:t>
            </w:r>
          </w:p>
        </w:tc>
        <w:tc>
          <w:tcPr>
            <w:tcW w:w="1086" w:type="dxa"/>
            <w:vAlign w:val="center"/>
          </w:tcPr>
          <w:p w14:paraId="573053B3"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EMT.2</w:t>
            </w:r>
          </w:p>
        </w:tc>
        <w:tc>
          <w:tcPr>
            <w:tcW w:w="5198" w:type="dxa"/>
            <w:vAlign w:val="center"/>
          </w:tcPr>
          <w:p w14:paraId="573053B4" w14:textId="77777777" w:rsidR="0015225A" w:rsidRPr="008D1922" w:rsidRDefault="0015225A" w:rsidP="00D07AFA">
            <w:pPr>
              <w:widowControl w:val="0"/>
              <w:tabs>
                <w:tab w:val="left" w:pos="720"/>
              </w:tabs>
              <w:jc w:val="center"/>
              <w:rPr>
                <w:rFonts w:eastAsiaTheme="minorHAnsi" w:cs="Arial"/>
                <w:sz w:val="18"/>
                <w:szCs w:val="18"/>
              </w:rPr>
            </w:pPr>
            <w:r w:rsidRPr="008D1922">
              <w:rPr>
                <w:rFonts w:eastAsiaTheme="minorHAnsi" w:cs="Arial"/>
                <w:sz w:val="18"/>
                <w:szCs w:val="18"/>
              </w:rPr>
              <w:t>Structures, systems and components should receive regular and systematic examination, inspection, maintenance and testing as defined in the safety case.</w:t>
            </w:r>
          </w:p>
        </w:tc>
      </w:tr>
      <w:tr w:rsidR="0015225A" w:rsidRPr="00CC121D" w14:paraId="573053BC" w14:textId="77777777" w:rsidTr="00F22B72">
        <w:trPr>
          <w:trHeight w:val="474"/>
          <w:jc w:val="center"/>
        </w:trPr>
        <w:tc>
          <w:tcPr>
            <w:tcW w:w="1853" w:type="dxa"/>
            <w:vMerge/>
            <w:vAlign w:val="center"/>
          </w:tcPr>
          <w:p w14:paraId="573053B7" w14:textId="77777777" w:rsidR="0015225A" w:rsidRPr="008D1922" w:rsidRDefault="0015225A" w:rsidP="00D07AFA">
            <w:pPr>
              <w:autoSpaceDE w:val="0"/>
              <w:autoSpaceDN w:val="0"/>
              <w:adjustRightInd w:val="0"/>
              <w:jc w:val="center"/>
              <w:rPr>
                <w:rFonts w:eastAsiaTheme="minorHAnsi" w:cs="Arial"/>
                <w:bCs/>
                <w:sz w:val="18"/>
                <w:szCs w:val="18"/>
              </w:rPr>
            </w:pPr>
          </w:p>
        </w:tc>
        <w:tc>
          <w:tcPr>
            <w:tcW w:w="1497" w:type="dxa"/>
            <w:vAlign w:val="center"/>
          </w:tcPr>
          <w:p w14:paraId="573053B8"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Type-testing</w:t>
            </w:r>
          </w:p>
        </w:tc>
        <w:tc>
          <w:tcPr>
            <w:tcW w:w="1086" w:type="dxa"/>
            <w:vAlign w:val="center"/>
          </w:tcPr>
          <w:p w14:paraId="573053B9"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EMT.3</w:t>
            </w:r>
          </w:p>
        </w:tc>
        <w:tc>
          <w:tcPr>
            <w:tcW w:w="5198" w:type="dxa"/>
            <w:vAlign w:val="center"/>
          </w:tcPr>
          <w:p w14:paraId="573053BA" w14:textId="77777777" w:rsidR="0015225A" w:rsidRPr="008D1922" w:rsidRDefault="0015225A" w:rsidP="00D07AFA">
            <w:pPr>
              <w:widowControl w:val="0"/>
              <w:tabs>
                <w:tab w:val="left" w:pos="720"/>
              </w:tabs>
              <w:jc w:val="center"/>
              <w:rPr>
                <w:rFonts w:eastAsiaTheme="minorHAnsi" w:cs="Arial"/>
                <w:sz w:val="18"/>
                <w:szCs w:val="18"/>
              </w:rPr>
            </w:pPr>
            <w:r w:rsidRPr="008D1922">
              <w:rPr>
                <w:rFonts w:eastAsiaTheme="minorHAnsi" w:cs="Arial"/>
                <w:sz w:val="18"/>
                <w:szCs w:val="18"/>
              </w:rPr>
              <w:t>Structures, systems and components should be type tested before they are installed to conditions equal to, at least, the most onerous for which they are designed.</w:t>
            </w:r>
          </w:p>
        </w:tc>
      </w:tr>
      <w:tr w:rsidR="0015225A" w:rsidRPr="00CC121D" w14:paraId="573053C2" w14:textId="77777777" w:rsidTr="00F22B72">
        <w:trPr>
          <w:trHeight w:val="474"/>
          <w:jc w:val="center"/>
        </w:trPr>
        <w:tc>
          <w:tcPr>
            <w:tcW w:w="1853" w:type="dxa"/>
            <w:vMerge/>
            <w:vAlign w:val="center"/>
          </w:tcPr>
          <w:p w14:paraId="573053BD" w14:textId="77777777" w:rsidR="0015225A" w:rsidRPr="008D1922" w:rsidRDefault="0015225A" w:rsidP="00D07AFA">
            <w:pPr>
              <w:autoSpaceDE w:val="0"/>
              <w:autoSpaceDN w:val="0"/>
              <w:adjustRightInd w:val="0"/>
              <w:jc w:val="center"/>
              <w:rPr>
                <w:rFonts w:eastAsiaTheme="minorHAnsi" w:cs="Arial"/>
                <w:bCs/>
                <w:sz w:val="18"/>
                <w:szCs w:val="18"/>
              </w:rPr>
            </w:pPr>
          </w:p>
        </w:tc>
        <w:tc>
          <w:tcPr>
            <w:tcW w:w="1497" w:type="dxa"/>
            <w:vAlign w:val="center"/>
          </w:tcPr>
          <w:p w14:paraId="573053BE"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Reliability claims</w:t>
            </w:r>
          </w:p>
        </w:tc>
        <w:tc>
          <w:tcPr>
            <w:tcW w:w="1086" w:type="dxa"/>
            <w:vAlign w:val="center"/>
          </w:tcPr>
          <w:p w14:paraId="573053BF"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EMT.6</w:t>
            </w:r>
          </w:p>
        </w:tc>
        <w:tc>
          <w:tcPr>
            <w:tcW w:w="5198" w:type="dxa"/>
            <w:vAlign w:val="center"/>
          </w:tcPr>
          <w:p w14:paraId="573053C0" w14:textId="77777777" w:rsidR="0015225A" w:rsidRPr="008D1922" w:rsidRDefault="0015225A" w:rsidP="00D07AFA">
            <w:pPr>
              <w:widowControl w:val="0"/>
              <w:tabs>
                <w:tab w:val="left" w:pos="720"/>
              </w:tabs>
              <w:jc w:val="center"/>
              <w:rPr>
                <w:rFonts w:eastAsiaTheme="minorHAnsi" w:cs="Arial"/>
                <w:sz w:val="18"/>
                <w:szCs w:val="18"/>
              </w:rPr>
            </w:pPr>
            <w:r w:rsidRPr="008D1922">
              <w:rPr>
                <w:rFonts w:eastAsiaTheme="minorHAnsi" w:cs="Arial"/>
                <w:sz w:val="18"/>
                <w:szCs w:val="18"/>
              </w:rPr>
              <w:t>Provision should be made for testing, maintaining, monitoring and inspecting structures, systems and components (including portable equipment) in service or at intervals throughout their life, commensurate with the reliability required of each item.</w:t>
            </w:r>
          </w:p>
        </w:tc>
      </w:tr>
      <w:tr w:rsidR="0015225A" w:rsidRPr="00CC121D" w14:paraId="573053C9" w14:textId="77777777" w:rsidTr="00F22B72">
        <w:trPr>
          <w:trHeight w:val="496"/>
          <w:jc w:val="center"/>
        </w:trPr>
        <w:tc>
          <w:tcPr>
            <w:tcW w:w="1853" w:type="dxa"/>
            <w:vMerge w:val="restart"/>
            <w:shd w:val="clear" w:color="auto" w:fill="EEECE1" w:themeFill="background2"/>
            <w:vAlign w:val="center"/>
          </w:tcPr>
          <w:p w14:paraId="573053C3" w14:textId="77777777" w:rsidR="0015225A" w:rsidRPr="008D1922" w:rsidRDefault="0015225A" w:rsidP="00D07AFA">
            <w:pPr>
              <w:autoSpaceDE w:val="0"/>
              <w:autoSpaceDN w:val="0"/>
              <w:adjustRightInd w:val="0"/>
              <w:jc w:val="center"/>
              <w:rPr>
                <w:rFonts w:eastAsiaTheme="minorHAnsi" w:cs="Arial"/>
                <w:bCs/>
                <w:sz w:val="18"/>
                <w:szCs w:val="18"/>
              </w:rPr>
            </w:pPr>
            <w:r w:rsidRPr="008D1922">
              <w:rPr>
                <w:rFonts w:eastAsiaTheme="minorHAnsi" w:cs="Arial"/>
                <w:bCs/>
                <w:sz w:val="18"/>
                <w:szCs w:val="18"/>
              </w:rPr>
              <w:t>Engineering principles: ageing</w:t>
            </w:r>
          </w:p>
          <w:p w14:paraId="573053C4" w14:textId="77777777" w:rsidR="0015225A" w:rsidRPr="008D1922" w:rsidRDefault="0015225A" w:rsidP="00D07AFA">
            <w:pPr>
              <w:jc w:val="center"/>
              <w:rPr>
                <w:rFonts w:cs="Arial"/>
                <w:sz w:val="18"/>
                <w:szCs w:val="18"/>
              </w:rPr>
            </w:pPr>
            <w:r w:rsidRPr="008D1922">
              <w:rPr>
                <w:rFonts w:eastAsiaTheme="minorHAnsi" w:cs="Arial"/>
                <w:bCs/>
                <w:sz w:val="18"/>
                <w:szCs w:val="18"/>
              </w:rPr>
              <w:t>and degradation</w:t>
            </w:r>
          </w:p>
        </w:tc>
        <w:tc>
          <w:tcPr>
            <w:tcW w:w="1497" w:type="dxa"/>
            <w:shd w:val="clear" w:color="auto" w:fill="EEECE1" w:themeFill="background2"/>
            <w:vAlign w:val="center"/>
          </w:tcPr>
          <w:p w14:paraId="573053C5"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Safe working life</w:t>
            </w:r>
          </w:p>
        </w:tc>
        <w:tc>
          <w:tcPr>
            <w:tcW w:w="1086" w:type="dxa"/>
            <w:shd w:val="clear" w:color="auto" w:fill="EEECE1" w:themeFill="background2"/>
            <w:vAlign w:val="center"/>
          </w:tcPr>
          <w:p w14:paraId="573053C6"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EAD.1</w:t>
            </w:r>
          </w:p>
        </w:tc>
        <w:tc>
          <w:tcPr>
            <w:tcW w:w="5198" w:type="dxa"/>
            <w:shd w:val="clear" w:color="auto" w:fill="EEECE1" w:themeFill="background2"/>
            <w:vAlign w:val="center"/>
          </w:tcPr>
          <w:p w14:paraId="573053C7" w14:textId="77777777" w:rsidR="0015225A" w:rsidRPr="008D1922" w:rsidRDefault="0015225A" w:rsidP="00D07AFA">
            <w:pPr>
              <w:widowControl w:val="0"/>
              <w:tabs>
                <w:tab w:val="left" w:pos="720"/>
              </w:tabs>
              <w:jc w:val="center"/>
              <w:rPr>
                <w:rFonts w:cs="Arial"/>
                <w:sz w:val="18"/>
                <w:szCs w:val="18"/>
              </w:rPr>
            </w:pPr>
            <w:r w:rsidRPr="008D1922">
              <w:rPr>
                <w:rFonts w:eastAsiaTheme="minorHAnsi" w:cs="Arial"/>
                <w:sz w:val="18"/>
                <w:szCs w:val="18"/>
              </w:rPr>
              <w:t>The safe working life of structures, systems and components that are important to safety should be evaluated and defined at the design stage.</w:t>
            </w:r>
          </w:p>
        </w:tc>
      </w:tr>
      <w:tr w:rsidR="0015225A" w:rsidRPr="00CC121D" w14:paraId="573053CF" w14:textId="77777777" w:rsidTr="00F22B72">
        <w:trPr>
          <w:jc w:val="center"/>
        </w:trPr>
        <w:tc>
          <w:tcPr>
            <w:tcW w:w="1853" w:type="dxa"/>
            <w:vMerge/>
            <w:shd w:val="clear" w:color="auto" w:fill="EEECE1" w:themeFill="background2"/>
            <w:vAlign w:val="center"/>
          </w:tcPr>
          <w:p w14:paraId="573053CA" w14:textId="77777777" w:rsidR="0015225A" w:rsidRPr="008D1922" w:rsidRDefault="0015225A" w:rsidP="00D07AFA">
            <w:pPr>
              <w:jc w:val="center"/>
              <w:rPr>
                <w:rFonts w:cs="Arial"/>
                <w:sz w:val="18"/>
                <w:szCs w:val="18"/>
              </w:rPr>
            </w:pPr>
          </w:p>
        </w:tc>
        <w:tc>
          <w:tcPr>
            <w:tcW w:w="1497" w:type="dxa"/>
            <w:shd w:val="clear" w:color="auto" w:fill="EEECE1" w:themeFill="background2"/>
            <w:vAlign w:val="center"/>
          </w:tcPr>
          <w:p w14:paraId="573053CB"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Lifetime margins</w:t>
            </w:r>
          </w:p>
        </w:tc>
        <w:tc>
          <w:tcPr>
            <w:tcW w:w="1086" w:type="dxa"/>
            <w:shd w:val="clear" w:color="auto" w:fill="EEECE1" w:themeFill="background2"/>
            <w:vAlign w:val="center"/>
          </w:tcPr>
          <w:p w14:paraId="573053CC"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EAD.2</w:t>
            </w:r>
          </w:p>
        </w:tc>
        <w:tc>
          <w:tcPr>
            <w:tcW w:w="5198" w:type="dxa"/>
            <w:shd w:val="clear" w:color="auto" w:fill="EEECE1" w:themeFill="background2"/>
            <w:vAlign w:val="center"/>
          </w:tcPr>
          <w:p w14:paraId="573053CD" w14:textId="77777777" w:rsidR="0015225A" w:rsidRPr="008D1922" w:rsidRDefault="0015225A" w:rsidP="00D07AFA">
            <w:pPr>
              <w:widowControl w:val="0"/>
              <w:tabs>
                <w:tab w:val="left" w:pos="720"/>
              </w:tabs>
              <w:spacing w:after="120"/>
              <w:jc w:val="center"/>
              <w:rPr>
                <w:rFonts w:cs="Arial"/>
                <w:sz w:val="18"/>
                <w:szCs w:val="18"/>
              </w:rPr>
            </w:pPr>
            <w:r w:rsidRPr="008D1922">
              <w:rPr>
                <w:rFonts w:eastAsiaTheme="minorHAnsi" w:cs="Arial"/>
                <w:sz w:val="18"/>
                <w:szCs w:val="18"/>
              </w:rPr>
              <w:t>Adequate margins should exist throughout the life of a facility to allow for the effects of materials ageing and degradation processes on structures, systems and components.</w:t>
            </w:r>
          </w:p>
        </w:tc>
      </w:tr>
      <w:tr w:rsidR="0015225A" w:rsidRPr="00CC121D" w14:paraId="573053D5" w14:textId="77777777" w:rsidTr="00F22B72">
        <w:trPr>
          <w:trHeight w:val="398"/>
          <w:jc w:val="center"/>
        </w:trPr>
        <w:tc>
          <w:tcPr>
            <w:tcW w:w="1853" w:type="dxa"/>
            <w:vMerge/>
            <w:shd w:val="clear" w:color="auto" w:fill="EEECE1" w:themeFill="background2"/>
            <w:vAlign w:val="center"/>
          </w:tcPr>
          <w:p w14:paraId="573053D0" w14:textId="77777777" w:rsidR="0015225A" w:rsidRPr="008D1922" w:rsidRDefault="0015225A" w:rsidP="00D07AFA">
            <w:pPr>
              <w:widowControl w:val="0"/>
              <w:tabs>
                <w:tab w:val="left" w:pos="720"/>
              </w:tabs>
              <w:spacing w:after="120"/>
              <w:jc w:val="center"/>
              <w:rPr>
                <w:rFonts w:cs="Arial"/>
                <w:sz w:val="18"/>
                <w:szCs w:val="18"/>
              </w:rPr>
            </w:pPr>
          </w:p>
        </w:tc>
        <w:tc>
          <w:tcPr>
            <w:tcW w:w="1497" w:type="dxa"/>
            <w:shd w:val="clear" w:color="auto" w:fill="EEECE1" w:themeFill="background2"/>
            <w:vAlign w:val="center"/>
          </w:tcPr>
          <w:p w14:paraId="573053D1"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Periodic measurement of parameters</w:t>
            </w:r>
          </w:p>
        </w:tc>
        <w:tc>
          <w:tcPr>
            <w:tcW w:w="1086" w:type="dxa"/>
            <w:shd w:val="clear" w:color="auto" w:fill="EEECE1" w:themeFill="background2"/>
            <w:vAlign w:val="center"/>
          </w:tcPr>
          <w:p w14:paraId="573053D2"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EAD.3</w:t>
            </w:r>
          </w:p>
        </w:tc>
        <w:tc>
          <w:tcPr>
            <w:tcW w:w="5198" w:type="dxa"/>
            <w:shd w:val="clear" w:color="auto" w:fill="EEECE1" w:themeFill="background2"/>
            <w:vAlign w:val="center"/>
          </w:tcPr>
          <w:p w14:paraId="573053D3"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lang w:eastAsia="en-GB"/>
              </w:rPr>
              <w:t>Where material properties could change with time and affect safety, provision should be made for periodic measurement of the properties.</w:t>
            </w:r>
          </w:p>
        </w:tc>
      </w:tr>
      <w:tr w:rsidR="0015225A" w:rsidRPr="00CC121D" w14:paraId="573053E0" w14:textId="77777777" w:rsidTr="00F22B72">
        <w:trPr>
          <w:trHeight w:val="808"/>
          <w:jc w:val="center"/>
        </w:trPr>
        <w:tc>
          <w:tcPr>
            <w:tcW w:w="1853" w:type="dxa"/>
            <w:vMerge/>
            <w:shd w:val="clear" w:color="auto" w:fill="EEECE1" w:themeFill="background2"/>
            <w:vAlign w:val="center"/>
          </w:tcPr>
          <w:p w14:paraId="573053D6" w14:textId="77777777" w:rsidR="0015225A" w:rsidRPr="008D1922" w:rsidRDefault="0015225A" w:rsidP="00D07AFA">
            <w:pPr>
              <w:jc w:val="center"/>
              <w:rPr>
                <w:rFonts w:cs="Arial"/>
                <w:sz w:val="18"/>
                <w:szCs w:val="18"/>
              </w:rPr>
            </w:pPr>
          </w:p>
        </w:tc>
        <w:tc>
          <w:tcPr>
            <w:tcW w:w="1497" w:type="dxa"/>
            <w:shd w:val="clear" w:color="auto" w:fill="EEECE1" w:themeFill="background2"/>
            <w:vAlign w:val="center"/>
          </w:tcPr>
          <w:p w14:paraId="573053D7" w14:textId="77777777" w:rsidR="0015225A" w:rsidRPr="008D1922" w:rsidRDefault="0015225A" w:rsidP="00D07AFA">
            <w:pPr>
              <w:jc w:val="center"/>
              <w:rPr>
                <w:rFonts w:cs="Arial"/>
                <w:sz w:val="18"/>
                <w:szCs w:val="18"/>
              </w:rPr>
            </w:pPr>
          </w:p>
        </w:tc>
        <w:tc>
          <w:tcPr>
            <w:tcW w:w="1086" w:type="dxa"/>
            <w:shd w:val="clear" w:color="auto" w:fill="EEECE1" w:themeFill="background2"/>
            <w:vAlign w:val="center"/>
          </w:tcPr>
          <w:p w14:paraId="573053D8" w14:textId="77777777" w:rsidR="0015225A" w:rsidRPr="008D1922" w:rsidRDefault="0015225A" w:rsidP="00D07AFA">
            <w:pPr>
              <w:widowControl w:val="0"/>
              <w:tabs>
                <w:tab w:val="left" w:pos="720"/>
              </w:tabs>
              <w:jc w:val="center"/>
              <w:rPr>
                <w:rFonts w:cs="Arial"/>
                <w:sz w:val="18"/>
                <w:szCs w:val="18"/>
              </w:rPr>
            </w:pPr>
          </w:p>
          <w:p w14:paraId="573053D9" w14:textId="77777777" w:rsidR="0015225A" w:rsidRPr="008D1922" w:rsidRDefault="0015225A" w:rsidP="00D07AFA">
            <w:pPr>
              <w:widowControl w:val="0"/>
              <w:tabs>
                <w:tab w:val="left" w:pos="720"/>
              </w:tabs>
              <w:jc w:val="center"/>
              <w:rPr>
                <w:rFonts w:cs="Arial"/>
                <w:sz w:val="18"/>
                <w:szCs w:val="18"/>
              </w:rPr>
            </w:pPr>
          </w:p>
          <w:p w14:paraId="573053DA"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EAD.4</w:t>
            </w:r>
          </w:p>
          <w:p w14:paraId="573053DB" w14:textId="77777777" w:rsidR="0015225A" w:rsidRPr="008D1922" w:rsidRDefault="0015225A" w:rsidP="00D07AFA">
            <w:pPr>
              <w:widowControl w:val="0"/>
              <w:tabs>
                <w:tab w:val="left" w:pos="720"/>
              </w:tabs>
              <w:jc w:val="center"/>
              <w:rPr>
                <w:rFonts w:cs="Arial"/>
                <w:sz w:val="18"/>
                <w:szCs w:val="18"/>
              </w:rPr>
            </w:pPr>
          </w:p>
        </w:tc>
        <w:tc>
          <w:tcPr>
            <w:tcW w:w="5198" w:type="dxa"/>
            <w:shd w:val="clear" w:color="auto" w:fill="EEECE1" w:themeFill="background2"/>
            <w:vAlign w:val="center"/>
          </w:tcPr>
          <w:p w14:paraId="573053DC" w14:textId="77777777" w:rsidR="0015225A" w:rsidRPr="008D1922" w:rsidRDefault="0015225A" w:rsidP="00D07AFA">
            <w:pPr>
              <w:jc w:val="center"/>
              <w:rPr>
                <w:rFonts w:eastAsiaTheme="minorHAnsi" w:cs="Arial"/>
                <w:sz w:val="18"/>
                <w:szCs w:val="18"/>
              </w:rPr>
            </w:pPr>
          </w:p>
          <w:p w14:paraId="573053DD" w14:textId="77777777" w:rsidR="0015225A" w:rsidRPr="008D1922" w:rsidRDefault="0015225A" w:rsidP="00D07AFA">
            <w:pPr>
              <w:jc w:val="center"/>
              <w:rPr>
                <w:rFonts w:cs="Arial"/>
                <w:sz w:val="18"/>
                <w:szCs w:val="18"/>
                <w:lang w:eastAsia="en-GB"/>
              </w:rPr>
            </w:pPr>
            <w:r w:rsidRPr="008D1922">
              <w:rPr>
                <w:rFonts w:eastAsiaTheme="minorHAnsi" w:cs="Arial"/>
                <w:sz w:val="18"/>
                <w:szCs w:val="18"/>
              </w:rPr>
              <w:t>Where parameters relevant to the design of plant could change with time and affect safety, provision should be made for their periodic measurement.</w:t>
            </w:r>
          </w:p>
          <w:p w14:paraId="573053DE" w14:textId="77777777" w:rsidR="0015225A" w:rsidRPr="008D1922" w:rsidRDefault="0015225A" w:rsidP="00D07AFA">
            <w:pPr>
              <w:jc w:val="center"/>
              <w:rPr>
                <w:rFonts w:cs="Arial"/>
                <w:sz w:val="18"/>
                <w:szCs w:val="18"/>
              </w:rPr>
            </w:pPr>
          </w:p>
        </w:tc>
      </w:tr>
      <w:tr w:rsidR="0015225A" w:rsidRPr="00CC121D" w14:paraId="573053E6" w14:textId="77777777" w:rsidTr="00F22B72">
        <w:trPr>
          <w:trHeight w:val="808"/>
          <w:jc w:val="center"/>
        </w:trPr>
        <w:tc>
          <w:tcPr>
            <w:tcW w:w="1853" w:type="dxa"/>
            <w:vMerge/>
            <w:shd w:val="clear" w:color="auto" w:fill="EEECE1" w:themeFill="background2"/>
            <w:vAlign w:val="center"/>
          </w:tcPr>
          <w:p w14:paraId="573053E1" w14:textId="77777777" w:rsidR="0015225A" w:rsidRPr="008D1922" w:rsidRDefault="0015225A" w:rsidP="00D07AFA">
            <w:pPr>
              <w:jc w:val="center"/>
              <w:rPr>
                <w:rFonts w:cs="Arial"/>
                <w:sz w:val="18"/>
                <w:szCs w:val="18"/>
              </w:rPr>
            </w:pPr>
          </w:p>
        </w:tc>
        <w:tc>
          <w:tcPr>
            <w:tcW w:w="1497" w:type="dxa"/>
            <w:shd w:val="clear" w:color="auto" w:fill="EEECE1" w:themeFill="background2"/>
            <w:vAlign w:val="center"/>
          </w:tcPr>
          <w:p w14:paraId="573053E2" w14:textId="77777777" w:rsidR="0015225A" w:rsidRPr="008D1922" w:rsidRDefault="0015225A" w:rsidP="00D07AFA">
            <w:pPr>
              <w:jc w:val="center"/>
              <w:rPr>
                <w:rFonts w:cs="Arial"/>
                <w:sz w:val="18"/>
                <w:szCs w:val="18"/>
              </w:rPr>
            </w:pPr>
            <w:r w:rsidRPr="008D1922">
              <w:rPr>
                <w:rFonts w:cs="Arial"/>
                <w:sz w:val="18"/>
                <w:szCs w:val="18"/>
                <w:lang w:eastAsia="en-GB"/>
              </w:rPr>
              <w:t>Obsolescence</w:t>
            </w:r>
          </w:p>
        </w:tc>
        <w:tc>
          <w:tcPr>
            <w:tcW w:w="1086" w:type="dxa"/>
            <w:shd w:val="clear" w:color="auto" w:fill="EEECE1" w:themeFill="background2"/>
            <w:vAlign w:val="center"/>
          </w:tcPr>
          <w:p w14:paraId="573053E3"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EAD.5</w:t>
            </w:r>
          </w:p>
        </w:tc>
        <w:tc>
          <w:tcPr>
            <w:tcW w:w="5198" w:type="dxa"/>
            <w:shd w:val="clear" w:color="auto" w:fill="EEECE1" w:themeFill="background2"/>
            <w:vAlign w:val="center"/>
          </w:tcPr>
          <w:p w14:paraId="573053E4" w14:textId="77777777" w:rsidR="0015225A" w:rsidRPr="008D1922" w:rsidRDefault="0015225A" w:rsidP="00D07AFA">
            <w:pPr>
              <w:jc w:val="center"/>
              <w:rPr>
                <w:rFonts w:eastAsiaTheme="minorHAnsi" w:cs="Arial"/>
                <w:sz w:val="18"/>
                <w:szCs w:val="18"/>
              </w:rPr>
            </w:pPr>
            <w:r w:rsidRPr="008D1922">
              <w:rPr>
                <w:rFonts w:cs="Arial"/>
                <w:sz w:val="18"/>
                <w:szCs w:val="18"/>
                <w:lang w:eastAsia="en-GB"/>
              </w:rPr>
              <w:t>A process for reviewing the obsolescence of structures, systems and components important to safety should be in place.</w:t>
            </w:r>
          </w:p>
        </w:tc>
      </w:tr>
      <w:tr w:rsidR="0015225A" w:rsidRPr="00CC121D" w14:paraId="573053EC" w14:textId="77777777" w:rsidTr="00F22B72">
        <w:trPr>
          <w:jc w:val="center"/>
        </w:trPr>
        <w:tc>
          <w:tcPr>
            <w:tcW w:w="1853" w:type="dxa"/>
            <w:vMerge w:val="restart"/>
            <w:vAlign w:val="center"/>
          </w:tcPr>
          <w:p w14:paraId="573053E7" w14:textId="77777777" w:rsidR="0015225A" w:rsidRPr="008D1922" w:rsidRDefault="0015225A" w:rsidP="00D07AFA">
            <w:pPr>
              <w:jc w:val="center"/>
              <w:rPr>
                <w:rFonts w:cs="Arial"/>
                <w:sz w:val="18"/>
                <w:szCs w:val="18"/>
              </w:rPr>
            </w:pPr>
            <w:r w:rsidRPr="008D1922">
              <w:rPr>
                <w:rFonts w:cs="Arial"/>
                <w:sz w:val="18"/>
                <w:szCs w:val="18"/>
              </w:rPr>
              <w:t>Engineering principles: layout</w:t>
            </w:r>
          </w:p>
        </w:tc>
        <w:tc>
          <w:tcPr>
            <w:tcW w:w="1497" w:type="dxa"/>
            <w:vAlign w:val="center"/>
          </w:tcPr>
          <w:p w14:paraId="573053E8"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Access</w:t>
            </w:r>
          </w:p>
        </w:tc>
        <w:tc>
          <w:tcPr>
            <w:tcW w:w="1086" w:type="dxa"/>
            <w:vAlign w:val="center"/>
          </w:tcPr>
          <w:p w14:paraId="573053E9"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ELO.1</w:t>
            </w:r>
          </w:p>
        </w:tc>
        <w:tc>
          <w:tcPr>
            <w:tcW w:w="5198" w:type="dxa"/>
            <w:vAlign w:val="center"/>
          </w:tcPr>
          <w:p w14:paraId="573053EA" w14:textId="77777777" w:rsidR="0015225A" w:rsidRPr="008D1922" w:rsidRDefault="0015225A" w:rsidP="00D07AFA">
            <w:pPr>
              <w:widowControl w:val="0"/>
              <w:tabs>
                <w:tab w:val="left" w:pos="720"/>
              </w:tabs>
              <w:jc w:val="center"/>
              <w:rPr>
                <w:rFonts w:cs="Arial"/>
                <w:sz w:val="18"/>
                <w:szCs w:val="18"/>
              </w:rPr>
            </w:pPr>
            <w:r w:rsidRPr="008D1922">
              <w:rPr>
                <w:rFonts w:eastAsiaTheme="minorHAnsi" w:cs="Arial"/>
                <w:sz w:val="18"/>
                <w:szCs w:val="18"/>
              </w:rPr>
              <w:t>The design and layout should facilitate access for necessary activities and minimise adverse interactions while not compromising security aspects.</w:t>
            </w:r>
          </w:p>
        </w:tc>
      </w:tr>
      <w:tr w:rsidR="0015225A" w:rsidRPr="00CC121D" w14:paraId="573053F2" w14:textId="77777777" w:rsidTr="00F22B72">
        <w:trPr>
          <w:trHeight w:val="981"/>
          <w:jc w:val="center"/>
        </w:trPr>
        <w:tc>
          <w:tcPr>
            <w:tcW w:w="1853" w:type="dxa"/>
            <w:vMerge/>
            <w:vAlign w:val="center"/>
          </w:tcPr>
          <w:p w14:paraId="573053ED" w14:textId="77777777" w:rsidR="0015225A" w:rsidRPr="008D1922" w:rsidRDefault="0015225A" w:rsidP="00D07AFA">
            <w:pPr>
              <w:jc w:val="center"/>
              <w:rPr>
                <w:rFonts w:cs="Arial"/>
                <w:sz w:val="18"/>
                <w:szCs w:val="18"/>
              </w:rPr>
            </w:pPr>
          </w:p>
        </w:tc>
        <w:tc>
          <w:tcPr>
            <w:tcW w:w="1497" w:type="dxa"/>
            <w:vAlign w:val="center"/>
          </w:tcPr>
          <w:p w14:paraId="573053EE"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Minimisation of the effects of incidents</w:t>
            </w:r>
          </w:p>
        </w:tc>
        <w:tc>
          <w:tcPr>
            <w:tcW w:w="1086" w:type="dxa"/>
            <w:vAlign w:val="center"/>
          </w:tcPr>
          <w:p w14:paraId="573053EF"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ELO.4</w:t>
            </w:r>
          </w:p>
        </w:tc>
        <w:tc>
          <w:tcPr>
            <w:tcW w:w="5198" w:type="dxa"/>
            <w:vAlign w:val="center"/>
          </w:tcPr>
          <w:p w14:paraId="573053F0" w14:textId="77777777" w:rsidR="0015225A" w:rsidRPr="008D1922" w:rsidRDefault="0015225A" w:rsidP="00D07AFA">
            <w:pPr>
              <w:widowControl w:val="0"/>
              <w:tabs>
                <w:tab w:val="left" w:pos="720"/>
              </w:tabs>
              <w:jc w:val="center"/>
              <w:rPr>
                <w:rFonts w:cs="Arial"/>
                <w:sz w:val="18"/>
                <w:szCs w:val="18"/>
              </w:rPr>
            </w:pPr>
            <w:r w:rsidRPr="008D1922">
              <w:rPr>
                <w:rFonts w:eastAsiaTheme="minorHAnsi" w:cs="Arial"/>
                <w:sz w:val="18"/>
                <w:szCs w:val="18"/>
              </w:rPr>
              <w:t>The design and layout of the site, its facilities (including enclosed plant), support facilities and services should be such that the effects of faults and accidents are minimised.</w:t>
            </w:r>
          </w:p>
        </w:tc>
      </w:tr>
      <w:tr w:rsidR="0015225A" w:rsidRPr="00CC121D" w14:paraId="573053F9" w14:textId="77777777" w:rsidTr="00F22B72">
        <w:trPr>
          <w:jc w:val="center"/>
        </w:trPr>
        <w:tc>
          <w:tcPr>
            <w:tcW w:w="1853" w:type="dxa"/>
            <w:vMerge w:val="restart"/>
            <w:shd w:val="clear" w:color="auto" w:fill="EEECE1" w:themeFill="background2"/>
            <w:vAlign w:val="center"/>
          </w:tcPr>
          <w:p w14:paraId="573053F3" w14:textId="77777777" w:rsidR="0015225A" w:rsidRPr="008D1922" w:rsidRDefault="0015225A" w:rsidP="00D07AFA">
            <w:pPr>
              <w:autoSpaceDE w:val="0"/>
              <w:autoSpaceDN w:val="0"/>
              <w:adjustRightInd w:val="0"/>
              <w:jc w:val="center"/>
              <w:rPr>
                <w:rFonts w:cs="Arial"/>
                <w:bCs/>
                <w:sz w:val="18"/>
                <w:szCs w:val="18"/>
                <w:lang w:eastAsia="en-GB"/>
              </w:rPr>
            </w:pPr>
            <w:r w:rsidRPr="008D1922">
              <w:rPr>
                <w:rFonts w:cs="Arial"/>
                <w:bCs/>
                <w:sz w:val="18"/>
                <w:szCs w:val="18"/>
                <w:lang w:eastAsia="en-GB"/>
              </w:rPr>
              <w:t>Engineering principles: external</w:t>
            </w:r>
          </w:p>
          <w:p w14:paraId="573053F4" w14:textId="77777777" w:rsidR="0015225A" w:rsidRPr="008D1922" w:rsidRDefault="0015225A" w:rsidP="00D07AFA">
            <w:pPr>
              <w:jc w:val="center"/>
              <w:rPr>
                <w:rFonts w:cs="Arial"/>
                <w:sz w:val="18"/>
                <w:szCs w:val="18"/>
              </w:rPr>
            </w:pPr>
            <w:r w:rsidRPr="008D1922">
              <w:rPr>
                <w:rFonts w:cs="Arial"/>
                <w:bCs/>
                <w:sz w:val="18"/>
                <w:szCs w:val="18"/>
                <w:lang w:eastAsia="en-GB"/>
              </w:rPr>
              <w:t>and internal hazards</w:t>
            </w:r>
          </w:p>
        </w:tc>
        <w:tc>
          <w:tcPr>
            <w:tcW w:w="1497" w:type="dxa"/>
            <w:shd w:val="clear" w:color="auto" w:fill="EEECE1" w:themeFill="background2"/>
            <w:vAlign w:val="center"/>
          </w:tcPr>
          <w:p w14:paraId="573053F5"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lang w:eastAsia="en-GB"/>
              </w:rPr>
              <w:t>Identification and characterisation</w:t>
            </w:r>
          </w:p>
        </w:tc>
        <w:tc>
          <w:tcPr>
            <w:tcW w:w="1086" w:type="dxa"/>
            <w:shd w:val="clear" w:color="auto" w:fill="EEECE1" w:themeFill="background2"/>
            <w:vAlign w:val="center"/>
          </w:tcPr>
          <w:p w14:paraId="573053F6"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EHA.1</w:t>
            </w:r>
          </w:p>
        </w:tc>
        <w:tc>
          <w:tcPr>
            <w:tcW w:w="5198" w:type="dxa"/>
            <w:shd w:val="clear" w:color="auto" w:fill="EEECE1" w:themeFill="background2"/>
            <w:vAlign w:val="center"/>
          </w:tcPr>
          <w:p w14:paraId="573053F7" w14:textId="77777777" w:rsidR="0015225A" w:rsidRPr="008D1922" w:rsidRDefault="0015225A" w:rsidP="00D07AFA">
            <w:pPr>
              <w:widowControl w:val="0"/>
              <w:tabs>
                <w:tab w:val="left" w:pos="720"/>
              </w:tabs>
              <w:jc w:val="center"/>
              <w:rPr>
                <w:rFonts w:cs="Arial"/>
                <w:sz w:val="18"/>
                <w:szCs w:val="18"/>
                <w:lang w:eastAsia="en-GB"/>
              </w:rPr>
            </w:pPr>
            <w:r w:rsidRPr="008D1922">
              <w:rPr>
                <w:rFonts w:cs="Arial"/>
                <w:sz w:val="18"/>
                <w:szCs w:val="18"/>
                <w:lang w:eastAsia="en-GB"/>
              </w:rPr>
              <w:t>An effective process should be applied to identify and characterise all external and internal hazards that could affect the safety of the facility.</w:t>
            </w:r>
          </w:p>
        </w:tc>
      </w:tr>
      <w:tr w:rsidR="0015225A" w:rsidRPr="00CC121D" w14:paraId="573053FF" w14:textId="77777777" w:rsidTr="00F22B72">
        <w:trPr>
          <w:jc w:val="center"/>
        </w:trPr>
        <w:tc>
          <w:tcPr>
            <w:tcW w:w="1853" w:type="dxa"/>
            <w:vMerge/>
            <w:shd w:val="clear" w:color="auto" w:fill="EEECE1" w:themeFill="background2"/>
            <w:vAlign w:val="center"/>
          </w:tcPr>
          <w:p w14:paraId="573053FA" w14:textId="77777777" w:rsidR="0015225A" w:rsidRPr="008D1922" w:rsidRDefault="0015225A" w:rsidP="00D07AFA">
            <w:pPr>
              <w:autoSpaceDE w:val="0"/>
              <w:autoSpaceDN w:val="0"/>
              <w:adjustRightInd w:val="0"/>
              <w:jc w:val="center"/>
              <w:rPr>
                <w:rFonts w:cs="Arial"/>
                <w:bCs/>
                <w:sz w:val="18"/>
                <w:szCs w:val="18"/>
                <w:lang w:eastAsia="en-GB"/>
              </w:rPr>
            </w:pPr>
          </w:p>
        </w:tc>
        <w:tc>
          <w:tcPr>
            <w:tcW w:w="1497" w:type="dxa"/>
            <w:shd w:val="clear" w:color="auto" w:fill="EEECE1" w:themeFill="background2"/>
            <w:vAlign w:val="center"/>
          </w:tcPr>
          <w:p w14:paraId="573053FB" w14:textId="77777777" w:rsidR="0015225A" w:rsidRPr="008D1922" w:rsidRDefault="0015225A" w:rsidP="00D07AFA">
            <w:pPr>
              <w:widowControl w:val="0"/>
              <w:tabs>
                <w:tab w:val="left" w:pos="720"/>
              </w:tabs>
              <w:jc w:val="center"/>
              <w:rPr>
                <w:rFonts w:cs="Arial"/>
                <w:sz w:val="18"/>
                <w:szCs w:val="18"/>
                <w:lang w:eastAsia="en-GB"/>
              </w:rPr>
            </w:pPr>
            <w:r w:rsidRPr="008D1922">
              <w:rPr>
                <w:rFonts w:cs="Arial"/>
                <w:sz w:val="18"/>
                <w:szCs w:val="18"/>
                <w:lang w:eastAsia="en-GB"/>
              </w:rPr>
              <w:t>Data sources</w:t>
            </w:r>
          </w:p>
        </w:tc>
        <w:tc>
          <w:tcPr>
            <w:tcW w:w="1086" w:type="dxa"/>
            <w:shd w:val="clear" w:color="auto" w:fill="EEECE1" w:themeFill="background2"/>
            <w:vAlign w:val="center"/>
          </w:tcPr>
          <w:p w14:paraId="573053FC"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EHA.2</w:t>
            </w:r>
          </w:p>
        </w:tc>
        <w:tc>
          <w:tcPr>
            <w:tcW w:w="5198" w:type="dxa"/>
            <w:shd w:val="clear" w:color="auto" w:fill="EEECE1" w:themeFill="background2"/>
            <w:vAlign w:val="center"/>
          </w:tcPr>
          <w:p w14:paraId="573053FD" w14:textId="77777777" w:rsidR="0015225A" w:rsidRPr="008D1922" w:rsidRDefault="0015225A" w:rsidP="00D07AFA">
            <w:pPr>
              <w:widowControl w:val="0"/>
              <w:tabs>
                <w:tab w:val="left" w:pos="720"/>
              </w:tabs>
              <w:jc w:val="center"/>
              <w:rPr>
                <w:rFonts w:cs="Arial"/>
                <w:sz w:val="18"/>
                <w:szCs w:val="18"/>
                <w:lang w:eastAsia="en-GB"/>
              </w:rPr>
            </w:pPr>
            <w:r w:rsidRPr="008D1922">
              <w:rPr>
                <w:rFonts w:cs="Arial"/>
                <w:sz w:val="18"/>
                <w:szCs w:val="18"/>
                <w:lang w:eastAsia="en-GB"/>
              </w:rPr>
              <w:t>For each type of external hazard either site-specific or, if this is not appropriate, best available relevant data should be used to determine the relationship between event magnitudes and their frequencies.</w:t>
            </w:r>
          </w:p>
        </w:tc>
      </w:tr>
      <w:tr w:rsidR="0015225A" w:rsidRPr="00CC121D" w14:paraId="57305406" w14:textId="77777777" w:rsidTr="00F22B72">
        <w:trPr>
          <w:jc w:val="center"/>
        </w:trPr>
        <w:tc>
          <w:tcPr>
            <w:tcW w:w="1853" w:type="dxa"/>
            <w:vMerge/>
            <w:shd w:val="clear" w:color="auto" w:fill="EEECE1" w:themeFill="background2"/>
            <w:vAlign w:val="center"/>
          </w:tcPr>
          <w:p w14:paraId="57305400" w14:textId="77777777" w:rsidR="0015225A" w:rsidRPr="008D1922" w:rsidRDefault="0015225A" w:rsidP="00D07AFA">
            <w:pPr>
              <w:jc w:val="center"/>
              <w:rPr>
                <w:rFonts w:cs="Arial"/>
                <w:sz w:val="18"/>
                <w:szCs w:val="18"/>
              </w:rPr>
            </w:pPr>
          </w:p>
        </w:tc>
        <w:tc>
          <w:tcPr>
            <w:tcW w:w="1497" w:type="dxa"/>
            <w:shd w:val="clear" w:color="auto" w:fill="EEECE1" w:themeFill="background2"/>
            <w:vAlign w:val="center"/>
          </w:tcPr>
          <w:p w14:paraId="57305401"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lang w:eastAsia="en-GB"/>
              </w:rPr>
              <w:t>Design basis events</w:t>
            </w:r>
          </w:p>
          <w:p w14:paraId="57305402" w14:textId="77777777" w:rsidR="0015225A" w:rsidRPr="008D1922" w:rsidRDefault="0015225A" w:rsidP="00D07AFA">
            <w:pPr>
              <w:widowControl w:val="0"/>
              <w:tabs>
                <w:tab w:val="left" w:pos="720"/>
              </w:tabs>
              <w:jc w:val="center"/>
              <w:rPr>
                <w:rFonts w:cs="Arial"/>
                <w:sz w:val="18"/>
                <w:szCs w:val="18"/>
              </w:rPr>
            </w:pPr>
          </w:p>
        </w:tc>
        <w:tc>
          <w:tcPr>
            <w:tcW w:w="1086" w:type="dxa"/>
            <w:shd w:val="clear" w:color="auto" w:fill="EEECE1" w:themeFill="background2"/>
            <w:vAlign w:val="center"/>
          </w:tcPr>
          <w:p w14:paraId="57305403"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EHA.3</w:t>
            </w:r>
          </w:p>
        </w:tc>
        <w:tc>
          <w:tcPr>
            <w:tcW w:w="5198" w:type="dxa"/>
            <w:shd w:val="clear" w:color="auto" w:fill="EEECE1" w:themeFill="background2"/>
            <w:vAlign w:val="center"/>
          </w:tcPr>
          <w:p w14:paraId="57305404" w14:textId="77777777" w:rsidR="0015225A" w:rsidRPr="008D1922" w:rsidRDefault="0015225A" w:rsidP="00D07AFA">
            <w:pPr>
              <w:widowControl w:val="0"/>
              <w:tabs>
                <w:tab w:val="left" w:pos="720"/>
              </w:tabs>
              <w:jc w:val="center"/>
              <w:rPr>
                <w:rFonts w:cs="Arial"/>
                <w:sz w:val="18"/>
                <w:szCs w:val="18"/>
                <w:lang w:eastAsia="en-GB"/>
              </w:rPr>
            </w:pPr>
            <w:r w:rsidRPr="008D1922">
              <w:rPr>
                <w:rFonts w:cs="Arial"/>
                <w:sz w:val="18"/>
                <w:szCs w:val="18"/>
                <w:lang w:eastAsia="en-GB"/>
              </w:rPr>
              <w:t>For each internal or external hazard which cannot be excluded on the basis of either; low frequency or insignificant consequence (see Principle EHA.19), a design basis event should be derived.</w:t>
            </w:r>
          </w:p>
        </w:tc>
      </w:tr>
      <w:tr w:rsidR="0015225A" w:rsidRPr="00CC121D" w14:paraId="5730540E" w14:textId="77777777" w:rsidTr="00F22B72">
        <w:trPr>
          <w:jc w:val="center"/>
        </w:trPr>
        <w:tc>
          <w:tcPr>
            <w:tcW w:w="1853" w:type="dxa"/>
            <w:vMerge/>
            <w:shd w:val="clear" w:color="auto" w:fill="EEECE1" w:themeFill="background2"/>
            <w:vAlign w:val="center"/>
          </w:tcPr>
          <w:p w14:paraId="57305407" w14:textId="77777777" w:rsidR="0015225A" w:rsidRPr="008D1922" w:rsidRDefault="0015225A" w:rsidP="00D07AFA">
            <w:pPr>
              <w:jc w:val="center"/>
              <w:rPr>
                <w:rFonts w:cs="Arial"/>
                <w:sz w:val="18"/>
                <w:szCs w:val="18"/>
              </w:rPr>
            </w:pPr>
          </w:p>
        </w:tc>
        <w:tc>
          <w:tcPr>
            <w:tcW w:w="1497" w:type="dxa"/>
            <w:shd w:val="clear" w:color="auto" w:fill="EEECE1" w:themeFill="background2"/>
            <w:vAlign w:val="center"/>
          </w:tcPr>
          <w:p w14:paraId="57305408"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lang w:eastAsia="en-GB"/>
              </w:rPr>
              <w:t>Frequency of initiating event</w:t>
            </w:r>
          </w:p>
        </w:tc>
        <w:tc>
          <w:tcPr>
            <w:tcW w:w="1086" w:type="dxa"/>
            <w:shd w:val="clear" w:color="auto" w:fill="EEECE1" w:themeFill="background2"/>
            <w:vAlign w:val="center"/>
          </w:tcPr>
          <w:p w14:paraId="57305409"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EHA.4</w:t>
            </w:r>
          </w:p>
        </w:tc>
        <w:tc>
          <w:tcPr>
            <w:tcW w:w="5198" w:type="dxa"/>
            <w:shd w:val="clear" w:color="auto" w:fill="EEECE1" w:themeFill="background2"/>
            <w:vAlign w:val="center"/>
          </w:tcPr>
          <w:p w14:paraId="5730540A" w14:textId="77777777" w:rsidR="0015225A" w:rsidRPr="008D1922" w:rsidRDefault="0015225A" w:rsidP="00D07AFA">
            <w:pPr>
              <w:autoSpaceDE w:val="0"/>
              <w:autoSpaceDN w:val="0"/>
              <w:adjustRightInd w:val="0"/>
              <w:jc w:val="center"/>
              <w:rPr>
                <w:rFonts w:cs="Arial"/>
                <w:sz w:val="18"/>
                <w:szCs w:val="18"/>
                <w:lang w:eastAsia="en-GB"/>
              </w:rPr>
            </w:pPr>
            <w:r w:rsidRPr="008D1922">
              <w:rPr>
                <w:rFonts w:cs="Arial"/>
                <w:sz w:val="18"/>
                <w:szCs w:val="18"/>
                <w:lang w:eastAsia="en-GB"/>
              </w:rPr>
              <w:t>For natural external hazards, characterised by frequency of exceedance hazard curves and</w:t>
            </w:r>
          </w:p>
          <w:p w14:paraId="5730540B" w14:textId="77777777" w:rsidR="0015225A" w:rsidRPr="008D1922" w:rsidRDefault="0015225A" w:rsidP="00D07AFA">
            <w:pPr>
              <w:autoSpaceDE w:val="0"/>
              <w:autoSpaceDN w:val="0"/>
              <w:adjustRightInd w:val="0"/>
              <w:jc w:val="center"/>
              <w:rPr>
                <w:rFonts w:cs="Arial"/>
                <w:sz w:val="18"/>
                <w:szCs w:val="18"/>
                <w:lang w:eastAsia="en-GB"/>
              </w:rPr>
            </w:pPr>
            <w:r w:rsidRPr="008D1922">
              <w:rPr>
                <w:rFonts w:cs="Arial"/>
                <w:sz w:val="18"/>
                <w:szCs w:val="18"/>
                <w:lang w:eastAsia="en-GB"/>
              </w:rPr>
              <w:t>internal hazards, the design basis event for an internal or external hazard should be derived to have a predicted frequency of exceedance that accords with Fault Analysis Principle FA.5.</w:t>
            </w:r>
          </w:p>
          <w:p w14:paraId="5730540C"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lang w:eastAsia="en-GB"/>
              </w:rPr>
              <w:t>The thresholds set in Principle FA.5 for design basis events are 1 in 10 000 years for external hazards and 1 in 100 000 years for man-made external hazards and all internal hazards (see also paragraph 629).</w:t>
            </w:r>
          </w:p>
        </w:tc>
      </w:tr>
      <w:tr w:rsidR="0015225A" w:rsidRPr="00CC121D" w14:paraId="57305414" w14:textId="77777777" w:rsidTr="00F22B72">
        <w:trPr>
          <w:jc w:val="center"/>
        </w:trPr>
        <w:tc>
          <w:tcPr>
            <w:tcW w:w="1853" w:type="dxa"/>
            <w:vMerge/>
            <w:shd w:val="clear" w:color="auto" w:fill="EEECE1" w:themeFill="background2"/>
            <w:vAlign w:val="center"/>
          </w:tcPr>
          <w:p w14:paraId="5730540F" w14:textId="77777777" w:rsidR="0015225A" w:rsidRPr="008D1922" w:rsidRDefault="0015225A" w:rsidP="00D07AFA">
            <w:pPr>
              <w:jc w:val="center"/>
              <w:rPr>
                <w:rFonts w:cs="Arial"/>
                <w:sz w:val="18"/>
                <w:szCs w:val="18"/>
              </w:rPr>
            </w:pPr>
          </w:p>
        </w:tc>
        <w:tc>
          <w:tcPr>
            <w:tcW w:w="1497" w:type="dxa"/>
            <w:shd w:val="clear" w:color="auto" w:fill="EEECE1" w:themeFill="background2"/>
            <w:vAlign w:val="center"/>
          </w:tcPr>
          <w:p w14:paraId="57305410"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lang w:eastAsia="en-GB"/>
              </w:rPr>
              <w:t>Design basis event operating states</w:t>
            </w:r>
          </w:p>
        </w:tc>
        <w:tc>
          <w:tcPr>
            <w:tcW w:w="1086" w:type="dxa"/>
            <w:shd w:val="clear" w:color="auto" w:fill="EEECE1" w:themeFill="background2"/>
            <w:vAlign w:val="center"/>
          </w:tcPr>
          <w:p w14:paraId="57305411"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EHA.5</w:t>
            </w:r>
          </w:p>
        </w:tc>
        <w:tc>
          <w:tcPr>
            <w:tcW w:w="5198" w:type="dxa"/>
            <w:shd w:val="clear" w:color="auto" w:fill="EEECE1" w:themeFill="background2"/>
            <w:vAlign w:val="center"/>
          </w:tcPr>
          <w:p w14:paraId="57305412"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lang w:eastAsia="en-GB"/>
              </w:rPr>
              <w:t>Analysis of design basis events should assume the event occurs simultaneously with the facility’s most adverse permitted operating state (see paragraph 631 c) and d)).</w:t>
            </w:r>
          </w:p>
        </w:tc>
      </w:tr>
      <w:tr w:rsidR="0015225A" w:rsidRPr="00CC121D" w14:paraId="5730541A" w14:textId="77777777" w:rsidTr="00F22B72">
        <w:trPr>
          <w:jc w:val="center"/>
        </w:trPr>
        <w:tc>
          <w:tcPr>
            <w:tcW w:w="1853" w:type="dxa"/>
            <w:vMerge/>
            <w:shd w:val="clear" w:color="auto" w:fill="EEECE1" w:themeFill="background2"/>
            <w:vAlign w:val="center"/>
          </w:tcPr>
          <w:p w14:paraId="57305415" w14:textId="77777777" w:rsidR="0015225A" w:rsidRPr="008D1922" w:rsidRDefault="0015225A" w:rsidP="00D07AFA">
            <w:pPr>
              <w:jc w:val="center"/>
              <w:rPr>
                <w:rFonts w:cs="Arial"/>
                <w:sz w:val="18"/>
                <w:szCs w:val="18"/>
              </w:rPr>
            </w:pPr>
          </w:p>
        </w:tc>
        <w:tc>
          <w:tcPr>
            <w:tcW w:w="1497" w:type="dxa"/>
            <w:shd w:val="clear" w:color="auto" w:fill="EEECE1" w:themeFill="background2"/>
            <w:vAlign w:val="center"/>
          </w:tcPr>
          <w:p w14:paraId="57305416"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Analysis</w:t>
            </w:r>
          </w:p>
        </w:tc>
        <w:tc>
          <w:tcPr>
            <w:tcW w:w="1086" w:type="dxa"/>
            <w:shd w:val="clear" w:color="auto" w:fill="EEECE1" w:themeFill="background2"/>
            <w:vAlign w:val="center"/>
          </w:tcPr>
          <w:p w14:paraId="57305417"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EHA.6</w:t>
            </w:r>
          </w:p>
        </w:tc>
        <w:tc>
          <w:tcPr>
            <w:tcW w:w="5198" w:type="dxa"/>
            <w:shd w:val="clear" w:color="auto" w:fill="EEECE1" w:themeFill="background2"/>
            <w:vAlign w:val="center"/>
          </w:tcPr>
          <w:p w14:paraId="57305418"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lang w:eastAsia="en-GB"/>
              </w:rPr>
              <w:t>The effects of internal and external hazards that could affect the safety of the facility should be analysed. The analysis should take into account hazard combinations, simultaneous effects, common cause failures, defence in depth and consequential effects.</w:t>
            </w:r>
          </w:p>
        </w:tc>
      </w:tr>
      <w:tr w:rsidR="0015225A" w:rsidRPr="00CC121D" w14:paraId="57305422" w14:textId="77777777" w:rsidTr="00F22B72">
        <w:trPr>
          <w:jc w:val="center"/>
        </w:trPr>
        <w:tc>
          <w:tcPr>
            <w:tcW w:w="1853" w:type="dxa"/>
            <w:vMerge/>
            <w:shd w:val="clear" w:color="auto" w:fill="EEECE1" w:themeFill="background2"/>
            <w:vAlign w:val="center"/>
          </w:tcPr>
          <w:p w14:paraId="5730541B" w14:textId="77777777" w:rsidR="0015225A" w:rsidRPr="008D1922" w:rsidRDefault="0015225A" w:rsidP="00D07AFA">
            <w:pPr>
              <w:jc w:val="center"/>
              <w:rPr>
                <w:rFonts w:cs="Arial"/>
                <w:sz w:val="18"/>
                <w:szCs w:val="18"/>
              </w:rPr>
            </w:pPr>
          </w:p>
        </w:tc>
        <w:tc>
          <w:tcPr>
            <w:tcW w:w="1497" w:type="dxa"/>
            <w:shd w:val="clear" w:color="auto" w:fill="EEECE1" w:themeFill="background2"/>
            <w:vAlign w:val="center"/>
          </w:tcPr>
          <w:p w14:paraId="5730541C"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lang w:eastAsia="en-GB"/>
              </w:rPr>
              <w:t>‘Cliff-edge’ effects</w:t>
            </w:r>
          </w:p>
        </w:tc>
        <w:tc>
          <w:tcPr>
            <w:tcW w:w="1086" w:type="dxa"/>
            <w:shd w:val="clear" w:color="auto" w:fill="EEECE1" w:themeFill="background2"/>
            <w:vAlign w:val="center"/>
          </w:tcPr>
          <w:p w14:paraId="5730541D"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EHA.7</w:t>
            </w:r>
          </w:p>
          <w:p w14:paraId="5730541E" w14:textId="77777777" w:rsidR="0015225A" w:rsidRPr="008D1922" w:rsidRDefault="0015225A" w:rsidP="00D07AFA">
            <w:pPr>
              <w:jc w:val="center"/>
              <w:rPr>
                <w:rFonts w:cs="Arial"/>
                <w:sz w:val="18"/>
                <w:szCs w:val="18"/>
              </w:rPr>
            </w:pPr>
          </w:p>
          <w:p w14:paraId="5730541F" w14:textId="77777777" w:rsidR="0015225A" w:rsidRPr="008D1922" w:rsidRDefault="0015225A" w:rsidP="00D07AFA">
            <w:pPr>
              <w:jc w:val="center"/>
              <w:rPr>
                <w:rFonts w:cs="Arial"/>
                <w:sz w:val="18"/>
                <w:szCs w:val="18"/>
              </w:rPr>
            </w:pPr>
          </w:p>
        </w:tc>
        <w:tc>
          <w:tcPr>
            <w:tcW w:w="5198" w:type="dxa"/>
            <w:shd w:val="clear" w:color="auto" w:fill="EEECE1" w:themeFill="background2"/>
            <w:vAlign w:val="center"/>
          </w:tcPr>
          <w:p w14:paraId="57305420" w14:textId="77777777" w:rsidR="0015225A" w:rsidRPr="008D1922" w:rsidRDefault="0015225A" w:rsidP="00D07AFA">
            <w:pPr>
              <w:autoSpaceDE w:val="0"/>
              <w:autoSpaceDN w:val="0"/>
              <w:adjustRightInd w:val="0"/>
              <w:jc w:val="center"/>
              <w:rPr>
                <w:rFonts w:eastAsiaTheme="minorHAnsi" w:cs="Arial"/>
                <w:sz w:val="18"/>
                <w:szCs w:val="18"/>
              </w:rPr>
            </w:pPr>
            <w:r w:rsidRPr="008D1922">
              <w:rPr>
                <w:rFonts w:cs="Arial"/>
                <w:sz w:val="18"/>
                <w:szCs w:val="18"/>
                <w:lang w:eastAsia="en-GB"/>
              </w:rPr>
              <w:t>A small change in design basis fault or event assumptions should not lead to a disproportionate increase in radiological consequences.</w:t>
            </w:r>
          </w:p>
        </w:tc>
      </w:tr>
      <w:tr w:rsidR="0015225A" w:rsidRPr="00CC121D" w14:paraId="57305428" w14:textId="77777777" w:rsidTr="00F22B72">
        <w:trPr>
          <w:jc w:val="center"/>
        </w:trPr>
        <w:tc>
          <w:tcPr>
            <w:tcW w:w="1853" w:type="dxa"/>
            <w:vMerge/>
            <w:shd w:val="clear" w:color="auto" w:fill="EEECE1" w:themeFill="background2"/>
            <w:vAlign w:val="center"/>
          </w:tcPr>
          <w:p w14:paraId="57305423" w14:textId="77777777" w:rsidR="0015225A" w:rsidRPr="008D1922" w:rsidRDefault="0015225A" w:rsidP="00D07AFA">
            <w:pPr>
              <w:jc w:val="center"/>
              <w:rPr>
                <w:rFonts w:cs="Arial"/>
                <w:sz w:val="18"/>
                <w:szCs w:val="18"/>
              </w:rPr>
            </w:pPr>
          </w:p>
        </w:tc>
        <w:tc>
          <w:tcPr>
            <w:tcW w:w="1497" w:type="dxa"/>
            <w:shd w:val="clear" w:color="auto" w:fill="EEECE1" w:themeFill="background2"/>
            <w:vAlign w:val="center"/>
          </w:tcPr>
          <w:p w14:paraId="57305424" w14:textId="77777777" w:rsidR="0015225A" w:rsidRPr="008D1922" w:rsidRDefault="0015225A" w:rsidP="00D07AFA">
            <w:pPr>
              <w:widowControl w:val="0"/>
              <w:tabs>
                <w:tab w:val="left" w:pos="720"/>
              </w:tabs>
              <w:jc w:val="center"/>
              <w:rPr>
                <w:rFonts w:cs="Arial"/>
                <w:sz w:val="18"/>
                <w:szCs w:val="18"/>
                <w:lang w:eastAsia="en-GB"/>
              </w:rPr>
            </w:pPr>
            <w:r w:rsidRPr="008D1922">
              <w:rPr>
                <w:rFonts w:cs="Arial"/>
                <w:sz w:val="18"/>
                <w:szCs w:val="18"/>
                <w:lang w:eastAsia="en-GB"/>
              </w:rPr>
              <w:t>Aircraft crash</w:t>
            </w:r>
          </w:p>
        </w:tc>
        <w:tc>
          <w:tcPr>
            <w:tcW w:w="1086" w:type="dxa"/>
            <w:shd w:val="clear" w:color="auto" w:fill="EEECE1" w:themeFill="background2"/>
            <w:vAlign w:val="center"/>
          </w:tcPr>
          <w:p w14:paraId="57305425"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EHA.8</w:t>
            </w:r>
          </w:p>
        </w:tc>
        <w:tc>
          <w:tcPr>
            <w:tcW w:w="5198" w:type="dxa"/>
            <w:shd w:val="clear" w:color="auto" w:fill="EEECE1" w:themeFill="background2"/>
            <w:vAlign w:val="center"/>
          </w:tcPr>
          <w:p w14:paraId="57305426" w14:textId="77777777" w:rsidR="0015225A" w:rsidRPr="008D1922" w:rsidRDefault="0015225A" w:rsidP="00D07AFA">
            <w:pPr>
              <w:autoSpaceDE w:val="0"/>
              <w:autoSpaceDN w:val="0"/>
              <w:adjustRightInd w:val="0"/>
              <w:jc w:val="center"/>
              <w:rPr>
                <w:rFonts w:cs="Arial"/>
                <w:sz w:val="18"/>
                <w:szCs w:val="18"/>
                <w:lang w:eastAsia="en-GB"/>
              </w:rPr>
            </w:pPr>
            <w:r w:rsidRPr="008D1922">
              <w:rPr>
                <w:rFonts w:cs="Arial"/>
                <w:sz w:val="18"/>
                <w:szCs w:val="18"/>
                <w:lang w:eastAsia="en-GB"/>
              </w:rPr>
              <w:t>The total predicted frequency of aircraft crash, including helicopters and other airborne vehicles, on or near any facility housing structures, systems and components should be determined.</w:t>
            </w:r>
          </w:p>
        </w:tc>
      </w:tr>
      <w:tr w:rsidR="0015225A" w:rsidRPr="00CC121D" w14:paraId="5730542E" w14:textId="77777777" w:rsidTr="00F22B72">
        <w:trPr>
          <w:jc w:val="center"/>
        </w:trPr>
        <w:tc>
          <w:tcPr>
            <w:tcW w:w="1853" w:type="dxa"/>
            <w:vMerge/>
            <w:shd w:val="clear" w:color="auto" w:fill="EEECE1" w:themeFill="background2"/>
            <w:vAlign w:val="center"/>
          </w:tcPr>
          <w:p w14:paraId="57305429" w14:textId="77777777" w:rsidR="0015225A" w:rsidRPr="008D1922" w:rsidRDefault="0015225A" w:rsidP="00D07AFA">
            <w:pPr>
              <w:jc w:val="center"/>
              <w:rPr>
                <w:rFonts w:cs="Arial"/>
                <w:sz w:val="18"/>
                <w:szCs w:val="18"/>
              </w:rPr>
            </w:pPr>
          </w:p>
        </w:tc>
        <w:tc>
          <w:tcPr>
            <w:tcW w:w="1497" w:type="dxa"/>
            <w:shd w:val="clear" w:color="auto" w:fill="EEECE1" w:themeFill="background2"/>
            <w:vAlign w:val="center"/>
          </w:tcPr>
          <w:p w14:paraId="5730542A" w14:textId="77777777" w:rsidR="0015225A" w:rsidRPr="008D1922" w:rsidRDefault="0015225A" w:rsidP="00D07AFA">
            <w:pPr>
              <w:widowControl w:val="0"/>
              <w:tabs>
                <w:tab w:val="left" w:pos="720"/>
              </w:tabs>
              <w:jc w:val="center"/>
              <w:rPr>
                <w:rFonts w:cs="Arial"/>
                <w:sz w:val="18"/>
                <w:szCs w:val="18"/>
                <w:lang w:eastAsia="en-GB"/>
              </w:rPr>
            </w:pPr>
            <w:r w:rsidRPr="008D1922">
              <w:rPr>
                <w:rFonts w:cs="Arial"/>
                <w:sz w:val="18"/>
                <w:szCs w:val="18"/>
                <w:lang w:eastAsia="en-GB"/>
              </w:rPr>
              <w:t>Earthquakes</w:t>
            </w:r>
          </w:p>
        </w:tc>
        <w:tc>
          <w:tcPr>
            <w:tcW w:w="1086" w:type="dxa"/>
            <w:shd w:val="clear" w:color="auto" w:fill="EEECE1" w:themeFill="background2"/>
            <w:vAlign w:val="center"/>
          </w:tcPr>
          <w:p w14:paraId="5730542B"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EHA.9</w:t>
            </w:r>
          </w:p>
        </w:tc>
        <w:tc>
          <w:tcPr>
            <w:tcW w:w="5198" w:type="dxa"/>
            <w:shd w:val="clear" w:color="auto" w:fill="EEECE1" w:themeFill="background2"/>
            <w:vAlign w:val="center"/>
          </w:tcPr>
          <w:p w14:paraId="5730542C" w14:textId="77777777" w:rsidR="0015225A" w:rsidRPr="008D1922" w:rsidRDefault="0015225A" w:rsidP="00D07AFA">
            <w:pPr>
              <w:autoSpaceDE w:val="0"/>
              <w:autoSpaceDN w:val="0"/>
              <w:adjustRightInd w:val="0"/>
              <w:jc w:val="center"/>
              <w:rPr>
                <w:rFonts w:cs="Arial"/>
                <w:sz w:val="18"/>
                <w:szCs w:val="18"/>
                <w:lang w:eastAsia="en-GB"/>
              </w:rPr>
            </w:pPr>
            <w:r w:rsidRPr="008D1922">
              <w:rPr>
                <w:rFonts w:cs="Arial"/>
                <w:sz w:val="18"/>
                <w:szCs w:val="18"/>
                <w:lang w:eastAsia="en-GB"/>
              </w:rPr>
              <w:t>The seismology and geology of the area around the site and the geology and hydrogeology of the site should be evaluated to derive a design basis earthquake (DBE).</w:t>
            </w:r>
          </w:p>
        </w:tc>
      </w:tr>
      <w:tr w:rsidR="0015225A" w:rsidRPr="00CC121D" w14:paraId="57305434" w14:textId="77777777" w:rsidTr="00F22B72">
        <w:trPr>
          <w:jc w:val="center"/>
        </w:trPr>
        <w:tc>
          <w:tcPr>
            <w:tcW w:w="1853" w:type="dxa"/>
            <w:vMerge/>
            <w:shd w:val="clear" w:color="auto" w:fill="EEECE1" w:themeFill="background2"/>
            <w:vAlign w:val="center"/>
          </w:tcPr>
          <w:p w14:paraId="5730542F" w14:textId="77777777" w:rsidR="0015225A" w:rsidRPr="008D1922" w:rsidRDefault="0015225A" w:rsidP="00D07AFA">
            <w:pPr>
              <w:jc w:val="center"/>
              <w:rPr>
                <w:rFonts w:cs="Arial"/>
                <w:sz w:val="18"/>
                <w:szCs w:val="18"/>
              </w:rPr>
            </w:pPr>
          </w:p>
        </w:tc>
        <w:tc>
          <w:tcPr>
            <w:tcW w:w="1497" w:type="dxa"/>
            <w:shd w:val="clear" w:color="auto" w:fill="EEECE1" w:themeFill="background2"/>
            <w:vAlign w:val="center"/>
          </w:tcPr>
          <w:p w14:paraId="57305430" w14:textId="77777777" w:rsidR="0015225A" w:rsidRPr="008D1922" w:rsidRDefault="0015225A" w:rsidP="00D07AFA">
            <w:pPr>
              <w:widowControl w:val="0"/>
              <w:tabs>
                <w:tab w:val="left" w:pos="720"/>
              </w:tabs>
              <w:jc w:val="center"/>
              <w:rPr>
                <w:rFonts w:cs="Arial"/>
                <w:sz w:val="18"/>
                <w:szCs w:val="18"/>
                <w:lang w:eastAsia="en-GB"/>
              </w:rPr>
            </w:pPr>
            <w:r w:rsidRPr="008D1922">
              <w:rPr>
                <w:rFonts w:cs="Arial"/>
                <w:sz w:val="18"/>
                <w:szCs w:val="18"/>
                <w:lang w:eastAsia="en-GB"/>
              </w:rPr>
              <w:t>Electromagnetic interference</w:t>
            </w:r>
          </w:p>
        </w:tc>
        <w:tc>
          <w:tcPr>
            <w:tcW w:w="1086" w:type="dxa"/>
            <w:shd w:val="clear" w:color="auto" w:fill="EEECE1" w:themeFill="background2"/>
            <w:vAlign w:val="center"/>
          </w:tcPr>
          <w:p w14:paraId="57305431"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EHA.10</w:t>
            </w:r>
          </w:p>
        </w:tc>
        <w:tc>
          <w:tcPr>
            <w:tcW w:w="5198" w:type="dxa"/>
            <w:shd w:val="clear" w:color="auto" w:fill="EEECE1" w:themeFill="background2"/>
            <w:vAlign w:val="center"/>
          </w:tcPr>
          <w:p w14:paraId="57305432" w14:textId="77777777" w:rsidR="0015225A" w:rsidRPr="008D1922" w:rsidRDefault="0015225A" w:rsidP="00D07AFA">
            <w:pPr>
              <w:autoSpaceDE w:val="0"/>
              <w:autoSpaceDN w:val="0"/>
              <w:adjustRightInd w:val="0"/>
              <w:jc w:val="center"/>
              <w:rPr>
                <w:rFonts w:eastAsiaTheme="minorHAnsi" w:cs="Arial"/>
                <w:sz w:val="18"/>
                <w:szCs w:val="18"/>
              </w:rPr>
            </w:pPr>
            <w:r w:rsidRPr="008D1922">
              <w:rPr>
                <w:rFonts w:cs="Arial"/>
                <w:sz w:val="18"/>
                <w:szCs w:val="18"/>
                <w:lang w:eastAsia="en-GB"/>
              </w:rPr>
              <w:t>The facility design should include preventative and/or protective measures against the effects of electromagnetic interference.</w:t>
            </w:r>
          </w:p>
        </w:tc>
      </w:tr>
      <w:tr w:rsidR="0015225A" w:rsidRPr="00CC121D" w14:paraId="5730543A" w14:textId="77777777" w:rsidTr="00F22B72">
        <w:trPr>
          <w:jc w:val="center"/>
        </w:trPr>
        <w:tc>
          <w:tcPr>
            <w:tcW w:w="1853" w:type="dxa"/>
            <w:vMerge/>
            <w:shd w:val="clear" w:color="auto" w:fill="EEECE1" w:themeFill="background2"/>
            <w:vAlign w:val="center"/>
          </w:tcPr>
          <w:p w14:paraId="57305435" w14:textId="77777777" w:rsidR="0015225A" w:rsidRPr="008D1922" w:rsidRDefault="0015225A" w:rsidP="00D07AFA">
            <w:pPr>
              <w:jc w:val="center"/>
              <w:rPr>
                <w:rFonts w:cs="Arial"/>
                <w:sz w:val="18"/>
                <w:szCs w:val="18"/>
              </w:rPr>
            </w:pPr>
          </w:p>
        </w:tc>
        <w:tc>
          <w:tcPr>
            <w:tcW w:w="1497" w:type="dxa"/>
            <w:shd w:val="clear" w:color="auto" w:fill="EEECE1" w:themeFill="background2"/>
            <w:vAlign w:val="center"/>
          </w:tcPr>
          <w:p w14:paraId="57305436" w14:textId="77777777" w:rsidR="0015225A" w:rsidRPr="008D1922" w:rsidRDefault="0015225A" w:rsidP="00D07AFA">
            <w:pPr>
              <w:widowControl w:val="0"/>
              <w:tabs>
                <w:tab w:val="left" w:pos="720"/>
              </w:tabs>
              <w:jc w:val="center"/>
              <w:rPr>
                <w:rFonts w:cs="Arial"/>
                <w:sz w:val="18"/>
                <w:szCs w:val="18"/>
                <w:lang w:eastAsia="en-GB"/>
              </w:rPr>
            </w:pPr>
            <w:r w:rsidRPr="008D1922">
              <w:rPr>
                <w:rFonts w:cs="Arial"/>
                <w:sz w:val="18"/>
                <w:szCs w:val="18"/>
                <w:lang w:eastAsia="en-GB"/>
              </w:rPr>
              <w:t>Weather conditions</w:t>
            </w:r>
          </w:p>
        </w:tc>
        <w:tc>
          <w:tcPr>
            <w:tcW w:w="1086" w:type="dxa"/>
            <w:shd w:val="clear" w:color="auto" w:fill="EEECE1" w:themeFill="background2"/>
            <w:vAlign w:val="center"/>
          </w:tcPr>
          <w:p w14:paraId="57305437"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EHA.11</w:t>
            </w:r>
          </w:p>
        </w:tc>
        <w:tc>
          <w:tcPr>
            <w:tcW w:w="5198" w:type="dxa"/>
            <w:shd w:val="clear" w:color="auto" w:fill="EEECE1" w:themeFill="background2"/>
            <w:vAlign w:val="center"/>
          </w:tcPr>
          <w:p w14:paraId="57305438" w14:textId="77777777" w:rsidR="0015225A" w:rsidRPr="008D1922" w:rsidRDefault="0015225A" w:rsidP="0004448E">
            <w:pPr>
              <w:autoSpaceDE w:val="0"/>
              <w:autoSpaceDN w:val="0"/>
              <w:adjustRightInd w:val="0"/>
              <w:jc w:val="center"/>
              <w:rPr>
                <w:rFonts w:cs="Arial"/>
                <w:sz w:val="18"/>
                <w:szCs w:val="18"/>
                <w:lang w:eastAsia="en-GB"/>
              </w:rPr>
            </w:pPr>
            <w:r w:rsidRPr="008D1922">
              <w:rPr>
                <w:rFonts w:cs="Arial"/>
                <w:sz w:val="18"/>
                <w:szCs w:val="18"/>
                <w:lang w:eastAsia="en-GB"/>
              </w:rPr>
              <w:t>Facilities should be shown to withstand weather conditions that meet design basis event criteria. Weather conditions beyond the design basis that have the potential to lead to an accident should also be analysed.</w:t>
            </w:r>
          </w:p>
        </w:tc>
      </w:tr>
      <w:tr w:rsidR="0015225A" w:rsidRPr="00CC121D" w14:paraId="57305440" w14:textId="77777777" w:rsidTr="00F22B72">
        <w:trPr>
          <w:jc w:val="center"/>
        </w:trPr>
        <w:tc>
          <w:tcPr>
            <w:tcW w:w="1853" w:type="dxa"/>
            <w:vMerge/>
            <w:shd w:val="clear" w:color="auto" w:fill="EEECE1" w:themeFill="background2"/>
            <w:vAlign w:val="center"/>
          </w:tcPr>
          <w:p w14:paraId="5730543B" w14:textId="77777777" w:rsidR="0015225A" w:rsidRPr="008D1922" w:rsidRDefault="0015225A" w:rsidP="00D07AFA">
            <w:pPr>
              <w:jc w:val="center"/>
              <w:rPr>
                <w:rFonts w:cs="Arial"/>
                <w:sz w:val="18"/>
                <w:szCs w:val="18"/>
              </w:rPr>
            </w:pPr>
          </w:p>
        </w:tc>
        <w:tc>
          <w:tcPr>
            <w:tcW w:w="1497" w:type="dxa"/>
            <w:shd w:val="clear" w:color="auto" w:fill="EEECE1" w:themeFill="background2"/>
            <w:vAlign w:val="center"/>
          </w:tcPr>
          <w:p w14:paraId="5730543C" w14:textId="77777777" w:rsidR="0015225A" w:rsidRPr="008D1922" w:rsidRDefault="0015225A" w:rsidP="00D07AFA">
            <w:pPr>
              <w:widowControl w:val="0"/>
              <w:tabs>
                <w:tab w:val="left" w:pos="720"/>
              </w:tabs>
              <w:jc w:val="center"/>
              <w:rPr>
                <w:rFonts w:cs="Arial"/>
                <w:sz w:val="18"/>
                <w:szCs w:val="18"/>
                <w:lang w:eastAsia="en-GB"/>
              </w:rPr>
            </w:pPr>
            <w:r w:rsidRPr="008D1922">
              <w:rPr>
                <w:rFonts w:cs="Arial"/>
                <w:sz w:val="18"/>
                <w:szCs w:val="18"/>
                <w:lang w:eastAsia="en-GB"/>
              </w:rPr>
              <w:t>Flooding</w:t>
            </w:r>
          </w:p>
        </w:tc>
        <w:tc>
          <w:tcPr>
            <w:tcW w:w="1086" w:type="dxa"/>
            <w:shd w:val="clear" w:color="auto" w:fill="EEECE1" w:themeFill="background2"/>
            <w:vAlign w:val="center"/>
          </w:tcPr>
          <w:p w14:paraId="5730543D"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EHA.12</w:t>
            </w:r>
          </w:p>
        </w:tc>
        <w:tc>
          <w:tcPr>
            <w:tcW w:w="5198" w:type="dxa"/>
            <w:shd w:val="clear" w:color="auto" w:fill="EEECE1" w:themeFill="background2"/>
            <w:vAlign w:val="center"/>
          </w:tcPr>
          <w:p w14:paraId="5730543E" w14:textId="77777777" w:rsidR="0015225A" w:rsidRPr="008D1922" w:rsidRDefault="0015225A" w:rsidP="00D07AFA">
            <w:pPr>
              <w:autoSpaceDE w:val="0"/>
              <w:autoSpaceDN w:val="0"/>
              <w:adjustRightInd w:val="0"/>
              <w:jc w:val="center"/>
              <w:rPr>
                <w:rFonts w:cs="Arial"/>
                <w:sz w:val="18"/>
                <w:szCs w:val="18"/>
                <w:lang w:eastAsia="en-GB"/>
              </w:rPr>
            </w:pPr>
            <w:r w:rsidRPr="008D1922">
              <w:rPr>
                <w:rFonts w:cs="Arial"/>
                <w:sz w:val="18"/>
                <w:szCs w:val="18"/>
                <w:lang w:eastAsia="en-GB"/>
              </w:rPr>
              <w:t>Facilities should be shown to withstand flooding conditions up to and including the design basis event. Severe accidents involving flooding should also be analysed.</w:t>
            </w:r>
          </w:p>
        </w:tc>
      </w:tr>
      <w:tr w:rsidR="0015225A" w:rsidRPr="00CC121D" w14:paraId="57305447" w14:textId="77777777" w:rsidTr="00F22B72">
        <w:trPr>
          <w:jc w:val="center"/>
        </w:trPr>
        <w:tc>
          <w:tcPr>
            <w:tcW w:w="1853" w:type="dxa"/>
            <w:vMerge/>
            <w:shd w:val="clear" w:color="auto" w:fill="EEECE1" w:themeFill="background2"/>
            <w:vAlign w:val="center"/>
          </w:tcPr>
          <w:p w14:paraId="57305441" w14:textId="77777777" w:rsidR="0015225A" w:rsidRPr="008D1922" w:rsidRDefault="0015225A" w:rsidP="00D07AFA">
            <w:pPr>
              <w:jc w:val="center"/>
              <w:rPr>
                <w:rFonts w:cs="Arial"/>
                <w:sz w:val="18"/>
                <w:szCs w:val="18"/>
              </w:rPr>
            </w:pPr>
          </w:p>
        </w:tc>
        <w:tc>
          <w:tcPr>
            <w:tcW w:w="1497" w:type="dxa"/>
            <w:shd w:val="clear" w:color="auto" w:fill="EEECE1" w:themeFill="background2"/>
            <w:vAlign w:val="center"/>
          </w:tcPr>
          <w:p w14:paraId="57305442" w14:textId="77777777" w:rsidR="0015225A" w:rsidRPr="008D1922" w:rsidRDefault="0015225A" w:rsidP="00D07AFA">
            <w:pPr>
              <w:autoSpaceDE w:val="0"/>
              <w:autoSpaceDN w:val="0"/>
              <w:adjustRightInd w:val="0"/>
              <w:jc w:val="center"/>
              <w:rPr>
                <w:rFonts w:cs="Arial"/>
                <w:sz w:val="18"/>
                <w:szCs w:val="18"/>
                <w:lang w:eastAsia="en-GB"/>
              </w:rPr>
            </w:pPr>
            <w:r w:rsidRPr="008D1922">
              <w:rPr>
                <w:rFonts w:cs="Arial"/>
                <w:sz w:val="18"/>
                <w:szCs w:val="18"/>
                <w:lang w:eastAsia="en-GB"/>
              </w:rPr>
              <w:t>Use, storage and generation of</w:t>
            </w:r>
          </w:p>
          <w:p w14:paraId="57305443" w14:textId="77777777" w:rsidR="0015225A" w:rsidRPr="008D1922" w:rsidRDefault="0015225A" w:rsidP="00D07AFA">
            <w:pPr>
              <w:widowControl w:val="0"/>
              <w:tabs>
                <w:tab w:val="left" w:pos="720"/>
              </w:tabs>
              <w:jc w:val="center"/>
              <w:rPr>
                <w:rFonts w:cs="Arial"/>
                <w:sz w:val="18"/>
                <w:szCs w:val="18"/>
                <w:lang w:eastAsia="en-GB"/>
              </w:rPr>
            </w:pPr>
            <w:r w:rsidRPr="008D1922">
              <w:rPr>
                <w:rFonts w:cs="Arial"/>
                <w:sz w:val="18"/>
                <w:szCs w:val="18"/>
                <w:lang w:eastAsia="en-GB"/>
              </w:rPr>
              <w:t>hazardous materials</w:t>
            </w:r>
          </w:p>
        </w:tc>
        <w:tc>
          <w:tcPr>
            <w:tcW w:w="1086" w:type="dxa"/>
            <w:shd w:val="clear" w:color="auto" w:fill="EEECE1" w:themeFill="background2"/>
            <w:vAlign w:val="center"/>
          </w:tcPr>
          <w:p w14:paraId="57305444"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EHA.13</w:t>
            </w:r>
          </w:p>
        </w:tc>
        <w:tc>
          <w:tcPr>
            <w:tcW w:w="5198" w:type="dxa"/>
            <w:shd w:val="clear" w:color="auto" w:fill="EEECE1" w:themeFill="background2"/>
            <w:vAlign w:val="center"/>
          </w:tcPr>
          <w:p w14:paraId="57305445" w14:textId="77777777" w:rsidR="0015225A" w:rsidRPr="008D1922" w:rsidRDefault="0015225A" w:rsidP="00D07AFA">
            <w:pPr>
              <w:autoSpaceDE w:val="0"/>
              <w:autoSpaceDN w:val="0"/>
              <w:adjustRightInd w:val="0"/>
              <w:jc w:val="center"/>
              <w:rPr>
                <w:rFonts w:cs="Arial"/>
                <w:sz w:val="18"/>
                <w:szCs w:val="18"/>
                <w:lang w:eastAsia="en-GB"/>
              </w:rPr>
            </w:pPr>
            <w:r w:rsidRPr="008D1922">
              <w:rPr>
                <w:rFonts w:cs="Arial"/>
                <w:sz w:val="18"/>
                <w:szCs w:val="18"/>
                <w:lang w:eastAsia="en-GB"/>
              </w:rPr>
              <w:t>The on-site use, storage or generation of hazardous materials should be minimised, controlled and located, taking due account of potential faults</w:t>
            </w:r>
          </w:p>
        </w:tc>
      </w:tr>
      <w:tr w:rsidR="0015225A" w:rsidRPr="00CC121D" w14:paraId="5730544E" w14:textId="77777777" w:rsidTr="00F22B72">
        <w:trPr>
          <w:jc w:val="center"/>
        </w:trPr>
        <w:tc>
          <w:tcPr>
            <w:tcW w:w="1853" w:type="dxa"/>
            <w:vMerge/>
            <w:shd w:val="clear" w:color="auto" w:fill="EEECE1" w:themeFill="background2"/>
            <w:vAlign w:val="center"/>
          </w:tcPr>
          <w:p w14:paraId="57305448" w14:textId="77777777" w:rsidR="0015225A" w:rsidRPr="008D1922" w:rsidRDefault="0015225A" w:rsidP="00D07AFA">
            <w:pPr>
              <w:jc w:val="center"/>
              <w:rPr>
                <w:rFonts w:cs="Arial"/>
                <w:sz w:val="18"/>
                <w:szCs w:val="18"/>
              </w:rPr>
            </w:pPr>
          </w:p>
        </w:tc>
        <w:tc>
          <w:tcPr>
            <w:tcW w:w="1497" w:type="dxa"/>
            <w:shd w:val="clear" w:color="auto" w:fill="EEECE1" w:themeFill="background2"/>
            <w:vAlign w:val="center"/>
          </w:tcPr>
          <w:p w14:paraId="57305449" w14:textId="77777777" w:rsidR="0015225A" w:rsidRPr="008D1922" w:rsidRDefault="0015225A" w:rsidP="00D07AFA">
            <w:pPr>
              <w:autoSpaceDE w:val="0"/>
              <w:autoSpaceDN w:val="0"/>
              <w:adjustRightInd w:val="0"/>
              <w:jc w:val="center"/>
              <w:rPr>
                <w:rFonts w:cs="Arial"/>
                <w:sz w:val="18"/>
                <w:szCs w:val="18"/>
                <w:lang w:eastAsia="en-GB"/>
              </w:rPr>
            </w:pPr>
            <w:r w:rsidRPr="008D1922">
              <w:rPr>
                <w:rFonts w:cs="Arial"/>
                <w:sz w:val="18"/>
                <w:szCs w:val="18"/>
                <w:lang w:eastAsia="en-GB"/>
              </w:rPr>
              <w:t>Fire, explosion, missiles, toxic</w:t>
            </w:r>
          </w:p>
          <w:p w14:paraId="5730544A" w14:textId="77777777" w:rsidR="0015225A" w:rsidRPr="008D1922" w:rsidRDefault="0015225A" w:rsidP="00D07AFA">
            <w:pPr>
              <w:widowControl w:val="0"/>
              <w:tabs>
                <w:tab w:val="left" w:pos="720"/>
              </w:tabs>
              <w:jc w:val="center"/>
              <w:rPr>
                <w:rFonts w:cs="Arial"/>
                <w:sz w:val="18"/>
                <w:szCs w:val="18"/>
                <w:lang w:eastAsia="en-GB"/>
              </w:rPr>
            </w:pPr>
            <w:r w:rsidRPr="008D1922">
              <w:rPr>
                <w:rFonts w:cs="Arial"/>
                <w:sz w:val="18"/>
                <w:szCs w:val="18"/>
                <w:lang w:eastAsia="en-GB"/>
              </w:rPr>
              <w:t>gases etc. – sources of harm</w:t>
            </w:r>
          </w:p>
        </w:tc>
        <w:tc>
          <w:tcPr>
            <w:tcW w:w="1086" w:type="dxa"/>
            <w:shd w:val="clear" w:color="auto" w:fill="EEECE1" w:themeFill="background2"/>
            <w:vAlign w:val="center"/>
          </w:tcPr>
          <w:p w14:paraId="5730544B"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EHA.14</w:t>
            </w:r>
          </w:p>
        </w:tc>
        <w:tc>
          <w:tcPr>
            <w:tcW w:w="5198" w:type="dxa"/>
            <w:shd w:val="clear" w:color="auto" w:fill="EEECE1" w:themeFill="background2"/>
            <w:vAlign w:val="center"/>
          </w:tcPr>
          <w:p w14:paraId="5730544C" w14:textId="77777777" w:rsidR="0015225A" w:rsidRPr="008D1922" w:rsidRDefault="0015225A" w:rsidP="00D07AFA">
            <w:pPr>
              <w:autoSpaceDE w:val="0"/>
              <w:autoSpaceDN w:val="0"/>
              <w:adjustRightInd w:val="0"/>
              <w:jc w:val="center"/>
              <w:rPr>
                <w:rFonts w:eastAsiaTheme="minorHAnsi" w:cs="Arial"/>
                <w:sz w:val="18"/>
                <w:szCs w:val="18"/>
              </w:rPr>
            </w:pPr>
            <w:r w:rsidRPr="008D1922">
              <w:rPr>
                <w:rFonts w:cs="Arial"/>
                <w:sz w:val="18"/>
                <w:szCs w:val="18"/>
                <w:lang w:eastAsia="en-GB"/>
              </w:rPr>
              <w:t>Sources that could give rise to fire, explosion, missiles, toxic gas release, collapsing or falling loads, pipe failure effects, or internal and external flooding should be identified, quantified and analysed within the safety case.</w:t>
            </w:r>
          </w:p>
        </w:tc>
      </w:tr>
      <w:tr w:rsidR="0015225A" w:rsidRPr="00CC121D" w14:paraId="57305455" w14:textId="77777777" w:rsidTr="00F22B72">
        <w:trPr>
          <w:jc w:val="center"/>
        </w:trPr>
        <w:tc>
          <w:tcPr>
            <w:tcW w:w="1853" w:type="dxa"/>
            <w:vMerge/>
            <w:shd w:val="clear" w:color="auto" w:fill="EEECE1" w:themeFill="background2"/>
            <w:vAlign w:val="center"/>
          </w:tcPr>
          <w:p w14:paraId="5730544F" w14:textId="77777777" w:rsidR="0015225A" w:rsidRPr="008D1922" w:rsidRDefault="0015225A" w:rsidP="00D07AFA">
            <w:pPr>
              <w:jc w:val="center"/>
              <w:rPr>
                <w:rFonts w:cs="Arial"/>
                <w:sz w:val="18"/>
                <w:szCs w:val="18"/>
              </w:rPr>
            </w:pPr>
          </w:p>
        </w:tc>
        <w:tc>
          <w:tcPr>
            <w:tcW w:w="1497" w:type="dxa"/>
            <w:shd w:val="clear" w:color="auto" w:fill="EEECE1" w:themeFill="background2"/>
            <w:vAlign w:val="center"/>
          </w:tcPr>
          <w:p w14:paraId="57305450" w14:textId="77777777" w:rsidR="0015225A" w:rsidRPr="008D1922" w:rsidRDefault="0015225A" w:rsidP="00D07AFA">
            <w:pPr>
              <w:widowControl w:val="0"/>
              <w:tabs>
                <w:tab w:val="left" w:pos="720"/>
              </w:tabs>
              <w:jc w:val="center"/>
              <w:rPr>
                <w:rFonts w:cs="Arial"/>
                <w:sz w:val="18"/>
                <w:szCs w:val="18"/>
                <w:lang w:eastAsia="en-GB"/>
              </w:rPr>
            </w:pPr>
            <w:r w:rsidRPr="008D1922">
              <w:rPr>
                <w:rFonts w:cs="Arial"/>
                <w:sz w:val="18"/>
                <w:szCs w:val="18"/>
                <w:lang w:eastAsia="en-GB"/>
              </w:rPr>
              <w:t>Hazards due to water</w:t>
            </w:r>
          </w:p>
        </w:tc>
        <w:tc>
          <w:tcPr>
            <w:tcW w:w="1086" w:type="dxa"/>
            <w:shd w:val="clear" w:color="auto" w:fill="EEECE1" w:themeFill="background2"/>
            <w:vAlign w:val="center"/>
          </w:tcPr>
          <w:p w14:paraId="57305451"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EHA.15</w:t>
            </w:r>
          </w:p>
        </w:tc>
        <w:tc>
          <w:tcPr>
            <w:tcW w:w="5198" w:type="dxa"/>
            <w:shd w:val="clear" w:color="auto" w:fill="EEECE1" w:themeFill="background2"/>
            <w:vAlign w:val="center"/>
          </w:tcPr>
          <w:p w14:paraId="57305452" w14:textId="77777777" w:rsidR="0015225A" w:rsidRPr="008D1922" w:rsidRDefault="0015225A" w:rsidP="00D07AFA">
            <w:pPr>
              <w:autoSpaceDE w:val="0"/>
              <w:autoSpaceDN w:val="0"/>
              <w:adjustRightInd w:val="0"/>
              <w:jc w:val="center"/>
              <w:rPr>
                <w:rFonts w:cs="Arial"/>
                <w:sz w:val="18"/>
                <w:szCs w:val="18"/>
                <w:lang w:eastAsia="en-GB"/>
              </w:rPr>
            </w:pPr>
            <w:r w:rsidRPr="008D1922">
              <w:rPr>
                <w:rFonts w:cs="Arial"/>
                <w:sz w:val="18"/>
                <w:szCs w:val="18"/>
                <w:lang w:eastAsia="en-GB"/>
              </w:rPr>
              <w:t>The design of the facility should prevent water from adversely affecting structures, systems</w:t>
            </w:r>
          </w:p>
          <w:p w14:paraId="57305453"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lang w:eastAsia="en-GB"/>
              </w:rPr>
              <w:t>and components</w:t>
            </w:r>
          </w:p>
        </w:tc>
      </w:tr>
      <w:tr w:rsidR="0015225A" w:rsidRPr="00CC121D" w14:paraId="5730545B" w14:textId="77777777" w:rsidTr="00F22B72">
        <w:trPr>
          <w:jc w:val="center"/>
        </w:trPr>
        <w:tc>
          <w:tcPr>
            <w:tcW w:w="1853" w:type="dxa"/>
            <w:vMerge/>
            <w:shd w:val="clear" w:color="auto" w:fill="EEECE1" w:themeFill="background2"/>
            <w:vAlign w:val="center"/>
          </w:tcPr>
          <w:p w14:paraId="57305456" w14:textId="77777777" w:rsidR="0015225A" w:rsidRPr="008D1922" w:rsidRDefault="0015225A" w:rsidP="00D07AFA">
            <w:pPr>
              <w:jc w:val="center"/>
              <w:rPr>
                <w:rFonts w:cs="Arial"/>
                <w:sz w:val="18"/>
                <w:szCs w:val="18"/>
              </w:rPr>
            </w:pPr>
          </w:p>
        </w:tc>
        <w:tc>
          <w:tcPr>
            <w:tcW w:w="1497" w:type="dxa"/>
            <w:shd w:val="clear" w:color="auto" w:fill="EEECE1" w:themeFill="background2"/>
            <w:vAlign w:val="center"/>
          </w:tcPr>
          <w:p w14:paraId="57305457" w14:textId="77777777" w:rsidR="0015225A" w:rsidRPr="008D1922" w:rsidRDefault="0015225A" w:rsidP="00D07AFA">
            <w:pPr>
              <w:widowControl w:val="0"/>
              <w:tabs>
                <w:tab w:val="left" w:pos="720"/>
              </w:tabs>
              <w:jc w:val="center"/>
              <w:rPr>
                <w:rFonts w:cs="Arial"/>
                <w:sz w:val="18"/>
                <w:szCs w:val="18"/>
                <w:lang w:eastAsia="en-GB"/>
              </w:rPr>
            </w:pPr>
            <w:r w:rsidRPr="008D1922">
              <w:rPr>
                <w:rFonts w:cs="Arial"/>
                <w:sz w:val="18"/>
                <w:szCs w:val="18"/>
                <w:lang w:eastAsia="en-GB"/>
              </w:rPr>
              <w:t>Fire detection and fighting</w:t>
            </w:r>
          </w:p>
        </w:tc>
        <w:tc>
          <w:tcPr>
            <w:tcW w:w="1086" w:type="dxa"/>
            <w:shd w:val="clear" w:color="auto" w:fill="EEECE1" w:themeFill="background2"/>
            <w:vAlign w:val="center"/>
          </w:tcPr>
          <w:p w14:paraId="57305458"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EHA.16</w:t>
            </w:r>
          </w:p>
        </w:tc>
        <w:tc>
          <w:tcPr>
            <w:tcW w:w="5198" w:type="dxa"/>
            <w:shd w:val="clear" w:color="auto" w:fill="EEECE1" w:themeFill="background2"/>
            <w:vAlign w:val="center"/>
          </w:tcPr>
          <w:p w14:paraId="57305459" w14:textId="77777777" w:rsidR="0015225A" w:rsidRPr="008D1922" w:rsidRDefault="0015225A" w:rsidP="00D07AFA">
            <w:pPr>
              <w:autoSpaceDE w:val="0"/>
              <w:autoSpaceDN w:val="0"/>
              <w:adjustRightInd w:val="0"/>
              <w:jc w:val="center"/>
              <w:rPr>
                <w:rFonts w:cs="Arial"/>
                <w:sz w:val="18"/>
                <w:szCs w:val="18"/>
                <w:lang w:eastAsia="en-GB"/>
              </w:rPr>
            </w:pPr>
            <w:r w:rsidRPr="008D1922">
              <w:rPr>
                <w:rFonts w:cs="Arial"/>
                <w:sz w:val="18"/>
                <w:szCs w:val="18"/>
                <w:lang w:eastAsia="en-GB"/>
              </w:rPr>
              <w:t>Fire detection and fire-fighting systems of a capacity and capability commensurate with the worst-case design basis scenarios should be provided.</w:t>
            </w:r>
          </w:p>
        </w:tc>
      </w:tr>
      <w:tr w:rsidR="0015225A" w:rsidRPr="00CC121D" w14:paraId="57305462" w14:textId="77777777" w:rsidTr="00F22B72">
        <w:trPr>
          <w:jc w:val="center"/>
        </w:trPr>
        <w:tc>
          <w:tcPr>
            <w:tcW w:w="1853" w:type="dxa"/>
            <w:vMerge/>
            <w:shd w:val="clear" w:color="auto" w:fill="EEECE1" w:themeFill="background2"/>
            <w:vAlign w:val="center"/>
          </w:tcPr>
          <w:p w14:paraId="5730545C" w14:textId="77777777" w:rsidR="0015225A" w:rsidRPr="008D1922" w:rsidRDefault="0015225A" w:rsidP="00D07AFA">
            <w:pPr>
              <w:jc w:val="center"/>
              <w:rPr>
                <w:rFonts w:cs="Arial"/>
                <w:sz w:val="18"/>
                <w:szCs w:val="18"/>
              </w:rPr>
            </w:pPr>
          </w:p>
        </w:tc>
        <w:tc>
          <w:tcPr>
            <w:tcW w:w="1497" w:type="dxa"/>
            <w:shd w:val="clear" w:color="auto" w:fill="EEECE1" w:themeFill="background2"/>
            <w:vAlign w:val="center"/>
          </w:tcPr>
          <w:p w14:paraId="5730545D" w14:textId="77777777" w:rsidR="0015225A" w:rsidRPr="008D1922" w:rsidRDefault="0015225A" w:rsidP="00D07AFA">
            <w:pPr>
              <w:autoSpaceDE w:val="0"/>
              <w:autoSpaceDN w:val="0"/>
              <w:adjustRightInd w:val="0"/>
              <w:jc w:val="center"/>
              <w:rPr>
                <w:rFonts w:cs="Arial"/>
                <w:sz w:val="18"/>
                <w:szCs w:val="18"/>
                <w:lang w:eastAsia="en-GB"/>
              </w:rPr>
            </w:pPr>
            <w:r w:rsidRPr="008D1922">
              <w:rPr>
                <w:rFonts w:cs="Arial"/>
                <w:sz w:val="18"/>
                <w:szCs w:val="18"/>
                <w:lang w:eastAsia="en-GB"/>
              </w:rPr>
              <w:t>Appropriate materials in case of</w:t>
            </w:r>
          </w:p>
          <w:p w14:paraId="5730545E" w14:textId="77777777" w:rsidR="0015225A" w:rsidRPr="008D1922" w:rsidRDefault="0015225A" w:rsidP="00D07AFA">
            <w:pPr>
              <w:widowControl w:val="0"/>
              <w:tabs>
                <w:tab w:val="left" w:pos="720"/>
              </w:tabs>
              <w:jc w:val="center"/>
              <w:rPr>
                <w:rFonts w:cs="Arial"/>
                <w:sz w:val="18"/>
                <w:szCs w:val="18"/>
                <w:lang w:eastAsia="en-GB"/>
              </w:rPr>
            </w:pPr>
            <w:r w:rsidRPr="008D1922">
              <w:rPr>
                <w:rFonts w:cs="Arial"/>
                <w:sz w:val="18"/>
                <w:szCs w:val="18"/>
                <w:lang w:eastAsia="en-GB"/>
              </w:rPr>
              <w:t>fires</w:t>
            </w:r>
          </w:p>
        </w:tc>
        <w:tc>
          <w:tcPr>
            <w:tcW w:w="1086" w:type="dxa"/>
            <w:shd w:val="clear" w:color="auto" w:fill="EEECE1" w:themeFill="background2"/>
            <w:vAlign w:val="center"/>
          </w:tcPr>
          <w:p w14:paraId="5730545F"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EHA.17</w:t>
            </w:r>
          </w:p>
        </w:tc>
        <w:tc>
          <w:tcPr>
            <w:tcW w:w="5198" w:type="dxa"/>
            <w:shd w:val="clear" w:color="auto" w:fill="EEECE1" w:themeFill="background2"/>
            <w:vAlign w:val="center"/>
          </w:tcPr>
          <w:p w14:paraId="57305460" w14:textId="77777777" w:rsidR="0015225A" w:rsidRPr="008D1922" w:rsidRDefault="0015225A" w:rsidP="00D07AFA">
            <w:pPr>
              <w:autoSpaceDE w:val="0"/>
              <w:autoSpaceDN w:val="0"/>
              <w:adjustRightInd w:val="0"/>
              <w:jc w:val="center"/>
              <w:rPr>
                <w:rFonts w:cs="Arial"/>
                <w:sz w:val="18"/>
                <w:szCs w:val="18"/>
                <w:lang w:eastAsia="en-GB"/>
              </w:rPr>
            </w:pPr>
            <w:r w:rsidRPr="008D1922">
              <w:rPr>
                <w:rFonts w:cs="Arial"/>
                <w:sz w:val="18"/>
                <w:szCs w:val="18"/>
                <w:lang w:eastAsia="en-GB"/>
              </w:rPr>
              <w:t>Non-combustible or fire-retardant and heat-resistant materials should be used throughout the facility (see Principle EKP.1).</w:t>
            </w:r>
          </w:p>
        </w:tc>
      </w:tr>
      <w:tr w:rsidR="0015225A" w:rsidRPr="00CC121D" w14:paraId="57305468" w14:textId="77777777" w:rsidTr="00F22B72">
        <w:trPr>
          <w:jc w:val="center"/>
        </w:trPr>
        <w:tc>
          <w:tcPr>
            <w:tcW w:w="1853" w:type="dxa"/>
            <w:vMerge/>
            <w:shd w:val="clear" w:color="auto" w:fill="EEECE1" w:themeFill="background2"/>
            <w:vAlign w:val="center"/>
          </w:tcPr>
          <w:p w14:paraId="57305463" w14:textId="77777777" w:rsidR="0015225A" w:rsidRPr="008D1922" w:rsidRDefault="0015225A" w:rsidP="00D07AFA">
            <w:pPr>
              <w:jc w:val="center"/>
              <w:rPr>
                <w:rFonts w:cs="Arial"/>
                <w:sz w:val="18"/>
                <w:szCs w:val="18"/>
              </w:rPr>
            </w:pPr>
          </w:p>
        </w:tc>
        <w:tc>
          <w:tcPr>
            <w:tcW w:w="1497" w:type="dxa"/>
            <w:shd w:val="clear" w:color="auto" w:fill="EEECE1" w:themeFill="background2"/>
            <w:vAlign w:val="center"/>
          </w:tcPr>
          <w:p w14:paraId="57305464" w14:textId="77777777" w:rsidR="0015225A" w:rsidRPr="008D1922" w:rsidRDefault="0015225A" w:rsidP="00D07AFA">
            <w:pPr>
              <w:widowControl w:val="0"/>
              <w:tabs>
                <w:tab w:val="left" w:pos="720"/>
              </w:tabs>
              <w:jc w:val="center"/>
              <w:rPr>
                <w:rFonts w:cs="Arial"/>
                <w:sz w:val="18"/>
                <w:szCs w:val="18"/>
                <w:lang w:eastAsia="en-GB"/>
              </w:rPr>
            </w:pPr>
            <w:r w:rsidRPr="008D1922">
              <w:rPr>
                <w:rFonts w:cs="Arial"/>
                <w:sz w:val="18"/>
                <w:szCs w:val="18"/>
                <w:lang w:eastAsia="en-GB"/>
              </w:rPr>
              <w:t>Beyond design basis events</w:t>
            </w:r>
          </w:p>
        </w:tc>
        <w:tc>
          <w:tcPr>
            <w:tcW w:w="1086" w:type="dxa"/>
            <w:shd w:val="clear" w:color="auto" w:fill="EEECE1" w:themeFill="background2"/>
            <w:vAlign w:val="center"/>
          </w:tcPr>
          <w:p w14:paraId="57305465"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EHA.18</w:t>
            </w:r>
          </w:p>
        </w:tc>
        <w:tc>
          <w:tcPr>
            <w:tcW w:w="5198" w:type="dxa"/>
            <w:shd w:val="clear" w:color="auto" w:fill="EEECE1" w:themeFill="background2"/>
            <w:vAlign w:val="center"/>
          </w:tcPr>
          <w:p w14:paraId="57305466" w14:textId="77777777" w:rsidR="0015225A" w:rsidRPr="008D1922" w:rsidRDefault="0015225A" w:rsidP="00D07AFA">
            <w:pPr>
              <w:autoSpaceDE w:val="0"/>
              <w:autoSpaceDN w:val="0"/>
              <w:adjustRightInd w:val="0"/>
              <w:jc w:val="center"/>
              <w:rPr>
                <w:rFonts w:cs="Arial"/>
                <w:sz w:val="18"/>
                <w:szCs w:val="18"/>
                <w:lang w:eastAsia="en-GB"/>
              </w:rPr>
            </w:pPr>
            <w:r w:rsidRPr="008D1922">
              <w:rPr>
                <w:rFonts w:cs="Arial"/>
                <w:sz w:val="18"/>
                <w:szCs w:val="18"/>
                <w:lang w:eastAsia="en-GB"/>
              </w:rPr>
              <w:t>Fault sequences initiated by internal and external hazards beyond the design basis should be analysed applying an appropriate combination of engineering, deterministic and probabilistic assessments.</w:t>
            </w:r>
          </w:p>
        </w:tc>
      </w:tr>
      <w:tr w:rsidR="0015225A" w:rsidRPr="00CC121D" w14:paraId="5730546E" w14:textId="77777777" w:rsidTr="00F22B72">
        <w:trPr>
          <w:jc w:val="center"/>
        </w:trPr>
        <w:tc>
          <w:tcPr>
            <w:tcW w:w="1853" w:type="dxa"/>
            <w:vMerge/>
            <w:shd w:val="clear" w:color="auto" w:fill="EEECE1" w:themeFill="background2"/>
            <w:vAlign w:val="center"/>
          </w:tcPr>
          <w:p w14:paraId="57305469" w14:textId="77777777" w:rsidR="0015225A" w:rsidRPr="008D1922" w:rsidRDefault="0015225A" w:rsidP="00D07AFA">
            <w:pPr>
              <w:jc w:val="center"/>
              <w:rPr>
                <w:rFonts w:cs="Arial"/>
                <w:sz w:val="18"/>
                <w:szCs w:val="18"/>
              </w:rPr>
            </w:pPr>
          </w:p>
        </w:tc>
        <w:tc>
          <w:tcPr>
            <w:tcW w:w="1497" w:type="dxa"/>
            <w:shd w:val="clear" w:color="auto" w:fill="EEECE1" w:themeFill="background2"/>
            <w:vAlign w:val="center"/>
          </w:tcPr>
          <w:p w14:paraId="5730546A" w14:textId="77777777" w:rsidR="0015225A" w:rsidRPr="008D1922" w:rsidRDefault="0015225A" w:rsidP="00D07AFA">
            <w:pPr>
              <w:widowControl w:val="0"/>
              <w:tabs>
                <w:tab w:val="left" w:pos="720"/>
              </w:tabs>
              <w:jc w:val="center"/>
              <w:rPr>
                <w:rFonts w:cs="Arial"/>
                <w:sz w:val="18"/>
                <w:szCs w:val="18"/>
                <w:lang w:eastAsia="en-GB"/>
              </w:rPr>
            </w:pPr>
            <w:r w:rsidRPr="008D1922">
              <w:rPr>
                <w:rFonts w:cs="Arial"/>
                <w:sz w:val="18"/>
                <w:szCs w:val="18"/>
                <w:lang w:eastAsia="en-GB"/>
              </w:rPr>
              <w:t>Screening</w:t>
            </w:r>
          </w:p>
        </w:tc>
        <w:tc>
          <w:tcPr>
            <w:tcW w:w="1086" w:type="dxa"/>
            <w:shd w:val="clear" w:color="auto" w:fill="EEECE1" w:themeFill="background2"/>
            <w:vAlign w:val="center"/>
          </w:tcPr>
          <w:p w14:paraId="5730546B"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EHA.19</w:t>
            </w:r>
          </w:p>
        </w:tc>
        <w:tc>
          <w:tcPr>
            <w:tcW w:w="5198" w:type="dxa"/>
            <w:shd w:val="clear" w:color="auto" w:fill="EEECE1" w:themeFill="background2"/>
            <w:vAlign w:val="center"/>
          </w:tcPr>
          <w:p w14:paraId="5730546C" w14:textId="77777777" w:rsidR="0015225A" w:rsidRPr="008D1922" w:rsidRDefault="0015225A" w:rsidP="00D07AFA">
            <w:pPr>
              <w:autoSpaceDE w:val="0"/>
              <w:autoSpaceDN w:val="0"/>
              <w:adjustRightInd w:val="0"/>
              <w:jc w:val="center"/>
              <w:rPr>
                <w:rFonts w:cs="Arial"/>
                <w:sz w:val="18"/>
                <w:szCs w:val="18"/>
                <w:lang w:eastAsia="en-GB"/>
              </w:rPr>
            </w:pPr>
            <w:r w:rsidRPr="008D1922">
              <w:rPr>
                <w:rFonts w:cs="Arial"/>
                <w:sz w:val="18"/>
                <w:szCs w:val="18"/>
                <w:lang w:eastAsia="en-GB"/>
              </w:rPr>
              <w:t>Hazards whose associated faults make no significant contribution to overall risks from the facility should be excluded from the fault analysis</w:t>
            </w:r>
          </w:p>
        </w:tc>
      </w:tr>
      <w:tr w:rsidR="0015225A" w:rsidRPr="00CC121D" w14:paraId="57305477" w14:textId="77777777" w:rsidTr="00F22B72">
        <w:trPr>
          <w:jc w:val="center"/>
        </w:trPr>
        <w:tc>
          <w:tcPr>
            <w:tcW w:w="1853" w:type="dxa"/>
            <w:vMerge w:val="restart"/>
            <w:vAlign w:val="center"/>
          </w:tcPr>
          <w:p w14:paraId="5730546F" w14:textId="77777777" w:rsidR="0015225A" w:rsidRPr="008D1922" w:rsidRDefault="0015225A" w:rsidP="00D07AFA">
            <w:pPr>
              <w:autoSpaceDE w:val="0"/>
              <w:autoSpaceDN w:val="0"/>
              <w:adjustRightInd w:val="0"/>
              <w:jc w:val="center"/>
              <w:rPr>
                <w:rFonts w:cs="Arial"/>
                <w:bCs/>
                <w:sz w:val="18"/>
                <w:szCs w:val="18"/>
                <w:lang w:eastAsia="en-GB"/>
              </w:rPr>
            </w:pPr>
            <w:r w:rsidRPr="008D1922">
              <w:rPr>
                <w:rFonts w:cs="Arial"/>
                <w:bCs/>
                <w:sz w:val="18"/>
                <w:szCs w:val="18"/>
                <w:lang w:eastAsia="en-GB"/>
              </w:rPr>
              <w:t>Engineering principles: human</w:t>
            </w:r>
          </w:p>
          <w:p w14:paraId="57305470" w14:textId="77777777" w:rsidR="0015225A" w:rsidRPr="008D1922" w:rsidRDefault="0015225A" w:rsidP="00D07AFA">
            <w:pPr>
              <w:jc w:val="center"/>
              <w:rPr>
                <w:rFonts w:cs="Arial"/>
                <w:sz w:val="18"/>
                <w:szCs w:val="18"/>
              </w:rPr>
            </w:pPr>
            <w:r w:rsidRPr="008D1922">
              <w:rPr>
                <w:rFonts w:cs="Arial"/>
                <w:bCs/>
                <w:sz w:val="18"/>
                <w:szCs w:val="18"/>
                <w:lang w:eastAsia="en-GB"/>
              </w:rPr>
              <w:t>factors</w:t>
            </w:r>
          </w:p>
        </w:tc>
        <w:tc>
          <w:tcPr>
            <w:tcW w:w="1497" w:type="dxa"/>
            <w:vAlign w:val="center"/>
          </w:tcPr>
          <w:p w14:paraId="57305471" w14:textId="77777777" w:rsidR="0015225A" w:rsidRPr="008D1922" w:rsidRDefault="0015225A" w:rsidP="00D07AFA">
            <w:pPr>
              <w:autoSpaceDE w:val="0"/>
              <w:autoSpaceDN w:val="0"/>
              <w:adjustRightInd w:val="0"/>
              <w:jc w:val="center"/>
              <w:rPr>
                <w:rFonts w:cs="Arial"/>
                <w:sz w:val="18"/>
                <w:szCs w:val="18"/>
                <w:lang w:eastAsia="en-GB"/>
              </w:rPr>
            </w:pPr>
            <w:r w:rsidRPr="008D1922">
              <w:rPr>
                <w:rFonts w:cs="Arial"/>
                <w:sz w:val="18"/>
                <w:szCs w:val="18"/>
                <w:lang w:eastAsia="en-GB"/>
              </w:rPr>
              <w:t>Integration within design,</w:t>
            </w:r>
          </w:p>
          <w:p w14:paraId="57305472" w14:textId="77777777" w:rsidR="0015225A" w:rsidRPr="008D1922" w:rsidRDefault="0015225A" w:rsidP="00D07AFA">
            <w:pPr>
              <w:autoSpaceDE w:val="0"/>
              <w:autoSpaceDN w:val="0"/>
              <w:adjustRightInd w:val="0"/>
              <w:jc w:val="center"/>
              <w:rPr>
                <w:rFonts w:cs="Arial"/>
                <w:sz w:val="18"/>
                <w:szCs w:val="18"/>
              </w:rPr>
            </w:pPr>
            <w:r w:rsidRPr="008D1922">
              <w:rPr>
                <w:rFonts w:cs="Arial"/>
                <w:sz w:val="18"/>
                <w:szCs w:val="18"/>
                <w:lang w:eastAsia="en-GB"/>
              </w:rPr>
              <w:t>assessment and management</w:t>
            </w:r>
          </w:p>
          <w:p w14:paraId="57305473" w14:textId="77777777" w:rsidR="0015225A" w:rsidRPr="008D1922" w:rsidRDefault="0015225A" w:rsidP="00D07AFA">
            <w:pPr>
              <w:widowControl w:val="0"/>
              <w:tabs>
                <w:tab w:val="left" w:pos="720"/>
              </w:tabs>
              <w:jc w:val="center"/>
              <w:rPr>
                <w:rFonts w:cs="Arial"/>
                <w:sz w:val="18"/>
                <w:szCs w:val="18"/>
                <w:lang w:eastAsia="en-GB"/>
              </w:rPr>
            </w:pPr>
          </w:p>
        </w:tc>
        <w:tc>
          <w:tcPr>
            <w:tcW w:w="1086" w:type="dxa"/>
            <w:vAlign w:val="center"/>
          </w:tcPr>
          <w:p w14:paraId="57305474"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EHF.1</w:t>
            </w:r>
          </w:p>
        </w:tc>
        <w:tc>
          <w:tcPr>
            <w:tcW w:w="5198" w:type="dxa"/>
            <w:vAlign w:val="center"/>
          </w:tcPr>
          <w:p w14:paraId="57305475" w14:textId="77777777" w:rsidR="0015225A" w:rsidRPr="008D1922" w:rsidRDefault="0015225A" w:rsidP="00D07AFA">
            <w:pPr>
              <w:autoSpaceDE w:val="0"/>
              <w:autoSpaceDN w:val="0"/>
              <w:adjustRightInd w:val="0"/>
              <w:jc w:val="center"/>
              <w:rPr>
                <w:rFonts w:cs="Arial"/>
                <w:sz w:val="18"/>
                <w:szCs w:val="18"/>
                <w:lang w:eastAsia="en-GB"/>
              </w:rPr>
            </w:pPr>
            <w:r w:rsidRPr="008D1922">
              <w:rPr>
                <w:rFonts w:cs="Arial"/>
                <w:sz w:val="18"/>
                <w:szCs w:val="18"/>
                <w:lang w:eastAsia="en-GB"/>
              </w:rPr>
              <w:t>A systematic approach to integrating human factors within the design, assessment and management of systems and processes should be applied throughout the facility’s lifecycle.</w:t>
            </w:r>
          </w:p>
        </w:tc>
      </w:tr>
      <w:tr w:rsidR="0015225A" w:rsidRPr="00CC121D" w14:paraId="5730547D" w14:textId="77777777" w:rsidTr="00F22B72">
        <w:trPr>
          <w:jc w:val="center"/>
        </w:trPr>
        <w:tc>
          <w:tcPr>
            <w:tcW w:w="1853" w:type="dxa"/>
            <w:vMerge/>
            <w:vAlign w:val="center"/>
          </w:tcPr>
          <w:p w14:paraId="57305478" w14:textId="77777777" w:rsidR="0015225A" w:rsidRPr="008D1922" w:rsidRDefault="0015225A" w:rsidP="00D07AFA">
            <w:pPr>
              <w:jc w:val="center"/>
              <w:rPr>
                <w:rFonts w:cs="Arial"/>
                <w:sz w:val="18"/>
                <w:szCs w:val="18"/>
              </w:rPr>
            </w:pPr>
          </w:p>
        </w:tc>
        <w:tc>
          <w:tcPr>
            <w:tcW w:w="1497" w:type="dxa"/>
            <w:vAlign w:val="center"/>
          </w:tcPr>
          <w:p w14:paraId="57305479" w14:textId="77777777" w:rsidR="0015225A" w:rsidRPr="008D1922" w:rsidRDefault="0015225A" w:rsidP="00D07AFA">
            <w:pPr>
              <w:widowControl w:val="0"/>
              <w:tabs>
                <w:tab w:val="left" w:pos="720"/>
              </w:tabs>
              <w:jc w:val="center"/>
              <w:rPr>
                <w:rFonts w:cs="Arial"/>
                <w:sz w:val="18"/>
                <w:szCs w:val="18"/>
                <w:lang w:eastAsia="en-GB"/>
              </w:rPr>
            </w:pPr>
            <w:r w:rsidRPr="008D1922">
              <w:rPr>
                <w:rFonts w:cs="Arial"/>
                <w:sz w:val="18"/>
                <w:szCs w:val="18"/>
                <w:lang w:eastAsia="en-GB"/>
              </w:rPr>
              <w:t>Task analysis</w:t>
            </w:r>
          </w:p>
        </w:tc>
        <w:tc>
          <w:tcPr>
            <w:tcW w:w="1086" w:type="dxa"/>
            <w:vAlign w:val="center"/>
          </w:tcPr>
          <w:p w14:paraId="5730547A"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EHF.5</w:t>
            </w:r>
          </w:p>
        </w:tc>
        <w:tc>
          <w:tcPr>
            <w:tcW w:w="5198" w:type="dxa"/>
            <w:vAlign w:val="center"/>
          </w:tcPr>
          <w:p w14:paraId="5730547B" w14:textId="77777777" w:rsidR="0015225A" w:rsidRPr="008D1922" w:rsidRDefault="0015225A" w:rsidP="00D07AFA">
            <w:pPr>
              <w:autoSpaceDE w:val="0"/>
              <w:autoSpaceDN w:val="0"/>
              <w:adjustRightInd w:val="0"/>
              <w:jc w:val="center"/>
              <w:rPr>
                <w:rFonts w:cs="Arial"/>
                <w:sz w:val="18"/>
                <w:szCs w:val="18"/>
                <w:lang w:eastAsia="en-GB"/>
              </w:rPr>
            </w:pPr>
            <w:r w:rsidRPr="008D1922">
              <w:rPr>
                <w:rFonts w:cs="Arial"/>
                <w:sz w:val="18"/>
                <w:szCs w:val="18"/>
                <w:lang w:eastAsia="en-GB"/>
              </w:rPr>
              <w:t>Proportionate analysis should be carried out of all tasks important to safety and used to justify the effective delivery of the safety functions to which they contribute.</w:t>
            </w:r>
          </w:p>
        </w:tc>
      </w:tr>
      <w:tr w:rsidR="0015225A" w:rsidRPr="00CC121D" w14:paraId="57305483" w14:textId="77777777" w:rsidTr="00F22B72">
        <w:trPr>
          <w:jc w:val="center"/>
        </w:trPr>
        <w:tc>
          <w:tcPr>
            <w:tcW w:w="1853" w:type="dxa"/>
            <w:vMerge/>
            <w:vAlign w:val="center"/>
          </w:tcPr>
          <w:p w14:paraId="5730547E" w14:textId="77777777" w:rsidR="0015225A" w:rsidRPr="008D1922" w:rsidRDefault="0015225A" w:rsidP="00D07AFA">
            <w:pPr>
              <w:jc w:val="center"/>
              <w:rPr>
                <w:rFonts w:cs="Arial"/>
                <w:sz w:val="18"/>
                <w:szCs w:val="18"/>
              </w:rPr>
            </w:pPr>
          </w:p>
        </w:tc>
        <w:tc>
          <w:tcPr>
            <w:tcW w:w="1497" w:type="dxa"/>
            <w:vAlign w:val="center"/>
          </w:tcPr>
          <w:p w14:paraId="5730547F"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lang w:eastAsia="en-GB"/>
              </w:rPr>
              <w:t>Workspace design</w:t>
            </w:r>
          </w:p>
        </w:tc>
        <w:tc>
          <w:tcPr>
            <w:tcW w:w="1086" w:type="dxa"/>
            <w:vAlign w:val="center"/>
          </w:tcPr>
          <w:p w14:paraId="57305480"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EHF.6</w:t>
            </w:r>
          </w:p>
        </w:tc>
        <w:tc>
          <w:tcPr>
            <w:tcW w:w="5198" w:type="dxa"/>
            <w:vAlign w:val="center"/>
          </w:tcPr>
          <w:p w14:paraId="57305481" w14:textId="77777777" w:rsidR="0015225A" w:rsidRPr="008D1922" w:rsidRDefault="0015225A" w:rsidP="00D07AFA">
            <w:pPr>
              <w:autoSpaceDE w:val="0"/>
              <w:autoSpaceDN w:val="0"/>
              <w:adjustRightInd w:val="0"/>
              <w:jc w:val="center"/>
              <w:rPr>
                <w:rFonts w:cs="Arial"/>
                <w:sz w:val="18"/>
                <w:szCs w:val="18"/>
                <w:lang w:eastAsia="en-GB"/>
              </w:rPr>
            </w:pPr>
            <w:r w:rsidRPr="008D1922">
              <w:rPr>
                <w:rFonts w:cs="Arial"/>
                <w:sz w:val="18"/>
                <w:szCs w:val="18"/>
                <w:lang w:eastAsia="en-GB"/>
              </w:rPr>
              <w:t>Workspaces in which operations (including maintenance activities) are conducted should be designed to support reliable task performance. The design should take account of the physical and psychological characteristics of the intended users and the impact of environmental factors.</w:t>
            </w:r>
          </w:p>
        </w:tc>
      </w:tr>
      <w:tr w:rsidR="0015225A" w:rsidRPr="00CC121D" w14:paraId="5730548B" w14:textId="77777777" w:rsidTr="00F22B72">
        <w:trPr>
          <w:trHeight w:val="871"/>
          <w:jc w:val="center"/>
        </w:trPr>
        <w:tc>
          <w:tcPr>
            <w:tcW w:w="1853" w:type="dxa"/>
            <w:vMerge w:val="restart"/>
            <w:shd w:val="clear" w:color="auto" w:fill="EEECE1" w:themeFill="background2"/>
            <w:vAlign w:val="center"/>
          </w:tcPr>
          <w:p w14:paraId="57305484" w14:textId="77777777" w:rsidR="0015225A" w:rsidRPr="008D1922" w:rsidRDefault="0015225A" w:rsidP="00D07AFA">
            <w:pPr>
              <w:autoSpaceDE w:val="0"/>
              <w:autoSpaceDN w:val="0"/>
              <w:adjustRightInd w:val="0"/>
              <w:jc w:val="center"/>
              <w:rPr>
                <w:rFonts w:eastAsiaTheme="minorHAnsi" w:cs="Arial"/>
                <w:bCs/>
                <w:sz w:val="18"/>
                <w:szCs w:val="18"/>
              </w:rPr>
            </w:pPr>
            <w:r w:rsidRPr="008D1922">
              <w:rPr>
                <w:rFonts w:eastAsiaTheme="minorHAnsi" w:cs="Arial"/>
                <w:bCs/>
                <w:sz w:val="18"/>
                <w:szCs w:val="18"/>
              </w:rPr>
              <w:t>Engineering principles:</w:t>
            </w:r>
          </w:p>
          <w:p w14:paraId="57305485" w14:textId="77777777" w:rsidR="0015225A" w:rsidRPr="008D1922" w:rsidRDefault="0015225A" w:rsidP="00D07AFA">
            <w:pPr>
              <w:autoSpaceDE w:val="0"/>
              <w:autoSpaceDN w:val="0"/>
              <w:adjustRightInd w:val="0"/>
              <w:jc w:val="center"/>
              <w:rPr>
                <w:rFonts w:eastAsiaTheme="minorHAnsi" w:cs="Arial"/>
                <w:bCs/>
                <w:sz w:val="18"/>
                <w:szCs w:val="18"/>
              </w:rPr>
            </w:pPr>
            <w:r w:rsidRPr="008D1922">
              <w:rPr>
                <w:rFonts w:eastAsiaTheme="minorHAnsi" w:cs="Arial"/>
                <w:bCs/>
                <w:sz w:val="18"/>
                <w:szCs w:val="18"/>
              </w:rPr>
              <w:t>containment and ventilation:</w:t>
            </w:r>
          </w:p>
          <w:p w14:paraId="57305486" w14:textId="77777777" w:rsidR="0015225A" w:rsidRPr="008D1922" w:rsidRDefault="0015225A" w:rsidP="00D07AFA">
            <w:pPr>
              <w:jc w:val="center"/>
              <w:rPr>
                <w:rFonts w:cs="Arial"/>
                <w:sz w:val="18"/>
                <w:szCs w:val="18"/>
              </w:rPr>
            </w:pPr>
            <w:r w:rsidRPr="008D1922">
              <w:rPr>
                <w:rFonts w:eastAsiaTheme="minorHAnsi" w:cs="Arial"/>
                <w:bCs/>
                <w:sz w:val="18"/>
                <w:szCs w:val="18"/>
              </w:rPr>
              <w:t>containment design</w:t>
            </w:r>
          </w:p>
        </w:tc>
        <w:tc>
          <w:tcPr>
            <w:tcW w:w="1497" w:type="dxa"/>
            <w:shd w:val="clear" w:color="auto" w:fill="EEECE1" w:themeFill="background2"/>
            <w:vAlign w:val="center"/>
          </w:tcPr>
          <w:p w14:paraId="57305487" w14:textId="77777777" w:rsidR="0015225A" w:rsidRPr="008D1922" w:rsidRDefault="0015225A" w:rsidP="00D07AFA">
            <w:pPr>
              <w:widowControl w:val="0"/>
              <w:tabs>
                <w:tab w:val="left" w:pos="720"/>
              </w:tabs>
              <w:jc w:val="center"/>
              <w:rPr>
                <w:rFonts w:cs="Arial"/>
                <w:sz w:val="18"/>
                <w:szCs w:val="18"/>
                <w:lang w:eastAsia="en-GB"/>
              </w:rPr>
            </w:pPr>
            <w:r w:rsidRPr="008D1922">
              <w:rPr>
                <w:rFonts w:cs="Arial"/>
                <w:sz w:val="18"/>
                <w:szCs w:val="18"/>
              </w:rPr>
              <w:t>Prevention of leakage</w:t>
            </w:r>
          </w:p>
        </w:tc>
        <w:tc>
          <w:tcPr>
            <w:tcW w:w="1086" w:type="dxa"/>
            <w:shd w:val="clear" w:color="auto" w:fill="EEECE1" w:themeFill="background2"/>
            <w:vAlign w:val="center"/>
          </w:tcPr>
          <w:p w14:paraId="57305488"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ECV.1</w:t>
            </w:r>
          </w:p>
        </w:tc>
        <w:tc>
          <w:tcPr>
            <w:tcW w:w="5198" w:type="dxa"/>
            <w:shd w:val="clear" w:color="auto" w:fill="EEECE1" w:themeFill="background2"/>
            <w:vAlign w:val="center"/>
          </w:tcPr>
          <w:p w14:paraId="57305489" w14:textId="77777777" w:rsidR="0015225A" w:rsidRPr="008D1922" w:rsidRDefault="0015225A" w:rsidP="00D07AFA">
            <w:pPr>
              <w:autoSpaceDE w:val="0"/>
              <w:autoSpaceDN w:val="0"/>
              <w:adjustRightInd w:val="0"/>
              <w:jc w:val="center"/>
              <w:rPr>
                <w:rFonts w:cs="Arial"/>
                <w:sz w:val="18"/>
                <w:szCs w:val="18"/>
                <w:lang w:eastAsia="en-GB"/>
              </w:rPr>
            </w:pPr>
            <w:r w:rsidRPr="008D1922">
              <w:rPr>
                <w:rFonts w:eastAsiaTheme="minorHAnsi" w:cs="Arial"/>
                <w:sz w:val="18"/>
                <w:szCs w:val="18"/>
              </w:rPr>
              <w:t>Radioactive material should be contained and the generation of radioactive waste through the spread of contamination by leakage should be prevented.</w:t>
            </w:r>
          </w:p>
        </w:tc>
      </w:tr>
      <w:tr w:rsidR="0015225A" w:rsidRPr="00CC121D" w14:paraId="57305491" w14:textId="77777777" w:rsidTr="00F22B72">
        <w:trPr>
          <w:jc w:val="center"/>
        </w:trPr>
        <w:tc>
          <w:tcPr>
            <w:tcW w:w="1853" w:type="dxa"/>
            <w:vMerge/>
            <w:shd w:val="clear" w:color="auto" w:fill="EEECE1" w:themeFill="background2"/>
            <w:vAlign w:val="center"/>
          </w:tcPr>
          <w:p w14:paraId="5730548C" w14:textId="77777777" w:rsidR="0015225A" w:rsidRPr="008D1922" w:rsidRDefault="0015225A" w:rsidP="00D07AFA">
            <w:pPr>
              <w:jc w:val="center"/>
              <w:rPr>
                <w:rFonts w:cs="Arial"/>
                <w:sz w:val="18"/>
                <w:szCs w:val="18"/>
              </w:rPr>
            </w:pPr>
          </w:p>
        </w:tc>
        <w:tc>
          <w:tcPr>
            <w:tcW w:w="1497" w:type="dxa"/>
            <w:shd w:val="clear" w:color="auto" w:fill="EEECE1" w:themeFill="background2"/>
            <w:vAlign w:val="center"/>
          </w:tcPr>
          <w:p w14:paraId="5730548D" w14:textId="77777777" w:rsidR="0015225A" w:rsidRPr="008D1922" w:rsidRDefault="0015225A" w:rsidP="00D07AFA">
            <w:pPr>
              <w:widowControl w:val="0"/>
              <w:tabs>
                <w:tab w:val="left" w:pos="720"/>
              </w:tabs>
              <w:jc w:val="center"/>
              <w:rPr>
                <w:rFonts w:cs="Arial"/>
                <w:sz w:val="18"/>
                <w:szCs w:val="18"/>
                <w:lang w:eastAsia="en-GB"/>
              </w:rPr>
            </w:pPr>
            <w:r w:rsidRPr="008D1922">
              <w:rPr>
                <w:rFonts w:cs="Arial"/>
                <w:sz w:val="18"/>
                <w:szCs w:val="18"/>
              </w:rPr>
              <w:t>Minimisation of releases</w:t>
            </w:r>
          </w:p>
        </w:tc>
        <w:tc>
          <w:tcPr>
            <w:tcW w:w="1086" w:type="dxa"/>
            <w:shd w:val="clear" w:color="auto" w:fill="EEECE1" w:themeFill="background2"/>
            <w:vAlign w:val="center"/>
          </w:tcPr>
          <w:p w14:paraId="5730548E"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ECV.2</w:t>
            </w:r>
          </w:p>
        </w:tc>
        <w:tc>
          <w:tcPr>
            <w:tcW w:w="5198" w:type="dxa"/>
            <w:shd w:val="clear" w:color="auto" w:fill="EEECE1" w:themeFill="background2"/>
            <w:vAlign w:val="center"/>
          </w:tcPr>
          <w:p w14:paraId="5730548F" w14:textId="77777777" w:rsidR="0015225A" w:rsidRPr="008D1922" w:rsidRDefault="0015225A" w:rsidP="00D07AFA">
            <w:pPr>
              <w:autoSpaceDE w:val="0"/>
              <w:autoSpaceDN w:val="0"/>
              <w:adjustRightInd w:val="0"/>
              <w:jc w:val="center"/>
              <w:rPr>
                <w:rFonts w:cs="Arial"/>
                <w:sz w:val="18"/>
                <w:szCs w:val="18"/>
                <w:lang w:eastAsia="en-GB"/>
              </w:rPr>
            </w:pPr>
            <w:r w:rsidRPr="008D1922">
              <w:rPr>
                <w:rFonts w:eastAsiaTheme="minorHAnsi" w:cs="Arial"/>
                <w:sz w:val="18"/>
                <w:szCs w:val="18"/>
              </w:rPr>
              <w:t>Containment and associated systems should be designed to minimise radioactive releases to the environment in normal operation, fault and accident conditions.</w:t>
            </w:r>
          </w:p>
        </w:tc>
      </w:tr>
      <w:tr w:rsidR="0015225A" w:rsidRPr="00CC121D" w14:paraId="57305497" w14:textId="77777777" w:rsidTr="00F22B72">
        <w:trPr>
          <w:jc w:val="center"/>
        </w:trPr>
        <w:tc>
          <w:tcPr>
            <w:tcW w:w="1853" w:type="dxa"/>
            <w:vMerge/>
            <w:shd w:val="clear" w:color="auto" w:fill="EEECE1" w:themeFill="background2"/>
            <w:vAlign w:val="center"/>
          </w:tcPr>
          <w:p w14:paraId="57305492" w14:textId="77777777" w:rsidR="0015225A" w:rsidRPr="008D1922" w:rsidRDefault="0015225A" w:rsidP="00D07AFA">
            <w:pPr>
              <w:jc w:val="center"/>
              <w:rPr>
                <w:rFonts w:cs="Arial"/>
                <w:sz w:val="18"/>
                <w:szCs w:val="18"/>
              </w:rPr>
            </w:pPr>
          </w:p>
        </w:tc>
        <w:tc>
          <w:tcPr>
            <w:tcW w:w="1497" w:type="dxa"/>
            <w:shd w:val="clear" w:color="auto" w:fill="EEECE1" w:themeFill="background2"/>
            <w:vAlign w:val="center"/>
          </w:tcPr>
          <w:p w14:paraId="57305493" w14:textId="77777777" w:rsidR="0015225A" w:rsidRPr="008D1922" w:rsidRDefault="0015225A" w:rsidP="00D07AFA">
            <w:pPr>
              <w:widowControl w:val="0"/>
              <w:tabs>
                <w:tab w:val="left" w:pos="720"/>
              </w:tabs>
              <w:jc w:val="center"/>
              <w:rPr>
                <w:rFonts w:cs="Arial"/>
                <w:sz w:val="18"/>
                <w:szCs w:val="18"/>
                <w:lang w:eastAsia="en-GB"/>
              </w:rPr>
            </w:pPr>
            <w:r w:rsidRPr="008D1922">
              <w:rPr>
                <w:rFonts w:cs="Arial"/>
                <w:sz w:val="18"/>
                <w:szCs w:val="18"/>
              </w:rPr>
              <w:t>Means of confinement</w:t>
            </w:r>
          </w:p>
        </w:tc>
        <w:tc>
          <w:tcPr>
            <w:tcW w:w="1086" w:type="dxa"/>
            <w:shd w:val="clear" w:color="auto" w:fill="EEECE1" w:themeFill="background2"/>
            <w:vAlign w:val="center"/>
          </w:tcPr>
          <w:p w14:paraId="57305494"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ECV.3</w:t>
            </w:r>
          </w:p>
        </w:tc>
        <w:tc>
          <w:tcPr>
            <w:tcW w:w="5198" w:type="dxa"/>
            <w:shd w:val="clear" w:color="auto" w:fill="EEECE1" w:themeFill="background2"/>
            <w:vAlign w:val="center"/>
          </w:tcPr>
          <w:p w14:paraId="57305495" w14:textId="77777777" w:rsidR="0015225A" w:rsidRPr="008D1922" w:rsidRDefault="0015225A" w:rsidP="00D07AFA">
            <w:pPr>
              <w:autoSpaceDE w:val="0"/>
              <w:autoSpaceDN w:val="0"/>
              <w:adjustRightInd w:val="0"/>
              <w:jc w:val="center"/>
              <w:rPr>
                <w:rFonts w:cs="Arial"/>
                <w:sz w:val="18"/>
                <w:szCs w:val="18"/>
                <w:lang w:eastAsia="en-GB"/>
              </w:rPr>
            </w:pPr>
            <w:r w:rsidRPr="008D1922">
              <w:rPr>
                <w:rFonts w:eastAsiaTheme="minorHAnsi" w:cs="Arial"/>
                <w:sz w:val="18"/>
                <w:szCs w:val="18"/>
              </w:rPr>
              <w:t>The primary means of confining radioactive materials should be through the provision of passive sealed containment systems and intrinsic safety features, in preference to the use of active dynamic systems and components.</w:t>
            </w:r>
          </w:p>
        </w:tc>
      </w:tr>
      <w:tr w:rsidR="0015225A" w:rsidRPr="00CC121D" w14:paraId="5730549D" w14:textId="77777777" w:rsidTr="00F22B72">
        <w:trPr>
          <w:jc w:val="center"/>
        </w:trPr>
        <w:tc>
          <w:tcPr>
            <w:tcW w:w="1853" w:type="dxa"/>
            <w:vMerge/>
            <w:shd w:val="clear" w:color="auto" w:fill="EEECE1" w:themeFill="background2"/>
            <w:vAlign w:val="center"/>
          </w:tcPr>
          <w:p w14:paraId="57305498" w14:textId="77777777" w:rsidR="0015225A" w:rsidRPr="008D1922" w:rsidRDefault="0015225A" w:rsidP="00D07AFA">
            <w:pPr>
              <w:jc w:val="center"/>
              <w:rPr>
                <w:rFonts w:cs="Arial"/>
                <w:sz w:val="18"/>
                <w:szCs w:val="18"/>
              </w:rPr>
            </w:pPr>
          </w:p>
        </w:tc>
        <w:tc>
          <w:tcPr>
            <w:tcW w:w="1497" w:type="dxa"/>
            <w:shd w:val="clear" w:color="auto" w:fill="EEECE1" w:themeFill="background2"/>
            <w:vAlign w:val="center"/>
          </w:tcPr>
          <w:p w14:paraId="57305499" w14:textId="77777777" w:rsidR="0015225A" w:rsidRPr="008D1922" w:rsidRDefault="0015225A" w:rsidP="00D07AFA">
            <w:pPr>
              <w:widowControl w:val="0"/>
              <w:tabs>
                <w:tab w:val="left" w:pos="720"/>
              </w:tabs>
              <w:jc w:val="center"/>
              <w:rPr>
                <w:rFonts w:cs="Arial"/>
                <w:sz w:val="18"/>
                <w:szCs w:val="18"/>
                <w:lang w:eastAsia="en-GB"/>
              </w:rPr>
            </w:pPr>
            <w:r w:rsidRPr="008D1922">
              <w:rPr>
                <w:rFonts w:cs="Arial"/>
                <w:sz w:val="18"/>
                <w:szCs w:val="18"/>
                <w:lang w:eastAsia="en-GB"/>
              </w:rPr>
              <w:t>Leakage monitoring</w:t>
            </w:r>
          </w:p>
        </w:tc>
        <w:tc>
          <w:tcPr>
            <w:tcW w:w="1086" w:type="dxa"/>
            <w:shd w:val="clear" w:color="auto" w:fill="EEECE1" w:themeFill="background2"/>
            <w:vAlign w:val="center"/>
          </w:tcPr>
          <w:p w14:paraId="5730549A"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ECV.7</w:t>
            </w:r>
          </w:p>
        </w:tc>
        <w:tc>
          <w:tcPr>
            <w:tcW w:w="5198" w:type="dxa"/>
            <w:shd w:val="clear" w:color="auto" w:fill="EEECE1" w:themeFill="background2"/>
            <w:vAlign w:val="center"/>
          </w:tcPr>
          <w:p w14:paraId="5730549B" w14:textId="77777777" w:rsidR="0015225A" w:rsidRPr="008D1922" w:rsidRDefault="0015225A" w:rsidP="00D07AFA">
            <w:pPr>
              <w:autoSpaceDE w:val="0"/>
              <w:autoSpaceDN w:val="0"/>
              <w:adjustRightInd w:val="0"/>
              <w:jc w:val="center"/>
              <w:rPr>
                <w:rFonts w:cs="Arial"/>
                <w:sz w:val="18"/>
                <w:szCs w:val="18"/>
                <w:lang w:eastAsia="en-GB"/>
              </w:rPr>
            </w:pPr>
            <w:r w:rsidRPr="008D1922">
              <w:rPr>
                <w:rFonts w:cs="Arial"/>
                <w:sz w:val="18"/>
                <w:szCs w:val="18"/>
                <w:lang w:eastAsia="en-GB"/>
              </w:rPr>
              <w:t>Appropriate sampling and monitoring systems should be provided outside the containment to detect, locate, quantify and monitor for leakages or escapes of radioactive material from the containment boundaries.</w:t>
            </w:r>
          </w:p>
        </w:tc>
      </w:tr>
      <w:tr w:rsidR="0015225A" w:rsidRPr="00CC121D" w14:paraId="573054A3" w14:textId="77777777" w:rsidTr="00F22B72">
        <w:trPr>
          <w:jc w:val="center"/>
        </w:trPr>
        <w:tc>
          <w:tcPr>
            <w:tcW w:w="1853" w:type="dxa"/>
            <w:vMerge w:val="restart"/>
            <w:vAlign w:val="center"/>
          </w:tcPr>
          <w:p w14:paraId="5730549E" w14:textId="77777777" w:rsidR="0015225A" w:rsidRPr="008D1922" w:rsidRDefault="0015225A" w:rsidP="00D07AFA">
            <w:pPr>
              <w:jc w:val="center"/>
              <w:rPr>
                <w:rFonts w:cs="Arial"/>
                <w:bCs/>
                <w:sz w:val="18"/>
                <w:szCs w:val="18"/>
                <w:lang w:eastAsia="en-GB"/>
              </w:rPr>
            </w:pPr>
            <w:r w:rsidRPr="008D1922">
              <w:rPr>
                <w:rFonts w:cs="Arial"/>
                <w:bCs/>
                <w:sz w:val="18"/>
                <w:szCs w:val="18"/>
                <w:lang w:eastAsia="en-GB"/>
              </w:rPr>
              <w:t>Fault Analysis</w:t>
            </w:r>
          </w:p>
        </w:tc>
        <w:tc>
          <w:tcPr>
            <w:tcW w:w="1497" w:type="dxa"/>
            <w:vAlign w:val="center"/>
          </w:tcPr>
          <w:p w14:paraId="5730549F" w14:textId="77777777" w:rsidR="0015225A" w:rsidRPr="008D1922" w:rsidRDefault="0015225A" w:rsidP="00D07AFA">
            <w:pPr>
              <w:widowControl w:val="0"/>
              <w:tabs>
                <w:tab w:val="left" w:pos="720"/>
              </w:tabs>
              <w:jc w:val="center"/>
              <w:rPr>
                <w:rFonts w:cs="Arial"/>
                <w:sz w:val="18"/>
                <w:szCs w:val="18"/>
                <w:lang w:eastAsia="en-GB"/>
              </w:rPr>
            </w:pPr>
            <w:r w:rsidRPr="008D1922">
              <w:rPr>
                <w:rFonts w:cs="Arial"/>
                <w:sz w:val="18"/>
                <w:szCs w:val="18"/>
                <w:lang w:eastAsia="en-GB"/>
              </w:rPr>
              <w:t>Fault tolerance</w:t>
            </w:r>
          </w:p>
        </w:tc>
        <w:tc>
          <w:tcPr>
            <w:tcW w:w="1086" w:type="dxa"/>
            <w:vAlign w:val="center"/>
          </w:tcPr>
          <w:p w14:paraId="573054A0"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FA.4</w:t>
            </w:r>
          </w:p>
        </w:tc>
        <w:tc>
          <w:tcPr>
            <w:tcW w:w="5198" w:type="dxa"/>
            <w:vAlign w:val="center"/>
          </w:tcPr>
          <w:p w14:paraId="573054A1" w14:textId="77777777" w:rsidR="0015225A" w:rsidRPr="008D1922" w:rsidRDefault="0015225A" w:rsidP="00D07AFA">
            <w:pPr>
              <w:autoSpaceDE w:val="0"/>
              <w:autoSpaceDN w:val="0"/>
              <w:adjustRightInd w:val="0"/>
              <w:jc w:val="center"/>
              <w:rPr>
                <w:rFonts w:cs="Arial"/>
                <w:sz w:val="18"/>
                <w:szCs w:val="18"/>
                <w:lang w:eastAsia="en-GB"/>
              </w:rPr>
            </w:pPr>
            <w:r w:rsidRPr="008D1922">
              <w:rPr>
                <w:rFonts w:cs="Arial"/>
                <w:sz w:val="18"/>
                <w:szCs w:val="18"/>
              </w:rPr>
              <w:t>DBA should be carried out to provide a robust demonstration of the fault tolerance of the engineering design and the effectiveness of the safety measures.</w:t>
            </w:r>
          </w:p>
        </w:tc>
      </w:tr>
      <w:tr w:rsidR="0015225A" w:rsidRPr="00CC121D" w14:paraId="573054A9" w14:textId="77777777" w:rsidTr="00F22B72">
        <w:trPr>
          <w:jc w:val="center"/>
        </w:trPr>
        <w:tc>
          <w:tcPr>
            <w:tcW w:w="1853" w:type="dxa"/>
            <w:vMerge/>
            <w:vAlign w:val="center"/>
          </w:tcPr>
          <w:p w14:paraId="573054A4" w14:textId="77777777" w:rsidR="0015225A" w:rsidRPr="008D1922" w:rsidRDefault="0015225A" w:rsidP="00D07AFA">
            <w:pPr>
              <w:jc w:val="center"/>
              <w:rPr>
                <w:rFonts w:cs="Arial"/>
                <w:bCs/>
                <w:sz w:val="18"/>
                <w:szCs w:val="18"/>
                <w:lang w:eastAsia="en-GB"/>
              </w:rPr>
            </w:pPr>
          </w:p>
        </w:tc>
        <w:tc>
          <w:tcPr>
            <w:tcW w:w="1497" w:type="dxa"/>
            <w:vAlign w:val="center"/>
          </w:tcPr>
          <w:p w14:paraId="573054A5" w14:textId="77777777" w:rsidR="0015225A" w:rsidRPr="008D1922" w:rsidRDefault="0015225A" w:rsidP="00D07AFA">
            <w:pPr>
              <w:widowControl w:val="0"/>
              <w:tabs>
                <w:tab w:val="left" w:pos="720"/>
              </w:tabs>
              <w:jc w:val="center"/>
              <w:rPr>
                <w:rFonts w:cs="Arial"/>
                <w:sz w:val="18"/>
                <w:szCs w:val="18"/>
                <w:lang w:eastAsia="en-GB"/>
              </w:rPr>
            </w:pPr>
            <w:r w:rsidRPr="008D1922">
              <w:rPr>
                <w:rFonts w:cs="Arial"/>
                <w:sz w:val="18"/>
                <w:szCs w:val="18"/>
              </w:rPr>
              <w:t>Initiating faults</w:t>
            </w:r>
          </w:p>
        </w:tc>
        <w:tc>
          <w:tcPr>
            <w:tcW w:w="1086" w:type="dxa"/>
            <w:vAlign w:val="center"/>
          </w:tcPr>
          <w:p w14:paraId="573054A6"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FA.5</w:t>
            </w:r>
          </w:p>
        </w:tc>
        <w:tc>
          <w:tcPr>
            <w:tcW w:w="5198" w:type="dxa"/>
            <w:vAlign w:val="center"/>
          </w:tcPr>
          <w:p w14:paraId="573054A7" w14:textId="77777777" w:rsidR="0015225A" w:rsidRPr="008D1922" w:rsidRDefault="0015225A" w:rsidP="00D07AFA">
            <w:pPr>
              <w:autoSpaceDE w:val="0"/>
              <w:autoSpaceDN w:val="0"/>
              <w:adjustRightInd w:val="0"/>
              <w:jc w:val="center"/>
              <w:rPr>
                <w:rFonts w:cs="Arial"/>
                <w:sz w:val="18"/>
                <w:szCs w:val="18"/>
                <w:lang w:eastAsia="en-GB"/>
              </w:rPr>
            </w:pPr>
            <w:r w:rsidRPr="008D1922">
              <w:rPr>
                <w:rFonts w:cs="Arial"/>
                <w:sz w:val="18"/>
                <w:szCs w:val="18"/>
              </w:rPr>
              <w:t>The safety case should list all initiating faults that are included within the design basis analysis of the facility.</w:t>
            </w:r>
          </w:p>
        </w:tc>
      </w:tr>
      <w:tr w:rsidR="0015225A" w:rsidRPr="00CC121D" w14:paraId="573054AF" w14:textId="77777777" w:rsidTr="00F22B72">
        <w:trPr>
          <w:jc w:val="center"/>
        </w:trPr>
        <w:tc>
          <w:tcPr>
            <w:tcW w:w="1853" w:type="dxa"/>
            <w:vMerge/>
            <w:vAlign w:val="center"/>
          </w:tcPr>
          <w:p w14:paraId="573054AA" w14:textId="77777777" w:rsidR="0015225A" w:rsidRPr="008D1922" w:rsidRDefault="0015225A" w:rsidP="00D07AFA">
            <w:pPr>
              <w:jc w:val="center"/>
              <w:rPr>
                <w:rFonts w:cs="Arial"/>
                <w:bCs/>
                <w:sz w:val="18"/>
                <w:szCs w:val="18"/>
                <w:lang w:eastAsia="en-GB"/>
              </w:rPr>
            </w:pPr>
          </w:p>
        </w:tc>
        <w:tc>
          <w:tcPr>
            <w:tcW w:w="1497" w:type="dxa"/>
            <w:vAlign w:val="center"/>
          </w:tcPr>
          <w:p w14:paraId="573054AB" w14:textId="77777777" w:rsidR="0015225A" w:rsidRPr="008D1922" w:rsidRDefault="0015225A" w:rsidP="00D07AFA">
            <w:pPr>
              <w:widowControl w:val="0"/>
              <w:tabs>
                <w:tab w:val="left" w:pos="720"/>
              </w:tabs>
              <w:jc w:val="center"/>
              <w:rPr>
                <w:rFonts w:cs="Arial"/>
                <w:sz w:val="18"/>
                <w:szCs w:val="18"/>
                <w:lang w:eastAsia="en-GB"/>
              </w:rPr>
            </w:pPr>
            <w:r w:rsidRPr="008D1922">
              <w:rPr>
                <w:rFonts w:cs="Arial"/>
                <w:sz w:val="18"/>
                <w:szCs w:val="18"/>
              </w:rPr>
              <w:t>Consequences</w:t>
            </w:r>
          </w:p>
        </w:tc>
        <w:tc>
          <w:tcPr>
            <w:tcW w:w="1086" w:type="dxa"/>
            <w:vAlign w:val="center"/>
          </w:tcPr>
          <w:p w14:paraId="573054AC"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FA.7</w:t>
            </w:r>
          </w:p>
        </w:tc>
        <w:tc>
          <w:tcPr>
            <w:tcW w:w="5198" w:type="dxa"/>
            <w:vAlign w:val="center"/>
          </w:tcPr>
          <w:p w14:paraId="573054AD" w14:textId="77777777" w:rsidR="0015225A" w:rsidRPr="008D1922" w:rsidRDefault="0015225A" w:rsidP="00D07AFA">
            <w:pPr>
              <w:autoSpaceDE w:val="0"/>
              <w:autoSpaceDN w:val="0"/>
              <w:adjustRightInd w:val="0"/>
              <w:jc w:val="center"/>
              <w:rPr>
                <w:rFonts w:cs="Arial"/>
                <w:sz w:val="18"/>
                <w:szCs w:val="18"/>
                <w:lang w:eastAsia="en-GB"/>
              </w:rPr>
            </w:pPr>
            <w:r w:rsidRPr="008D1922">
              <w:rPr>
                <w:rFonts w:cs="Arial"/>
                <w:sz w:val="18"/>
                <w:szCs w:val="18"/>
              </w:rPr>
              <w:t>Analysis of design basis fault sequences should use appropriate tools and techniques, and be performed on a conservative basis to demonstrate that consequences are ALARP.</w:t>
            </w:r>
          </w:p>
        </w:tc>
      </w:tr>
      <w:tr w:rsidR="0015225A" w:rsidRPr="00CC121D" w14:paraId="573054B6" w14:textId="77777777" w:rsidTr="00F22B72">
        <w:trPr>
          <w:jc w:val="center"/>
        </w:trPr>
        <w:tc>
          <w:tcPr>
            <w:tcW w:w="1853" w:type="dxa"/>
            <w:shd w:val="clear" w:color="auto" w:fill="EEECE1" w:themeFill="background2"/>
            <w:vAlign w:val="center"/>
          </w:tcPr>
          <w:p w14:paraId="573054B0" w14:textId="77777777" w:rsidR="0015225A" w:rsidRPr="008D1922" w:rsidRDefault="0015225A" w:rsidP="00D07AFA">
            <w:pPr>
              <w:jc w:val="center"/>
              <w:rPr>
                <w:rFonts w:cs="Arial"/>
                <w:sz w:val="18"/>
                <w:szCs w:val="18"/>
              </w:rPr>
            </w:pPr>
            <w:r w:rsidRPr="008D1922">
              <w:rPr>
                <w:rFonts w:cs="Arial"/>
                <w:bCs/>
                <w:sz w:val="18"/>
                <w:szCs w:val="18"/>
                <w:lang w:eastAsia="en-GB"/>
              </w:rPr>
              <w:t>Numerical targets and legal limits</w:t>
            </w:r>
          </w:p>
        </w:tc>
        <w:tc>
          <w:tcPr>
            <w:tcW w:w="1497" w:type="dxa"/>
            <w:shd w:val="clear" w:color="auto" w:fill="EEECE1" w:themeFill="background2"/>
            <w:vAlign w:val="center"/>
          </w:tcPr>
          <w:p w14:paraId="573054B1" w14:textId="77777777" w:rsidR="0015225A" w:rsidRPr="008D1922" w:rsidRDefault="0015225A" w:rsidP="00D07AFA">
            <w:pPr>
              <w:widowControl w:val="0"/>
              <w:tabs>
                <w:tab w:val="left" w:pos="720"/>
              </w:tabs>
              <w:jc w:val="center"/>
              <w:rPr>
                <w:rFonts w:cs="Arial"/>
                <w:sz w:val="18"/>
                <w:szCs w:val="18"/>
                <w:lang w:eastAsia="en-GB"/>
              </w:rPr>
            </w:pPr>
            <w:r w:rsidRPr="008D1922">
              <w:rPr>
                <w:rFonts w:cs="Arial"/>
                <w:sz w:val="18"/>
                <w:szCs w:val="18"/>
                <w:lang w:eastAsia="en-GB"/>
              </w:rPr>
              <w:t>Assessment against targets</w:t>
            </w:r>
          </w:p>
        </w:tc>
        <w:tc>
          <w:tcPr>
            <w:tcW w:w="1086" w:type="dxa"/>
            <w:shd w:val="clear" w:color="auto" w:fill="EEECE1" w:themeFill="background2"/>
            <w:vAlign w:val="center"/>
          </w:tcPr>
          <w:p w14:paraId="573054B2"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NT.1</w:t>
            </w:r>
          </w:p>
        </w:tc>
        <w:tc>
          <w:tcPr>
            <w:tcW w:w="5198" w:type="dxa"/>
            <w:shd w:val="clear" w:color="auto" w:fill="EEECE1" w:themeFill="background2"/>
            <w:vAlign w:val="center"/>
          </w:tcPr>
          <w:p w14:paraId="573054B3" w14:textId="77777777" w:rsidR="0015225A" w:rsidRPr="008D1922" w:rsidRDefault="0015225A" w:rsidP="00D07AFA">
            <w:pPr>
              <w:autoSpaceDE w:val="0"/>
              <w:autoSpaceDN w:val="0"/>
              <w:adjustRightInd w:val="0"/>
              <w:jc w:val="center"/>
              <w:rPr>
                <w:rFonts w:cs="Arial"/>
                <w:sz w:val="18"/>
                <w:szCs w:val="18"/>
                <w:lang w:eastAsia="en-GB"/>
              </w:rPr>
            </w:pPr>
            <w:r w:rsidRPr="008D1922">
              <w:rPr>
                <w:rFonts w:cs="Arial"/>
                <w:sz w:val="18"/>
                <w:szCs w:val="18"/>
                <w:lang w:eastAsia="en-GB"/>
              </w:rPr>
              <w:t>Safety cases should be assessed against the SAPs numerical targets for normal operational,</w:t>
            </w:r>
          </w:p>
          <w:p w14:paraId="573054B4" w14:textId="77777777" w:rsidR="0015225A" w:rsidRPr="008D1922" w:rsidRDefault="0015225A" w:rsidP="00D07AFA">
            <w:pPr>
              <w:autoSpaceDE w:val="0"/>
              <w:autoSpaceDN w:val="0"/>
              <w:adjustRightInd w:val="0"/>
              <w:jc w:val="center"/>
              <w:rPr>
                <w:rFonts w:cs="Arial"/>
                <w:sz w:val="18"/>
                <w:szCs w:val="18"/>
                <w:lang w:eastAsia="en-GB"/>
              </w:rPr>
            </w:pPr>
            <w:r w:rsidRPr="008D1922">
              <w:rPr>
                <w:rFonts w:cs="Arial"/>
                <w:sz w:val="18"/>
                <w:szCs w:val="18"/>
                <w:lang w:eastAsia="en-GB"/>
              </w:rPr>
              <w:t>design basis fault and radiological accident risks to people on and off the site.</w:t>
            </w:r>
          </w:p>
        </w:tc>
      </w:tr>
      <w:tr w:rsidR="0015225A" w:rsidRPr="00CC121D" w14:paraId="573054BC" w14:textId="77777777" w:rsidTr="00F22B72">
        <w:trPr>
          <w:jc w:val="center"/>
        </w:trPr>
        <w:tc>
          <w:tcPr>
            <w:tcW w:w="1853" w:type="dxa"/>
            <w:shd w:val="clear" w:color="auto" w:fill="FFFFFF" w:themeFill="background1"/>
            <w:vAlign w:val="center"/>
          </w:tcPr>
          <w:p w14:paraId="573054B7" w14:textId="77777777" w:rsidR="0015225A" w:rsidRPr="008D1922" w:rsidRDefault="0015225A" w:rsidP="00D07AFA">
            <w:pPr>
              <w:jc w:val="center"/>
              <w:rPr>
                <w:rFonts w:cs="Arial"/>
                <w:sz w:val="18"/>
                <w:szCs w:val="18"/>
              </w:rPr>
            </w:pPr>
            <w:r w:rsidRPr="008D1922">
              <w:rPr>
                <w:rFonts w:cs="Arial"/>
                <w:bCs/>
                <w:sz w:val="18"/>
                <w:szCs w:val="18"/>
                <w:lang w:eastAsia="en-GB"/>
              </w:rPr>
              <w:t>Radioactive waste management</w:t>
            </w:r>
          </w:p>
        </w:tc>
        <w:tc>
          <w:tcPr>
            <w:tcW w:w="1497" w:type="dxa"/>
            <w:shd w:val="clear" w:color="auto" w:fill="FFFFFF" w:themeFill="background1"/>
            <w:vAlign w:val="center"/>
          </w:tcPr>
          <w:p w14:paraId="573054B8" w14:textId="77777777" w:rsidR="0015225A" w:rsidRPr="008D1922" w:rsidRDefault="0015225A" w:rsidP="00D07AFA">
            <w:pPr>
              <w:widowControl w:val="0"/>
              <w:tabs>
                <w:tab w:val="left" w:pos="720"/>
              </w:tabs>
              <w:jc w:val="center"/>
              <w:rPr>
                <w:rFonts w:cs="Arial"/>
                <w:sz w:val="18"/>
                <w:szCs w:val="18"/>
                <w:lang w:eastAsia="en-GB"/>
              </w:rPr>
            </w:pPr>
            <w:r w:rsidRPr="008D1922">
              <w:rPr>
                <w:rFonts w:cs="Arial"/>
                <w:sz w:val="18"/>
                <w:szCs w:val="18"/>
                <w:lang w:eastAsia="en-GB"/>
              </w:rPr>
              <w:t>Strategies for radioactive waste</w:t>
            </w:r>
          </w:p>
        </w:tc>
        <w:tc>
          <w:tcPr>
            <w:tcW w:w="1086" w:type="dxa"/>
            <w:shd w:val="clear" w:color="auto" w:fill="FFFFFF" w:themeFill="background1"/>
            <w:vAlign w:val="center"/>
          </w:tcPr>
          <w:p w14:paraId="573054B9"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RW.5</w:t>
            </w:r>
          </w:p>
        </w:tc>
        <w:tc>
          <w:tcPr>
            <w:tcW w:w="5198" w:type="dxa"/>
            <w:shd w:val="clear" w:color="auto" w:fill="FFFFFF" w:themeFill="background1"/>
            <w:vAlign w:val="center"/>
          </w:tcPr>
          <w:p w14:paraId="573054BA" w14:textId="77777777" w:rsidR="0015225A" w:rsidRPr="008D1922" w:rsidRDefault="0015225A" w:rsidP="00D07AFA">
            <w:pPr>
              <w:autoSpaceDE w:val="0"/>
              <w:autoSpaceDN w:val="0"/>
              <w:adjustRightInd w:val="0"/>
              <w:jc w:val="center"/>
              <w:rPr>
                <w:rFonts w:cs="Arial"/>
                <w:sz w:val="18"/>
                <w:szCs w:val="18"/>
                <w:lang w:eastAsia="en-GB"/>
              </w:rPr>
            </w:pPr>
            <w:r w:rsidRPr="008D1922">
              <w:rPr>
                <w:rFonts w:cs="Arial"/>
                <w:sz w:val="18"/>
                <w:szCs w:val="18"/>
                <w:lang w:eastAsia="en-GB"/>
              </w:rPr>
              <w:t>A strategy should be produced and implemented for the management of radioactive waste on a site</w:t>
            </w:r>
          </w:p>
        </w:tc>
      </w:tr>
      <w:tr w:rsidR="0015225A" w:rsidRPr="00CC121D" w14:paraId="573054C2" w14:textId="77777777" w:rsidTr="00F22B72">
        <w:trPr>
          <w:jc w:val="center"/>
        </w:trPr>
        <w:tc>
          <w:tcPr>
            <w:tcW w:w="1853" w:type="dxa"/>
            <w:vMerge w:val="restart"/>
            <w:shd w:val="clear" w:color="auto" w:fill="EEECE1" w:themeFill="background2"/>
            <w:vAlign w:val="center"/>
          </w:tcPr>
          <w:p w14:paraId="573054BD" w14:textId="77777777" w:rsidR="0015225A" w:rsidRPr="008D1922" w:rsidRDefault="0015225A" w:rsidP="00D07AFA">
            <w:pPr>
              <w:jc w:val="center"/>
              <w:rPr>
                <w:rFonts w:cs="Arial"/>
                <w:sz w:val="18"/>
                <w:szCs w:val="18"/>
              </w:rPr>
            </w:pPr>
            <w:r w:rsidRPr="008D1922">
              <w:rPr>
                <w:rFonts w:cs="Arial"/>
                <w:sz w:val="18"/>
                <w:szCs w:val="18"/>
              </w:rPr>
              <w:t>Decommissioning</w:t>
            </w:r>
          </w:p>
        </w:tc>
        <w:tc>
          <w:tcPr>
            <w:tcW w:w="1497" w:type="dxa"/>
            <w:shd w:val="clear" w:color="auto" w:fill="EEECE1" w:themeFill="background2"/>
            <w:vAlign w:val="center"/>
          </w:tcPr>
          <w:p w14:paraId="573054BE" w14:textId="77777777" w:rsidR="0015225A" w:rsidRPr="008D1922" w:rsidRDefault="0015225A" w:rsidP="00D07AFA">
            <w:pPr>
              <w:widowControl w:val="0"/>
              <w:tabs>
                <w:tab w:val="left" w:pos="720"/>
              </w:tabs>
              <w:jc w:val="center"/>
              <w:rPr>
                <w:rFonts w:cs="Arial"/>
                <w:sz w:val="18"/>
                <w:szCs w:val="18"/>
                <w:lang w:eastAsia="en-GB"/>
              </w:rPr>
            </w:pPr>
            <w:r w:rsidRPr="008D1922">
              <w:rPr>
                <w:rFonts w:cs="Arial"/>
                <w:sz w:val="18"/>
                <w:szCs w:val="18"/>
              </w:rPr>
              <w:t>Design and operation</w:t>
            </w:r>
          </w:p>
        </w:tc>
        <w:tc>
          <w:tcPr>
            <w:tcW w:w="1086" w:type="dxa"/>
            <w:shd w:val="clear" w:color="auto" w:fill="EEECE1" w:themeFill="background2"/>
            <w:vAlign w:val="center"/>
          </w:tcPr>
          <w:p w14:paraId="573054BF"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DC.1</w:t>
            </w:r>
          </w:p>
        </w:tc>
        <w:tc>
          <w:tcPr>
            <w:tcW w:w="5198" w:type="dxa"/>
            <w:shd w:val="clear" w:color="auto" w:fill="EEECE1" w:themeFill="background2"/>
            <w:vAlign w:val="center"/>
          </w:tcPr>
          <w:p w14:paraId="573054C0" w14:textId="77777777" w:rsidR="0015225A" w:rsidRPr="008D1922" w:rsidRDefault="0015225A" w:rsidP="00D07AFA">
            <w:pPr>
              <w:autoSpaceDE w:val="0"/>
              <w:autoSpaceDN w:val="0"/>
              <w:adjustRightInd w:val="0"/>
              <w:jc w:val="center"/>
              <w:rPr>
                <w:rFonts w:cs="Arial"/>
                <w:sz w:val="18"/>
                <w:szCs w:val="18"/>
                <w:lang w:eastAsia="en-GB"/>
              </w:rPr>
            </w:pPr>
            <w:r w:rsidRPr="008D1922">
              <w:rPr>
                <w:rFonts w:eastAsiaTheme="minorHAnsi" w:cs="Arial"/>
                <w:sz w:val="18"/>
                <w:szCs w:val="18"/>
              </w:rPr>
              <w:t>Facilities should be designed and operated so that they can be safely decommissioned.</w:t>
            </w:r>
          </w:p>
        </w:tc>
      </w:tr>
      <w:tr w:rsidR="0015225A" w:rsidRPr="00CC121D" w14:paraId="573054C8" w14:textId="77777777" w:rsidTr="00F22B72">
        <w:trPr>
          <w:jc w:val="center"/>
        </w:trPr>
        <w:tc>
          <w:tcPr>
            <w:tcW w:w="1853" w:type="dxa"/>
            <w:vMerge/>
            <w:shd w:val="clear" w:color="auto" w:fill="EEECE1" w:themeFill="background2"/>
            <w:vAlign w:val="center"/>
          </w:tcPr>
          <w:p w14:paraId="573054C3" w14:textId="77777777" w:rsidR="0015225A" w:rsidRPr="008D1922" w:rsidRDefault="0015225A" w:rsidP="00D07AFA">
            <w:pPr>
              <w:jc w:val="center"/>
              <w:rPr>
                <w:rFonts w:cs="Arial"/>
                <w:sz w:val="18"/>
                <w:szCs w:val="18"/>
              </w:rPr>
            </w:pPr>
          </w:p>
        </w:tc>
        <w:tc>
          <w:tcPr>
            <w:tcW w:w="1497" w:type="dxa"/>
            <w:shd w:val="clear" w:color="auto" w:fill="EEECE1" w:themeFill="background2"/>
            <w:vAlign w:val="center"/>
          </w:tcPr>
          <w:p w14:paraId="573054C4" w14:textId="77777777" w:rsidR="0015225A" w:rsidRPr="008D1922" w:rsidRDefault="0015225A" w:rsidP="00D07AFA">
            <w:pPr>
              <w:widowControl w:val="0"/>
              <w:tabs>
                <w:tab w:val="left" w:pos="720"/>
              </w:tabs>
              <w:jc w:val="center"/>
              <w:rPr>
                <w:rFonts w:cs="Arial"/>
                <w:sz w:val="18"/>
                <w:szCs w:val="18"/>
                <w:lang w:eastAsia="en-GB"/>
              </w:rPr>
            </w:pPr>
            <w:r w:rsidRPr="008D1922">
              <w:rPr>
                <w:rFonts w:cs="Arial"/>
                <w:sz w:val="18"/>
                <w:szCs w:val="18"/>
              </w:rPr>
              <w:t>Timing of decommissioning</w:t>
            </w:r>
          </w:p>
        </w:tc>
        <w:tc>
          <w:tcPr>
            <w:tcW w:w="1086" w:type="dxa"/>
            <w:shd w:val="clear" w:color="auto" w:fill="EEECE1" w:themeFill="background2"/>
            <w:vAlign w:val="center"/>
          </w:tcPr>
          <w:p w14:paraId="573054C5"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DC.3</w:t>
            </w:r>
          </w:p>
        </w:tc>
        <w:tc>
          <w:tcPr>
            <w:tcW w:w="5198" w:type="dxa"/>
            <w:shd w:val="clear" w:color="auto" w:fill="EEECE1" w:themeFill="background2"/>
            <w:vAlign w:val="center"/>
          </w:tcPr>
          <w:p w14:paraId="573054C6" w14:textId="77777777" w:rsidR="0015225A" w:rsidRPr="008D1922" w:rsidRDefault="0015225A" w:rsidP="00D07AFA">
            <w:pPr>
              <w:autoSpaceDE w:val="0"/>
              <w:autoSpaceDN w:val="0"/>
              <w:adjustRightInd w:val="0"/>
              <w:jc w:val="center"/>
              <w:rPr>
                <w:rFonts w:cs="Arial"/>
                <w:sz w:val="18"/>
                <w:szCs w:val="18"/>
                <w:lang w:eastAsia="en-GB"/>
              </w:rPr>
            </w:pPr>
            <w:r w:rsidRPr="008D1922">
              <w:rPr>
                <w:rFonts w:eastAsiaTheme="minorHAnsi" w:cs="Arial"/>
                <w:sz w:val="18"/>
                <w:szCs w:val="18"/>
              </w:rPr>
              <w:t>The safety case should justify the continuing safety of the facility for the period prior to its decommissioning. Where adequate levels of safety cannot be demonstrated, prompt decommissioning should be carried out and, where necessary, prompt remedial and operational measures should be implemented to reduce the risk.</w:t>
            </w:r>
          </w:p>
        </w:tc>
      </w:tr>
      <w:tr w:rsidR="0015225A" w:rsidRPr="00CC121D" w14:paraId="573054CE" w14:textId="77777777" w:rsidTr="00F22B72">
        <w:trPr>
          <w:jc w:val="center"/>
        </w:trPr>
        <w:tc>
          <w:tcPr>
            <w:tcW w:w="1853" w:type="dxa"/>
            <w:vMerge/>
            <w:shd w:val="clear" w:color="auto" w:fill="EEECE1" w:themeFill="background2"/>
            <w:vAlign w:val="center"/>
          </w:tcPr>
          <w:p w14:paraId="573054C9" w14:textId="77777777" w:rsidR="0015225A" w:rsidRPr="008D1922" w:rsidRDefault="0015225A" w:rsidP="00D07AFA">
            <w:pPr>
              <w:jc w:val="center"/>
              <w:rPr>
                <w:rFonts w:cs="Arial"/>
                <w:sz w:val="18"/>
                <w:szCs w:val="18"/>
              </w:rPr>
            </w:pPr>
          </w:p>
        </w:tc>
        <w:tc>
          <w:tcPr>
            <w:tcW w:w="1497" w:type="dxa"/>
            <w:shd w:val="clear" w:color="auto" w:fill="EEECE1" w:themeFill="background2"/>
            <w:vAlign w:val="center"/>
          </w:tcPr>
          <w:p w14:paraId="573054CA" w14:textId="77777777" w:rsidR="0015225A" w:rsidRPr="008D1922" w:rsidRDefault="0015225A" w:rsidP="00D07AFA">
            <w:pPr>
              <w:widowControl w:val="0"/>
              <w:tabs>
                <w:tab w:val="left" w:pos="720"/>
              </w:tabs>
              <w:jc w:val="center"/>
              <w:rPr>
                <w:rFonts w:cs="Arial"/>
                <w:sz w:val="18"/>
                <w:szCs w:val="18"/>
                <w:lang w:eastAsia="en-GB"/>
              </w:rPr>
            </w:pPr>
            <w:r w:rsidRPr="008D1922">
              <w:rPr>
                <w:rFonts w:cs="Arial"/>
                <w:sz w:val="18"/>
                <w:szCs w:val="18"/>
              </w:rPr>
              <w:t>Planning for decommissioning</w:t>
            </w:r>
          </w:p>
        </w:tc>
        <w:tc>
          <w:tcPr>
            <w:tcW w:w="1086" w:type="dxa"/>
            <w:shd w:val="clear" w:color="auto" w:fill="EEECE1" w:themeFill="background2"/>
            <w:vAlign w:val="center"/>
          </w:tcPr>
          <w:p w14:paraId="573054CB"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DC.4</w:t>
            </w:r>
          </w:p>
        </w:tc>
        <w:tc>
          <w:tcPr>
            <w:tcW w:w="5198" w:type="dxa"/>
            <w:shd w:val="clear" w:color="auto" w:fill="EEECE1" w:themeFill="background2"/>
            <w:vAlign w:val="center"/>
          </w:tcPr>
          <w:p w14:paraId="573054CC" w14:textId="77777777" w:rsidR="0015225A" w:rsidRPr="008D1922" w:rsidRDefault="0015225A" w:rsidP="00D07AFA">
            <w:pPr>
              <w:autoSpaceDE w:val="0"/>
              <w:autoSpaceDN w:val="0"/>
              <w:adjustRightInd w:val="0"/>
              <w:jc w:val="center"/>
              <w:rPr>
                <w:rFonts w:cs="Arial"/>
                <w:sz w:val="18"/>
                <w:szCs w:val="18"/>
                <w:lang w:eastAsia="en-GB"/>
              </w:rPr>
            </w:pPr>
            <w:r w:rsidRPr="008D1922">
              <w:rPr>
                <w:rFonts w:eastAsiaTheme="minorHAnsi" w:cs="Arial"/>
                <w:sz w:val="18"/>
                <w:szCs w:val="18"/>
              </w:rPr>
              <w:t>A decommissioning plan should be prepared for each facility that sets out how the facility will be safely decommissioned.</w:t>
            </w:r>
          </w:p>
        </w:tc>
      </w:tr>
      <w:tr w:rsidR="0015225A" w:rsidRPr="00CC121D" w14:paraId="573054D4" w14:textId="77777777" w:rsidTr="00F22B72">
        <w:trPr>
          <w:jc w:val="center"/>
        </w:trPr>
        <w:tc>
          <w:tcPr>
            <w:tcW w:w="1853" w:type="dxa"/>
            <w:vMerge/>
            <w:shd w:val="clear" w:color="auto" w:fill="EEECE1" w:themeFill="background2"/>
            <w:vAlign w:val="center"/>
          </w:tcPr>
          <w:p w14:paraId="573054CF" w14:textId="77777777" w:rsidR="0015225A" w:rsidRPr="008D1922" w:rsidRDefault="0015225A" w:rsidP="00D07AFA">
            <w:pPr>
              <w:jc w:val="center"/>
              <w:rPr>
                <w:rFonts w:cs="Arial"/>
                <w:sz w:val="18"/>
                <w:szCs w:val="18"/>
              </w:rPr>
            </w:pPr>
          </w:p>
        </w:tc>
        <w:tc>
          <w:tcPr>
            <w:tcW w:w="1497" w:type="dxa"/>
            <w:shd w:val="clear" w:color="auto" w:fill="EEECE1" w:themeFill="background2"/>
            <w:vAlign w:val="center"/>
          </w:tcPr>
          <w:p w14:paraId="573054D0" w14:textId="77777777" w:rsidR="0015225A" w:rsidRPr="008D1922" w:rsidRDefault="0015225A" w:rsidP="00D07AFA">
            <w:pPr>
              <w:widowControl w:val="0"/>
              <w:tabs>
                <w:tab w:val="left" w:pos="720"/>
              </w:tabs>
              <w:jc w:val="center"/>
              <w:rPr>
                <w:rFonts w:cs="Arial"/>
                <w:sz w:val="18"/>
                <w:szCs w:val="18"/>
                <w:lang w:eastAsia="en-GB"/>
              </w:rPr>
            </w:pPr>
            <w:r w:rsidRPr="008D1922">
              <w:rPr>
                <w:rFonts w:cs="Arial"/>
                <w:sz w:val="18"/>
                <w:szCs w:val="18"/>
              </w:rPr>
              <w:t>Passive safety</w:t>
            </w:r>
          </w:p>
        </w:tc>
        <w:tc>
          <w:tcPr>
            <w:tcW w:w="1086" w:type="dxa"/>
            <w:shd w:val="clear" w:color="auto" w:fill="EEECE1" w:themeFill="background2"/>
            <w:vAlign w:val="center"/>
          </w:tcPr>
          <w:p w14:paraId="573054D1"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DC.5</w:t>
            </w:r>
          </w:p>
        </w:tc>
        <w:tc>
          <w:tcPr>
            <w:tcW w:w="5198" w:type="dxa"/>
            <w:shd w:val="clear" w:color="auto" w:fill="EEECE1" w:themeFill="background2"/>
            <w:vAlign w:val="center"/>
          </w:tcPr>
          <w:p w14:paraId="573054D2" w14:textId="77777777" w:rsidR="0015225A" w:rsidRPr="008D1922" w:rsidRDefault="0015225A" w:rsidP="00D07AFA">
            <w:pPr>
              <w:widowControl w:val="0"/>
              <w:tabs>
                <w:tab w:val="left" w:pos="720"/>
              </w:tabs>
              <w:jc w:val="center"/>
              <w:rPr>
                <w:rFonts w:cs="Arial"/>
                <w:sz w:val="18"/>
                <w:szCs w:val="18"/>
              </w:rPr>
            </w:pPr>
            <w:r w:rsidRPr="008D1922">
              <w:rPr>
                <w:rFonts w:eastAsiaTheme="minorHAnsi" w:cs="Arial"/>
                <w:sz w:val="18"/>
                <w:szCs w:val="18"/>
              </w:rPr>
              <w:t>Facilities should be made passively safe before entering a care and maintenance phase.</w:t>
            </w:r>
          </w:p>
        </w:tc>
      </w:tr>
      <w:tr w:rsidR="0015225A" w:rsidRPr="00CC121D" w14:paraId="573054DA" w14:textId="77777777" w:rsidTr="00F22B72">
        <w:trPr>
          <w:jc w:val="center"/>
        </w:trPr>
        <w:tc>
          <w:tcPr>
            <w:tcW w:w="1853" w:type="dxa"/>
            <w:vMerge/>
            <w:shd w:val="clear" w:color="auto" w:fill="EEECE1" w:themeFill="background2"/>
            <w:vAlign w:val="center"/>
          </w:tcPr>
          <w:p w14:paraId="573054D5" w14:textId="77777777" w:rsidR="0015225A" w:rsidRPr="008D1922" w:rsidRDefault="0015225A" w:rsidP="00D07AFA">
            <w:pPr>
              <w:jc w:val="center"/>
              <w:rPr>
                <w:rFonts w:cs="Arial"/>
                <w:sz w:val="18"/>
                <w:szCs w:val="18"/>
              </w:rPr>
            </w:pPr>
          </w:p>
        </w:tc>
        <w:tc>
          <w:tcPr>
            <w:tcW w:w="1497" w:type="dxa"/>
            <w:shd w:val="clear" w:color="auto" w:fill="EEECE1" w:themeFill="background2"/>
            <w:vAlign w:val="center"/>
          </w:tcPr>
          <w:p w14:paraId="573054D6" w14:textId="77777777" w:rsidR="0015225A" w:rsidRPr="008D1922" w:rsidRDefault="0015225A" w:rsidP="00D07AFA">
            <w:pPr>
              <w:widowControl w:val="0"/>
              <w:tabs>
                <w:tab w:val="left" w:pos="720"/>
              </w:tabs>
              <w:jc w:val="center"/>
              <w:rPr>
                <w:rFonts w:cs="Arial"/>
                <w:sz w:val="18"/>
                <w:szCs w:val="18"/>
                <w:lang w:eastAsia="en-GB"/>
              </w:rPr>
            </w:pPr>
            <w:r w:rsidRPr="008D1922">
              <w:rPr>
                <w:rFonts w:cs="Arial"/>
                <w:sz w:val="18"/>
                <w:szCs w:val="18"/>
              </w:rPr>
              <w:t>Records for decommissioning</w:t>
            </w:r>
          </w:p>
        </w:tc>
        <w:tc>
          <w:tcPr>
            <w:tcW w:w="1086" w:type="dxa"/>
            <w:shd w:val="clear" w:color="auto" w:fill="EEECE1" w:themeFill="background2"/>
            <w:vAlign w:val="center"/>
          </w:tcPr>
          <w:p w14:paraId="573054D7"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DC.6</w:t>
            </w:r>
          </w:p>
        </w:tc>
        <w:tc>
          <w:tcPr>
            <w:tcW w:w="5198" w:type="dxa"/>
            <w:shd w:val="clear" w:color="auto" w:fill="EEECE1" w:themeFill="background2"/>
            <w:vAlign w:val="center"/>
          </w:tcPr>
          <w:p w14:paraId="573054D8" w14:textId="77777777" w:rsidR="0015225A" w:rsidRPr="008D1922" w:rsidRDefault="0015225A" w:rsidP="00D07AFA">
            <w:pPr>
              <w:autoSpaceDE w:val="0"/>
              <w:autoSpaceDN w:val="0"/>
              <w:adjustRightInd w:val="0"/>
              <w:jc w:val="center"/>
              <w:rPr>
                <w:rFonts w:cs="Arial"/>
                <w:sz w:val="18"/>
                <w:szCs w:val="18"/>
                <w:lang w:eastAsia="en-GB"/>
              </w:rPr>
            </w:pPr>
            <w:r w:rsidRPr="008D1922">
              <w:rPr>
                <w:rFonts w:eastAsiaTheme="minorHAnsi" w:cs="Arial"/>
                <w:sz w:val="18"/>
                <w:szCs w:val="18"/>
              </w:rPr>
              <w:t>Documents and records that may be required for decommissioning purposes should be identified, prepared, updated, retained and owned so that they will be available when needed.</w:t>
            </w:r>
          </w:p>
        </w:tc>
      </w:tr>
      <w:tr w:rsidR="0015225A" w:rsidRPr="00CC121D" w14:paraId="573054E1" w14:textId="77777777" w:rsidTr="00F22B72">
        <w:trPr>
          <w:jc w:val="center"/>
        </w:trPr>
        <w:tc>
          <w:tcPr>
            <w:tcW w:w="1853" w:type="dxa"/>
            <w:vMerge/>
            <w:shd w:val="clear" w:color="auto" w:fill="EEECE1" w:themeFill="background2"/>
            <w:vAlign w:val="center"/>
          </w:tcPr>
          <w:p w14:paraId="573054DB" w14:textId="77777777" w:rsidR="0015225A" w:rsidRPr="008D1922" w:rsidRDefault="0015225A" w:rsidP="00D07AFA">
            <w:pPr>
              <w:jc w:val="center"/>
              <w:rPr>
                <w:rFonts w:cs="Arial"/>
                <w:sz w:val="18"/>
                <w:szCs w:val="18"/>
              </w:rPr>
            </w:pPr>
          </w:p>
        </w:tc>
        <w:tc>
          <w:tcPr>
            <w:tcW w:w="1497" w:type="dxa"/>
            <w:shd w:val="clear" w:color="auto" w:fill="EEECE1" w:themeFill="background2"/>
            <w:vAlign w:val="center"/>
          </w:tcPr>
          <w:p w14:paraId="573054DC" w14:textId="77777777" w:rsidR="0015225A" w:rsidRPr="008D1922" w:rsidRDefault="0015225A" w:rsidP="00D07AFA">
            <w:pPr>
              <w:widowControl w:val="0"/>
              <w:tabs>
                <w:tab w:val="left" w:pos="720"/>
              </w:tabs>
              <w:jc w:val="center"/>
              <w:rPr>
                <w:rFonts w:cs="Arial"/>
                <w:sz w:val="18"/>
                <w:szCs w:val="18"/>
                <w:lang w:eastAsia="en-GB"/>
              </w:rPr>
            </w:pPr>
            <w:r w:rsidRPr="008D1922">
              <w:rPr>
                <w:rFonts w:cs="Arial"/>
                <w:sz w:val="18"/>
                <w:szCs w:val="18"/>
                <w:lang w:eastAsia="en-GB"/>
              </w:rPr>
              <w:t>Management system</w:t>
            </w:r>
          </w:p>
        </w:tc>
        <w:tc>
          <w:tcPr>
            <w:tcW w:w="1086" w:type="dxa"/>
            <w:shd w:val="clear" w:color="auto" w:fill="EEECE1" w:themeFill="background2"/>
            <w:vAlign w:val="center"/>
          </w:tcPr>
          <w:p w14:paraId="573054DD"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DC.8</w:t>
            </w:r>
          </w:p>
        </w:tc>
        <w:tc>
          <w:tcPr>
            <w:tcW w:w="5198" w:type="dxa"/>
            <w:shd w:val="clear" w:color="auto" w:fill="EEECE1" w:themeFill="background2"/>
            <w:vAlign w:val="center"/>
          </w:tcPr>
          <w:p w14:paraId="573054DE" w14:textId="77777777" w:rsidR="0015225A" w:rsidRPr="008D1922" w:rsidRDefault="0015225A" w:rsidP="00D07AFA">
            <w:pPr>
              <w:autoSpaceDE w:val="0"/>
              <w:autoSpaceDN w:val="0"/>
              <w:adjustRightInd w:val="0"/>
              <w:jc w:val="center"/>
              <w:rPr>
                <w:rFonts w:cs="Arial"/>
                <w:sz w:val="18"/>
                <w:szCs w:val="18"/>
                <w:lang w:eastAsia="en-GB"/>
              </w:rPr>
            </w:pPr>
            <w:r w:rsidRPr="008D1922">
              <w:rPr>
                <w:rFonts w:cs="Arial"/>
                <w:sz w:val="18"/>
                <w:szCs w:val="18"/>
                <w:lang w:eastAsia="en-GB"/>
              </w:rPr>
              <w:t>The management system should be reviewed periodically and modified as necessary prior to</w:t>
            </w:r>
          </w:p>
          <w:p w14:paraId="573054DF" w14:textId="77777777" w:rsidR="0015225A" w:rsidRPr="008D1922" w:rsidRDefault="0015225A" w:rsidP="00D07AFA">
            <w:pPr>
              <w:autoSpaceDE w:val="0"/>
              <w:autoSpaceDN w:val="0"/>
              <w:adjustRightInd w:val="0"/>
              <w:jc w:val="center"/>
              <w:rPr>
                <w:rFonts w:eastAsiaTheme="minorHAnsi" w:cs="Arial"/>
                <w:sz w:val="18"/>
                <w:szCs w:val="18"/>
              </w:rPr>
            </w:pPr>
            <w:r w:rsidRPr="008D1922">
              <w:rPr>
                <w:rFonts w:cs="Arial"/>
                <w:sz w:val="18"/>
                <w:szCs w:val="18"/>
                <w:lang w:eastAsia="en-GB"/>
              </w:rPr>
              <w:t>and during decommissioning.</w:t>
            </w:r>
          </w:p>
        </w:tc>
      </w:tr>
      <w:tr w:rsidR="0015225A" w:rsidRPr="00CC121D" w14:paraId="573054E7" w14:textId="77777777" w:rsidTr="00F22B72">
        <w:trPr>
          <w:jc w:val="center"/>
        </w:trPr>
        <w:tc>
          <w:tcPr>
            <w:tcW w:w="1853" w:type="dxa"/>
            <w:vMerge/>
            <w:shd w:val="clear" w:color="auto" w:fill="EEECE1" w:themeFill="background2"/>
            <w:vAlign w:val="center"/>
          </w:tcPr>
          <w:p w14:paraId="573054E2" w14:textId="77777777" w:rsidR="0015225A" w:rsidRPr="008D1922" w:rsidRDefault="0015225A" w:rsidP="00D07AFA">
            <w:pPr>
              <w:jc w:val="center"/>
              <w:rPr>
                <w:rFonts w:cs="Arial"/>
                <w:sz w:val="18"/>
                <w:szCs w:val="18"/>
              </w:rPr>
            </w:pPr>
          </w:p>
        </w:tc>
        <w:tc>
          <w:tcPr>
            <w:tcW w:w="1497" w:type="dxa"/>
            <w:shd w:val="clear" w:color="auto" w:fill="EEECE1" w:themeFill="background2"/>
            <w:vAlign w:val="center"/>
          </w:tcPr>
          <w:p w14:paraId="573054E3" w14:textId="77777777" w:rsidR="0015225A" w:rsidRPr="008D1922" w:rsidRDefault="0015225A" w:rsidP="00D07AFA">
            <w:pPr>
              <w:widowControl w:val="0"/>
              <w:tabs>
                <w:tab w:val="left" w:pos="720"/>
              </w:tabs>
              <w:jc w:val="center"/>
              <w:rPr>
                <w:rFonts w:cs="Arial"/>
                <w:sz w:val="18"/>
                <w:szCs w:val="18"/>
                <w:lang w:eastAsia="en-GB"/>
              </w:rPr>
            </w:pPr>
            <w:r w:rsidRPr="008D1922">
              <w:rPr>
                <w:rFonts w:cs="Arial"/>
                <w:sz w:val="18"/>
                <w:szCs w:val="18"/>
                <w:lang w:eastAsia="en-GB"/>
              </w:rPr>
              <w:t>Decommissioning safety case</w:t>
            </w:r>
          </w:p>
        </w:tc>
        <w:tc>
          <w:tcPr>
            <w:tcW w:w="1086" w:type="dxa"/>
            <w:shd w:val="clear" w:color="auto" w:fill="EEECE1" w:themeFill="background2"/>
            <w:vAlign w:val="center"/>
          </w:tcPr>
          <w:p w14:paraId="573054E4" w14:textId="77777777" w:rsidR="0015225A" w:rsidRPr="008D1922" w:rsidRDefault="0015225A" w:rsidP="00D07AFA">
            <w:pPr>
              <w:widowControl w:val="0"/>
              <w:tabs>
                <w:tab w:val="left" w:pos="720"/>
              </w:tabs>
              <w:jc w:val="center"/>
              <w:rPr>
                <w:rFonts w:cs="Arial"/>
                <w:sz w:val="18"/>
                <w:szCs w:val="18"/>
              </w:rPr>
            </w:pPr>
            <w:r w:rsidRPr="008D1922">
              <w:rPr>
                <w:rFonts w:cs="Arial"/>
                <w:sz w:val="18"/>
                <w:szCs w:val="18"/>
              </w:rPr>
              <w:t>DC.9</w:t>
            </w:r>
          </w:p>
        </w:tc>
        <w:tc>
          <w:tcPr>
            <w:tcW w:w="5198" w:type="dxa"/>
            <w:shd w:val="clear" w:color="auto" w:fill="EEECE1" w:themeFill="background2"/>
            <w:vAlign w:val="center"/>
          </w:tcPr>
          <w:p w14:paraId="573054E5" w14:textId="77777777" w:rsidR="0015225A" w:rsidRPr="008D1922" w:rsidRDefault="0015225A" w:rsidP="00D07AFA">
            <w:pPr>
              <w:autoSpaceDE w:val="0"/>
              <w:autoSpaceDN w:val="0"/>
              <w:adjustRightInd w:val="0"/>
              <w:jc w:val="center"/>
              <w:rPr>
                <w:rFonts w:cs="Arial"/>
                <w:sz w:val="18"/>
                <w:szCs w:val="18"/>
                <w:lang w:eastAsia="en-GB"/>
              </w:rPr>
            </w:pPr>
            <w:r w:rsidRPr="008D1922">
              <w:rPr>
                <w:rFonts w:cs="Arial"/>
                <w:sz w:val="18"/>
                <w:szCs w:val="18"/>
                <w:lang w:eastAsia="en-GB"/>
              </w:rPr>
              <w:t>A safety case should be provided to demonstrate the safety of the decommissioning plan and its associated decommissioning activities and then kept up to date as the work progresses.</w:t>
            </w:r>
          </w:p>
        </w:tc>
      </w:tr>
      <w:tr w:rsidR="0015225A" w:rsidRPr="00CC121D" w14:paraId="573054EF" w14:textId="77777777" w:rsidTr="00F22B72">
        <w:trPr>
          <w:jc w:val="center"/>
        </w:trPr>
        <w:tc>
          <w:tcPr>
            <w:tcW w:w="1853" w:type="dxa"/>
            <w:vMerge w:val="restart"/>
            <w:shd w:val="clear" w:color="auto" w:fill="FFFFFF" w:themeFill="background1"/>
            <w:vAlign w:val="center"/>
          </w:tcPr>
          <w:p w14:paraId="573054E8" w14:textId="77777777" w:rsidR="0015225A" w:rsidRPr="008D1922" w:rsidRDefault="0015225A" w:rsidP="00D07AFA">
            <w:pPr>
              <w:widowControl w:val="0"/>
              <w:shd w:val="clear" w:color="auto" w:fill="FFFFFF" w:themeFill="background1"/>
              <w:tabs>
                <w:tab w:val="left" w:pos="720"/>
              </w:tabs>
              <w:spacing w:after="120"/>
              <w:jc w:val="center"/>
              <w:rPr>
                <w:rFonts w:cs="Arial"/>
                <w:sz w:val="18"/>
                <w:szCs w:val="18"/>
              </w:rPr>
            </w:pPr>
            <w:r w:rsidRPr="008D1922">
              <w:rPr>
                <w:rFonts w:cs="Arial"/>
                <w:sz w:val="18"/>
                <w:szCs w:val="18"/>
              </w:rPr>
              <w:t>Land quality management</w:t>
            </w:r>
          </w:p>
          <w:p w14:paraId="573054E9" w14:textId="77777777" w:rsidR="0015225A" w:rsidRPr="008D1922" w:rsidRDefault="0015225A" w:rsidP="00D07AFA">
            <w:pPr>
              <w:shd w:val="clear" w:color="auto" w:fill="FFFFFF" w:themeFill="background1"/>
              <w:jc w:val="center"/>
              <w:rPr>
                <w:rFonts w:cs="Arial"/>
                <w:sz w:val="18"/>
                <w:szCs w:val="18"/>
              </w:rPr>
            </w:pPr>
          </w:p>
        </w:tc>
        <w:tc>
          <w:tcPr>
            <w:tcW w:w="1497" w:type="dxa"/>
            <w:shd w:val="clear" w:color="auto" w:fill="FFFFFF" w:themeFill="background1"/>
            <w:vAlign w:val="center"/>
          </w:tcPr>
          <w:p w14:paraId="573054EA" w14:textId="77777777" w:rsidR="0015225A" w:rsidRPr="008D1922" w:rsidRDefault="0015225A" w:rsidP="00D07AFA">
            <w:pPr>
              <w:shd w:val="clear" w:color="auto" w:fill="FFFFFF" w:themeFill="background1"/>
              <w:autoSpaceDE w:val="0"/>
              <w:autoSpaceDN w:val="0"/>
              <w:adjustRightInd w:val="0"/>
              <w:jc w:val="center"/>
              <w:rPr>
                <w:rFonts w:eastAsiaTheme="minorHAnsi" w:cs="Arial"/>
                <w:sz w:val="18"/>
                <w:szCs w:val="18"/>
              </w:rPr>
            </w:pPr>
            <w:r w:rsidRPr="008D1922">
              <w:rPr>
                <w:rFonts w:eastAsiaTheme="minorHAnsi" w:cs="Arial"/>
                <w:sz w:val="18"/>
                <w:szCs w:val="18"/>
              </w:rPr>
              <w:t>Strategies for radioactively</w:t>
            </w:r>
          </w:p>
          <w:p w14:paraId="573054EB" w14:textId="77777777" w:rsidR="0015225A" w:rsidRPr="008D1922" w:rsidRDefault="0015225A" w:rsidP="00D07AFA">
            <w:pPr>
              <w:widowControl w:val="0"/>
              <w:shd w:val="clear" w:color="auto" w:fill="FFFFFF" w:themeFill="background1"/>
              <w:tabs>
                <w:tab w:val="left" w:pos="720"/>
              </w:tabs>
              <w:jc w:val="center"/>
              <w:rPr>
                <w:rFonts w:cs="Arial"/>
                <w:sz w:val="18"/>
                <w:szCs w:val="18"/>
                <w:lang w:eastAsia="en-GB"/>
              </w:rPr>
            </w:pPr>
            <w:r w:rsidRPr="008D1922">
              <w:rPr>
                <w:rFonts w:eastAsiaTheme="minorHAnsi" w:cs="Arial"/>
                <w:sz w:val="18"/>
                <w:szCs w:val="18"/>
              </w:rPr>
              <w:t>contaminated land</w:t>
            </w:r>
          </w:p>
        </w:tc>
        <w:tc>
          <w:tcPr>
            <w:tcW w:w="1086" w:type="dxa"/>
            <w:shd w:val="clear" w:color="auto" w:fill="FFFFFF" w:themeFill="background1"/>
            <w:vAlign w:val="center"/>
          </w:tcPr>
          <w:p w14:paraId="573054EC" w14:textId="77777777" w:rsidR="0015225A" w:rsidRPr="008D1922" w:rsidRDefault="0015225A" w:rsidP="00D07AFA">
            <w:pPr>
              <w:widowControl w:val="0"/>
              <w:shd w:val="clear" w:color="auto" w:fill="FFFFFF" w:themeFill="background1"/>
              <w:tabs>
                <w:tab w:val="left" w:pos="720"/>
              </w:tabs>
              <w:jc w:val="center"/>
              <w:rPr>
                <w:rFonts w:cs="Arial"/>
                <w:sz w:val="18"/>
                <w:szCs w:val="18"/>
              </w:rPr>
            </w:pPr>
            <w:r w:rsidRPr="008D1922">
              <w:rPr>
                <w:rFonts w:cs="Arial"/>
                <w:sz w:val="18"/>
                <w:szCs w:val="18"/>
              </w:rPr>
              <w:t>RL.1</w:t>
            </w:r>
          </w:p>
        </w:tc>
        <w:tc>
          <w:tcPr>
            <w:tcW w:w="5198" w:type="dxa"/>
            <w:shd w:val="clear" w:color="auto" w:fill="FFFFFF" w:themeFill="background1"/>
            <w:vAlign w:val="center"/>
          </w:tcPr>
          <w:p w14:paraId="573054ED" w14:textId="77777777" w:rsidR="0015225A" w:rsidRPr="008D1922" w:rsidRDefault="0015225A" w:rsidP="00D07AFA">
            <w:pPr>
              <w:shd w:val="clear" w:color="auto" w:fill="FFFFFF" w:themeFill="background1"/>
              <w:autoSpaceDE w:val="0"/>
              <w:autoSpaceDN w:val="0"/>
              <w:adjustRightInd w:val="0"/>
              <w:jc w:val="center"/>
              <w:rPr>
                <w:rFonts w:cs="Arial"/>
                <w:sz w:val="18"/>
                <w:szCs w:val="18"/>
                <w:lang w:eastAsia="en-GB"/>
              </w:rPr>
            </w:pPr>
            <w:r w:rsidRPr="008D1922">
              <w:rPr>
                <w:rFonts w:eastAsiaTheme="minorHAnsi" w:cs="Arial"/>
                <w:sz w:val="18"/>
                <w:szCs w:val="18"/>
              </w:rPr>
              <w:t>A strategy should be produced for the control and remediation of any radioactively contaminated land on the site.</w:t>
            </w:r>
          </w:p>
        </w:tc>
      </w:tr>
      <w:tr w:rsidR="0015225A" w:rsidRPr="00CC121D" w14:paraId="573054F6" w14:textId="77777777" w:rsidTr="00F22B72">
        <w:trPr>
          <w:jc w:val="center"/>
        </w:trPr>
        <w:tc>
          <w:tcPr>
            <w:tcW w:w="1853" w:type="dxa"/>
            <w:vMerge/>
            <w:shd w:val="clear" w:color="auto" w:fill="FFFFFF" w:themeFill="background1"/>
            <w:vAlign w:val="center"/>
          </w:tcPr>
          <w:p w14:paraId="573054F0" w14:textId="77777777" w:rsidR="0015225A" w:rsidRPr="008D1922" w:rsidRDefault="0015225A" w:rsidP="00D07AFA">
            <w:pPr>
              <w:shd w:val="clear" w:color="auto" w:fill="FFFFFF" w:themeFill="background1"/>
              <w:jc w:val="center"/>
              <w:rPr>
                <w:rFonts w:cs="Arial"/>
                <w:sz w:val="18"/>
                <w:szCs w:val="18"/>
              </w:rPr>
            </w:pPr>
          </w:p>
        </w:tc>
        <w:tc>
          <w:tcPr>
            <w:tcW w:w="1497" w:type="dxa"/>
            <w:shd w:val="clear" w:color="auto" w:fill="FFFFFF" w:themeFill="background1"/>
            <w:vAlign w:val="center"/>
          </w:tcPr>
          <w:p w14:paraId="573054F1" w14:textId="77777777" w:rsidR="0015225A" w:rsidRPr="008D1922" w:rsidRDefault="0015225A" w:rsidP="00D07AFA">
            <w:pPr>
              <w:shd w:val="clear" w:color="auto" w:fill="FFFFFF" w:themeFill="background1"/>
              <w:autoSpaceDE w:val="0"/>
              <w:autoSpaceDN w:val="0"/>
              <w:adjustRightInd w:val="0"/>
              <w:jc w:val="center"/>
              <w:rPr>
                <w:rFonts w:eastAsiaTheme="minorHAnsi" w:cs="Arial"/>
                <w:sz w:val="18"/>
                <w:szCs w:val="18"/>
              </w:rPr>
            </w:pPr>
            <w:r w:rsidRPr="008D1922">
              <w:rPr>
                <w:rFonts w:eastAsiaTheme="minorHAnsi" w:cs="Arial"/>
                <w:sz w:val="18"/>
                <w:szCs w:val="18"/>
              </w:rPr>
              <w:t>Identifying radioactively</w:t>
            </w:r>
          </w:p>
          <w:p w14:paraId="573054F2" w14:textId="77777777" w:rsidR="0015225A" w:rsidRPr="008D1922" w:rsidRDefault="0015225A" w:rsidP="00D07AFA">
            <w:pPr>
              <w:widowControl w:val="0"/>
              <w:shd w:val="clear" w:color="auto" w:fill="FFFFFF" w:themeFill="background1"/>
              <w:tabs>
                <w:tab w:val="left" w:pos="720"/>
              </w:tabs>
              <w:jc w:val="center"/>
              <w:rPr>
                <w:rFonts w:cs="Arial"/>
                <w:sz w:val="18"/>
                <w:szCs w:val="18"/>
                <w:lang w:eastAsia="en-GB"/>
              </w:rPr>
            </w:pPr>
            <w:r w:rsidRPr="008D1922">
              <w:rPr>
                <w:rFonts w:eastAsiaTheme="minorHAnsi" w:cs="Arial"/>
                <w:sz w:val="18"/>
                <w:szCs w:val="18"/>
              </w:rPr>
              <w:t>contaminated land</w:t>
            </w:r>
          </w:p>
        </w:tc>
        <w:tc>
          <w:tcPr>
            <w:tcW w:w="1086" w:type="dxa"/>
            <w:shd w:val="clear" w:color="auto" w:fill="FFFFFF" w:themeFill="background1"/>
            <w:vAlign w:val="center"/>
          </w:tcPr>
          <w:p w14:paraId="573054F3" w14:textId="77777777" w:rsidR="0015225A" w:rsidRPr="008D1922" w:rsidRDefault="0015225A" w:rsidP="00D07AFA">
            <w:pPr>
              <w:widowControl w:val="0"/>
              <w:shd w:val="clear" w:color="auto" w:fill="FFFFFF" w:themeFill="background1"/>
              <w:tabs>
                <w:tab w:val="left" w:pos="720"/>
              </w:tabs>
              <w:jc w:val="center"/>
              <w:rPr>
                <w:rFonts w:cs="Arial"/>
                <w:sz w:val="18"/>
                <w:szCs w:val="18"/>
              </w:rPr>
            </w:pPr>
            <w:r w:rsidRPr="008D1922">
              <w:rPr>
                <w:rFonts w:cs="Arial"/>
                <w:sz w:val="18"/>
                <w:szCs w:val="18"/>
              </w:rPr>
              <w:t>RL.2</w:t>
            </w:r>
          </w:p>
        </w:tc>
        <w:tc>
          <w:tcPr>
            <w:tcW w:w="5198" w:type="dxa"/>
            <w:shd w:val="clear" w:color="auto" w:fill="FFFFFF" w:themeFill="background1"/>
            <w:vAlign w:val="center"/>
          </w:tcPr>
          <w:p w14:paraId="573054F4" w14:textId="77777777" w:rsidR="0015225A" w:rsidRPr="008D1922" w:rsidRDefault="0015225A" w:rsidP="00D07AFA">
            <w:pPr>
              <w:shd w:val="clear" w:color="auto" w:fill="FFFFFF" w:themeFill="background1"/>
              <w:autoSpaceDE w:val="0"/>
              <w:autoSpaceDN w:val="0"/>
              <w:adjustRightInd w:val="0"/>
              <w:jc w:val="center"/>
              <w:rPr>
                <w:rFonts w:cs="Arial"/>
                <w:sz w:val="18"/>
                <w:szCs w:val="18"/>
                <w:lang w:eastAsia="en-GB"/>
              </w:rPr>
            </w:pPr>
            <w:r w:rsidRPr="008D1922">
              <w:rPr>
                <w:rFonts w:eastAsiaTheme="minorHAnsi" w:cs="Arial"/>
                <w:sz w:val="18"/>
                <w:szCs w:val="18"/>
              </w:rPr>
              <w:t>Steps should be undertaken to identify any areas of radioactively contaminated land on or adjacent to the site.</w:t>
            </w:r>
          </w:p>
        </w:tc>
      </w:tr>
      <w:tr w:rsidR="0015225A" w:rsidRPr="00CC121D" w14:paraId="573054FF" w14:textId="77777777" w:rsidTr="00F22B72">
        <w:trPr>
          <w:jc w:val="center"/>
        </w:trPr>
        <w:tc>
          <w:tcPr>
            <w:tcW w:w="1853" w:type="dxa"/>
            <w:vMerge/>
            <w:shd w:val="clear" w:color="auto" w:fill="FFFFFF" w:themeFill="background1"/>
            <w:vAlign w:val="center"/>
          </w:tcPr>
          <w:p w14:paraId="573054F7" w14:textId="77777777" w:rsidR="0015225A" w:rsidRPr="008D1922" w:rsidRDefault="0015225A" w:rsidP="00D07AFA">
            <w:pPr>
              <w:shd w:val="clear" w:color="auto" w:fill="FFFFFF" w:themeFill="background1"/>
              <w:jc w:val="center"/>
              <w:rPr>
                <w:rFonts w:cs="Arial"/>
                <w:sz w:val="18"/>
                <w:szCs w:val="18"/>
              </w:rPr>
            </w:pPr>
          </w:p>
        </w:tc>
        <w:tc>
          <w:tcPr>
            <w:tcW w:w="1497" w:type="dxa"/>
            <w:shd w:val="clear" w:color="auto" w:fill="FFFFFF" w:themeFill="background1"/>
            <w:vAlign w:val="center"/>
          </w:tcPr>
          <w:p w14:paraId="573054F8" w14:textId="77777777" w:rsidR="0015225A" w:rsidRPr="008D1922" w:rsidRDefault="0015225A" w:rsidP="00D07AFA">
            <w:pPr>
              <w:shd w:val="clear" w:color="auto" w:fill="FFFFFF" w:themeFill="background1"/>
              <w:autoSpaceDE w:val="0"/>
              <w:autoSpaceDN w:val="0"/>
              <w:adjustRightInd w:val="0"/>
              <w:jc w:val="center"/>
              <w:rPr>
                <w:rFonts w:eastAsiaTheme="minorHAnsi" w:cs="Arial"/>
                <w:sz w:val="18"/>
                <w:szCs w:val="18"/>
              </w:rPr>
            </w:pPr>
            <w:r w:rsidRPr="008D1922">
              <w:rPr>
                <w:rFonts w:eastAsiaTheme="minorHAnsi" w:cs="Arial"/>
                <w:sz w:val="18"/>
                <w:szCs w:val="18"/>
              </w:rPr>
              <w:t>Characterisation of radioactively</w:t>
            </w:r>
          </w:p>
          <w:p w14:paraId="573054F9" w14:textId="77777777" w:rsidR="0015225A" w:rsidRPr="008D1922" w:rsidRDefault="0015225A" w:rsidP="00D07AFA">
            <w:pPr>
              <w:widowControl w:val="0"/>
              <w:shd w:val="clear" w:color="auto" w:fill="FFFFFF" w:themeFill="background1"/>
              <w:tabs>
                <w:tab w:val="left" w:pos="720"/>
              </w:tabs>
              <w:jc w:val="center"/>
              <w:rPr>
                <w:rFonts w:cs="Arial"/>
                <w:sz w:val="18"/>
                <w:szCs w:val="18"/>
                <w:lang w:eastAsia="en-GB"/>
              </w:rPr>
            </w:pPr>
            <w:r w:rsidRPr="008D1922">
              <w:rPr>
                <w:rFonts w:eastAsiaTheme="minorHAnsi" w:cs="Arial"/>
                <w:sz w:val="18"/>
                <w:szCs w:val="18"/>
              </w:rPr>
              <w:t>contaminated land</w:t>
            </w:r>
          </w:p>
        </w:tc>
        <w:tc>
          <w:tcPr>
            <w:tcW w:w="1086" w:type="dxa"/>
            <w:shd w:val="clear" w:color="auto" w:fill="FFFFFF" w:themeFill="background1"/>
            <w:vAlign w:val="center"/>
          </w:tcPr>
          <w:p w14:paraId="573054FA" w14:textId="77777777" w:rsidR="0015225A" w:rsidRPr="008D1922" w:rsidRDefault="0015225A" w:rsidP="00D07AFA">
            <w:pPr>
              <w:widowControl w:val="0"/>
              <w:shd w:val="clear" w:color="auto" w:fill="FFFFFF" w:themeFill="background1"/>
              <w:tabs>
                <w:tab w:val="left" w:pos="720"/>
              </w:tabs>
              <w:jc w:val="center"/>
              <w:rPr>
                <w:rFonts w:cs="Arial"/>
                <w:sz w:val="18"/>
                <w:szCs w:val="18"/>
              </w:rPr>
            </w:pPr>
            <w:r w:rsidRPr="008D1922">
              <w:rPr>
                <w:rFonts w:cs="Arial"/>
                <w:sz w:val="18"/>
                <w:szCs w:val="18"/>
              </w:rPr>
              <w:t>RL.4</w:t>
            </w:r>
          </w:p>
          <w:p w14:paraId="573054FB" w14:textId="77777777" w:rsidR="0015225A" w:rsidRPr="008D1922" w:rsidRDefault="0015225A" w:rsidP="00D07AFA">
            <w:pPr>
              <w:shd w:val="clear" w:color="auto" w:fill="FFFFFF" w:themeFill="background1"/>
              <w:jc w:val="center"/>
              <w:rPr>
                <w:rFonts w:cs="Arial"/>
                <w:sz w:val="18"/>
                <w:szCs w:val="18"/>
              </w:rPr>
            </w:pPr>
          </w:p>
          <w:p w14:paraId="573054FC" w14:textId="77777777" w:rsidR="0015225A" w:rsidRPr="008D1922" w:rsidRDefault="0015225A" w:rsidP="00D07AFA">
            <w:pPr>
              <w:shd w:val="clear" w:color="auto" w:fill="FFFFFF" w:themeFill="background1"/>
              <w:jc w:val="center"/>
              <w:rPr>
                <w:rFonts w:cs="Arial"/>
                <w:sz w:val="18"/>
                <w:szCs w:val="18"/>
              </w:rPr>
            </w:pPr>
          </w:p>
        </w:tc>
        <w:tc>
          <w:tcPr>
            <w:tcW w:w="5198" w:type="dxa"/>
            <w:shd w:val="clear" w:color="auto" w:fill="FFFFFF" w:themeFill="background1"/>
            <w:vAlign w:val="center"/>
          </w:tcPr>
          <w:p w14:paraId="573054FD" w14:textId="77777777" w:rsidR="0015225A" w:rsidRPr="008D1922" w:rsidRDefault="0015225A" w:rsidP="00D07AFA">
            <w:pPr>
              <w:shd w:val="clear" w:color="auto" w:fill="FFFFFF" w:themeFill="background1"/>
              <w:autoSpaceDE w:val="0"/>
              <w:autoSpaceDN w:val="0"/>
              <w:adjustRightInd w:val="0"/>
              <w:jc w:val="center"/>
              <w:rPr>
                <w:rFonts w:cs="Arial"/>
                <w:sz w:val="18"/>
                <w:szCs w:val="18"/>
                <w:lang w:eastAsia="en-GB"/>
              </w:rPr>
            </w:pPr>
            <w:r w:rsidRPr="008D1922">
              <w:rPr>
                <w:rFonts w:eastAsiaTheme="minorHAnsi" w:cs="Arial"/>
                <w:sz w:val="18"/>
                <w:szCs w:val="18"/>
              </w:rPr>
              <w:t>Radioactively contaminated land should be characterised to facilitate its safe and effective control and remediation.</w:t>
            </w:r>
          </w:p>
        </w:tc>
      </w:tr>
      <w:tr w:rsidR="0015225A" w:rsidRPr="00CC121D" w14:paraId="57305505" w14:textId="77777777" w:rsidTr="00F22B72">
        <w:trPr>
          <w:jc w:val="center"/>
        </w:trPr>
        <w:tc>
          <w:tcPr>
            <w:tcW w:w="1853" w:type="dxa"/>
            <w:vMerge/>
            <w:shd w:val="clear" w:color="auto" w:fill="FFFFFF" w:themeFill="background1"/>
            <w:vAlign w:val="center"/>
          </w:tcPr>
          <w:p w14:paraId="57305500" w14:textId="77777777" w:rsidR="0015225A" w:rsidRPr="008D1922" w:rsidRDefault="0015225A" w:rsidP="00D07AFA">
            <w:pPr>
              <w:shd w:val="clear" w:color="auto" w:fill="FFFFFF" w:themeFill="background1"/>
              <w:jc w:val="center"/>
              <w:rPr>
                <w:rFonts w:cs="Arial"/>
                <w:sz w:val="18"/>
                <w:szCs w:val="18"/>
              </w:rPr>
            </w:pPr>
          </w:p>
        </w:tc>
        <w:tc>
          <w:tcPr>
            <w:tcW w:w="1497" w:type="dxa"/>
            <w:shd w:val="clear" w:color="auto" w:fill="FFFFFF" w:themeFill="background1"/>
            <w:vAlign w:val="center"/>
          </w:tcPr>
          <w:p w14:paraId="57305501" w14:textId="77777777" w:rsidR="0015225A" w:rsidRPr="008D1922" w:rsidRDefault="0015225A" w:rsidP="00D07AFA">
            <w:pPr>
              <w:widowControl w:val="0"/>
              <w:shd w:val="clear" w:color="auto" w:fill="FFFFFF" w:themeFill="background1"/>
              <w:tabs>
                <w:tab w:val="left" w:pos="720"/>
              </w:tabs>
              <w:jc w:val="center"/>
              <w:rPr>
                <w:rFonts w:cs="Arial"/>
                <w:sz w:val="18"/>
                <w:szCs w:val="18"/>
              </w:rPr>
            </w:pPr>
            <w:r w:rsidRPr="008D1922">
              <w:rPr>
                <w:rFonts w:eastAsiaTheme="minorHAnsi" w:cs="Arial"/>
                <w:sz w:val="18"/>
                <w:szCs w:val="18"/>
              </w:rPr>
              <w:t>Plan for control and remediation</w:t>
            </w:r>
          </w:p>
        </w:tc>
        <w:tc>
          <w:tcPr>
            <w:tcW w:w="1086" w:type="dxa"/>
            <w:shd w:val="clear" w:color="auto" w:fill="FFFFFF" w:themeFill="background1"/>
            <w:vAlign w:val="center"/>
          </w:tcPr>
          <w:p w14:paraId="57305502" w14:textId="77777777" w:rsidR="0015225A" w:rsidRPr="008D1922" w:rsidRDefault="0015225A" w:rsidP="00D07AFA">
            <w:pPr>
              <w:widowControl w:val="0"/>
              <w:shd w:val="clear" w:color="auto" w:fill="FFFFFF" w:themeFill="background1"/>
              <w:tabs>
                <w:tab w:val="left" w:pos="720"/>
              </w:tabs>
              <w:jc w:val="center"/>
              <w:rPr>
                <w:rFonts w:cs="Arial"/>
                <w:sz w:val="18"/>
                <w:szCs w:val="18"/>
              </w:rPr>
            </w:pPr>
            <w:r w:rsidRPr="008D1922">
              <w:rPr>
                <w:rFonts w:cs="Arial"/>
                <w:sz w:val="18"/>
                <w:szCs w:val="18"/>
              </w:rPr>
              <w:t>RL.6</w:t>
            </w:r>
          </w:p>
        </w:tc>
        <w:tc>
          <w:tcPr>
            <w:tcW w:w="5198" w:type="dxa"/>
            <w:shd w:val="clear" w:color="auto" w:fill="FFFFFF" w:themeFill="background1"/>
            <w:vAlign w:val="center"/>
          </w:tcPr>
          <w:p w14:paraId="57305503" w14:textId="77777777" w:rsidR="0015225A" w:rsidRPr="008D1922" w:rsidRDefault="0015225A" w:rsidP="00D07AFA">
            <w:pPr>
              <w:shd w:val="clear" w:color="auto" w:fill="FFFFFF" w:themeFill="background1"/>
              <w:autoSpaceDE w:val="0"/>
              <w:autoSpaceDN w:val="0"/>
              <w:adjustRightInd w:val="0"/>
              <w:jc w:val="center"/>
              <w:rPr>
                <w:rFonts w:cs="Arial"/>
                <w:sz w:val="18"/>
                <w:szCs w:val="18"/>
                <w:lang w:eastAsia="en-GB"/>
              </w:rPr>
            </w:pPr>
            <w:r w:rsidRPr="008D1922">
              <w:rPr>
                <w:rFonts w:eastAsiaTheme="minorHAnsi" w:cs="Arial"/>
                <w:sz w:val="18"/>
                <w:szCs w:val="18"/>
              </w:rPr>
              <w:t>A plan should be prepared and implemented for the safe control and remediation of radioactively contaminated land and should be subject to appropriate stakeholder engagement.</w:t>
            </w:r>
          </w:p>
        </w:tc>
      </w:tr>
      <w:tr w:rsidR="0015225A" w:rsidRPr="00CC121D" w14:paraId="5730550C" w14:textId="77777777" w:rsidTr="00F22B72">
        <w:trPr>
          <w:jc w:val="center"/>
        </w:trPr>
        <w:tc>
          <w:tcPr>
            <w:tcW w:w="1853" w:type="dxa"/>
            <w:vMerge/>
            <w:shd w:val="clear" w:color="auto" w:fill="FFFFFF" w:themeFill="background1"/>
            <w:vAlign w:val="center"/>
          </w:tcPr>
          <w:p w14:paraId="57305506" w14:textId="77777777" w:rsidR="0015225A" w:rsidRPr="008D1922" w:rsidRDefault="0015225A" w:rsidP="00D07AFA">
            <w:pPr>
              <w:shd w:val="clear" w:color="auto" w:fill="FFFFFF" w:themeFill="background1"/>
              <w:jc w:val="center"/>
              <w:rPr>
                <w:rFonts w:cs="Arial"/>
                <w:sz w:val="18"/>
                <w:szCs w:val="18"/>
              </w:rPr>
            </w:pPr>
          </w:p>
        </w:tc>
        <w:tc>
          <w:tcPr>
            <w:tcW w:w="1497" w:type="dxa"/>
            <w:shd w:val="clear" w:color="auto" w:fill="FFFFFF" w:themeFill="background1"/>
            <w:vAlign w:val="center"/>
          </w:tcPr>
          <w:p w14:paraId="57305507" w14:textId="77777777" w:rsidR="0015225A" w:rsidRPr="008D1922" w:rsidRDefault="0015225A" w:rsidP="00D07AFA">
            <w:pPr>
              <w:shd w:val="clear" w:color="auto" w:fill="FFFFFF" w:themeFill="background1"/>
              <w:autoSpaceDE w:val="0"/>
              <w:autoSpaceDN w:val="0"/>
              <w:adjustRightInd w:val="0"/>
              <w:jc w:val="center"/>
              <w:rPr>
                <w:rFonts w:cs="Arial"/>
                <w:sz w:val="18"/>
                <w:szCs w:val="18"/>
                <w:lang w:eastAsia="en-GB"/>
              </w:rPr>
            </w:pPr>
            <w:r w:rsidRPr="008D1922">
              <w:rPr>
                <w:rFonts w:cs="Arial"/>
                <w:sz w:val="18"/>
                <w:szCs w:val="18"/>
                <w:lang w:eastAsia="en-GB"/>
              </w:rPr>
              <w:t>Construction on radioactively</w:t>
            </w:r>
          </w:p>
          <w:p w14:paraId="57305508" w14:textId="77777777" w:rsidR="0015225A" w:rsidRPr="008D1922" w:rsidRDefault="0015225A" w:rsidP="00D07AFA">
            <w:pPr>
              <w:widowControl w:val="0"/>
              <w:shd w:val="clear" w:color="auto" w:fill="FFFFFF" w:themeFill="background1"/>
              <w:tabs>
                <w:tab w:val="left" w:pos="720"/>
              </w:tabs>
              <w:jc w:val="center"/>
              <w:rPr>
                <w:rFonts w:cs="Arial"/>
                <w:sz w:val="18"/>
                <w:szCs w:val="18"/>
                <w:lang w:eastAsia="en-GB"/>
              </w:rPr>
            </w:pPr>
            <w:r w:rsidRPr="008D1922">
              <w:rPr>
                <w:rFonts w:cs="Arial"/>
                <w:sz w:val="18"/>
                <w:szCs w:val="18"/>
                <w:lang w:eastAsia="en-GB"/>
              </w:rPr>
              <w:t>contaminated land</w:t>
            </w:r>
          </w:p>
        </w:tc>
        <w:tc>
          <w:tcPr>
            <w:tcW w:w="1086" w:type="dxa"/>
            <w:shd w:val="clear" w:color="auto" w:fill="FFFFFF" w:themeFill="background1"/>
            <w:vAlign w:val="center"/>
          </w:tcPr>
          <w:p w14:paraId="57305509" w14:textId="77777777" w:rsidR="0015225A" w:rsidRPr="008D1922" w:rsidRDefault="0015225A" w:rsidP="00D07AFA">
            <w:pPr>
              <w:widowControl w:val="0"/>
              <w:shd w:val="clear" w:color="auto" w:fill="FFFFFF" w:themeFill="background1"/>
              <w:tabs>
                <w:tab w:val="left" w:pos="720"/>
              </w:tabs>
              <w:jc w:val="center"/>
              <w:rPr>
                <w:rFonts w:cs="Arial"/>
                <w:sz w:val="18"/>
                <w:szCs w:val="18"/>
              </w:rPr>
            </w:pPr>
            <w:r w:rsidRPr="008D1922">
              <w:rPr>
                <w:rFonts w:cs="Arial"/>
                <w:sz w:val="18"/>
                <w:szCs w:val="18"/>
              </w:rPr>
              <w:t>RL.8</w:t>
            </w:r>
          </w:p>
        </w:tc>
        <w:tc>
          <w:tcPr>
            <w:tcW w:w="5198" w:type="dxa"/>
            <w:shd w:val="clear" w:color="auto" w:fill="FFFFFF" w:themeFill="background1"/>
            <w:vAlign w:val="center"/>
          </w:tcPr>
          <w:p w14:paraId="5730550A" w14:textId="77777777" w:rsidR="0015225A" w:rsidRPr="008D1922" w:rsidRDefault="0015225A" w:rsidP="00D07AFA">
            <w:pPr>
              <w:shd w:val="clear" w:color="auto" w:fill="FFFFFF" w:themeFill="background1"/>
              <w:autoSpaceDE w:val="0"/>
              <w:autoSpaceDN w:val="0"/>
              <w:adjustRightInd w:val="0"/>
              <w:jc w:val="center"/>
              <w:rPr>
                <w:rFonts w:cs="Arial"/>
                <w:sz w:val="18"/>
                <w:szCs w:val="18"/>
                <w:lang w:eastAsia="en-GB"/>
              </w:rPr>
            </w:pPr>
            <w:r w:rsidRPr="008D1922">
              <w:rPr>
                <w:rFonts w:cs="Arial"/>
                <w:sz w:val="18"/>
                <w:szCs w:val="18"/>
                <w:lang w:eastAsia="en-GB"/>
              </w:rPr>
              <w:t>Radioactively contaminated land should be remediated and controlled as appropriate before any construction of new facilities upon it.</w:t>
            </w:r>
          </w:p>
        </w:tc>
      </w:tr>
      <w:tr w:rsidR="0015225A" w:rsidRPr="00CC121D" w14:paraId="57305512" w14:textId="77777777" w:rsidTr="00F22B72">
        <w:trPr>
          <w:jc w:val="center"/>
        </w:trPr>
        <w:tc>
          <w:tcPr>
            <w:tcW w:w="1853" w:type="dxa"/>
            <w:shd w:val="clear" w:color="auto" w:fill="FFFFFF" w:themeFill="background1"/>
            <w:vAlign w:val="center"/>
          </w:tcPr>
          <w:p w14:paraId="5730550D" w14:textId="77777777" w:rsidR="0015225A" w:rsidRPr="008D1922" w:rsidRDefault="0015225A" w:rsidP="00D07AFA">
            <w:pPr>
              <w:shd w:val="clear" w:color="auto" w:fill="FFFFFF" w:themeFill="background1"/>
              <w:jc w:val="center"/>
              <w:rPr>
                <w:rFonts w:cs="Arial"/>
                <w:sz w:val="18"/>
                <w:szCs w:val="18"/>
              </w:rPr>
            </w:pPr>
            <w:r w:rsidRPr="008D1922">
              <w:rPr>
                <w:rFonts w:cs="Arial"/>
                <w:sz w:val="18"/>
                <w:szCs w:val="18"/>
              </w:rPr>
              <w:t>Radiation Protection</w:t>
            </w:r>
          </w:p>
        </w:tc>
        <w:tc>
          <w:tcPr>
            <w:tcW w:w="1497" w:type="dxa"/>
            <w:shd w:val="clear" w:color="auto" w:fill="FFFFFF" w:themeFill="background1"/>
            <w:vAlign w:val="center"/>
          </w:tcPr>
          <w:p w14:paraId="5730550E" w14:textId="77777777" w:rsidR="0015225A" w:rsidRPr="008D1922" w:rsidRDefault="0015225A" w:rsidP="00D07AFA">
            <w:pPr>
              <w:shd w:val="clear" w:color="auto" w:fill="FFFFFF" w:themeFill="background1"/>
              <w:autoSpaceDE w:val="0"/>
              <w:autoSpaceDN w:val="0"/>
              <w:adjustRightInd w:val="0"/>
              <w:jc w:val="center"/>
              <w:rPr>
                <w:rFonts w:cs="Arial"/>
                <w:sz w:val="18"/>
                <w:szCs w:val="18"/>
                <w:lang w:eastAsia="en-GB"/>
              </w:rPr>
            </w:pPr>
            <w:r w:rsidRPr="008D1922">
              <w:rPr>
                <w:rFonts w:cs="Arial"/>
                <w:sz w:val="18"/>
                <w:szCs w:val="18"/>
                <w:lang w:eastAsia="en-GB"/>
              </w:rPr>
              <w:t>Shielding</w:t>
            </w:r>
          </w:p>
        </w:tc>
        <w:tc>
          <w:tcPr>
            <w:tcW w:w="1086" w:type="dxa"/>
            <w:shd w:val="clear" w:color="auto" w:fill="FFFFFF" w:themeFill="background1"/>
            <w:vAlign w:val="center"/>
          </w:tcPr>
          <w:p w14:paraId="5730550F" w14:textId="77777777" w:rsidR="0015225A" w:rsidRPr="008D1922" w:rsidRDefault="0015225A" w:rsidP="00D07AFA">
            <w:pPr>
              <w:widowControl w:val="0"/>
              <w:shd w:val="clear" w:color="auto" w:fill="FFFFFF" w:themeFill="background1"/>
              <w:tabs>
                <w:tab w:val="left" w:pos="720"/>
              </w:tabs>
              <w:jc w:val="center"/>
              <w:rPr>
                <w:rFonts w:cs="Arial"/>
                <w:sz w:val="18"/>
                <w:szCs w:val="18"/>
              </w:rPr>
            </w:pPr>
            <w:r w:rsidRPr="008D1922">
              <w:rPr>
                <w:rFonts w:cs="Arial"/>
                <w:sz w:val="18"/>
                <w:szCs w:val="18"/>
              </w:rPr>
              <w:t>RP.6</w:t>
            </w:r>
          </w:p>
        </w:tc>
        <w:tc>
          <w:tcPr>
            <w:tcW w:w="5198" w:type="dxa"/>
            <w:shd w:val="clear" w:color="auto" w:fill="FFFFFF" w:themeFill="background1"/>
            <w:vAlign w:val="center"/>
          </w:tcPr>
          <w:p w14:paraId="57305510" w14:textId="77777777" w:rsidR="0015225A" w:rsidRPr="008D1922" w:rsidRDefault="0015225A" w:rsidP="00D07AFA">
            <w:pPr>
              <w:shd w:val="clear" w:color="auto" w:fill="FFFFFF" w:themeFill="background1"/>
              <w:autoSpaceDE w:val="0"/>
              <w:autoSpaceDN w:val="0"/>
              <w:adjustRightInd w:val="0"/>
              <w:jc w:val="center"/>
              <w:rPr>
                <w:rFonts w:cs="Arial"/>
                <w:sz w:val="18"/>
                <w:szCs w:val="18"/>
                <w:lang w:eastAsia="en-GB"/>
              </w:rPr>
            </w:pPr>
            <w:r w:rsidRPr="008D1922">
              <w:rPr>
                <w:rFonts w:cs="Arial"/>
                <w:sz w:val="18"/>
                <w:szCs w:val="18"/>
                <w:lang w:eastAsia="en-GB"/>
              </w:rPr>
              <w:t>Where shielding has been identified as a means of restricting dose, it should be effective under all normal operation and fault conditions where it provides this safety function.</w:t>
            </w:r>
          </w:p>
        </w:tc>
      </w:tr>
      <w:tr w:rsidR="0015225A" w:rsidRPr="00CC121D" w14:paraId="57305518" w14:textId="77777777" w:rsidTr="00F22B72">
        <w:trPr>
          <w:jc w:val="center"/>
        </w:trPr>
        <w:tc>
          <w:tcPr>
            <w:tcW w:w="1853" w:type="dxa"/>
            <w:shd w:val="clear" w:color="auto" w:fill="FFFFFF" w:themeFill="background1"/>
            <w:vAlign w:val="center"/>
          </w:tcPr>
          <w:p w14:paraId="57305513" w14:textId="77777777" w:rsidR="0015225A" w:rsidRPr="008D1922" w:rsidRDefault="0015225A" w:rsidP="00D07AFA">
            <w:pPr>
              <w:shd w:val="clear" w:color="auto" w:fill="FFFFFF" w:themeFill="background1"/>
              <w:jc w:val="center"/>
              <w:rPr>
                <w:rFonts w:cs="Arial"/>
                <w:sz w:val="18"/>
                <w:szCs w:val="18"/>
              </w:rPr>
            </w:pPr>
            <w:r w:rsidRPr="008D1922">
              <w:rPr>
                <w:rFonts w:cs="Arial"/>
                <w:sz w:val="18"/>
                <w:szCs w:val="18"/>
              </w:rPr>
              <w:t>Engineering Principles: Safety Systems</w:t>
            </w:r>
          </w:p>
        </w:tc>
        <w:tc>
          <w:tcPr>
            <w:tcW w:w="1497" w:type="dxa"/>
            <w:shd w:val="clear" w:color="auto" w:fill="FFFFFF" w:themeFill="background1"/>
            <w:vAlign w:val="center"/>
          </w:tcPr>
          <w:p w14:paraId="57305514" w14:textId="77777777" w:rsidR="0015225A" w:rsidRPr="008D1922" w:rsidRDefault="0015225A" w:rsidP="00D07AFA">
            <w:pPr>
              <w:shd w:val="clear" w:color="auto" w:fill="FFFFFF" w:themeFill="background1"/>
              <w:autoSpaceDE w:val="0"/>
              <w:autoSpaceDN w:val="0"/>
              <w:adjustRightInd w:val="0"/>
              <w:jc w:val="center"/>
              <w:rPr>
                <w:rFonts w:cs="Arial"/>
                <w:sz w:val="18"/>
                <w:szCs w:val="18"/>
                <w:lang w:eastAsia="en-GB"/>
              </w:rPr>
            </w:pPr>
            <w:r w:rsidRPr="008D1922">
              <w:rPr>
                <w:rFonts w:cs="Arial"/>
                <w:sz w:val="18"/>
                <w:szCs w:val="18"/>
                <w:lang w:eastAsia="en-GB"/>
              </w:rPr>
              <w:t>Failure independence</w:t>
            </w:r>
          </w:p>
        </w:tc>
        <w:tc>
          <w:tcPr>
            <w:tcW w:w="1086" w:type="dxa"/>
            <w:shd w:val="clear" w:color="auto" w:fill="FFFFFF" w:themeFill="background1"/>
            <w:vAlign w:val="center"/>
          </w:tcPr>
          <w:p w14:paraId="57305515" w14:textId="77777777" w:rsidR="0015225A" w:rsidRPr="008D1922" w:rsidRDefault="0015225A" w:rsidP="00D07AFA">
            <w:pPr>
              <w:widowControl w:val="0"/>
              <w:shd w:val="clear" w:color="auto" w:fill="FFFFFF" w:themeFill="background1"/>
              <w:tabs>
                <w:tab w:val="left" w:pos="720"/>
              </w:tabs>
              <w:jc w:val="center"/>
              <w:rPr>
                <w:rFonts w:cs="Arial"/>
                <w:sz w:val="18"/>
                <w:szCs w:val="18"/>
              </w:rPr>
            </w:pPr>
            <w:r w:rsidRPr="008D1922">
              <w:rPr>
                <w:rFonts w:cs="Arial"/>
                <w:sz w:val="18"/>
                <w:szCs w:val="18"/>
              </w:rPr>
              <w:t>ESS.18</w:t>
            </w:r>
          </w:p>
        </w:tc>
        <w:tc>
          <w:tcPr>
            <w:tcW w:w="5198" w:type="dxa"/>
            <w:shd w:val="clear" w:color="auto" w:fill="FFFFFF" w:themeFill="background1"/>
            <w:vAlign w:val="center"/>
          </w:tcPr>
          <w:p w14:paraId="57305516" w14:textId="77777777" w:rsidR="0015225A" w:rsidRPr="008D1922" w:rsidRDefault="0015225A" w:rsidP="00D07AFA">
            <w:pPr>
              <w:shd w:val="clear" w:color="auto" w:fill="FFFFFF" w:themeFill="background1"/>
              <w:autoSpaceDE w:val="0"/>
              <w:autoSpaceDN w:val="0"/>
              <w:adjustRightInd w:val="0"/>
              <w:jc w:val="center"/>
              <w:rPr>
                <w:rFonts w:cs="Arial"/>
                <w:sz w:val="18"/>
                <w:szCs w:val="18"/>
                <w:lang w:eastAsia="en-GB"/>
              </w:rPr>
            </w:pPr>
            <w:r w:rsidRPr="008D1922">
              <w:rPr>
                <w:rFonts w:cs="Arial"/>
                <w:sz w:val="18"/>
                <w:szCs w:val="18"/>
                <w:lang w:eastAsia="en-GB"/>
              </w:rPr>
              <w:t>No design basis event should disable a safety system.</w:t>
            </w:r>
          </w:p>
        </w:tc>
      </w:tr>
      <w:tr w:rsidR="0015225A" w:rsidRPr="00CC121D" w14:paraId="5730551E" w14:textId="77777777" w:rsidTr="00F22B72">
        <w:trPr>
          <w:jc w:val="center"/>
        </w:trPr>
        <w:tc>
          <w:tcPr>
            <w:tcW w:w="1853" w:type="dxa"/>
            <w:vMerge w:val="restart"/>
            <w:shd w:val="clear" w:color="auto" w:fill="FFFFFF" w:themeFill="background1"/>
            <w:vAlign w:val="center"/>
          </w:tcPr>
          <w:p w14:paraId="57305519" w14:textId="77777777" w:rsidR="0015225A" w:rsidRPr="008D1922" w:rsidRDefault="0015225A" w:rsidP="00D07AFA">
            <w:pPr>
              <w:shd w:val="clear" w:color="auto" w:fill="FFFFFF" w:themeFill="background1"/>
              <w:jc w:val="center"/>
              <w:rPr>
                <w:rFonts w:cs="Arial"/>
                <w:sz w:val="18"/>
                <w:szCs w:val="18"/>
              </w:rPr>
            </w:pPr>
            <w:r w:rsidRPr="008D1922">
              <w:rPr>
                <w:rFonts w:cs="Arial"/>
                <w:sz w:val="18"/>
                <w:szCs w:val="18"/>
              </w:rPr>
              <w:t>Engineering Principles: Control of Nuclear Matter</w:t>
            </w:r>
          </w:p>
        </w:tc>
        <w:tc>
          <w:tcPr>
            <w:tcW w:w="1497" w:type="dxa"/>
            <w:shd w:val="clear" w:color="auto" w:fill="FFFFFF" w:themeFill="background1"/>
            <w:vAlign w:val="center"/>
          </w:tcPr>
          <w:p w14:paraId="5730551A" w14:textId="77777777" w:rsidR="0015225A" w:rsidRPr="008D1922" w:rsidRDefault="0015225A" w:rsidP="00D07AFA">
            <w:pPr>
              <w:shd w:val="clear" w:color="auto" w:fill="FFFFFF" w:themeFill="background1"/>
              <w:autoSpaceDE w:val="0"/>
              <w:autoSpaceDN w:val="0"/>
              <w:adjustRightInd w:val="0"/>
              <w:jc w:val="center"/>
              <w:rPr>
                <w:rFonts w:cs="Arial"/>
                <w:sz w:val="18"/>
                <w:szCs w:val="18"/>
                <w:lang w:eastAsia="en-GB"/>
              </w:rPr>
            </w:pPr>
            <w:r w:rsidRPr="008D1922">
              <w:rPr>
                <w:rFonts w:cs="Arial"/>
                <w:sz w:val="18"/>
                <w:szCs w:val="18"/>
                <w:lang w:eastAsia="en-GB"/>
              </w:rPr>
              <w:t>Accumulation</w:t>
            </w:r>
          </w:p>
        </w:tc>
        <w:tc>
          <w:tcPr>
            <w:tcW w:w="1086" w:type="dxa"/>
            <w:shd w:val="clear" w:color="auto" w:fill="FFFFFF" w:themeFill="background1"/>
            <w:vAlign w:val="center"/>
          </w:tcPr>
          <w:p w14:paraId="5730551B" w14:textId="77777777" w:rsidR="0015225A" w:rsidRPr="008D1922" w:rsidRDefault="0015225A" w:rsidP="00D07AFA">
            <w:pPr>
              <w:widowControl w:val="0"/>
              <w:shd w:val="clear" w:color="auto" w:fill="FFFFFF" w:themeFill="background1"/>
              <w:tabs>
                <w:tab w:val="left" w:pos="720"/>
              </w:tabs>
              <w:jc w:val="center"/>
              <w:rPr>
                <w:rFonts w:cs="Arial"/>
                <w:sz w:val="18"/>
                <w:szCs w:val="18"/>
              </w:rPr>
            </w:pPr>
            <w:r w:rsidRPr="008D1922">
              <w:rPr>
                <w:rFonts w:cs="Arial"/>
                <w:sz w:val="18"/>
                <w:szCs w:val="18"/>
              </w:rPr>
              <w:t>ENM.3</w:t>
            </w:r>
          </w:p>
        </w:tc>
        <w:tc>
          <w:tcPr>
            <w:tcW w:w="5198" w:type="dxa"/>
            <w:shd w:val="clear" w:color="auto" w:fill="FFFFFF" w:themeFill="background1"/>
            <w:vAlign w:val="center"/>
          </w:tcPr>
          <w:p w14:paraId="5730551C" w14:textId="77777777" w:rsidR="0015225A" w:rsidRPr="008D1922" w:rsidRDefault="0015225A" w:rsidP="00D07AFA">
            <w:pPr>
              <w:shd w:val="clear" w:color="auto" w:fill="FFFFFF" w:themeFill="background1"/>
              <w:autoSpaceDE w:val="0"/>
              <w:autoSpaceDN w:val="0"/>
              <w:adjustRightInd w:val="0"/>
              <w:jc w:val="center"/>
              <w:rPr>
                <w:rFonts w:cs="Arial"/>
                <w:sz w:val="18"/>
                <w:szCs w:val="18"/>
                <w:lang w:eastAsia="en-GB"/>
              </w:rPr>
            </w:pPr>
            <w:r w:rsidRPr="008D1922">
              <w:rPr>
                <w:rFonts w:cs="Arial"/>
                <w:sz w:val="18"/>
                <w:szCs w:val="18"/>
                <w:lang w:eastAsia="en-GB"/>
              </w:rPr>
              <w:t>Unnecessary or unintended generation, transfer or accumulation of nuclear matter should be avoided.</w:t>
            </w:r>
          </w:p>
        </w:tc>
      </w:tr>
      <w:tr w:rsidR="0015225A" w:rsidRPr="00CC121D" w14:paraId="57305524" w14:textId="77777777" w:rsidTr="00F22B72">
        <w:trPr>
          <w:jc w:val="center"/>
        </w:trPr>
        <w:tc>
          <w:tcPr>
            <w:tcW w:w="1853" w:type="dxa"/>
            <w:vMerge/>
            <w:shd w:val="clear" w:color="auto" w:fill="FFFFFF" w:themeFill="background1"/>
            <w:vAlign w:val="center"/>
          </w:tcPr>
          <w:p w14:paraId="5730551F" w14:textId="77777777" w:rsidR="0015225A" w:rsidRPr="008D1922" w:rsidRDefault="0015225A" w:rsidP="00D07AFA">
            <w:pPr>
              <w:shd w:val="clear" w:color="auto" w:fill="FFFFFF" w:themeFill="background1"/>
              <w:jc w:val="center"/>
              <w:rPr>
                <w:rFonts w:cs="Arial"/>
                <w:sz w:val="18"/>
                <w:szCs w:val="18"/>
              </w:rPr>
            </w:pPr>
          </w:p>
        </w:tc>
        <w:tc>
          <w:tcPr>
            <w:tcW w:w="1497" w:type="dxa"/>
            <w:shd w:val="clear" w:color="auto" w:fill="FFFFFF" w:themeFill="background1"/>
            <w:vAlign w:val="center"/>
          </w:tcPr>
          <w:p w14:paraId="57305520" w14:textId="77777777" w:rsidR="0015225A" w:rsidRPr="008D1922" w:rsidRDefault="0015225A" w:rsidP="00D07AFA">
            <w:pPr>
              <w:shd w:val="clear" w:color="auto" w:fill="FFFFFF" w:themeFill="background1"/>
              <w:autoSpaceDE w:val="0"/>
              <w:autoSpaceDN w:val="0"/>
              <w:adjustRightInd w:val="0"/>
              <w:jc w:val="center"/>
              <w:rPr>
                <w:rFonts w:cs="Arial"/>
                <w:sz w:val="18"/>
                <w:szCs w:val="18"/>
                <w:lang w:eastAsia="en-GB"/>
              </w:rPr>
            </w:pPr>
            <w:r w:rsidRPr="008D1922">
              <w:rPr>
                <w:rFonts w:cs="Arial"/>
                <w:sz w:val="18"/>
                <w:szCs w:val="18"/>
                <w:lang w:eastAsia="en-GB"/>
              </w:rPr>
              <w:t>Retrieval and Inspection</w:t>
            </w:r>
          </w:p>
        </w:tc>
        <w:tc>
          <w:tcPr>
            <w:tcW w:w="1086" w:type="dxa"/>
            <w:shd w:val="clear" w:color="auto" w:fill="FFFFFF" w:themeFill="background1"/>
            <w:vAlign w:val="center"/>
          </w:tcPr>
          <w:p w14:paraId="57305521" w14:textId="77777777" w:rsidR="0015225A" w:rsidRPr="008D1922" w:rsidRDefault="0015225A" w:rsidP="00D07AFA">
            <w:pPr>
              <w:widowControl w:val="0"/>
              <w:shd w:val="clear" w:color="auto" w:fill="FFFFFF" w:themeFill="background1"/>
              <w:tabs>
                <w:tab w:val="left" w:pos="720"/>
              </w:tabs>
              <w:jc w:val="center"/>
              <w:rPr>
                <w:rFonts w:cs="Arial"/>
                <w:sz w:val="18"/>
                <w:szCs w:val="18"/>
              </w:rPr>
            </w:pPr>
            <w:r w:rsidRPr="008D1922">
              <w:rPr>
                <w:rFonts w:cs="Arial"/>
                <w:sz w:val="18"/>
                <w:szCs w:val="18"/>
              </w:rPr>
              <w:t>ENM.7</w:t>
            </w:r>
          </w:p>
        </w:tc>
        <w:tc>
          <w:tcPr>
            <w:tcW w:w="5198" w:type="dxa"/>
            <w:shd w:val="clear" w:color="auto" w:fill="FFFFFF" w:themeFill="background1"/>
            <w:vAlign w:val="center"/>
          </w:tcPr>
          <w:p w14:paraId="57305522" w14:textId="77777777" w:rsidR="0015225A" w:rsidRPr="008D1922" w:rsidRDefault="0015225A" w:rsidP="00D07AFA">
            <w:pPr>
              <w:shd w:val="clear" w:color="auto" w:fill="FFFFFF" w:themeFill="background1"/>
              <w:autoSpaceDE w:val="0"/>
              <w:autoSpaceDN w:val="0"/>
              <w:adjustRightInd w:val="0"/>
              <w:jc w:val="center"/>
              <w:rPr>
                <w:rFonts w:cs="Arial"/>
                <w:sz w:val="18"/>
                <w:szCs w:val="18"/>
                <w:lang w:eastAsia="en-GB"/>
              </w:rPr>
            </w:pPr>
            <w:r w:rsidRPr="008D1922">
              <w:rPr>
                <w:rFonts w:cs="Arial"/>
                <w:sz w:val="18"/>
                <w:szCs w:val="18"/>
                <w:lang w:eastAsia="en-GB"/>
              </w:rPr>
              <w:t>Storage of nuclear matter should be in a form and manner that allows it to be retrieved and, where appropriate, inspected.</w:t>
            </w:r>
          </w:p>
        </w:tc>
      </w:tr>
    </w:tbl>
    <w:p w14:paraId="57305525" w14:textId="77777777" w:rsidR="00D07AFA" w:rsidRPr="00CC121D" w:rsidRDefault="00D07AFA" w:rsidP="00D07AFA">
      <w:pPr>
        <w:rPr>
          <w:rFonts w:ascii="Calibri" w:hAnsi="Calibri"/>
          <w:b/>
          <w:bCs/>
          <w:szCs w:val="22"/>
        </w:rPr>
      </w:pPr>
    </w:p>
    <w:p w14:paraId="57305526" w14:textId="77777777" w:rsidR="00D07AFA" w:rsidRPr="00CC121D" w:rsidRDefault="00D07AFA" w:rsidP="00D07AFA">
      <w:pPr>
        <w:numPr>
          <w:ilvl w:val="0"/>
          <w:numId w:val="16"/>
        </w:numPr>
        <w:spacing w:after="216"/>
        <w:rPr>
          <w:rFonts w:ascii="Arial Bold" w:hAnsi="Arial Bold"/>
          <w:b/>
          <w:bCs/>
          <w:szCs w:val="22"/>
          <w:lang w:eastAsia="en-GB"/>
        </w:rPr>
      </w:pPr>
      <w:r w:rsidRPr="00CC121D">
        <w:rPr>
          <w:rFonts w:ascii="Arial Bold" w:hAnsi="Arial Bold"/>
          <w:b/>
          <w:bCs/>
          <w:szCs w:val="22"/>
          <w:lang w:eastAsia="en-GB"/>
        </w:rPr>
        <w:t>CITATION OF SAPs IN DESIGN OF METAL COMPONENTS AND STRUCTURES</w:t>
      </w:r>
    </w:p>
    <w:tbl>
      <w:tblPr>
        <w:tblW w:w="106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28" w:type="dxa"/>
          <w:bottom w:w="28" w:type="dxa"/>
          <w:right w:w="28" w:type="dxa"/>
        </w:tblCellMar>
        <w:tblLook w:val="01E0" w:firstRow="1" w:lastRow="1" w:firstColumn="1" w:lastColumn="1" w:noHBand="0" w:noVBand="0"/>
      </w:tblPr>
      <w:tblGrid>
        <w:gridCol w:w="1482"/>
        <w:gridCol w:w="1418"/>
        <w:gridCol w:w="1134"/>
        <w:gridCol w:w="6590"/>
      </w:tblGrid>
      <w:tr w:rsidR="00CC121D" w:rsidRPr="00F22B72" w14:paraId="57305528" w14:textId="77777777" w:rsidTr="00F22B72">
        <w:trPr>
          <w:trHeight w:val="574"/>
          <w:jc w:val="center"/>
        </w:trPr>
        <w:tc>
          <w:tcPr>
            <w:tcW w:w="10624" w:type="dxa"/>
            <w:gridSpan w:val="4"/>
            <w:vAlign w:val="center"/>
          </w:tcPr>
          <w:p w14:paraId="57305527" w14:textId="77777777" w:rsidR="00D07AFA" w:rsidRPr="00F22B72" w:rsidRDefault="00D07AFA" w:rsidP="00D07AFA">
            <w:pPr>
              <w:spacing w:before="240" w:after="220"/>
              <w:outlineLvl w:val="0"/>
              <w:rPr>
                <w:b/>
                <w:iCs/>
                <w:sz w:val="18"/>
                <w:szCs w:val="18"/>
              </w:rPr>
            </w:pPr>
            <w:r w:rsidRPr="00F22B72">
              <w:rPr>
                <w:sz w:val="18"/>
                <w:szCs w:val="18"/>
              </w:rPr>
              <w:t>Where the civil / structural engineering design utilises Integrity of Metal Components and Structures, the relevant SAPs from the “Engineering principles: integrity of metal components and structures” suite are:</w:t>
            </w:r>
          </w:p>
        </w:tc>
      </w:tr>
      <w:tr w:rsidR="0015225A" w:rsidRPr="00F22B72" w14:paraId="5730552F" w14:textId="77777777" w:rsidTr="0015225A">
        <w:trPr>
          <w:jc w:val="center"/>
        </w:trPr>
        <w:tc>
          <w:tcPr>
            <w:tcW w:w="1482" w:type="dxa"/>
            <w:vMerge w:val="restart"/>
            <w:vAlign w:val="center"/>
          </w:tcPr>
          <w:p w14:paraId="57305529" w14:textId="77777777" w:rsidR="0015225A" w:rsidRPr="00F22B72" w:rsidRDefault="0015225A" w:rsidP="00D07AFA">
            <w:pPr>
              <w:widowControl w:val="0"/>
              <w:tabs>
                <w:tab w:val="left" w:pos="720"/>
              </w:tabs>
              <w:spacing w:after="120"/>
              <w:rPr>
                <w:rFonts w:cs="Arial"/>
                <w:sz w:val="18"/>
                <w:szCs w:val="18"/>
              </w:rPr>
            </w:pPr>
            <w:r w:rsidRPr="00F22B72">
              <w:rPr>
                <w:rFonts w:cs="Arial"/>
                <w:sz w:val="18"/>
                <w:szCs w:val="18"/>
              </w:rPr>
              <w:t>Design</w:t>
            </w:r>
          </w:p>
        </w:tc>
        <w:tc>
          <w:tcPr>
            <w:tcW w:w="1418" w:type="dxa"/>
            <w:vAlign w:val="center"/>
          </w:tcPr>
          <w:p w14:paraId="5730552A" w14:textId="77777777" w:rsidR="0015225A" w:rsidRPr="00F22B72" w:rsidRDefault="0015225A" w:rsidP="00D07AFA">
            <w:pPr>
              <w:widowControl w:val="0"/>
              <w:tabs>
                <w:tab w:val="left" w:pos="720"/>
              </w:tabs>
              <w:rPr>
                <w:rFonts w:cs="Arial"/>
                <w:sz w:val="18"/>
                <w:szCs w:val="18"/>
              </w:rPr>
            </w:pPr>
            <w:r w:rsidRPr="00F22B72">
              <w:rPr>
                <w:rFonts w:cs="Arial"/>
                <w:sz w:val="18"/>
                <w:szCs w:val="18"/>
                <w:lang w:eastAsia="en-GB"/>
              </w:rPr>
              <w:t>Loadings</w:t>
            </w:r>
          </w:p>
        </w:tc>
        <w:tc>
          <w:tcPr>
            <w:tcW w:w="1134" w:type="dxa"/>
            <w:vAlign w:val="center"/>
          </w:tcPr>
          <w:p w14:paraId="5730552B" w14:textId="77777777" w:rsidR="0015225A" w:rsidRPr="00F22B72" w:rsidRDefault="0015225A" w:rsidP="00D07AFA">
            <w:pPr>
              <w:widowControl w:val="0"/>
              <w:tabs>
                <w:tab w:val="left" w:pos="720"/>
              </w:tabs>
              <w:jc w:val="center"/>
              <w:rPr>
                <w:rFonts w:cs="Arial"/>
                <w:sz w:val="18"/>
                <w:szCs w:val="18"/>
              </w:rPr>
            </w:pPr>
            <w:r w:rsidRPr="00F22B72">
              <w:rPr>
                <w:rFonts w:cs="Arial"/>
                <w:sz w:val="18"/>
                <w:szCs w:val="18"/>
              </w:rPr>
              <w:t>EMC.7</w:t>
            </w:r>
          </w:p>
        </w:tc>
        <w:tc>
          <w:tcPr>
            <w:tcW w:w="6590" w:type="dxa"/>
            <w:vAlign w:val="center"/>
          </w:tcPr>
          <w:p w14:paraId="5730552C" w14:textId="77777777" w:rsidR="0015225A" w:rsidRPr="00F22B72" w:rsidRDefault="0015225A" w:rsidP="00D07AFA">
            <w:pPr>
              <w:widowControl w:val="0"/>
              <w:tabs>
                <w:tab w:val="left" w:pos="720"/>
              </w:tabs>
              <w:rPr>
                <w:rFonts w:cs="Arial"/>
                <w:sz w:val="18"/>
                <w:szCs w:val="18"/>
              </w:rPr>
            </w:pPr>
            <w:r w:rsidRPr="00F22B72">
              <w:rPr>
                <w:rFonts w:cs="Arial"/>
                <w:sz w:val="18"/>
                <w:szCs w:val="18"/>
              </w:rPr>
              <w:t>The schedule of design loadings (including combinations of loadings) for components and</w:t>
            </w:r>
          </w:p>
          <w:p w14:paraId="5730552D" w14:textId="77777777" w:rsidR="0015225A" w:rsidRPr="00F22B72" w:rsidRDefault="0015225A" w:rsidP="00BF62E6">
            <w:pPr>
              <w:widowControl w:val="0"/>
              <w:tabs>
                <w:tab w:val="left" w:pos="720"/>
              </w:tabs>
              <w:rPr>
                <w:rFonts w:cs="Arial"/>
                <w:sz w:val="18"/>
                <w:szCs w:val="18"/>
              </w:rPr>
            </w:pPr>
            <w:r w:rsidRPr="00F22B72">
              <w:rPr>
                <w:rFonts w:cs="Arial"/>
                <w:sz w:val="18"/>
                <w:szCs w:val="18"/>
              </w:rPr>
              <w:t>structures, together with conservative estimates of their frequency of occurrence should be used as the basis for design against normal operation, fault and accident conditions. This should include plant transients and tests together with internal and external hazards.</w:t>
            </w:r>
          </w:p>
        </w:tc>
      </w:tr>
      <w:tr w:rsidR="0015225A" w:rsidRPr="00F22B72" w14:paraId="57305535" w14:textId="77777777" w:rsidTr="0015225A">
        <w:trPr>
          <w:jc w:val="center"/>
        </w:trPr>
        <w:tc>
          <w:tcPr>
            <w:tcW w:w="1482" w:type="dxa"/>
            <w:vMerge/>
            <w:vAlign w:val="center"/>
          </w:tcPr>
          <w:p w14:paraId="57305530" w14:textId="77777777" w:rsidR="0015225A" w:rsidRPr="00F22B72" w:rsidRDefault="0015225A" w:rsidP="00D07AFA">
            <w:pPr>
              <w:widowControl w:val="0"/>
              <w:tabs>
                <w:tab w:val="left" w:pos="720"/>
              </w:tabs>
              <w:spacing w:after="120"/>
              <w:rPr>
                <w:rFonts w:cs="Arial"/>
                <w:sz w:val="18"/>
                <w:szCs w:val="18"/>
              </w:rPr>
            </w:pPr>
          </w:p>
        </w:tc>
        <w:tc>
          <w:tcPr>
            <w:tcW w:w="1418" w:type="dxa"/>
            <w:vAlign w:val="center"/>
          </w:tcPr>
          <w:p w14:paraId="57305531" w14:textId="77777777" w:rsidR="0015225A" w:rsidRPr="00F22B72" w:rsidRDefault="0015225A" w:rsidP="00D07AFA">
            <w:pPr>
              <w:widowControl w:val="0"/>
              <w:tabs>
                <w:tab w:val="left" w:pos="720"/>
              </w:tabs>
              <w:rPr>
                <w:rFonts w:cs="Arial"/>
                <w:sz w:val="18"/>
                <w:szCs w:val="18"/>
              </w:rPr>
            </w:pPr>
            <w:r w:rsidRPr="00F22B72">
              <w:rPr>
                <w:rFonts w:cs="Arial"/>
                <w:sz w:val="18"/>
                <w:szCs w:val="18"/>
              </w:rPr>
              <w:t>Failure modes</w:t>
            </w:r>
          </w:p>
        </w:tc>
        <w:tc>
          <w:tcPr>
            <w:tcW w:w="1134" w:type="dxa"/>
            <w:vAlign w:val="center"/>
          </w:tcPr>
          <w:p w14:paraId="57305532" w14:textId="77777777" w:rsidR="0015225A" w:rsidRPr="00F22B72" w:rsidRDefault="0015225A" w:rsidP="00BF62E6">
            <w:pPr>
              <w:widowControl w:val="0"/>
              <w:tabs>
                <w:tab w:val="left" w:pos="720"/>
              </w:tabs>
              <w:jc w:val="center"/>
              <w:rPr>
                <w:rFonts w:cs="Arial"/>
                <w:sz w:val="18"/>
                <w:szCs w:val="18"/>
              </w:rPr>
            </w:pPr>
            <w:r w:rsidRPr="00F22B72">
              <w:rPr>
                <w:rFonts w:cs="Arial"/>
                <w:sz w:val="18"/>
                <w:szCs w:val="18"/>
              </w:rPr>
              <w:t>EMC.11</w:t>
            </w:r>
          </w:p>
        </w:tc>
        <w:tc>
          <w:tcPr>
            <w:tcW w:w="6590" w:type="dxa"/>
            <w:vAlign w:val="center"/>
          </w:tcPr>
          <w:p w14:paraId="57305533" w14:textId="77777777" w:rsidR="0015225A" w:rsidRPr="00F22B72" w:rsidRDefault="0015225A" w:rsidP="00D07AFA">
            <w:pPr>
              <w:widowControl w:val="0"/>
              <w:tabs>
                <w:tab w:val="left" w:pos="720"/>
              </w:tabs>
              <w:rPr>
                <w:rFonts w:cs="Arial"/>
                <w:sz w:val="18"/>
                <w:szCs w:val="18"/>
              </w:rPr>
            </w:pPr>
            <w:r w:rsidRPr="00F22B72">
              <w:rPr>
                <w:rFonts w:cs="Arial"/>
                <w:sz w:val="18"/>
                <w:szCs w:val="18"/>
              </w:rPr>
              <w:t>Failure modes should be gradual and predictable.</w:t>
            </w:r>
          </w:p>
        </w:tc>
      </w:tr>
      <w:tr w:rsidR="0015225A" w:rsidRPr="00F22B72" w14:paraId="5730553B" w14:textId="77777777" w:rsidTr="0015225A">
        <w:trPr>
          <w:jc w:val="center"/>
        </w:trPr>
        <w:tc>
          <w:tcPr>
            <w:tcW w:w="1482" w:type="dxa"/>
            <w:vAlign w:val="center"/>
          </w:tcPr>
          <w:p w14:paraId="57305536" w14:textId="77777777" w:rsidR="0015225A" w:rsidRPr="00F22B72" w:rsidRDefault="0015225A" w:rsidP="00D07AFA">
            <w:pPr>
              <w:widowControl w:val="0"/>
              <w:tabs>
                <w:tab w:val="left" w:pos="720"/>
              </w:tabs>
              <w:spacing w:after="120"/>
              <w:rPr>
                <w:rFonts w:cs="Arial"/>
                <w:sz w:val="18"/>
                <w:szCs w:val="18"/>
              </w:rPr>
            </w:pPr>
            <w:r w:rsidRPr="00F22B72">
              <w:rPr>
                <w:rFonts w:cs="Arial"/>
                <w:bCs/>
                <w:sz w:val="18"/>
                <w:szCs w:val="18"/>
                <w:lang w:eastAsia="en-GB"/>
              </w:rPr>
              <w:t>Operation</w:t>
            </w:r>
          </w:p>
        </w:tc>
        <w:tc>
          <w:tcPr>
            <w:tcW w:w="1418" w:type="dxa"/>
            <w:vAlign w:val="center"/>
          </w:tcPr>
          <w:p w14:paraId="57305537" w14:textId="77777777" w:rsidR="0015225A" w:rsidRPr="00F22B72" w:rsidRDefault="0015225A" w:rsidP="00D07AFA">
            <w:pPr>
              <w:widowControl w:val="0"/>
              <w:tabs>
                <w:tab w:val="left" w:pos="720"/>
              </w:tabs>
              <w:rPr>
                <w:rFonts w:cs="Arial"/>
                <w:sz w:val="18"/>
                <w:szCs w:val="18"/>
              </w:rPr>
            </w:pPr>
            <w:r w:rsidRPr="00F22B72">
              <w:rPr>
                <w:rFonts w:cs="Arial"/>
                <w:sz w:val="18"/>
                <w:szCs w:val="18"/>
                <w:lang w:eastAsia="en-GB"/>
              </w:rPr>
              <w:t>Material compatibility</w:t>
            </w:r>
          </w:p>
        </w:tc>
        <w:tc>
          <w:tcPr>
            <w:tcW w:w="1134" w:type="dxa"/>
            <w:vAlign w:val="center"/>
          </w:tcPr>
          <w:p w14:paraId="57305538" w14:textId="77777777" w:rsidR="0015225A" w:rsidRPr="00F22B72" w:rsidRDefault="0015225A" w:rsidP="00D07AFA">
            <w:pPr>
              <w:widowControl w:val="0"/>
              <w:tabs>
                <w:tab w:val="left" w:pos="720"/>
              </w:tabs>
              <w:jc w:val="center"/>
              <w:rPr>
                <w:rFonts w:cs="Arial"/>
                <w:sz w:val="18"/>
                <w:szCs w:val="18"/>
              </w:rPr>
            </w:pPr>
            <w:r w:rsidRPr="00F22B72">
              <w:rPr>
                <w:rFonts w:cs="Arial"/>
                <w:sz w:val="18"/>
                <w:szCs w:val="18"/>
              </w:rPr>
              <w:t>EMC.22</w:t>
            </w:r>
          </w:p>
        </w:tc>
        <w:tc>
          <w:tcPr>
            <w:tcW w:w="6590" w:type="dxa"/>
            <w:vAlign w:val="center"/>
          </w:tcPr>
          <w:p w14:paraId="57305539" w14:textId="77777777" w:rsidR="0015225A" w:rsidRPr="00F22B72" w:rsidRDefault="0015225A" w:rsidP="00D07AFA">
            <w:pPr>
              <w:widowControl w:val="0"/>
              <w:tabs>
                <w:tab w:val="left" w:pos="720"/>
              </w:tabs>
              <w:rPr>
                <w:rFonts w:cs="Arial"/>
                <w:sz w:val="18"/>
                <w:szCs w:val="18"/>
              </w:rPr>
            </w:pPr>
            <w:r w:rsidRPr="00F22B72">
              <w:rPr>
                <w:rFonts w:cs="Arial"/>
                <w:sz w:val="18"/>
                <w:szCs w:val="18"/>
              </w:rPr>
              <w:t>Materials compatibility for components should be considered for any operational or maintenance activity.</w:t>
            </w:r>
          </w:p>
        </w:tc>
      </w:tr>
      <w:tr w:rsidR="0015225A" w:rsidRPr="00F22B72" w14:paraId="57305544" w14:textId="77777777" w:rsidTr="0015225A">
        <w:trPr>
          <w:jc w:val="center"/>
        </w:trPr>
        <w:tc>
          <w:tcPr>
            <w:tcW w:w="1482" w:type="dxa"/>
            <w:vMerge w:val="restart"/>
            <w:vAlign w:val="center"/>
          </w:tcPr>
          <w:p w14:paraId="5730553C" w14:textId="77777777" w:rsidR="0015225A" w:rsidRPr="00F22B72" w:rsidRDefault="0015225A" w:rsidP="00D07AFA">
            <w:pPr>
              <w:autoSpaceDE w:val="0"/>
              <w:autoSpaceDN w:val="0"/>
              <w:adjustRightInd w:val="0"/>
              <w:rPr>
                <w:rFonts w:cs="Arial"/>
                <w:bCs/>
                <w:sz w:val="18"/>
                <w:szCs w:val="18"/>
                <w:lang w:eastAsia="en-GB"/>
              </w:rPr>
            </w:pPr>
            <w:r w:rsidRPr="00F22B72">
              <w:rPr>
                <w:rFonts w:cs="Arial"/>
                <w:bCs/>
                <w:sz w:val="18"/>
                <w:szCs w:val="18"/>
                <w:lang w:eastAsia="en-GB"/>
              </w:rPr>
              <w:t>Manufacturing, pre and</w:t>
            </w:r>
          </w:p>
          <w:p w14:paraId="5730553D" w14:textId="77777777" w:rsidR="0015225A" w:rsidRPr="00F22B72" w:rsidRDefault="0015225A" w:rsidP="00D07AFA">
            <w:pPr>
              <w:autoSpaceDE w:val="0"/>
              <w:autoSpaceDN w:val="0"/>
              <w:adjustRightInd w:val="0"/>
              <w:rPr>
                <w:rFonts w:cs="Arial"/>
                <w:bCs/>
                <w:sz w:val="18"/>
                <w:szCs w:val="18"/>
                <w:lang w:eastAsia="en-GB"/>
              </w:rPr>
            </w:pPr>
            <w:r w:rsidRPr="00F22B72">
              <w:rPr>
                <w:rFonts w:cs="Arial"/>
                <w:bCs/>
                <w:sz w:val="18"/>
                <w:szCs w:val="18"/>
                <w:lang w:eastAsia="en-GB"/>
              </w:rPr>
              <w:t>in-service examination and</w:t>
            </w:r>
          </w:p>
          <w:p w14:paraId="5730553E" w14:textId="77777777" w:rsidR="0015225A" w:rsidRPr="00F22B72" w:rsidRDefault="0015225A" w:rsidP="00D07AFA">
            <w:pPr>
              <w:widowControl w:val="0"/>
              <w:tabs>
                <w:tab w:val="left" w:pos="720"/>
              </w:tabs>
              <w:spacing w:after="120"/>
              <w:rPr>
                <w:rFonts w:cs="Arial"/>
                <w:sz w:val="18"/>
                <w:szCs w:val="18"/>
              </w:rPr>
            </w:pPr>
            <w:r w:rsidRPr="00F22B72">
              <w:rPr>
                <w:rFonts w:cs="Arial"/>
                <w:bCs/>
                <w:sz w:val="18"/>
                <w:szCs w:val="18"/>
                <w:lang w:eastAsia="en-GB"/>
              </w:rPr>
              <w:t>testing</w:t>
            </w:r>
          </w:p>
        </w:tc>
        <w:tc>
          <w:tcPr>
            <w:tcW w:w="1418" w:type="dxa"/>
            <w:vAlign w:val="center"/>
          </w:tcPr>
          <w:p w14:paraId="5730553F" w14:textId="77777777" w:rsidR="0015225A" w:rsidRPr="00F22B72" w:rsidRDefault="0015225A" w:rsidP="00D07AFA">
            <w:pPr>
              <w:widowControl w:val="0"/>
              <w:tabs>
                <w:tab w:val="left" w:pos="720"/>
              </w:tabs>
              <w:rPr>
                <w:rFonts w:cs="Arial"/>
                <w:sz w:val="18"/>
                <w:szCs w:val="18"/>
              </w:rPr>
            </w:pPr>
            <w:r w:rsidRPr="00F22B72">
              <w:rPr>
                <w:rFonts w:cs="Arial"/>
                <w:sz w:val="18"/>
                <w:szCs w:val="18"/>
                <w:lang w:eastAsia="en-GB"/>
              </w:rPr>
              <w:t>Margins</w:t>
            </w:r>
          </w:p>
        </w:tc>
        <w:tc>
          <w:tcPr>
            <w:tcW w:w="1134" w:type="dxa"/>
            <w:vAlign w:val="center"/>
          </w:tcPr>
          <w:p w14:paraId="57305540" w14:textId="77777777" w:rsidR="0015225A" w:rsidRPr="00F22B72" w:rsidRDefault="0015225A" w:rsidP="00D07AFA">
            <w:pPr>
              <w:widowControl w:val="0"/>
              <w:tabs>
                <w:tab w:val="left" w:pos="720"/>
              </w:tabs>
              <w:jc w:val="center"/>
              <w:rPr>
                <w:rFonts w:cs="Arial"/>
                <w:sz w:val="18"/>
                <w:szCs w:val="18"/>
              </w:rPr>
            </w:pPr>
            <w:r w:rsidRPr="00F22B72">
              <w:rPr>
                <w:rFonts w:cs="Arial"/>
                <w:sz w:val="18"/>
                <w:szCs w:val="18"/>
              </w:rPr>
              <w:t>EMC.28</w:t>
            </w:r>
          </w:p>
        </w:tc>
        <w:tc>
          <w:tcPr>
            <w:tcW w:w="6590" w:type="dxa"/>
            <w:vAlign w:val="center"/>
          </w:tcPr>
          <w:p w14:paraId="57305541" w14:textId="77777777" w:rsidR="0015225A" w:rsidRPr="00F22B72" w:rsidRDefault="0015225A" w:rsidP="00D07AFA">
            <w:pPr>
              <w:widowControl w:val="0"/>
              <w:tabs>
                <w:tab w:val="left" w:pos="720"/>
              </w:tabs>
              <w:rPr>
                <w:rFonts w:cs="Arial"/>
                <w:sz w:val="18"/>
                <w:szCs w:val="18"/>
              </w:rPr>
            </w:pPr>
            <w:r w:rsidRPr="00F22B72">
              <w:rPr>
                <w:rFonts w:cs="Arial"/>
                <w:sz w:val="18"/>
                <w:szCs w:val="18"/>
              </w:rPr>
              <w:t>An adequate margin should exist between the nature of defects of concern and the capability</w:t>
            </w:r>
          </w:p>
          <w:p w14:paraId="57305542" w14:textId="77777777" w:rsidR="0015225A" w:rsidRPr="00F22B72" w:rsidRDefault="0015225A" w:rsidP="00D07AFA">
            <w:pPr>
              <w:widowControl w:val="0"/>
              <w:tabs>
                <w:tab w:val="left" w:pos="720"/>
              </w:tabs>
              <w:rPr>
                <w:rFonts w:cs="Arial"/>
                <w:sz w:val="18"/>
                <w:szCs w:val="18"/>
              </w:rPr>
            </w:pPr>
            <w:r w:rsidRPr="00F22B72">
              <w:rPr>
                <w:rFonts w:cs="Arial"/>
                <w:sz w:val="18"/>
                <w:szCs w:val="18"/>
              </w:rPr>
              <w:t>of the examination to detect and characterise a defect.</w:t>
            </w:r>
          </w:p>
        </w:tc>
      </w:tr>
      <w:tr w:rsidR="0015225A" w:rsidRPr="00F22B72" w14:paraId="5730554A" w14:textId="77777777" w:rsidTr="0015225A">
        <w:trPr>
          <w:jc w:val="center"/>
        </w:trPr>
        <w:tc>
          <w:tcPr>
            <w:tcW w:w="1482" w:type="dxa"/>
            <w:vMerge/>
            <w:vAlign w:val="center"/>
          </w:tcPr>
          <w:p w14:paraId="57305545" w14:textId="77777777" w:rsidR="0015225A" w:rsidRPr="00F22B72" w:rsidRDefault="0015225A" w:rsidP="00D07AFA">
            <w:pPr>
              <w:widowControl w:val="0"/>
              <w:tabs>
                <w:tab w:val="left" w:pos="720"/>
              </w:tabs>
              <w:spacing w:after="120"/>
              <w:rPr>
                <w:rFonts w:cs="Arial"/>
                <w:sz w:val="18"/>
                <w:szCs w:val="18"/>
              </w:rPr>
            </w:pPr>
          </w:p>
        </w:tc>
        <w:tc>
          <w:tcPr>
            <w:tcW w:w="1418" w:type="dxa"/>
            <w:vAlign w:val="center"/>
          </w:tcPr>
          <w:p w14:paraId="57305546" w14:textId="77777777" w:rsidR="0015225A" w:rsidRPr="00F22B72" w:rsidRDefault="0015225A" w:rsidP="00D07AFA">
            <w:pPr>
              <w:widowControl w:val="0"/>
              <w:tabs>
                <w:tab w:val="left" w:pos="720"/>
              </w:tabs>
              <w:rPr>
                <w:rFonts w:cs="Arial"/>
                <w:sz w:val="18"/>
                <w:szCs w:val="18"/>
              </w:rPr>
            </w:pPr>
            <w:r w:rsidRPr="00F22B72">
              <w:rPr>
                <w:rFonts w:cs="Arial"/>
                <w:sz w:val="18"/>
                <w:szCs w:val="18"/>
                <w:lang w:eastAsia="en-GB"/>
              </w:rPr>
              <w:t>Redundancy and diversity</w:t>
            </w:r>
          </w:p>
        </w:tc>
        <w:tc>
          <w:tcPr>
            <w:tcW w:w="1134" w:type="dxa"/>
            <w:vAlign w:val="center"/>
          </w:tcPr>
          <w:p w14:paraId="57305547" w14:textId="77777777" w:rsidR="0015225A" w:rsidRPr="00F22B72" w:rsidRDefault="0015225A" w:rsidP="00D07AFA">
            <w:pPr>
              <w:widowControl w:val="0"/>
              <w:tabs>
                <w:tab w:val="left" w:pos="720"/>
              </w:tabs>
              <w:jc w:val="center"/>
              <w:rPr>
                <w:rFonts w:cs="Arial"/>
                <w:sz w:val="18"/>
                <w:szCs w:val="18"/>
              </w:rPr>
            </w:pPr>
            <w:r w:rsidRPr="00F22B72">
              <w:rPr>
                <w:rFonts w:cs="Arial"/>
                <w:sz w:val="18"/>
                <w:szCs w:val="18"/>
              </w:rPr>
              <w:t>EMC.29</w:t>
            </w:r>
          </w:p>
        </w:tc>
        <w:tc>
          <w:tcPr>
            <w:tcW w:w="6590" w:type="dxa"/>
            <w:vAlign w:val="center"/>
          </w:tcPr>
          <w:p w14:paraId="57305548" w14:textId="77777777" w:rsidR="0015225A" w:rsidRPr="00F22B72" w:rsidRDefault="0015225A" w:rsidP="00D07AFA">
            <w:pPr>
              <w:widowControl w:val="0"/>
              <w:tabs>
                <w:tab w:val="left" w:pos="720"/>
              </w:tabs>
              <w:rPr>
                <w:rFonts w:cs="Arial"/>
                <w:sz w:val="18"/>
                <w:szCs w:val="18"/>
              </w:rPr>
            </w:pPr>
            <w:r w:rsidRPr="00F22B72">
              <w:rPr>
                <w:rFonts w:cs="Arial"/>
                <w:sz w:val="18"/>
                <w:szCs w:val="18"/>
              </w:rPr>
              <w:t>Methods of examination of components and structures should be sufficiently redundant and diverse.</w:t>
            </w:r>
          </w:p>
        </w:tc>
      </w:tr>
      <w:tr w:rsidR="0015225A" w:rsidRPr="00F22B72" w14:paraId="57305550" w14:textId="77777777" w:rsidTr="0015225A">
        <w:trPr>
          <w:jc w:val="center"/>
        </w:trPr>
        <w:tc>
          <w:tcPr>
            <w:tcW w:w="1482" w:type="dxa"/>
            <w:vMerge w:val="restart"/>
            <w:vAlign w:val="center"/>
          </w:tcPr>
          <w:p w14:paraId="5730554B" w14:textId="77777777" w:rsidR="0015225A" w:rsidRPr="00F22B72" w:rsidRDefault="0015225A" w:rsidP="00D07AFA">
            <w:pPr>
              <w:widowControl w:val="0"/>
              <w:tabs>
                <w:tab w:val="left" w:pos="720"/>
              </w:tabs>
              <w:spacing w:after="120"/>
              <w:rPr>
                <w:rFonts w:cs="Arial"/>
                <w:sz w:val="18"/>
                <w:szCs w:val="18"/>
              </w:rPr>
            </w:pPr>
            <w:r w:rsidRPr="00F22B72">
              <w:rPr>
                <w:rFonts w:cs="Arial"/>
                <w:bCs/>
                <w:sz w:val="18"/>
                <w:szCs w:val="18"/>
                <w:lang w:eastAsia="en-GB"/>
              </w:rPr>
              <w:t>Analysis</w:t>
            </w:r>
          </w:p>
        </w:tc>
        <w:tc>
          <w:tcPr>
            <w:tcW w:w="1418" w:type="dxa"/>
            <w:vAlign w:val="center"/>
          </w:tcPr>
          <w:p w14:paraId="5730554C" w14:textId="77777777" w:rsidR="0015225A" w:rsidRPr="00F22B72" w:rsidRDefault="0015225A" w:rsidP="00D07AFA">
            <w:pPr>
              <w:widowControl w:val="0"/>
              <w:tabs>
                <w:tab w:val="left" w:pos="720"/>
              </w:tabs>
              <w:rPr>
                <w:rFonts w:cs="Arial"/>
                <w:sz w:val="18"/>
                <w:szCs w:val="18"/>
              </w:rPr>
            </w:pPr>
            <w:r w:rsidRPr="00F22B72">
              <w:rPr>
                <w:rFonts w:cs="Arial"/>
                <w:sz w:val="18"/>
                <w:szCs w:val="18"/>
                <w:lang w:eastAsia="en-GB"/>
              </w:rPr>
              <w:t>Stress analysis</w:t>
            </w:r>
          </w:p>
        </w:tc>
        <w:tc>
          <w:tcPr>
            <w:tcW w:w="1134" w:type="dxa"/>
            <w:vAlign w:val="center"/>
          </w:tcPr>
          <w:p w14:paraId="5730554D" w14:textId="77777777" w:rsidR="0015225A" w:rsidRPr="00F22B72" w:rsidRDefault="0015225A" w:rsidP="00D07AFA">
            <w:pPr>
              <w:widowControl w:val="0"/>
              <w:tabs>
                <w:tab w:val="left" w:pos="720"/>
              </w:tabs>
              <w:jc w:val="center"/>
              <w:rPr>
                <w:rFonts w:cs="Arial"/>
                <w:sz w:val="18"/>
                <w:szCs w:val="18"/>
              </w:rPr>
            </w:pPr>
            <w:r w:rsidRPr="00F22B72">
              <w:rPr>
                <w:rFonts w:cs="Arial"/>
                <w:sz w:val="18"/>
                <w:szCs w:val="18"/>
              </w:rPr>
              <w:t>EMC.32</w:t>
            </w:r>
          </w:p>
        </w:tc>
        <w:tc>
          <w:tcPr>
            <w:tcW w:w="6590" w:type="dxa"/>
            <w:vAlign w:val="center"/>
          </w:tcPr>
          <w:p w14:paraId="5730554E" w14:textId="77777777" w:rsidR="0015225A" w:rsidRPr="00F22B72" w:rsidRDefault="0015225A" w:rsidP="00D07AFA">
            <w:pPr>
              <w:widowControl w:val="0"/>
              <w:tabs>
                <w:tab w:val="left" w:pos="720"/>
              </w:tabs>
              <w:rPr>
                <w:rFonts w:cs="Arial"/>
                <w:sz w:val="18"/>
                <w:szCs w:val="18"/>
              </w:rPr>
            </w:pPr>
            <w:r w:rsidRPr="00F22B72">
              <w:rPr>
                <w:rFonts w:cs="Arial"/>
                <w:sz w:val="18"/>
                <w:szCs w:val="18"/>
              </w:rPr>
              <w:t>Stress analysis (including when displacements are the limiting parameter) should be carried out as necessary to support substantiation of the design and should demonstrate the component has an adequate life, taking into account time-dependent degradation processes.</w:t>
            </w:r>
          </w:p>
        </w:tc>
      </w:tr>
      <w:tr w:rsidR="0015225A" w:rsidRPr="00F22B72" w14:paraId="57305556" w14:textId="77777777" w:rsidTr="0015225A">
        <w:trPr>
          <w:jc w:val="center"/>
        </w:trPr>
        <w:tc>
          <w:tcPr>
            <w:tcW w:w="1482" w:type="dxa"/>
            <w:vMerge/>
            <w:vAlign w:val="center"/>
          </w:tcPr>
          <w:p w14:paraId="57305551" w14:textId="77777777" w:rsidR="0015225A" w:rsidRPr="00F22B72" w:rsidRDefault="0015225A" w:rsidP="00D07AFA">
            <w:pPr>
              <w:widowControl w:val="0"/>
              <w:tabs>
                <w:tab w:val="left" w:pos="720"/>
              </w:tabs>
              <w:spacing w:after="120"/>
              <w:rPr>
                <w:rFonts w:cs="Arial"/>
                <w:sz w:val="18"/>
                <w:szCs w:val="18"/>
              </w:rPr>
            </w:pPr>
          </w:p>
        </w:tc>
        <w:tc>
          <w:tcPr>
            <w:tcW w:w="1418" w:type="dxa"/>
            <w:vAlign w:val="center"/>
          </w:tcPr>
          <w:p w14:paraId="57305552" w14:textId="77777777" w:rsidR="0015225A" w:rsidRPr="00F22B72" w:rsidRDefault="0015225A" w:rsidP="00D07AFA">
            <w:pPr>
              <w:widowControl w:val="0"/>
              <w:tabs>
                <w:tab w:val="left" w:pos="720"/>
              </w:tabs>
              <w:rPr>
                <w:rFonts w:cs="Arial"/>
                <w:sz w:val="18"/>
                <w:szCs w:val="18"/>
              </w:rPr>
            </w:pPr>
            <w:r w:rsidRPr="00F22B72">
              <w:rPr>
                <w:rFonts w:cs="Arial"/>
                <w:sz w:val="18"/>
                <w:szCs w:val="18"/>
                <w:lang w:eastAsia="en-GB"/>
              </w:rPr>
              <w:t>Use of data</w:t>
            </w:r>
          </w:p>
        </w:tc>
        <w:tc>
          <w:tcPr>
            <w:tcW w:w="1134" w:type="dxa"/>
            <w:vAlign w:val="center"/>
          </w:tcPr>
          <w:p w14:paraId="57305553" w14:textId="77777777" w:rsidR="0015225A" w:rsidRPr="00F22B72" w:rsidRDefault="0015225A" w:rsidP="00D07AFA">
            <w:pPr>
              <w:widowControl w:val="0"/>
              <w:tabs>
                <w:tab w:val="left" w:pos="720"/>
              </w:tabs>
              <w:jc w:val="center"/>
              <w:rPr>
                <w:rFonts w:cs="Arial"/>
                <w:sz w:val="18"/>
                <w:szCs w:val="18"/>
              </w:rPr>
            </w:pPr>
            <w:r w:rsidRPr="00F22B72">
              <w:rPr>
                <w:rFonts w:cs="Arial"/>
                <w:sz w:val="18"/>
                <w:szCs w:val="18"/>
              </w:rPr>
              <w:t>EMC.33</w:t>
            </w:r>
          </w:p>
        </w:tc>
        <w:tc>
          <w:tcPr>
            <w:tcW w:w="6590" w:type="dxa"/>
            <w:vAlign w:val="center"/>
          </w:tcPr>
          <w:p w14:paraId="57305554" w14:textId="77777777" w:rsidR="0015225A" w:rsidRPr="00F22B72" w:rsidRDefault="0015225A" w:rsidP="00D07AFA">
            <w:pPr>
              <w:widowControl w:val="0"/>
              <w:tabs>
                <w:tab w:val="left" w:pos="720"/>
              </w:tabs>
              <w:rPr>
                <w:rFonts w:cs="Arial"/>
                <w:sz w:val="18"/>
                <w:szCs w:val="18"/>
              </w:rPr>
            </w:pPr>
            <w:r w:rsidRPr="00F22B72">
              <w:rPr>
                <w:rFonts w:cs="Arial"/>
                <w:sz w:val="18"/>
                <w:szCs w:val="18"/>
              </w:rPr>
              <w:t>The data used in analyses and acceptance criteria should be clearly conservative, taking account of uncertainties in the data and their contribution to the safety case.</w:t>
            </w:r>
          </w:p>
        </w:tc>
      </w:tr>
      <w:tr w:rsidR="0015225A" w:rsidRPr="00F22B72" w14:paraId="5730555C" w14:textId="77777777" w:rsidTr="0015225A">
        <w:trPr>
          <w:jc w:val="center"/>
        </w:trPr>
        <w:tc>
          <w:tcPr>
            <w:tcW w:w="1482" w:type="dxa"/>
            <w:vMerge w:val="restart"/>
            <w:vAlign w:val="center"/>
          </w:tcPr>
          <w:p w14:paraId="57305557" w14:textId="77777777" w:rsidR="0015225A" w:rsidRPr="00F22B72" w:rsidRDefault="0015225A" w:rsidP="00D07AFA">
            <w:pPr>
              <w:widowControl w:val="0"/>
              <w:tabs>
                <w:tab w:val="left" w:pos="720"/>
              </w:tabs>
              <w:spacing w:after="120"/>
              <w:rPr>
                <w:rFonts w:cs="Arial"/>
                <w:sz w:val="18"/>
                <w:szCs w:val="18"/>
              </w:rPr>
            </w:pPr>
            <w:r w:rsidRPr="00F22B72">
              <w:rPr>
                <w:rFonts w:cs="Arial"/>
                <w:bCs/>
                <w:sz w:val="18"/>
                <w:szCs w:val="18"/>
                <w:lang w:eastAsia="en-GB"/>
              </w:rPr>
              <w:t>Monitoring</w:t>
            </w:r>
          </w:p>
        </w:tc>
        <w:tc>
          <w:tcPr>
            <w:tcW w:w="1418" w:type="dxa"/>
            <w:vAlign w:val="center"/>
          </w:tcPr>
          <w:p w14:paraId="57305558" w14:textId="77777777" w:rsidR="0015225A" w:rsidRPr="00F22B72" w:rsidRDefault="0015225A" w:rsidP="00D07AFA">
            <w:pPr>
              <w:widowControl w:val="0"/>
              <w:tabs>
                <w:tab w:val="left" w:pos="720"/>
              </w:tabs>
              <w:jc w:val="center"/>
              <w:rPr>
                <w:rFonts w:cs="Arial"/>
                <w:sz w:val="18"/>
                <w:szCs w:val="18"/>
              </w:rPr>
            </w:pPr>
            <w:r w:rsidRPr="00F22B72">
              <w:rPr>
                <w:rFonts w:cs="Arial"/>
                <w:sz w:val="18"/>
                <w:szCs w:val="18"/>
                <w:lang w:eastAsia="en-GB"/>
              </w:rPr>
              <w:t>Leakage</w:t>
            </w:r>
          </w:p>
        </w:tc>
        <w:tc>
          <w:tcPr>
            <w:tcW w:w="1134" w:type="dxa"/>
            <w:vAlign w:val="center"/>
          </w:tcPr>
          <w:p w14:paraId="57305559" w14:textId="77777777" w:rsidR="0015225A" w:rsidRPr="00F22B72" w:rsidRDefault="0015225A" w:rsidP="00D07AFA">
            <w:pPr>
              <w:widowControl w:val="0"/>
              <w:tabs>
                <w:tab w:val="left" w:pos="720"/>
              </w:tabs>
              <w:jc w:val="center"/>
              <w:rPr>
                <w:rFonts w:cs="Arial"/>
                <w:sz w:val="18"/>
                <w:szCs w:val="18"/>
              </w:rPr>
            </w:pPr>
            <w:r w:rsidRPr="00F22B72">
              <w:rPr>
                <w:rFonts w:cs="Arial"/>
                <w:sz w:val="18"/>
                <w:szCs w:val="18"/>
              </w:rPr>
              <w:t>EMC.25</w:t>
            </w:r>
          </w:p>
        </w:tc>
        <w:tc>
          <w:tcPr>
            <w:tcW w:w="6590" w:type="dxa"/>
            <w:vAlign w:val="center"/>
          </w:tcPr>
          <w:p w14:paraId="5730555A" w14:textId="77777777" w:rsidR="0015225A" w:rsidRPr="00F22B72" w:rsidRDefault="0015225A" w:rsidP="00D07AFA">
            <w:pPr>
              <w:widowControl w:val="0"/>
              <w:tabs>
                <w:tab w:val="left" w:pos="720"/>
              </w:tabs>
              <w:rPr>
                <w:rFonts w:cs="Arial"/>
                <w:sz w:val="18"/>
                <w:szCs w:val="18"/>
              </w:rPr>
            </w:pPr>
            <w:r w:rsidRPr="00F22B72">
              <w:rPr>
                <w:rFonts w:cs="Arial"/>
                <w:sz w:val="18"/>
                <w:szCs w:val="18"/>
              </w:rPr>
              <w:t>Means should be available to detect, locate, monitor and manage leakages that could indicate the potential for an unsafe condition to develop or give rise to significant radiological consequences.</w:t>
            </w:r>
          </w:p>
        </w:tc>
      </w:tr>
      <w:tr w:rsidR="0015225A" w:rsidRPr="00F22B72" w14:paraId="57305562" w14:textId="77777777" w:rsidTr="0015225A">
        <w:trPr>
          <w:jc w:val="center"/>
        </w:trPr>
        <w:tc>
          <w:tcPr>
            <w:tcW w:w="1482" w:type="dxa"/>
            <w:vMerge/>
            <w:vAlign w:val="center"/>
          </w:tcPr>
          <w:p w14:paraId="5730555D" w14:textId="77777777" w:rsidR="0015225A" w:rsidRPr="00F22B72" w:rsidRDefault="0015225A" w:rsidP="00D07AFA">
            <w:pPr>
              <w:widowControl w:val="0"/>
              <w:tabs>
                <w:tab w:val="left" w:pos="720"/>
              </w:tabs>
              <w:spacing w:after="120"/>
              <w:jc w:val="center"/>
              <w:rPr>
                <w:rFonts w:cs="Arial"/>
                <w:sz w:val="18"/>
                <w:szCs w:val="18"/>
              </w:rPr>
            </w:pPr>
          </w:p>
        </w:tc>
        <w:tc>
          <w:tcPr>
            <w:tcW w:w="1418" w:type="dxa"/>
            <w:vAlign w:val="center"/>
          </w:tcPr>
          <w:p w14:paraId="5730555E" w14:textId="77777777" w:rsidR="0015225A" w:rsidRPr="00F22B72" w:rsidRDefault="0015225A" w:rsidP="00D07AFA">
            <w:pPr>
              <w:widowControl w:val="0"/>
              <w:tabs>
                <w:tab w:val="left" w:pos="720"/>
              </w:tabs>
              <w:jc w:val="center"/>
              <w:rPr>
                <w:rFonts w:cs="Arial"/>
                <w:sz w:val="18"/>
                <w:szCs w:val="18"/>
              </w:rPr>
            </w:pPr>
            <w:r w:rsidRPr="00F22B72">
              <w:rPr>
                <w:rFonts w:cs="Arial"/>
                <w:sz w:val="18"/>
                <w:szCs w:val="18"/>
                <w:lang w:eastAsia="en-GB"/>
              </w:rPr>
              <w:t>Forewarning of failure</w:t>
            </w:r>
          </w:p>
        </w:tc>
        <w:tc>
          <w:tcPr>
            <w:tcW w:w="1134" w:type="dxa"/>
            <w:vAlign w:val="center"/>
          </w:tcPr>
          <w:p w14:paraId="5730555F" w14:textId="77777777" w:rsidR="0015225A" w:rsidRPr="00F22B72" w:rsidRDefault="0015225A" w:rsidP="00D07AFA">
            <w:pPr>
              <w:widowControl w:val="0"/>
              <w:tabs>
                <w:tab w:val="left" w:pos="720"/>
              </w:tabs>
              <w:jc w:val="center"/>
              <w:rPr>
                <w:rFonts w:cs="Arial"/>
                <w:sz w:val="18"/>
                <w:szCs w:val="18"/>
              </w:rPr>
            </w:pPr>
            <w:r w:rsidRPr="00F22B72">
              <w:rPr>
                <w:rFonts w:cs="Arial"/>
                <w:sz w:val="18"/>
                <w:szCs w:val="18"/>
              </w:rPr>
              <w:t>EMC.26</w:t>
            </w:r>
          </w:p>
        </w:tc>
        <w:tc>
          <w:tcPr>
            <w:tcW w:w="6590" w:type="dxa"/>
            <w:vAlign w:val="center"/>
          </w:tcPr>
          <w:p w14:paraId="57305560" w14:textId="77777777" w:rsidR="0015225A" w:rsidRPr="00F22B72" w:rsidRDefault="0015225A" w:rsidP="00D07AFA">
            <w:pPr>
              <w:widowControl w:val="0"/>
              <w:tabs>
                <w:tab w:val="left" w:pos="720"/>
              </w:tabs>
              <w:rPr>
                <w:rFonts w:cs="Arial"/>
                <w:sz w:val="18"/>
                <w:szCs w:val="18"/>
              </w:rPr>
            </w:pPr>
            <w:r w:rsidRPr="00F22B72">
              <w:rPr>
                <w:rFonts w:cs="Arial"/>
                <w:sz w:val="18"/>
                <w:szCs w:val="18"/>
              </w:rPr>
              <w:t>Detailed assessment should be carried out where monitoring is claimed to provide forewarning of significant failure.</w:t>
            </w:r>
          </w:p>
        </w:tc>
      </w:tr>
      <w:tr w:rsidR="0015225A" w:rsidRPr="00F22B72" w14:paraId="5730556A" w14:textId="77777777" w:rsidTr="0015225A">
        <w:trPr>
          <w:jc w:val="center"/>
        </w:trPr>
        <w:tc>
          <w:tcPr>
            <w:tcW w:w="1482" w:type="dxa"/>
            <w:vMerge w:val="restart"/>
            <w:vAlign w:val="center"/>
          </w:tcPr>
          <w:p w14:paraId="57305563" w14:textId="77777777" w:rsidR="0015225A" w:rsidRPr="00F22B72" w:rsidRDefault="0015225A" w:rsidP="00D07AFA">
            <w:pPr>
              <w:autoSpaceDE w:val="0"/>
              <w:autoSpaceDN w:val="0"/>
              <w:adjustRightInd w:val="0"/>
              <w:rPr>
                <w:rFonts w:eastAsiaTheme="minorHAnsi" w:cs="Arial"/>
                <w:bCs/>
                <w:sz w:val="18"/>
                <w:szCs w:val="18"/>
              </w:rPr>
            </w:pPr>
            <w:r w:rsidRPr="00F22B72">
              <w:rPr>
                <w:rFonts w:eastAsiaTheme="minorHAnsi" w:cs="Arial"/>
                <w:bCs/>
                <w:sz w:val="18"/>
                <w:szCs w:val="18"/>
              </w:rPr>
              <w:t>Manufacture and</w:t>
            </w:r>
          </w:p>
          <w:p w14:paraId="57305564" w14:textId="77777777" w:rsidR="0015225A" w:rsidRPr="00F22B72" w:rsidRDefault="0015225A" w:rsidP="00D07AFA">
            <w:pPr>
              <w:widowControl w:val="0"/>
              <w:tabs>
                <w:tab w:val="left" w:pos="720"/>
              </w:tabs>
              <w:spacing w:after="120"/>
              <w:rPr>
                <w:rFonts w:cs="Arial"/>
                <w:sz w:val="18"/>
                <w:szCs w:val="18"/>
              </w:rPr>
            </w:pPr>
            <w:r w:rsidRPr="00F22B72">
              <w:rPr>
                <w:rFonts w:eastAsiaTheme="minorHAnsi" w:cs="Arial"/>
                <w:bCs/>
                <w:sz w:val="18"/>
                <w:szCs w:val="18"/>
              </w:rPr>
              <w:t>installation</w:t>
            </w:r>
          </w:p>
        </w:tc>
        <w:tc>
          <w:tcPr>
            <w:tcW w:w="1418" w:type="dxa"/>
            <w:vAlign w:val="center"/>
          </w:tcPr>
          <w:p w14:paraId="57305565" w14:textId="77777777" w:rsidR="0015225A" w:rsidRPr="00F22B72" w:rsidRDefault="0015225A" w:rsidP="00D07AFA">
            <w:pPr>
              <w:widowControl w:val="0"/>
              <w:tabs>
                <w:tab w:val="left" w:pos="720"/>
              </w:tabs>
              <w:rPr>
                <w:rFonts w:cs="Arial"/>
                <w:sz w:val="18"/>
                <w:szCs w:val="18"/>
              </w:rPr>
            </w:pPr>
            <w:r w:rsidRPr="00F22B72">
              <w:rPr>
                <w:rFonts w:cs="Arial"/>
                <w:sz w:val="18"/>
                <w:szCs w:val="18"/>
              </w:rPr>
              <w:t xml:space="preserve">Materials </w:t>
            </w:r>
          </w:p>
        </w:tc>
        <w:tc>
          <w:tcPr>
            <w:tcW w:w="1134" w:type="dxa"/>
            <w:vAlign w:val="center"/>
          </w:tcPr>
          <w:p w14:paraId="57305566" w14:textId="77777777" w:rsidR="0015225A" w:rsidRPr="00F22B72" w:rsidRDefault="0015225A" w:rsidP="00D07AFA">
            <w:pPr>
              <w:widowControl w:val="0"/>
              <w:tabs>
                <w:tab w:val="left" w:pos="720"/>
              </w:tabs>
              <w:jc w:val="center"/>
              <w:rPr>
                <w:rFonts w:cs="Arial"/>
                <w:sz w:val="18"/>
                <w:szCs w:val="18"/>
              </w:rPr>
            </w:pPr>
            <w:r w:rsidRPr="00F22B72">
              <w:rPr>
                <w:rFonts w:cs="Arial"/>
                <w:sz w:val="18"/>
                <w:szCs w:val="18"/>
              </w:rPr>
              <w:t>EMC.13</w:t>
            </w:r>
          </w:p>
        </w:tc>
        <w:tc>
          <w:tcPr>
            <w:tcW w:w="6590" w:type="dxa"/>
            <w:vAlign w:val="center"/>
          </w:tcPr>
          <w:p w14:paraId="57305567" w14:textId="77777777" w:rsidR="0015225A" w:rsidRPr="00F22B72" w:rsidRDefault="0015225A" w:rsidP="00D07AFA">
            <w:pPr>
              <w:widowControl w:val="0"/>
              <w:tabs>
                <w:tab w:val="left" w:pos="720"/>
              </w:tabs>
              <w:rPr>
                <w:rFonts w:cs="Arial"/>
                <w:sz w:val="18"/>
                <w:szCs w:val="18"/>
              </w:rPr>
            </w:pPr>
            <w:r w:rsidRPr="00F22B72">
              <w:rPr>
                <w:rFonts w:cs="Arial"/>
                <w:sz w:val="18"/>
                <w:szCs w:val="18"/>
              </w:rPr>
              <w:t>Materials employed in manufacture and installation should be shown to be suitable for the</w:t>
            </w:r>
          </w:p>
          <w:p w14:paraId="57305568" w14:textId="77777777" w:rsidR="0015225A" w:rsidRPr="00F22B72" w:rsidRDefault="0015225A" w:rsidP="00D07AFA">
            <w:pPr>
              <w:widowControl w:val="0"/>
              <w:tabs>
                <w:tab w:val="left" w:pos="720"/>
              </w:tabs>
              <w:rPr>
                <w:rFonts w:cs="Arial"/>
                <w:sz w:val="18"/>
                <w:szCs w:val="18"/>
              </w:rPr>
            </w:pPr>
            <w:r w:rsidRPr="00F22B72">
              <w:rPr>
                <w:rFonts w:cs="Arial"/>
                <w:sz w:val="18"/>
                <w:szCs w:val="18"/>
              </w:rPr>
              <w:t>purpose of enabling an adequate design to be manufactured, operated, examined and maintained throughout the life of the facility.</w:t>
            </w:r>
          </w:p>
        </w:tc>
      </w:tr>
      <w:tr w:rsidR="0015225A" w:rsidRPr="00F22B72" w14:paraId="57305570" w14:textId="77777777" w:rsidTr="0015225A">
        <w:trPr>
          <w:jc w:val="center"/>
        </w:trPr>
        <w:tc>
          <w:tcPr>
            <w:tcW w:w="1482" w:type="dxa"/>
            <w:vMerge/>
            <w:vAlign w:val="center"/>
          </w:tcPr>
          <w:p w14:paraId="5730556B" w14:textId="77777777" w:rsidR="0015225A" w:rsidRPr="00F22B72" w:rsidRDefault="0015225A" w:rsidP="00D07AFA">
            <w:pPr>
              <w:widowControl w:val="0"/>
              <w:tabs>
                <w:tab w:val="left" w:pos="720"/>
              </w:tabs>
              <w:spacing w:after="120"/>
              <w:rPr>
                <w:rFonts w:cs="Arial"/>
                <w:sz w:val="18"/>
                <w:szCs w:val="18"/>
              </w:rPr>
            </w:pPr>
          </w:p>
        </w:tc>
        <w:tc>
          <w:tcPr>
            <w:tcW w:w="1418" w:type="dxa"/>
            <w:vAlign w:val="center"/>
          </w:tcPr>
          <w:p w14:paraId="5730556C" w14:textId="77777777" w:rsidR="0015225A" w:rsidRPr="00F22B72" w:rsidRDefault="0015225A" w:rsidP="00D07AFA">
            <w:pPr>
              <w:widowControl w:val="0"/>
              <w:tabs>
                <w:tab w:val="left" w:pos="720"/>
              </w:tabs>
              <w:rPr>
                <w:rFonts w:cs="Arial"/>
                <w:sz w:val="18"/>
                <w:szCs w:val="18"/>
              </w:rPr>
            </w:pPr>
            <w:r w:rsidRPr="00F22B72">
              <w:rPr>
                <w:rFonts w:cs="Arial"/>
                <w:sz w:val="18"/>
                <w:szCs w:val="18"/>
              </w:rPr>
              <w:t>Techniques and procedures</w:t>
            </w:r>
          </w:p>
        </w:tc>
        <w:tc>
          <w:tcPr>
            <w:tcW w:w="1134" w:type="dxa"/>
            <w:vAlign w:val="center"/>
          </w:tcPr>
          <w:p w14:paraId="5730556D" w14:textId="77777777" w:rsidR="0015225A" w:rsidRPr="00F22B72" w:rsidRDefault="0015225A" w:rsidP="00D07AFA">
            <w:pPr>
              <w:widowControl w:val="0"/>
              <w:tabs>
                <w:tab w:val="left" w:pos="720"/>
              </w:tabs>
              <w:jc w:val="center"/>
              <w:rPr>
                <w:rFonts w:cs="Arial"/>
                <w:sz w:val="18"/>
                <w:szCs w:val="18"/>
              </w:rPr>
            </w:pPr>
            <w:r w:rsidRPr="00F22B72">
              <w:rPr>
                <w:rFonts w:cs="Arial"/>
                <w:sz w:val="18"/>
                <w:szCs w:val="18"/>
              </w:rPr>
              <w:t>EMC.14</w:t>
            </w:r>
          </w:p>
        </w:tc>
        <w:tc>
          <w:tcPr>
            <w:tcW w:w="6590" w:type="dxa"/>
            <w:vAlign w:val="center"/>
          </w:tcPr>
          <w:p w14:paraId="5730556E" w14:textId="77777777" w:rsidR="0015225A" w:rsidRPr="00F22B72" w:rsidRDefault="0015225A" w:rsidP="00D07AFA">
            <w:pPr>
              <w:widowControl w:val="0"/>
              <w:tabs>
                <w:tab w:val="left" w:pos="720"/>
              </w:tabs>
              <w:rPr>
                <w:rFonts w:cs="Arial"/>
                <w:sz w:val="18"/>
                <w:szCs w:val="18"/>
              </w:rPr>
            </w:pPr>
            <w:r w:rsidRPr="00F22B72">
              <w:rPr>
                <w:rFonts w:cs="Arial"/>
                <w:sz w:val="18"/>
                <w:szCs w:val="18"/>
              </w:rPr>
              <w:t>Manufacture and installation should use proven techniques and approved procedures to minimise the occurrence of defects that might affect the integrity of components or structures.</w:t>
            </w:r>
          </w:p>
        </w:tc>
      </w:tr>
      <w:tr w:rsidR="0015225A" w:rsidRPr="00F22B72" w14:paraId="57305576" w14:textId="77777777" w:rsidTr="0015225A">
        <w:trPr>
          <w:jc w:val="center"/>
        </w:trPr>
        <w:tc>
          <w:tcPr>
            <w:tcW w:w="1482" w:type="dxa"/>
            <w:vMerge/>
            <w:vAlign w:val="center"/>
          </w:tcPr>
          <w:p w14:paraId="57305571" w14:textId="77777777" w:rsidR="0015225A" w:rsidRPr="00F22B72" w:rsidRDefault="0015225A" w:rsidP="00D07AFA">
            <w:pPr>
              <w:widowControl w:val="0"/>
              <w:tabs>
                <w:tab w:val="left" w:pos="720"/>
              </w:tabs>
              <w:spacing w:after="120"/>
              <w:rPr>
                <w:rFonts w:cs="Arial"/>
                <w:sz w:val="18"/>
                <w:szCs w:val="18"/>
              </w:rPr>
            </w:pPr>
          </w:p>
        </w:tc>
        <w:tc>
          <w:tcPr>
            <w:tcW w:w="1418" w:type="dxa"/>
            <w:vAlign w:val="center"/>
          </w:tcPr>
          <w:p w14:paraId="57305572" w14:textId="77777777" w:rsidR="0015225A" w:rsidRPr="00F22B72" w:rsidRDefault="0015225A" w:rsidP="00D07AFA">
            <w:pPr>
              <w:widowControl w:val="0"/>
              <w:tabs>
                <w:tab w:val="left" w:pos="720"/>
              </w:tabs>
              <w:rPr>
                <w:rFonts w:cs="Arial"/>
                <w:sz w:val="18"/>
                <w:szCs w:val="18"/>
              </w:rPr>
            </w:pPr>
            <w:r w:rsidRPr="00F22B72">
              <w:rPr>
                <w:rFonts w:cs="Arial"/>
                <w:sz w:val="18"/>
                <w:szCs w:val="18"/>
              </w:rPr>
              <w:t xml:space="preserve">Records </w:t>
            </w:r>
          </w:p>
        </w:tc>
        <w:tc>
          <w:tcPr>
            <w:tcW w:w="1134" w:type="dxa"/>
            <w:vAlign w:val="center"/>
          </w:tcPr>
          <w:p w14:paraId="57305573" w14:textId="77777777" w:rsidR="0015225A" w:rsidRPr="00F22B72" w:rsidRDefault="0015225A" w:rsidP="00D07AFA">
            <w:pPr>
              <w:widowControl w:val="0"/>
              <w:tabs>
                <w:tab w:val="left" w:pos="720"/>
              </w:tabs>
              <w:jc w:val="center"/>
              <w:rPr>
                <w:rFonts w:cs="Arial"/>
                <w:sz w:val="18"/>
                <w:szCs w:val="18"/>
              </w:rPr>
            </w:pPr>
            <w:r w:rsidRPr="00F22B72">
              <w:rPr>
                <w:rFonts w:cs="Arial"/>
                <w:sz w:val="18"/>
                <w:szCs w:val="18"/>
              </w:rPr>
              <w:t>EMC.20</w:t>
            </w:r>
          </w:p>
        </w:tc>
        <w:tc>
          <w:tcPr>
            <w:tcW w:w="6590" w:type="dxa"/>
            <w:vAlign w:val="center"/>
          </w:tcPr>
          <w:p w14:paraId="57305574" w14:textId="77777777" w:rsidR="0015225A" w:rsidRPr="00F22B72" w:rsidRDefault="0015225A" w:rsidP="00D07AFA">
            <w:pPr>
              <w:widowControl w:val="0"/>
              <w:tabs>
                <w:tab w:val="left" w:pos="720"/>
              </w:tabs>
              <w:rPr>
                <w:rFonts w:cs="Arial"/>
                <w:sz w:val="18"/>
                <w:szCs w:val="18"/>
              </w:rPr>
            </w:pPr>
            <w:r w:rsidRPr="00F22B72">
              <w:rPr>
                <w:rFonts w:cs="Arial"/>
                <w:sz w:val="18"/>
                <w:szCs w:val="18"/>
              </w:rPr>
              <w:t>Detailed records of manufacturing, installation and testing activities should be made and be retained in such a way as to allow review at any time during subsequent operation.</w:t>
            </w:r>
          </w:p>
        </w:tc>
      </w:tr>
      <w:tr w:rsidR="0015225A" w:rsidRPr="00F22B72" w14:paraId="5730557E" w14:textId="77777777" w:rsidTr="0015225A">
        <w:trPr>
          <w:jc w:val="center"/>
        </w:trPr>
        <w:tc>
          <w:tcPr>
            <w:tcW w:w="1482" w:type="dxa"/>
            <w:vMerge w:val="restart"/>
            <w:vAlign w:val="center"/>
          </w:tcPr>
          <w:p w14:paraId="57305577" w14:textId="77777777" w:rsidR="0015225A" w:rsidRPr="00F22B72" w:rsidRDefault="0015225A" w:rsidP="00D07AFA">
            <w:pPr>
              <w:autoSpaceDE w:val="0"/>
              <w:autoSpaceDN w:val="0"/>
              <w:adjustRightInd w:val="0"/>
              <w:rPr>
                <w:rFonts w:cs="Arial"/>
                <w:bCs/>
                <w:sz w:val="18"/>
                <w:szCs w:val="18"/>
                <w:lang w:eastAsia="en-GB"/>
              </w:rPr>
            </w:pPr>
            <w:r w:rsidRPr="00F22B72">
              <w:rPr>
                <w:rFonts w:cs="Arial"/>
                <w:bCs/>
                <w:sz w:val="18"/>
                <w:szCs w:val="18"/>
                <w:lang w:eastAsia="en-GB"/>
              </w:rPr>
              <w:t>Manufacturing, pre and</w:t>
            </w:r>
          </w:p>
          <w:p w14:paraId="57305578" w14:textId="77777777" w:rsidR="0015225A" w:rsidRPr="00F22B72" w:rsidRDefault="0015225A" w:rsidP="00D07AFA">
            <w:pPr>
              <w:autoSpaceDE w:val="0"/>
              <w:autoSpaceDN w:val="0"/>
              <w:adjustRightInd w:val="0"/>
              <w:rPr>
                <w:rFonts w:cs="Arial"/>
                <w:bCs/>
                <w:sz w:val="18"/>
                <w:szCs w:val="18"/>
                <w:lang w:eastAsia="en-GB"/>
              </w:rPr>
            </w:pPr>
            <w:r w:rsidRPr="00F22B72">
              <w:rPr>
                <w:rFonts w:cs="Arial"/>
                <w:bCs/>
                <w:sz w:val="18"/>
                <w:szCs w:val="18"/>
                <w:lang w:eastAsia="en-GB"/>
              </w:rPr>
              <w:t>in-service examination and</w:t>
            </w:r>
          </w:p>
          <w:p w14:paraId="57305579" w14:textId="77777777" w:rsidR="0015225A" w:rsidRPr="00F22B72" w:rsidRDefault="0015225A" w:rsidP="00D07AFA">
            <w:pPr>
              <w:widowControl w:val="0"/>
              <w:tabs>
                <w:tab w:val="left" w:pos="720"/>
              </w:tabs>
              <w:spacing w:after="120"/>
              <w:rPr>
                <w:rFonts w:cs="Arial"/>
                <w:sz w:val="18"/>
                <w:szCs w:val="18"/>
              </w:rPr>
            </w:pPr>
            <w:r w:rsidRPr="00F22B72">
              <w:rPr>
                <w:rFonts w:cs="Arial"/>
                <w:bCs/>
                <w:sz w:val="18"/>
                <w:szCs w:val="18"/>
                <w:lang w:eastAsia="en-GB"/>
              </w:rPr>
              <w:t>testing</w:t>
            </w:r>
          </w:p>
        </w:tc>
        <w:tc>
          <w:tcPr>
            <w:tcW w:w="1418" w:type="dxa"/>
            <w:vAlign w:val="center"/>
          </w:tcPr>
          <w:p w14:paraId="5730557A" w14:textId="77777777" w:rsidR="0015225A" w:rsidRPr="00F22B72" w:rsidRDefault="0015225A" w:rsidP="00D07AFA">
            <w:pPr>
              <w:widowControl w:val="0"/>
              <w:tabs>
                <w:tab w:val="left" w:pos="720"/>
              </w:tabs>
              <w:rPr>
                <w:rFonts w:cs="Arial"/>
                <w:sz w:val="18"/>
                <w:szCs w:val="18"/>
              </w:rPr>
            </w:pPr>
            <w:r w:rsidRPr="00F22B72">
              <w:rPr>
                <w:rFonts w:cs="Arial"/>
                <w:sz w:val="18"/>
                <w:szCs w:val="18"/>
                <w:lang w:eastAsia="en-GB"/>
              </w:rPr>
              <w:t>Examination</w:t>
            </w:r>
          </w:p>
        </w:tc>
        <w:tc>
          <w:tcPr>
            <w:tcW w:w="1134" w:type="dxa"/>
            <w:vAlign w:val="center"/>
          </w:tcPr>
          <w:p w14:paraId="5730557B" w14:textId="77777777" w:rsidR="0015225A" w:rsidRPr="00F22B72" w:rsidRDefault="0015225A" w:rsidP="00D07AFA">
            <w:pPr>
              <w:widowControl w:val="0"/>
              <w:tabs>
                <w:tab w:val="left" w:pos="720"/>
              </w:tabs>
              <w:jc w:val="center"/>
              <w:rPr>
                <w:rFonts w:cs="Arial"/>
                <w:sz w:val="18"/>
                <w:szCs w:val="18"/>
              </w:rPr>
            </w:pPr>
            <w:r w:rsidRPr="00F22B72">
              <w:rPr>
                <w:rFonts w:cs="Arial"/>
                <w:sz w:val="18"/>
                <w:szCs w:val="18"/>
              </w:rPr>
              <w:t>EMC.27</w:t>
            </w:r>
          </w:p>
        </w:tc>
        <w:tc>
          <w:tcPr>
            <w:tcW w:w="6590" w:type="dxa"/>
            <w:vAlign w:val="center"/>
          </w:tcPr>
          <w:p w14:paraId="5730557C" w14:textId="77777777" w:rsidR="0015225A" w:rsidRPr="00F22B72" w:rsidRDefault="0015225A" w:rsidP="00D07AFA">
            <w:pPr>
              <w:widowControl w:val="0"/>
              <w:tabs>
                <w:tab w:val="left" w:pos="720"/>
              </w:tabs>
              <w:rPr>
                <w:rFonts w:cs="Arial"/>
                <w:sz w:val="18"/>
                <w:szCs w:val="18"/>
              </w:rPr>
            </w:pPr>
            <w:r w:rsidRPr="00F22B72">
              <w:rPr>
                <w:rFonts w:cs="Arial"/>
                <w:sz w:val="18"/>
                <w:szCs w:val="18"/>
              </w:rPr>
              <w:t>Provision should be made for examination that is capable of demonstrating with suitable reliability that the component or structure has been manufactured to an appropriate standard and will be fit for purpose at all times during future operations.</w:t>
            </w:r>
          </w:p>
        </w:tc>
      </w:tr>
      <w:tr w:rsidR="0015225A" w:rsidRPr="00F22B72" w14:paraId="57305584" w14:textId="77777777" w:rsidTr="0015225A">
        <w:trPr>
          <w:jc w:val="center"/>
        </w:trPr>
        <w:tc>
          <w:tcPr>
            <w:tcW w:w="1482" w:type="dxa"/>
            <w:vMerge/>
            <w:vAlign w:val="center"/>
          </w:tcPr>
          <w:p w14:paraId="5730557F" w14:textId="77777777" w:rsidR="0015225A" w:rsidRPr="00F22B72" w:rsidRDefault="0015225A" w:rsidP="00D07AFA">
            <w:pPr>
              <w:widowControl w:val="0"/>
              <w:tabs>
                <w:tab w:val="left" w:pos="720"/>
              </w:tabs>
              <w:spacing w:after="120"/>
              <w:rPr>
                <w:rFonts w:cs="Arial"/>
                <w:sz w:val="18"/>
                <w:szCs w:val="18"/>
              </w:rPr>
            </w:pPr>
          </w:p>
        </w:tc>
        <w:tc>
          <w:tcPr>
            <w:tcW w:w="1418" w:type="dxa"/>
            <w:vAlign w:val="center"/>
          </w:tcPr>
          <w:p w14:paraId="57305580" w14:textId="77777777" w:rsidR="0015225A" w:rsidRPr="00F22B72" w:rsidRDefault="0015225A" w:rsidP="00D07AFA">
            <w:pPr>
              <w:widowControl w:val="0"/>
              <w:tabs>
                <w:tab w:val="left" w:pos="720"/>
              </w:tabs>
              <w:rPr>
                <w:rFonts w:cs="Arial"/>
                <w:sz w:val="18"/>
                <w:szCs w:val="18"/>
              </w:rPr>
            </w:pPr>
            <w:r w:rsidRPr="00F22B72">
              <w:rPr>
                <w:rFonts w:cs="Arial"/>
                <w:sz w:val="18"/>
                <w:szCs w:val="18"/>
                <w:lang w:eastAsia="en-GB"/>
              </w:rPr>
              <w:t>Qualification</w:t>
            </w:r>
          </w:p>
        </w:tc>
        <w:tc>
          <w:tcPr>
            <w:tcW w:w="1134" w:type="dxa"/>
            <w:vAlign w:val="center"/>
          </w:tcPr>
          <w:p w14:paraId="57305581" w14:textId="77777777" w:rsidR="0015225A" w:rsidRPr="00F22B72" w:rsidRDefault="0015225A" w:rsidP="00D07AFA">
            <w:pPr>
              <w:widowControl w:val="0"/>
              <w:tabs>
                <w:tab w:val="left" w:pos="720"/>
              </w:tabs>
              <w:jc w:val="center"/>
              <w:rPr>
                <w:rFonts w:cs="Arial"/>
                <w:sz w:val="18"/>
                <w:szCs w:val="18"/>
              </w:rPr>
            </w:pPr>
            <w:r w:rsidRPr="00F22B72">
              <w:rPr>
                <w:rFonts w:cs="Arial"/>
                <w:sz w:val="18"/>
                <w:szCs w:val="18"/>
              </w:rPr>
              <w:t>EMC.30</w:t>
            </w:r>
          </w:p>
        </w:tc>
        <w:tc>
          <w:tcPr>
            <w:tcW w:w="6590" w:type="dxa"/>
            <w:vAlign w:val="center"/>
          </w:tcPr>
          <w:p w14:paraId="57305582" w14:textId="77777777" w:rsidR="0015225A" w:rsidRPr="00F22B72" w:rsidRDefault="0015225A" w:rsidP="00D07AFA">
            <w:pPr>
              <w:widowControl w:val="0"/>
              <w:tabs>
                <w:tab w:val="left" w:pos="720"/>
              </w:tabs>
              <w:rPr>
                <w:rFonts w:cs="Arial"/>
                <w:sz w:val="18"/>
                <w:szCs w:val="18"/>
              </w:rPr>
            </w:pPr>
            <w:r w:rsidRPr="00F22B72">
              <w:rPr>
                <w:rFonts w:cs="Arial"/>
                <w:sz w:val="18"/>
                <w:szCs w:val="18"/>
              </w:rPr>
              <w:t>Personnel, equipment and procedures should be qualified to an extent consistent with the overall safety case and the contribution of examination to structural integrity aspects of the safety case.</w:t>
            </w:r>
          </w:p>
        </w:tc>
      </w:tr>
      <w:tr w:rsidR="0015225A" w:rsidRPr="00F22B72" w14:paraId="5730558B" w14:textId="77777777" w:rsidTr="0015225A">
        <w:trPr>
          <w:jc w:val="center"/>
        </w:trPr>
        <w:tc>
          <w:tcPr>
            <w:tcW w:w="1482" w:type="dxa"/>
            <w:vAlign w:val="center"/>
          </w:tcPr>
          <w:p w14:paraId="57305585" w14:textId="77777777" w:rsidR="0015225A" w:rsidRPr="00F22B72" w:rsidRDefault="0015225A" w:rsidP="00D07AFA">
            <w:pPr>
              <w:autoSpaceDE w:val="0"/>
              <w:autoSpaceDN w:val="0"/>
              <w:adjustRightInd w:val="0"/>
              <w:rPr>
                <w:rFonts w:eastAsiaTheme="minorHAnsi" w:cs="Arial"/>
                <w:bCs/>
                <w:sz w:val="18"/>
                <w:szCs w:val="18"/>
              </w:rPr>
            </w:pPr>
            <w:r w:rsidRPr="00F22B72">
              <w:rPr>
                <w:rFonts w:eastAsiaTheme="minorHAnsi" w:cs="Arial"/>
                <w:bCs/>
                <w:sz w:val="18"/>
                <w:szCs w:val="18"/>
              </w:rPr>
              <w:t>in-service repairs and</w:t>
            </w:r>
          </w:p>
          <w:p w14:paraId="57305586" w14:textId="77777777" w:rsidR="0015225A" w:rsidRPr="00F22B72" w:rsidRDefault="0015225A" w:rsidP="00D07AFA">
            <w:pPr>
              <w:widowControl w:val="0"/>
              <w:tabs>
                <w:tab w:val="left" w:pos="720"/>
              </w:tabs>
              <w:spacing w:after="120"/>
              <w:rPr>
                <w:rFonts w:cs="Arial"/>
                <w:sz w:val="18"/>
                <w:szCs w:val="18"/>
              </w:rPr>
            </w:pPr>
            <w:r w:rsidRPr="00F22B72">
              <w:rPr>
                <w:rFonts w:eastAsiaTheme="minorHAnsi" w:cs="Arial"/>
                <w:bCs/>
                <w:sz w:val="18"/>
                <w:szCs w:val="18"/>
              </w:rPr>
              <w:t>modifications</w:t>
            </w:r>
          </w:p>
        </w:tc>
        <w:tc>
          <w:tcPr>
            <w:tcW w:w="1418" w:type="dxa"/>
            <w:vAlign w:val="center"/>
          </w:tcPr>
          <w:p w14:paraId="57305587" w14:textId="77777777" w:rsidR="0015225A" w:rsidRPr="00F22B72" w:rsidRDefault="0015225A" w:rsidP="00D07AFA">
            <w:pPr>
              <w:widowControl w:val="0"/>
              <w:tabs>
                <w:tab w:val="left" w:pos="720"/>
              </w:tabs>
              <w:rPr>
                <w:rFonts w:cs="Arial"/>
                <w:sz w:val="18"/>
                <w:szCs w:val="18"/>
              </w:rPr>
            </w:pPr>
            <w:r w:rsidRPr="00F22B72">
              <w:rPr>
                <w:rFonts w:cs="Arial"/>
                <w:sz w:val="18"/>
                <w:szCs w:val="18"/>
              </w:rPr>
              <w:t>Repairs and modifications</w:t>
            </w:r>
          </w:p>
        </w:tc>
        <w:tc>
          <w:tcPr>
            <w:tcW w:w="1134" w:type="dxa"/>
            <w:vAlign w:val="center"/>
          </w:tcPr>
          <w:p w14:paraId="57305588" w14:textId="77777777" w:rsidR="0015225A" w:rsidRPr="00F22B72" w:rsidRDefault="0015225A" w:rsidP="00D07AFA">
            <w:pPr>
              <w:widowControl w:val="0"/>
              <w:tabs>
                <w:tab w:val="left" w:pos="720"/>
              </w:tabs>
              <w:jc w:val="center"/>
              <w:rPr>
                <w:rFonts w:cs="Arial"/>
                <w:sz w:val="18"/>
                <w:szCs w:val="18"/>
              </w:rPr>
            </w:pPr>
            <w:r w:rsidRPr="00F22B72">
              <w:rPr>
                <w:rFonts w:cs="Arial"/>
                <w:sz w:val="18"/>
                <w:szCs w:val="18"/>
              </w:rPr>
              <w:t>EMC.31</w:t>
            </w:r>
          </w:p>
        </w:tc>
        <w:tc>
          <w:tcPr>
            <w:tcW w:w="6590" w:type="dxa"/>
            <w:vAlign w:val="center"/>
          </w:tcPr>
          <w:p w14:paraId="57305589" w14:textId="77777777" w:rsidR="0015225A" w:rsidRPr="00F22B72" w:rsidRDefault="0015225A" w:rsidP="00D07AFA">
            <w:pPr>
              <w:widowControl w:val="0"/>
              <w:tabs>
                <w:tab w:val="left" w:pos="720"/>
              </w:tabs>
              <w:rPr>
                <w:rFonts w:cs="Arial"/>
                <w:sz w:val="18"/>
                <w:szCs w:val="18"/>
              </w:rPr>
            </w:pPr>
            <w:r w:rsidRPr="00F22B72">
              <w:rPr>
                <w:rFonts w:cs="Arial"/>
                <w:sz w:val="18"/>
                <w:szCs w:val="18"/>
              </w:rPr>
              <w:t>In-service repairs and modifications should be carefully controlled through a formal procedure for change.</w:t>
            </w:r>
          </w:p>
        </w:tc>
      </w:tr>
      <w:tr w:rsidR="0015225A" w:rsidRPr="00F22B72" w14:paraId="57305591" w14:textId="77777777" w:rsidTr="0015225A">
        <w:trPr>
          <w:jc w:val="center"/>
        </w:trPr>
        <w:tc>
          <w:tcPr>
            <w:tcW w:w="1482" w:type="dxa"/>
            <w:vMerge w:val="restart"/>
            <w:vAlign w:val="center"/>
          </w:tcPr>
          <w:p w14:paraId="5730558C" w14:textId="77777777" w:rsidR="0015225A" w:rsidRPr="00F22B72" w:rsidRDefault="0015225A" w:rsidP="00D07AFA">
            <w:pPr>
              <w:widowControl w:val="0"/>
              <w:tabs>
                <w:tab w:val="left" w:pos="720"/>
              </w:tabs>
              <w:spacing w:after="120"/>
              <w:rPr>
                <w:rFonts w:cs="Arial"/>
                <w:sz w:val="18"/>
                <w:szCs w:val="18"/>
              </w:rPr>
            </w:pPr>
            <w:r w:rsidRPr="00F22B72">
              <w:rPr>
                <w:rFonts w:cs="Arial"/>
                <w:bCs/>
                <w:sz w:val="18"/>
                <w:szCs w:val="18"/>
                <w:lang w:eastAsia="en-GB"/>
              </w:rPr>
              <w:t>General</w:t>
            </w:r>
          </w:p>
        </w:tc>
        <w:tc>
          <w:tcPr>
            <w:tcW w:w="1418" w:type="dxa"/>
            <w:vAlign w:val="center"/>
          </w:tcPr>
          <w:p w14:paraId="5730558D" w14:textId="77777777" w:rsidR="0015225A" w:rsidRPr="00F22B72" w:rsidRDefault="0015225A" w:rsidP="00D07AFA">
            <w:pPr>
              <w:widowControl w:val="0"/>
              <w:tabs>
                <w:tab w:val="left" w:pos="720"/>
              </w:tabs>
              <w:rPr>
                <w:rFonts w:cs="Arial"/>
                <w:sz w:val="18"/>
                <w:szCs w:val="18"/>
              </w:rPr>
            </w:pPr>
            <w:r w:rsidRPr="00F22B72">
              <w:rPr>
                <w:rFonts w:cs="Arial"/>
                <w:sz w:val="18"/>
                <w:szCs w:val="18"/>
                <w:lang w:eastAsia="en-GB"/>
              </w:rPr>
              <w:t>Defects</w:t>
            </w:r>
          </w:p>
        </w:tc>
        <w:tc>
          <w:tcPr>
            <w:tcW w:w="1134" w:type="dxa"/>
            <w:vAlign w:val="center"/>
          </w:tcPr>
          <w:p w14:paraId="5730558E" w14:textId="77777777" w:rsidR="0015225A" w:rsidRPr="00F22B72" w:rsidRDefault="0015225A" w:rsidP="00D07AFA">
            <w:pPr>
              <w:widowControl w:val="0"/>
              <w:tabs>
                <w:tab w:val="left" w:pos="720"/>
              </w:tabs>
              <w:jc w:val="center"/>
              <w:rPr>
                <w:rFonts w:cs="Arial"/>
                <w:sz w:val="18"/>
                <w:szCs w:val="18"/>
              </w:rPr>
            </w:pPr>
            <w:r w:rsidRPr="00F22B72">
              <w:rPr>
                <w:rFonts w:cs="Arial"/>
                <w:sz w:val="18"/>
                <w:szCs w:val="18"/>
              </w:rPr>
              <w:t>EMC.5</w:t>
            </w:r>
          </w:p>
        </w:tc>
        <w:tc>
          <w:tcPr>
            <w:tcW w:w="6590" w:type="dxa"/>
            <w:vAlign w:val="center"/>
          </w:tcPr>
          <w:p w14:paraId="5730558F" w14:textId="77777777" w:rsidR="0015225A" w:rsidRPr="00F22B72" w:rsidRDefault="0015225A" w:rsidP="00D07AFA">
            <w:pPr>
              <w:widowControl w:val="0"/>
              <w:tabs>
                <w:tab w:val="left" w:pos="720"/>
              </w:tabs>
              <w:rPr>
                <w:rFonts w:cs="Arial"/>
                <w:sz w:val="18"/>
                <w:szCs w:val="18"/>
              </w:rPr>
            </w:pPr>
            <w:r w:rsidRPr="00F22B72">
              <w:rPr>
                <w:rFonts w:cs="Arial"/>
                <w:sz w:val="18"/>
                <w:szCs w:val="18"/>
              </w:rPr>
              <w:t>It should be demonstrated that components and structures important to safety are both free from significant defects and are tolerant of defects.</w:t>
            </w:r>
          </w:p>
        </w:tc>
      </w:tr>
      <w:tr w:rsidR="0015225A" w:rsidRPr="00F22B72" w14:paraId="57305597" w14:textId="77777777" w:rsidTr="0015225A">
        <w:trPr>
          <w:jc w:val="center"/>
        </w:trPr>
        <w:tc>
          <w:tcPr>
            <w:tcW w:w="1482" w:type="dxa"/>
            <w:vMerge/>
            <w:vAlign w:val="center"/>
          </w:tcPr>
          <w:p w14:paraId="57305592" w14:textId="77777777" w:rsidR="0015225A" w:rsidRPr="00F22B72" w:rsidRDefault="0015225A" w:rsidP="00D07AFA">
            <w:pPr>
              <w:widowControl w:val="0"/>
              <w:tabs>
                <w:tab w:val="left" w:pos="720"/>
              </w:tabs>
              <w:spacing w:after="120"/>
              <w:rPr>
                <w:rFonts w:cs="Arial"/>
                <w:sz w:val="18"/>
                <w:szCs w:val="18"/>
              </w:rPr>
            </w:pPr>
          </w:p>
        </w:tc>
        <w:tc>
          <w:tcPr>
            <w:tcW w:w="1418" w:type="dxa"/>
            <w:vAlign w:val="center"/>
          </w:tcPr>
          <w:p w14:paraId="57305593" w14:textId="77777777" w:rsidR="0015225A" w:rsidRPr="00F22B72" w:rsidRDefault="0015225A" w:rsidP="00D07AFA">
            <w:pPr>
              <w:widowControl w:val="0"/>
              <w:tabs>
                <w:tab w:val="left" w:pos="720"/>
              </w:tabs>
              <w:rPr>
                <w:rFonts w:cs="Arial"/>
                <w:sz w:val="18"/>
                <w:szCs w:val="18"/>
              </w:rPr>
            </w:pPr>
            <w:r w:rsidRPr="00F22B72">
              <w:rPr>
                <w:rFonts w:cs="Arial"/>
                <w:sz w:val="18"/>
                <w:szCs w:val="18"/>
              </w:rPr>
              <w:t>Defects</w:t>
            </w:r>
          </w:p>
        </w:tc>
        <w:tc>
          <w:tcPr>
            <w:tcW w:w="1134" w:type="dxa"/>
            <w:vAlign w:val="center"/>
          </w:tcPr>
          <w:p w14:paraId="57305594" w14:textId="77777777" w:rsidR="0015225A" w:rsidRPr="00F22B72" w:rsidRDefault="0015225A" w:rsidP="00D07AFA">
            <w:pPr>
              <w:widowControl w:val="0"/>
              <w:tabs>
                <w:tab w:val="left" w:pos="720"/>
              </w:tabs>
              <w:jc w:val="center"/>
              <w:rPr>
                <w:rFonts w:cs="Arial"/>
                <w:sz w:val="18"/>
                <w:szCs w:val="18"/>
              </w:rPr>
            </w:pPr>
            <w:r w:rsidRPr="00F22B72">
              <w:rPr>
                <w:rFonts w:cs="Arial"/>
                <w:sz w:val="18"/>
                <w:szCs w:val="18"/>
              </w:rPr>
              <w:t>EMC.6</w:t>
            </w:r>
          </w:p>
        </w:tc>
        <w:tc>
          <w:tcPr>
            <w:tcW w:w="6590" w:type="dxa"/>
            <w:vAlign w:val="center"/>
          </w:tcPr>
          <w:p w14:paraId="57305595" w14:textId="77777777" w:rsidR="0015225A" w:rsidRPr="00F22B72" w:rsidRDefault="0015225A" w:rsidP="00D07AFA">
            <w:pPr>
              <w:widowControl w:val="0"/>
              <w:tabs>
                <w:tab w:val="left" w:pos="720"/>
              </w:tabs>
              <w:rPr>
                <w:rFonts w:cs="Arial"/>
                <w:sz w:val="18"/>
                <w:szCs w:val="18"/>
              </w:rPr>
            </w:pPr>
            <w:r w:rsidRPr="00F22B72">
              <w:rPr>
                <w:rFonts w:cs="Arial"/>
                <w:sz w:val="18"/>
                <w:szCs w:val="18"/>
              </w:rPr>
              <w:t>During manufacture and throughout the full lifetime of the facility, there should be means to establish the existence of defects of concern.</w:t>
            </w:r>
          </w:p>
        </w:tc>
      </w:tr>
      <w:tr w:rsidR="0015225A" w:rsidRPr="00F22B72" w14:paraId="5730559E" w14:textId="77777777" w:rsidTr="0015225A">
        <w:trPr>
          <w:jc w:val="center"/>
        </w:trPr>
        <w:tc>
          <w:tcPr>
            <w:tcW w:w="1482" w:type="dxa"/>
            <w:vAlign w:val="center"/>
          </w:tcPr>
          <w:p w14:paraId="57305598" w14:textId="77777777" w:rsidR="0015225A" w:rsidRPr="00F22B72" w:rsidRDefault="0015225A" w:rsidP="00D07AFA">
            <w:pPr>
              <w:autoSpaceDE w:val="0"/>
              <w:autoSpaceDN w:val="0"/>
              <w:adjustRightInd w:val="0"/>
              <w:rPr>
                <w:rFonts w:cs="Arial"/>
                <w:bCs/>
                <w:sz w:val="18"/>
                <w:szCs w:val="18"/>
                <w:lang w:eastAsia="en-GB"/>
              </w:rPr>
            </w:pPr>
            <w:r w:rsidRPr="00F22B72">
              <w:rPr>
                <w:rFonts w:cs="Arial"/>
                <w:bCs/>
                <w:sz w:val="18"/>
                <w:szCs w:val="18"/>
                <w:lang w:eastAsia="en-GB"/>
              </w:rPr>
              <w:t>Manufacture and</w:t>
            </w:r>
          </w:p>
          <w:p w14:paraId="57305599" w14:textId="77777777" w:rsidR="0015225A" w:rsidRPr="00F22B72" w:rsidRDefault="0015225A" w:rsidP="00D07AFA">
            <w:pPr>
              <w:widowControl w:val="0"/>
              <w:tabs>
                <w:tab w:val="left" w:pos="720"/>
              </w:tabs>
              <w:spacing w:after="120"/>
              <w:rPr>
                <w:rFonts w:cs="Arial"/>
                <w:sz w:val="18"/>
                <w:szCs w:val="18"/>
              </w:rPr>
            </w:pPr>
            <w:r w:rsidRPr="00F22B72">
              <w:rPr>
                <w:rFonts w:cs="Arial"/>
                <w:bCs/>
                <w:sz w:val="18"/>
                <w:szCs w:val="18"/>
                <w:lang w:eastAsia="en-GB"/>
              </w:rPr>
              <w:t>installation</w:t>
            </w:r>
          </w:p>
        </w:tc>
        <w:tc>
          <w:tcPr>
            <w:tcW w:w="1418" w:type="dxa"/>
            <w:vAlign w:val="center"/>
          </w:tcPr>
          <w:p w14:paraId="5730559A" w14:textId="77777777" w:rsidR="0015225A" w:rsidRPr="00F22B72" w:rsidRDefault="0015225A" w:rsidP="00D07AFA">
            <w:pPr>
              <w:widowControl w:val="0"/>
              <w:tabs>
                <w:tab w:val="left" w:pos="720"/>
              </w:tabs>
              <w:rPr>
                <w:rFonts w:cs="Arial"/>
                <w:sz w:val="18"/>
                <w:szCs w:val="18"/>
              </w:rPr>
            </w:pPr>
            <w:r w:rsidRPr="00F22B72">
              <w:rPr>
                <w:rFonts w:cs="Arial"/>
                <w:sz w:val="18"/>
                <w:szCs w:val="18"/>
                <w:lang w:eastAsia="en-GB"/>
              </w:rPr>
              <w:t>Non-conformities</w:t>
            </w:r>
          </w:p>
        </w:tc>
        <w:tc>
          <w:tcPr>
            <w:tcW w:w="1134" w:type="dxa"/>
            <w:vAlign w:val="center"/>
          </w:tcPr>
          <w:p w14:paraId="5730559B" w14:textId="77777777" w:rsidR="0015225A" w:rsidRPr="00F22B72" w:rsidRDefault="0015225A" w:rsidP="00D07AFA">
            <w:pPr>
              <w:widowControl w:val="0"/>
              <w:tabs>
                <w:tab w:val="left" w:pos="720"/>
              </w:tabs>
              <w:jc w:val="center"/>
              <w:rPr>
                <w:rFonts w:cs="Arial"/>
                <w:sz w:val="18"/>
                <w:szCs w:val="18"/>
              </w:rPr>
            </w:pPr>
            <w:r w:rsidRPr="00F22B72">
              <w:rPr>
                <w:rFonts w:cs="Arial"/>
                <w:sz w:val="18"/>
                <w:szCs w:val="18"/>
              </w:rPr>
              <w:t>EMC.19</w:t>
            </w:r>
          </w:p>
        </w:tc>
        <w:tc>
          <w:tcPr>
            <w:tcW w:w="6590" w:type="dxa"/>
            <w:vAlign w:val="center"/>
          </w:tcPr>
          <w:p w14:paraId="5730559C" w14:textId="77777777" w:rsidR="0015225A" w:rsidRPr="00F22B72" w:rsidRDefault="0015225A" w:rsidP="00D07AFA">
            <w:pPr>
              <w:widowControl w:val="0"/>
              <w:tabs>
                <w:tab w:val="left" w:pos="720"/>
              </w:tabs>
              <w:rPr>
                <w:rFonts w:cs="Arial"/>
                <w:sz w:val="18"/>
                <w:szCs w:val="18"/>
              </w:rPr>
            </w:pPr>
            <w:r w:rsidRPr="00F22B72">
              <w:rPr>
                <w:rFonts w:cs="Arial"/>
                <w:sz w:val="18"/>
                <w:szCs w:val="18"/>
              </w:rPr>
              <w:t>Where non-conformities with procedures are judged to have a detrimental effect on integrity or significant defects are found and remedial work is necessary, the remedial work should be carried out to an approved procedure and should apply the same standards as originally intended.</w:t>
            </w:r>
          </w:p>
        </w:tc>
      </w:tr>
      <w:tr w:rsidR="0015225A" w:rsidRPr="00F22B72" w14:paraId="573055A4" w14:textId="77777777" w:rsidTr="0015225A">
        <w:trPr>
          <w:jc w:val="center"/>
        </w:trPr>
        <w:tc>
          <w:tcPr>
            <w:tcW w:w="1482" w:type="dxa"/>
            <w:vAlign w:val="center"/>
          </w:tcPr>
          <w:p w14:paraId="5730559F" w14:textId="77777777" w:rsidR="0015225A" w:rsidRPr="00F22B72" w:rsidRDefault="0015225A" w:rsidP="00D07AFA">
            <w:pPr>
              <w:widowControl w:val="0"/>
              <w:tabs>
                <w:tab w:val="left" w:pos="720"/>
              </w:tabs>
              <w:spacing w:after="120"/>
              <w:rPr>
                <w:rFonts w:cs="Arial"/>
                <w:sz w:val="18"/>
                <w:szCs w:val="18"/>
              </w:rPr>
            </w:pPr>
            <w:r w:rsidRPr="00F22B72">
              <w:rPr>
                <w:rFonts w:cs="Arial"/>
                <w:bCs/>
                <w:sz w:val="18"/>
                <w:szCs w:val="18"/>
                <w:lang w:eastAsia="en-GB"/>
              </w:rPr>
              <w:t>Analysis</w:t>
            </w:r>
          </w:p>
        </w:tc>
        <w:tc>
          <w:tcPr>
            <w:tcW w:w="1418" w:type="dxa"/>
            <w:vAlign w:val="center"/>
          </w:tcPr>
          <w:p w14:paraId="573055A0" w14:textId="77777777" w:rsidR="0015225A" w:rsidRPr="00F22B72" w:rsidRDefault="0015225A" w:rsidP="00D07AFA">
            <w:pPr>
              <w:widowControl w:val="0"/>
              <w:tabs>
                <w:tab w:val="left" w:pos="720"/>
              </w:tabs>
              <w:rPr>
                <w:rFonts w:cs="Arial"/>
                <w:sz w:val="18"/>
                <w:szCs w:val="18"/>
              </w:rPr>
            </w:pPr>
            <w:r w:rsidRPr="00F22B72">
              <w:rPr>
                <w:rFonts w:cs="Arial"/>
                <w:sz w:val="18"/>
                <w:szCs w:val="18"/>
                <w:lang w:eastAsia="en-GB"/>
              </w:rPr>
              <w:t>Defect sizes</w:t>
            </w:r>
          </w:p>
        </w:tc>
        <w:tc>
          <w:tcPr>
            <w:tcW w:w="1134" w:type="dxa"/>
            <w:vAlign w:val="center"/>
          </w:tcPr>
          <w:p w14:paraId="573055A1" w14:textId="77777777" w:rsidR="0015225A" w:rsidRPr="00F22B72" w:rsidRDefault="0015225A" w:rsidP="00D07AFA">
            <w:pPr>
              <w:widowControl w:val="0"/>
              <w:tabs>
                <w:tab w:val="left" w:pos="720"/>
              </w:tabs>
              <w:jc w:val="center"/>
              <w:rPr>
                <w:rFonts w:cs="Arial"/>
                <w:sz w:val="18"/>
                <w:szCs w:val="18"/>
              </w:rPr>
            </w:pPr>
            <w:r w:rsidRPr="00F22B72">
              <w:rPr>
                <w:rFonts w:cs="Arial"/>
                <w:sz w:val="18"/>
                <w:szCs w:val="18"/>
              </w:rPr>
              <w:t>EMC.34</w:t>
            </w:r>
          </w:p>
        </w:tc>
        <w:tc>
          <w:tcPr>
            <w:tcW w:w="6590" w:type="dxa"/>
            <w:vAlign w:val="center"/>
          </w:tcPr>
          <w:p w14:paraId="573055A2" w14:textId="77777777" w:rsidR="0015225A" w:rsidRPr="00F22B72" w:rsidRDefault="0015225A" w:rsidP="00D07AFA">
            <w:pPr>
              <w:widowControl w:val="0"/>
              <w:tabs>
                <w:tab w:val="left" w:pos="720"/>
              </w:tabs>
              <w:rPr>
                <w:rFonts w:cs="Arial"/>
                <w:sz w:val="18"/>
                <w:szCs w:val="18"/>
              </w:rPr>
            </w:pPr>
            <w:r w:rsidRPr="00F22B72">
              <w:rPr>
                <w:rFonts w:cs="Arial"/>
                <w:sz w:val="18"/>
                <w:szCs w:val="18"/>
              </w:rPr>
              <w:t>Where high reliability is needed for components and structures and where otherwise appropriate, the sizes of crack-like defects of structural concern should be calculated using verified and validated fracture mechanics methods with verified application.</w:t>
            </w:r>
          </w:p>
        </w:tc>
      </w:tr>
      <w:tr w:rsidR="0015225A" w:rsidRPr="00F22B72" w14:paraId="573055AC" w14:textId="77777777" w:rsidTr="0015225A">
        <w:trPr>
          <w:jc w:val="center"/>
        </w:trPr>
        <w:tc>
          <w:tcPr>
            <w:tcW w:w="1482" w:type="dxa"/>
            <w:vAlign w:val="center"/>
          </w:tcPr>
          <w:p w14:paraId="573055A5" w14:textId="77777777" w:rsidR="0015225A" w:rsidRPr="00F22B72" w:rsidRDefault="0015225A" w:rsidP="00D07AFA">
            <w:pPr>
              <w:autoSpaceDE w:val="0"/>
              <w:autoSpaceDN w:val="0"/>
              <w:adjustRightInd w:val="0"/>
              <w:rPr>
                <w:rFonts w:cs="Arial"/>
                <w:bCs/>
                <w:sz w:val="18"/>
                <w:szCs w:val="18"/>
                <w:lang w:eastAsia="en-GB"/>
              </w:rPr>
            </w:pPr>
            <w:r w:rsidRPr="00F22B72">
              <w:rPr>
                <w:rFonts w:cs="Arial"/>
                <w:bCs/>
                <w:sz w:val="18"/>
                <w:szCs w:val="18"/>
                <w:lang w:eastAsia="en-GB"/>
              </w:rPr>
              <w:t>Manufacturing, pre and</w:t>
            </w:r>
          </w:p>
          <w:p w14:paraId="573055A6" w14:textId="77777777" w:rsidR="0015225A" w:rsidRPr="00F22B72" w:rsidRDefault="0015225A" w:rsidP="00D07AFA">
            <w:pPr>
              <w:autoSpaceDE w:val="0"/>
              <w:autoSpaceDN w:val="0"/>
              <w:adjustRightInd w:val="0"/>
              <w:rPr>
                <w:rFonts w:cs="Arial"/>
                <w:bCs/>
                <w:sz w:val="18"/>
                <w:szCs w:val="18"/>
                <w:lang w:eastAsia="en-GB"/>
              </w:rPr>
            </w:pPr>
            <w:r w:rsidRPr="00F22B72">
              <w:rPr>
                <w:rFonts w:cs="Arial"/>
                <w:bCs/>
                <w:sz w:val="18"/>
                <w:szCs w:val="18"/>
                <w:lang w:eastAsia="en-GB"/>
              </w:rPr>
              <w:t>in-service examination and</w:t>
            </w:r>
          </w:p>
          <w:p w14:paraId="573055A7" w14:textId="77777777" w:rsidR="0015225A" w:rsidRPr="00F22B72" w:rsidRDefault="0015225A" w:rsidP="00D07AFA">
            <w:pPr>
              <w:widowControl w:val="0"/>
              <w:tabs>
                <w:tab w:val="left" w:pos="720"/>
              </w:tabs>
              <w:spacing w:after="120"/>
              <w:rPr>
                <w:rFonts w:cs="Arial"/>
                <w:sz w:val="18"/>
                <w:szCs w:val="18"/>
              </w:rPr>
            </w:pPr>
            <w:r w:rsidRPr="00F22B72">
              <w:rPr>
                <w:rFonts w:cs="Arial"/>
                <w:bCs/>
                <w:sz w:val="18"/>
                <w:szCs w:val="18"/>
                <w:lang w:eastAsia="en-GB"/>
              </w:rPr>
              <w:t>testing</w:t>
            </w:r>
          </w:p>
        </w:tc>
        <w:tc>
          <w:tcPr>
            <w:tcW w:w="1418" w:type="dxa"/>
            <w:vAlign w:val="center"/>
          </w:tcPr>
          <w:p w14:paraId="573055A8" w14:textId="77777777" w:rsidR="0015225A" w:rsidRPr="00F22B72" w:rsidRDefault="0015225A" w:rsidP="00D07AFA">
            <w:pPr>
              <w:widowControl w:val="0"/>
              <w:tabs>
                <w:tab w:val="left" w:pos="720"/>
              </w:tabs>
              <w:rPr>
                <w:rFonts w:cs="Arial"/>
                <w:sz w:val="18"/>
                <w:szCs w:val="18"/>
              </w:rPr>
            </w:pPr>
            <w:r w:rsidRPr="00F22B72">
              <w:rPr>
                <w:rFonts w:cs="Arial"/>
                <w:sz w:val="18"/>
                <w:szCs w:val="18"/>
                <w:lang w:eastAsia="en-GB"/>
              </w:rPr>
              <w:t>Examination</w:t>
            </w:r>
          </w:p>
        </w:tc>
        <w:tc>
          <w:tcPr>
            <w:tcW w:w="1134" w:type="dxa"/>
            <w:vAlign w:val="center"/>
          </w:tcPr>
          <w:p w14:paraId="573055A9" w14:textId="77777777" w:rsidR="0015225A" w:rsidRPr="00F22B72" w:rsidRDefault="0015225A" w:rsidP="00D07AFA">
            <w:pPr>
              <w:widowControl w:val="0"/>
              <w:tabs>
                <w:tab w:val="left" w:pos="720"/>
              </w:tabs>
              <w:jc w:val="center"/>
              <w:rPr>
                <w:rFonts w:cs="Arial"/>
                <w:sz w:val="18"/>
                <w:szCs w:val="18"/>
              </w:rPr>
            </w:pPr>
            <w:r w:rsidRPr="00F22B72">
              <w:rPr>
                <w:rFonts w:cs="Arial"/>
                <w:sz w:val="18"/>
                <w:szCs w:val="18"/>
              </w:rPr>
              <w:t>EMC.27</w:t>
            </w:r>
          </w:p>
        </w:tc>
        <w:tc>
          <w:tcPr>
            <w:tcW w:w="6590" w:type="dxa"/>
            <w:vAlign w:val="center"/>
          </w:tcPr>
          <w:p w14:paraId="573055AA" w14:textId="77777777" w:rsidR="0015225A" w:rsidRPr="00F22B72" w:rsidRDefault="0015225A" w:rsidP="00D07AFA">
            <w:pPr>
              <w:widowControl w:val="0"/>
              <w:tabs>
                <w:tab w:val="left" w:pos="720"/>
              </w:tabs>
              <w:rPr>
                <w:rFonts w:cs="Arial"/>
                <w:sz w:val="18"/>
                <w:szCs w:val="18"/>
              </w:rPr>
            </w:pPr>
            <w:r w:rsidRPr="00F22B72">
              <w:rPr>
                <w:rFonts w:cs="Arial"/>
                <w:sz w:val="18"/>
                <w:szCs w:val="18"/>
              </w:rPr>
              <w:t>Provision should be made for examination that is capable of demonstrating with suitable reliability that the component or structure has been manufactured to an appropriate standard and will be fit for purpose at all times during future operations.</w:t>
            </w:r>
          </w:p>
        </w:tc>
      </w:tr>
      <w:tr w:rsidR="00CC121D" w:rsidRPr="00F22B72" w14:paraId="573055AE" w14:textId="77777777" w:rsidTr="0015225A">
        <w:trPr>
          <w:jc w:val="center"/>
        </w:trPr>
        <w:tc>
          <w:tcPr>
            <w:tcW w:w="10624" w:type="dxa"/>
            <w:gridSpan w:val="4"/>
            <w:vAlign w:val="center"/>
          </w:tcPr>
          <w:p w14:paraId="573055AD" w14:textId="77777777" w:rsidR="00D07AFA" w:rsidRPr="00F22B72" w:rsidRDefault="00D07AFA" w:rsidP="00D07AFA">
            <w:pPr>
              <w:widowControl w:val="0"/>
              <w:tabs>
                <w:tab w:val="left" w:pos="720"/>
              </w:tabs>
              <w:ind w:left="281"/>
              <w:rPr>
                <w:rFonts w:cs="Arial"/>
                <w:sz w:val="18"/>
                <w:szCs w:val="18"/>
              </w:rPr>
            </w:pPr>
            <w:r w:rsidRPr="00F22B72">
              <w:rPr>
                <w:rFonts w:cs="Arial"/>
                <w:b/>
                <w:sz w:val="18"/>
                <w:szCs w:val="18"/>
              </w:rPr>
              <w:t>EIMT / operational / ageing sites</w:t>
            </w:r>
          </w:p>
        </w:tc>
      </w:tr>
      <w:tr w:rsidR="0015225A" w:rsidRPr="00F22B72" w14:paraId="573055B4" w14:textId="77777777" w:rsidTr="0015225A">
        <w:trPr>
          <w:trHeight w:val="1100"/>
          <w:jc w:val="center"/>
        </w:trPr>
        <w:tc>
          <w:tcPr>
            <w:tcW w:w="1482" w:type="dxa"/>
            <w:vAlign w:val="center"/>
          </w:tcPr>
          <w:p w14:paraId="573055AF" w14:textId="77777777" w:rsidR="0015225A" w:rsidRPr="00F22B72" w:rsidRDefault="0015225A" w:rsidP="00D07AFA">
            <w:pPr>
              <w:widowControl w:val="0"/>
              <w:tabs>
                <w:tab w:val="left" w:pos="720"/>
              </w:tabs>
              <w:spacing w:after="120"/>
              <w:rPr>
                <w:rFonts w:cs="Arial"/>
                <w:sz w:val="18"/>
                <w:szCs w:val="18"/>
              </w:rPr>
            </w:pPr>
            <w:r w:rsidRPr="00F22B72">
              <w:rPr>
                <w:rFonts w:cs="Arial"/>
                <w:bCs/>
                <w:sz w:val="18"/>
                <w:szCs w:val="18"/>
                <w:lang w:eastAsia="en-GB"/>
              </w:rPr>
              <w:t>Operation</w:t>
            </w:r>
          </w:p>
        </w:tc>
        <w:tc>
          <w:tcPr>
            <w:tcW w:w="1418" w:type="dxa"/>
            <w:vAlign w:val="center"/>
          </w:tcPr>
          <w:p w14:paraId="573055B0" w14:textId="77777777" w:rsidR="0015225A" w:rsidRPr="00F22B72" w:rsidRDefault="0015225A" w:rsidP="00D07AFA">
            <w:pPr>
              <w:widowControl w:val="0"/>
              <w:tabs>
                <w:tab w:val="left" w:pos="720"/>
              </w:tabs>
              <w:rPr>
                <w:rFonts w:cs="Arial"/>
                <w:sz w:val="18"/>
                <w:szCs w:val="18"/>
              </w:rPr>
            </w:pPr>
            <w:r w:rsidRPr="00F22B72">
              <w:rPr>
                <w:rFonts w:cs="Arial"/>
                <w:sz w:val="18"/>
                <w:szCs w:val="18"/>
                <w:lang w:eastAsia="en-GB"/>
              </w:rPr>
              <w:t>Safe operating envelope</w:t>
            </w:r>
          </w:p>
        </w:tc>
        <w:tc>
          <w:tcPr>
            <w:tcW w:w="1134" w:type="dxa"/>
            <w:vAlign w:val="center"/>
          </w:tcPr>
          <w:p w14:paraId="573055B1" w14:textId="77777777" w:rsidR="0015225A" w:rsidRPr="00F22B72" w:rsidRDefault="0015225A" w:rsidP="00D07AFA">
            <w:pPr>
              <w:widowControl w:val="0"/>
              <w:tabs>
                <w:tab w:val="left" w:pos="720"/>
              </w:tabs>
              <w:jc w:val="center"/>
              <w:rPr>
                <w:rFonts w:cs="Arial"/>
                <w:sz w:val="18"/>
                <w:szCs w:val="18"/>
              </w:rPr>
            </w:pPr>
            <w:r w:rsidRPr="00F22B72">
              <w:rPr>
                <w:rFonts w:cs="Arial"/>
                <w:sz w:val="18"/>
                <w:szCs w:val="18"/>
              </w:rPr>
              <w:t>EMC.21</w:t>
            </w:r>
          </w:p>
        </w:tc>
        <w:tc>
          <w:tcPr>
            <w:tcW w:w="6590" w:type="dxa"/>
            <w:vAlign w:val="center"/>
          </w:tcPr>
          <w:p w14:paraId="573055B2" w14:textId="77777777" w:rsidR="0015225A" w:rsidRPr="00F22B72" w:rsidRDefault="0015225A" w:rsidP="00D07AFA">
            <w:pPr>
              <w:widowControl w:val="0"/>
              <w:tabs>
                <w:tab w:val="left" w:pos="720"/>
              </w:tabs>
              <w:rPr>
                <w:rFonts w:cs="Arial"/>
                <w:sz w:val="18"/>
                <w:szCs w:val="18"/>
              </w:rPr>
            </w:pPr>
            <w:r w:rsidRPr="00F22B72">
              <w:rPr>
                <w:rFonts w:cs="Arial"/>
                <w:sz w:val="18"/>
                <w:szCs w:val="18"/>
              </w:rPr>
              <w:t>Throughout their operating life, components and structures should be operated and controlled within defined limits and conditions (operating rules) derived from the safety case.</w:t>
            </w:r>
          </w:p>
        </w:tc>
      </w:tr>
      <w:tr w:rsidR="0015225A" w:rsidRPr="00F22B72" w14:paraId="573055BC" w14:textId="77777777" w:rsidTr="0015225A">
        <w:trPr>
          <w:trHeight w:val="527"/>
          <w:jc w:val="center"/>
        </w:trPr>
        <w:tc>
          <w:tcPr>
            <w:tcW w:w="1482" w:type="dxa"/>
            <w:vMerge w:val="restart"/>
            <w:vAlign w:val="center"/>
          </w:tcPr>
          <w:p w14:paraId="573055B5" w14:textId="77777777" w:rsidR="0015225A" w:rsidRPr="00F22B72" w:rsidRDefault="0015225A" w:rsidP="00D07AFA">
            <w:pPr>
              <w:autoSpaceDE w:val="0"/>
              <w:autoSpaceDN w:val="0"/>
              <w:adjustRightInd w:val="0"/>
              <w:rPr>
                <w:rFonts w:cs="Arial"/>
                <w:bCs/>
                <w:sz w:val="18"/>
                <w:szCs w:val="18"/>
                <w:lang w:eastAsia="en-GB"/>
              </w:rPr>
            </w:pPr>
            <w:r w:rsidRPr="00F22B72">
              <w:rPr>
                <w:rFonts w:cs="Arial"/>
                <w:bCs/>
                <w:sz w:val="18"/>
                <w:szCs w:val="18"/>
                <w:lang w:eastAsia="en-GB"/>
              </w:rPr>
              <w:t>Manufacturing, pre and</w:t>
            </w:r>
          </w:p>
          <w:p w14:paraId="573055B6" w14:textId="77777777" w:rsidR="0015225A" w:rsidRPr="00F22B72" w:rsidRDefault="0015225A" w:rsidP="00D07AFA">
            <w:pPr>
              <w:autoSpaceDE w:val="0"/>
              <w:autoSpaceDN w:val="0"/>
              <w:adjustRightInd w:val="0"/>
              <w:rPr>
                <w:rFonts w:cs="Arial"/>
                <w:bCs/>
                <w:sz w:val="18"/>
                <w:szCs w:val="18"/>
                <w:lang w:eastAsia="en-GB"/>
              </w:rPr>
            </w:pPr>
            <w:r w:rsidRPr="00F22B72">
              <w:rPr>
                <w:rFonts w:cs="Arial"/>
                <w:bCs/>
                <w:sz w:val="18"/>
                <w:szCs w:val="18"/>
                <w:lang w:eastAsia="en-GB"/>
              </w:rPr>
              <w:t>in-service examination and</w:t>
            </w:r>
          </w:p>
          <w:p w14:paraId="573055B7" w14:textId="77777777" w:rsidR="0015225A" w:rsidRPr="00F22B72" w:rsidRDefault="0015225A" w:rsidP="00D07AFA">
            <w:pPr>
              <w:widowControl w:val="0"/>
              <w:tabs>
                <w:tab w:val="left" w:pos="720"/>
              </w:tabs>
              <w:spacing w:after="120"/>
              <w:rPr>
                <w:rFonts w:cs="Arial"/>
                <w:sz w:val="18"/>
                <w:szCs w:val="18"/>
              </w:rPr>
            </w:pPr>
            <w:r w:rsidRPr="00F22B72">
              <w:rPr>
                <w:rFonts w:cs="Arial"/>
                <w:bCs/>
                <w:sz w:val="18"/>
                <w:szCs w:val="18"/>
                <w:lang w:eastAsia="en-GB"/>
              </w:rPr>
              <w:t>testing</w:t>
            </w:r>
          </w:p>
        </w:tc>
        <w:tc>
          <w:tcPr>
            <w:tcW w:w="1418" w:type="dxa"/>
            <w:vAlign w:val="center"/>
          </w:tcPr>
          <w:p w14:paraId="573055B8" w14:textId="77777777" w:rsidR="0015225A" w:rsidRPr="00F22B72" w:rsidRDefault="0015225A" w:rsidP="00D07AFA">
            <w:pPr>
              <w:widowControl w:val="0"/>
              <w:tabs>
                <w:tab w:val="left" w:pos="720"/>
              </w:tabs>
              <w:rPr>
                <w:rFonts w:cs="Arial"/>
                <w:sz w:val="18"/>
                <w:szCs w:val="18"/>
              </w:rPr>
            </w:pPr>
            <w:r w:rsidRPr="00F22B72">
              <w:rPr>
                <w:rFonts w:cs="Arial"/>
                <w:sz w:val="18"/>
                <w:szCs w:val="18"/>
                <w:lang w:eastAsia="en-GB"/>
              </w:rPr>
              <w:t>Examination</w:t>
            </w:r>
          </w:p>
        </w:tc>
        <w:tc>
          <w:tcPr>
            <w:tcW w:w="1134" w:type="dxa"/>
            <w:vAlign w:val="center"/>
          </w:tcPr>
          <w:p w14:paraId="573055B9" w14:textId="77777777" w:rsidR="0015225A" w:rsidRPr="00F22B72" w:rsidRDefault="0015225A" w:rsidP="00D07AFA">
            <w:pPr>
              <w:widowControl w:val="0"/>
              <w:tabs>
                <w:tab w:val="left" w:pos="720"/>
              </w:tabs>
              <w:jc w:val="center"/>
              <w:rPr>
                <w:rFonts w:cs="Arial"/>
                <w:sz w:val="18"/>
                <w:szCs w:val="18"/>
              </w:rPr>
            </w:pPr>
            <w:r w:rsidRPr="00F22B72">
              <w:rPr>
                <w:rFonts w:cs="Arial"/>
                <w:sz w:val="18"/>
                <w:szCs w:val="18"/>
              </w:rPr>
              <w:t>EMC.27</w:t>
            </w:r>
          </w:p>
        </w:tc>
        <w:tc>
          <w:tcPr>
            <w:tcW w:w="6590" w:type="dxa"/>
            <w:vAlign w:val="center"/>
          </w:tcPr>
          <w:p w14:paraId="573055BA" w14:textId="77777777" w:rsidR="0015225A" w:rsidRPr="00F22B72" w:rsidRDefault="0015225A" w:rsidP="00D07AFA">
            <w:pPr>
              <w:widowControl w:val="0"/>
              <w:tabs>
                <w:tab w:val="left" w:pos="720"/>
              </w:tabs>
              <w:rPr>
                <w:rFonts w:cs="Arial"/>
                <w:sz w:val="18"/>
                <w:szCs w:val="18"/>
              </w:rPr>
            </w:pPr>
            <w:r w:rsidRPr="00F22B72">
              <w:rPr>
                <w:rFonts w:cs="Arial"/>
                <w:sz w:val="18"/>
                <w:szCs w:val="18"/>
              </w:rPr>
              <w:t>Provision should be made for examination that is capable of demonstrating with suitable reliability that the component or structure has been manufactured to an appropriate standard and will be fit for purpose at all times during future operations.</w:t>
            </w:r>
          </w:p>
        </w:tc>
      </w:tr>
      <w:tr w:rsidR="0015225A" w:rsidRPr="00F22B72" w14:paraId="573055C2" w14:textId="77777777" w:rsidTr="0015225A">
        <w:trPr>
          <w:jc w:val="center"/>
        </w:trPr>
        <w:tc>
          <w:tcPr>
            <w:tcW w:w="1482" w:type="dxa"/>
            <w:vMerge/>
            <w:vAlign w:val="center"/>
          </w:tcPr>
          <w:p w14:paraId="573055BD" w14:textId="77777777" w:rsidR="0015225A" w:rsidRPr="00F22B72" w:rsidRDefault="0015225A" w:rsidP="00D07AFA">
            <w:pPr>
              <w:widowControl w:val="0"/>
              <w:tabs>
                <w:tab w:val="left" w:pos="720"/>
              </w:tabs>
              <w:spacing w:after="120"/>
              <w:rPr>
                <w:rFonts w:cs="Arial"/>
                <w:sz w:val="18"/>
                <w:szCs w:val="18"/>
              </w:rPr>
            </w:pPr>
          </w:p>
        </w:tc>
        <w:tc>
          <w:tcPr>
            <w:tcW w:w="1418" w:type="dxa"/>
            <w:vAlign w:val="center"/>
          </w:tcPr>
          <w:p w14:paraId="573055BE" w14:textId="77777777" w:rsidR="0015225A" w:rsidRPr="00F22B72" w:rsidRDefault="0015225A" w:rsidP="00D07AFA">
            <w:pPr>
              <w:widowControl w:val="0"/>
              <w:tabs>
                <w:tab w:val="left" w:pos="720"/>
              </w:tabs>
              <w:rPr>
                <w:rFonts w:cs="Arial"/>
                <w:sz w:val="18"/>
                <w:szCs w:val="18"/>
              </w:rPr>
            </w:pPr>
            <w:r w:rsidRPr="00F22B72">
              <w:rPr>
                <w:rFonts w:cs="Arial"/>
                <w:sz w:val="18"/>
                <w:szCs w:val="18"/>
                <w:lang w:eastAsia="en-GB"/>
              </w:rPr>
              <w:t>Redundancy and diversity</w:t>
            </w:r>
          </w:p>
        </w:tc>
        <w:tc>
          <w:tcPr>
            <w:tcW w:w="1134" w:type="dxa"/>
            <w:vAlign w:val="center"/>
          </w:tcPr>
          <w:p w14:paraId="573055BF" w14:textId="77777777" w:rsidR="0015225A" w:rsidRPr="00F22B72" w:rsidRDefault="0015225A" w:rsidP="00D07AFA">
            <w:pPr>
              <w:widowControl w:val="0"/>
              <w:tabs>
                <w:tab w:val="left" w:pos="720"/>
              </w:tabs>
              <w:jc w:val="center"/>
              <w:rPr>
                <w:rFonts w:cs="Arial"/>
                <w:sz w:val="18"/>
                <w:szCs w:val="18"/>
              </w:rPr>
            </w:pPr>
            <w:r w:rsidRPr="00F22B72">
              <w:rPr>
                <w:rFonts w:cs="Arial"/>
                <w:sz w:val="18"/>
                <w:szCs w:val="18"/>
              </w:rPr>
              <w:t>EMC.29</w:t>
            </w:r>
          </w:p>
        </w:tc>
        <w:tc>
          <w:tcPr>
            <w:tcW w:w="6590" w:type="dxa"/>
            <w:vAlign w:val="center"/>
          </w:tcPr>
          <w:p w14:paraId="573055C0" w14:textId="77777777" w:rsidR="0015225A" w:rsidRPr="00F22B72" w:rsidRDefault="0015225A" w:rsidP="00D07AFA">
            <w:pPr>
              <w:widowControl w:val="0"/>
              <w:tabs>
                <w:tab w:val="left" w:pos="720"/>
              </w:tabs>
              <w:rPr>
                <w:rFonts w:cs="Arial"/>
                <w:sz w:val="18"/>
                <w:szCs w:val="18"/>
              </w:rPr>
            </w:pPr>
            <w:r w:rsidRPr="00F22B72">
              <w:rPr>
                <w:rFonts w:cs="Arial"/>
                <w:sz w:val="18"/>
                <w:szCs w:val="18"/>
              </w:rPr>
              <w:t>Methods of examination of components and structures should be sufficiently redundant and diverse.</w:t>
            </w:r>
          </w:p>
        </w:tc>
      </w:tr>
      <w:tr w:rsidR="0015225A" w:rsidRPr="00F22B72" w14:paraId="573055C8" w14:textId="77777777" w:rsidTr="0015225A">
        <w:trPr>
          <w:jc w:val="center"/>
        </w:trPr>
        <w:tc>
          <w:tcPr>
            <w:tcW w:w="1482" w:type="dxa"/>
            <w:vMerge/>
            <w:vAlign w:val="center"/>
          </w:tcPr>
          <w:p w14:paraId="573055C3" w14:textId="77777777" w:rsidR="0015225A" w:rsidRPr="00F22B72" w:rsidRDefault="0015225A" w:rsidP="00D07AFA">
            <w:pPr>
              <w:widowControl w:val="0"/>
              <w:tabs>
                <w:tab w:val="left" w:pos="720"/>
              </w:tabs>
              <w:spacing w:after="120"/>
              <w:rPr>
                <w:rFonts w:cs="Arial"/>
                <w:sz w:val="18"/>
                <w:szCs w:val="18"/>
              </w:rPr>
            </w:pPr>
          </w:p>
        </w:tc>
        <w:tc>
          <w:tcPr>
            <w:tcW w:w="1418" w:type="dxa"/>
            <w:vAlign w:val="center"/>
          </w:tcPr>
          <w:p w14:paraId="573055C4" w14:textId="77777777" w:rsidR="0015225A" w:rsidRPr="00F22B72" w:rsidRDefault="0015225A" w:rsidP="00D07AFA">
            <w:pPr>
              <w:widowControl w:val="0"/>
              <w:tabs>
                <w:tab w:val="left" w:pos="720"/>
              </w:tabs>
              <w:rPr>
                <w:rFonts w:cs="Arial"/>
                <w:sz w:val="18"/>
                <w:szCs w:val="18"/>
              </w:rPr>
            </w:pPr>
            <w:r w:rsidRPr="00F22B72">
              <w:rPr>
                <w:rFonts w:cs="Arial"/>
                <w:sz w:val="18"/>
                <w:szCs w:val="18"/>
                <w:lang w:eastAsia="en-GB"/>
              </w:rPr>
              <w:t>Qualification</w:t>
            </w:r>
          </w:p>
        </w:tc>
        <w:tc>
          <w:tcPr>
            <w:tcW w:w="1134" w:type="dxa"/>
            <w:vAlign w:val="center"/>
          </w:tcPr>
          <w:p w14:paraId="573055C5" w14:textId="77777777" w:rsidR="0015225A" w:rsidRPr="00F22B72" w:rsidRDefault="0015225A" w:rsidP="00D07AFA">
            <w:pPr>
              <w:widowControl w:val="0"/>
              <w:tabs>
                <w:tab w:val="left" w:pos="720"/>
              </w:tabs>
              <w:jc w:val="center"/>
              <w:rPr>
                <w:rFonts w:cs="Arial"/>
                <w:sz w:val="18"/>
                <w:szCs w:val="18"/>
              </w:rPr>
            </w:pPr>
            <w:r w:rsidRPr="00F22B72">
              <w:rPr>
                <w:rFonts w:cs="Arial"/>
                <w:sz w:val="18"/>
                <w:szCs w:val="18"/>
              </w:rPr>
              <w:t>EMC.30</w:t>
            </w:r>
          </w:p>
        </w:tc>
        <w:tc>
          <w:tcPr>
            <w:tcW w:w="6590" w:type="dxa"/>
            <w:vAlign w:val="center"/>
          </w:tcPr>
          <w:p w14:paraId="573055C6" w14:textId="77777777" w:rsidR="0015225A" w:rsidRPr="00F22B72" w:rsidRDefault="0015225A" w:rsidP="00D07AFA">
            <w:pPr>
              <w:widowControl w:val="0"/>
              <w:tabs>
                <w:tab w:val="left" w:pos="720"/>
              </w:tabs>
              <w:rPr>
                <w:rFonts w:cs="Arial"/>
                <w:sz w:val="18"/>
                <w:szCs w:val="18"/>
              </w:rPr>
            </w:pPr>
            <w:r w:rsidRPr="00F22B72">
              <w:rPr>
                <w:rFonts w:cs="Arial"/>
                <w:sz w:val="18"/>
                <w:szCs w:val="18"/>
              </w:rPr>
              <w:t>Personnel, equipment and procedures should be qualified to an extent consistent with the overall safety case and the contribution of examination to structural  integrity aspects of the safety case.</w:t>
            </w:r>
          </w:p>
        </w:tc>
      </w:tr>
    </w:tbl>
    <w:p w14:paraId="573055C9" w14:textId="77777777" w:rsidR="00D07AFA" w:rsidRPr="00CC121D" w:rsidRDefault="00D07AFA" w:rsidP="00D07AFA">
      <w:pPr>
        <w:rPr>
          <w:rFonts w:ascii="Calibri" w:hAnsi="Calibri"/>
          <w:b/>
          <w:bCs/>
          <w:szCs w:val="22"/>
        </w:rPr>
      </w:pPr>
    </w:p>
    <w:p w14:paraId="573055CA" w14:textId="77777777" w:rsidR="00D07AFA" w:rsidRPr="00CC121D" w:rsidRDefault="00D07AFA" w:rsidP="00D07AFA">
      <w:pPr>
        <w:rPr>
          <w:rFonts w:ascii="Calibri" w:hAnsi="Calibri"/>
          <w:b/>
          <w:bCs/>
          <w:szCs w:val="22"/>
        </w:rPr>
      </w:pPr>
      <w:r w:rsidRPr="00CC121D">
        <w:rPr>
          <w:rFonts w:ascii="Calibri" w:hAnsi="Calibri"/>
          <w:b/>
          <w:bCs/>
          <w:szCs w:val="22"/>
        </w:rPr>
        <w:br w:type="page"/>
      </w:r>
    </w:p>
    <w:p w14:paraId="573055CB" w14:textId="77777777" w:rsidR="00D07AFA" w:rsidRPr="00CC121D" w:rsidRDefault="00D07AFA" w:rsidP="00D07AFA">
      <w:pPr>
        <w:rPr>
          <w:rFonts w:ascii="Calibri" w:hAnsi="Calibri"/>
          <w:b/>
          <w:bCs/>
          <w:szCs w:val="22"/>
          <w:lang w:eastAsia="en-GB"/>
        </w:rPr>
      </w:pPr>
    </w:p>
    <w:p w14:paraId="573055CC" w14:textId="61286D1B" w:rsidR="00D07AFA" w:rsidRPr="00CC121D" w:rsidRDefault="00D07AFA" w:rsidP="00D07AFA">
      <w:pPr>
        <w:pStyle w:val="TSHeadingNumbered11"/>
      </w:pPr>
      <w:r w:rsidRPr="00CC121D">
        <w:t> </w:t>
      </w:r>
      <w:bookmarkStart w:id="97" w:name="_Toc57912713"/>
      <w:r w:rsidRPr="00CC121D">
        <w:t xml:space="preserve">APPENDIX C: </w:t>
      </w:r>
      <w:r w:rsidRPr="00CC121D">
        <w:rPr>
          <w:bCs/>
          <w:szCs w:val="22"/>
          <w:lang w:eastAsia="en-GB"/>
        </w:rPr>
        <w:t>LIST OF LICENCE CONDITIONS RELEVANT TO CIVIL ENGINEERING</w:t>
      </w:r>
      <w:bookmarkEnd w:id="97"/>
    </w:p>
    <w:tbl>
      <w:tblPr>
        <w:tblStyle w:val="TableGrid"/>
        <w:tblW w:w="9686" w:type="dxa"/>
        <w:jc w:val="center"/>
        <w:tblBorders>
          <w:top w:val="double" w:sz="4" w:space="0" w:color="8DB3E2"/>
          <w:left w:val="double" w:sz="4" w:space="0" w:color="8DB3E2"/>
          <w:bottom w:val="double" w:sz="4" w:space="0" w:color="8DB3E2"/>
          <w:right w:val="double" w:sz="4" w:space="0" w:color="8DB3E2"/>
          <w:insideH w:val="double" w:sz="4" w:space="0" w:color="8DB3E2"/>
          <w:insideV w:val="double" w:sz="4" w:space="0" w:color="8DB3E2"/>
        </w:tblBorders>
        <w:tblLook w:val="04A0" w:firstRow="1" w:lastRow="0" w:firstColumn="1" w:lastColumn="0" w:noHBand="0" w:noVBand="1"/>
      </w:tblPr>
      <w:tblGrid>
        <w:gridCol w:w="4521"/>
        <w:gridCol w:w="5165"/>
      </w:tblGrid>
      <w:tr w:rsidR="00CC121D" w:rsidRPr="00CC121D" w14:paraId="573055CF" w14:textId="77777777" w:rsidTr="00AA1B3C">
        <w:trPr>
          <w:jc w:val="center"/>
        </w:trPr>
        <w:tc>
          <w:tcPr>
            <w:tcW w:w="4521" w:type="dxa"/>
            <w:tcBorders>
              <w:top w:val="double" w:sz="4" w:space="0" w:color="8DB3E2"/>
              <w:left w:val="double" w:sz="4" w:space="0" w:color="8DB3E2"/>
              <w:bottom w:val="double" w:sz="4" w:space="0" w:color="8DB3E2"/>
              <w:right w:val="double" w:sz="4" w:space="0" w:color="8DB3E2"/>
            </w:tcBorders>
            <w:shd w:val="clear" w:color="auto" w:fill="C6D9F1"/>
            <w:hideMark/>
          </w:tcPr>
          <w:p w14:paraId="573055CD" w14:textId="77777777" w:rsidR="00D07AFA" w:rsidRPr="00AA1B3C" w:rsidRDefault="00D07AFA" w:rsidP="00D07AFA">
            <w:pPr>
              <w:spacing w:before="80"/>
              <w:ind w:left="76"/>
              <w:rPr>
                <w:b/>
                <w:sz w:val="18"/>
                <w:szCs w:val="18"/>
              </w:rPr>
            </w:pPr>
            <w:r w:rsidRPr="00AA1B3C">
              <w:rPr>
                <w:b/>
                <w:sz w:val="18"/>
                <w:szCs w:val="18"/>
              </w:rPr>
              <w:t xml:space="preserve">Licence Conditions </w:t>
            </w:r>
          </w:p>
        </w:tc>
        <w:tc>
          <w:tcPr>
            <w:tcW w:w="5165" w:type="dxa"/>
            <w:tcBorders>
              <w:top w:val="double" w:sz="4" w:space="0" w:color="8DB3E2"/>
              <w:left w:val="double" w:sz="4" w:space="0" w:color="8DB3E2"/>
              <w:bottom w:val="double" w:sz="4" w:space="0" w:color="8DB3E2"/>
              <w:right w:val="double" w:sz="4" w:space="0" w:color="8DB3E2"/>
            </w:tcBorders>
            <w:shd w:val="clear" w:color="auto" w:fill="C6D9F1"/>
          </w:tcPr>
          <w:p w14:paraId="573055CE" w14:textId="77777777" w:rsidR="00D07AFA" w:rsidRPr="00AA1B3C" w:rsidRDefault="00D07AFA" w:rsidP="00D07AFA">
            <w:pPr>
              <w:spacing w:before="80"/>
              <w:rPr>
                <w:b/>
                <w:sz w:val="18"/>
                <w:szCs w:val="18"/>
              </w:rPr>
            </w:pPr>
            <w:bookmarkStart w:id="98" w:name="_Toc473126430"/>
            <w:bookmarkStart w:id="99" w:name="_Toc473128050"/>
            <w:r w:rsidRPr="00AA1B3C">
              <w:rPr>
                <w:b/>
                <w:sz w:val="18"/>
                <w:szCs w:val="18"/>
              </w:rPr>
              <w:t xml:space="preserve">Technical issues relevant to </w:t>
            </w:r>
            <w:bookmarkEnd w:id="98"/>
            <w:bookmarkEnd w:id="99"/>
            <w:r w:rsidRPr="00AA1B3C">
              <w:rPr>
                <w:b/>
                <w:sz w:val="18"/>
                <w:szCs w:val="18"/>
              </w:rPr>
              <w:t>Civil Engineering</w:t>
            </w:r>
          </w:p>
        </w:tc>
      </w:tr>
      <w:tr w:rsidR="00CC121D" w:rsidRPr="00CC121D" w14:paraId="573055D1" w14:textId="77777777" w:rsidTr="00CC121D">
        <w:trPr>
          <w:trHeight w:val="242"/>
          <w:jc w:val="center"/>
        </w:trPr>
        <w:tc>
          <w:tcPr>
            <w:tcW w:w="9686" w:type="dxa"/>
            <w:gridSpan w:val="2"/>
            <w:tcBorders>
              <w:top w:val="double" w:sz="4" w:space="0" w:color="8DB3E2"/>
              <w:left w:val="double" w:sz="4" w:space="0" w:color="8DB3E2"/>
              <w:bottom w:val="double" w:sz="4" w:space="0" w:color="8DB3E2"/>
              <w:right w:val="double" w:sz="4" w:space="0" w:color="8DB3E2"/>
            </w:tcBorders>
          </w:tcPr>
          <w:p w14:paraId="573055D0" w14:textId="77777777" w:rsidR="00D07AFA" w:rsidRPr="00AA1B3C" w:rsidRDefault="00D07AFA" w:rsidP="00D07AFA">
            <w:pPr>
              <w:spacing w:before="80"/>
              <w:rPr>
                <w:sz w:val="18"/>
                <w:szCs w:val="18"/>
              </w:rPr>
            </w:pPr>
            <w:r w:rsidRPr="00AA1B3C">
              <w:rPr>
                <w:sz w:val="18"/>
                <w:szCs w:val="18"/>
              </w:rPr>
              <w:t>Licence Condition 6: Documents, Records, Authorities and Certificates</w:t>
            </w:r>
          </w:p>
        </w:tc>
      </w:tr>
      <w:tr w:rsidR="00CC121D" w:rsidRPr="00CC121D" w14:paraId="573055D4" w14:textId="77777777" w:rsidTr="00AA1B3C">
        <w:trPr>
          <w:trHeight w:val="577"/>
          <w:jc w:val="center"/>
        </w:trPr>
        <w:tc>
          <w:tcPr>
            <w:tcW w:w="4521" w:type="dxa"/>
            <w:tcBorders>
              <w:top w:val="double" w:sz="4" w:space="0" w:color="8DB3E2"/>
              <w:left w:val="double" w:sz="4" w:space="0" w:color="8DB3E2"/>
              <w:bottom w:val="double" w:sz="4" w:space="0" w:color="8DB3E2"/>
              <w:right w:val="double" w:sz="4" w:space="0" w:color="8DB3E2"/>
            </w:tcBorders>
          </w:tcPr>
          <w:p w14:paraId="573055D2" w14:textId="77777777" w:rsidR="00D07AFA" w:rsidRPr="00AA1B3C" w:rsidRDefault="00D07AFA" w:rsidP="00D07AFA">
            <w:pPr>
              <w:spacing w:before="80"/>
              <w:rPr>
                <w:sz w:val="18"/>
                <w:szCs w:val="18"/>
              </w:rPr>
            </w:pPr>
            <w:r w:rsidRPr="00AA1B3C">
              <w:rPr>
                <w:rFonts w:cs="HelveticaNeueLT Std"/>
                <w:sz w:val="18"/>
                <w:szCs w:val="18"/>
              </w:rPr>
              <w:t>The licensee shall make adequate records to demonstrate compliance with any of the conditions attached to this licence.</w:t>
            </w:r>
          </w:p>
        </w:tc>
        <w:tc>
          <w:tcPr>
            <w:tcW w:w="5165" w:type="dxa"/>
            <w:tcBorders>
              <w:top w:val="double" w:sz="4" w:space="0" w:color="8DB3E2"/>
              <w:left w:val="double" w:sz="4" w:space="0" w:color="8DB3E2"/>
              <w:bottom w:val="double" w:sz="4" w:space="0" w:color="8DB3E2"/>
              <w:right w:val="double" w:sz="4" w:space="0" w:color="8DB3E2"/>
            </w:tcBorders>
          </w:tcPr>
          <w:p w14:paraId="573055D3" w14:textId="77777777" w:rsidR="00D07AFA" w:rsidRPr="00AA1B3C" w:rsidRDefault="00D07AFA" w:rsidP="00D07AFA">
            <w:pPr>
              <w:spacing w:before="80"/>
              <w:rPr>
                <w:rFonts w:cs="HelveticaNeueLT Std"/>
                <w:sz w:val="18"/>
                <w:szCs w:val="18"/>
              </w:rPr>
            </w:pPr>
            <w:r w:rsidRPr="00AA1B3C">
              <w:rPr>
                <w:rFonts w:cs="HelveticaNeueLT Std"/>
                <w:sz w:val="18"/>
                <w:szCs w:val="18"/>
              </w:rPr>
              <w:t>Design, construction, modification or EIMT records to show how decisions made related to design intention, implementation and change are executed</w:t>
            </w:r>
            <w:r w:rsidR="004357EC" w:rsidRPr="00AA1B3C">
              <w:rPr>
                <w:rFonts w:cs="HelveticaNeueLT Std"/>
                <w:sz w:val="18"/>
                <w:szCs w:val="18"/>
              </w:rPr>
              <w:t>.</w:t>
            </w:r>
          </w:p>
        </w:tc>
      </w:tr>
      <w:tr w:rsidR="00392BDE" w:rsidRPr="00CC121D" w14:paraId="246CA2DE" w14:textId="77777777" w:rsidTr="002D6023">
        <w:trPr>
          <w:trHeight w:val="577"/>
          <w:jc w:val="center"/>
        </w:trPr>
        <w:tc>
          <w:tcPr>
            <w:tcW w:w="9686" w:type="dxa"/>
            <w:gridSpan w:val="2"/>
            <w:tcBorders>
              <w:top w:val="double" w:sz="4" w:space="0" w:color="8DB3E2"/>
              <w:left w:val="double" w:sz="4" w:space="0" w:color="8DB3E2"/>
              <w:bottom w:val="double" w:sz="4" w:space="0" w:color="8DB3E2"/>
              <w:right w:val="double" w:sz="4" w:space="0" w:color="8DB3E2"/>
            </w:tcBorders>
          </w:tcPr>
          <w:p w14:paraId="1210AA94" w14:textId="7F402333" w:rsidR="00392BDE" w:rsidRPr="00AA1B3C" w:rsidRDefault="00392BDE" w:rsidP="00D07AFA">
            <w:pPr>
              <w:spacing w:before="80"/>
              <w:rPr>
                <w:rFonts w:cs="HelveticaNeueLT Std"/>
                <w:sz w:val="18"/>
                <w:szCs w:val="18"/>
              </w:rPr>
            </w:pPr>
            <w:r w:rsidRPr="00AA1B3C">
              <w:rPr>
                <w:sz w:val="18"/>
                <w:szCs w:val="18"/>
              </w:rPr>
              <w:t>Licence Condition 7</w:t>
            </w:r>
            <w:r w:rsidR="009B6A2A" w:rsidRPr="00AA1B3C">
              <w:rPr>
                <w:sz w:val="18"/>
                <w:szCs w:val="18"/>
              </w:rPr>
              <w:t>: Incidents on the Site</w:t>
            </w:r>
          </w:p>
        </w:tc>
      </w:tr>
      <w:tr w:rsidR="00392BDE" w:rsidRPr="00CC121D" w14:paraId="4F714ACC" w14:textId="77777777" w:rsidTr="00AA1B3C">
        <w:trPr>
          <w:trHeight w:val="577"/>
          <w:jc w:val="center"/>
        </w:trPr>
        <w:tc>
          <w:tcPr>
            <w:tcW w:w="4521" w:type="dxa"/>
            <w:tcBorders>
              <w:top w:val="double" w:sz="4" w:space="0" w:color="8DB3E2"/>
              <w:left w:val="double" w:sz="4" w:space="0" w:color="8DB3E2"/>
              <w:bottom w:val="double" w:sz="4" w:space="0" w:color="8DB3E2"/>
              <w:right w:val="double" w:sz="4" w:space="0" w:color="8DB3E2"/>
            </w:tcBorders>
          </w:tcPr>
          <w:p w14:paraId="76B0F3D7" w14:textId="6EA16010" w:rsidR="00392BDE" w:rsidRPr="00AA1B3C" w:rsidRDefault="00DF1421" w:rsidP="00D07AFA">
            <w:pPr>
              <w:spacing w:before="80"/>
              <w:rPr>
                <w:rFonts w:cs="HelveticaNeueLT Std"/>
                <w:sz w:val="18"/>
                <w:szCs w:val="18"/>
              </w:rPr>
            </w:pPr>
            <w:r w:rsidRPr="00AA1B3C">
              <w:rPr>
                <w:sz w:val="18"/>
                <w:szCs w:val="18"/>
              </w:rPr>
              <w:t>The licensee shall make and implement adequate arrangements for the notification, recording, investigation and reporting of such incidents occurring on the site</w:t>
            </w:r>
          </w:p>
        </w:tc>
        <w:tc>
          <w:tcPr>
            <w:tcW w:w="5165" w:type="dxa"/>
            <w:tcBorders>
              <w:top w:val="double" w:sz="4" w:space="0" w:color="8DB3E2"/>
              <w:left w:val="double" w:sz="4" w:space="0" w:color="8DB3E2"/>
              <w:bottom w:val="double" w:sz="4" w:space="0" w:color="8DB3E2"/>
              <w:right w:val="double" w:sz="4" w:space="0" w:color="8DB3E2"/>
            </w:tcBorders>
          </w:tcPr>
          <w:p w14:paraId="7D876D19" w14:textId="05ED3736" w:rsidR="00392BDE" w:rsidRPr="00AA1B3C" w:rsidRDefault="00DF1421" w:rsidP="00D07AFA">
            <w:pPr>
              <w:spacing w:before="80"/>
              <w:rPr>
                <w:rFonts w:cs="HelveticaNeueLT Std"/>
                <w:sz w:val="18"/>
                <w:szCs w:val="18"/>
              </w:rPr>
            </w:pPr>
            <w:r w:rsidRPr="00AA1B3C">
              <w:rPr>
                <w:rFonts w:cs="HelveticaNeueLT Std"/>
                <w:sz w:val="18"/>
                <w:szCs w:val="18"/>
              </w:rPr>
              <w:t xml:space="preserve">The use of structures as part of the emergency arrangements or response on site, including vehicle garages, muster points or control rooms, on and off the site, and the </w:t>
            </w:r>
            <w:r w:rsidR="004C660E" w:rsidRPr="00AA1B3C">
              <w:rPr>
                <w:rFonts w:cs="HelveticaNeueLT Std"/>
                <w:sz w:val="18"/>
                <w:szCs w:val="18"/>
              </w:rPr>
              <w:t>offsite infrastructure that offsite services are reliant on.</w:t>
            </w:r>
          </w:p>
        </w:tc>
      </w:tr>
      <w:tr w:rsidR="00CC121D" w:rsidRPr="00CC121D" w14:paraId="573055D6" w14:textId="77777777" w:rsidTr="00CC121D">
        <w:trPr>
          <w:trHeight w:val="378"/>
          <w:jc w:val="center"/>
        </w:trPr>
        <w:tc>
          <w:tcPr>
            <w:tcW w:w="9686" w:type="dxa"/>
            <w:gridSpan w:val="2"/>
            <w:tcBorders>
              <w:top w:val="double" w:sz="4" w:space="0" w:color="8DB3E2"/>
              <w:left w:val="double" w:sz="4" w:space="0" w:color="8DB3E2"/>
              <w:bottom w:val="double" w:sz="4" w:space="0" w:color="8DB3E2"/>
              <w:right w:val="double" w:sz="4" w:space="0" w:color="8DB3E2"/>
            </w:tcBorders>
          </w:tcPr>
          <w:p w14:paraId="573055D5" w14:textId="77777777" w:rsidR="00D07AFA" w:rsidRPr="00AA1B3C" w:rsidRDefault="00D07AFA" w:rsidP="00D07AFA">
            <w:pPr>
              <w:spacing w:before="80"/>
              <w:rPr>
                <w:rFonts w:cs="HelveticaNeueLT Std"/>
                <w:sz w:val="18"/>
                <w:szCs w:val="18"/>
              </w:rPr>
            </w:pPr>
            <w:r w:rsidRPr="00AA1B3C">
              <w:rPr>
                <w:sz w:val="18"/>
                <w:szCs w:val="18"/>
              </w:rPr>
              <w:t xml:space="preserve">Licence Condition </w:t>
            </w:r>
            <w:r w:rsidRPr="00AA1B3C">
              <w:rPr>
                <w:rFonts w:cs="HelveticaNeueLT Std"/>
                <w:sz w:val="18"/>
                <w:szCs w:val="18"/>
              </w:rPr>
              <w:t>10: Training</w:t>
            </w:r>
          </w:p>
        </w:tc>
      </w:tr>
      <w:tr w:rsidR="00CC121D" w:rsidRPr="00CC121D" w14:paraId="573055DB" w14:textId="77777777" w:rsidTr="00AA1B3C">
        <w:trPr>
          <w:trHeight w:val="577"/>
          <w:jc w:val="center"/>
        </w:trPr>
        <w:tc>
          <w:tcPr>
            <w:tcW w:w="4521" w:type="dxa"/>
            <w:tcBorders>
              <w:top w:val="double" w:sz="4" w:space="0" w:color="8DB3E2"/>
              <w:left w:val="double" w:sz="4" w:space="0" w:color="8DB3E2"/>
              <w:bottom w:val="double" w:sz="4" w:space="0" w:color="8DB3E2"/>
              <w:right w:val="double" w:sz="4" w:space="0" w:color="8DB3E2"/>
            </w:tcBorders>
          </w:tcPr>
          <w:p w14:paraId="573055D7" w14:textId="77777777" w:rsidR="00D07AFA" w:rsidRPr="00AA1B3C" w:rsidRDefault="00D07AFA" w:rsidP="00D07AFA">
            <w:pPr>
              <w:spacing w:before="80"/>
              <w:rPr>
                <w:rFonts w:cs="HelveticaNeueLT Std"/>
                <w:sz w:val="18"/>
                <w:szCs w:val="18"/>
              </w:rPr>
            </w:pPr>
            <w:r w:rsidRPr="00AA1B3C">
              <w:rPr>
                <w:rFonts w:cs="HelveticaNeueLT Std"/>
                <w:sz w:val="18"/>
                <w:szCs w:val="18"/>
              </w:rPr>
              <w:t xml:space="preserve">The licensee shall make and implement adequate arrangements for suitable training for all those on site that have responsibility for any operations which may affect safety. </w:t>
            </w:r>
          </w:p>
          <w:p w14:paraId="573055D8" w14:textId="77777777" w:rsidR="00D07AFA" w:rsidRPr="00AA1B3C" w:rsidRDefault="00D07AFA" w:rsidP="00D07AFA">
            <w:pPr>
              <w:spacing w:before="80"/>
              <w:rPr>
                <w:rFonts w:cs="HelveticaNeueLT Std"/>
                <w:sz w:val="18"/>
                <w:szCs w:val="18"/>
              </w:rPr>
            </w:pPr>
            <w:r w:rsidRPr="00AA1B3C">
              <w:rPr>
                <w:rFonts w:cs="HelveticaNeueLT Std"/>
                <w:sz w:val="18"/>
                <w:szCs w:val="18"/>
              </w:rPr>
              <w:t xml:space="preserve">The licensee shall submit to ONR for </w:t>
            </w:r>
            <w:r w:rsidRPr="00AA1B3C">
              <w:rPr>
                <w:sz w:val="18"/>
                <w:szCs w:val="18"/>
              </w:rPr>
              <w:t xml:space="preserve">approval </w:t>
            </w:r>
            <w:r w:rsidRPr="00AA1B3C">
              <w:rPr>
                <w:rFonts w:cs="HelveticaNeueLT Std"/>
                <w:sz w:val="18"/>
                <w:szCs w:val="18"/>
              </w:rPr>
              <w:t xml:space="preserve">such part or parts of the aforesaid arrangements as ONR may </w:t>
            </w:r>
            <w:r w:rsidRPr="00AA1B3C">
              <w:rPr>
                <w:sz w:val="18"/>
                <w:szCs w:val="18"/>
              </w:rPr>
              <w:t>specify</w:t>
            </w:r>
            <w:r w:rsidRPr="00AA1B3C">
              <w:rPr>
                <w:rFonts w:cs="HelveticaNeueLT Std"/>
                <w:sz w:val="18"/>
                <w:szCs w:val="18"/>
              </w:rPr>
              <w:t xml:space="preserve">. </w:t>
            </w:r>
          </w:p>
          <w:p w14:paraId="573055D9" w14:textId="77777777" w:rsidR="00D07AFA" w:rsidRPr="00AA1B3C" w:rsidRDefault="00D07AFA" w:rsidP="00D07AFA">
            <w:pPr>
              <w:spacing w:before="80"/>
              <w:rPr>
                <w:rFonts w:cs="HelveticaNeueLT Std"/>
                <w:sz w:val="18"/>
                <w:szCs w:val="18"/>
              </w:rPr>
            </w:pPr>
            <w:r w:rsidRPr="00AA1B3C">
              <w:rPr>
                <w:rFonts w:cs="HelveticaNeueLT Std"/>
                <w:sz w:val="18"/>
                <w:szCs w:val="18"/>
              </w:rPr>
              <w:t xml:space="preserve">The licensee shall ensure that once approved no alteration or amendment is made to the approved arrangements unless ONR has </w:t>
            </w:r>
            <w:r w:rsidRPr="00AA1B3C">
              <w:rPr>
                <w:sz w:val="18"/>
                <w:szCs w:val="18"/>
              </w:rPr>
              <w:t xml:space="preserve">approved </w:t>
            </w:r>
            <w:r w:rsidRPr="00AA1B3C">
              <w:rPr>
                <w:rFonts w:cs="HelveticaNeueLT Std"/>
                <w:sz w:val="18"/>
                <w:szCs w:val="18"/>
              </w:rPr>
              <w:t>such alteration or amendment.</w:t>
            </w:r>
          </w:p>
        </w:tc>
        <w:tc>
          <w:tcPr>
            <w:tcW w:w="5165" w:type="dxa"/>
            <w:tcBorders>
              <w:top w:val="double" w:sz="4" w:space="0" w:color="8DB3E2"/>
              <w:left w:val="double" w:sz="4" w:space="0" w:color="8DB3E2"/>
              <w:bottom w:val="double" w:sz="4" w:space="0" w:color="8DB3E2"/>
              <w:right w:val="double" w:sz="4" w:space="0" w:color="8DB3E2"/>
            </w:tcBorders>
          </w:tcPr>
          <w:p w14:paraId="573055DA" w14:textId="5A94CEF3" w:rsidR="00D07AFA" w:rsidRPr="00AA1B3C" w:rsidRDefault="00D07AFA" w:rsidP="00BF62E6">
            <w:pPr>
              <w:spacing w:before="80"/>
              <w:rPr>
                <w:rFonts w:cs="HelveticaNeueLT Std"/>
                <w:sz w:val="18"/>
                <w:szCs w:val="18"/>
              </w:rPr>
            </w:pPr>
            <w:r w:rsidRPr="00AA1B3C">
              <w:rPr>
                <w:rFonts w:cs="HelveticaNeueLT Std"/>
                <w:sz w:val="18"/>
                <w:szCs w:val="18"/>
              </w:rPr>
              <w:t xml:space="preserve">Training and competence of </w:t>
            </w:r>
            <w:proofErr w:type="spellStart"/>
            <w:r w:rsidRPr="00AA1B3C">
              <w:rPr>
                <w:rFonts w:cs="HelveticaNeueLT Std"/>
                <w:sz w:val="18"/>
                <w:szCs w:val="18"/>
              </w:rPr>
              <w:t>dutyholders</w:t>
            </w:r>
            <w:proofErr w:type="spellEnd"/>
            <w:r w:rsidRPr="00AA1B3C">
              <w:rPr>
                <w:rFonts w:cs="HelveticaNeueLT Std"/>
                <w:sz w:val="18"/>
                <w:szCs w:val="18"/>
              </w:rPr>
              <w:t xml:space="preserve">, their contractors and those within the supply chain are required to be SQEP – suitably qualified and experienced personnel. </w:t>
            </w:r>
            <w:r w:rsidR="00BF62E6" w:rsidRPr="00AA1B3C">
              <w:rPr>
                <w:rFonts w:cs="HelveticaNeueLT Std"/>
                <w:sz w:val="18"/>
                <w:szCs w:val="18"/>
              </w:rPr>
              <w:t xml:space="preserve">The Inspector should consider </w:t>
            </w:r>
            <w:r w:rsidRPr="00AA1B3C">
              <w:rPr>
                <w:rFonts w:cs="HelveticaNeueLT Std"/>
                <w:sz w:val="18"/>
                <w:szCs w:val="18"/>
              </w:rPr>
              <w:t xml:space="preserve">training </w:t>
            </w:r>
            <w:r w:rsidR="00BF62E6" w:rsidRPr="00AA1B3C">
              <w:rPr>
                <w:rFonts w:cs="HelveticaNeueLT Std"/>
                <w:sz w:val="18"/>
                <w:szCs w:val="18"/>
              </w:rPr>
              <w:t xml:space="preserve">and competence of those who hold </w:t>
            </w:r>
            <w:r w:rsidRPr="00AA1B3C">
              <w:rPr>
                <w:rFonts w:cs="HelveticaNeueLT Std"/>
                <w:sz w:val="18"/>
                <w:szCs w:val="18"/>
              </w:rPr>
              <w:t>key</w:t>
            </w:r>
            <w:r w:rsidR="00BF62E6" w:rsidRPr="00AA1B3C">
              <w:rPr>
                <w:rFonts w:cs="HelveticaNeueLT Std"/>
                <w:sz w:val="18"/>
                <w:szCs w:val="18"/>
              </w:rPr>
              <w:t xml:space="preserve"> roles </w:t>
            </w:r>
            <w:r w:rsidRPr="00AA1B3C">
              <w:rPr>
                <w:rFonts w:cs="HelveticaNeueLT Std"/>
                <w:sz w:val="18"/>
                <w:szCs w:val="18"/>
              </w:rPr>
              <w:t>during engagements.</w:t>
            </w:r>
            <w:r w:rsidR="00BF62E6" w:rsidRPr="00AA1B3C">
              <w:rPr>
                <w:rFonts w:cs="HelveticaNeueLT Std"/>
                <w:sz w:val="18"/>
                <w:szCs w:val="18"/>
              </w:rPr>
              <w:t xml:space="preserve"> The Inspector may wish to seek assurance of SQEP by undertaking checks of training and competence.</w:t>
            </w:r>
          </w:p>
        </w:tc>
      </w:tr>
      <w:tr w:rsidR="00CC121D" w:rsidRPr="00CC121D" w14:paraId="573055DD" w14:textId="77777777" w:rsidTr="00CC121D">
        <w:trPr>
          <w:trHeight w:val="577"/>
          <w:jc w:val="center"/>
        </w:trPr>
        <w:tc>
          <w:tcPr>
            <w:tcW w:w="9686" w:type="dxa"/>
            <w:gridSpan w:val="2"/>
            <w:tcBorders>
              <w:top w:val="double" w:sz="4" w:space="0" w:color="8DB3E2"/>
              <w:left w:val="double" w:sz="4" w:space="0" w:color="8DB3E2"/>
              <w:bottom w:val="double" w:sz="4" w:space="0" w:color="8DB3E2"/>
              <w:right w:val="double" w:sz="4" w:space="0" w:color="8DB3E2"/>
            </w:tcBorders>
          </w:tcPr>
          <w:p w14:paraId="573055DC" w14:textId="77777777" w:rsidR="00D07AFA" w:rsidRPr="00AA1B3C" w:rsidRDefault="00D07AFA" w:rsidP="00D07AFA">
            <w:pPr>
              <w:spacing w:before="80"/>
              <w:rPr>
                <w:rFonts w:cs="HelveticaNeueLT Std"/>
                <w:sz w:val="18"/>
                <w:szCs w:val="18"/>
              </w:rPr>
            </w:pPr>
            <w:r w:rsidRPr="00AA1B3C">
              <w:rPr>
                <w:rFonts w:cs="HelveticaNeueLT Std"/>
                <w:sz w:val="18"/>
                <w:szCs w:val="18"/>
              </w:rPr>
              <w:t>Licence Condition 11: Emergency Arrangements</w:t>
            </w:r>
          </w:p>
        </w:tc>
      </w:tr>
      <w:tr w:rsidR="00CC121D" w:rsidRPr="00CC121D" w14:paraId="573055E1" w14:textId="77777777" w:rsidTr="00AA1B3C">
        <w:trPr>
          <w:trHeight w:val="577"/>
          <w:jc w:val="center"/>
        </w:trPr>
        <w:tc>
          <w:tcPr>
            <w:tcW w:w="4521" w:type="dxa"/>
            <w:tcBorders>
              <w:top w:val="double" w:sz="4" w:space="0" w:color="8DB3E2"/>
              <w:left w:val="double" w:sz="4" w:space="0" w:color="8DB3E2"/>
              <w:bottom w:val="double" w:sz="4" w:space="0" w:color="8DB3E2"/>
              <w:right w:val="double" w:sz="4" w:space="0" w:color="8DB3E2"/>
            </w:tcBorders>
          </w:tcPr>
          <w:p w14:paraId="573055DE" w14:textId="77777777" w:rsidR="00D07AFA" w:rsidRPr="00AA1B3C" w:rsidRDefault="00D07AFA" w:rsidP="00D07AFA">
            <w:pPr>
              <w:spacing w:before="80"/>
              <w:rPr>
                <w:rFonts w:cs="HelveticaNeueLT Std"/>
                <w:sz w:val="18"/>
                <w:szCs w:val="18"/>
              </w:rPr>
            </w:pPr>
            <w:r w:rsidRPr="00AA1B3C">
              <w:rPr>
                <w:rFonts w:cs="HelveticaNeueLT Std"/>
                <w:sz w:val="18"/>
                <w:szCs w:val="18"/>
              </w:rPr>
              <w:t xml:space="preserve">Without prejudice to any other requirements of the conditions attached to this licence the licensee shall make and implement adequate arrangements for dealing with any accident or emergency arising on the site and their effects. </w:t>
            </w:r>
          </w:p>
          <w:p w14:paraId="573055DF" w14:textId="77777777" w:rsidR="00D07AFA" w:rsidRPr="00AA1B3C" w:rsidRDefault="00D07AFA" w:rsidP="00D07AFA">
            <w:pPr>
              <w:spacing w:before="80"/>
              <w:rPr>
                <w:rFonts w:cs="HelveticaNeueLT Std"/>
                <w:sz w:val="18"/>
                <w:szCs w:val="18"/>
              </w:rPr>
            </w:pPr>
          </w:p>
        </w:tc>
        <w:tc>
          <w:tcPr>
            <w:tcW w:w="5165" w:type="dxa"/>
            <w:tcBorders>
              <w:top w:val="double" w:sz="4" w:space="0" w:color="8DB3E2"/>
              <w:left w:val="double" w:sz="4" w:space="0" w:color="8DB3E2"/>
              <w:bottom w:val="double" w:sz="4" w:space="0" w:color="8DB3E2"/>
              <w:right w:val="double" w:sz="4" w:space="0" w:color="8DB3E2"/>
            </w:tcBorders>
          </w:tcPr>
          <w:p w14:paraId="573055E0" w14:textId="77777777" w:rsidR="00D07AFA" w:rsidRPr="00AA1B3C" w:rsidRDefault="00D07AFA" w:rsidP="00D07AFA">
            <w:pPr>
              <w:spacing w:before="80"/>
              <w:rPr>
                <w:rFonts w:cs="HelveticaNeueLT Std"/>
                <w:sz w:val="18"/>
                <w:szCs w:val="18"/>
              </w:rPr>
            </w:pPr>
            <w:r w:rsidRPr="00AA1B3C">
              <w:rPr>
                <w:rFonts w:cs="HelveticaNeueLT Std"/>
                <w:sz w:val="18"/>
                <w:szCs w:val="18"/>
              </w:rPr>
              <w:t>Provision and appropriate classification and maintenance of plant control rooms, on-site emergency control centres and off-site emergency centres, including off site provisions or civil engineering SSCs e.g. highway bridges if the site is not self-sufficient to respond to all design basis demands.</w:t>
            </w:r>
          </w:p>
        </w:tc>
      </w:tr>
      <w:tr w:rsidR="00CC121D" w:rsidRPr="00CC121D" w14:paraId="573055E3" w14:textId="77777777" w:rsidTr="00CC121D">
        <w:trPr>
          <w:trHeight w:val="329"/>
          <w:jc w:val="center"/>
        </w:trPr>
        <w:tc>
          <w:tcPr>
            <w:tcW w:w="9686" w:type="dxa"/>
            <w:gridSpan w:val="2"/>
            <w:tcBorders>
              <w:top w:val="double" w:sz="4" w:space="0" w:color="8DB3E2"/>
              <w:left w:val="double" w:sz="4" w:space="0" w:color="8DB3E2"/>
              <w:bottom w:val="double" w:sz="4" w:space="0" w:color="8DB3E2"/>
              <w:right w:val="double" w:sz="4" w:space="0" w:color="8DB3E2"/>
            </w:tcBorders>
          </w:tcPr>
          <w:p w14:paraId="573055E2" w14:textId="77777777" w:rsidR="00D07AFA" w:rsidRPr="00AA1B3C" w:rsidRDefault="00D07AFA" w:rsidP="00D07AFA">
            <w:pPr>
              <w:spacing w:before="80"/>
              <w:rPr>
                <w:rFonts w:cs="HelveticaNeueLT Std"/>
                <w:sz w:val="18"/>
                <w:szCs w:val="18"/>
              </w:rPr>
            </w:pPr>
            <w:r w:rsidRPr="00AA1B3C">
              <w:rPr>
                <w:rFonts w:cs="HelveticaNeueLT Std"/>
                <w:sz w:val="18"/>
                <w:szCs w:val="18"/>
              </w:rPr>
              <w:t>Licence Condition 12: Duly authorised and suitably qualified and experienced persons</w:t>
            </w:r>
          </w:p>
        </w:tc>
      </w:tr>
      <w:tr w:rsidR="00CC121D" w:rsidRPr="00CC121D" w14:paraId="573055E6" w14:textId="77777777" w:rsidTr="00AA1B3C">
        <w:trPr>
          <w:jc w:val="center"/>
        </w:trPr>
        <w:tc>
          <w:tcPr>
            <w:tcW w:w="4521" w:type="dxa"/>
            <w:tcBorders>
              <w:top w:val="double" w:sz="4" w:space="0" w:color="8DB3E2"/>
              <w:left w:val="double" w:sz="4" w:space="0" w:color="8DB3E2"/>
              <w:bottom w:val="double" w:sz="4" w:space="0" w:color="8DB3E2"/>
              <w:right w:val="double" w:sz="4" w:space="0" w:color="8DB3E2"/>
            </w:tcBorders>
          </w:tcPr>
          <w:p w14:paraId="573055E4" w14:textId="77777777" w:rsidR="00D07AFA" w:rsidRPr="00AA1B3C" w:rsidRDefault="00D07AFA" w:rsidP="00D07AFA">
            <w:pPr>
              <w:spacing w:before="80"/>
              <w:rPr>
                <w:sz w:val="18"/>
                <w:szCs w:val="18"/>
              </w:rPr>
            </w:pPr>
            <w:r w:rsidRPr="00AA1B3C">
              <w:rPr>
                <w:rFonts w:cs="HelveticaNeueLT Std"/>
                <w:sz w:val="18"/>
                <w:szCs w:val="18"/>
              </w:rPr>
              <w:t>The licensee shall make and implement adequate arrangements to ensure that only suitably qualified and experienced persons perform any duties which may affect the safety of operations on the site or any other duties assigned by or under these conditions or any arrangements required under these conditions.</w:t>
            </w:r>
          </w:p>
        </w:tc>
        <w:tc>
          <w:tcPr>
            <w:tcW w:w="5165" w:type="dxa"/>
            <w:tcBorders>
              <w:top w:val="double" w:sz="4" w:space="0" w:color="8DB3E2"/>
              <w:left w:val="double" w:sz="4" w:space="0" w:color="8DB3E2"/>
              <w:bottom w:val="double" w:sz="4" w:space="0" w:color="8DB3E2"/>
              <w:right w:val="double" w:sz="4" w:space="0" w:color="8DB3E2"/>
            </w:tcBorders>
          </w:tcPr>
          <w:p w14:paraId="573055E5" w14:textId="19D41878" w:rsidR="00D07AFA" w:rsidRPr="00AA1B3C" w:rsidRDefault="00D07AFA" w:rsidP="00D07AFA">
            <w:pPr>
              <w:spacing w:before="80"/>
              <w:rPr>
                <w:rFonts w:cs="HelveticaNeueLT Std"/>
                <w:sz w:val="18"/>
                <w:szCs w:val="18"/>
              </w:rPr>
            </w:pPr>
            <w:r w:rsidRPr="00AA1B3C">
              <w:rPr>
                <w:rFonts w:cs="HelveticaNeueLT Std"/>
                <w:sz w:val="18"/>
                <w:szCs w:val="18"/>
              </w:rPr>
              <w:t>This relates to the SQEP and training records of staff that are undertaking roles associated with nuclear safety. This extends to those making the decisions around design and design change, and can have an interface with CDM requirements on role holders.</w:t>
            </w:r>
          </w:p>
        </w:tc>
      </w:tr>
      <w:tr w:rsidR="00CC121D" w:rsidRPr="00CC121D" w14:paraId="573055E8" w14:textId="77777777" w:rsidTr="00CC121D">
        <w:trPr>
          <w:jc w:val="center"/>
        </w:trPr>
        <w:tc>
          <w:tcPr>
            <w:tcW w:w="9686" w:type="dxa"/>
            <w:gridSpan w:val="2"/>
            <w:tcBorders>
              <w:top w:val="double" w:sz="4" w:space="0" w:color="8DB3E2"/>
              <w:left w:val="double" w:sz="4" w:space="0" w:color="8DB3E2"/>
              <w:bottom w:val="double" w:sz="4" w:space="0" w:color="8DB3E2"/>
              <w:right w:val="double" w:sz="4" w:space="0" w:color="8DB3E2"/>
            </w:tcBorders>
          </w:tcPr>
          <w:p w14:paraId="573055E7" w14:textId="77777777" w:rsidR="00D07AFA" w:rsidRPr="00AA1B3C" w:rsidRDefault="00D07AFA" w:rsidP="00D07AFA">
            <w:pPr>
              <w:spacing w:before="80"/>
              <w:rPr>
                <w:rFonts w:cs="HelveticaNeueLT Std"/>
                <w:sz w:val="18"/>
                <w:szCs w:val="18"/>
              </w:rPr>
            </w:pPr>
            <w:r w:rsidRPr="00AA1B3C">
              <w:rPr>
                <w:rFonts w:cs="HelveticaNeueLT Std"/>
                <w:sz w:val="18"/>
                <w:szCs w:val="18"/>
              </w:rPr>
              <w:t>Licence Condition 14: Safety documentation</w:t>
            </w:r>
          </w:p>
        </w:tc>
      </w:tr>
      <w:tr w:rsidR="00CC121D" w:rsidRPr="00CC121D" w14:paraId="573055EB" w14:textId="77777777" w:rsidTr="00AA1B3C">
        <w:trPr>
          <w:jc w:val="center"/>
        </w:trPr>
        <w:tc>
          <w:tcPr>
            <w:tcW w:w="4521" w:type="dxa"/>
            <w:tcBorders>
              <w:top w:val="double" w:sz="4" w:space="0" w:color="8DB3E2"/>
              <w:left w:val="double" w:sz="4" w:space="0" w:color="8DB3E2"/>
              <w:bottom w:val="double" w:sz="4" w:space="0" w:color="8DB3E2"/>
              <w:right w:val="double" w:sz="4" w:space="0" w:color="8DB3E2"/>
            </w:tcBorders>
          </w:tcPr>
          <w:p w14:paraId="573055E9" w14:textId="77777777" w:rsidR="00D07AFA" w:rsidRPr="00AA1B3C" w:rsidRDefault="00D07AFA" w:rsidP="00D07AFA">
            <w:pPr>
              <w:spacing w:before="80"/>
              <w:rPr>
                <w:sz w:val="18"/>
                <w:szCs w:val="18"/>
                <w:u w:val="single"/>
              </w:rPr>
            </w:pPr>
            <w:r w:rsidRPr="00AA1B3C">
              <w:rPr>
                <w:sz w:val="18"/>
                <w:szCs w:val="18"/>
              </w:rPr>
              <w:t xml:space="preserve">The licensee shall make and implement adequate arrangements for the production and assessment of safety cases consisting of documentation to justify safety during the design, construction, manufacture, commissioning, operation and decommissioning phases of the installation. </w:t>
            </w:r>
          </w:p>
        </w:tc>
        <w:tc>
          <w:tcPr>
            <w:tcW w:w="5165" w:type="dxa"/>
            <w:tcBorders>
              <w:top w:val="double" w:sz="4" w:space="0" w:color="8DB3E2"/>
              <w:left w:val="double" w:sz="4" w:space="0" w:color="8DB3E2"/>
              <w:bottom w:val="double" w:sz="4" w:space="0" w:color="8DB3E2"/>
              <w:right w:val="double" w:sz="4" w:space="0" w:color="8DB3E2"/>
            </w:tcBorders>
          </w:tcPr>
          <w:p w14:paraId="573055EA" w14:textId="77777777" w:rsidR="00D07AFA" w:rsidRPr="00AA1B3C" w:rsidRDefault="00D07AFA" w:rsidP="00D07AFA">
            <w:pPr>
              <w:spacing w:before="80"/>
              <w:rPr>
                <w:rFonts w:cs="HelveticaNeueLT Std"/>
                <w:sz w:val="18"/>
                <w:szCs w:val="18"/>
              </w:rPr>
            </w:pPr>
            <w:r w:rsidRPr="00AA1B3C">
              <w:rPr>
                <w:rFonts w:cs="HelveticaNeueLT Std"/>
                <w:sz w:val="18"/>
                <w:szCs w:val="18"/>
              </w:rPr>
              <w:t>This relates to the way in which safety cases are produced and assessed, as well as how this information is communicated and interpreted by those working on site construction or modification</w:t>
            </w:r>
            <w:r w:rsidR="004357EC" w:rsidRPr="00AA1B3C">
              <w:rPr>
                <w:rFonts w:cs="HelveticaNeueLT Std"/>
                <w:sz w:val="18"/>
                <w:szCs w:val="18"/>
              </w:rPr>
              <w:t xml:space="preserve"> of</w:t>
            </w:r>
            <w:r w:rsidRPr="00AA1B3C">
              <w:rPr>
                <w:rFonts w:cs="HelveticaNeueLT Std"/>
                <w:sz w:val="18"/>
                <w:szCs w:val="18"/>
              </w:rPr>
              <w:t xml:space="preserve"> civil engineering structures and works</w:t>
            </w:r>
            <w:r w:rsidR="004357EC" w:rsidRPr="00AA1B3C">
              <w:rPr>
                <w:rFonts w:cs="HelveticaNeueLT Std"/>
                <w:sz w:val="18"/>
                <w:szCs w:val="18"/>
              </w:rPr>
              <w:t>.</w:t>
            </w:r>
          </w:p>
        </w:tc>
      </w:tr>
      <w:tr w:rsidR="00CC121D" w:rsidRPr="00CC121D" w14:paraId="573055ED" w14:textId="77777777" w:rsidTr="00CC121D">
        <w:trPr>
          <w:jc w:val="center"/>
        </w:trPr>
        <w:tc>
          <w:tcPr>
            <w:tcW w:w="9686" w:type="dxa"/>
            <w:gridSpan w:val="2"/>
            <w:tcBorders>
              <w:top w:val="double" w:sz="4" w:space="0" w:color="8DB3E2"/>
              <w:left w:val="double" w:sz="4" w:space="0" w:color="8DB3E2"/>
              <w:bottom w:val="double" w:sz="4" w:space="0" w:color="8DB3E2"/>
              <w:right w:val="double" w:sz="4" w:space="0" w:color="8DB3E2"/>
            </w:tcBorders>
          </w:tcPr>
          <w:p w14:paraId="573055EC" w14:textId="77777777" w:rsidR="00D07AFA" w:rsidRPr="00AA1B3C" w:rsidRDefault="00D07AFA" w:rsidP="00D07AFA">
            <w:pPr>
              <w:spacing w:before="80"/>
              <w:rPr>
                <w:rFonts w:cs="HelveticaNeueLT Std"/>
                <w:sz w:val="18"/>
                <w:szCs w:val="18"/>
              </w:rPr>
            </w:pPr>
            <w:r w:rsidRPr="00AA1B3C">
              <w:rPr>
                <w:rFonts w:cs="HelveticaNeueLT Std"/>
                <w:sz w:val="18"/>
                <w:szCs w:val="18"/>
              </w:rPr>
              <w:t>Licence Condition 15: Periodic review</w:t>
            </w:r>
          </w:p>
        </w:tc>
      </w:tr>
      <w:tr w:rsidR="00CC121D" w:rsidRPr="00CC121D" w14:paraId="573055F0" w14:textId="77777777" w:rsidTr="00AA1B3C">
        <w:trPr>
          <w:jc w:val="center"/>
        </w:trPr>
        <w:tc>
          <w:tcPr>
            <w:tcW w:w="4521" w:type="dxa"/>
            <w:tcBorders>
              <w:top w:val="double" w:sz="4" w:space="0" w:color="8DB3E2"/>
              <w:left w:val="double" w:sz="4" w:space="0" w:color="8DB3E2"/>
              <w:bottom w:val="double" w:sz="4" w:space="0" w:color="8DB3E2"/>
              <w:right w:val="double" w:sz="4" w:space="0" w:color="8DB3E2"/>
            </w:tcBorders>
          </w:tcPr>
          <w:p w14:paraId="573055EE" w14:textId="77777777" w:rsidR="00D07AFA" w:rsidRPr="00AA1B3C" w:rsidRDefault="00D07AFA" w:rsidP="00D07AFA">
            <w:pPr>
              <w:spacing w:before="80"/>
              <w:rPr>
                <w:sz w:val="18"/>
                <w:szCs w:val="18"/>
                <w:u w:val="single"/>
              </w:rPr>
            </w:pPr>
            <w:r w:rsidRPr="00AA1B3C">
              <w:rPr>
                <w:sz w:val="18"/>
                <w:szCs w:val="18"/>
              </w:rPr>
              <w:t xml:space="preserve">The licensee shall make and implement adequate arrangements for the periodic and systematic review and reassessment of safety cases. </w:t>
            </w:r>
          </w:p>
        </w:tc>
        <w:tc>
          <w:tcPr>
            <w:tcW w:w="5165" w:type="dxa"/>
            <w:tcBorders>
              <w:top w:val="double" w:sz="4" w:space="0" w:color="8DB3E2"/>
              <w:left w:val="double" w:sz="4" w:space="0" w:color="8DB3E2"/>
              <w:bottom w:val="double" w:sz="4" w:space="0" w:color="8DB3E2"/>
              <w:right w:val="double" w:sz="4" w:space="0" w:color="8DB3E2"/>
            </w:tcBorders>
          </w:tcPr>
          <w:p w14:paraId="573055EF" w14:textId="77777777" w:rsidR="00D07AFA" w:rsidRPr="00AA1B3C" w:rsidRDefault="00D07AFA" w:rsidP="004357EC">
            <w:pPr>
              <w:spacing w:before="80"/>
              <w:rPr>
                <w:rFonts w:cs="HelveticaNeueLT Std"/>
                <w:sz w:val="18"/>
                <w:szCs w:val="18"/>
              </w:rPr>
            </w:pPr>
            <w:r w:rsidRPr="00AA1B3C">
              <w:rPr>
                <w:rFonts w:cs="HelveticaNeueLT Std"/>
                <w:sz w:val="18"/>
                <w:szCs w:val="18"/>
              </w:rPr>
              <w:t xml:space="preserve">The </w:t>
            </w:r>
            <w:r w:rsidR="004357EC" w:rsidRPr="00AA1B3C">
              <w:rPr>
                <w:rFonts w:cs="HelveticaNeueLT Std"/>
                <w:sz w:val="18"/>
                <w:szCs w:val="18"/>
              </w:rPr>
              <w:t>periodic review</w:t>
            </w:r>
            <w:r w:rsidRPr="00AA1B3C">
              <w:rPr>
                <w:rFonts w:cs="HelveticaNeueLT Std"/>
                <w:sz w:val="18"/>
                <w:szCs w:val="18"/>
              </w:rPr>
              <w:t xml:space="preserve"> must include review and assessment of civil engineering structures and works, including condition assessments with consideration to the lifetime requirements on structures, given their present condition, and any cliff edge failures. Also, code changes should be reviewed – both changes since the last </w:t>
            </w:r>
            <w:r w:rsidR="004357EC" w:rsidRPr="00AA1B3C">
              <w:rPr>
                <w:rFonts w:cs="HelveticaNeueLT Std"/>
                <w:sz w:val="18"/>
                <w:szCs w:val="18"/>
              </w:rPr>
              <w:t>periodic review</w:t>
            </w:r>
            <w:r w:rsidRPr="00AA1B3C">
              <w:rPr>
                <w:rFonts w:cs="HelveticaNeueLT Std"/>
                <w:sz w:val="18"/>
                <w:szCs w:val="18"/>
              </w:rPr>
              <w:t xml:space="preserve"> and anticipated changes between current and next </w:t>
            </w:r>
            <w:r w:rsidR="004357EC" w:rsidRPr="00AA1B3C">
              <w:rPr>
                <w:rFonts w:cs="HelveticaNeueLT Std"/>
                <w:sz w:val="18"/>
                <w:szCs w:val="18"/>
              </w:rPr>
              <w:t>review</w:t>
            </w:r>
            <w:r w:rsidRPr="00AA1B3C">
              <w:rPr>
                <w:rFonts w:cs="HelveticaNeueLT Std"/>
                <w:sz w:val="18"/>
                <w:szCs w:val="18"/>
              </w:rPr>
              <w:t>.</w:t>
            </w:r>
          </w:p>
        </w:tc>
      </w:tr>
      <w:tr w:rsidR="00CC121D" w:rsidRPr="00CC121D" w14:paraId="573055F2" w14:textId="77777777" w:rsidTr="00CC121D">
        <w:trPr>
          <w:trHeight w:val="399"/>
          <w:jc w:val="center"/>
        </w:trPr>
        <w:tc>
          <w:tcPr>
            <w:tcW w:w="9686" w:type="dxa"/>
            <w:gridSpan w:val="2"/>
            <w:tcBorders>
              <w:top w:val="double" w:sz="4" w:space="0" w:color="8DB3E2"/>
              <w:left w:val="double" w:sz="4" w:space="0" w:color="8DB3E2"/>
              <w:bottom w:val="double" w:sz="4" w:space="0" w:color="8DB3E2"/>
              <w:right w:val="double" w:sz="4" w:space="0" w:color="8DB3E2"/>
            </w:tcBorders>
          </w:tcPr>
          <w:p w14:paraId="573055F1" w14:textId="77777777" w:rsidR="00D07AFA" w:rsidRPr="00AA1B3C" w:rsidRDefault="00D07AFA" w:rsidP="00D07AFA">
            <w:pPr>
              <w:spacing w:before="80"/>
              <w:rPr>
                <w:rFonts w:cs="HelveticaNeueLT Std"/>
                <w:sz w:val="18"/>
                <w:szCs w:val="18"/>
              </w:rPr>
            </w:pPr>
            <w:r w:rsidRPr="00AA1B3C">
              <w:rPr>
                <w:rFonts w:cs="HelveticaNeueLT Std"/>
                <w:sz w:val="18"/>
                <w:szCs w:val="18"/>
              </w:rPr>
              <w:t>Licence Condition 16: Site plans, designs and specifications</w:t>
            </w:r>
          </w:p>
        </w:tc>
      </w:tr>
      <w:tr w:rsidR="00CC121D" w:rsidRPr="00CC121D" w14:paraId="573055F5" w14:textId="77777777" w:rsidTr="00AA1B3C">
        <w:trPr>
          <w:jc w:val="center"/>
        </w:trPr>
        <w:tc>
          <w:tcPr>
            <w:tcW w:w="4521" w:type="dxa"/>
            <w:tcBorders>
              <w:top w:val="double" w:sz="4" w:space="0" w:color="8DB3E2"/>
              <w:left w:val="double" w:sz="4" w:space="0" w:color="8DB3E2"/>
              <w:bottom w:val="double" w:sz="4" w:space="0" w:color="8DB3E2"/>
              <w:right w:val="double" w:sz="4" w:space="0" w:color="8DB3E2"/>
            </w:tcBorders>
          </w:tcPr>
          <w:p w14:paraId="573055F3" w14:textId="77777777" w:rsidR="00D07AFA" w:rsidRPr="00AA1B3C" w:rsidRDefault="00D07AFA" w:rsidP="00D07AFA">
            <w:pPr>
              <w:spacing w:before="80"/>
              <w:rPr>
                <w:sz w:val="18"/>
                <w:szCs w:val="18"/>
                <w:u w:val="single"/>
              </w:rPr>
            </w:pPr>
            <w:r w:rsidRPr="00AA1B3C">
              <w:rPr>
                <w:rFonts w:cs="HelveticaNeueLT Std"/>
                <w:sz w:val="18"/>
                <w:szCs w:val="18"/>
              </w:rPr>
              <w:t>The licensee shall submit to ONR an adequate plan of the site (hereinafter referred to as the site plan) showing the location of the boundary of the licensed site and every building or plant on the site which might affect safety.</w:t>
            </w:r>
          </w:p>
        </w:tc>
        <w:tc>
          <w:tcPr>
            <w:tcW w:w="5165" w:type="dxa"/>
            <w:tcBorders>
              <w:top w:val="double" w:sz="4" w:space="0" w:color="8DB3E2"/>
              <w:left w:val="double" w:sz="4" w:space="0" w:color="8DB3E2"/>
              <w:bottom w:val="double" w:sz="4" w:space="0" w:color="8DB3E2"/>
              <w:right w:val="double" w:sz="4" w:space="0" w:color="8DB3E2"/>
            </w:tcBorders>
          </w:tcPr>
          <w:p w14:paraId="573055F4" w14:textId="77777777" w:rsidR="00D07AFA" w:rsidRPr="00AA1B3C" w:rsidRDefault="00D07AFA" w:rsidP="00D07AFA">
            <w:pPr>
              <w:spacing w:before="80"/>
              <w:rPr>
                <w:rFonts w:cs="HelveticaNeueLT Std"/>
                <w:sz w:val="18"/>
                <w:szCs w:val="18"/>
              </w:rPr>
            </w:pPr>
            <w:r w:rsidRPr="00AA1B3C">
              <w:rPr>
                <w:rFonts w:cs="HelveticaNeueLT Std"/>
                <w:sz w:val="18"/>
                <w:szCs w:val="18"/>
              </w:rPr>
              <w:t>It is the responsibility of civil engineering to consider the impacts of changes to the site plan on adjacent facilities and plant. Further, the licenced site boundary is considered a civil engineering structure under the TAG definition of ‘civil engineering structures and works’</w:t>
            </w:r>
            <w:r w:rsidR="004357EC" w:rsidRPr="00AA1B3C">
              <w:rPr>
                <w:rFonts w:cs="HelveticaNeueLT Std"/>
                <w:sz w:val="18"/>
                <w:szCs w:val="18"/>
              </w:rPr>
              <w:t>.</w:t>
            </w:r>
          </w:p>
        </w:tc>
      </w:tr>
      <w:tr w:rsidR="009E7DC9" w:rsidRPr="00CC121D" w14:paraId="2CE12AED" w14:textId="77777777" w:rsidTr="002D6023">
        <w:trPr>
          <w:jc w:val="center"/>
        </w:trPr>
        <w:tc>
          <w:tcPr>
            <w:tcW w:w="9686" w:type="dxa"/>
            <w:gridSpan w:val="2"/>
            <w:tcBorders>
              <w:top w:val="double" w:sz="4" w:space="0" w:color="8DB3E2"/>
              <w:left w:val="double" w:sz="4" w:space="0" w:color="8DB3E2"/>
              <w:bottom w:val="double" w:sz="4" w:space="0" w:color="8DB3E2"/>
              <w:right w:val="double" w:sz="4" w:space="0" w:color="8DB3E2"/>
            </w:tcBorders>
          </w:tcPr>
          <w:p w14:paraId="2E451FC9" w14:textId="53B46C08" w:rsidR="009E7DC9" w:rsidRPr="00AA1B3C" w:rsidRDefault="009E7DC9" w:rsidP="00D07AFA">
            <w:pPr>
              <w:spacing w:before="80"/>
              <w:rPr>
                <w:rFonts w:cs="HelveticaNeueLT Std"/>
                <w:sz w:val="18"/>
                <w:szCs w:val="18"/>
              </w:rPr>
            </w:pPr>
            <w:r w:rsidRPr="00AA1B3C">
              <w:rPr>
                <w:rFonts w:cs="HelveticaNeueLT Std"/>
                <w:sz w:val="18"/>
                <w:szCs w:val="18"/>
              </w:rPr>
              <w:t>Licence Condition 17: Management systems</w:t>
            </w:r>
          </w:p>
        </w:tc>
      </w:tr>
      <w:tr w:rsidR="004C660E" w:rsidRPr="00CC121D" w14:paraId="6A4C7912" w14:textId="77777777" w:rsidTr="00AA1B3C">
        <w:trPr>
          <w:jc w:val="center"/>
        </w:trPr>
        <w:tc>
          <w:tcPr>
            <w:tcW w:w="4521" w:type="dxa"/>
            <w:tcBorders>
              <w:top w:val="double" w:sz="4" w:space="0" w:color="8DB3E2"/>
              <w:left w:val="double" w:sz="4" w:space="0" w:color="8DB3E2"/>
              <w:bottom w:val="double" w:sz="4" w:space="0" w:color="8DB3E2"/>
              <w:right w:val="double" w:sz="4" w:space="0" w:color="8DB3E2"/>
            </w:tcBorders>
          </w:tcPr>
          <w:p w14:paraId="553895D2" w14:textId="2543397E" w:rsidR="004C660E" w:rsidRPr="00AA1B3C" w:rsidRDefault="003D595E" w:rsidP="005B3B15">
            <w:pPr>
              <w:tabs>
                <w:tab w:val="left" w:pos="1758"/>
              </w:tabs>
              <w:spacing w:before="80"/>
              <w:rPr>
                <w:rFonts w:cs="HelveticaNeueLT Std"/>
                <w:sz w:val="18"/>
                <w:szCs w:val="18"/>
              </w:rPr>
            </w:pPr>
            <w:r w:rsidRPr="00AA1B3C">
              <w:rPr>
                <w:sz w:val="18"/>
                <w:szCs w:val="18"/>
              </w:rPr>
              <w:t>The licensee shall establish and implement management systems which give due priority to safety. The licensee shall, within its management systems, make and implement adequate quality management arrangements in respect of all matters which may affect safety.</w:t>
            </w:r>
          </w:p>
        </w:tc>
        <w:tc>
          <w:tcPr>
            <w:tcW w:w="5165" w:type="dxa"/>
            <w:tcBorders>
              <w:top w:val="double" w:sz="4" w:space="0" w:color="8DB3E2"/>
              <w:left w:val="double" w:sz="4" w:space="0" w:color="8DB3E2"/>
              <w:bottom w:val="double" w:sz="4" w:space="0" w:color="8DB3E2"/>
              <w:right w:val="double" w:sz="4" w:space="0" w:color="8DB3E2"/>
            </w:tcBorders>
          </w:tcPr>
          <w:p w14:paraId="76D87D51" w14:textId="53B2980D" w:rsidR="004C660E" w:rsidRPr="00AA1B3C" w:rsidRDefault="008A34BA" w:rsidP="00D07AFA">
            <w:pPr>
              <w:spacing w:before="80"/>
              <w:rPr>
                <w:rFonts w:cs="HelveticaNeueLT Std"/>
                <w:sz w:val="18"/>
                <w:szCs w:val="18"/>
              </w:rPr>
            </w:pPr>
            <w:r w:rsidRPr="00AA1B3C">
              <w:rPr>
                <w:rFonts w:cs="HelveticaNeueLT Std"/>
                <w:sz w:val="18"/>
                <w:szCs w:val="18"/>
              </w:rPr>
              <w:t xml:space="preserve">Throughout the lifecycle of a site, </w:t>
            </w:r>
            <w:proofErr w:type="spellStart"/>
            <w:r w:rsidR="008F755F" w:rsidRPr="00AA1B3C">
              <w:rPr>
                <w:rFonts w:cs="HelveticaNeueLT Std"/>
                <w:sz w:val="18"/>
                <w:szCs w:val="18"/>
              </w:rPr>
              <w:t>dutyholder</w:t>
            </w:r>
            <w:proofErr w:type="spellEnd"/>
            <w:r w:rsidR="008F755F" w:rsidRPr="00AA1B3C">
              <w:rPr>
                <w:rFonts w:cs="HelveticaNeueLT Std"/>
                <w:sz w:val="18"/>
                <w:szCs w:val="18"/>
              </w:rPr>
              <w:t xml:space="preserve"> </w:t>
            </w:r>
            <w:r w:rsidR="003D595E" w:rsidRPr="00AA1B3C">
              <w:rPr>
                <w:rFonts w:cs="HelveticaNeueLT Std"/>
                <w:sz w:val="18"/>
                <w:szCs w:val="18"/>
              </w:rPr>
              <w:t xml:space="preserve">management systems </w:t>
            </w:r>
            <w:r w:rsidR="008F755F" w:rsidRPr="00AA1B3C">
              <w:rPr>
                <w:rFonts w:cs="HelveticaNeueLT Std"/>
                <w:sz w:val="18"/>
                <w:szCs w:val="18"/>
              </w:rPr>
              <w:t xml:space="preserve">are required to be </w:t>
            </w:r>
            <w:r w:rsidR="003D595E" w:rsidRPr="00AA1B3C">
              <w:rPr>
                <w:rFonts w:cs="HelveticaNeueLT Std"/>
                <w:sz w:val="18"/>
                <w:szCs w:val="18"/>
              </w:rPr>
              <w:t xml:space="preserve">in place to </w:t>
            </w:r>
            <w:r w:rsidRPr="00AA1B3C">
              <w:rPr>
                <w:rFonts w:cs="HelveticaNeueLT Std"/>
                <w:sz w:val="18"/>
                <w:szCs w:val="18"/>
              </w:rPr>
              <w:t xml:space="preserve">coordinate and configure the processes and </w:t>
            </w:r>
            <w:r w:rsidR="008D0E2E" w:rsidRPr="00AA1B3C">
              <w:rPr>
                <w:rFonts w:cs="HelveticaNeueLT Std"/>
                <w:sz w:val="18"/>
                <w:szCs w:val="18"/>
              </w:rPr>
              <w:t>procedures</w:t>
            </w:r>
            <w:r w:rsidRPr="00AA1B3C">
              <w:rPr>
                <w:rFonts w:cs="HelveticaNeueLT Std"/>
                <w:sz w:val="18"/>
                <w:szCs w:val="18"/>
              </w:rPr>
              <w:t xml:space="preserve"> in place to ensure consistent quality is achieved and ensured throughout the design</w:t>
            </w:r>
            <w:r w:rsidR="008F755F" w:rsidRPr="00AA1B3C">
              <w:rPr>
                <w:rFonts w:cs="HelveticaNeueLT Std"/>
                <w:sz w:val="18"/>
                <w:szCs w:val="18"/>
              </w:rPr>
              <w:t xml:space="preserve">. The Inspector is reminded of the </w:t>
            </w:r>
            <w:r w:rsidR="00AE5DC9" w:rsidRPr="00AA1B3C">
              <w:rPr>
                <w:rFonts w:cs="HelveticaNeueLT Std"/>
                <w:sz w:val="18"/>
                <w:szCs w:val="18"/>
              </w:rPr>
              <w:t>benefits of</w:t>
            </w:r>
            <w:r w:rsidR="008F755F" w:rsidRPr="00AA1B3C">
              <w:rPr>
                <w:rFonts w:cs="HelveticaNeueLT Std"/>
                <w:sz w:val="18"/>
                <w:szCs w:val="18"/>
              </w:rPr>
              <w:t xml:space="preserve"> early engagement when processes may be immature and developing.</w:t>
            </w:r>
          </w:p>
        </w:tc>
      </w:tr>
      <w:tr w:rsidR="00CC121D" w:rsidRPr="00CC121D" w14:paraId="573055F7" w14:textId="77777777" w:rsidTr="00CC121D">
        <w:trPr>
          <w:trHeight w:val="357"/>
          <w:jc w:val="center"/>
        </w:trPr>
        <w:tc>
          <w:tcPr>
            <w:tcW w:w="9686" w:type="dxa"/>
            <w:gridSpan w:val="2"/>
            <w:tcBorders>
              <w:top w:val="double" w:sz="4" w:space="0" w:color="8DB3E2"/>
              <w:left w:val="double" w:sz="4" w:space="0" w:color="8DB3E2"/>
              <w:bottom w:val="double" w:sz="4" w:space="0" w:color="8DB3E2"/>
              <w:right w:val="double" w:sz="4" w:space="0" w:color="8DB3E2"/>
            </w:tcBorders>
          </w:tcPr>
          <w:p w14:paraId="573055F6" w14:textId="77777777" w:rsidR="00D07AFA" w:rsidRPr="00AA1B3C" w:rsidRDefault="00D07AFA" w:rsidP="00D07AFA">
            <w:pPr>
              <w:spacing w:before="80"/>
              <w:rPr>
                <w:rFonts w:cs="HelveticaNeueLT Std"/>
                <w:sz w:val="18"/>
                <w:szCs w:val="18"/>
              </w:rPr>
            </w:pPr>
            <w:r w:rsidRPr="00AA1B3C">
              <w:rPr>
                <w:rFonts w:cs="HelveticaNeueLT Std"/>
                <w:sz w:val="18"/>
                <w:szCs w:val="18"/>
              </w:rPr>
              <w:t>Licence Condition 19: Construction of new plant</w:t>
            </w:r>
          </w:p>
        </w:tc>
      </w:tr>
      <w:tr w:rsidR="00CC121D" w:rsidRPr="00CC121D" w14:paraId="573055FA" w14:textId="77777777" w:rsidTr="00AA1B3C">
        <w:trPr>
          <w:jc w:val="center"/>
        </w:trPr>
        <w:tc>
          <w:tcPr>
            <w:tcW w:w="4521" w:type="dxa"/>
            <w:tcBorders>
              <w:top w:val="double" w:sz="4" w:space="0" w:color="8DB3E2"/>
              <w:left w:val="double" w:sz="4" w:space="0" w:color="8DB3E2"/>
              <w:bottom w:val="double" w:sz="4" w:space="0" w:color="8DB3E2"/>
              <w:right w:val="double" w:sz="4" w:space="0" w:color="8DB3E2"/>
            </w:tcBorders>
          </w:tcPr>
          <w:p w14:paraId="573055F8" w14:textId="77777777" w:rsidR="00D07AFA" w:rsidRPr="00AA1B3C" w:rsidRDefault="00D07AFA" w:rsidP="00D07AFA">
            <w:pPr>
              <w:spacing w:before="80"/>
              <w:rPr>
                <w:sz w:val="18"/>
                <w:szCs w:val="18"/>
              </w:rPr>
            </w:pPr>
            <w:r w:rsidRPr="00AA1B3C">
              <w:rPr>
                <w:rFonts w:cs="HelveticaNeueLT Std"/>
                <w:sz w:val="18"/>
                <w:szCs w:val="18"/>
              </w:rPr>
              <w:t>Where the licensee proposes to construct or install any new plant which may affect safety the licensee shall make and implement adequate arrangements to control the construction or installation.</w:t>
            </w:r>
          </w:p>
        </w:tc>
        <w:tc>
          <w:tcPr>
            <w:tcW w:w="5165" w:type="dxa"/>
            <w:tcBorders>
              <w:top w:val="double" w:sz="4" w:space="0" w:color="8DB3E2"/>
              <w:left w:val="double" w:sz="4" w:space="0" w:color="8DB3E2"/>
              <w:bottom w:val="double" w:sz="4" w:space="0" w:color="8DB3E2"/>
              <w:right w:val="double" w:sz="4" w:space="0" w:color="8DB3E2"/>
            </w:tcBorders>
          </w:tcPr>
          <w:p w14:paraId="573055F9" w14:textId="4C717DE8" w:rsidR="00D07AFA" w:rsidRPr="00AA1B3C" w:rsidRDefault="00D07AFA" w:rsidP="00D07AFA">
            <w:pPr>
              <w:spacing w:before="80"/>
              <w:rPr>
                <w:rFonts w:cs="HelveticaNeueLT Std"/>
                <w:sz w:val="18"/>
                <w:szCs w:val="18"/>
              </w:rPr>
            </w:pPr>
            <w:r w:rsidRPr="00AA1B3C">
              <w:rPr>
                <w:rFonts w:cs="HelveticaNeueLT Std"/>
                <w:sz w:val="18"/>
                <w:szCs w:val="18"/>
              </w:rPr>
              <w:t xml:space="preserve">Construction Assurance </w:t>
            </w:r>
            <w:r w:rsidR="003D595E" w:rsidRPr="00AA1B3C">
              <w:rPr>
                <w:rFonts w:cs="HelveticaNeueLT Std"/>
                <w:sz w:val="18"/>
                <w:szCs w:val="18"/>
              </w:rPr>
              <w:t xml:space="preserve">annex </w:t>
            </w:r>
            <w:r w:rsidRPr="00AA1B3C">
              <w:rPr>
                <w:rFonts w:cs="HelveticaNeueLT Std"/>
                <w:sz w:val="18"/>
                <w:szCs w:val="18"/>
              </w:rPr>
              <w:t>c</w:t>
            </w:r>
            <w:r w:rsidR="00BA2113" w:rsidRPr="00AA1B3C">
              <w:rPr>
                <w:rFonts w:cs="HelveticaNeueLT Std"/>
                <w:sz w:val="18"/>
                <w:szCs w:val="18"/>
              </w:rPr>
              <w:t>overs this in more detail, but civil e</w:t>
            </w:r>
            <w:r w:rsidRPr="00AA1B3C">
              <w:rPr>
                <w:rFonts w:cs="HelveticaNeueLT Std"/>
                <w:sz w:val="18"/>
                <w:szCs w:val="18"/>
              </w:rPr>
              <w:t>ngineering interfaces between the design and safety case and the site undertaking construction is covered in this TAG</w:t>
            </w:r>
            <w:r w:rsidR="00BA2113" w:rsidRPr="00AA1B3C">
              <w:rPr>
                <w:rFonts w:cs="HelveticaNeueLT Std"/>
                <w:sz w:val="18"/>
                <w:szCs w:val="18"/>
              </w:rPr>
              <w:t>.</w:t>
            </w:r>
          </w:p>
        </w:tc>
      </w:tr>
      <w:tr w:rsidR="00CC121D" w:rsidRPr="00CC121D" w14:paraId="573055FC" w14:textId="77777777" w:rsidTr="00CC121D">
        <w:trPr>
          <w:jc w:val="center"/>
        </w:trPr>
        <w:tc>
          <w:tcPr>
            <w:tcW w:w="9686" w:type="dxa"/>
            <w:gridSpan w:val="2"/>
            <w:tcBorders>
              <w:top w:val="double" w:sz="4" w:space="0" w:color="8DB3E2"/>
              <w:left w:val="double" w:sz="4" w:space="0" w:color="8DB3E2"/>
              <w:bottom w:val="double" w:sz="4" w:space="0" w:color="8DB3E2"/>
              <w:right w:val="double" w:sz="4" w:space="0" w:color="8DB3E2"/>
            </w:tcBorders>
          </w:tcPr>
          <w:p w14:paraId="573055FB" w14:textId="77777777" w:rsidR="00D07AFA" w:rsidRPr="00AA1B3C" w:rsidRDefault="00D07AFA" w:rsidP="00D07AFA">
            <w:pPr>
              <w:spacing w:before="80"/>
              <w:rPr>
                <w:rFonts w:cs="HelveticaNeueLT Std"/>
                <w:sz w:val="18"/>
                <w:szCs w:val="18"/>
              </w:rPr>
            </w:pPr>
            <w:r w:rsidRPr="00AA1B3C">
              <w:rPr>
                <w:rFonts w:cs="HelveticaNeueLT Std"/>
                <w:sz w:val="18"/>
                <w:szCs w:val="18"/>
              </w:rPr>
              <w:t xml:space="preserve">Licence Condition 20: Modification to design of plant under construction </w:t>
            </w:r>
          </w:p>
        </w:tc>
      </w:tr>
      <w:tr w:rsidR="00CC121D" w:rsidRPr="00CC121D" w14:paraId="573055FF" w14:textId="77777777" w:rsidTr="00AA1B3C">
        <w:trPr>
          <w:jc w:val="center"/>
        </w:trPr>
        <w:tc>
          <w:tcPr>
            <w:tcW w:w="4521" w:type="dxa"/>
            <w:tcBorders>
              <w:top w:val="double" w:sz="4" w:space="0" w:color="8DB3E2"/>
              <w:left w:val="double" w:sz="4" w:space="0" w:color="8DB3E2"/>
              <w:bottom w:val="double" w:sz="4" w:space="0" w:color="8DB3E2"/>
              <w:right w:val="double" w:sz="4" w:space="0" w:color="8DB3E2"/>
            </w:tcBorders>
          </w:tcPr>
          <w:p w14:paraId="573055FD" w14:textId="77777777" w:rsidR="00D07AFA" w:rsidRPr="00AA1B3C" w:rsidRDefault="00D07AFA" w:rsidP="00D07AFA">
            <w:pPr>
              <w:spacing w:before="80"/>
              <w:rPr>
                <w:sz w:val="18"/>
                <w:szCs w:val="18"/>
                <w:u w:val="single"/>
              </w:rPr>
            </w:pPr>
            <w:r w:rsidRPr="00AA1B3C">
              <w:rPr>
                <w:rFonts w:cs="HelveticaNeueLT Std"/>
                <w:sz w:val="18"/>
                <w:szCs w:val="18"/>
              </w:rPr>
              <w:t>The licensee shall ensure that no modification to the design which may affect safety is made to any plant during the period of construction except in accordance with adequate arrangements made and implemented by the licensee for that purpose.</w:t>
            </w:r>
          </w:p>
        </w:tc>
        <w:tc>
          <w:tcPr>
            <w:tcW w:w="5165" w:type="dxa"/>
            <w:tcBorders>
              <w:top w:val="double" w:sz="4" w:space="0" w:color="8DB3E2"/>
              <w:left w:val="double" w:sz="4" w:space="0" w:color="8DB3E2"/>
              <w:bottom w:val="double" w:sz="4" w:space="0" w:color="8DB3E2"/>
              <w:right w:val="double" w:sz="4" w:space="0" w:color="8DB3E2"/>
            </w:tcBorders>
          </w:tcPr>
          <w:p w14:paraId="573055FE" w14:textId="1B99C482" w:rsidR="00D07AFA" w:rsidRPr="00AA1B3C" w:rsidRDefault="00D07AFA" w:rsidP="00D07AFA">
            <w:pPr>
              <w:spacing w:before="80"/>
              <w:rPr>
                <w:rFonts w:cs="HelveticaNeueLT Std"/>
                <w:sz w:val="18"/>
                <w:szCs w:val="18"/>
              </w:rPr>
            </w:pPr>
            <w:r w:rsidRPr="00AA1B3C">
              <w:rPr>
                <w:rFonts w:cs="HelveticaNeueLT Std"/>
                <w:sz w:val="18"/>
                <w:szCs w:val="18"/>
              </w:rPr>
              <w:t>Modification to design of plant under construction can include new build sites and construction or modification of a new facility on an existing site. This can also include changes to structures with no safety classification, if there is a potential for this work to impact on an adjacent nuclear safety significant structure.</w:t>
            </w:r>
          </w:p>
        </w:tc>
      </w:tr>
      <w:tr w:rsidR="00CC121D" w:rsidRPr="00CC121D" w14:paraId="57305601" w14:textId="77777777" w:rsidTr="00CC121D">
        <w:trPr>
          <w:jc w:val="center"/>
        </w:trPr>
        <w:tc>
          <w:tcPr>
            <w:tcW w:w="9686" w:type="dxa"/>
            <w:gridSpan w:val="2"/>
            <w:tcBorders>
              <w:top w:val="double" w:sz="4" w:space="0" w:color="8DB3E2"/>
              <w:left w:val="double" w:sz="4" w:space="0" w:color="8DB3E2"/>
              <w:bottom w:val="double" w:sz="4" w:space="0" w:color="8DB3E2"/>
              <w:right w:val="double" w:sz="4" w:space="0" w:color="8DB3E2"/>
            </w:tcBorders>
          </w:tcPr>
          <w:p w14:paraId="57305600" w14:textId="77777777" w:rsidR="00D07AFA" w:rsidRPr="00AA1B3C" w:rsidRDefault="00D07AFA" w:rsidP="00D07AFA">
            <w:pPr>
              <w:spacing w:before="80"/>
              <w:rPr>
                <w:rFonts w:cs="HelveticaNeueLT Std"/>
                <w:sz w:val="18"/>
                <w:szCs w:val="18"/>
              </w:rPr>
            </w:pPr>
            <w:r w:rsidRPr="00AA1B3C">
              <w:rPr>
                <w:sz w:val="18"/>
                <w:szCs w:val="18"/>
              </w:rPr>
              <w:t xml:space="preserve">Licence Condition </w:t>
            </w:r>
            <w:r w:rsidRPr="00AA1B3C">
              <w:rPr>
                <w:rFonts w:cs="HelveticaNeueLT Std"/>
                <w:sz w:val="18"/>
                <w:szCs w:val="18"/>
              </w:rPr>
              <w:t>21: Commissioning</w:t>
            </w:r>
          </w:p>
        </w:tc>
      </w:tr>
      <w:tr w:rsidR="00CC121D" w:rsidRPr="00CC121D" w14:paraId="57305607" w14:textId="77777777" w:rsidTr="00AA1B3C">
        <w:trPr>
          <w:jc w:val="center"/>
        </w:trPr>
        <w:tc>
          <w:tcPr>
            <w:tcW w:w="4521" w:type="dxa"/>
            <w:tcBorders>
              <w:top w:val="double" w:sz="4" w:space="0" w:color="8DB3E2"/>
              <w:left w:val="double" w:sz="4" w:space="0" w:color="8DB3E2"/>
              <w:bottom w:val="double" w:sz="4" w:space="0" w:color="8DB3E2"/>
              <w:right w:val="double" w:sz="4" w:space="0" w:color="8DB3E2"/>
            </w:tcBorders>
          </w:tcPr>
          <w:p w14:paraId="57305602" w14:textId="77777777" w:rsidR="00D07AFA" w:rsidRPr="00AA1B3C" w:rsidRDefault="00D07AFA" w:rsidP="00D07AFA">
            <w:pPr>
              <w:spacing w:before="80"/>
              <w:rPr>
                <w:rFonts w:cs="HelveticaNeueLT Std"/>
                <w:sz w:val="18"/>
                <w:szCs w:val="18"/>
              </w:rPr>
            </w:pPr>
            <w:r w:rsidRPr="00AA1B3C">
              <w:rPr>
                <w:rFonts w:cs="HelveticaNeueLT Std"/>
                <w:sz w:val="18"/>
                <w:szCs w:val="18"/>
              </w:rPr>
              <w:t xml:space="preserve">The licensee shall make and implement adequate arrangements for the commissioning of any plant or process which may affect safety. </w:t>
            </w:r>
          </w:p>
          <w:p w14:paraId="57305603" w14:textId="77777777" w:rsidR="00D07AFA" w:rsidRPr="00AA1B3C" w:rsidRDefault="00D07AFA" w:rsidP="00D07AFA">
            <w:pPr>
              <w:spacing w:before="80"/>
              <w:rPr>
                <w:rFonts w:cs="HelveticaNeueLT Std"/>
                <w:sz w:val="18"/>
                <w:szCs w:val="18"/>
              </w:rPr>
            </w:pPr>
            <w:r w:rsidRPr="00AA1B3C">
              <w:rPr>
                <w:rFonts w:cs="HelveticaNeueLT Std"/>
                <w:sz w:val="18"/>
                <w:szCs w:val="18"/>
              </w:rPr>
              <w:t xml:space="preserve">The arrangements shall include a requirement for the provision of adequate documentation to justify the safety of the proposed commissioning and shall where appropriate provide for the submission of this documentation to ONR. </w:t>
            </w:r>
          </w:p>
          <w:p w14:paraId="57305604" w14:textId="77777777" w:rsidR="00D07AFA" w:rsidRPr="00AA1B3C" w:rsidRDefault="00D07AFA" w:rsidP="00D07AFA">
            <w:pPr>
              <w:spacing w:before="80"/>
              <w:rPr>
                <w:rFonts w:cs="HelveticaNeueLT Std"/>
                <w:sz w:val="18"/>
                <w:szCs w:val="18"/>
              </w:rPr>
            </w:pPr>
            <w:r w:rsidRPr="00AA1B3C">
              <w:rPr>
                <w:rFonts w:cs="HelveticaNeueLT Std"/>
                <w:sz w:val="18"/>
                <w:szCs w:val="18"/>
              </w:rPr>
              <w:t>The licensee shall appoint a suitably qualified person or persons for the purpose of controlling, witnessing, recording and assessing the results of any tests carried out in accordance with the requirements of the aforesaid commissioning arrangements.</w:t>
            </w:r>
            <w:r w:rsidRPr="00AA1B3C">
              <w:rPr>
                <w:rFonts w:cs="HelveticaNeueLT Std"/>
                <w:sz w:val="18"/>
                <w:szCs w:val="18"/>
              </w:rPr>
              <w:br/>
              <w:t>The licensee shall ensure that full and accurate records are kept of the result of every test and operation carried out in pursuance of this condition.</w:t>
            </w:r>
          </w:p>
        </w:tc>
        <w:tc>
          <w:tcPr>
            <w:tcW w:w="5165" w:type="dxa"/>
            <w:tcBorders>
              <w:top w:val="double" w:sz="4" w:space="0" w:color="8DB3E2"/>
              <w:left w:val="double" w:sz="4" w:space="0" w:color="8DB3E2"/>
              <w:bottom w:val="double" w:sz="4" w:space="0" w:color="8DB3E2"/>
              <w:right w:val="double" w:sz="4" w:space="0" w:color="8DB3E2"/>
            </w:tcBorders>
          </w:tcPr>
          <w:p w14:paraId="57305605" w14:textId="77777777" w:rsidR="00D07AFA" w:rsidRPr="00AA1B3C" w:rsidRDefault="00D07AFA" w:rsidP="00D07AFA">
            <w:pPr>
              <w:spacing w:before="80"/>
              <w:rPr>
                <w:rFonts w:cs="HelveticaNeueLT Std"/>
                <w:sz w:val="18"/>
                <w:szCs w:val="18"/>
              </w:rPr>
            </w:pPr>
            <w:r w:rsidRPr="00AA1B3C">
              <w:rPr>
                <w:rFonts w:cs="HelveticaNeueLT Std"/>
                <w:sz w:val="18"/>
                <w:szCs w:val="18"/>
              </w:rPr>
              <w:t>Commissioning is the demonstration that the construction of the civil engineering structures, systems and components satisfy the adequate works information or construction requirements.</w:t>
            </w:r>
          </w:p>
          <w:p w14:paraId="57305606" w14:textId="78BB856A" w:rsidR="00D07AFA" w:rsidRPr="00AA1B3C" w:rsidRDefault="00D07AFA" w:rsidP="00AB10BE">
            <w:pPr>
              <w:spacing w:before="80"/>
              <w:rPr>
                <w:rFonts w:cs="HelveticaNeueLT Std"/>
                <w:sz w:val="18"/>
                <w:szCs w:val="18"/>
              </w:rPr>
            </w:pPr>
            <w:r w:rsidRPr="00AA1B3C">
              <w:rPr>
                <w:rFonts w:cs="HelveticaNeueLT Std"/>
                <w:sz w:val="18"/>
                <w:szCs w:val="18"/>
              </w:rPr>
              <w:t xml:space="preserve">The Inspector </w:t>
            </w:r>
            <w:r w:rsidR="00AB10BE" w:rsidRPr="00AA1B3C">
              <w:rPr>
                <w:rFonts w:cs="HelveticaNeueLT Std"/>
                <w:sz w:val="18"/>
                <w:szCs w:val="18"/>
              </w:rPr>
              <w:t>should</w:t>
            </w:r>
            <w:r w:rsidRPr="00AA1B3C">
              <w:rPr>
                <w:rFonts w:cs="HelveticaNeueLT Std"/>
                <w:sz w:val="18"/>
                <w:szCs w:val="18"/>
              </w:rPr>
              <w:t xml:space="preserve"> be aware of the potential for aggregation of minor issues over time, defect management and record keeping, retrofit of MEH, timing, snagging, damage during other activities, asset management, records prior to burying constructed elements, appropriate record storage, acceptance criteria, SQEP of staff for workmanship, supervision and surveillance, resources available, process maturity, contractor experience and competence.</w:t>
            </w:r>
          </w:p>
        </w:tc>
      </w:tr>
      <w:tr w:rsidR="00CC121D" w:rsidRPr="00CC121D" w14:paraId="57305609" w14:textId="77777777" w:rsidTr="00CC121D">
        <w:trPr>
          <w:jc w:val="center"/>
        </w:trPr>
        <w:tc>
          <w:tcPr>
            <w:tcW w:w="9686" w:type="dxa"/>
            <w:gridSpan w:val="2"/>
            <w:tcBorders>
              <w:top w:val="double" w:sz="4" w:space="0" w:color="8DB3E2"/>
              <w:left w:val="double" w:sz="4" w:space="0" w:color="8DB3E2"/>
              <w:bottom w:val="double" w:sz="4" w:space="0" w:color="8DB3E2"/>
              <w:right w:val="double" w:sz="4" w:space="0" w:color="8DB3E2"/>
            </w:tcBorders>
          </w:tcPr>
          <w:p w14:paraId="57305608" w14:textId="77777777" w:rsidR="00D07AFA" w:rsidRPr="00AA1B3C" w:rsidRDefault="00D07AFA" w:rsidP="00D07AFA">
            <w:pPr>
              <w:spacing w:before="80"/>
              <w:rPr>
                <w:rFonts w:cs="HelveticaNeueLT Std"/>
                <w:sz w:val="18"/>
                <w:szCs w:val="18"/>
              </w:rPr>
            </w:pPr>
            <w:r w:rsidRPr="00AA1B3C">
              <w:rPr>
                <w:rFonts w:cs="HelveticaNeueLT Std"/>
                <w:sz w:val="18"/>
                <w:szCs w:val="18"/>
              </w:rPr>
              <w:t xml:space="preserve">Licence Condition 22: Modification or experiment on an existing plant </w:t>
            </w:r>
          </w:p>
        </w:tc>
      </w:tr>
      <w:tr w:rsidR="00CC121D" w:rsidRPr="00CC121D" w14:paraId="5730560C" w14:textId="77777777" w:rsidTr="00AA1B3C">
        <w:trPr>
          <w:jc w:val="center"/>
        </w:trPr>
        <w:tc>
          <w:tcPr>
            <w:tcW w:w="4521" w:type="dxa"/>
            <w:tcBorders>
              <w:top w:val="double" w:sz="4" w:space="0" w:color="8DB3E2"/>
              <w:left w:val="double" w:sz="4" w:space="0" w:color="8DB3E2"/>
              <w:bottom w:val="double" w:sz="4" w:space="0" w:color="8DB3E2"/>
              <w:right w:val="double" w:sz="4" w:space="0" w:color="8DB3E2"/>
            </w:tcBorders>
          </w:tcPr>
          <w:p w14:paraId="5730560A" w14:textId="77777777" w:rsidR="00D07AFA" w:rsidRPr="00AA1B3C" w:rsidRDefault="00D07AFA" w:rsidP="00D07AFA">
            <w:pPr>
              <w:spacing w:before="80"/>
              <w:rPr>
                <w:sz w:val="18"/>
                <w:szCs w:val="18"/>
                <w:u w:val="single"/>
              </w:rPr>
            </w:pPr>
            <w:r w:rsidRPr="00AA1B3C">
              <w:rPr>
                <w:rFonts w:cs="HelveticaNeueLT Std"/>
                <w:sz w:val="18"/>
                <w:szCs w:val="18"/>
              </w:rPr>
              <w:t>The licensee shall make and implement adequate arrangements to control any modification or experiment carried out on any part of the existing plant or processes which may affect safety.</w:t>
            </w:r>
          </w:p>
        </w:tc>
        <w:tc>
          <w:tcPr>
            <w:tcW w:w="5165" w:type="dxa"/>
            <w:tcBorders>
              <w:top w:val="double" w:sz="4" w:space="0" w:color="8DB3E2"/>
              <w:left w:val="double" w:sz="4" w:space="0" w:color="8DB3E2"/>
              <w:bottom w:val="double" w:sz="4" w:space="0" w:color="8DB3E2"/>
              <w:right w:val="double" w:sz="4" w:space="0" w:color="8DB3E2"/>
            </w:tcBorders>
          </w:tcPr>
          <w:p w14:paraId="5730560B" w14:textId="75147668" w:rsidR="00D07AFA" w:rsidRPr="00AA1B3C" w:rsidRDefault="00D07AFA" w:rsidP="00D07AFA">
            <w:pPr>
              <w:spacing w:before="80"/>
              <w:rPr>
                <w:rFonts w:cs="HelveticaNeueLT Std"/>
                <w:sz w:val="18"/>
                <w:szCs w:val="18"/>
              </w:rPr>
            </w:pPr>
            <w:r w:rsidRPr="00AA1B3C">
              <w:rPr>
                <w:rFonts w:cs="HelveticaNeueLT Std"/>
                <w:sz w:val="18"/>
                <w:szCs w:val="18"/>
              </w:rPr>
              <w:t>Modification to existing plant can include new build sites and construction or modification of facilities on existing sites. This can also include modification or experiment on plant with no safety classification, if there is a potential for this work to impact on an adjacent nuclear safety significant structure.</w:t>
            </w:r>
          </w:p>
        </w:tc>
      </w:tr>
      <w:tr w:rsidR="00CC121D" w:rsidRPr="00CC121D" w14:paraId="5730560E" w14:textId="77777777" w:rsidTr="00CC121D">
        <w:trPr>
          <w:jc w:val="center"/>
        </w:trPr>
        <w:tc>
          <w:tcPr>
            <w:tcW w:w="9686" w:type="dxa"/>
            <w:gridSpan w:val="2"/>
            <w:tcBorders>
              <w:top w:val="double" w:sz="4" w:space="0" w:color="8DB3E2"/>
              <w:left w:val="double" w:sz="4" w:space="0" w:color="8DB3E2"/>
              <w:bottom w:val="double" w:sz="4" w:space="0" w:color="8DB3E2"/>
              <w:right w:val="double" w:sz="4" w:space="0" w:color="8DB3E2"/>
            </w:tcBorders>
          </w:tcPr>
          <w:p w14:paraId="5730560D" w14:textId="77777777" w:rsidR="00D07AFA" w:rsidRPr="00AA1B3C" w:rsidRDefault="00D07AFA" w:rsidP="00D07AFA">
            <w:pPr>
              <w:spacing w:before="80"/>
              <w:rPr>
                <w:rFonts w:cs="HelveticaNeueLT Std"/>
                <w:sz w:val="18"/>
                <w:szCs w:val="18"/>
                <w:highlight w:val="yellow"/>
              </w:rPr>
            </w:pPr>
            <w:r w:rsidRPr="00AA1B3C">
              <w:rPr>
                <w:sz w:val="18"/>
                <w:szCs w:val="18"/>
              </w:rPr>
              <w:t xml:space="preserve">Licence Condition </w:t>
            </w:r>
            <w:r w:rsidRPr="00AA1B3C">
              <w:rPr>
                <w:rFonts w:cs="HelveticaNeueLT Std"/>
                <w:sz w:val="18"/>
                <w:szCs w:val="18"/>
              </w:rPr>
              <w:t>23: Operating Rules</w:t>
            </w:r>
          </w:p>
        </w:tc>
      </w:tr>
      <w:tr w:rsidR="00CC121D" w:rsidRPr="00CC121D" w14:paraId="57305611" w14:textId="77777777" w:rsidTr="00AA1B3C">
        <w:trPr>
          <w:jc w:val="center"/>
        </w:trPr>
        <w:tc>
          <w:tcPr>
            <w:tcW w:w="4521" w:type="dxa"/>
            <w:tcBorders>
              <w:top w:val="double" w:sz="4" w:space="0" w:color="8DB3E2"/>
              <w:left w:val="double" w:sz="4" w:space="0" w:color="8DB3E2"/>
              <w:bottom w:val="double" w:sz="4" w:space="0" w:color="8DB3E2"/>
              <w:right w:val="double" w:sz="4" w:space="0" w:color="8DB3E2"/>
            </w:tcBorders>
          </w:tcPr>
          <w:p w14:paraId="5730560F" w14:textId="77777777" w:rsidR="00D07AFA" w:rsidRPr="00AA1B3C" w:rsidRDefault="00D07AFA" w:rsidP="00D07AFA">
            <w:pPr>
              <w:spacing w:before="80"/>
              <w:rPr>
                <w:rFonts w:cs="HelveticaNeueLT Std"/>
                <w:sz w:val="18"/>
                <w:szCs w:val="18"/>
                <w:highlight w:val="yellow"/>
              </w:rPr>
            </w:pPr>
            <w:r w:rsidRPr="00AA1B3C">
              <w:rPr>
                <w:rFonts w:cs="HelveticaNeueLT Std"/>
                <w:sz w:val="18"/>
                <w:szCs w:val="18"/>
              </w:rPr>
              <w:t>The licensee shall, in respect of any operation that may affect safety, produce an adequate safety case to demonstrate the safety of that operation and to identify the conditions and limits necessary in the interests of safety. Such conditions and limits shall hereinafter be referred to as operating rules.</w:t>
            </w:r>
          </w:p>
        </w:tc>
        <w:tc>
          <w:tcPr>
            <w:tcW w:w="5165" w:type="dxa"/>
            <w:tcBorders>
              <w:top w:val="double" w:sz="4" w:space="0" w:color="8DB3E2"/>
              <w:left w:val="double" w:sz="4" w:space="0" w:color="8DB3E2"/>
              <w:bottom w:val="double" w:sz="4" w:space="0" w:color="8DB3E2"/>
              <w:right w:val="double" w:sz="4" w:space="0" w:color="8DB3E2"/>
            </w:tcBorders>
          </w:tcPr>
          <w:p w14:paraId="57305610" w14:textId="77777777" w:rsidR="00D07AFA" w:rsidRPr="00AA1B3C" w:rsidRDefault="00D07AFA" w:rsidP="00D07AFA">
            <w:pPr>
              <w:spacing w:before="80"/>
              <w:rPr>
                <w:rFonts w:cs="HelveticaNeueLT Std"/>
                <w:sz w:val="18"/>
                <w:szCs w:val="18"/>
                <w:highlight w:val="yellow"/>
              </w:rPr>
            </w:pPr>
            <w:r w:rsidRPr="00AA1B3C">
              <w:rPr>
                <w:rFonts w:cs="HelveticaNeueLT Std"/>
                <w:sz w:val="18"/>
                <w:szCs w:val="18"/>
              </w:rPr>
              <w:t>Construction and operational considerations e.g. temporary loading on partially constructed or buried structures, or if a temporary operation requires assessment of dominant openings.</w:t>
            </w:r>
            <w:r w:rsidRPr="00AA1B3C">
              <w:rPr>
                <w:rFonts w:cs="HelveticaNeueLT Std"/>
                <w:sz w:val="18"/>
                <w:szCs w:val="18"/>
                <w:highlight w:val="yellow"/>
              </w:rPr>
              <w:t xml:space="preserve"> </w:t>
            </w:r>
          </w:p>
        </w:tc>
      </w:tr>
      <w:tr w:rsidR="00CC121D" w:rsidRPr="00CC121D" w14:paraId="57305613" w14:textId="77777777" w:rsidTr="00CC121D">
        <w:trPr>
          <w:jc w:val="center"/>
        </w:trPr>
        <w:tc>
          <w:tcPr>
            <w:tcW w:w="9686" w:type="dxa"/>
            <w:gridSpan w:val="2"/>
            <w:tcBorders>
              <w:top w:val="double" w:sz="4" w:space="0" w:color="8DB3E2"/>
              <w:left w:val="double" w:sz="4" w:space="0" w:color="8DB3E2"/>
              <w:bottom w:val="double" w:sz="4" w:space="0" w:color="8DB3E2"/>
              <w:right w:val="double" w:sz="4" w:space="0" w:color="8DB3E2"/>
            </w:tcBorders>
          </w:tcPr>
          <w:p w14:paraId="57305612" w14:textId="77777777" w:rsidR="00D07AFA" w:rsidRPr="00AA1B3C" w:rsidRDefault="00D07AFA" w:rsidP="00D07AFA">
            <w:pPr>
              <w:spacing w:before="80"/>
              <w:rPr>
                <w:rFonts w:cs="HelveticaNeueLT Std"/>
                <w:sz w:val="18"/>
                <w:szCs w:val="18"/>
                <w:highlight w:val="yellow"/>
              </w:rPr>
            </w:pPr>
            <w:r w:rsidRPr="00AA1B3C">
              <w:rPr>
                <w:sz w:val="18"/>
                <w:szCs w:val="18"/>
              </w:rPr>
              <w:t>Licence Condition 25: Operational Records</w:t>
            </w:r>
          </w:p>
        </w:tc>
      </w:tr>
      <w:tr w:rsidR="00CC121D" w:rsidRPr="00CC121D" w14:paraId="57305619" w14:textId="77777777" w:rsidTr="00AA1B3C">
        <w:trPr>
          <w:jc w:val="center"/>
        </w:trPr>
        <w:tc>
          <w:tcPr>
            <w:tcW w:w="4521" w:type="dxa"/>
            <w:tcBorders>
              <w:top w:val="double" w:sz="4" w:space="0" w:color="8DB3E2"/>
              <w:left w:val="double" w:sz="4" w:space="0" w:color="8DB3E2"/>
              <w:bottom w:val="double" w:sz="4" w:space="0" w:color="8DB3E2"/>
              <w:right w:val="double" w:sz="4" w:space="0" w:color="8DB3E2"/>
            </w:tcBorders>
          </w:tcPr>
          <w:p w14:paraId="57305614" w14:textId="77777777" w:rsidR="00D07AFA" w:rsidRPr="00AA1B3C" w:rsidRDefault="00D07AFA" w:rsidP="00D07AFA">
            <w:pPr>
              <w:spacing w:before="80"/>
              <w:rPr>
                <w:rFonts w:cs="HelveticaNeueLT Std"/>
                <w:sz w:val="18"/>
                <w:szCs w:val="18"/>
              </w:rPr>
            </w:pPr>
            <w:r w:rsidRPr="00AA1B3C">
              <w:rPr>
                <w:rFonts w:cs="HelveticaNeueLT Std"/>
                <w:sz w:val="18"/>
                <w:szCs w:val="18"/>
              </w:rPr>
              <w:t xml:space="preserve">The licensee shall ensure that adequate records are made of the operation, inspection and maintenance of any plant which may affect safety. </w:t>
            </w:r>
          </w:p>
          <w:p w14:paraId="57305617" w14:textId="50D404C7" w:rsidR="00D07AFA" w:rsidRPr="00AA1B3C" w:rsidRDefault="00D07AFA" w:rsidP="00D07AFA">
            <w:pPr>
              <w:spacing w:before="80"/>
              <w:rPr>
                <w:rFonts w:cs="HelveticaNeueLT Std"/>
                <w:sz w:val="18"/>
                <w:szCs w:val="18"/>
              </w:rPr>
            </w:pPr>
            <w:r w:rsidRPr="00AA1B3C">
              <w:rPr>
                <w:rFonts w:cs="HelveticaNeueLT Std"/>
                <w:sz w:val="18"/>
                <w:szCs w:val="18"/>
              </w:rPr>
              <w:t xml:space="preserve">The aforesaid records shall include records of the amount and location of all radioactive material, including nuclear fuel and radioactive waste, used, processed, stored or accumulated upon the site at any time. </w:t>
            </w:r>
          </w:p>
        </w:tc>
        <w:tc>
          <w:tcPr>
            <w:tcW w:w="5165" w:type="dxa"/>
            <w:tcBorders>
              <w:top w:val="double" w:sz="4" w:space="0" w:color="8DB3E2"/>
              <w:left w:val="double" w:sz="4" w:space="0" w:color="8DB3E2"/>
              <w:bottom w:val="double" w:sz="4" w:space="0" w:color="8DB3E2"/>
              <w:right w:val="double" w:sz="4" w:space="0" w:color="8DB3E2"/>
            </w:tcBorders>
          </w:tcPr>
          <w:p w14:paraId="57305618" w14:textId="77777777" w:rsidR="00D07AFA" w:rsidRPr="00AA1B3C" w:rsidRDefault="00D07AFA" w:rsidP="00D07AFA">
            <w:pPr>
              <w:spacing w:before="80"/>
              <w:rPr>
                <w:rFonts w:cs="HelveticaNeueLT Std"/>
                <w:sz w:val="18"/>
                <w:szCs w:val="18"/>
                <w:highlight w:val="yellow"/>
              </w:rPr>
            </w:pPr>
            <w:r w:rsidRPr="00AA1B3C">
              <w:rPr>
                <w:rFonts w:cs="HelveticaNeueLT Std"/>
                <w:sz w:val="18"/>
                <w:szCs w:val="18"/>
              </w:rPr>
              <w:t>Records of LC28 asset management inspections, including as-built records and ‘golden thread’ to safety functional requirements placed upon civil engineering SSCs. Record keeping, retention and storage for ease of access, including records of areas not accessed, as well as areas that have been accessed for inspection.</w:t>
            </w:r>
          </w:p>
        </w:tc>
      </w:tr>
      <w:tr w:rsidR="00CC121D" w:rsidRPr="00CC121D" w14:paraId="5730561B" w14:textId="77777777" w:rsidTr="00CC121D">
        <w:trPr>
          <w:jc w:val="center"/>
        </w:trPr>
        <w:tc>
          <w:tcPr>
            <w:tcW w:w="9686" w:type="dxa"/>
            <w:gridSpan w:val="2"/>
            <w:tcBorders>
              <w:top w:val="double" w:sz="4" w:space="0" w:color="8DB3E2"/>
              <w:left w:val="double" w:sz="4" w:space="0" w:color="8DB3E2"/>
              <w:bottom w:val="double" w:sz="4" w:space="0" w:color="8DB3E2"/>
              <w:right w:val="double" w:sz="4" w:space="0" w:color="8DB3E2"/>
            </w:tcBorders>
          </w:tcPr>
          <w:p w14:paraId="5730561A" w14:textId="77777777" w:rsidR="00D07AFA" w:rsidRPr="00AA1B3C" w:rsidRDefault="00D07AFA" w:rsidP="00D07AFA">
            <w:pPr>
              <w:spacing w:before="80"/>
              <w:rPr>
                <w:rFonts w:cs="HelveticaNeueLT Std"/>
                <w:sz w:val="18"/>
                <w:szCs w:val="18"/>
              </w:rPr>
            </w:pPr>
            <w:r w:rsidRPr="00AA1B3C">
              <w:rPr>
                <w:sz w:val="18"/>
                <w:szCs w:val="18"/>
              </w:rPr>
              <w:t xml:space="preserve">Licence Condition </w:t>
            </w:r>
            <w:r w:rsidRPr="00AA1B3C">
              <w:rPr>
                <w:rFonts w:cs="HelveticaNeueLT Std"/>
                <w:sz w:val="18"/>
                <w:szCs w:val="18"/>
              </w:rPr>
              <w:t>27: Safety mechanisms, devices and circuits</w:t>
            </w:r>
          </w:p>
        </w:tc>
      </w:tr>
      <w:tr w:rsidR="00CC121D" w:rsidRPr="00CC121D" w14:paraId="5730561E" w14:textId="77777777" w:rsidTr="00AA1B3C">
        <w:trPr>
          <w:jc w:val="center"/>
        </w:trPr>
        <w:tc>
          <w:tcPr>
            <w:tcW w:w="4521" w:type="dxa"/>
            <w:tcBorders>
              <w:top w:val="double" w:sz="4" w:space="0" w:color="8DB3E2"/>
              <w:left w:val="double" w:sz="4" w:space="0" w:color="8DB3E2"/>
              <w:bottom w:val="double" w:sz="4" w:space="0" w:color="8DB3E2"/>
              <w:right w:val="double" w:sz="4" w:space="0" w:color="8DB3E2"/>
            </w:tcBorders>
          </w:tcPr>
          <w:p w14:paraId="5730561C" w14:textId="77777777" w:rsidR="00D07AFA" w:rsidRPr="00AA1B3C" w:rsidRDefault="00D07AFA" w:rsidP="00D07AFA">
            <w:pPr>
              <w:spacing w:before="80"/>
              <w:rPr>
                <w:rFonts w:cs="HelveticaNeueLT Std"/>
                <w:sz w:val="18"/>
                <w:szCs w:val="18"/>
              </w:rPr>
            </w:pPr>
            <w:r w:rsidRPr="00AA1B3C">
              <w:rPr>
                <w:rFonts w:cs="HelveticaNeueLT Std"/>
                <w:sz w:val="18"/>
                <w:szCs w:val="18"/>
              </w:rPr>
              <w:t>The licensee shall ensure that a plant is not operated, inspected, maintained or tested unless suitable and sufficient safety mechanisms, devices and circuits are properly connected and in good working order.</w:t>
            </w:r>
          </w:p>
        </w:tc>
        <w:tc>
          <w:tcPr>
            <w:tcW w:w="5165" w:type="dxa"/>
            <w:tcBorders>
              <w:top w:val="double" w:sz="4" w:space="0" w:color="8DB3E2"/>
              <w:left w:val="double" w:sz="4" w:space="0" w:color="8DB3E2"/>
              <w:bottom w:val="double" w:sz="4" w:space="0" w:color="8DB3E2"/>
              <w:right w:val="double" w:sz="4" w:space="0" w:color="8DB3E2"/>
            </w:tcBorders>
          </w:tcPr>
          <w:p w14:paraId="5730561D" w14:textId="77777777" w:rsidR="00D07AFA" w:rsidRPr="00AA1B3C" w:rsidRDefault="00D07AFA" w:rsidP="00D07AFA">
            <w:pPr>
              <w:spacing w:before="80"/>
              <w:rPr>
                <w:rFonts w:cs="HelveticaNeueLT Std"/>
                <w:sz w:val="18"/>
                <w:szCs w:val="18"/>
              </w:rPr>
            </w:pPr>
            <w:r w:rsidRPr="00AA1B3C">
              <w:rPr>
                <w:rFonts w:cs="HelveticaNeueLT Std"/>
                <w:sz w:val="18"/>
                <w:szCs w:val="18"/>
              </w:rPr>
              <w:t>Doors, blast panels, flood b</w:t>
            </w:r>
            <w:r w:rsidR="00BA2113" w:rsidRPr="00AA1B3C">
              <w:rPr>
                <w:rFonts w:cs="HelveticaNeueLT Std"/>
                <w:sz w:val="18"/>
                <w:szCs w:val="18"/>
              </w:rPr>
              <w:t>arriers and/or mobile shielding, plus non civil engineering SSCs which interact</w:t>
            </w:r>
            <w:r w:rsidRPr="00AA1B3C">
              <w:rPr>
                <w:rFonts w:cs="HelveticaNeueLT Std"/>
                <w:sz w:val="18"/>
                <w:szCs w:val="18"/>
              </w:rPr>
              <w:t xml:space="preserve"> with or protects civil engineering SSCs </w:t>
            </w:r>
          </w:p>
        </w:tc>
      </w:tr>
      <w:tr w:rsidR="00CC121D" w:rsidRPr="00CC121D" w14:paraId="57305620" w14:textId="77777777" w:rsidTr="00CC121D">
        <w:trPr>
          <w:jc w:val="center"/>
        </w:trPr>
        <w:tc>
          <w:tcPr>
            <w:tcW w:w="9686" w:type="dxa"/>
            <w:gridSpan w:val="2"/>
            <w:tcBorders>
              <w:top w:val="double" w:sz="4" w:space="0" w:color="8DB3E2"/>
              <w:left w:val="double" w:sz="4" w:space="0" w:color="8DB3E2"/>
              <w:bottom w:val="double" w:sz="4" w:space="0" w:color="8DB3E2"/>
              <w:right w:val="double" w:sz="4" w:space="0" w:color="8DB3E2"/>
            </w:tcBorders>
          </w:tcPr>
          <w:p w14:paraId="5730561F" w14:textId="77777777" w:rsidR="00D07AFA" w:rsidRPr="00AA1B3C" w:rsidRDefault="00D07AFA" w:rsidP="00D07AFA">
            <w:pPr>
              <w:spacing w:before="80"/>
              <w:rPr>
                <w:rFonts w:cs="HelveticaNeueLT Std"/>
                <w:sz w:val="18"/>
                <w:szCs w:val="18"/>
              </w:rPr>
            </w:pPr>
            <w:r w:rsidRPr="00AA1B3C">
              <w:rPr>
                <w:rFonts w:cs="HelveticaNeueLT Std"/>
                <w:sz w:val="18"/>
                <w:szCs w:val="18"/>
              </w:rPr>
              <w:t>Licence Condition 28: Examination, Inspection, Maintenance and Testing (EIMT)</w:t>
            </w:r>
          </w:p>
        </w:tc>
      </w:tr>
      <w:tr w:rsidR="00CC121D" w:rsidRPr="00CC121D" w14:paraId="57305623" w14:textId="77777777" w:rsidTr="00AA1B3C">
        <w:trPr>
          <w:jc w:val="center"/>
        </w:trPr>
        <w:tc>
          <w:tcPr>
            <w:tcW w:w="4521" w:type="dxa"/>
            <w:tcBorders>
              <w:top w:val="double" w:sz="4" w:space="0" w:color="8DB3E2"/>
              <w:left w:val="double" w:sz="4" w:space="0" w:color="8DB3E2"/>
              <w:bottom w:val="double" w:sz="4" w:space="0" w:color="8DB3E2"/>
              <w:right w:val="double" w:sz="4" w:space="0" w:color="8DB3E2"/>
            </w:tcBorders>
          </w:tcPr>
          <w:p w14:paraId="57305621" w14:textId="77777777" w:rsidR="00D07AFA" w:rsidRPr="00AA1B3C" w:rsidRDefault="00D07AFA" w:rsidP="00D07AFA">
            <w:pPr>
              <w:spacing w:before="80"/>
              <w:rPr>
                <w:sz w:val="18"/>
                <w:szCs w:val="18"/>
              </w:rPr>
            </w:pPr>
            <w:r w:rsidRPr="00AA1B3C">
              <w:rPr>
                <w:rFonts w:cs="HelveticaNeueLT Std"/>
                <w:sz w:val="18"/>
                <w:szCs w:val="18"/>
              </w:rPr>
              <w:t>The licensee shall make and implement adequate arrangements for the regular and systematic examination, inspection, maintenance and testing of all plant which may affect safety.</w:t>
            </w:r>
          </w:p>
        </w:tc>
        <w:tc>
          <w:tcPr>
            <w:tcW w:w="5165" w:type="dxa"/>
            <w:tcBorders>
              <w:top w:val="double" w:sz="4" w:space="0" w:color="8DB3E2"/>
              <w:left w:val="double" w:sz="4" w:space="0" w:color="8DB3E2"/>
              <w:bottom w:val="double" w:sz="4" w:space="0" w:color="8DB3E2"/>
              <w:right w:val="double" w:sz="4" w:space="0" w:color="8DB3E2"/>
            </w:tcBorders>
          </w:tcPr>
          <w:p w14:paraId="57305622" w14:textId="72D47127" w:rsidR="00D07AFA" w:rsidRPr="00AA1B3C" w:rsidRDefault="00D07AFA" w:rsidP="00D07AFA">
            <w:pPr>
              <w:spacing w:before="80"/>
              <w:rPr>
                <w:rFonts w:cs="HelveticaNeueLT Std"/>
                <w:sz w:val="18"/>
                <w:szCs w:val="18"/>
              </w:rPr>
            </w:pPr>
            <w:r w:rsidRPr="00AA1B3C">
              <w:rPr>
                <w:rFonts w:cs="HelveticaNeueLT Std"/>
                <w:sz w:val="18"/>
                <w:szCs w:val="18"/>
              </w:rPr>
              <w:t xml:space="preserve">LC28 inspections on civil engineering structures and infrastructure are required on a regular basis, the frequency to be informed by the present condition and the lifetime requirements. The records regarding EIMT decision making are particularly </w:t>
            </w:r>
            <w:r w:rsidR="00033546" w:rsidRPr="00AA1B3C">
              <w:rPr>
                <w:rFonts w:cs="HelveticaNeueLT Std"/>
                <w:sz w:val="18"/>
                <w:szCs w:val="18"/>
              </w:rPr>
              <w:t>key for ongoing knowledge management</w:t>
            </w:r>
            <w:r w:rsidRPr="00AA1B3C">
              <w:rPr>
                <w:rFonts w:cs="HelveticaNeueLT Std"/>
                <w:sz w:val="18"/>
                <w:szCs w:val="18"/>
              </w:rPr>
              <w:t>.</w:t>
            </w:r>
          </w:p>
        </w:tc>
      </w:tr>
      <w:tr w:rsidR="00CC121D" w:rsidRPr="00CC121D" w14:paraId="57305625" w14:textId="77777777" w:rsidTr="00CC121D">
        <w:trPr>
          <w:trHeight w:val="395"/>
          <w:jc w:val="center"/>
        </w:trPr>
        <w:tc>
          <w:tcPr>
            <w:tcW w:w="9686" w:type="dxa"/>
            <w:gridSpan w:val="2"/>
            <w:tcBorders>
              <w:top w:val="double" w:sz="4" w:space="0" w:color="8DB3E2"/>
              <w:left w:val="double" w:sz="4" w:space="0" w:color="8DB3E2"/>
              <w:bottom w:val="double" w:sz="4" w:space="0" w:color="8DB3E2"/>
              <w:right w:val="double" w:sz="4" w:space="0" w:color="8DB3E2"/>
            </w:tcBorders>
          </w:tcPr>
          <w:p w14:paraId="57305624" w14:textId="77777777" w:rsidR="00D07AFA" w:rsidRPr="00AA1B3C" w:rsidRDefault="00D07AFA" w:rsidP="00D07AFA">
            <w:pPr>
              <w:spacing w:before="80"/>
              <w:rPr>
                <w:rFonts w:cs="HelveticaNeueLT Std"/>
                <w:sz w:val="18"/>
                <w:szCs w:val="18"/>
              </w:rPr>
            </w:pPr>
            <w:r w:rsidRPr="00AA1B3C">
              <w:rPr>
                <w:rFonts w:cs="HelveticaNeueLT Std"/>
                <w:sz w:val="18"/>
                <w:szCs w:val="18"/>
              </w:rPr>
              <w:t>Licence Condition 29: Duty to carry out tests, inspections and examinations</w:t>
            </w:r>
          </w:p>
        </w:tc>
      </w:tr>
      <w:tr w:rsidR="00CC121D" w:rsidRPr="00CC121D" w14:paraId="57305629" w14:textId="77777777" w:rsidTr="00AA1B3C">
        <w:trPr>
          <w:jc w:val="center"/>
        </w:trPr>
        <w:tc>
          <w:tcPr>
            <w:tcW w:w="4521" w:type="dxa"/>
            <w:tcBorders>
              <w:top w:val="double" w:sz="4" w:space="0" w:color="8DB3E2"/>
              <w:left w:val="double" w:sz="4" w:space="0" w:color="8DB3E2"/>
              <w:bottom w:val="double" w:sz="4" w:space="0" w:color="8DB3E2"/>
              <w:right w:val="double" w:sz="4" w:space="0" w:color="8DB3E2"/>
            </w:tcBorders>
          </w:tcPr>
          <w:p w14:paraId="57305626" w14:textId="77777777" w:rsidR="00D07AFA" w:rsidRPr="00AA1B3C" w:rsidRDefault="00D07AFA" w:rsidP="00D07AFA">
            <w:pPr>
              <w:spacing w:before="80"/>
              <w:rPr>
                <w:rFonts w:cs="HelveticaNeueLT Std"/>
                <w:sz w:val="18"/>
                <w:szCs w:val="18"/>
              </w:rPr>
            </w:pPr>
            <w:r w:rsidRPr="00AA1B3C">
              <w:rPr>
                <w:rFonts w:cs="HelveticaNeueLT Std"/>
                <w:sz w:val="18"/>
                <w:szCs w:val="18"/>
              </w:rPr>
              <w:t xml:space="preserve">The licensee shall carry out such tests, inspections and examinations in connection with any plant (in addition to any carried out under Condition 28 above) as ONR may, after consultation with the licensee, </w:t>
            </w:r>
            <w:r w:rsidRPr="00AA1B3C">
              <w:rPr>
                <w:sz w:val="18"/>
                <w:szCs w:val="18"/>
              </w:rPr>
              <w:t>specify</w:t>
            </w:r>
            <w:r w:rsidRPr="00AA1B3C">
              <w:rPr>
                <w:rFonts w:cs="HelveticaNeueLT Std"/>
                <w:sz w:val="18"/>
                <w:szCs w:val="18"/>
              </w:rPr>
              <w:t xml:space="preserve"> and</w:t>
            </w:r>
          </w:p>
          <w:p w14:paraId="57305627" w14:textId="77777777" w:rsidR="00D07AFA" w:rsidRPr="00AA1B3C" w:rsidRDefault="00D07AFA" w:rsidP="00D07AFA">
            <w:pPr>
              <w:spacing w:before="80"/>
              <w:rPr>
                <w:sz w:val="18"/>
                <w:szCs w:val="18"/>
              </w:rPr>
            </w:pPr>
            <w:r w:rsidRPr="00AA1B3C">
              <w:rPr>
                <w:rFonts w:cs="HelveticaNeueLT Std"/>
                <w:sz w:val="18"/>
                <w:szCs w:val="18"/>
              </w:rPr>
              <w:t>The licensee shall furnish the results of any tests, inspections and examinations carried out in accordance with paragraph 1 of this condition to ONR as soon as practicable.</w:t>
            </w:r>
          </w:p>
        </w:tc>
        <w:tc>
          <w:tcPr>
            <w:tcW w:w="5165" w:type="dxa"/>
            <w:tcBorders>
              <w:top w:val="double" w:sz="4" w:space="0" w:color="8DB3E2"/>
              <w:left w:val="double" w:sz="4" w:space="0" w:color="8DB3E2"/>
              <w:bottom w:val="double" w:sz="4" w:space="0" w:color="8DB3E2"/>
              <w:right w:val="double" w:sz="4" w:space="0" w:color="8DB3E2"/>
            </w:tcBorders>
          </w:tcPr>
          <w:p w14:paraId="57305628" w14:textId="7551B4A6" w:rsidR="00D07AFA" w:rsidRPr="00AA1B3C" w:rsidRDefault="00D07AFA" w:rsidP="00D07AFA">
            <w:pPr>
              <w:spacing w:before="80"/>
              <w:rPr>
                <w:rFonts w:cs="HelveticaNeueLT Std"/>
                <w:sz w:val="18"/>
                <w:szCs w:val="18"/>
              </w:rPr>
            </w:pPr>
            <w:r w:rsidRPr="00AA1B3C">
              <w:rPr>
                <w:rFonts w:cs="HelveticaNeueLT Std"/>
                <w:sz w:val="18"/>
                <w:szCs w:val="18"/>
              </w:rPr>
              <w:t>ONR may specify tests, inspections or examination of particular civil engineering elements on site when there is a concern regarding their capacity to fulfil their safety functional requirements for the duration of the required lifetime. This is in relation to all phases of civil engineering, including design or site mock</w:t>
            </w:r>
            <w:r w:rsidR="00961478" w:rsidRPr="00AA1B3C">
              <w:rPr>
                <w:rFonts w:cs="HelveticaNeueLT Std"/>
                <w:sz w:val="18"/>
                <w:szCs w:val="18"/>
              </w:rPr>
              <w:t>-</w:t>
            </w:r>
            <w:r w:rsidRPr="00AA1B3C">
              <w:rPr>
                <w:rFonts w:cs="HelveticaNeueLT Std"/>
                <w:sz w:val="18"/>
                <w:szCs w:val="18"/>
              </w:rPr>
              <w:t>ups and trials, or to provide confidence around resolving non-conformances or defects during construction or modification. This also applies to existing plant when considering ag</w:t>
            </w:r>
            <w:r w:rsidR="009F16D9" w:rsidRPr="00AA1B3C">
              <w:rPr>
                <w:rFonts w:cs="HelveticaNeueLT Std"/>
                <w:sz w:val="18"/>
                <w:szCs w:val="18"/>
              </w:rPr>
              <w:t>e</w:t>
            </w:r>
            <w:r w:rsidRPr="00AA1B3C">
              <w:rPr>
                <w:rFonts w:cs="HelveticaNeueLT Std"/>
                <w:sz w:val="18"/>
                <w:szCs w:val="18"/>
              </w:rPr>
              <w:t>ing management, fault scenarios or defects.</w:t>
            </w:r>
          </w:p>
        </w:tc>
      </w:tr>
      <w:tr w:rsidR="00CC121D" w:rsidRPr="00CC121D" w14:paraId="5730562B" w14:textId="77777777" w:rsidTr="00CC121D">
        <w:trPr>
          <w:jc w:val="center"/>
        </w:trPr>
        <w:tc>
          <w:tcPr>
            <w:tcW w:w="9686" w:type="dxa"/>
            <w:gridSpan w:val="2"/>
            <w:tcBorders>
              <w:top w:val="double" w:sz="4" w:space="0" w:color="8DB3E2"/>
              <w:left w:val="double" w:sz="4" w:space="0" w:color="8DB3E2"/>
              <w:bottom w:val="double" w:sz="4" w:space="0" w:color="8DB3E2"/>
              <w:right w:val="double" w:sz="4" w:space="0" w:color="8DB3E2"/>
            </w:tcBorders>
          </w:tcPr>
          <w:p w14:paraId="5730562A" w14:textId="77777777" w:rsidR="00D07AFA" w:rsidRPr="00AA1B3C" w:rsidRDefault="00D07AFA" w:rsidP="00D07AFA">
            <w:pPr>
              <w:spacing w:before="80"/>
              <w:rPr>
                <w:rFonts w:cs="HelveticaNeueLT Std"/>
                <w:sz w:val="18"/>
                <w:szCs w:val="18"/>
              </w:rPr>
            </w:pPr>
            <w:r w:rsidRPr="00AA1B3C">
              <w:rPr>
                <w:rFonts w:cs="HelveticaNeueLT Std"/>
                <w:sz w:val="18"/>
                <w:szCs w:val="18"/>
              </w:rPr>
              <w:t>Licence Condition 34: Leakage and escape of radioactive material and radioactive waste</w:t>
            </w:r>
          </w:p>
        </w:tc>
      </w:tr>
      <w:tr w:rsidR="00CC121D" w:rsidRPr="00CC121D" w14:paraId="5730562F" w14:textId="77777777" w:rsidTr="00AA1B3C">
        <w:trPr>
          <w:jc w:val="center"/>
        </w:trPr>
        <w:tc>
          <w:tcPr>
            <w:tcW w:w="4521" w:type="dxa"/>
            <w:tcBorders>
              <w:top w:val="double" w:sz="4" w:space="0" w:color="8DB3E2"/>
              <w:left w:val="double" w:sz="4" w:space="0" w:color="8DB3E2"/>
              <w:bottom w:val="double" w:sz="4" w:space="0" w:color="8DB3E2"/>
              <w:right w:val="double" w:sz="4" w:space="0" w:color="8DB3E2"/>
            </w:tcBorders>
          </w:tcPr>
          <w:p w14:paraId="5730562C" w14:textId="77777777" w:rsidR="00D07AFA" w:rsidRPr="00AA1B3C" w:rsidRDefault="00D07AFA" w:rsidP="00D07AFA">
            <w:pPr>
              <w:spacing w:before="80"/>
              <w:rPr>
                <w:sz w:val="18"/>
                <w:szCs w:val="18"/>
              </w:rPr>
            </w:pPr>
            <w:r w:rsidRPr="00AA1B3C">
              <w:rPr>
                <w:rFonts w:cs="HelveticaNeueLT Std"/>
                <w:sz w:val="18"/>
                <w:szCs w:val="18"/>
              </w:rPr>
              <w:t>The licensee shall ensure, so far as is reasonably practicable, that radioactive material and radioactive waste on the site is at all times adequately controlled or contained so that it cannot leak or otherwise escape from such control or containment.</w:t>
            </w:r>
          </w:p>
        </w:tc>
        <w:tc>
          <w:tcPr>
            <w:tcW w:w="5165" w:type="dxa"/>
            <w:tcBorders>
              <w:top w:val="double" w:sz="4" w:space="0" w:color="8DB3E2"/>
              <w:left w:val="double" w:sz="4" w:space="0" w:color="8DB3E2"/>
              <w:bottom w:val="double" w:sz="4" w:space="0" w:color="8DB3E2"/>
              <w:right w:val="double" w:sz="4" w:space="0" w:color="8DB3E2"/>
            </w:tcBorders>
          </w:tcPr>
          <w:p w14:paraId="5730562D" w14:textId="3A750E51" w:rsidR="00D07AFA" w:rsidRPr="00AA1B3C" w:rsidRDefault="00D07AFA" w:rsidP="00D07AFA">
            <w:pPr>
              <w:spacing w:before="80"/>
              <w:rPr>
                <w:rFonts w:cs="HelveticaNeueLT Std"/>
                <w:sz w:val="18"/>
                <w:szCs w:val="18"/>
              </w:rPr>
            </w:pPr>
            <w:r w:rsidRPr="00AA1B3C">
              <w:rPr>
                <w:rFonts w:cs="HelveticaNeueLT Std"/>
                <w:sz w:val="18"/>
                <w:szCs w:val="18"/>
              </w:rPr>
              <w:t xml:space="preserve">Some facilities have a safety functional requirement for </w:t>
            </w:r>
            <w:r w:rsidR="00BA2113" w:rsidRPr="00AA1B3C">
              <w:rPr>
                <w:rFonts w:cs="HelveticaNeueLT Std"/>
                <w:sz w:val="18"/>
                <w:szCs w:val="18"/>
              </w:rPr>
              <w:t>structures</w:t>
            </w:r>
            <w:r w:rsidRPr="00AA1B3C">
              <w:rPr>
                <w:rFonts w:cs="HelveticaNeueLT Std"/>
                <w:sz w:val="18"/>
                <w:szCs w:val="18"/>
              </w:rPr>
              <w:t xml:space="preserve"> to be leak-tight or water-tight. It is </w:t>
            </w:r>
            <w:r w:rsidR="00033546" w:rsidRPr="00AA1B3C">
              <w:rPr>
                <w:rFonts w:cs="HelveticaNeueLT Std"/>
                <w:sz w:val="18"/>
                <w:szCs w:val="18"/>
              </w:rPr>
              <w:t xml:space="preserve">key for the </w:t>
            </w:r>
            <w:proofErr w:type="spellStart"/>
            <w:r w:rsidR="00033546" w:rsidRPr="00AA1B3C">
              <w:rPr>
                <w:rFonts w:cs="HelveticaNeueLT Std"/>
                <w:sz w:val="18"/>
                <w:szCs w:val="18"/>
              </w:rPr>
              <w:t>dutyholder</w:t>
            </w:r>
            <w:proofErr w:type="spellEnd"/>
            <w:r w:rsidR="00033546" w:rsidRPr="00AA1B3C">
              <w:rPr>
                <w:rFonts w:cs="HelveticaNeueLT Std"/>
                <w:sz w:val="18"/>
                <w:szCs w:val="18"/>
              </w:rPr>
              <w:t>,</w:t>
            </w:r>
            <w:r w:rsidRPr="00AA1B3C">
              <w:rPr>
                <w:rFonts w:cs="HelveticaNeueLT Std"/>
                <w:sz w:val="18"/>
                <w:szCs w:val="18"/>
              </w:rPr>
              <w:t xml:space="preserve"> when specifying requirements</w:t>
            </w:r>
            <w:r w:rsidR="00033546" w:rsidRPr="00AA1B3C">
              <w:rPr>
                <w:rFonts w:cs="HelveticaNeueLT Std"/>
                <w:sz w:val="18"/>
                <w:szCs w:val="18"/>
              </w:rPr>
              <w:t>,</w:t>
            </w:r>
            <w:r w:rsidRPr="00AA1B3C">
              <w:rPr>
                <w:rFonts w:cs="HelveticaNeueLT Std"/>
                <w:sz w:val="18"/>
                <w:szCs w:val="18"/>
              </w:rPr>
              <w:t xml:space="preserve"> to </w:t>
            </w:r>
            <w:r w:rsidR="008C3F05" w:rsidRPr="00AA1B3C">
              <w:rPr>
                <w:rFonts w:cs="HelveticaNeueLT Std"/>
                <w:sz w:val="18"/>
                <w:szCs w:val="18"/>
              </w:rPr>
              <w:t>seek assurance</w:t>
            </w:r>
            <w:r w:rsidRPr="00AA1B3C">
              <w:rPr>
                <w:rFonts w:cs="HelveticaNeueLT Std"/>
                <w:sz w:val="18"/>
                <w:szCs w:val="18"/>
              </w:rPr>
              <w:t xml:space="preserve"> that safety functional requirements related to leakage and escape are achievable, in early design stages avoiding generic statements such as ‘</w:t>
            </w:r>
            <w:r w:rsidR="006523CD" w:rsidRPr="00AA1B3C">
              <w:rPr>
                <w:rFonts w:cs="HelveticaNeueLT Std"/>
                <w:sz w:val="18"/>
                <w:szCs w:val="18"/>
              </w:rPr>
              <w:t>leak tight</w:t>
            </w:r>
            <w:r w:rsidRPr="00AA1B3C">
              <w:rPr>
                <w:rFonts w:cs="HelveticaNeueLT Std"/>
                <w:sz w:val="18"/>
                <w:szCs w:val="18"/>
              </w:rPr>
              <w:t>’ or ‘watertight’</w:t>
            </w:r>
            <w:r w:rsidR="00BA2113" w:rsidRPr="00AA1B3C">
              <w:rPr>
                <w:rFonts w:cs="HelveticaNeueLT Std"/>
                <w:sz w:val="18"/>
                <w:szCs w:val="18"/>
              </w:rPr>
              <w:t>. Facilities should be designed that any leakage or release can be detected, monitored and collected.</w:t>
            </w:r>
          </w:p>
          <w:p w14:paraId="5730562E" w14:textId="5B792BD0" w:rsidR="00D07AFA" w:rsidRPr="00AA1B3C" w:rsidRDefault="00D07AFA" w:rsidP="008C3F05">
            <w:pPr>
              <w:spacing w:before="80"/>
              <w:rPr>
                <w:rFonts w:cs="HelveticaNeueLT Std"/>
                <w:sz w:val="18"/>
                <w:szCs w:val="18"/>
              </w:rPr>
            </w:pPr>
            <w:r w:rsidRPr="00AA1B3C">
              <w:rPr>
                <w:rFonts w:cs="HelveticaNeueLT Std"/>
                <w:sz w:val="18"/>
                <w:szCs w:val="18"/>
              </w:rPr>
              <w:t xml:space="preserve">The containment TAG </w:t>
            </w:r>
            <w:r w:rsidR="008C3F05" w:rsidRPr="00AA1B3C">
              <w:rPr>
                <w:rFonts w:cs="HelveticaNeueLT Std"/>
                <w:sz w:val="18"/>
                <w:szCs w:val="18"/>
              </w:rPr>
              <w:t>(</w:t>
            </w:r>
            <w:r w:rsidR="00561E8F" w:rsidRPr="00AA1B3C">
              <w:rPr>
                <w:rFonts w:cs="HelveticaNeueLT Std"/>
                <w:sz w:val="18"/>
                <w:szCs w:val="18"/>
              </w:rPr>
              <w:t>ONR-</w:t>
            </w:r>
            <w:r w:rsidR="008C3F05" w:rsidRPr="00AA1B3C">
              <w:rPr>
                <w:rFonts w:cs="HelveticaNeueLT Std"/>
                <w:sz w:val="18"/>
                <w:szCs w:val="18"/>
              </w:rPr>
              <w:t xml:space="preserve">NS-TAST-GD-020) </w:t>
            </w:r>
            <w:r w:rsidRPr="00AA1B3C">
              <w:rPr>
                <w:rFonts w:cs="HelveticaNeueLT Std"/>
                <w:sz w:val="18"/>
                <w:szCs w:val="18"/>
              </w:rPr>
              <w:t xml:space="preserve">covers </w:t>
            </w:r>
            <w:r w:rsidR="008C3F05" w:rsidRPr="00AA1B3C">
              <w:rPr>
                <w:rFonts w:cs="HelveticaNeueLT Std"/>
                <w:sz w:val="18"/>
                <w:szCs w:val="18"/>
              </w:rPr>
              <w:t xml:space="preserve">watertight and </w:t>
            </w:r>
            <w:r w:rsidR="006523CD" w:rsidRPr="00AA1B3C">
              <w:rPr>
                <w:rFonts w:cs="HelveticaNeueLT Std"/>
                <w:sz w:val="18"/>
                <w:szCs w:val="18"/>
              </w:rPr>
              <w:t>leak tightness</w:t>
            </w:r>
            <w:r w:rsidR="008C3F05" w:rsidRPr="00AA1B3C">
              <w:rPr>
                <w:rFonts w:cs="HelveticaNeueLT Std"/>
                <w:sz w:val="18"/>
                <w:szCs w:val="18"/>
              </w:rPr>
              <w:t xml:space="preserve"> considerations </w:t>
            </w:r>
            <w:r w:rsidRPr="00AA1B3C">
              <w:rPr>
                <w:rFonts w:cs="HelveticaNeueLT Std"/>
                <w:sz w:val="18"/>
                <w:szCs w:val="18"/>
              </w:rPr>
              <w:t>in more detail.</w:t>
            </w:r>
          </w:p>
        </w:tc>
      </w:tr>
      <w:tr w:rsidR="00CC121D" w:rsidRPr="00CC121D" w14:paraId="57305631" w14:textId="77777777" w:rsidTr="00CC121D">
        <w:trPr>
          <w:jc w:val="center"/>
        </w:trPr>
        <w:tc>
          <w:tcPr>
            <w:tcW w:w="9686" w:type="dxa"/>
            <w:gridSpan w:val="2"/>
            <w:tcBorders>
              <w:top w:val="double" w:sz="4" w:space="0" w:color="8DB3E2"/>
              <w:left w:val="double" w:sz="4" w:space="0" w:color="8DB3E2"/>
              <w:bottom w:val="double" w:sz="4" w:space="0" w:color="8DB3E2"/>
              <w:right w:val="double" w:sz="4" w:space="0" w:color="8DB3E2"/>
            </w:tcBorders>
          </w:tcPr>
          <w:p w14:paraId="57305630" w14:textId="77777777" w:rsidR="00D07AFA" w:rsidRPr="00AA1B3C" w:rsidRDefault="00D07AFA" w:rsidP="00D07AFA">
            <w:pPr>
              <w:spacing w:before="80"/>
              <w:rPr>
                <w:rFonts w:cs="HelveticaNeueLT Std"/>
                <w:sz w:val="18"/>
                <w:szCs w:val="18"/>
              </w:rPr>
            </w:pPr>
            <w:r w:rsidRPr="00AA1B3C">
              <w:rPr>
                <w:rFonts w:cs="HelveticaNeueLT Std"/>
                <w:sz w:val="18"/>
                <w:szCs w:val="18"/>
              </w:rPr>
              <w:t>Licence Condition 35: Decommissioning</w:t>
            </w:r>
          </w:p>
        </w:tc>
      </w:tr>
      <w:tr w:rsidR="00D07AFA" w:rsidRPr="00CC121D" w14:paraId="57305635" w14:textId="77777777" w:rsidTr="00AA1B3C">
        <w:trPr>
          <w:trHeight w:val="1204"/>
          <w:jc w:val="center"/>
        </w:trPr>
        <w:tc>
          <w:tcPr>
            <w:tcW w:w="4521" w:type="dxa"/>
            <w:tcBorders>
              <w:top w:val="double" w:sz="4" w:space="0" w:color="8DB3E2"/>
              <w:left w:val="double" w:sz="4" w:space="0" w:color="8DB3E2"/>
              <w:bottom w:val="double" w:sz="4" w:space="0" w:color="8DB3E2"/>
              <w:right w:val="double" w:sz="4" w:space="0" w:color="8DB3E2"/>
            </w:tcBorders>
          </w:tcPr>
          <w:p w14:paraId="57305632" w14:textId="77777777" w:rsidR="00D07AFA" w:rsidRPr="00AA1B3C" w:rsidRDefault="00D07AFA" w:rsidP="00D07AFA">
            <w:pPr>
              <w:spacing w:before="80"/>
              <w:rPr>
                <w:sz w:val="18"/>
                <w:szCs w:val="18"/>
                <w:u w:val="single"/>
              </w:rPr>
            </w:pPr>
            <w:r w:rsidRPr="00AA1B3C">
              <w:rPr>
                <w:rFonts w:cs="HelveticaNeueLT Std"/>
                <w:sz w:val="18"/>
                <w:szCs w:val="18"/>
              </w:rPr>
              <w:t>The licensee shall make and implement adequate arrangements for the decommissioning of any plant or process which may affect safety.</w:t>
            </w:r>
          </w:p>
        </w:tc>
        <w:tc>
          <w:tcPr>
            <w:tcW w:w="5165" w:type="dxa"/>
            <w:tcBorders>
              <w:top w:val="double" w:sz="4" w:space="0" w:color="8DB3E2"/>
              <w:left w:val="double" w:sz="4" w:space="0" w:color="8DB3E2"/>
              <w:bottom w:val="double" w:sz="4" w:space="0" w:color="8DB3E2"/>
              <w:right w:val="double" w:sz="4" w:space="0" w:color="8DB3E2"/>
            </w:tcBorders>
          </w:tcPr>
          <w:p w14:paraId="57305633" w14:textId="77777777" w:rsidR="00D07AFA" w:rsidRPr="00AA1B3C" w:rsidRDefault="00D07AFA" w:rsidP="00D07AFA">
            <w:pPr>
              <w:spacing w:before="80"/>
              <w:rPr>
                <w:rFonts w:cs="HelveticaNeueLT Std"/>
                <w:sz w:val="18"/>
                <w:szCs w:val="18"/>
              </w:rPr>
            </w:pPr>
            <w:r w:rsidRPr="00AA1B3C">
              <w:rPr>
                <w:rFonts w:cs="HelveticaNeueLT Std"/>
                <w:sz w:val="18"/>
                <w:szCs w:val="18"/>
              </w:rPr>
              <w:t>In the design of a new civil engineering structure or facility, how to maintain and decommission a facility must be considered.</w:t>
            </w:r>
          </w:p>
          <w:p w14:paraId="57305634" w14:textId="77777777" w:rsidR="00D07AFA" w:rsidRPr="00AA1B3C" w:rsidRDefault="00D07AFA" w:rsidP="00BA2113">
            <w:pPr>
              <w:spacing w:before="80"/>
              <w:rPr>
                <w:rFonts w:cs="HelveticaNeueLT Std"/>
                <w:sz w:val="18"/>
                <w:szCs w:val="18"/>
              </w:rPr>
            </w:pPr>
            <w:r w:rsidRPr="00AA1B3C">
              <w:rPr>
                <w:rFonts w:cs="HelveticaNeueLT Std"/>
                <w:sz w:val="18"/>
                <w:szCs w:val="18"/>
              </w:rPr>
              <w:t>It is also a requirement under CDM for designers to consider the whole life of a structure</w:t>
            </w:r>
            <w:r w:rsidR="00BA2113" w:rsidRPr="00AA1B3C">
              <w:rPr>
                <w:rFonts w:cs="HelveticaNeueLT Std"/>
                <w:sz w:val="18"/>
                <w:szCs w:val="18"/>
              </w:rPr>
              <w:t>,</w:t>
            </w:r>
            <w:r w:rsidRPr="00AA1B3C">
              <w:rPr>
                <w:rFonts w:cs="HelveticaNeueLT Std"/>
                <w:sz w:val="18"/>
                <w:szCs w:val="18"/>
              </w:rPr>
              <w:t xml:space="preserve"> including </w:t>
            </w:r>
            <w:r w:rsidR="00BA2113" w:rsidRPr="00AA1B3C">
              <w:rPr>
                <w:rFonts w:cs="HelveticaNeueLT Std"/>
                <w:sz w:val="18"/>
                <w:szCs w:val="18"/>
              </w:rPr>
              <w:t xml:space="preserve">consideration of </w:t>
            </w:r>
            <w:r w:rsidRPr="00AA1B3C">
              <w:rPr>
                <w:rFonts w:cs="HelveticaNeueLT Std"/>
                <w:sz w:val="18"/>
                <w:szCs w:val="18"/>
              </w:rPr>
              <w:t>demolition as part of the Designers Risk Assessment.</w:t>
            </w:r>
          </w:p>
        </w:tc>
      </w:tr>
    </w:tbl>
    <w:p w14:paraId="57305636" w14:textId="13E7F52F" w:rsidR="00D07AFA" w:rsidRPr="00CC121D" w:rsidRDefault="00D07AFA" w:rsidP="00D07AFA">
      <w:pPr>
        <w:rPr>
          <w:rFonts w:ascii="Arial Bold" w:hAnsi="Arial Bold"/>
          <w:b/>
          <w:bCs/>
          <w:szCs w:val="22"/>
          <w:lang w:eastAsia="en-GB"/>
        </w:rPr>
      </w:pPr>
    </w:p>
    <w:p w14:paraId="57305637" w14:textId="0BD084D1" w:rsidR="00D07AFA" w:rsidRPr="00CC121D" w:rsidRDefault="00D07AFA" w:rsidP="00D07AFA">
      <w:pPr>
        <w:pStyle w:val="TSHeadingNumbered11"/>
      </w:pPr>
      <w:bookmarkStart w:id="100" w:name="_Toc57912714"/>
      <w:r w:rsidRPr="00CC121D">
        <w:t xml:space="preserve">APPENDIX D: </w:t>
      </w:r>
      <w:r w:rsidRPr="00CC121D">
        <w:rPr>
          <w:bCs/>
          <w:szCs w:val="22"/>
          <w:lang w:eastAsia="en-GB"/>
        </w:rPr>
        <w:t>IAEA GUIDANCE RELATED TO THE CIVIL ENGINEERING SAPs</w:t>
      </w:r>
      <w:bookmarkEnd w:id="100"/>
    </w:p>
    <w:tbl>
      <w:tblPr>
        <w:tblStyle w:val="TableGrid"/>
        <w:tblW w:w="9065" w:type="dxa"/>
        <w:jc w:val="center"/>
        <w:tblBorders>
          <w:top w:val="double" w:sz="4" w:space="0" w:color="8DB3E2"/>
          <w:left w:val="double" w:sz="4" w:space="0" w:color="8DB3E2"/>
          <w:bottom w:val="double" w:sz="4" w:space="0" w:color="8DB3E2"/>
          <w:right w:val="double" w:sz="4" w:space="0" w:color="8DB3E2"/>
          <w:insideH w:val="double" w:sz="4" w:space="0" w:color="8DB3E2"/>
          <w:insideV w:val="double" w:sz="4" w:space="0" w:color="8DB3E2"/>
        </w:tblBorders>
        <w:tblLook w:val="04A0" w:firstRow="1" w:lastRow="0" w:firstColumn="1" w:lastColumn="0" w:noHBand="0" w:noVBand="1"/>
      </w:tblPr>
      <w:tblGrid>
        <w:gridCol w:w="2261"/>
        <w:gridCol w:w="6804"/>
      </w:tblGrid>
      <w:tr w:rsidR="00CC121D" w:rsidRPr="00CC121D" w14:paraId="5730563A" w14:textId="77777777" w:rsidTr="00CC121D">
        <w:trPr>
          <w:jc w:val="center"/>
        </w:trPr>
        <w:tc>
          <w:tcPr>
            <w:tcW w:w="2261" w:type="dxa"/>
            <w:tcBorders>
              <w:top w:val="double" w:sz="4" w:space="0" w:color="8DB3E2"/>
              <w:left w:val="double" w:sz="4" w:space="0" w:color="8DB3E2"/>
              <w:bottom w:val="double" w:sz="4" w:space="0" w:color="8DB3E2"/>
              <w:right w:val="double" w:sz="4" w:space="0" w:color="8DB3E2"/>
            </w:tcBorders>
            <w:shd w:val="clear" w:color="auto" w:fill="C6D9F1"/>
          </w:tcPr>
          <w:p w14:paraId="57305638" w14:textId="77777777" w:rsidR="00D07AFA" w:rsidRPr="00CC121D" w:rsidRDefault="00D07AFA" w:rsidP="00D07AFA">
            <w:pPr>
              <w:rPr>
                <w:rFonts w:cs="Arial"/>
                <w:b/>
                <w:szCs w:val="20"/>
              </w:rPr>
            </w:pPr>
            <w:r w:rsidRPr="00CC121D">
              <w:rPr>
                <w:rFonts w:cs="Arial"/>
                <w:b/>
                <w:szCs w:val="20"/>
              </w:rPr>
              <w:t>Topic / SAPs</w:t>
            </w:r>
          </w:p>
        </w:tc>
        <w:tc>
          <w:tcPr>
            <w:tcW w:w="6804" w:type="dxa"/>
            <w:tcBorders>
              <w:top w:val="double" w:sz="4" w:space="0" w:color="8DB3E2"/>
              <w:left w:val="double" w:sz="4" w:space="0" w:color="8DB3E2"/>
              <w:bottom w:val="double" w:sz="4" w:space="0" w:color="8DB3E2"/>
              <w:right w:val="double" w:sz="4" w:space="0" w:color="8DB3E2"/>
            </w:tcBorders>
            <w:shd w:val="clear" w:color="auto" w:fill="C6D9F1"/>
          </w:tcPr>
          <w:p w14:paraId="57305639" w14:textId="77777777" w:rsidR="00D07AFA" w:rsidRPr="00CC121D" w:rsidRDefault="00D07AFA" w:rsidP="00D07AFA">
            <w:pPr>
              <w:rPr>
                <w:rFonts w:cs="Arial"/>
                <w:b/>
                <w:szCs w:val="20"/>
              </w:rPr>
            </w:pPr>
            <w:r w:rsidRPr="00CC121D">
              <w:rPr>
                <w:rFonts w:cs="Arial"/>
                <w:b/>
                <w:szCs w:val="20"/>
              </w:rPr>
              <w:t>IAEA Standards</w:t>
            </w:r>
          </w:p>
        </w:tc>
      </w:tr>
      <w:tr w:rsidR="00CC121D" w:rsidRPr="00CC121D" w14:paraId="5730563C" w14:textId="77777777" w:rsidTr="00CC121D">
        <w:trPr>
          <w:trHeight w:val="242"/>
          <w:jc w:val="center"/>
        </w:trPr>
        <w:tc>
          <w:tcPr>
            <w:tcW w:w="9065" w:type="dxa"/>
            <w:gridSpan w:val="2"/>
            <w:tcBorders>
              <w:top w:val="double" w:sz="4" w:space="0" w:color="8DB3E2"/>
              <w:left w:val="double" w:sz="4" w:space="0" w:color="8DB3E2"/>
              <w:bottom w:val="double" w:sz="4" w:space="0" w:color="8DB3E2"/>
              <w:right w:val="double" w:sz="4" w:space="0" w:color="8DB3E2"/>
            </w:tcBorders>
            <w:shd w:val="clear" w:color="auto" w:fill="C6D9F1" w:themeFill="text2" w:themeFillTint="33"/>
          </w:tcPr>
          <w:p w14:paraId="5730563B" w14:textId="77777777" w:rsidR="00D07AFA" w:rsidRPr="00CC121D" w:rsidRDefault="00D07AFA" w:rsidP="00D07AFA">
            <w:pPr>
              <w:rPr>
                <w:rFonts w:cs="Arial"/>
                <w:b/>
                <w:szCs w:val="20"/>
              </w:rPr>
            </w:pPr>
            <w:r w:rsidRPr="00CC121D">
              <w:rPr>
                <w:rFonts w:cs="Arial"/>
                <w:b/>
                <w:szCs w:val="20"/>
              </w:rPr>
              <w:t>Principles</w:t>
            </w:r>
          </w:p>
        </w:tc>
      </w:tr>
      <w:tr w:rsidR="00CC121D" w:rsidRPr="00CC121D" w14:paraId="5730563F" w14:textId="77777777" w:rsidTr="00CC121D">
        <w:trPr>
          <w:trHeight w:val="223"/>
          <w:jc w:val="center"/>
        </w:trPr>
        <w:tc>
          <w:tcPr>
            <w:tcW w:w="2261" w:type="dxa"/>
            <w:tcBorders>
              <w:top w:val="double" w:sz="4" w:space="0" w:color="8DB3E2"/>
              <w:left w:val="double" w:sz="4" w:space="0" w:color="8DB3E2"/>
              <w:bottom w:val="double" w:sz="4" w:space="0" w:color="8DB3E2"/>
              <w:right w:val="double" w:sz="4" w:space="0" w:color="8DB3E2"/>
            </w:tcBorders>
          </w:tcPr>
          <w:p w14:paraId="5730563D" w14:textId="77777777" w:rsidR="00D07AFA" w:rsidRPr="00CC121D" w:rsidRDefault="00D07AFA" w:rsidP="00D07AFA">
            <w:pPr>
              <w:rPr>
                <w:rFonts w:cs="Arial"/>
                <w:szCs w:val="20"/>
              </w:rPr>
            </w:pPr>
            <w:r w:rsidRPr="00CC121D">
              <w:rPr>
                <w:rFonts w:cs="Arial"/>
                <w:iCs/>
                <w:szCs w:val="20"/>
              </w:rPr>
              <w:t>Safety Fundamentals</w:t>
            </w:r>
          </w:p>
        </w:tc>
        <w:tc>
          <w:tcPr>
            <w:tcW w:w="6804" w:type="dxa"/>
            <w:tcBorders>
              <w:top w:val="double" w:sz="4" w:space="0" w:color="8DB3E2"/>
              <w:left w:val="double" w:sz="4" w:space="0" w:color="8DB3E2"/>
              <w:bottom w:val="double" w:sz="4" w:space="0" w:color="8DB3E2"/>
              <w:right w:val="double" w:sz="4" w:space="0" w:color="8DB3E2"/>
            </w:tcBorders>
          </w:tcPr>
          <w:p w14:paraId="5730563E" w14:textId="77777777" w:rsidR="00D07AFA" w:rsidRPr="00CC121D" w:rsidRDefault="00D07AFA" w:rsidP="00D07AFA">
            <w:pPr>
              <w:rPr>
                <w:rFonts w:cs="Arial"/>
                <w:iCs/>
                <w:szCs w:val="20"/>
              </w:rPr>
            </w:pPr>
            <w:r w:rsidRPr="00CC121D">
              <w:rPr>
                <w:rFonts w:cs="Arial"/>
                <w:iCs/>
                <w:szCs w:val="20"/>
              </w:rPr>
              <w:t xml:space="preserve">SF-1 “Fundamental Safety Principles” </w:t>
            </w:r>
          </w:p>
        </w:tc>
      </w:tr>
      <w:tr w:rsidR="00CC121D" w:rsidRPr="00CC121D" w14:paraId="57305642" w14:textId="77777777" w:rsidTr="00CC121D">
        <w:trPr>
          <w:trHeight w:val="173"/>
          <w:jc w:val="center"/>
        </w:trPr>
        <w:tc>
          <w:tcPr>
            <w:tcW w:w="2261" w:type="dxa"/>
            <w:tcBorders>
              <w:top w:val="double" w:sz="4" w:space="0" w:color="8DB3E2"/>
              <w:left w:val="double" w:sz="4" w:space="0" w:color="8DB3E2"/>
              <w:bottom w:val="double" w:sz="4" w:space="0" w:color="8DB3E2"/>
              <w:right w:val="double" w:sz="4" w:space="0" w:color="8DB3E2"/>
            </w:tcBorders>
          </w:tcPr>
          <w:p w14:paraId="57305640" w14:textId="77777777" w:rsidR="00D07AFA" w:rsidRPr="00CC121D" w:rsidRDefault="00D07AFA" w:rsidP="00D07AFA">
            <w:pPr>
              <w:rPr>
                <w:rFonts w:cs="Arial"/>
                <w:iCs/>
                <w:szCs w:val="20"/>
              </w:rPr>
            </w:pPr>
            <w:r w:rsidRPr="00CC121D">
              <w:rPr>
                <w:rFonts w:cs="Arial"/>
                <w:iCs/>
                <w:szCs w:val="20"/>
              </w:rPr>
              <w:t>Safety Requirements</w:t>
            </w:r>
          </w:p>
        </w:tc>
        <w:tc>
          <w:tcPr>
            <w:tcW w:w="6804" w:type="dxa"/>
            <w:tcBorders>
              <w:top w:val="double" w:sz="4" w:space="0" w:color="8DB3E2"/>
              <w:left w:val="double" w:sz="4" w:space="0" w:color="8DB3E2"/>
              <w:bottom w:val="double" w:sz="4" w:space="0" w:color="8DB3E2"/>
              <w:right w:val="double" w:sz="4" w:space="0" w:color="8DB3E2"/>
            </w:tcBorders>
          </w:tcPr>
          <w:p w14:paraId="57305641" w14:textId="77777777" w:rsidR="00D07AFA" w:rsidRPr="00CC121D" w:rsidRDefault="00D07AFA" w:rsidP="00D07AFA">
            <w:pPr>
              <w:rPr>
                <w:rFonts w:cs="Arial"/>
                <w:iCs/>
                <w:szCs w:val="20"/>
              </w:rPr>
            </w:pPr>
            <w:r w:rsidRPr="00CC121D">
              <w:rPr>
                <w:rFonts w:cs="Arial"/>
                <w:iCs/>
                <w:szCs w:val="20"/>
              </w:rPr>
              <w:t>SSR-4 “Safety of Nuclear Fuel Cycle Facilities”</w:t>
            </w:r>
          </w:p>
        </w:tc>
      </w:tr>
      <w:tr w:rsidR="00CC121D" w:rsidRPr="00CC121D" w14:paraId="57305646" w14:textId="77777777" w:rsidTr="00CC121D">
        <w:trPr>
          <w:trHeight w:val="393"/>
          <w:jc w:val="center"/>
        </w:trPr>
        <w:tc>
          <w:tcPr>
            <w:tcW w:w="2261" w:type="dxa"/>
            <w:vMerge w:val="restart"/>
            <w:tcBorders>
              <w:top w:val="double" w:sz="4" w:space="0" w:color="8DB3E2"/>
              <w:left w:val="double" w:sz="4" w:space="0" w:color="8DB3E2"/>
              <w:right w:val="double" w:sz="4" w:space="0" w:color="8DB3E2"/>
            </w:tcBorders>
          </w:tcPr>
          <w:p w14:paraId="57305643" w14:textId="77777777" w:rsidR="00D07AFA" w:rsidRPr="00CC121D" w:rsidRDefault="00D07AFA" w:rsidP="00D07AFA">
            <w:pPr>
              <w:rPr>
                <w:rFonts w:cs="Arial"/>
                <w:iCs/>
                <w:szCs w:val="20"/>
              </w:rPr>
            </w:pPr>
            <w:r w:rsidRPr="00CC121D">
              <w:rPr>
                <w:rFonts w:cs="Arial"/>
                <w:iCs/>
                <w:szCs w:val="20"/>
              </w:rPr>
              <w:t>Safety Guides</w:t>
            </w:r>
          </w:p>
        </w:tc>
        <w:tc>
          <w:tcPr>
            <w:tcW w:w="6804" w:type="dxa"/>
            <w:tcBorders>
              <w:top w:val="double" w:sz="4" w:space="0" w:color="8DB3E2"/>
              <w:left w:val="double" w:sz="4" w:space="0" w:color="8DB3E2"/>
              <w:bottom w:val="double" w:sz="4" w:space="0" w:color="8DB3E2"/>
              <w:right w:val="double" w:sz="4" w:space="0" w:color="8DB3E2"/>
            </w:tcBorders>
          </w:tcPr>
          <w:p w14:paraId="57305644" w14:textId="77777777" w:rsidR="00D07AFA" w:rsidRPr="00CC121D" w:rsidRDefault="00D07AFA" w:rsidP="00D07AFA">
            <w:pPr>
              <w:rPr>
                <w:rFonts w:cs="Arial"/>
                <w:iCs/>
                <w:szCs w:val="20"/>
              </w:rPr>
            </w:pPr>
            <w:r w:rsidRPr="00CC121D">
              <w:rPr>
                <w:rFonts w:cs="Arial"/>
                <w:iCs/>
                <w:szCs w:val="20"/>
              </w:rPr>
              <w:t xml:space="preserve">GSR-2 “Leadership and Management for Safety” </w:t>
            </w:r>
          </w:p>
          <w:p w14:paraId="57305645" w14:textId="77777777" w:rsidR="00D07AFA" w:rsidRPr="00CC121D" w:rsidRDefault="00D07AFA" w:rsidP="00D07AFA">
            <w:pPr>
              <w:rPr>
                <w:rFonts w:cs="Arial"/>
                <w:szCs w:val="20"/>
              </w:rPr>
            </w:pPr>
            <w:r w:rsidRPr="00CC121D">
              <w:rPr>
                <w:rFonts w:cs="Arial"/>
                <w:iCs/>
                <w:szCs w:val="20"/>
              </w:rPr>
              <w:t>(Supersedes GSR-3)</w:t>
            </w:r>
          </w:p>
        </w:tc>
      </w:tr>
      <w:tr w:rsidR="00CC121D" w:rsidRPr="00CC121D" w14:paraId="57305649" w14:textId="77777777" w:rsidTr="00CC121D">
        <w:trPr>
          <w:trHeight w:val="247"/>
          <w:jc w:val="center"/>
        </w:trPr>
        <w:tc>
          <w:tcPr>
            <w:tcW w:w="2261" w:type="dxa"/>
            <w:vMerge/>
            <w:tcBorders>
              <w:left w:val="double" w:sz="4" w:space="0" w:color="8DB3E2"/>
              <w:right w:val="double" w:sz="4" w:space="0" w:color="8DB3E2"/>
            </w:tcBorders>
          </w:tcPr>
          <w:p w14:paraId="57305647"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648" w14:textId="77777777" w:rsidR="00D07AFA" w:rsidRPr="00CC121D" w:rsidRDefault="00D07AFA" w:rsidP="00D07AFA">
            <w:pPr>
              <w:rPr>
                <w:rFonts w:cs="Arial"/>
                <w:szCs w:val="20"/>
              </w:rPr>
            </w:pPr>
            <w:r w:rsidRPr="00CC121D">
              <w:rPr>
                <w:rFonts w:cs="Arial"/>
                <w:iCs/>
                <w:szCs w:val="20"/>
              </w:rPr>
              <w:t>GSR-4 “Safety Assessment for Facilities and Activities”</w:t>
            </w:r>
          </w:p>
        </w:tc>
      </w:tr>
      <w:tr w:rsidR="00CC121D" w:rsidRPr="00CC121D" w14:paraId="5730564C" w14:textId="77777777" w:rsidTr="00CC121D">
        <w:trPr>
          <w:trHeight w:val="125"/>
          <w:jc w:val="center"/>
        </w:trPr>
        <w:tc>
          <w:tcPr>
            <w:tcW w:w="2261" w:type="dxa"/>
            <w:vMerge/>
            <w:tcBorders>
              <w:left w:val="double" w:sz="4" w:space="0" w:color="8DB3E2"/>
              <w:bottom w:val="double" w:sz="4" w:space="0" w:color="8DB3E2"/>
              <w:right w:val="double" w:sz="4" w:space="0" w:color="8DB3E2"/>
            </w:tcBorders>
          </w:tcPr>
          <w:p w14:paraId="5730564A"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64B" w14:textId="77777777" w:rsidR="00D07AFA" w:rsidRPr="00CC121D" w:rsidRDefault="00D07AFA" w:rsidP="00D07AFA">
            <w:pPr>
              <w:rPr>
                <w:rFonts w:cs="Arial"/>
                <w:iCs/>
                <w:szCs w:val="20"/>
              </w:rPr>
            </w:pPr>
            <w:r w:rsidRPr="00CC121D">
              <w:rPr>
                <w:rFonts w:cs="Arial"/>
                <w:iCs/>
                <w:szCs w:val="20"/>
              </w:rPr>
              <w:t>SSG-25 “Periodic Safety Review for NPP”</w:t>
            </w:r>
          </w:p>
        </w:tc>
      </w:tr>
      <w:tr w:rsidR="00CC121D" w:rsidRPr="00CC121D" w14:paraId="5730564E" w14:textId="77777777" w:rsidTr="00CC121D">
        <w:trPr>
          <w:trHeight w:val="329"/>
          <w:jc w:val="center"/>
        </w:trPr>
        <w:tc>
          <w:tcPr>
            <w:tcW w:w="9065" w:type="dxa"/>
            <w:gridSpan w:val="2"/>
            <w:tcBorders>
              <w:top w:val="double" w:sz="4" w:space="0" w:color="8DB3E2"/>
              <w:left w:val="double" w:sz="4" w:space="0" w:color="8DB3E2"/>
              <w:bottom w:val="double" w:sz="4" w:space="0" w:color="8DB3E2"/>
              <w:right w:val="double" w:sz="4" w:space="0" w:color="8DB3E2"/>
            </w:tcBorders>
            <w:shd w:val="clear" w:color="auto" w:fill="C6D9F1" w:themeFill="text2" w:themeFillTint="33"/>
          </w:tcPr>
          <w:p w14:paraId="5730564D" w14:textId="77777777" w:rsidR="00D07AFA" w:rsidRPr="00CC121D" w:rsidRDefault="00D07AFA" w:rsidP="00D07AFA">
            <w:pPr>
              <w:jc w:val="both"/>
              <w:rPr>
                <w:rFonts w:cs="Arial"/>
                <w:szCs w:val="20"/>
              </w:rPr>
            </w:pPr>
            <w:r w:rsidRPr="00CC121D">
              <w:rPr>
                <w:rFonts w:cs="Arial"/>
                <w:b/>
                <w:szCs w:val="20"/>
              </w:rPr>
              <w:t>Siting and Site investigation</w:t>
            </w:r>
          </w:p>
        </w:tc>
      </w:tr>
      <w:tr w:rsidR="00CC121D" w:rsidRPr="00CC121D" w14:paraId="57305651" w14:textId="77777777" w:rsidTr="00CC121D">
        <w:trPr>
          <w:jc w:val="center"/>
        </w:trPr>
        <w:tc>
          <w:tcPr>
            <w:tcW w:w="2261" w:type="dxa"/>
            <w:tcBorders>
              <w:top w:val="double" w:sz="4" w:space="0" w:color="8DB3E2"/>
              <w:left w:val="double" w:sz="4" w:space="0" w:color="8DB3E2"/>
              <w:bottom w:val="double" w:sz="4" w:space="0" w:color="8DB3E2"/>
              <w:right w:val="double" w:sz="4" w:space="0" w:color="8DB3E2"/>
            </w:tcBorders>
          </w:tcPr>
          <w:p w14:paraId="5730564F" w14:textId="77777777" w:rsidR="00D07AFA" w:rsidRPr="00CC121D" w:rsidRDefault="00D07AFA" w:rsidP="00D07AFA">
            <w:pPr>
              <w:rPr>
                <w:rFonts w:cs="Arial"/>
                <w:iCs/>
                <w:szCs w:val="20"/>
              </w:rPr>
            </w:pPr>
            <w:r w:rsidRPr="00CC121D">
              <w:rPr>
                <w:rFonts w:cs="Arial"/>
                <w:iCs/>
                <w:szCs w:val="20"/>
              </w:rPr>
              <w:t>Safety Requirements</w:t>
            </w:r>
          </w:p>
        </w:tc>
        <w:tc>
          <w:tcPr>
            <w:tcW w:w="6804" w:type="dxa"/>
            <w:tcBorders>
              <w:top w:val="double" w:sz="4" w:space="0" w:color="8DB3E2"/>
              <w:left w:val="double" w:sz="4" w:space="0" w:color="8DB3E2"/>
              <w:bottom w:val="double" w:sz="4" w:space="0" w:color="8DB3E2"/>
              <w:right w:val="double" w:sz="4" w:space="0" w:color="8DB3E2"/>
            </w:tcBorders>
          </w:tcPr>
          <w:p w14:paraId="57305650" w14:textId="77777777" w:rsidR="00D07AFA" w:rsidRPr="00CC121D" w:rsidRDefault="00D07AFA" w:rsidP="00D07AFA">
            <w:pPr>
              <w:rPr>
                <w:rFonts w:cs="Arial"/>
                <w:iCs/>
                <w:szCs w:val="20"/>
              </w:rPr>
            </w:pPr>
            <w:r w:rsidRPr="00CC121D">
              <w:rPr>
                <w:rFonts w:cs="Arial"/>
                <w:iCs/>
                <w:szCs w:val="20"/>
              </w:rPr>
              <w:t>SSR-1 “Site Evaluation for Nuclear Installations” [</w:t>
            </w:r>
            <w:r w:rsidRPr="00CC121D">
              <w:rPr>
                <w:rFonts w:cs="Arial"/>
                <w:iCs/>
                <w:szCs w:val="20"/>
              </w:rPr>
              <w:fldChar w:fldCharType="begin"/>
            </w:r>
            <w:r w:rsidRPr="00CC121D">
              <w:rPr>
                <w:rFonts w:cs="Arial"/>
                <w:iCs/>
                <w:szCs w:val="20"/>
              </w:rPr>
              <w:instrText xml:space="preserve"> REF _Ref15543841 \r \h  \* MERGEFORMAT </w:instrText>
            </w:r>
            <w:r w:rsidRPr="00CC121D">
              <w:rPr>
                <w:rFonts w:cs="Arial"/>
                <w:iCs/>
                <w:szCs w:val="20"/>
              </w:rPr>
            </w:r>
            <w:r w:rsidRPr="00CC121D">
              <w:rPr>
                <w:rFonts w:cs="Arial"/>
                <w:iCs/>
                <w:szCs w:val="20"/>
              </w:rPr>
              <w:fldChar w:fldCharType="separate"/>
            </w:r>
            <w:r w:rsidRPr="00CC121D">
              <w:rPr>
                <w:rFonts w:cs="Arial"/>
                <w:iCs/>
                <w:szCs w:val="20"/>
              </w:rPr>
              <w:t>6</w:t>
            </w:r>
            <w:r w:rsidRPr="00CC121D">
              <w:rPr>
                <w:rFonts w:cs="Arial"/>
                <w:iCs/>
                <w:szCs w:val="20"/>
              </w:rPr>
              <w:fldChar w:fldCharType="end"/>
            </w:r>
            <w:r w:rsidRPr="00CC121D">
              <w:rPr>
                <w:rFonts w:cs="Arial"/>
                <w:iCs/>
                <w:szCs w:val="20"/>
              </w:rPr>
              <w:t xml:space="preserve">] (supersedes NS-R-3 Rev1) </w:t>
            </w:r>
          </w:p>
        </w:tc>
      </w:tr>
      <w:tr w:rsidR="00CC121D" w:rsidRPr="00CC121D" w14:paraId="57305654" w14:textId="77777777" w:rsidTr="00CC121D">
        <w:trPr>
          <w:jc w:val="center"/>
        </w:trPr>
        <w:tc>
          <w:tcPr>
            <w:tcW w:w="2261" w:type="dxa"/>
            <w:vMerge w:val="restart"/>
            <w:tcBorders>
              <w:top w:val="double" w:sz="4" w:space="0" w:color="8DB3E2"/>
              <w:left w:val="double" w:sz="4" w:space="0" w:color="8DB3E2"/>
              <w:right w:val="double" w:sz="4" w:space="0" w:color="8DB3E2"/>
            </w:tcBorders>
          </w:tcPr>
          <w:p w14:paraId="57305652" w14:textId="77777777" w:rsidR="00D07AFA" w:rsidRPr="00CC121D" w:rsidRDefault="00D07AFA" w:rsidP="00D07AFA">
            <w:pPr>
              <w:rPr>
                <w:rFonts w:cs="Arial"/>
                <w:iCs/>
                <w:szCs w:val="20"/>
              </w:rPr>
            </w:pPr>
            <w:r w:rsidRPr="00CC121D">
              <w:rPr>
                <w:rFonts w:cs="Arial"/>
                <w:iCs/>
                <w:szCs w:val="20"/>
              </w:rPr>
              <w:t>Safety Guides</w:t>
            </w:r>
          </w:p>
        </w:tc>
        <w:tc>
          <w:tcPr>
            <w:tcW w:w="6804" w:type="dxa"/>
            <w:tcBorders>
              <w:top w:val="double" w:sz="4" w:space="0" w:color="8DB3E2"/>
              <w:left w:val="double" w:sz="4" w:space="0" w:color="8DB3E2"/>
              <w:bottom w:val="double" w:sz="4" w:space="0" w:color="8DB3E2"/>
              <w:right w:val="double" w:sz="4" w:space="0" w:color="8DB3E2"/>
            </w:tcBorders>
          </w:tcPr>
          <w:p w14:paraId="57305653" w14:textId="77777777" w:rsidR="00D07AFA" w:rsidRPr="00CC121D" w:rsidRDefault="00D07AFA" w:rsidP="00D07AFA">
            <w:pPr>
              <w:rPr>
                <w:rFonts w:cs="Arial"/>
                <w:iCs/>
                <w:szCs w:val="20"/>
              </w:rPr>
            </w:pPr>
            <w:r w:rsidRPr="00CC121D">
              <w:rPr>
                <w:rFonts w:cs="Arial"/>
                <w:iCs/>
                <w:szCs w:val="20"/>
              </w:rPr>
              <w:t>SSG-35 “Site Survey and Site Selection for Nuclear Installations”</w:t>
            </w:r>
          </w:p>
        </w:tc>
      </w:tr>
      <w:tr w:rsidR="00CC121D" w:rsidRPr="00CC121D" w14:paraId="57305657" w14:textId="77777777" w:rsidTr="00CC121D">
        <w:trPr>
          <w:jc w:val="center"/>
        </w:trPr>
        <w:tc>
          <w:tcPr>
            <w:tcW w:w="2261" w:type="dxa"/>
            <w:vMerge/>
            <w:tcBorders>
              <w:left w:val="double" w:sz="4" w:space="0" w:color="8DB3E2"/>
              <w:right w:val="double" w:sz="4" w:space="0" w:color="8DB3E2"/>
            </w:tcBorders>
          </w:tcPr>
          <w:p w14:paraId="57305655"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656" w14:textId="77777777" w:rsidR="00D07AFA" w:rsidRPr="00CC121D" w:rsidRDefault="00D07AFA" w:rsidP="00D07AFA">
            <w:pPr>
              <w:rPr>
                <w:rFonts w:cs="Arial"/>
                <w:iCs/>
                <w:szCs w:val="20"/>
              </w:rPr>
            </w:pPr>
            <w:r w:rsidRPr="00CC121D">
              <w:rPr>
                <w:rFonts w:cs="Arial"/>
                <w:iCs/>
                <w:szCs w:val="20"/>
              </w:rPr>
              <w:t>SSG-9 “Seismic Hazards in Site Evaluation for Nuclear Installations”</w:t>
            </w:r>
          </w:p>
        </w:tc>
      </w:tr>
      <w:tr w:rsidR="00CC121D" w:rsidRPr="00CC121D" w14:paraId="5730565A" w14:textId="77777777" w:rsidTr="00CC121D">
        <w:trPr>
          <w:jc w:val="center"/>
        </w:trPr>
        <w:tc>
          <w:tcPr>
            <w:tcW w:w="2261" w:type="dxa"/>
            <w:vMerge/>
            <w:tcBorders>
              <w:left w:val="double" w:sz="4" w:space="0" w:color="8DB3E2"/>
              <w:right w:val="double" w:sz="4" w:space="0" w:color="8DB3E2"/>
            </w:tcBorders>
          </w:tcPr>
          <w:p w14:paraId="57305658"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659" w14:textId="77777777" w:rsidR="00D07AFA" w:rsidRPr="00CC121D" w:rsidRDefault="00D07AFA" w:rsidP="00D07AFA">
            <w:pPr>
              <w:rPr>
                <w:rFonts w:cs="Arial"/>
                <w:iCs/>
                <w:szCs w:val="20"/>
              </w:rPr>
            </w:pPr>
            <w:r w:rsidRPr="00CC121D">
              <w:rPr>
                <w:rFonts w:cs="Arial"/>
                <w:iCs/>
                <w:szCs w:val="20"/>
              </w:rPr>
              <w:t>NS-G-3.6 “Geotechnical Aspects of Site Evaluation and Foundations for Nuclear Power Plants”</w:t>
            </w:r>
          </w:p>
        </w:tc>
      </w:tr>
      <w:tr w:rsidR="00CC121D" w:rsidRPr="00CC121D" w14:paraId="5730565D" w14:textId="77777777" w:rsidTr="00CC121D">
        <w:trPr>
          <w:jc w:val="center"/>
        </w:trPr>
        <w:tc>
          <w:tcPr>
            <w:tcW w:w="2261" w:type="dxa"/>
            <w:vMerge/>
            <w:tcBorders>
              <w:left w:val="double" w:sz="4" w:space="0" w:color="8DB3E2"/>
              <w:bottom w:val="double" w:sz="4" w:space="0" w:color="8DB3E2"/>
              <w:right w:val="double" w:sz="4" w:space="0" w:color="8DB3E2"/>
            </w:tcBorders>
          </w:tcPr>
          <w:p w14:paraId="5730565B"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65C" w14:textId="77777777" w:rsidR="00D07AFA" w:rsidRPr="00CC121D" w:rsidRDefault="00D07AFA" w:rsidP="00D07AFA">
            <w:pPr>
              <w:rPr>
                <w:rFonts w:cs="Arial"/>
                <w:iCs/>
                <w:szCs w:val="20"/>
              </w:rPr>
            </w:pPr>
            <w:r w:rsidRPr="00CC121D">
              <w:rPr>
                <w:rFonts w:cs="Arial"/>
                <w:iCs/>
                <w:szCs w:val="20"/>
              </w:rPr>
              <w:t>WS-G-3.1 “Remediation Process for Areas Affected by Past Activities and Accidents”</w:t>
            </w:r>
          </w:p>
        </w:tc>
      </w:tr>
      <w:tr w:rsidR="00CC121D" w:rsidRPr="00CC121D" w14:paraId="57305660" w14:textId="77777777" w:rsidTr="00CC121D">
        <w:trPr>
          <w:jc w:val="center"/>
        </w:trPr>
        <w:tc>
          <w:tcPr>
            <w:tcW w:w="2261" w:type="dxa"/>
            <w:vMerge w:val="restart"/>
            <w:tcBorders>
              <w:top w:val="double" w:sz="4" w:space="0" w:color="8DB3E2"/>
              <w:left w:val="double" w:sz="4" w:space="0" w:color="8DB3E2"/>
              <w:right w:val="double" w:sz="4" w:space="0" w:color="8DB3E2"/>
            </w:tcBorders>
          </w:tcPr>
          <w:p w14:paraId="5730565E" w14:textId="77777777" w:rsidR="00D07AFA" w:rsidRPr="00CC121D" w:rsidRDefault="00D07AFA" w:rsidP="00D07AFA">
            <w:pPr>
              <w:rPr>
                <w:rFonts w:cs="Arial"/>
                <w:iCs/>
                <w:szCs w:val="20"/>
              </w:rPr>
            </w:pPr>
            <w:r w:rsidRPr="00CC121D">
              <w:rPr>
                <w:rFonts w:cs="Arial"/>
                <w:iCs/>
                <w:szCs w:val="20"/>
              </w:rPr>
              <w:t>Technical Reports</w:t>
            </w:r>
          </w:p>
        </w:tc>
        <w:tc>
          <w:tcPr>
            <w:tcW w:w="6804" w:type="dxa"/>
            <w:tcBorders>
              <w:top w:val="double" w:sz="4" w:space="0" w:color="8DB3E2"/>
              <w:left w:val="double" w:sz="4" w:space="0" w:color="8DB3E2"/>
              <w:bottom w:val="double" w:sz="4" w:space="0" w:color="8DB3E2"/>
              <w:right w:val="double" w:sz="4" w:space="0" w:color="8DB3E2"/>
            </w:tcBorders>
          </w:tcPr>
          <w:p w14:paraId="5730565F" w14:textId="77777777" w:rsidR="00D07AFA" w:rsidRPr="00CC121D" w:rsidRDefault="00D07AFA" w:rsidP="00D07AFA">
            <w:pPr>
              <w:rPr>
                <w:rFonts w:cs="Arial"/>
                <w:noProof/>
                <w:szCs w:val="20"/>
              </w:rPr>
            </w:pPr>
            <w:r w:rsidRPr="00CC121D">
              <w:rPr>
                <w:rFonts w:cs="Arial"/>
                <w:noProof/>
                <w:szCs w:val="20"/>
              </w:rPr>
              <w:t>No. 1791 “Considerations on the Application of the IAEA Safety Requirements for the Design of Nuclear Power Plants”</w:t>
            </w:r>
          </w:p>
        </w:tc>
      </w:tr>
      <w:tr w:rsidR="00CC121D" w:rsidRPr="00CC121D" w14:paraId="57305663" w14:textId="77777777" w:rsidTr="00CC121D">
        <w:trPr>
          <w:jc w:val="center"/>
        </w:trPr>
        <w:tc>
          <w:tcPr>
            <w:tcW w:w="2261" w:type="dxa"/>
            <w:vMerge/>
            <w:tcBorders>
              <w:left w:val="double" w:sz="4" w:space="0" w:color="8DB3E2"/>
              <w:right w:val="double" w:sz="4" w:space="0" w:color="8DB3E2"/>
            </w:tcBorders>
          </w:tcPr>
          <w:p w14:paraId="57305661"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662" w14:textId="77777777" w:rsidR="00D07AFA" w:rsidRPr="00CC121D" w:rsidRDefault="00D07AFA" w:rsidP="00D07AFA">
            <w:pPr>
              <w:rPr>
                <w:rFonts w:cs="Arial"/>
                <w:iCs/>
                <w:szCs w:val="20"/>
              </w:rPr>
            </w:pPr>
            <w:r w:rsidRPr="00CC121D">
              <w:rPr>
                <w:rFonts w:cs="Arial"/>
                <w:noProof/>
                <w:szCs w:val="20"/>
              </w:rPr>
              <w:t>No. 139 “</w:t>
            </w:r>
            <w:r w:rsidRPr="00CC121D">
              <w:rPr>
                <w:rFonts w:cs="Arial"/>
                <w:iCs/>
                <w:szCs w:val="20"/>
              </w:rPr>
              <w:t>Earthquake Guidelines for Reactor Siting”</w:t>
            </w:r>
          </w:p>
        </w:tc>
      </w:tr>
      <w:tr w:rsidR="00CC121D" w:rsidRPr="00CC121D" w14:paraId="57305666" w14:textId="77777777" w:rsidTr="00CC121D">
        <w:trPr>
          <w:jc w:val="center"/>
        </w:trPr>
        <w:tc>
          <w:tcPr>
            <w:tcW w:w="2261" w:type="dxa"/>
            <w:vMerge/>
            <w:tcBorders>
              <w:left w:val="double" w:sz="4" w:space="0" w:color="8DB3E2"/>
              <w:bottom w:val="double" w:sz="4" w:space="0" w:color="8DB3E2"/>
              <w:right w:val="double" w:sz="4" w:space="0" w:color="8DB3E2"/>
            </w:tcBorders>
          </w:tcPr>
          <w:p w14:paraId="57305664"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665" w14:textId="77777777" w:rsidR="00D07AFA" w:rsidRPr="00CC121D" w:rsidRDefault="00D07AFA" w:rsidP="00D07AFA">
            <w:pPr>
              <w:rPr>
                <w:rFonts w:cs="Arial"/>
                <w:noProof/>
                <w:szCs w:val="20"/>
              </w:rPr>
            </w:pPr>
            <w:r w:rsidRPr="00CC121D">
              <w:rPr>
                <w:rFonts w:cs="Arial"/>
                <w:iCs/>
                <w:szCs w:val="20"/>
              </w:rPr>
              <w:t>No. 216 “Site Investigations for Repositories for Solid Radioactive Wastes in Shallow Ground”</w:t>
            </w:r>
          </w:p>
        </w:tc>
      </w:tr>
      <w:tr w:rsidR="00CC121D" w:rsidRPr="00CC121D" w14:paraId="57305668" w14:textId="77777777" w:rsidTr="00CC121D">
        <w:trPr>
          <w:jc w:val="center"/>
        </w:trPr>
        <w:tc>
          <w:tcPr>
            <w:tcW w:w="9065" w:type="dxa"/>
            <w:gridSpan w:val="2"/>
            <w:tcBorders>
              <w:top w:val="double" w:sz="4" w:space="0" w:color="8DB3E2"/>
              <w:left w:val="double" w:sz="4" w:space="0" w:color="8DB3E2"/>
              <w:bottom w:val="double" w:sz="4" w:space="0" w:color="8DB3E2"/>
              <w:right w:val="double" w:sz="4" w:space="0" w:color="8DB3E2"/>
            </w:tcBorders>
            <w:shd w:val="clear" w:color="auto" w:fill="C6D9F1" w:themeFill="text2" w:themeFillTint="33"/>
          </w:tcPr>
          <w:p w14:paraId="57305667" w14:textId="77777777" w:rsidR="00D07AFA" w:rsidRPr="00CC121D" w:rsidRDefault="00D07AFA" w:rsidP="00D07AFA">
            <w:pPr>
              <w:rPr>
                <w:rFonts w:cs="Arial"/>
                <w:szCs w:val="20"/>
                <w:u w:val="single"/>
              </w:rPr>
            </w:pPr>
            <w:r w:rsidRPr="00CC121D">
              <w:rPr>
                <w:rFonts w:cs="Arial"/>
                <w:b/>
                <w:szCs w:val="20"/>
              </w:rPr>
              <w:t>Design / Modifications</w:t>
            </w:r>
          </w:p>
        </w:tc>
      </w:tr>
      <w:tr w:rsidR="00CC121D" w:rsidRPr="00CC121D" w14:paraId="5730566B" w14:textId="77777777" w:rsidTr="00CC121D">
        <w:trPr>
          <w:jc w:val="center"/>
        </w:trPr>
        <w:tc>
          <w:tcPr>
            <w:tcW w:w="2261" w:type="dxa"/>
            <w:tcBorders>
              <w:top w:val="double" w:sz="4" w:space="0" w:color="8DB3E2"/>
              <w:left w:val="double" w:sz="4" w:space="0" w:color="8DB3E2"/>
              <w:bottom w:val="double" w:sz="4" w:space="0" w:color="8DB3E2"/>
              <w:right w:val="double" w:sz="4" w:space="0" w:color="8DB3E2"/>
            </w:tcBorders>
          </w:tcPr>
          <w:p w14:paraId="57305669" w14:textId="77777777" w:rsidR="00D07AFA" w:rsidRPr="00CC121D" w:rsidRDefault="00D07AFA" w:rsidP="00D07AFA">
            <w:pPr>
              <w:rPr>
                <w:rFonts w:cs="Arial"/>
                <w:iCs/>
                <w:szCs w:val="20"/>
              </w:rPr>
            </w:pPr>
            <w:r w:rsidRPr="00CC121D">
              <w:rPr>
                <w:rFonts w:cs="Arial"/>
                <w:iCs/>
                <w:szCs w:val="20"/>
              </w:rPr>
              <w:t>Safety Requirements</w:t>
            </w:r>
          </w:p>
        </w:tc>
        <w:tc>
          <w:tcPr>
            <w:tcW w:w="6804" w:type="dxa"/>
            <w:tcBorders>
              <w:top w:val="double" w:sz="4" w:space="0" w:color="8DB3E2"/>
              <w:left w:val="double" w:sz="4" w:space="0" w:color="8DB3E2"/>
              <w:bottom w:val="double" w:sz="4" w:space="0" w:color="8DB3E2"/>
              <w:right w:val="double" w:sz="4" w:space="0" w:color="8DB3E2"/>
            </w:tcBorders>
          </w:tcPr>
          <w:p w14:paraId="5730566A" w14:textId="77777777" w:rsidR="00D07AFA" w:rsidRPr="00CC121D" w:rsidRDefault="00D07AFA" w:rsidP="00D07AFA">
            <w:pPr>
              <w:rPr>
                <w:rFonts w:cs="Arial"/>
                <w:iCs/>
                <w:szCs w:val="20"/>
              </w:rPr>
            </w:pPr>
            <w:r w:rsidRPr="00CC121D">
              <w:rPr>
                <w:rFonts w:cs="Arial"/>
                <w:iCs/>
                <w:szCs w:val="20"/>
              </w:rPr>
              <w:t>SSR-2/1 “</w:t>
            </w:r>
            <w:r w:rsidRPr="00CC121D">
              <w:rPr>
                <w:rFonts w:cs="Arial"/>
                <w:noProof/>
                <w:szCs w:val="20"/>
              </w:rPr>
              <w:t>Safety of Nuclear Power Plants: Design”</w:t>
            </w:r>
          </w:p>
        </w:tc>
      </w:tr>
      <w:tr w:rsidR="00CC121D" w:rsidRPr="00CC121D" w14:paraId="5730566E" w14:textId="77777777" w:rsidTr="00CC121D">
        <w:trPr>
          <w:jc w:val="center"/>
        </w:trPr>
        <w:tc>
          <w:tcPr>
            <w:tcW w:w="2261" w:type="dxa"/>
            <w:vMerge w:val="restart"/>
            <w:tcBorders>
              <w:top w:val="double" w:sz="4" w:space="0" w:color="8DB3E2"/>
              <w:left w:val="double" w:sz="4" w:space="0" w:color="8DB3E2"/>
              <w:right w:val="double" w:sz="4" w:space="0" w:color="8DB3E2"/>
            </w:tcBorders>
          </w:tcPr>
          <w:p w14:paraId="5730566C" w14:textId="77777777" w:rsidR="00D07AFA" w:rsidRPr="00CC121D" w:rsidRDefault="00D07AFA" w:rsidP="00D07AFA">
            <w:pPr>
              <w:rPr>
                <w:rFonts w:cs="Arial"/>
                <w:iCs/>
                <w:szCs w:val="20"/>
              </w:rPr>
            </w:pPr>
            <w:r w:rsidRPr="00CC121D">
              <w:rPr>
                <w:rFonts w:cs="Arial"/>
                <w:iCs/>
                <w:szCs w:val="20"/>
              </w:rPr>
              <w:t>Safety Guides</w:t>
            </w:r>
          </w:p>
        </w:tc>
        <w:tc>
          <w:tcPr>
            <w:tcW w:w="6804" w:type="dxa"/>
            <w:tcBorders>
              <w:top w:val="double" w:sz="4" w:space="0" w:color="8DB3E2"/>
              <w:left w:val="double" w:sz="4" w:space="0" w:color="8DB3E2"/>
              <w:bottom w:val="double" w:sz="4" w:space="0" w:color="8DB3E2"/>
              <w:right w:val="double" w:sz="4" w:space="0" w:color="8DB3E2"/>
            </w:tcBorders>
          </w:tcPr>
          <w:p w14:paraId="5730566D" w14:textId="77777777" w:rsidR="00D07AFA" w:rsidRPr="00CC121D" w:rsidRDefault="00D07AFA" w:rsidP="00D07AFA">
            <w:pPr>
              <w:rPr>
                <w:rFonts w:cs="Arial"/>
                <w:szCs w:val="20"/>
              </w:rPr>
            </w:pPr>
            <w:r w:rsidRPr="00CC121D">
              <w:rPr>
                <w:rFonts w:cs="Arial"/>
                <w:szCs w:val="20"/>
              </w:rPr>
              <w:t>SSG-30 “Safety Classification of Structures, Systems and Components in Nuclear Power Plants”</w:t>
            </w:r>
          </w:p>
        </w:tc>
      </w:tr>
      <w:tr w:rsidR="00CC121D" w:rsidRPr="00CC121D" w14:paraId="57305671" w14:textId="77777777" w:rsidTr="00CC121D">
        <w:trPr>
          <w:jc w:val="center"/>
        </w:trPr>
        <w:tc>
          <w:tcPr>
            <w:tcW w:w="2261" w:type="dxa"/>
            <w:vMerge/>
            <w:tcBorders>
              <w:left w:val="double" w:sz="4" w:space="0" w:color="8DB3E2"/>
              <w:right w:val="double" w:sz="4" w:space="0" w:color="8DB3E2"/>
            </w:tcBorders>
          </w:tcPr>
          <w:p w14:paraId="5730566F"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670" w14:textId="77777777" w:rsidR="00D07AFA" w:rsidRPr="00CC121D" w:rsidRDefault="00D07AFA" w:rsidP="00D07AFA">
            <w:pPr>
              <w:rPr>
                <w:rFonts w:cs="Arial"/>
                <w:szCs w:val="20"/>
              </w:rPr>
            </w:pPr>
            <w:r w:rsidRPr="00CC121D">
              <w:rPr>
                <w:rFonts w:cs="Arial"/>
                <w:szCs w:val="20"/>
              </w:rPr>
              <w:t>SSG-53 “Design of the Reactor Containment and Associated Systems for Nuclear Power Plants”</w:t>
            </w:r>
          </w:p>
        </w:tc>
      </w:tr>
      <w:tr w:rsidR="00CC121D" w:rsidRPr="00CC121D" w14:paraId="57305674" w14:textId="77777777" w:rsidTr="00CC121D">
        <w:trPr>
          <w:jc w:val="center"/>
        </w:trPr>
        <w:tc>
          <w:tcPr>
            <w:tcW w:w="2261" w:type="dxa"/>
            <w:vMerge/>
            <w:tcBorders>
              <w:left w:val="double" w:sz="4" w:space="0" w:color="8DB3E2"/>
              <w:right w:val="double" w:sz="4" w:space="0" w:color="8DB3E2"/>
            </w:tcBorders>
          </w:tcPr>
          <w:p w14:paraId="57305672"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673" w14:textId="77777777" w:rsidR="00D07AFA" w:rsidRPr="00CC121D" w:rsidRDefault="00D07AFA" w:rsidP="00D07AFA">
            <w:pPr>
              <w:rPr>
                <w:rFonts w:cs="Arial"/>
                <w:szCs w:val="20"/>
              </w:rPr>
            </w:pPr>
            <w:r w:rsidRPr="00CC121D">
              <w:rPr>
                <w:rFonts w:cs="Arial"/>
                <w:iCs/>
                <w:szCs w:val="20"/>
              </w:rPr>
              <w:t>NS-G-1.6 “Seismic Design and Qualification”</w:t>
            </w:r>
          </w:p>
        </w:tc>
      </w:tr>
      <w:tr w:rsidR="00CC121D" w:rsidRPr="00CC121D" w14:paraId="57305677" w14:textId="77777777" w:rsidTr="00CC121D">
        <w:trPr>
          <w:jc w:val="center"/>
        </w:trPr>
        <w:tc>
          <w:tcPr>
            <w:tcW w:w="2261" w:type="dxa"/>
            <w:vMerge/>
            <w:tcBorders>
              <w:left w:val="double" w:sz="4" w:space="0" w:color="8DB3E2"/>
              <w:right w:val="double" w:sz="4" w:space="0" w:color="8DB3E2"/>
            </w:tcBorders>
          </w:tcPr>
          <w:p w14:paraId="57305675"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676" w14:textId="77777777" w:rsidR="00D07AFA" w:rsidRPr="00CC121D" w:rsidRDefault="00D07AFA" w:rsidP="00D07AFA">
            <w:pPr>
              <w:rPr>
                <w:rFonts w:cs="Arial"/>
                <w:iCs/>
                <w:szCs w:val="20"/>
              </w:rPr>
            </w:pPr>
            <w:r w:rsidRPr="00CC121D">
              <w:rPr>
                <w:rFonts w:cs="Arial"/>
                <w:iCs/>
                <w:szCs w:val="20"/>
              </w:rPr>
              <w:t>NS-G-1.10 “Design of Reactor Containment Systems for NPP”</w:t>
            </w:r>
          </w:p>
        </w:tc>
      </w:tr>
      <w:tr w:rsidR="00CC121D" w:rsidRPr="00CC121D" w14:paraId="5730567A" w14:textId="77777777" w:rsidTr="00CC121D">
        <w:trPr>
          <w:jc w:val="center"/>
        </w:trPr>
        <w:tc>
          <w:tcPr>
            <w:tcW w:w="2261" w:type="dxa"/>
            <w:vMerge/>
            <w:tcBorders>
              <w:left w:val="double" w:sz="4" w:space="0" w:color="8DB3E2"/>
              <w:right w:val="double" w:sz="4" w:space="0" w:color="8DB3E2"/>
            </w:tcBorders>
          </w:tcPr>
          <w:p w14:paraId="57305678"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679" w14:textId="77777777" w:rsidR="00D07AFA" w:rsidRPr="00CC121D" w:rsidRDefault="00D07AFA" w:rsidP="00D07AFA">
            <w:pPr>
              <w:rPr>
                <w:rFonts w:cs="Arial"/>
                <w:szCs w:val="20"/>
              </w:rPr>
            </w:pPr>
            <w:r w:rsidRPr="00CC121D">
              <w:rPr>
                <w:rFonts w:cs="Arial"/>
                <w:szCs w:val="20"/>
              </w:rPr>
              <w:t>NS-G-1.13 “Radiation Protection Aspects of Design for Nuclear Power Plants”</w:t>
            </w:r>
          </w:p>
        </w:tc>
      </w:tr>
      <w:tr w:rsidR="00CC121D" w:rsidRPr="00CC121D" w14:paraId="5730567D" w14:textId="77777777" w:rsidTr="00CC121D">
        <w:trPr>
          <w:jc w:val="center"/>
        </w:trPr>
        <w:tc>
          <w:tcPr>
            <w:tcW w:w="2261" w:type="dxa"/>
            <w:vMerge/>
            <w:tcBorders>
              <w:left w:val="double" w:sz="4" w:space="0" w:color="8DB3E2"/>
              <w:right w:val="double" w:sz="4" w:space="0" w:color="8DB3E2"/>
            </w:tcBorders>
          </w:tcPr>
          <w:p w14:paraId="5730567B"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67C" w14:textId="77777777" w:rsidR="00D07AFA" w:rsidRPr="00CC121D" w:rsidRDefault="00D07AFA" w:rsidP="00D07AFA">
            <w:pPr>
              <w:rPr>
                <w:rFonts w:cs="Arial"/>
                <w:szCs w:val="20"/>
              </w:rPr>
            </w:pPr>
            <w:r w:rsidRPr="00CC121D">
              <w:rPr>
                <w:rFonts w:cs="Arial"/>
                <w:iCs/>
                <w:szCs w:val="20"/>
              </w:rPr>
              <w:t>NS-G-2.3 “Modifications to Nuclear Power Plants”</w:t>
            </w:r>
          </w:p>
        </w:tc>
      </w:tr>
      <w:tr w:rsidR="00CC121D" w:rsidRPr="00CC121D" w14:paraId="57305680" w14:textId="77777777" w:rsidTr="00CC121D">
        <w:trPr>
          <w:jc w:val="center"/>
        </w:trPr>
        <w:tc>
          <w:tcPr>
            <w:tcW w:w="2261" w:type="dxa"/>
            <w:vMerge/>
            <w:tcBorders>
              <w:left w:val="double" w:sz="4" w:space="0" w:color="8DB3E2"/>
              <w:right w:val="double" w:sz="4" w:space="0" w:color="8DB3E2"/>
            </w:tcBorders>
          </w:tcPr>
          <w:p w14:paraId="5730567E"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67F" w14:textId="77777777" w:rsidR="00D07AFA" w:rsidRPr="00CC121D" w:rsidRDefault="00D07AFA" w:rsidP="00D07AFA">
            <w:pPr>
              <w:rPr>
                <w:rFonts w:cs="Arial"/>
                <w:szCs w:val="20"/>
              </w:rPr>
            </w:pPr>
            <w:r w:rsidRPr="00CC121D">
              <w:rPr>
                <w:rFonts w:cs="Arial"/>
                <w:iCs/>
                <w:szCs w:val="20"/>
              </w:rPr>
              <w:t>NS-G-2.13 “Evaluation of Seismic Safety for Existing Nuclear Installations”</w:t>
            </w:r>
          </w:p>
        </w:tc>
      </w:tr>
      <w:tr w:rsidR="00CC121D" w:rsidRPr="00CC121D" w14:paraId="57305683" w14:textId="77777777" w:rsidTr="00CC121D">
        <w:trPr>
          <w:jc w:val="center"/>
        </w:trPr>
        <w:tc>
          <w:tcPr>
            <w:tcW w:w="2261" w:type="dxa"/>
            <w:vMerge/>
            <w:tcBorders>
              <w:left w:val="double" w:sz="4" w:space="0" w:color="8DB3E2"/>
              <w:right w:val="double" w:sz="4" w:space="0" w:color="8DB3E2"/>
            </w:tcBorders>
          </w:tcPr>
          <w:p w14:paraId="57305681"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682" w14:textId="77777777" w:rsidR="00D07AFA" w:rsidRPr="00CC121D" w:rsidRDefault="00D07AFA" w:rsidP="00D07AFA">
            <w:pPr>
              <w:rPr>
                <w:rFonts w:cs="Arial"/>
                <w:iCs/>
                <w:szCs w:val="20"/>
              </w:rPr>
            </w:pPr>
            <w:r w:rsidRPr="00CC121D">
              <w:rPr>
                <w:rFonts w:cs="Arial"/>
                <w:szCs w:val="20"/>
              </w:rPr>
              <w:t>NS-G-4.6 “Radiation Protection and Radioactive Waste Management in the Design and Operation of Research Reactors”</w:t>
            </w:r>
          </w:p>
        </w:tc>
      </w:tr>
      <w:tr w:rsidR="00CC121D" w:rsidRPr="00CC121D" w14:paraId="57305687" w14:textId="77777777" w:rsidTr="00CC121D">
        <w:trPr>
          <w:jc w:val="center"/>
        </w:trPr>
        <w:tc>
          <w:tcPr>
            <w:tcW w:w="2261" w:type="dxa"/>
            <w:vMerge/>
            <w:tcBorders>
              <w:left w:val="double" w:sz="4" w:space="0" w:color="8DB3E2"/>
              <w:bottom w:val="double" w:sz="4" w:space="0" w:color="8DB3E2"/>
              <w:right w:val="double" w:sz="4" w:space="0" w:color="8DB3E2"/>
            </w:tcBorders>
          </w:tcPr>
          <w:p w14:paraId="57305684"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686" w14:textId="451E6726" w:rsidR="00D07AFA" w:rsidRPr="00CC121D" w:rsidRDefault="00D07AFA" w:rsidP="00D07AFA">
            <w:pPr>
              <w:rPr>
                <w:rFonts w:cs="Arial"/>
                <w:iCs/>
                <w:szCs w:val="20"/>
              </w:rPr>
            </w:pPr>
            <w:r w:rsidRPr="00CC121D">
              <w:rPr>
                <w:rFonts w:cs="Arial"/>
                <w:szCs w:val="20"/>
              </w:rPr>
              <w:t>NS-G-1.11 “Protection against Internal Hazards other than Fires and Explosions in the Design of Nuclear Power Plants”</w:t>
            </w:r>
          </w:p>
        </w:tc>
      </w:tr>
      <w:tr w:rsidR="00CC121D" w:rsidRPr="00CC121D" w14:paraId="5730568A" w14:textId="77777777" w:rsidTr="00CC121D">
        <w:trPr>
          <w:jc w:val="center"/>
        </w:trPr>
        <w:tc>
          <w:tcPr>
            <w:tcW w:w="2261" w:type="dxa"/>
            <w:vMerge w:val="restart"/>
            <w:tcBorders>
              <w:top w:val="double" w:sz="4" w:space="0" w:color="8DB3E2"/>
              <w:left w:val="double" w:sz="4" w:space="0" w:color="8DB3E2"/>
              <w:right w:val="double" w:sz="4" w:space="0" w:color="8DB3E2"/>
            </w:tcBorders>
          </w:tcPr>
          <w:p w14:paraId="57305688" w14:textId="77777777" w:rsidR="00D07AFA" w:rsidRPr="00CC121D" w:rsidRDefault="00D07AFA" w:rsidP="00D07AFA">
            <w:pPr>
              <w:rPr>
                <w:rFonts w:cs="Arial"/>
                <w:iCs/>
                <w:szCs w:val="20"/>
              </w:rPr>
            </w:pPr>
            <w:r w:rsidRPr="00CC121D">
              <w:rPr>
                <w:rFonts w:cs="Arial"/>
                <w:iCs/>
                <w:szCs w:val="20"/>
              </w:rPr>
              <w:t>Technical Reports</w:t>
            </w:r>
          </w:p>
        </w:tc>
        <w:tc>
          <w:tcPr>
            <w:tcW w:w="6804" w:type="dxa"/>
            <w:tcBorders>
              <w:top w:val="double" w:sz="4" w:space="0" w:color="8DB3E2"/>
              <w:left w:val="double" w:sz="4" w:space="0" w:color="8DB3E2"/>
              <w:bottom w:val="double" w:sz="4" w:space="0" w:color="8DB3E2"/>
              <w:right w:val="double" w:sz="4" w:space="0" w:color="8DB3E2"/>
            </w:tcBorders>
          </w:tcPr>
          <w:p w14:paraId="57305689" w14:textId="77777777" w:rsidR="00D07AFA" w:rsidRPr="00CC121D" w:rsidRDefault="00D07AFA" w:rsidP="00D07AFA">
            <w:pPr>
              <w:rPr>
                <w:rFonts w:cs="Arial"/>
                <w:szCs w:val="20"/>
              </w:rPr>
            </w:pPr>
            <w:r w:rsidRPr="00CC121D">
              <w:rPr>
                <w:rFonts w:cs="Arial"/>
                <w:noProof/>
                <w:szCs w:val="20"/>
              </w:rPr>
              <w:t xml:space="preserve">No. </w:t>
            </w:r>
            <w:r w:rsidRPr="00CC121D">
              <w:rPr>
                <w:rFonts w:cs="Arial"/>
                <w:szCs w:val="20"/>
              </w:rPr>
              <w:t xml:space="preserve"> 382 “Methodology for the Management of Ageing of Nuclear Power Plant Components Important to Safety”</w:t>
            </w:r>
          </w:p>
        </w:tc>
      </w:tr>
      <w:tr w:rsidR="00CC121D" w:rsidRPr="00CC121D" w14:paraId="5730568D" w14:textId="77777777" w:rsidTr="00CC121D">
        <w:trPr>
          <w:jc w:val="center"/>
        </w:trPr>
        <w:tc>
          <w:tcPr>
            <w:tcW w:w="2261" w:type="dxa"/>
            <w:vMerge/>
            <w:tcBorders>
              <w:left w:val="double" w:sz="4" w:space="0" w:color="8DB3E2"/>
              <w:bottom w:val="double" w:sz="4" w:space="0" w:color="8DB3E2"/>
              <w:right w:val="double" w:sz="4" w:space="0" w:color="8DB3E2"/>
            </w:tcBorders>
          </w:tcPr>
          <w:p w14:paraId="5730568B"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68C" w14:textId="77777777" w:rsidR="00D07AFA" w:rsidRPr="00CC121D" w:rsidRDefault="00D07AFA" w:rsidP="00D07AFA">
            <w:pPr>
              <w:rPr>
                <w:rFonts w:cs="Arial"/>
                <w:szCs w:val="20"/>
              </w:rPr>
            </w:pPr>
            <w:r w:rsidRPr="00CC121D">
              <w:rPr>
                <w:rFonts w:cs="Arial"/>
                <w:noProof/>
                <w:szCs w:val="20"/>
              </w:rPr>
              <w:t xml:space="preserve">No. </w:t>
            </w:r>
            <w:r w:rsidRPr="00CC121D">
              <w:rPr>
                <w:rFonts w:cs="Arial"/>
                <w:szCs w:val="20"/>
              </w:rPr>
              <w:t xml:space="preserve"> 314 “Guidebook on Design, Construction and Operation of Pilot Plants for Uranium Ore Processing”</w:t>
            </w:r>
          </w:p>
        </w:tc>
      </w:tr>
      <w:tr w:rsidR="00CC121D" w:rsidRPr="00CC121D" w14:paraId="5730568F" w14:textId="77777777" w:rsidTr="00CC121D">
        <w:trPr>
          <w:jc w:val="center"/>
        </w:trPr>
        <w:tc>
          <w:tcPr>
            <w:tcW w:w="9065" w:type="dxa"/>
            <w:gridSpan w:val="2"/>
            <w:tcBorders>
              <w:top w:val="double" w:sz="4" w:space="0" w:color="8DB3E2"/>
              <w:left w:val="double" w:sz="4" w:space="0" w:color="8DB3E2"/>
              <w:bottom w:val="double" w:sz="4" w:space="0" w:color="8DB3E2"/>
              <w:right w:val="double" w:sz="4" w:space="0" w:color="8DB3E2"/>
            </w:tcBorders>
            <w:shd w:val="clear" w:color="auto" w:fill="C6D9F1" w:themeFill="text2" w:themeFillTint="33"/>
          </w:tcPr>
          <w:p w14:paraId="5730568E" w14:textId="77777777" w:rsidR="00D07AFA" w:rsidRPr="00CC121D" w:rsidRDefault="00D07AFA" w:rsidP="00D07AFA">
            <w:pPr>
              <w:rPr>
                <w:rFonts w:cs="Arial"/>
                <w:szCs w:val="20"/>
                <w:u w:val="single"/>
              </w:rPr>
            </w:pPr>
            <w:r w:rsidRPr="00CC121D">
              <w:rPr>
                <w:rFonts w:cs="Arial"/>
                <w:b/>
                <w:szCs w:val="20"/>
              </w:rPr>
              <w:t>Internal and External Hazard Loading</w:t>
            </w:r>
          </w:p>
        </w:tc>
      </w:tr>
      <w:tr w:rsidR="00CC121D" w:rsidRPr="00CC121D" w14:paraId="57305692" w14:textId="77777777" w:rsidTr="00CC121D">
        <w:trPr>
          <w:jc w:val="center"/>
        </w:trPr>
        <w:tc>
          <w:tcPr>
            <w:tcW w:w="2261" w:type="dxa"/>
            <w:tcBorders>
              <w:top w:val="double" w:sz="4" w:space="0" w:color="8DB3E2"/>
              <w:left w:val="double" w:sz="4" w:space="0" w:color="8DB3E2"/>
              <w:bottom w:val="double" w:sz="4" w:space="0" w:color="8DB3E2"/>
              <w:right w:val="double" w:sz="4" w:space="0" w:color="8DB3E2"/>
            </w:tcBorders>
          </w:tcPr>
          <w:p w14:paraId="57305690" w14:textId="77777777" w:rsidR="00D07AFA" w:rsidRPr="00CC121D" w:rsidRDefault="00D07AFA" w:rsidP="00D07AFA">
            <w:pPr>
              <w:rPr>
                <w:rFonts w:cs="Arial"/>
                <w:iCs/>
                <w:szCs w:val="20"/>
              </w:rPr>
            </w:pPr>
            <w:r w:rsidRPr="00CC121D">
              <w:rPr>
                <w:rFonts w:cs="Arial"/>
                <w:iCs/>
                <w:szCs w:val="20"/>
              </w:rPr>
              <w:t>Safety Requirements</w:t>
            </w:r>
          </w:p>
        </w:tc>
        <w:tc>
          <w:tcPr>
            <w:tcW w:w="6804" w:type="dxa"/>
            <w:tcBorders>
              <w:top w:val="double" w:sz="4" w:space="0" w:color="8DB3E2"/>
              <w:left w:val="double" w:sz="4" w:space="0" w:color="8DB3E2"/>
              <w:bottom w:val="double" w:sz="4" w:space="0" w:color="8DB3E2"/>
              <w:right w:val="double" w:sz="4" w:space="0" w:color="8DB3E2"/>
            </w:tcBorders>
          </w:tcPr>
          <w:p w14:paraId="57305691" w14:textId="77777777" w:rsidR="00D07AFA" w:rsidRPr="00CC121D" w:rsidRDefault="00D07AFA" w:rsidP="00D07AFA">
            <w:pPr>
              <w:rPr>
                <w:rFonts w:cs="Arial"/>
                <w:szCs w:val="20"/>
              </w:rPr>
            </w:pPr>
            <w:r w:rsidRPr="00CC121D">
              <w:rPr>
                <w:iCs/>
              </w:rPr>
              <w:t>SSR-2/2 “Safety of NPP: Commissioning and Operation” [</w:t>
            </w:r>
            <w:r w:rsidRPr="00CC121D">
              <w:rPr>
                <w:iCs/>
              </w:rPr>
              <w:fldChar w:fldCharType="begin"/>
            </w:r>
            <w:r w:rsidRPr="00CC121D">
              <w:rPr>
                <w:iCs/>
              </w:rPr>
              <w:instrText xml:space="preserve"> REF _Ref524618608 \r \h  \* MERGEFORMAT </w:instrText>
            </w:r>
            <w:r w:rsidRPr="00CC121D">
              <w:rPr>
                <w:iCs/>
              </w:rPr>
            </w:r>
            <w:r w:rsidRPr="00CC121D">
              <w:rPr>
                <w:iCs/>
              </w:rPr>
              <w:fldChar w:fldCharType="separate"/>
            </w:r>
            <w:r w:rsidRPr="00CC121D">
              <w:rPr>
                <w:iCs/>
              </w:rPr>
              <w:t>10</w:t>
            </w:r>
            <w:r w:rsidRPr="00CC121D">
              <w:rPr>
                <w:iCs/>
              </w:rPr>
              <w:fldChar w:fldCharType="end"/>
            </w:r>
            <w:r w:rsidRPr="00CC121D">
              <w:rPr>
                <w:iCs/>
              </w:rPr>
              <w:t>]</w:t>
            </w:r>
          </w:p>
        </w:tc>
      </w:tr>
      <w:tr w:rsidR="00CC121D" w:rsidRPr="00CC121D" w14:paraId="57305695" w14:textId="77777777" w:rsidTr="00CC121D">
        <w:trPr>
          <w:jc w:val="center"/>
        </w:trPr>
        <w:tc>
          <w:tcPr>
            <w:tcW w:w="2261" w:type="dxa"/>
            <w:vMerge w:val="restart"/>
            <w:tcBorders>
              <w:top w:val="double" w:sz="4" w:space="0" w:color="8DB3E2"/>
              <w:left w:val="double" w:sz="4" w:space="0" w:color="8DB3E2"/>
              <w:right w:val="double" w:sz="4" w:space="0" w:color="8DB3E2"/>
            </w:tcBorders>
          </w:tcPr>
          <w:p w14:paraId="57305693" w14:textId="77777777" w:rsidR="00D07AFA" w:rsidRPr="00CC121D" w:rsidRDefault="00D07AFA" w:rsidP="00D07AFA">
            <w:pPr>
              <w:rPr>
                <w:rFonts w:cs="Arial"/>
                <w:iCs/>
                <w:szCs w:val="20"/>
              </w:rPr>
            </w:pPr>
            <w:r w:rsidRPr="00CC121D">
              <w:rPr>
                <w:rFonts w:cs="Arial"/>
                <w:iCs/>
                <w:szCs w:val="20"/>
              </w:rPr>
              <w:t>Safety Guides</w:t>
            </w:r>
          </w:p>
        </w:tc>
        <w:tc>
          <w:tcPr>
            <w:tcW w:w="6804" w:type="dxa"/>
            <w:tcBorders>
              <w:top w:val="double" w:sz="4" w:space="0" w:color="8DB3E2"/>
              <w:left w:val="double" w:sz="4" w:space="0" w:color="8DB3E2"/>
              <w:bottom w:val="double" w:sz="4" w:space="0" w:color="8DB3E2"/>
              <w:right w:val="double" w:sz="4" w:space="0" w:color="8DB3E2"/>
            </w:tcBorders>
          </w:tcPr>
          <w:p w14:paraId="57305694" w14:textId="77777777" w:rsidR="00D07AFA" w:rsidRPr="00CC121D" w:rsidRDefault="00D07AFA" w:rsidP="00D07AFA">
            <w:pPr>
              <w:rPr>
                <w:rFonts w:cs="Arial"/>
                <w:szCs w:val="20"/>
              </w:rPr>
            </w:pPr>
            <w:r w:rsidRPr="00CC121D">
              <w:rPr>
                <w:rFonts w:cs="Arial"/>
                <w:szCs w:val="20"/>
              </w:rPr>
              <w:t>IAEA SSG 3 Development and Application of Level 1 PSA for Nuclear Power Plants</w:t>
            </w:r>
          </w:p>
        </w:tc>
      </w:tr>
      <w:tr w:rsidR="00CC121D" w:rsidRPr="00CC121D" w14:paraId="57305698" w14:textId="77777777" w:rsidTr="00CC121D">
        <w:trPr>
          <w:jc w:val="center"/>
        </w:trPr>
        <w:tc>
          <w:tcPr>
            <w:tcW w:w="2261" w:type="dxa"/>
            <w:vMerge/>
            <w:tcBorders>
              <w:left w:val="double" w:sz="4" w:space="0" w:color="8DB3E2"/>
              <w:right w:val="double" w:sz="4" w:space="0" w:color="8DB3E2"/>
            </w:tcBorders>
          </w:tcPr>
          <w:p w14:paraId="57305696"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697" w14:textId="77777777" w:rsidR="00D07AFA" w:rsidRPr="00CC121D" w:rsidRDefault="00D07AFA" w:rsidP="00D07AFA">
            <w:pPr>
              <w:rPr>
                <w:rFonts w:cs="Arial"/>
                <w:szCs w:val="20"/>
              </w:rPr>
            </w:pPr>
            <w:r w:rsidRPr="00CC121D">
              <w:rPr>
                <w:rFonts w:cs="Arial"/>
                <w:szCs w:val="20"/>
              </w:rPr>
              <w:t>Safety Guide NSG 3.3 Evaluation of Seismic Hazards for Nuclear Power Plant)</w:t>
            </w:r>
          </w:p>
        </w:tc>
      </w:tr>
      <w:tr w:rsidR="00CC121D" w:rsidRPr="00CC121D" w14:paraId="5730569B" w14:textId="77777777" w:rsidTr="00CC121D">
        <w:trPr>
          <w:jc w:val="center"/>
        </w:trPr>
        <w:tc>
          <w:tcPr>
            <w:tcW w:w="2261" w:type="dxa"/>
            <w:vMerge/>
            <w:tcBorders>
              <w:left w:val="double" w:sz="4" w:space="0" w:color="8DB3E2"/>
              <w:right w:val="double" w:sz="4" w:space="0" w:color="8DB3E2"/>
            </w:tcBorders>
          </w:tcPr>
          <w:p w14:paraId="57305699"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69A" w14:textId="77777777" w:rsidR="00D07AFA" w:rsidRPr="00CC121D" w:rsidRDefault="00D07AFA" w:rsidP="00D07AFA">
            <w:pPr>
              <w:rPr>
                <w:rFonts w:cs="Arial"/>
                <w:szCs w:val="20"/>
              </w:rPr>
            </w:pPr>
            <w:r w:rsidRPr="00CC121D">
              <w:rPr>
                <w:iCs/>
              </w:rPr>
              <w:t xml:space="preserve">IAEA SSG 9 Specific safety guide: Seismic Hazards in Site Evaluation for Nuclear Installations. (Supersedes </w:t>
            </w:r>
            <w:r w:rsidRPr="00CC121D">
              <w:rPr>
                <w:rFonts w:cs="Arial"/>
                <w:szCs w:val="20"/>
              </w:rPr>
              <w:t xml:space="preserve">IAEA </w:t>
            </w:r>
          </w:p>
        </w:tc>
      </w:tr>
      <w:tr w:rsidR="00CC121D" w:rsidRPr="00CC121D" w14:paraId="5730569E" w14:textId="77777777" w:rsidTr="00CC121D">
        <w:trPr>
          <w:jc w:val="center"/>
        </w:trPr>
        <w:tc>
          <w:tcPr>
            <w:tcW w:w="2261" w:type="dxa"/>
            <w:vMerge/>
            <w:tcBorders>
              <w:left w:val="double" w:sz="4" w:space="0" w:color="8DB3E2"/>
              <w:right w:val="double" w:sz="4" w:space="0" w:color="8DB3E2"/>
            </w:tcBorders>
          </w:tcPr>
          <w:p w14:paraId="5730569C"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69D" w14:textId="5292BBDA" w:rsidR="00D07AFA" w:rsidRPr="00CC121D" w:rsidRDefault="00D07AFA" w:rsidP="00D07AFA">
            <w:pPr>
              <w:rPr>
                <w:iCs/>
              </w:rPr>
            </w:pPr>
            <w:r w:rsidRPr="00CC121D">
              <w:rPr>
                <w:iCs/>
              </w:rPr>
              <w:t xml:space="preserve">IAEA SSG-18 Meteorological and Hydrological Hazards in Site Evaluation for Nuclear Installations. (replaces NS-G-3.4 and NS-G-3.5) </w:t>
            </w:r>
          </w:p>
        </w:tc>
      </w:tr>
      <w:tr w:rsidR="00CC121D" w:rsidRPr="00CC121D" w14:paraId="573056A1" w14:textId="77777777" w:rsidTr="00CC121D">
        <w:trPr>
          <w:jc w:val="center"/>
        </w:trPr>
        <w:tc>
          <w:tcPr>
            <w:tcW w:w="2261" w:type="dxa"/>
            <w:vMerge/>
            <w:tcBorders>
              <w:left w:val="double" w:sz="4" w:space="0" w:color="8DB3E2"/>
              <w:right w:val="double" w:sz="4" w:space="0" w:color="8DB3E2"/>
            </w:tcBorders>
          </w:tcPr>
          <w:p w14:paraId="5730569F"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6A0" w14:textId="77777777" w:rsidR="00D07AFA" w:rsidRPr="00CC121D" w:rsidRDefault="00D07AFA" w:rsidP="00D07AFA">
            <w:pPr>
              <w:rPr>
                <w:iCs/>
              </w:rPr>
            </w:pPr>
            <w:r w:rsidRPr="00CC121D">
              <w:rPr>
                <w:iCs/>
              </w:rPr>
              <w:t>NS-G-1.5 “External Events Excluding Earthquakes in the design of NPP”</w:t>
            </w:r>
          </w:p>
        </w:tc>
      </w:tr>
      <w:tr w:rsidR="00CC121D" w:rsidRPr="00CC121D" w14:paraId="573056A4" w14:textId="77777777" w:rsidTr="00CC121D">
        <w:trPr>
          <w:jc w:val="center"/>
        </w:trPr>
        <w:tc>
          <w:tcPr>
            <w:tcW w:w="2261" w:type="dxa"/>
            <w:vMerge/>
            <w:tcBorders>
              <w:left w:val="double" w:sz="4" w:space="0" w:color="8DB3E2"/>
              <w:right w:val="double" w:sz="4" w:space="0" w:color="8DB3E2"/>
            </w:tcBorders>
          </w:tcPr>
          <w:p w14:paraId="573056A2"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6A3" w14:textId="77777777" w:rsidR="00D07AFA" w:rsidRPr="00CC121D" w:rsidRDefault="00D07AFA" w:rsidP="00D07AFA">
            <w:pPr>
              <w:rPr>
                <w:iCs/>
              </w:rPr>
            </w:pPr>
            <w:r w:rsidRPr="00CC121D">
              <w:rPr>
                <w:iCs/>
              </w:rPr>
              <w:t>NS-G-1.6 “Seismic Design and Qualification for NPP”</w:t>
            </w:r>
          </w:p>
        </w:tc>
      </w:tr>
      <w:tr w:rsidR="00CC121D" w:rsidRPr="00CC121D" w14:paraId="573056A7" w14:textId="77777777" w:rsidTr="00CC121D">
        <w:trPr>
          <w:jc w:val="center"/>
        </w:trPr>
        <w:tc>
          <w:tcPr>
            <w:tcW w:w="2261" w:type="dxa"/>
            <w:vMerge/>
            <w:tcBorders>
              <w:left w:val="double" w:sz="4" w:space="0" w:color="8DB3E2"/>
              <w:right w:val="double" w:sz="4" w:space="0" w:color="8DB3E2"/>
            </w:tcBorders>
          </w:tcPr>
          <w:p w14:paraId="573056A5"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6A6" w14:textId="77777777" w:rsidR="00D07AFA" w:rsidRPr="00CC121D" w:rsidRDefault="00D07AFA" w:rsidP="00D07AFA">
            <w:pPr>
              <w:rPr>
                <w:iCs/>
              </w:rPr>
            </w:pPr>
            <w:r w:rsidRPr="00CC121D">
              <w:rPr>
                <w:iCs/>
              </w:rPr>
              <w:t>NS-G-1.7, “Protection against Internal Fires and Explosions in the Design of NPP” [</w:t>
            </w:r>
            <w:r w:rsidRPr="00CC121D">
              <w:rPr>
                <w:iCs/>
              </w:rPr>
              <w:fldChar w:fldCharType="begin"/>
            </w:r>
            <w:r w:rsidRPr="00CC121D">
              <w:rPr>
                <w:iCs/>
              </w:rPr>
              <w:instrText xml:space="preserve"> REF _Ref524617042 \r \h  \* MERGEFORMAT </w:instrText>
            </w:r>
            <w:r w:rsidRPr="00CC121D">
              <w:rPr>
                <w:iCs/>
              </w:rPr>
            </w:r>
            <w:r w:rsidRPr="00CC121D">
              <w:rPr>
                <w:iCs/>
              </w:rPr>
              <w:fldChar w:fldCharType="separate"/>
            </w:r>
            <w:r w:rsidRPr="00CC121D">
              <w:rPr>
                <w:iCs/>
              </w:rPr>
              <w:t>7</w:t>
            </w:r>
            <w:r w:rsidRPr="00CC121D">
              <w:rPr>
                <w:iCs/>
              </w:rPr>
              <w:fldChar w:fldCharType="end"/>
            </w:r>
            <w:r w:rsidRPr="00CC121D">
              <w:rPr>
                <w:iCs/>
              </w:rPr>
              <w:t xml:space="preserve">]; </w:t>
            </w:r>
          </w:p>
        </w:tc>
      </w:tr>
      <w:tr w:rsidR="00CC121D" w:rsidRPr="00CC121D" w14:paraId="573056AA" w14:textId="77777777" w:rsidTr="00CC121D">
        <w:trPr>
          <w:jc w:val="center"/>
        </w:trPr>
        <w:tc>
          <w:tcPr>
            <w:tcW w:w="2261" w:type="dxa"/>
            <w:vMerge/>
            <w:tcBorders>
              <w:left w:val="double" w:sz="4" w:space="0" w:color="8DB3E2"/>
              <w:right w:val="double" w:sz="4" w:space="0" w:color="8DB3E2"/>
            </w:tcBorders>
          </w:tcPr>
          <w:p w14:paraId="573056A8"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6A9" w14:textId="77777777" w:rsidR="00D07AFA" w:rsidRPr="00CC121D" w:rsidRDefault="00D07AFA" w:rsidP="00D07AFA">
            <w:pPr>
              <w:rPr>
                <w:iCs/>
              </w:rPr>
            </w:pPr>
            <w:r w:rsidRPr="00CC121D">
              <w:rPr>
                <w:iCs/>
              </w:rPr>
              <w:t>NS-G-2.1, “Fire Safety in the Operation of Nuclear Power Plants” [</w:t>
            </w:r>
            <w:r w:rsidRPr="00CC121D">
              <w:rPr>
                <w:iCs/>
              </w:rPr>
              <w:fldChar w:fldCharType="begin"/>
            </w:r>
            <w:r w:rsidRPr="00CC121D">
              <w:rPr>
                <w:iCs/>
              </w:rPr>
              <w:instrText xml:space="preserve"> REF _Ref524617868 \r \h  \* MERGEFORMAT </w:instrText>
            </w:r>
            <w:r w:rsidRPr="00CC121D">
              <w:rPr>
                <w:iCs/>
              </w:rPr>
            </w:r>
            <w:r w:rsidRPr="00CC121D">
              <w:rPr>
                <w:iCs/>
              </w:rPr>
              <w:fldChar w:fldCharType="separate"/>
            </w:r>
            <w:r w:rsidRPr="00CC121D">
              <w:rPr>
                <w:iCs/>
              </w:rPr>
              <w:t>8</w:t>
            </w:r>
            <w:r w:rsidRPr="00CC121D">
              <w:rPr>
                <w:iCs/>
              </w:rPr>
              <w:fldChar w:fldCharType="end"/>
            </w:r>
            <w:r w:rsidRPr="00CC121D">
              <w:rPr>
                <w:iCs/>
              </w:rPr>
              <w:t>]</w:t>
            </w:r>
          </w:p>
        </w:tc>
      </w:tr>
      <w:tr w:rsidR="00CC121D" w:rsidRPr="00CC121D" w14:paraId="573056AD" w14:textId="77777777" w:rsidTr="00CC121D">
        <w:trPr>
          <w:jc w:val="center"/>
        </w:trPr>
        <w:tc>
          <w:tcPr>
            <w:tcW w:w="2261" w:type="dxa"/>
            <w:vMerge/>
            <w:tcBorders>
              <w:left w:val="double" w:sz="4" w:space="0" w:color="8DB3E2"/>
              <w:right w:val="double" w:sz="4" w:space="0" w:color="8DB3E2"/>
            </w:tcBorders>
          </w:tcPr>
          <w:p w14:paraId="573056AB"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6AC" w14:textId="77777777" w:rsidR="00D07AFA" w:rsidRPr="00CC121D" w:rsidRDefault="00D07AFA" w:rsidP="00D07AFA">
            <w:pPr>
              <w:rPr>
                <w:iCs/>
              </w:rPr>
            </w:pPr>
            <w:r w:rsidRPr="00CC121D">
              <w:rPr>
                <w:iCs/>
              </w:rPr>
              <w:t>NS-G-2.13 “Evaluation of Seismic Safety for Existing Nuclear Installations”</w:t>
            </w:r>
          </w:p>
        </w:tc>
      </w:tr>
      <w:tr w:rsidR="00CC121D" w:rsidRPr="00CC121D" w14:paraId="573056B0" w14:textId="77777777" w:rsidTr="00CC121D">
        <w:trPr>
          <w:jc w:val="center"/>
        </w:trPr>
        <w:tc>
          <w:tcPr>
            <w:tcW w:w="2261" w:type="dxa"/>
            <w:vMerge/>
            <w:tcBorders>
              <w:left w:val="double" w:sz="4" w:space="0" w:color="8DB3E2"/>
              <w:right w:val="double" w:sz="4" w:space="0" w:color="8DB3E2"/>
            </w:tcBorders>
          </w:tcPr>
          <w:p w14:paraId="573056AE"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6AF" w14:textId="77777777" w:rsidR="00D07AFA" w:rsidRPr="00CC121D" w:rsidRDefault="00D07AFA" w:rsidP="00D07AFA">
            <w:r w:rsidRPr="00CC121D">
              <w:rPr>
                <w:rFonts w:cs="Arial"/>
                <w:szCs w:val="20"/>
              </w:rPr>
              <w:t xml:space="preserve">NSG 3.1 External Human induced events in site evaluation </w:t>
            </w:r>
          </w:p>
        </w:tc>
      </w:tr>
      <w:tr w:rsidR="00CC121D" w:rsidRPr="00CC121D" w14:paraId="573056B3" w14:textId="77777777" w:rsidTr="00CC121D">
        <w:trPr>
          <w:jc w:val="center"/>
        </w:trPr>
        <w:tc>
          <w:tcPr>
            <w:tcW w:w="2261" w:type="dxa"/>
            <w:vMerge/>
            <w:tcBorders>
              <w:left w:val="double" w:sz="4" w:space="0" w:color="8DB3E2"/>
              <w:bottom w:val="double" w:sz="4" w:space="0" w:color="8DB3E2"/>
              <w:right w:val="double" w:sz="4" w:space="0" w:color="8DB3E2"/>
            </w:tcBorders>
          </w:tcPr>
          <w:p w14:paraId="573056B1"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6B2" w14:textId="77777777" w:rsidR="00D07AFA" w:rsidRPr="00CC121D" w:rsidRDefault="00D07AFA" w:rsidP="00D07AFA">
            <w:pPr>
              <w:rPr>
                <w:iCs/>
              </w:rPr>
            </w:pPr>
            <w:r w:rsidRPr="00CC121D">
              <w:rPr>
                <w:iCs/>
              </w:rPr>
              <w:t>RS-G-1.4 “Building Competence in radiation protection and the safe use of radiation sources “</w:t>
            </w:r>
          </w:p>
        </w:tc>
      </w:tr>
      <w:tr w:rsidR="00CC121D" w:rsidRPr="00CC121D" w14:paraId="573056B5" w14:textId="77777777" w:rsidTr="00CC121D">
        <w:trPr>
          <w:trHeight w:val="357"/>
          <w:jc w:val="center"/>
        </w:trPr>
        <w:tc>
          <w:tcPr>
            <w:tcW w:w="9065" w:type="dxa"/>
            <w:gridSpan w:val="2"/>
            <w:tcBorders>
              <w:top w:val="double" w:sz="4" w:space="0" w:color="8DB3E2"/>
              <w:left w:val="double" w:sz="4" w:space="0" w:color="8DB3E2"/>
              <w:bottom w:val="double" w:sz="4" w:space="0" w:color="8DB3E2"/>
              <w:right w:val="double" w:sz="4" w:space="0" w:color="8DB3E2"/>
            </w:tcBorders>
            <w:shd w:val="clear" w:color="auto" w:fill="C6D9F1" w:themeFill="text2" w:themeFillTint="33"/>
          </w:tcPr>
          <w:p w14:paraId="573056B4" w14:textId="77777777" w:rsidR="00D07AFA" w:rsidRPr="00CC121D" w:rsidRDefault="00D07AFA" w:rsidP="00D07AFA">
            <w:pPr>
              <w:rPr>
                <w:rFonts w:cs="Arial"/>
                <w:b/>
                <w:szCs w:val="20"/>
              </w:rPr>
            </w:pPr>
            <w:r w:rsidRPr="00CC121D">
              <w:rPr>
                <w:rFonts w:cs="Arial"/>
                <w:b/>
                <w:szCs w:val="20"/>
              </w:rPr>
              <w:t>Construction/Commissioning</w:t>
            </w:r>
          </w:p>
        </w:tc>
      </w:tr>
      <w:tr w:rsidR="00CC121D" w:rsidRPr="00CC121D" w14:paraId="573056B8" w14:textId="77777777" w:rsidTr="00CC121D">
        <w:trPr>
          <w:jc w:val="center"/>
        </w:trPr>
        <w:tc>
          <w:tcPr>
            <w:tcW w:w="2261" w:type="dxa"/>
            <w:tcBorders>
              <w:top w:val="double" w:sz="4" w:space="0" w:color="8DB3E2"/>
              <w:left w:val="double" w:sz="4" w:space="0" w:color="8DB3E2"/>
              <w:bottom w:val="double" w:sz="4" w:space="0" w:color="8DB3E2"/>
              <w:right w:val="double" w:sz="4" w:space="0" w:color="8DB3E2"/>
            </w:tcBorders>
          </w:tcPr>
          <w:p w14:paraId="573056B6" w14:textId="77777777" w:rsidR="00D07AFA" w:rsidRPr="00CC121D" w:rsidRDefault="00D07AFA" w:rsidP="00D07AFA">
            <w:pPr>
              <w:rPr>
                <w:rFonts w:cs="Arial"/>
                <w:iCs/>
                <w:szCs w:val="20"/>
              </w:rPr>
            </w:pPr>
            <w:r w:rsidRPr="00CC121D">
              <w:rPr>
                <w:rFonts w:cs="Arial"/>
                <w:iCs/>
                <w:szCs w:val="20"/>
              </w:rPr>
              <w:t>Safety Requirements</w:t>
            </w:r>
          </w:p>
        </w:tc>
        <w:tc>
          <w:tcPr>
            <w:tcW w:w="6804" w:type="dxa"/>
            <w:tcBorders>
              <w:top w:val="double" w:sz="4" w:space="0" w:color="8DB3E2"/>
              <w:left w:val="double" w:sz="4" w:space="0" w:color="8DB3E2"/>
              <w:bottom w:val="double" w:sz="4" w:space="0" w:color="8DB3E2"/>
              <w:right w:val="double" w:sz="4" w:space="0" w:color="8DB3E2"/>
            </w:tcBorders>
          </w:tcPr>
          <w:p w14:paraId="573056B7" w14:textId="77777777" w:rsidR="00D07AFA" w:rsidRPr="00CC121D" w:rsidRDefault="00D07AFA" w:rsidP="00D07AFA">
            <w:pPr>
              <w:rPr>
                <w:rFonts w:cs="Arial"/>
                <w:iCs/>
                <w:szCs w:val="20"/>
              </w:rPr>
            </w:pPr>
            <w:r w:rsidRPr="00CC121D">
              <w:rPr>
                <w:rFonts w:cs="Arial"/>
                <w:iCs/>
                <w:szCs w:val="20"/>
              </w:rPr>
              <w:t xml:space="preserve">SSR-2/2 “Safety of NPP: Commissioning and Operation” </w:t>
            </w:r>
          </w:p>
        </w:tc>
      </w:tr>
      <w:tr w:rsidR="00CC121D" w:rsidRPr="00CC121D" w14:paraId="573056BB" w14:textId="77777777" w:rsidTr="00CC121D">
        <w:trPr>
          <w:jc w:val="center"/>
        </w:trPr>
        <w:tc>
          <w:tcPr>
            <w:tcW w:w="2261" w:type="dxa"/>
            <w:tcBorders>
              <w:top w:val="double" w:sz="4" w:space="0" w:color="8DB3E2"/>
              <w:left w:val="double" w:sz="4" w:space="0" w:color="8DB3E2"/>
              <w:bottom w:val="double" w:sz="4" w:space="0" w:color="8DB3E2"/>
              <w:right w:val="double" w:sz="4" w:space="0" w:color="8DB3E2"/>
            </w:tcBorders>
          </w:tcPr>
          <w:p w14:paraId="573056B9" w14:textId="77777777" w:rsidR="00D07AFA" w:rsidRPr="00CC121D" w:rsidRDefault="00D07AFA" w:rsidP="00D07AFA">
            <w:pPr>
              <w:rPr>
                <w:rFonts w:cs="Arial"/>
                <w:iCs/>
                <w:szCs w:val="20"/>
              </w:rPr>
            </w:pPr>
            <w:r w:rsidRPr="00CC121D">
              <w:rPr>
                <w:rFonts w:cs="Arial"/>
                <w:iCs/>
                <w:szCs w:val="20"/>
              </w:rPr>
              <w:t>Safety Guides</w:t>
            </w:r>
          </w:p>
        </w:tc>
        <w:tc>
          <w:tcPr>
            <w:tcW w:w="6804" w:type="dxa"/>
            <w:tcBorders>
              <w:top w:val="double" w:sz="4" w:space="0" w:color="8DB3E2"/>
              <w:left w:val="double" w:sz="4" w:space="0" w:color="8DB3E2"/>
              <w:bottom w:val="double" w:sz="4" w:space="0" w:color="8DB3E2"/>
              <w:right w:val="double" w:sz="4" w:space="0" w:color="8DB3E2"/>
            </w:tcBorders>
          </w:tcPr>
          <w:p w14:paraId="573056BA" w14:textId="77777777" w:rsidR="00D07AFA" w:rsidRPr="00CC121D" w:rsidRDefault="00D07AFA" w:rsidP="00D07AFA">
            <w:pPr>
              <w:rPr>
                <w:rFonts w:cs="Arial"/>
                <w:iCs/>
                <w:szCs w:val="20"/>
              </w:rPr>
            </w:pPr>
            <w:r w:rsidRPr="00CC121D">
              <w:rPr>
                <w:rFonts w:cs="Arial"/>
                <w:iCs/>
                <w:szCs w:val="20"/>
              </w:rPr>
              <w:t>SSG-38 “Construction for Nuclear Installations”</w:t>
            </w:r>
          </w:p>
        </w:tc>
      </w:tr>
      <w:tr w:rsidR="00CC121D" w:rsidRPr="00CC121D" w14:paraId="573056BE" w14:textId="77777777" w:rsidTr="00CC121D">
        <w:trPr>
          <w:jc w:val="center"/>
        </w:trPr>
        <w:tc>
          <w:tcPr>
            <w:tcW w:w="2261" w:type="dxa"/>
            <w:tcBorders>
              <w:top w:val="double" w:sz="4" w:space="0" w:color="8DB3E2"/>
              <w:left w:val="double" w:sz="4" w:space="0" w:color="8DB3E2"/>
              <w:bottom w:val="double" w:sz="4" w:space="0" w:color="8DB3E2"/>
              <w:right w:val="double" w:sz="4" w:space="0" w:color="8DB3E2"/>
            </w:tcBorders>
          </w:tcPr>
          <w:p w14:paraId="573056BC"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6BD" w14:textId="77777777" w:rsidR="00D07AFA" w:rsidRPr="00CC121D" w:rsidRDefault="00D07AFA" w:rsidP="00D07AFA">
            <w:pPr>
              <w:rPr>
                <w:rFonts w:cs="Arial"/>
                <w:iCs/>
                <w:szCs w:val="20"/>
              </w:rPr>
            </w:pPr>
            <w:r w:rsidRPr="00CC121D">
              <w:rPr>
                <w:rFonts w:cs="Arial"/>
                <w:iCs/>
                <w:szCs w:val="20"/>
              </w:rPr>
              <w:t>SSG-28 “Commissioning for Nuclear Power Plants”</w:t>
            </w:r>
          </w:p>
        </w:tc>
      </w:tr>
      <w:tr w:rsidR="00CC121D" w:rsidRPr="00CC121D" w14:paraId="573056C1" w14:textId="77777777" w:rsidTr="00CC121D">
        <w:trPr>
          <w:jc w:val="center"/>
        </w:trPr>
        <w:tc>
          <w:tcPr>
            <w:tcW w:w="2261" w:type="dxa"/>
            <w:tcBorders>
              <w:top w:val="double" w:sz="4" w:space="0" w:color="8DB3E2"/>
              <w:left w:val="double" w:sz="4" w:space="0" w:color="8DB3E2"/>
              <w:bottom w:val="double" w:sz="4" w:space="0" w:color="8DB3E2"/>
              <w:right w:val="double" w:sz="4" w:space="0" w:color="8DB3E2"/>
            </w:tcBorders>
          </w:tcPr>
          <w:p w14:paraId="573056BF" w14:textId="77777777" w:rsidR="00D07AFA" w:rsidRPr="00CC121D" w:rsidRDefault="00D07AFA" w:rsidP="00D07AFA">
            <w:pPr>
              <w:rPr>
                <w:rFonts w:cs="Arial"/>
                <w:iCs/>
                <w:szCs w:val="20"/>
              </w:rPr>
            </w:pPr>
            <w:r w:rsidRPr="00CC121D">
              <w:rPr>
                <w:rFonts w:cs="Arial"/>
                <w:iCs/>
                <w:szCs w:val="20"/>
              </w:rPr>
              <w:t xml:space="preserve">N Energy Series </w:t>
            </w:r>
          </w:p>
        </w:tc>
        <w:tc>
          <w:tcPr>
            <w:tcW w:w="6804" w:type="dxa"/>
            <w:tcBorders>
              <w:top w:val="double" w:sz="4" w:space="0" w:color="8DB3E2"/>
              <w:left w:val="double" w:sz="4" w:space="0" w:color="8DB3E2"/>
              <w:bottom w:val="double" w:sz="4" w:space="0" w:color="8DB3E2"/>
              <w:right w:val="double" w:sz="4" w:space="0" w:color="8DB3E2"/>
            </w:tcBorders>
          </w:tcPr>
          <w:p w14:paraId="573056C0" w14:textId="77777777" w:rsidR="00D07AFA" w:rsidRPr="00CC121D" w:rsidRDefault="00D07AFA" w:rsidP="00D07AFA">
            <w:pPr>
              <w:rPr>
                <w:rFonts w:cs="Arial"/>
                <w:iCs/>
                <w:szCs w:val="20"/>
              </w:rPr>
            </w:pPr>
            <w:r w:rsidRPr="00CC121D">
              <w:rPr>
                <w:rFonts w:cs="Arial"/>
                <w:szCs w:val="20"/>
              </w:rPr>
              <w:t>NP-T-2.5 “</w:t>
            </w:r>
            <w:r w:rsidRPr="00CC121D">
              <w:rPr>
                <w:rFonts w:cs="Arial"/>
                <w:iCs/>
                <w:szCs w:val="20"/>
              </w:rPr>
              <w:t>Construction Technologies for Nuclear Power Plants”</w:t>
            </w:r>
          </w:p>
        </w:tc>
      </w:tr>
      <w:tr w:rsidR="00CC121D" w:rsidRPr="00CC121D" w14:paraId="573056C3" w14:textId="77777777" w:rsidTr="00CC121D">
        <w:trPr>
          <w:jc w:val="center"/>
        </w:trPr>
        <w:tc>
          <w:tcPr>
            <w:tcW w:w="9065" w:type="dxa"/>
            <w:gridSpan w:val="2"/>
            <w:tcBorders>
              <w:top w:val="double" w:sz="4" w:space="0" w:color="8DB3E2"/>
              <w:left w:val="double" w:sz="4" w:space="0" w:color="8DB3E2"/>
              <w:bottom w:val="double" w:sz="4" w:space="0" w:color="8DB3E2"/>
              <w:right w:val="double" w:sz="4" w:space="0" w:color="8DB3E2"/>
            </w:tcBorders>
            <w:shd w:val="clear" w:color="auto" w:fill="C6D9F1" w:themeFill="text2" w:themeFillTint="33"/>
          </w:tcPr>
          <w:p w14:paraId="573056C2" w14:textId="77777777" w:rsidR="00D07AFA" w:rsidRPr="00CC121D" w:rsidRDefault="00D07AFA" w:rsidP="00D07AFA">
            <w:pPr>
              <w:rPr>
                <w:rFonts w:cs="Arial"/>
                <w:b/>
                <w:szCs w:val="20"/>
              </w:rPr>
            </w:pPr>
            <w:r w:rsidRPr="00CC121D">
              <w:rPr>
                <w:rFonts w:cs="Arial"/>
                <w:b/>
                <w:szCs w:val="20"/>
              </w:rPr>
              <w:t>Operations/Maintenance</w:t>
            </w:r>
          </w:p>
        </w:tc>
      </w:tr>
      <w:tr w:rsidR="00CC121D" w:rsidRPr="00CC121D" w14:paraId="573056C6" w14:textId="77777777" w:rsidTr="00CC121D">
        <w:trPr>
          <w:jc w:val="center"/>
        </w:trPr>
        <w:tc>
          <w:tcPr>
            <w:tcW w:w="2261" w:type="dxa"/>
            <w:tcBorders>
              <w:top w:val="double" w:sz="4" w:space="0" w:color="8DB3E2"/>
              <w:left w:val="double" w:sz="4" w:space="0" w:color="8DB3E2"/>
              <w:bottom w:val="double" w:sz="4" w:space="0" w:color="8DB3E2"/>
              <w:right w:val="double" w:sz="4" w:space="0" w:color="8DB3E2"/>
            </w:tcBorders>
          </w:tcPr>
          <w:p w14:paraId="573056C4" w14:textId="77777777" w:rsidR="00D07AFA" w:rsidRPr="00CC121D" w:rsidRDefault="00D07AFA" w:rsidP="00D07AFA">
            <w:pPr>
              <w:rPr>
                <w:rFonts w:cs="Arial"/>
                <w:iCs/>
                <w:szCs w:val="20"/>
              </w:rPr>
            </w:pPr>
            <w:r w:rsidRPr="00CC121D">
              <w:rPr>
                <w:rFonts w:cs="Arial"/>
                <w:iCs/>
                <w:szCs w:val="20"/>
              </w:rPr>
              <w:t>Safety Requirements</w:t>
            </w:r>
          </w:p>
        </w:tc>
        <w:tc>
          <w:tcPr>
            <w:tcW w:w="6804" w:type="dxa"/>
            <w:tcBorders>
              <w:top w:val="double" w:sz="4" w:space="0" w:color="8DB3E2"/>
              <w:left w:val="double" w:sz="4" w:space="0" w:color="8DB3E2"/>
              <w:bottom w:val="double" w:sz="4" w:space="0" w:color="8DB3E2"/>
              <w:right w:val="double" w:sz="4" w:space="0" w:color="8DB3E2"/>
            </w:tcBorders>
          </w:tcPr>
          <w:p w14:paraId="573056C5" w14:textId="77777777" w:rsidR="00D07AFA" w:rsidRPr="00CC121D" w:rsidRDefault="00D07AFA" w:rsidP="00D07AFA">
            <w:pPr>
              <w:rPr>
                <w:rFonts w:cs="Arial"/>
                <w:szCs w:val="20"/>
              </w:rPr>
            </w:pPr>
            <w:r w:rsidRPr="00CC121D">
              <w:rPr>
                <w:rFonts w:cs="Arial"/>
                <w:iCs/>
                <w:szCs w:val="20"/>
              </w:rPr>
              <w:t>SSR-2/2 “Safety of NPP: Commissioning and Operation”</w:t>
            </w:r>
          </w:p>
        </w:tc>
      </w:tr>
      <w:tr w:rsidR="00CC121D" w:rsidRPr="00CC121D" w14:paraId="573056CA" w14:textId="77777777" w:rsidTr="00CC121D">
        <w:trPr>
          <w:jc w:val="center"/>
        </w:trPr>
        <w:tc>
          <w:tcPr>
            <w:tcW w:w="2261" w:type="dxa"/>
            <w:vMerge w:val="restart"/>
            <w:tcBorders>
              <w:top w:val="double" w:sz="4" w:space="0" w:color="8DB3E2"/>
              <w:left w:val="double" w:sz="4" w:space="0" w:color="8DB3E2"/>
              <w:right w:val="double" w:sz="4" w:space="0" w:color="8DB3E2"/>
            </w:tcBorders>
          </w:tcPr>
          <w:p w14:paraId="573056C7" w14:textId="77777777" w:rsidR="00D07AFA" w:rsidRPr="00CC121D" w:rsidRDefault="00D07AFA" w:rsidP="00D07AFA">
            <w:pPr>
              <w:rPr>
                <w:rFonts w:cs="Arial"/>
                <w:iCs/>
                <w:szCs w:val="20"/>
              </w:rPr>
            </w:pPr>
            <w:r w:rsidRPr="00CC121D">
              <w:rPr>
                <w:rFonts w:cs="Arial"/>
                <w:iCs/>
                <w:szCs w:val="20"/>
              </w:rPr>
              <w:t>Safety Guides</w:t>
            </w:r>
          </w:p>
        </w:tc>
        <w:tc>
          <w:tcPr>
            <w:tcW w:w="6804" w:type="dxa"/>
            <w:tcBorders>
              <w:top w:val="double" w:sz="4" w:space="0" w:color="8DB3E2"/>
              <w:left w:val="double" w:sz="4" w:space="0" w:color="8DB3E2"/>
              <w:bottom w:val="double" w:sz="4" w:space="0" w:color="8DB3E2"/>
              <w:right w:val="double" w:sz="4" w:space="0" w:color="8DB3E2"/>
            </w:tcBorders>
          </w:tcPr>
          <w:p w14:paraId="573056C8" w14:textId="77777777" w:rsidR="00D07AFA" w:rsidRPr="00CC121D" w:rsidRDefault="00D07AFA" w:rsidP="00D07AFA">
            <w:pPr>
              <w:rPr>
                <w:rFonts w:cs="Arial"/>
                <w:iCs/>
                <w:szCs w:val="20"/>
              </w:rPr>
            </w:pPr>
            <w:r w:rsidRPr="00CC121D">
              <w:rPr>
                <w:rFonts w:cs="Arial"/>
                <w:iCs/>
                <w:szCs w:val="20"/>
              </w:rPr>
              <w:t>SSG-48 “Ageing Management and a Development of a Programme for Long Term Operation of NPP” (Supersedes NS-G-2.12)</w:t>
            </w:r>
          </w:p>
          <w:p w14:paraId="573056C9" w14:textId="77777777" w:rsidR="00D07AFA" w:rsidRPr="00CC121D" w:rsidRDefault="00D07AFA" w:rsidP="00D07AFA">
            <w:pPr>
              <w:rPr>
                <w:rFonts w:cs="Arial"/>
                <w:szCs w:val="20"/>
              </w:rPr>
            </w:pPr>
            <w:r w:rsidRPr="00CC121D">
              <w:rPr>
                <w:rFonts w:cs="Arial"/>
                <w:iCs/>
                <w:szCs w:val="20"/>
              </w:rPr>
              <w:t>SSG-10 “Ageing Management for Research Reactors”</w:t>
            </w:r>
          </w:p>
        </w:tc>
      </w:tr>
      <w:tr w:rsidR="00CC121D" w:rsidRPr="00CC121D" w14:paraId="573056CD" w14:textId="77777777" w:rsidTr="00CC121D">
        <w:trPr>
          <w:jc w:val="center"/>
        </w:trPr>
        <w:tc>
          <w:tcPr>
            <w:tcW w:w="2261" w:type="dxa"/>
            <w:vMerge/>
            <w:tcBorders>
              <w:left w:val="double" w:sz="4" w:space="0" w:color="8DB3E2"/>
              <w:right w:val="double" w:sz="4" w:space="0" w:color="8DB3E2"/>
            </w:tcBorders>
          </w:tcPr>
          <w:p w14:paraId="573056CB"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6CC" w14:textId="77777777" w:rsidR="00D07AFA" w:rsidRPr="00CC121D" w:rsidRDefault="00D07AFA" w:rsidP="00D07AFA">
            <w:pPr>
              <w:rPr>
                <w:rFonts w:cs="Arial"/>
                <w:iCs/>
                <w:szCs w:val="20"/>
              </w:rPr>
            </w:pPr>
            <w:r w:rsidRPr="00CC121D">
              <w:rPr>
                <w:rFonts w:cs="Arial"/>
                <w:iCs/>
                <w:szCs w:val="20"/>
              </w:rPr>
              <w:t>NS-G-2.6 “Maintenance, Surveillance and in-service inspection”</w:t>
            </w:r>
          </w:p>
        </w:tc>
      </w:tr>
      <w:tr w:rsidR="00CC121D" w:rsidRPr="00CC121D" w14:paraId="573056D0" w14:textId="77777777" w:rsidTr="00CC121D">
        <w:trPr>
          <w:jc w:val="center"/>
        </w:trPr>
        <w:tc>
          <w:tcPr>
            <w:tcW w:w="2261" w:type="dxa"/>
            <w:vMerge/>
            <w:tcBorders>
              <w:left w:val="double" w:sz="4" w:space="0" w:color="8DB3E2"/>
              <w:bottom w:val="double" w:sz="4" w:space="0" w:color="8DB3E2"/>
              <w:right w:val="double" w:sz="4" w:space="0" w:color="8DB3E2"/>
            </w:tcBorders>
          </w:tcPr>
          <w:p w14:paraId="573056CE"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6CF" w14:textId="77777777" w:rsidR="00D07AFA" w:rsidRPr="00CC121D" w:rsidRDefault="00D07AFA" w:rsidP="00D07AFA">
            <w:pPr>
              <w:rPr>
                <w:rFonts w:cs="Arial"/>
                <w:iCs/>
                <w:szCs w:val="20"/>
              </w:rPr>
            </w:pPr>
            <w:r w:rsidRPr="00CC121D">
              <w:rPr>
                <w:rFonts w:cs="Arial"/>
                <w:iCs/>
                <w:szCs w:val="20"/>
              </w:rPr>
              <w:t>NS-G-2.12 “Ageing Management for Nuclear Power Plants”</w:t>
            </w:r>
          </w:p>
        </w:tc>
      </w:tr>
      <w:tr w:rsidR="00CC121D" w:rsidRPr="00CC121D" w14:paraId="573056D3" w14:textId="77777777" w:rsidTr="00CC121D">
        <w:trPr>
          <w:jc w:val="center"/>
        </w:trPr>
        <w:tc>
          <w:tcPr>
            <w:tcW w:w="2261" w:type="dxa"/>
            <w:tcBorders>
              <w:top w:val="double" w:sz="4" w:space="0" w:color="8DB3E2"/>
              <w:left w:val="double" w:sz="4" w:space="0" w:color="8DB3E2"/>
              <w:bottom w:val="double" w:sz="4" w:space="0" w:color="8DB3E2"/>
              <w:right w:val="double" w:sz="4" w:space="0" w:color="8DB3E2"/>
            </w:tcBorders>
          </w:tcPr>
          <w:p w14:paraId="573056D1" w14:textId="77777777" w:rsidR="00D07AFA" w:rsidRPr="00CC121D" w:rsidRDefault="00D07AFA" w:rsidP="00D07AFA">
            <w:pPr>
              <w:rPr>
                <w:rFonts w:cs="Arial"/>
                <w:iCs/>
                <w:szCs w:val="20"/>
              </w:rPr>
            </w:pPr>
            <w:r w:rsidRPr="00CC121D">
              <w:rPr>
                <w:rFonts w:cs="Arial"/>
                <w:iCs/>
                <w:szCs w:val="20"/>
              </w:rPr>
              <w:t>Technical Reports</w:t>
            </w:r>
          </w:p>
        </w:tc>
        <w:tc>
          <w:tcPr>
            <w:tcW w:w="6804" w:type="dxa"/>
            <w:tcBorders>
              <w:top w:val="double" w:sz="4" w:space="0" w:color="8DB3E2"/>
              <w:left w:val="double" w:sz="4" w:space="0" w:color="8DB3E2"/>
              <w:bottom w:val="double" w:sz="4" w:space="0" w:color="8DB3E2"/>
              <w:right w:val="double" w:sz="4" w:space="0" w:color="8DB3E2"/>
            </w:tcBorders>
          </w:tcPr>
          <w:p w14:paraId="573056D2" w14:textId="77777777" w:rsidR="00D07AFA" w:rsidRPr="00CC121D" w:rsidRDefault="00D07AFA" w:rsidP="00D07AFA">
            <w:pPr>
              <w:rPr>
                <w:rFonts w:cs="Arial"/>
                <w:szCs w:val="20"/>
              </w:rPr>
            </w:pPr>
            <w:r w:rsidRPr="00CC121D">
              <w:rPr>
                <w:rFonts w:cs="Arial"/>
                <w:noProof/>
                <w:szCs w:val="20"/>
              </w:rPr>
              <w:t xml:space="preserve">No. </w:t>
            </w:r>
            <w:r w:rsidRPr="00CC121D">
              <w:rPr>
                <w:rFonts w:cs="Arial"/>
                <w:szCs w:val="20"/>
              </w:rPr>
              <w:t xml:space="preserve"> 338 “Methodology for the Management of Ageing of Nuclear Power Plant Components Important to Safety”</w:t>
            </w:r>
          </w:p>
        </w:tc>
      </w:tr>
      <w:tr w:rsidR="00CC121D" w:rsidRPr="00CC121D" w14:paraId="573056D6" w14:textId="77777777" w:rsidTr="00CC121D">
        <w:trPr>
          <w:jc w:val="center"/>
        </w:trPr>
        <w:tc>
          <w:tcPr>
            <w:tcW w:w="2261" w:type="dxa"/>
            <w:vMerge w:val="restart"/>
            <w:tcBorders>
              <w:top w:val="double" w:sz="4" w:space="0" w:color="8DB3E2"/>
              <w:left w:val="double" w:sz="4" w:space="0" w:color="8DB3E2"/>
              <w:right w:val="double" w:sz="4" w:space="0" w:color="8DB3E2"/>
            </w:tcBorders>
          </w:tcPr>
          <w:p w14:paraId="573056D4" w14:textId="77777777" w:rsidR="00D07AFA" w:rsidRPr="00CC121D" w:rsidRDefault="00D07AFA" w:rsidP="00D07AFA">
            <w:pPr>
              <w:rPr>
                <w:rFonts w:cs="Arial"/>
                <w:iCs/>
                <w:szCs w:val="20"/>
              </w:rPr>
            </w:pPr>
            <w:r w:rsidRPr="00CC121D">
              <w:rPr>
                <w:rFonts w:cs="Arial"/>
                <w:iCs/>
                <w:szCs w:val="20"/>
              </w:rPr>
              <w:t xml:space="preserve">Nuclear Energy series </w:t>
            </w:r>
          </w:p>
        </w:tc>
        <w:tc>
          <w:tcPr>
            <w:tcW w:w="6804" w:type="dxa"/>
            <w:tcBorders>
              <w:top w:val="double" w:sz="4" w:space="0" w:color="8DB3E2"/>
              <w:left w:val="double" w:sz="4" w:space="0" w:color="8DB3E2"/>
              <w:bottom w:val="double" w:sz="4" w:space="0" w:color="8DB3E2"/>
              <w:right w:val="double" w:sz="4" w:space="0" w:color="8DB3E2"/>
            </w:tcBorders>
          </w:tcPr>
          <w:p w14:paraId="573056D5" w14:textId="77777777" w:rsidR="00D07AFA" w:rsidRPr="00CC121D" w:rsidRDefault="00D07AFA" w:rsidP="00D07AFA">
            <w:pPr>
              <w:tabs>
                <w:tab w:val="left" w:pos="1323"/>
              </w:tabs>
              <w:rPr>
                <w:rFonts w:cs="Arial"/>
                <w:szCs w:val="20"/>
              </w:rPr>
            </w:pPr>
            <w:r w:rsidRPr="00CC121D">
              <w:rPr>
                <w:rFonts w:cs="Arial"/>
                <w:szCs w:val="20"/>
              </w:rPr>
              <w:t>NP-T-3.1 “</w:t>
            </w:r>
            <w:r w:rsidRPr="00CC121D">
              <w:rPr>
                <w:rFonts w:cs="Arial"/>
                <w:iCs/>
                <w:szCs w:val="20"/>
              </w:rPr>
              <w:t>Risk Informed In-service Inspection of Piping Systems of Nuclear Power Plants: Process, Status, Issues and Development”</w:t>
            </w:r>
          </w:p>
        </w:tc>
      </w:tr>
      <w:tr w:rsidR="00CC121D" w:rsidRPr="00CC121D" w14:paraId="573056D9" w14:textId="77777777" w:rsidTr="00CC121D">
        <w:trPr>
          <w:jc w:val="center"/>
        </w:trPr>
        <w:tc>
          <w:tcPr>
            <w:tcW w:w="2261" w:type="dxa"/>
            <w:vMerge/>
            <w:tcBorders>
              <w:left w:val="double" w:sz="4" w:space="0" w:color="8DB3E2"/>
              <w:right w:val="double" w:sz="4" w:space="0" w:color="8DB3E2"/>
            </w:tcBorders>
          </w:tcPr>
          <w:p w14:paraId="573056D7"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6D8" w14:textId="77777777" w:rsidR="00D07AFA" w:rsidRPr="00CC121D" w:rsidRDefault="00D07AFA" w:rsidP="00D07AFA">
            <w:pPr>
              <w:rPr>
                <w:rFonts w:cs="Arial"/>
                <w:szCs w:val="20"/>
              </w:rPr>
            </w:pPr>
            <w:r w:rsidRPr="00CC121D">
              <w:rPr>
                <w:rFonts w:cs="Arial"/>
                <w:szCs w:val="20"/>
              </w:rPr>
              <w:t>NP-T-3.5 “</w:t>
            </w:r>
            <w:r w:rsidRPr="00CC121D">
              <w:rPr>
                <w:rFonts w:cs="Arial"/>
                <w:iCs/>
                <w:szCs w:val="20"/>
              </w:rPr>
              <w:t>Ageing Management of Concrete Structures in NPPs”</w:t>
            </w:r>
          </w:p>
        </w:tc>
      </w:tr>
      <w:tr w:rsidR="00CC121D" w:rsidRPr="00CC121D" w14:paraId="573056DC" w14:textId="77777777" w:rsidTr="00CC121D">
        <w:trPr>
          <w:jc w:val="center"/>
        </w:trPr>
        <w:tc>
          <w:tcPr>
            <w:tcW w:w="2261" w:type="dxa"/>
            <w:vMerge/>
            <w:tcBorders>
              <w:left w:val="double" w:sz="4" w:space="0" w:color="8DB3E2"/>
              <w:right w:val="double" w:sz="4" w:space="0" w:color="8DB3E2"/>
            </w:tcBorders>
          </w:tcPr>
          <w:p w14:paraId="573056DA"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6DB" w14:textId="77777777" w:rsidR="00D07AFA" w:rsidRPr="00CC121D" w:rsidRDefault="00D07AFA" w:rsidP="00D07AFA">
            <w:pPr>
              <w:rPr>
                <w:rFonts w:cs="Arial"/>
                <w:iCs/>
                <w:szCs w:val="20"/>
              </w:rPr>
            </w:pPr>
            <w:r w:rsidRPr="00CC121D">
              <w:rPr>
                <w:rFonts w:cs="Arial"/>
                <w:szCs w:val="20"/>
              </w:rPr>
              <w:t>NP-T-3.14  “</w:t>
            </w:r>
            <w:r w:rsidRPr="00CC121D">
              <w:rPr>
                <w:rFonts w:cs="Arial"/>
                <w:iCs/>
                <w:szCs w:val="20"/>
              </w:rPr>
              <w:t>Advanced Surveillance, Diagnostic and Prognostic Techniques in Monitoring Structures, Systems and Components in Nuclear Power Plant”</w:t>
            </w:r>
          </w:p>
        </w:tc>
      </w:tr>
      <w:tr w:rsidR="00CC121D" w:rsidRPr="00CC121D" w14:paraId="573056DF" w14:textId="77777777" w:rsidTr="00CC121D">
        <w:trPr>
          <w:jc w:val="center"/>
        </w:trPr>
        <w:tc>
          <w:tcPr>
            <w:tcW w:w="2261" w:type="dxa"/>
            <w:vMerge/>
            <w:tcBorders>
              <w:left w:val="double" w:sz="4" w:space="0" w:color="8DB3E2"/>
              <w:right w:val="double" w:sz="4" w:space="0" w:color="8DB3E2"/>
            </w:tcBorders>
          </w:tcPr>
          <w:p w14:paraId="573056DD"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6DE" w14:textId="77777777" w:rsidR="00D07AFA" w:rsidRPr="00CC121D" w:rsidRDefault="00D07AFA" w:rsidP="00D07AFA">
            <w:pPr>
              <w:rPr>
                <w:rFonts w:cs="Arial"/>
                <w:szCs w:val="20"/>
              </w:rPr>
            </w:pPr>
            <w:r w:rsidRPr="00CC121D">
              <w:rPr>
                <w:rFonts w:cs="Arial"/>
                <w:szCs w:val="20"/>
              </w:rPr>
              <w:t>NP-T-3.20 “</w:t>
            </w:r>
            <w:r w:rsidRPr="00CC121D">
              <w:rPr>
                <w:rFonts w:cs="Arial"/>
                <w:iCs/>
                <w:szCs w:val="20"/>
              </w:rPr>
              <w:t>Buried and Underground Piping and Tank Ageing Management for Nuclear Power Plants”</w:t>
            </w:r>
          </w:p>
        </w:tc>
      </w:tr>
      <w:tr w:rsidR="00CC121D" w:rsidRPr="00CC121D" w14:paraId="573056E2" w14:textId="77777777" w:rsidTr="00CC121D">
        <w:trPr>
          <w:jc w:val="center"/>
        </w:trPr>
        <w:tc>
          <w:tcPr>
            <w:tcW w:w="2261" w:type="dxa"/>
            <w:vMerge/>
            <w:tcBorders>
              <w:left w:val="double" w:sz="4" w:space="0" w:color="8DB3E2"/>
              <w:bottom w:val="double" w:sz="4" w:space="0" w:color="8DB3E2"/>
              <w:right w:val="double" w:sz="4" w:space="0" w:color="8DB3E2"/>
            </w:tcBorders>
          </w:tcPr>
          <w:p w14:paraId="573056E0"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6E1" w14:textId="77777777" w:rsidR="00D07AFA" w:rsidRPr="00CC121D" w:rsidRDefault="00D07AFA" w:rsidP="00D07AFA">
            <w:pPr>
              <w:rPr>
                <w:rFonts w:cs="Arial"/>
                <w:iCs/>
                <w:szCs w:val="20"/>
              </w:rPr>
            </w:pPr>
            <w:r w:rsidRPr="00CC121D">
              <w:rPr>
                <w:rFonts w:cs="Arial"/>
                <w:szCs w:val="20"/>
              </w:rPr>
              <w:t>NP-T-3.24 “</w:t>
            </w:r>
            <w:r w:rsidRPr="00CC121D">
              <w:rPr>
                <w:rFonts w:cs="Arial"/>
                <w:iCs/>
                <w:szCs w:val="20"/>
              </w:rPr>
              <w:t>Handbook on Ageing Management for NPPs”</w:t>
            </w:r>
          </w:p>
        </w:tc>
      </w:tr>
      <w:tr w:rsidR="00CC121D" w:rsidRPr="00CC121D" w14:paraId="573056E4" w14:textId="77777777" w:rsidTr="00CC121D">
        <w:trPr>
          <w:trHeight w:val="395"/>
          <w:jc w:val="center"/>
        </w:trPr>
        <w:tc>
          <w:tcPr>
            <w:tcW w:w="9065" w:type="dxa"/>
            <w:gridSpan w:val="2"/>
            <w:tcBorders>
              <w:top w:val="double" w:sz="4" w:space="0" w:color="8DB3E2"/>
              <w:left w:val="double" w:sz="4" w:space="0" w:color="8DB3E2"/>
              <w:bottom w:val="double" w:sz="4" w:space="0" w:color="8DB3E2"/>
              <w:right w:val="double" w:sz="4" w:space="0" w:color="8DB3E2"/>
            </w:tcBorders>
            <w:shd w:val="clear" w:color="auto" w:fill="C6D9F1" w:themeFill="text2" w:themeFillTint="33"/>
          </w:tcPr>
          <w:p w14:paraId="573056E3" w14:textId="77777777" w:rsidR="00D07AFA" w:rsidRPr="00CC121D" w:rsidRDefault="00D07AFA" w:rsidP="00D07AFA">
            <w:pPr>
              <w:rPr>
                <w:rFonts w:cs="Arial"/>
                <w:b/>
                <w:szCs w:val="20"/>
              </w:rPr>
            </w:pPr>
            <w:r w:rsidRPr="00CC121D">
              <w:rPr>
                <w:rFonts w:cs="Arial"/>
                <w:b/>
                <w:szCs w:val="20"/>
              </w:rPr>
              <w:t>Decommissioning and Demolition</w:t>
            </w:r>
          </w:p>
        </w:tc>
      </w:tr>
      <w:tr w:rsidR="00CC121D" w:rsidRPr="00CC121D" w14:paraId="573056E7" w14:textId="77777777" w:rsidTr="00CC121D">
        <w:trPr>
          <w:jc w:val="center"/>
        </w:trPr>
        <w:tc>
          <w:tcPr>
            <w:tcW w:w="2261" w:type="dxa"/>
            <w:tcBorders>
              <w:top w:val="double" w:sz="4" w:space="0" w:color="8DB3E2"/>
              <w:left w:val="double" w:sz="4" w:space="0" w:color="8DB3E2"/>
              <w:bottom w:val="double" w:sz="4" w:space="0" w:color="8DB3E2"/>
              <w:right w:val="double" w:sz="4" w:space="0" w:color="8DB3E2"/>
            </w:tcBorders>
          </w:tcPr>
          <w:p w14:paraId="573056E5" w14:textId="77777777" w:rsidR="00D07AFA" w:rsidRPr="00CC121D" w:rsidRDefault="00D07AFA" w:rsidP="00D07AFA">
            <w:pPr>
              <w:rPr>
                <w:rFonts w:cs="Arial"/>
                <w:iCs/>
                <w:szCs w:val="20"/>
              </w:rPr>
            </w:pPr>
            <w:r w:rsidRPr="00CC121D">
              <w:rPr>
                <w:rFonts w:cs="Arial"/>
                <w:iCs/>
                <w:szCs w:val="20"/>
              </w:rPr>
              <w:t>Safety Requirements</w:t>
            </w:r>
          </w:p>
        </w:tc>
        <w:tc>
          <w:tcPr>
            <w:tcW w:w="6804" w:type="dxa"/>
            <w:tcBorders>
              <w:top w:val="double" w:sz="4" w:space="0" w:color="8DB3E2"/>
              <w:left w:val="double" w:sz="4" w:space="0" w:color="8DB3E2"/>
              <w:bottom w:val="double" w:sz="4" w:space="0" w:color="8DB3E2"/>
              <w:right w:val="double" w:sz="4" w:space="0" w:color="8DB3E2"/>
            </w:tcBorders>
          </w:tcPr>
          <w:p w14:paraId="573056E6" w14:textId="77777777" w:rsidR="00D07AFA" w:rsidRPr="00CC121D" w:rsidRDefault="00D07AFA" w:rsidP="00D07AFA">
            <w:pPr>
              <w:rPr>
                <w:rFonts w:cs="Arial"/>
                <w:iCs/>
                <w:szCs w:val="20"/>
              </w:rPr>
            </w:pPr>
            <w:r w:rsidRPr="00CC121D">
              <w:t>GSR-6 “Decommissioning of Facilities”</w:t>
            </w:r>
          </w:p>
        </w:tc>
      </w:tr>
      <w:tr w:rsidR="00CC121D" w:rsidRPr="00CC121D" w14:paraId="573056EA" w14:textId="77777777" w:rsidTr="00CC121D">
        <w:trPr>
          <w:jc w:val="center"/>
        </w:trPr>
        <w:tc>
          <w:tcPr>
            <w:tcW w:w="2261" w:type="dxa"/>
            <w:vMerge w:val="restart"/>
            <w:tcBorders>
              <w:top w:val="double" w:sz="4" w:space="0" w:color="8DB3E2"/>
              <w:left w:val="double" w:sz="4" w:space="0" w:color="8DB3E2"/>
              <w:right w:val="double" w:sz="4" w:space="0" w:color="8DB3E2"/>
            </w:tcBorders>
          </w:tcPr>
          <w:p w14:paraId="573056E8" w14:textId="77777777" w:rsidR="00D07AFA" w:rsidRPr="00CC121D" w:rsidRDefault="00D07AFA" w:rsidP="00D07AFA">
            <w:pPr>
              <w:rPr>
                <w:rFonts w:cs="Arial"/>
                <w:iCs/>
                <w:szCs w:val="20"/>
              </w:rPr>
            </w:pPr>
            <w:r w:rsidRPr="00CC121D">
              <w:rPr>
                <w:rFonts w:cs="Arial"/>
                <w:iCs/>
                <w:szCs w:val="20"/>
              </w:rPr>
              <w:t>Safety Guides</w:t>
            </w:r>
          </w:p>
        </w:tc>
        <w:tc>
          <w:tcPr>
            <w:tcW w:w="6804" w:type="dxa"/>
            <w:tcBorders>
              <w:top w:val="double" w:sz="4" w:space="0" w:color="8DB3E2"/>
              <w:left w:val="double" w:sz="4" w:space="0" w:color="8DB3E2"/>
              <w:bottom w:val="double" w:sz="4" w:space="0" w:color="8DB3E2"/>
              <w:right w:val="double" w:sz="4" w:space="0" w:color="8DB3E2"/>
            </w:tcBorders>
          </w:tcPr>
          <w:p w14:paraId="573056E9" w14:textId="77777777" w:rsidR="00D07AFA" w:rsidRPr="00CC121D" w:rsidRDefault="00D07AFA" w:rsidP="00D07AFA">
            <w:pPr>
              <w:rPr>
                <w:rFonts w:cs="Arial"/>
                <w:iCs/>
                <w:szCs w:val="20"/>
              </w:rPr>
            </w:pPr>
            <w:r w:rsidRPr="00CC121D">
              <w:t>SSG-47 “Decommissioning of NPP, Research Reactors and other nuclear fuel cycle facilities” (supersedes WS-G-2.1 and WS-G-2.4)</w:t>
            </w:r>
          </w:p>
        </w:tc>
      </w:tr>
      <w:tr w:rsidR="00CC121D" w:rsidRPr="00CC121D" w14:paraId="573056ED" w14:textId="77777777" w:rsidTr="00CC121D">
        <w:trPr>
          <w:jc w:val="center"/>
        </w:trPr>
        <w:tc>
          <w:tcPr>
            <w:tcW w:w="2261" w:type="dxa"/>
            <w:vMerge/>
            <w:tcBorders>
              <w:left w:val="double" w:sz="4" w:space="0" w:color="8DB3E2"/>
              <w:right w:val="double" w:sz="4" w:space="0" w:color="8DB3E2"/>
            </w:tcBorders>
          </w:tcPr>
          <w:p w14:paraId="573056EB"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6EC" w14:textId="77777777" w:rsidR="00D07AFA" w:rsidRPr="00CC121D" w:rsidRDefault="00D07AFA" w:rsidP="00D07AFA">
            <w:r w:rsidRPr="00CC121D">
              <w:rPr>
                <w:rFonts w:cs="Arial"/>
                <w:iCs/>
                <w:szCs w:val="20"/>
              </w:rPr>
              <w:t>SSG-49 “Decommissioning of Medical, Industrial and Research Facilities”</w:t>
            </w:r>
          </w:p>
        </w:tc>
      </w:tr>
      <w:tr w:rsidR="00CC121D" w:rsidRPr="00CC121D" w14:paraId="573056F0" w14:textId="77777777" w:rsidTr="00CC121D">
        <w:trPr>
          <w:jc w:val="center"/>
        </w:trPr>
        <w:tc>
          <w:tcPr>
            <w:tcW w:w="2261" w:type="dxa"/>
            <w:vMerge/>
            <w:tcBorders>
              <w:left w:val="double" w:sz="4" w:space="0" w:color="8DB3E2"/>
              <w:right w:val="double" w:sz="4" w:space="0" w:color="8DB3E2"/>
            </w:tcBorders>
          </w:tcPr>
          <w:p w14:paraId="573056EE"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6EF" w14:textId="77777777" w:rsidR="00D07AFA" w:rsidRPr="00CC121D" w:rsidRDefault="00D07AFA" w:rsidP="00D07AFA">
            <w:r w:rsidRPr="00CC121D">
              <w:t>WS-G-2.1 “Decommissioning of Nuclear Power Plants and Research Reactors”</w:t>
            </w:r>
          </w:p>
        </w:tc>
      </w:tr>
      <w:tr w:rsidR="00CC121D" w:rsidRPr="00CC121D" w14:paraId="573056F3" w14:textId="77777777" w:rsidTr="00CC121D">
        <w:trPr>
          <w:jc w:val="center"/>
        </w:trPr>
        <w:tc>
          <w:tcPr>
            <w:tcW w:w="2261" w:type="dxa"/>
            <w:vMerge/>
            <w:tcBorders>
              <w:left w:val="double" w:sz="4" w:space="0" w:color="8DB3E2"/>
              <w:right w:val="double" w:sz="4" w:space="0" w:color="8DB3E2"/>
            </w:tcBorders>
          </w:tcPr>
          <w:p w14:paraId="573056F1"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6F2" w14:textId="77777777" w:rsidR="00D07AFA" w:rsidRPr="00CC121D" w:rsidRDefault="00D07AFA" w:rsidP="00D07AFA">
            <w:r w:rsidRPr="00CC121D">
              <w:rPr>
                <w:rFonts w:cs="Arial"/>
                <w:iCs/>
                <w:szCs w:val="20"/>
              </w:rPr>
              <w:t>WS-G-2.2 “Decommissioning of Medical, Industrial and Research Facilities”</w:t>
            </w:r>
          </w:p>
        </w:tc>
      </w:tr>
      <w:tr w:rsidR="00CC121D" w:rsidRPr="00CC121D" w14:paraId="573056F6" w14:textId="77777777" w:rsidTr="00CC121D">
        <w:trPr>
          <w:jc w:val="center"/>
        </w:trPr>
        <w:tc>
          <w:tcPr>
            <w:tcW w:w="2261" w:type="dxa"/>
            <w:vMerge/>
            <w:tcBorders>
              <w:left w:val="double" w:sz="4" w:space="0" w:color="8DB3E2"/>
              <w:right w:val="double" w:sz="4" w:space="0" w:color="8DB3E2"/>
            </w:tcBorders>
          </w:tcPr>
          <w:p w14:paraId="573056F4"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6F5" w14:textId="77777777" w:rsidR="00D07AFA" w:rsidRPr="00CC121D" w:rsidRDefault="00D07AFA" w:rsidP="00D07AFA">
            <w:pPr>
              <w:rPr>
                <w:rFonts w:cs="Arial"/>
                <w:iCs/>
                <w:szCs w:val="20"/>
              </w:rPr>
            </w:pPr>
            <w:r w:rsidRPr="00CC121D">
              <w:rPr>
                <w:rFonts w:cs="Arial"/>
                <w:iCs/>
                <w:szCs w:val="20"/>
              </w:rPr>
              <w:t>WS-G-2.4 “Decommissioning of Nuclear Fuel Cycle Facilities”</w:t>
            </w:r>
          </w:p>
        </w:tc>
      </w:tr>
      <w:tr w:rsidR="00CC121D" w:rsidRPr="00CC121D" w14:paraId="573056F9" w14:textId="77777777" w:rsidTr="00CC121D">
        <w:trPr>
          <w:jc w:val="center"/>
        </w:trPr>
        <w:tc>
          <w:tcPr>
            <w:tcW w:w="2261" w:type="dxa"/>
            <w:vMerge/>
            <w:tcBorders>
              <w:left w:val="double" w:sz="4" w:space="0" w:color="8DB3E2"/>
              <w:bottom w:val="double" w:sz="4" w:space="0" w:color="8DB3E2"/>
              <w:right w:val="double" w:sz="4" w:space="0" w:color="8DB3E2"/>
            </w:tcBorders>
          </w:tcPr>
          <w:p w14:paraId="573056F7"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6F8" w14:textId="77777777" w:rsidR="00D07AFA" w:rsidRPr="00CC121D" w:rsidRDefault="00D07AFA" w:rsidP="00D07AFA">
            <w:r w:rsidRPr="00CC121D">
              <w:rPr>
                <w:rFonts w:cs="Arial"/>
                <w:iCs/>
                <w:szCs w:val="20"/>
              </w:rPr>
              <w:t>WS-G-5.2 “Safety Assessment for the Decommissioning of Facilities Using Radioactive Material"</w:t>
            </w:r>
          </w:p>
        </w:tc>
      </w:tr>
      <w:tr w:rsidR="00CC121D" w:rsidRPr="00CC121D" w14:paraId="573056FC" w14:textId="77777777" w:rsidTr="00CC121D">
        <w:trPr>
          <w:jc w:val="center"/>
        </w:trPr>
        <w:tc>
          <w:tcPr>
            <w:tcW w:w="2261" w:type="dxa"/>
            <w:vMerge w:val="restart"/>
            <w:tcBorders>
              <w:top w:val="double" w:sz="4" w:space="0" w:color="8DB3E2"/>
              <w:left w:val="double" w:sz="4" w:space="0" w:color="8DB3E2"/>
              <w:right w:val="double" w:sz="4" w:space="0" w:color="8DB3E2"/>
            </w:tcBorders>
          </w:tcPr>
          <w:p w14:paraId="573056FA" w14:textId="77777777" w:rsidR="00D07AFA" w:rsidRPr="00CC121D" w:rsidRDefault="00D07AFA" w:rsidP="00D07AFA">
            <w:pPr>
              <w:rPr>
                <w:rFonts w:cs="Arial"/>
                <w:iCs/>
                <w:szCs w:val="20"/>
              </w:rPr>
            </w:pPr>
            <w:r w:rsidRPr="00CC121D">
              <w:rPr>
                <w:rFonts w:cs="Arial"/>
                <w:iCs/>
                <w:szCs w:val="20"/>
              </w:rPr>
              <w:t>Technical Reports</w:t>
            </w:r>
          </w:p>
        </w:tc>
        <w:tc>
          <w:tcPr>
            <w:tcW w:w="6804" w:type="dxa"/>
            <w:tcBorders>
              <w:top w:val="double" w:sz="4" w:space="0" w:color="8DB3E2"/>
              <w:left w:val="double" w:sz="4" w:space="0" w:color="8DB3E2"/>
              <w:bottom w:val="double" w:sz="4" w:space="0" w:color="8DB3E2"/>
              <w:right w:val="double" w:sz="4" w:space="0" w:color="8DB3E2"/>
            </w:tcBorders>
          </w:tcPr>
          <w:p w14:paraId="573056FB" w14:textId="77777777" w:rsidR="00D07AFA" w:rsidRPr="00CC121D" w:rsidRDefault="00D07AFA" w:rsidP="00D07AFA">
            <w:r w:rsidRPr="00CC121D">
              <w:rPr>
                <w:rFonts w:cs="Arial"/>
                <w:iCs/>
                <w:szCs w:val="20"/>
              </w:rPr>
              <w:t>No.  373 “Decommissioning Techniques for Research Reactors”</w:t>
            </w:r>
          </w:p>
        </w:tc>
      </w:tr>
      <w:tr w:rsidR="00CC121D" w:rsidRPr="00CC121D" w14:paraId="573056FF" w14:textId="77777777" w:rsidTr="00CC121D">
        <w:trPr>
          <w:jc w:val="center"/>
        </w:trPr>
        <w:tc>
          <w:tcPr>
            <w:tcW w:w="2261" w:type="dxa"/>
            <w:vMerge/>
            <w:tcBorders>
              <w:left w:val="double" w:sz="4" w:space="0" w:color="8DB3E2"/>
              <w:right w:val="double" w:sz="4" w:space="0" w:color="8DB3E2"/>
            </w:tcBorders>
          </w:tcPr>
          <w:p w14:paraId="573056FD"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6FE" w14:textId="77777777" w:rsidR="00D07AFA" w:rsidRPr="00CC121D" w:rsidRDefault="00D07AFA" w:rsidP="00D07AFA">
            <w:pPr>
              <w:rPr>
                <w:rFonts w:cs="Arial"/>
                <w:iCs/>
                <w:szCs w:val="20"/>
              </w:rPr>
            </w:pPr>
            <w:r w:rsidRPr="00CC121D">
              <w:rPr>
                <w:rFonts w:cs="Arial"/>
                <w:iCs/>
                <w:szCs w:val="20"/>
              </w:rPr>
              <w:t>No.  375 “Safe Enclosure of Shutdown Nuclear Installations”</w:t>
            </w:r>
          </w:p>
        </w:tc>
      </w:tr>
      <w:tr w:rsidR="00CC121D" w:rsidRPr="00CC121D" w14:paraId="57305702" w14:textId="77777777" w:rsidTr="00CC121D">
        <w:trPr>
          <w:jc w:val="center"/>
        </w:trPr>
        <w:tc>
          <w:tcPr>
            <w:tcW w:w="2261" w:type="dxa"/>
            <w:vMerge/>
            <w:tcBorders>
              <w:left w:val="double" w:sz="4" w:space="0" w:color="8DB3E2"/>
              <w:right w:val="double" w:sz="4" w:space="0" w:color="8DB3E2"/>
            </w:tcBorders>
          </w:tcPr>
          <w:p w14:paraId="57305700"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701" w14:textId="77777777" w:rsidR="00D07AFA" w:rsidRPr="00CC121D" w:rsidRDefault="00D07AFA" w:rsidP="00D07AFA">
            <w:pPr>
              <w:rPr>
                <w:rFonts w:cs="Arial"/>
                <w:iCs/>
                <w:szCs w:val="20"/>
              </w:rPr>
            </w:pPr>
            <w:r w:rsidRPr="00CC121D">
              <w:rPr>
                <w:rFonts w:cs="Arial"/>
                <w:iCs/>
                <w:szCs w:val="20"/>
              </w:rPr>
              <w:t>No.  386 “Decommissioning of Nuclear Facilities Other Than Reactors”</w:t>
            </w:r>
          </w:p>
        </w:tc>
      </w:tr>
      <w:tr w:rsidR="00CC121D" w:rsidRPr="00CC121D" w14:paraId="57305705" w14:textId="77777777" w:rsidTr="00CC121D">
        <w:trPr>
          <w:jc w:val="center"/>
        </w:trPr>
        <w:tc>
          <w:tcPr>
            <w:tcW w:w="2261" w:type="dxa"/>
            <w:vMerge/>
            <w:tcBorders>
              <w:left w:val="double" w:sz="4" w:space="0" w:color="8DB3E2"/>
              <w:right w:val="double" w:sz="4" w:space="0" w:color="8DB3E2"/>
            </w:tcBorders>
          </w:tcPr>
          <w:p w14:paraId="57305703"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704" w14:textId="77777777" w:rsidR="00D07AFA" w:rsidRPr="00CC121D" w:rsidRDefault="00D07AFA" w:rsidP="00D07AFA">
            <w:pPr>
              <w:rPr>
                <w:rFonts w:cs="Arial"/>
                <w:iCs/>
                <w:szCs w:val="20"/>
              </w:rPr>
            </w:pPr>
            <w:r w:rsidRPr="00CC121D">
              <w:rPr>
                <w:rFonts w:cs="Arial"/>
                <w:iCs/>
                <w:szCs w:val="20"/>
              </w:rPr>
              <w:t>No.  439 “Decommissioning of Underground Structures, Systems and Components”</w:t>
            </w:r>
          </w:p>
        </w:tc>
      </w:tr>
      <w:tr w:rsidR="00CC121D" w:rsidRPr="00CC121D" w14:paraId="57305708" w14:textId="77777777" w:rsidTr="00CC121D">
        <w:trPr>
          <w:jc w:val="center"/>
        </w:trPr>
        <w:tc>
          <w:tcPr>
            <w:tcW w:w="2261" w:type="dxa"/>
            <w:vMerge/>
            <w:tcBorders>
              <w:left w:val="double" w:sz="4" w:space="0" w:color="8DB3E2"/>
              <w:right w:val="double" w:sz="4" w:space="0" w:color="8DB3E2"/>
            </w:tcBorders>
          </w:tcPr>
          <w:p w14:paraId="57305706"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707" w14:textId="77777777" w:rsidR="00D07AFA" w:rsidRPr="00CC121D" w:rsidRDefault="00D07AFA" w:rsidP="00D07AFA">
            <w:pPr>
              <w:rPr>
                <w:rFonts w:cs="Arial"/>
                <w:iCs/>
                <w:szCs w:val="20"/>
              </w:rPr>
            </w:pPr>
            <w:r w:rsidRPr="00CC121D">
              <w:rPr>
                <w:rFonts w:cs="Arial"/>
                <w:iCs/>
                <w:szCs w:val="20"/>
              </w:rPr>
              <w:t>No.  440 “Dismantling of Contaminated Stacks at Nuclear Facilities”</w:t>
            </w:r>
          </w:p>
        </w:tc>
      </w:tr>
      <w:tr w:rsidR="00CC121D" w:rsidRPr="00CC121D" w14:paraId="5730570B" w14:textId="77777777" w:rsidTr="00CC121D">
        <w:trPr>
          <w:jc w:val="center"/>
        </w:trPr>
        <w:tc>
          <w:tcPr>
            <w:tcW w:w="2261" w:type="dxa"/>
            <w:vMerge/>
            <w:tcBorders>
              <w:left w:val="double" w:sz="4" w:space="0" w:color="8DB3E2"/>
              <w:right w:val="double" w:sz="4" w:space="0" w:color="8DB3E2"/>
            </w:tcBorders>
          </w:tcPr>
          <w:p w14:paraId="57305709"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70A" w14:textId="77777777" w:rsidR="00D07AFA" w:rsidRPr="00CC121D" w:rsidRDefault="00D07AFA" w:rsidP="00D07AFA">
            <w:pPr>
              <w:rPr>
                <w:rFonts w:cs="Arial"/>
                <w:iCs/>
                <w:szCs w:val="20"/>
              </w:rPr>
            </w:pPr>
            <w:r w:rsidRPr="00CC121D">
              <w:rPr>
                <w:rFonts w:cs="Arial"/>
                <w:iCs/>
                <w:szCs w:val="20"/>
              </w:rPr>
              <w:t>No.  446 “Decommissioning of Research Reactors: Evolution, State of the Art, Open Issues”</w:t>
            </w:r>
          </w:p>
        </w:tc>
      </w:tr>
      <w:tr w:rsidR="00CC121D" w:rsidRPr="00CC121D" w14:paraId="5730570E" w14:textId="77777777" w:rsidTr="00CC121D">
        <w:trPr>
          <w:jc w:val="center"/>
        </w:trPr>
        <w:tc>
          <w:tcPr>
            <w:tcW w:w="2261" w:type="dxa"/>
            <w:vMerge/>
            <w:tcBorders>
              <w:left w:val="double" w:sz="4" w:space="0" w:color="8DB3E2"/>
              <w:bottom w:val="double" w:sz="4" w:space="0" w:color="8DB3E2"/>
              <w:right w:val="double" w:sz="4" w:space="0" w:color="8DB3E2"/>
            </w:tcBorders>
          </w:tcPr>
          <w:p w14:paraId="5730570C"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70D" w14:textId="77777777" w:rsidR="00D07AFA" w:rsidRPr="00CC121D" w:rsidRDefault="00D07AFA" w:rsidP="00D07AFA">
            <w:pPr>
              <w:rPr>
                <w:rFonts w:cs="Arial"/>
                <w:iCs/>
                <w:szCs w:val="20"/>
              </w:rPr>
            </w:pPr>
            <w:r w:rsidRPr="00CC121D">
              <w:rPr>
                <w:rFonts w:cs="Arial"/>
                <w:iCs/>
                <w:szCs w:val="20"/>
              </w:rPr>
              <w:t xml:space="preserve">No. </w:t>
            </w:r>
            <w:r w:rsidRPr="00CC121D">
              <w:t xml:space="preserve"> 448 “Decommissioning of Medical, Industrial and Research Facilities”</w:t>
            </w:r>
          </w:p>
        </w:tc>
      </w:tr>
      <w:tr w:rsidR="00CC121D" w:rsidRPr="00CC121D" w14:paraId="57305711" w14:textId="77777777" w:rsidTr="00CC121D">
        <w:trPr>
          <w:jc w:val="center"/>
        </w:trPr>
        <w:tc>
          <w:tcPr>
            <w:tcW w:w="2261" w:type="dxa"/>
            <w:tcBorders>
              <w:top w:val="double" w:sz="4" w:space="0" w:color="8DB3E2"/>
              <w:left w:val="double" w:sz="4" w:space="0" w:color="8DB3E2"/>
              <w:bottom w:val="double" w:sz="4" w:space="0" w:color="8DB3E2"/>
              <w:right w:val="double" w:sz="4" w:space="0" w:color="8DB3E2"/>
            </w:tcBorders>
          </w:tcPr>
          <w:p w14:paraId="5730570F" w14:textId="77777777" w:rsidR="00D07AFA" w:rsidRPr="00CC121D" w:rsidRDefault="00D07AFA" w:rsidP="00D07AFA">
            <w:pPr>
              <w:rPr>
                <w:rFonts w:cs="Arial"/>
                <w:iCs/>
                <w:szCs w:val="20"/>
              </w:rPr>
            </w:pPr>
            <w:r w:rsidRPr="00CC121D">
              <w:rPr>
                <w:rFonts w:cs="Arial"/>
                <w:iCs/>
                <w:szCs w:val="20"/>
              </w:rPr>
              <w:t xml:space="preserve">Safety Report Series </w:t>
            </w:r>
          </w:p>
        </w:tc>
        <w:tc>
          <w:tcPr>
            <w:tcW w:w="6804" w:type="dxa"/>
            <w:tcBorders>
              <w:top w:val="double" w:sz="4" w:space="0" w:color="8DB3E2"/>
              <w:left w:val="double" w:sz="4" w:space="0" w:color="8DB3E2"/>
              <w:bottom w:val="double" w:sz="4" w:space="0" w:color="8DB3E2"/>
              <w:right w:val="double" w:sz="4" w:space="0" w:color="8DB3E2"/>
            </w:tcBorders>
          </w:tcPr>
          <w:p w14:paraId="57305710" w14:textId="77777777" w:rsidR="00D07AFA" w:rsidRPr="00CC121D" w:rsidRDefault="00D07AFA" w:rsidP="00D07AFA">
            <w:pPr>
              <w:rPr>
                <w:rFonts w:cs="Arial"/>
                <w:iCs/>
                <w:szCs w:val="20"/>
              </w:rPr>
            </w:pPr>
            <w:r w:rsidRPr="00CC121D">
              <w:rPr>
                <w:rFonts w:cs="Arial"/>
                <w:iCs/>
                <w:szCs w:val="20"/>
              </w:rPr>
              <w:t>No. 97 “Management of Project Risks in Decommissioning”</w:t>
            </w:r>
          </w:p>
        </w:tc>
      </w:tr>
      <w:tr w:rsidR="00CC121D" w:rsidRPr="00CC121D" w14:paraId="57305714" w14:textId="77777777" w:rsidTr="00CC121D">
        <w:trPr>
          <w:jc w:val="center"/>
        </w:trPr>
        <w:tc>
          <w:tcPr>
            <w:tcW w:w="2261" w:type="dxa"/>
            <w:vMerge w:val="restart"/>
            <w:tcBorders>
              <w:top w:val="double" w:sz="4" w:space="0" w:color="8DB3E2"/>
              <w:left w:val="double" w:sz="4" w:space="0" w:color="8DB3E2"/>
              <w:right w:val="double" w:sz="4" w:space="0" w:color="8DB3E2"/>
            </w:tcBorders>
          </w:tcPr>
          <w:p w14:paraId="57305712" w14:textId="77777777" w:rsidR="00D07AFA" w:rsidRPr="00CC121D" w:rsidRDefault="00D07AFA" w:rsidP="00D07AFA">
            <w:pPr>
              <w:rPr>
                <w:rFonts w:cs="Arial"/>
                <w:iCs/>
                <w:szCs w:val="20"/>
              </w:rPr>
            </w:pPr>
            <w:r w:rsidRPr="00CC121D">
              <w:rPr>
                <w:rFonts w:cs="Arial"/>
                <w:iCs/>
                <w:szCs w:val="20"/>
              </w:rPr>
              <w:t xml:space="preserve">Nuclear Energy Series </w:t>
            </w:r>
          </w:p>
        </w:tc>
        <w:tc>
          <w:tcPr>
            <w:tcW w:w="6804" w:type="dxa"/>
            <w:tcBorders>
              <w:top w:val="double" w:sz="4" w:space="0" w:color="8DB3E2"/>
              <w:left w:val="double" w:sz="4" w:space="0" w:color="8DB3E2"/>
              <w:bottom w:val="double" w:sz="4" w:space="0" w:color="8DB3E2"/>
              <w:right w:val="double" w:sz="4" w:space="0" w:color="8DB3E2"/>
            </w:tcBorders>
          </w:tcPr>
          <w:p w14:paraId="57305713" w14:textId="77777777" w:rsidR="00D07AFA" w:rsidRPr="00CC121D" w:rsidRDefault="00D07AFA" w:rsidP="00D07AFA">
            <w:pPr>
              <w:rPr>
                <w:rFonts w:cs="Arial"/>
                <w:iCs/>
                <w:szCs w:val="20"/>
              </w:rPr>
            </w:pPr>
            <w:r w:rsidRPr="00CC121D">
              <w:rPr>
                <w:rFonts w:cs="Arial"/>
                <w:iCs/>
                <w:szCs w:val="20"/>
              </w:rPr>
              <w:t>NW-T-2.6 “Decommissioning of Pools in Nuclear Facilities”</w:t>
            </w:r>
          </w:p>
        </w:tc>
      </w:tr>
      <w:tr w:rsidR="00D07AFA" w:rsidRPr="00CC121D" w14:paraId="57305717" w14:textId="77777777" w:rsidTr="00CC121D">
        <w:trPr>
          <w:jc w:val="center"/>
        </w:trPr>
        <w:tc>
          <w:tcPr>
            <w:tcW w:w="2261" w:type="dxa"/>
            <w:vMerge/>
            <w:tcBorders>
              <w:left w:val="double" w:sz="4" w:space="0" w:color="8DB3E2"/>
              <w:bottom w:val="double" w:sz="4" w:space="0" w:color="8DB3E2"/>
              <w:right w:val="double" w:sz="4" w:space="0" w:color="8DB3E2"/>
            </w:tcBorders>
          </w:tcPr>
          <w:p w14:paraId="57305715" w14:textId="77777777" w:rsidR="00D07AFA" w:rsidRPr="00CC121D" w:rsidRDefault="00D07AFA" w:rsidP="00D07AFA">
            <w:pPr>
              <w:rPr>
                <w:rFonts w:cs="Arial"/>
                <w:iCs/>
                <w:szCs w:val="20"/>
              </w:rPr>
            </w:pPr>
          </w:p>
        </w:tc>
        <w:tc>
          <w:tcPr>
            <w:tcW w:w="6804" w:type="dxa"/>
            <w:tcBorders>
              <w:top w:val="double" w:sz="4" w:space="0" w:color="8DB3E2"/>
              <w:left w:val="double" w:sz="4" w:space="0" w:color="8DB3E2"/>
              <w:bottom w:val="double" w:sz="4" w:space="0" w:color="8DB3E2"/>
              <w:right w:val="double" w:sz="4" w:space="0" w:color="8DB3E2"/>
            </w:tcBorders>
          </w:tcPr>
          <w:p w14:paraId="57305716" w14:textId="77777777" w:rsidR="00D07AFA" w:rsidRPr="00CC121D" w:rsidRDefault="00D07AFA" w:rsidP="00D07AFA">
            <w:pPr>
              <w:rPr>
                <w:rFonts w:cs="Arial"/>
                <w:iCs/>
                <w:szCs w:val="20"/>
              </w:rPr>
            </w:pPr>
            <w:r w:rsidRPr="00CC121D">
              <w:rPr>
                <w:rFonts w:cs="Arial"/>
                <w:iCs/>
                <w:szCs w:val="20"/>
              </w:rPr>
              <w:t>NW-T-2.10 “Decommissioning after a Nuclear Accident: Approaches, Techniques, Practices and Implementation Considerations”</w:t>
            </w:r>
          </w:p>
        </w:tc>
      </w:tr>
    </w:tbl>
    <w:p w14:paraId="57305718" w14:textId="77777777" w:rsidR="00D07AFA" w:rsidRPr="00CC121D" w:rsidRDefault="00D07AFA">
      <w:pPr>
        <w:rPr>
          <w:rFonts w:ascii="Arial Bold" w:hAnsi="Arial Bold"/>
          <w:b/>
        </w:rPr>
      </w:pPr>
      <w:r w:rsidRPr="00CC121D">
        <w:br w:type="page"/>
      </w:r>
    </w:p>
    <w:p w14:paraId="57305719" w14:textId="54BB58CC" w:rsidR="00D07AFA" w:rsidRPr="00CC121D" w:rsidRDefault="00D07AFA" w:rsidP="00D07AFA">
      <w:pPr>
        <w:pStyle w:val="TSHeadingNumbered11"/>
      </w:pPr>
      <w:bookmarkStart w:id="101" w:name="_Toc57912715"/>
      <w:r w:rsidRPr="00CC121D">
        <w:t>APPENDIX E: WENRA PRINCIPLES RELATED TO THE CIVIL ENGINEERING SAPs</w:t>
      </w:r>
      <w:bookmarkEnd w:id="101"/>
    </w:p>
    <w:tbl>
      <w:tblPr>
        <w:tblW w:w="900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28" w:type="dxa"/>
          <w:left w:w="28" w:type="dxa"/>
          <w:bottom w:w="28" w:type="dxa"/>
          <w:right w:w="28" w:type="dxa"/>
        </w:tblCellMar>
        <w:tblLook w:val="01E0" w:firstRow="1" w:lastRow="1" w:firstColumn="1" w:lastColumn="1" w:noHBand="0" w:noVBand="0"/>
      </w:tblPr>
      <w:tblGrid>
        <w:gridCol w:w="1171"/>
        <w:gridCol w:w="1852"/>
        <w:gridCol w:w="825"/>
        <w:gridCol w:w="25"/>
        <w:gridCol w:w="2501"/>
        <w:gridCol w:w="1359"/>
        <w:gridCol w:w="1270"/>
      </w:tblGrid>
      <w:tr w:rsidR="004A758B" w:rsidRPr="00CC121D" w14:paraId="5730571C" w14:textId="77777777" w:rsidTr="00E57B22">
        <w:trPr>
          <w:jc w:val="center"/>
        </w:trPr>
        <w:tc>
          <w:tcPr>
            <w:tcW w:w="3848" w:type="dxa"/>
            <w:gridSpan w:val="3"/>
            <w:tcBorders>
              <w:top w:val="double" w:sz="4" w:space="0" w:color="auto"/>
              <w:left w:val="double" w:sz="4" w:space="0" w:color="auto"/>
              <w:bottom w:val="double" w:sz="4" w:space="0" w:color="auto"/>
              <w:right w:val="double" w:sz="4" w:space="0" w:color="auto"/>
            </w:tcBorders>
            <w:shd w:val="clear" w:color="auto" w:fill="006D68"/>
          </w:tcPr>
          <w:p w14:paraId="24F3D19C" w14:textId="77D6A20E" w:rsidR="004A758B" w:rsidRPr="00CC121D" w:rsidRDefault="00CD72A1" w:rsidP="00D07AFA">
            <w:pPr>
              <w:widowControl w:val="0"/>
              <w:tabs>
                <w:tab w:val="left" w:pos="720"/>
              </w:tabs>
              <w:jc w:val="center"/>
              <w:rPr>
                <w:rFonts w:ascii="Arial Bold" w:hAnsi="Arial Bold" w:cs="Arial"/>
                <w:b/>
                <w:sz w:val="20"/>
              </w:rPr>
            </w:pPr>
            <w:r>
              <w:rPr>
                <w:rFonts w:ascii="Arial Bold" w:hAnsi="Arial Bold" w:cs="Arial"/>
                <w:b/>
                <w:sz w:val="20"/>
              </w:rPr>
              <w:t>Safety Assessment Principles</w:t>
            </w:r>
          </w:p>
        </w:tc>
        <w:tc>
          <w:tcPr>
            <w:tcW w:w="5155" w:type="dxa"/>
            <w:gridSpan w:val="4"/>
            <w:tcBorders>
              <w:top w:val="double" w:sz="4" w:space="0" w:color="auto"/>
              <w:left w:val="double" w:sz="4" w:space="0" w:color="auto"/>
              <w:bottom w:val="double" w:sz="4" w:space="0" w:color="auto"/>
              <w:right w:val="double" w:sz="4" w:space="0" w:color="auto"/>
            </w:tcBorders>
            <w:shd w:val="clear" w:color="auto" w:fill="006D68"/>
          </w:tcPr>
          <w:p w14:paraId="5730571B" w14:textId="099040F3" w:rsidR="004A758B" w:rsidRPr="00CC121D" w:rsidRDefault="004A758B" w:rsidP="00D07AFA">
            <w:pPr>
              <w:widowControl w:val="0"/>
              <w:tabs>
                <w:tab w:val="left" w:pos="720"/>
              </w:tabs>
              <w:jc w:val="center"/>
              <w:rPr>
                <w:rFonts w:ascii="Arial Bold" w:hAnsi="Arial Bold" w:cs="Arial"/>
                <w:b/>
                <w:sz w:val="20"/>
              </w:rPr>
            </w:pPr>
            <w:r w:rsidRPr="00CC121D">
              <w:rPr>
                <w:rFonts w:ascii="Arial Bold" w:hAnsi="Arial Bold" w:cs="Arial"/>
                <w:b/>
                <w:sz w:val="20"/>
              </w:rPr>
              <w:t>WENRA</w:t>
            </w:r>
            <w:r w:rsidR="00CD72A1">
              <w:rPr>
                <w:rFonts w:ascii="Arial Bold" w:hAnsi="Arial Bold" w:cs="Arial"/>
                <w:b/>
                <w:sz w:val="20"/>
              </w:rPr>
              <w:t xml:space="preserve"> Principles</w:t>
            </w:r>
          </w:p>
        </w:tc>
      </w:tr>
      <w:tr w:rsidR="00DA4E21" w:rsidRPr="00CC121D" w14:paraId="57305724" w14:textId="77777777" w:rsidTr="00E57B22">
        <w:trPr>
          <w:jc w:val="center"/>
        </w:trPr>
        <w:tc>
          <w:tcPr>
            <w:tcW w:w="1171" w:type="dxa"/>
            <w:tcBorders>
              <w:top w:val="double" w:sz="4" w:space="0" w:color="auto"/>
              <w:left w:val="double" w:sz="4" w:space="0" w:color="auto"/>
              <w:bottom w:val="double" w:sz="4" w:space="0" w:color="auto"/>
              <w:right w:val="single" w:sz="6" w:space="0" w:color="auto"/>
            </w:tcBorders>
            <w:shd w:val="clear" w:color="auto" w:fill="006D68"/>
            <w:vAlign w:val="center"/>
            <w:hideMark/>
          </w:tcPr>
          <w:p w14:paraId="5730571D" w14:textId="77777777" w:rsidR="00DA4E21" w:rsidRPr="00CC121D" w:rsidRDefault="00DA4E21" w:rsidP="00D07AFA">
            <w:pPr>
              <w:widowControl w:val="0"/>
              <w:tabs>
                <w:tab w:val="left" w:pos="720"/>
              </w:tabs>
              <w:jc w:val="center"/>
              <w:rPr>
                <w:rFonts w:ascii="Arial Bold" w:hAnsi="Arial Bold" w:cs="Arial"/>
                <w:b/>
                <w:sz w:val="20"/>
              </w:rPr>
            </w:pPr>
            <w:r w:rsidRPr="00CC121D">
              <w:rPr>
                <w:rFonts w:ascii="Arial Bold" w:hAnsi="Arial Bold" w:cs="Arial"/>
                <w:b/>
                <w:sz w:val="20"/>
              </w:rPr>
              <w:t>Safety case area</w:t>
            </w:r>
          </w:p>
        </w:tc>
        <w:tc>
          <w:tcPr>
            <w:tcW w:w="1852" w:type="dxa"/>
            <w:tcBorders>
              <w:top w:val="double" w:sz="4" w:space="0" w:color="auto"/>
              <w:left w:val="single" w:sz="6" w:space="0" w:color="auto"/>
              <w:bottom w:val="double" w:sz="4" w:space="0" w:color="auto"/>
              <w:right w:val="single" w:sz="6" w:space="0" w:color="auto"/>
            </w:tcBorders>
            <w:shd w:val="clear" w:color="auto" w:fill="006D68"/>
            <w:vAlign w:val="center"/>
            <w:hideMark/>
          </w:tcPr>
          <w:p w14:paraId="5730571E" w14:textId="77777777" w:rsidR="00DA4E21" w:rsidRPr="00CC121D" w:rsidRDefault="00DA4E21" w:rsidP="00D07AFA">
            <w:pPr>
              <w:widowControl w:val="0"/>
              <w:tabs>
                <w:tab w:val="left" w:pos="720"/>
              </w:tabs>
              <w:jc w:val="center"/>
              <w:rPr>
                <w:rFonts w:ascii="Arial Bold" w:hAnsi="Arial Bold" w:cs="Arial"/>
                <w:b/>
                <w:sz w:val="20"/>
              </w:rPr>
            </w:pPr>
            <w:r w:rsidRPr="00CC121D">
              <w:rPr>
                <w:rFonts w:ascii="Arial Bold" w:hAnsi="Arial Bold" w:cs="Arial"/>
                <w:b/>
                <w:sz w:val="20"/>
              </w:rPr>
              <w:t>Subject</w:t>
            </w:r>
          </w:p>
        </w:tc>
        <w:tc>
          <w:tcPr>
            <w:tcW w:w="850" w:type="dxa"/>
            <w:gridSpan w:val="2"/>
            <w:tcBorders>
              <w:top w:val="double" w:sz="4" w:space="0" w:color="auto"/>
              <w:left w:val="single" w:sz="6" w:space="0" w:color="auto"/>
              <w:bottom w:val="double" w:sz="4" w:space="0" w:color="auto"/>
              <w:right w:val="single" w:sz="6" w:space="0" w:color="auto"/>
            </w:tcBorders>
            <w:shd w:val="clear" w:color="auto" w:fill="006D68"/>
          </w:tcPr>
          <w:p w14:paraId="5730571F" w14:textId="77777777" w:rsidR="00DA4E21" w:rsidRPr="00CC121D" w:rsidRDefault="00DA4E21" w:rsidP="00D07AFA">
            <w:pPr>
              <w:widowControl w:val="0"/>
              <w:tabs>
                <w:tab w:val="left" w:pos="720"/>
              </w:tabs>
              <w:jc w:val="center"/>
              <w:rPr>
                <w:rFonts w:ascii="Arial Bold" w:hAnsi="Arial Bold" w:cs="Arial"/>
                <w:b/>
                <w:sz w:val="20"/>
              </w:rPr>
            </w:pPr>
            <w:r w:rsidRPr="00CC121D">
              <w:rPr>
                <w:rFonts w:ascii="Arial Bold" w:hAnsi="Arial Bold" w:cs="Arial"/>
                <w:b/>
                <w:sz w:val="20"/>
              </w:rPr>
              <w:t xml:space="preserve">Identity </w:t>
            </w:r>
          </w:p>
        </w:tc>
        <w:tc>
          <w:tcPr>
            <w:tcW w:w="2501" w:type="dxa"/>
            <w:tcBorders>
              <w:top w:val="double" w:sz="4" w:space="0" w:color="auto"/>
              <w:left w:val="nil"/>
              <w:bottom w:val="double" w:sz="4" w:space="0" w:color="auto"/>
              <w:right w:val="single" w:sz="6" w:space="0" w:color="auto"/>
            </w:tcBorders>
            <w:shd w:val="clear" w:color="auto" w:fill="006D68"/>
            <w:tcMar>
              <w:top w:w="28" w:type="dxa"/>
              <w:left w:w="57" w:type="dxa"/>
              <w:bottom w:w="28" w:type="dxa"/>
              <w:right w:w="0" w:type="dxa"/>
            </w:tcMar>
            <w:hideMark/>
          </w:tcPr>
          <w:p w14:paraId="57305721" w14:textId="77777777" w:rsidR="00DA4E21" w:rsidRPr="00CC121D" w:rsidRDefault="00DA4E21" w:rsidP="00D07AFA">
            <w:pPr>
              <w:widowControl w:val="0"/>
              <w:tabs>
                <w:tab w:val="left" w:pos="720"/>
              </w:tabs>
              <w:jc w:val="center"/>
              <w:rPr>
                <w:rFonts w:ascii="Arial Bold" w:hAnsi="Arial Bold" w:cs="Arial"/>
                <w:b/>
                <w:sz w:val="20"/>
              </w:rPr>
            </w:pPr>
            <w:r w:rsidRPr="00CC121D">
              <w:rPr>
                <w:rFonts w:ascii="Arial Bold" w:hAnsi="Arial Bold" w:cs="Arial"/>
                <w:b/>
                <w:sz w:val="20"/>
              </w:rPr>
              <w:t>SRL existing reactors</w:t>
            </w:r>
          </w:p>
        </w:tc>
        <w:tc>
          <w:tcPr>
            <w:tcW w:w="1359" w:type="dxa"/>
            <w:tcBorders>
              <w:top w:val="double" w:sz="4" w:space="0" w:color="auto"/>
              <w:left w:val="nil"/>
              <w:bottom w:val="double" w:sz="4" w:space="0" w:color="auto"/>
              <w:right w:val="single" w:sz="6" w:space="0" w:color="auto"/>
            </w:tcBorders>
            <w:shd w:val="clear" w:color="auto" w:fill="006D68"/>
          </w:tcPr>
          <w:p w14:paraId="57305722" w14:textId="38F54717" w:rsidR="00DA4E21" w:rsidRPr="00CC121D" w:rsidRDefault="00DA4E21" w:rsidP="00D07AFA">
            <w:pPr>
              <w:widowControl w:val="0"/>
              <w:tabs>
                <w:tab w:val="left" w:pos="720"/>
              </w:tabs>
              <w:jc w:val="center"/>
              <w:rPr>
                <w:rFonts w:ascii="Arial Bold" w:hAnsi="Arial Bold" w:cs="Arial"/>
                <w:b/>
                <w:sz w:val="20"/>
              </w:rPr>
            </w:pPr>
            <w:r w:rsidRPr="00CC121D">
              <w:rPr>
                <w:rFonts w:ascii="Arial Bold" w:hAnsi="Arial Bold" w:cs="Arial"/>
                <w:b/>
                <w:sz w:val="20"/>
              </w:rPr>
              <w:t>DECOM</w:t>
            </w:r>
            <w:r w:rsidR="00EA3FAE">
              <w:rPr>
                <w:rFonts w:ascii="Arial Bold" w:hAnsi="Arial Bold" w:cs="Arial"/>
                <w:b/>
                <w:sz w:val="20"/>
              </w:rPr>
              <w:t xml:space="preserve"> </w:t>
            </w:r>
            <w:r w:rsidRPr="00CC121D">
              <w:rPr>
                <w:rFonts w:ascii="Arial Bold" w:hAnsi="Arial Bold" w:cs="Arial"/>
                <w:b/>
                <w:sz w:val="20"/>
              </w:rPr>
              <w:t>SRL</w:t>
            </w:r>
          </w:p>
        </w:tc>
        <w:tc>
          <w:tcPr>
            <w:tcW w:w="1268" w:type="dxa"/>
            <w:tcBorders>
              <w:top w:val="double" w:sz="4" w:space="0" w:color="auto"/>
              <w:left w:val="nil"/>
              <w:bottom w:val="double" w:sz="4" w:space="0" w:color="auto"/>
              <w:right w:val="double" w:sz="4" w:space="0" w:color="auto"/>
            </w:tcBorders>
            <w:shd w:val="clear" w:color="auto" w:fill="006D68"/>
          </w:tcPr>
          <w:p w14:paraId="57305723" w14:textId="77777777" w:rsidR="00DA4E21" w:rsidRPr="00CC121D" w:rsidRDefault="00DA4E21" w:rsidP="00D07AFA">
            <w:pPr>
              <w:widowControl w:val="0"/>
              <w:tabs>
                <w:tab w:val="left" w:pos="720"/>
              </w:tabs>
              <w:jc w:val="center"/>
              <w:rPr>
                <w:rFonts w:ascii="Arial Bold" w:hAnsi="Arial Bold" w:cs="Arial"/>
                <w:b/>
                <w:sz w:val="20"/>
              </w:rPr>
            </w:pPr>
            <w:r w:rsidRPr="00CC121D">
              <w:rPr>
                <w:rFonts w:ascii="Arial Bold" w:hAnsi="Arial Bold" w:cs="Arial"/>
                <w:b/>
                <w:sz w:val="20"/>
              </w:rPr>
              <w:t>WASTE  SRL</w:t>
            </w:r>
          </w:p>
        </w:tc>
      </w:tr>
      <w:tr w:rsidR="00DA4E21" w:rsidRPr="00CC121D" w14:paraId="57305744" w14:textId="77777777" w:rsidTr="00CD72A1">
        <w:trPr>
          <w:trHeight w:val="601"/>
          <w:jc w:val="center"/>
        </w:trPr>
        <w:tc>
          <w:tcPr>
            <w:tcW w:w="1171" w:type="dxa"/>
            <w:vMerge w:val="restart"/>
            <w:tcBorders>
              <w:top w:val="double" w:sz="4" w:space="0" w:color="auto"/>
              <w:left w:val="double" w:sz="4" w:space="0" w:color="auto"/>
              <w:right w:val="single" w:sz="6" w:space="0" w:color="auto"/>
            </w:tcBorders>
            <w:vAlign w:val="center"/>
            <w:hideMark/>
          </w:tcPr>
          <w:p w14:paraId="57305725" w14:textId="77777777" w:rsidR="00DA4E21" w:rsidRPr="007F4F91" w:rsidRDefault="00DA4E21" w:rsidP="00D07AFA">
            <w:pPr>
              <w:widowControl w:val="0"/>
              <w:tabs>
                <w:tab w:val="left" w:pos="720"/>
              </w:tabs>
              <w:rPr>
                <w:rFonts w:cs="Arial"/>
                <w:sz w:val="18"/>
              </w:rPr>
            </w:pPr>
            <w:r w:rsidRPr="007F4F91">
              <w:rPr>
                <w:rFonts w:cs="Arial"/>
                <w:sz w:val="18"/>
              </w:rPr>
              <w:t>Engineering principles: civil engineering</w:t>
            </w:r>
          </w:p>
        </w:tc>
        <w:tc>
          <w:tcPr>
            <w:tcW w:w="1852" w:type="dxa"/>
            <w:tcBorders>
              <w:top w:val="double" w:sz="4" w:space="0" w:color="auto"/>
              <w:left w:val="single" w:sz="6" w:space="0" w:color="auto"/>
              <w:bottom w:val="single" w:sz="6" w:space="0" w:color="auto"/>
              <w:right w:val="single" w:sz="6" w:space="0" w:color="auto"/>
            </w:tcBorders>
            <w:vAlign w:val="center"/>
          </w:tcPr>
          <w:p w14:paraId="57305726" w14:textId="77777777" w:rsidR="00DA4E21" w:rsidRPr="007F4F91" w:rsidRDefault="00DA4E21" w:rsidP="00D07AFA">
            <w:pPr>
              <w:widowControl w:val="0"/>
              <w:tabs>
                <w:tab w:val="left" w:pos="720"/>
              </w:tabs>
              <w:rPr>
                <w:rFonts w:cs="Arial"/>
                <w:sz w:val="18"/>
              </w:rPr>
            </w:pPr>
          </w:p>
          <w:p w14:paraId="57305727" w14:textId="77777777" w:rsidR="00DA4E21" w:rsidRPr="007F4F91" w:rsidRDefault="00DA4E21" w:rsidP="00D07AFA">
            <w:pPr>
              <w:widowControl w:val="0"/>
              <w:tabs>
                <w:tab w:val="left" w:pos="720"/>
              </w:tabs>
              <w:rPr>
                <w:rFonts w:cs="Arial"/>
                <w:sz w:val="18"/>
              </w:rPr>
            </w:pPr>
            <w:r w:rsidRPr="007F4F91">
              <w:rPr>
                <w:rFonts w:cs="Arial"/>
                <w:sz w:val="18"/>
              </w:rPr>
              <w:t>Functional performance</w:t>
            </w:r>
          </w:p>
        </w:tc>
        <w:tc>
          <w:tcPr>
            <w:tcW w:w="850" w:type="dxa"/>
            <w:gridSpan w:val="2"/>
            <w:tcBorders>
              <w:top w:val="double" w:sz="4" w:space="0" w:color="auto"/>
              <w:left w:val="single" w:sz="6" w:space="0" w:color="auto"/>
              <w:bottom w:val="single" w:sz="6" w:space="0" w:color="auto"/>
              <w:right w:val="single" w:sz="6" w:space="0" w:color="auto"/>
            </w:tcBorders>
            <w:vAlign w:val="center"/>
          </w:tcPr>
          <w:p w14:paraId="57305728" w14:textId="77777777" w:rsidR="00DA4E21" w:rsidRPr="007F4F91" w:rsidRDefault="00DA4E21" w:rsidP="00EA3FAE">
            <w:pPr>
              <w:widowControl w:val="0"/>
              <w:tabs>
                <w:tab w:val="left" w:pos="720"/>
              </w:tabs>
              <w:jc w:val="center"/>
              <w:rPr>
                <w:rFonts w:cs="Arial"/>
                <w:sz w:val="18"/>
              </w:rPr>
            </w:pPr>
            <w:r w:rsidRPr="007F4F91">
              <w:rPr>
                <w:rFonts w:cs="Arial"/>
                <w:sz w:val="18"/>
              </w:rPr>
              <w:t>ECE.1</w:t>
            </w:r>
          </w:p>
        </w:tc>
        <w:tc>
          <w:tcPr>
            <w:tcW w:w="2501" w:type="dxa"/>
            <w:tcBorders>
              <w:top w:val="double" w:sz="4" w:space="0" w:color="auto"/>
              <w:left w:val="nil"/>
              <w:bottom w:val="single" w:sz="6" w:space="0" w:color="auto"/>
              <w:right w:val="single" w:sz="6" w:space="0" w:color="auto"/>
            </w:tcBorders>
            <w:tcMar>
              <w:top w:w="28" w:type="dxa"/>
              <w:left w:w="57" w:type="dxa"/>
              <w:bottom w:w="28" w:type="dxa"/>
              <w:right w:w="0" w:type="dxa"/>
            </w:tcMar>
            <w:vAlign w:val="center"/>
          </w:tcPr>
          <w:p w14:paraId="5730572D" w14:textId="505C8D4B" w:rsidR="00DA4E21" w:rsidRPr="007F4F91" w:rsidRDefault="00DA4E21" w:rsidP="00CD72A1">
            <w:pPr>
              <w:widowControl w:val="0"/>
              <w:tabs>
                <w:tab w:val="left" w:pos="720"/>
              </w:tabs>
              <w:rPr>
                <w:rFonts w:cs="Arial"/>
                <w:sz w:val="18"/>
              </w:rPr>
            </w:pPr>
            <w:r w:rsidRPr="007F4F91">
              <w:rPr>
                <w:rFonts w:cs="Arial"/>
                <w:sz w:val="18"/>
              </w:rPr>
              <w:t>E4.1</w:t>
            </w:r>
            <w:r w:rsidR="004A758B" w:rsidRPr="007F4F91">
              <w:rPr>
                <w:rFonts w:cs="Arial"/>
                <w:sz w:val="18"/>
              </w:rPr>
              <w:t xml:space="preserve">, </w:t>
            </w:r>
            <w:r w:rsidRPr="007F4F91">
              <w:rPr>
                <w:rFonts w:cs="Arial"/>
                <w:sz w:val="18"/>
              </w:rPr>
              <w:t>E9.3</w:t>
            </w:r>
            <w:r w:rsidR="004A758B" w:rsidRPr="007F4F91">
              <w:rPr>
                <w:rFonts w:cs="Arial"/>
                <w:sz w:val="18"/>
              </w:rPr>
              <w:t xml:space="preserve">, </w:t>
            </w:r>
            <w:r w:rsidRPr="007F4F91">
              <w:rPr>
                <w:rFonts w:cs="Arial"/>
                <w:sz w:val="18"/>
              </w:rPr>
              <w:t>E9.4</w:t>
            </w:r>
            <w:r w:rsidR="004A758B" w:rsidRPr="007F4F91">
              <w:rPr>
                <w:rFonts w:cs="Arial"/>
                <w:sz w:val="18"/>
              </w:rPr>
              <w:t xml:space="preserve">, </w:t>
            </w:r>
            <w:r w:rsidRPr="007F4F91">
              <w:rPr>
                <w:rFonts w:cs="Arial"/>
                <w:sz w:val="18"/>
              </w:rPr>
              <w:t>E9.5</w:t>
            </w:r>
          </w:p>
          <w:p w14:paraId="57305730" w14:textId="677E39A2" w:rsidR="00DA4E21" w:rsidRPr="007F4F91" w:rsidRDefault="00DA4E21" w:rsidP="00CD72A1">
            <w:pPr>
              <w:widowControl w:val="0"/>
              <w:tabs>
                <w:tab w:val="left" w:pos="720"/>
              </w:tabs>
              <w:rPr>
                <w:rFonts w:cs="Arial"/>
                <w:sz w:val="18"/>
              </w:rPr>
            </w:pPr>
            <w:r w:rsidRPr="007F4F91">
              <w:rPr>
                <w:rFonts w:cs="Arial"/>
                <w:sz w:val="18"/>
              </w:rPr>
              <w:t>G1.1</w:t>
            </w:r>
            <w:r w:rsidR="004A758B" w:rsidRPr="007F4F91">
              <w:rPr>
                <w:rFonts w:cs="Arial"/>
                <w:sz w:val="18"/>
              </w:rPr>
              <w:t xml:space="preserve">, </w:t>
            </w:r>
            <w:r w:rsidRPr="007F4F91">
              <w:rPr>
                <w:rFonts w:cs="Arial"/>
                <w:sz w:val="18"/>
              </w:rPr>
              <w:t>G2.1</w:t>
            </w:r>
            <w:r w:rsidR="004A758B" w:rsidRPr="007F4F91">
              <w:rPr>
                <w:rFonts w:cs="Arial"/>
                <w:sz w:val="18"/>
              </w:rPr>
              <w:t xml:space="preserve">, </w:t>
            </w:r>
            <w:r w:rsidRPr="007F4F91">
              <w:rPr>
                <w:rFonts w:cs="Arial"/>
                <w:sz w:val="18"/>
              </w:rPr>
              <w:t>G2.2</w:t>
            </w:r>
          </w:p>
          <w:p w14:paraId="57305734" w14:textId="70D4B9F3" w:rsidR="00DA4E21" w:rsidRPr="007F4F91" w:rsidRDefault="00DA4E21" w:rsidP="00CD72A1">
            <w:pPr>
              <w:widowControl w:val="0"/>
              <w:tabs>
                <w:tab w:val="left" w:pos="720"/>
              </w:tabs>
              <w:rPr>
                <w:rFonts w:cs="Arial"/>
                <w:sz w:val="18"/>
              </w:rPr>
            </w:pPr>
            <w:r w:rsidRPr="007F4F91">
              <w:rPr>
                <w:rFonts w:cs="Arial"/>
                <w:sz w:val="18"/>
              </w:rPr>
              <w:t>G3.1</w:t>
            </w:r>
            <w:r w:rsidR="007F4F91" w:rsidRPr="007F4F91">
              <w:rPr>
                <w:rFonts w:cs="Arial"/>
                <w:sz w:val="18"/>
              </w:rPr>
              <w:t xml:space="preserve">, </w:t>
            </w:r>
            <w:r w:rsidRPr="007F4F91">
              <w:rPr>
                <w:rFonts w:cs="Arial"/>
                <w:sz w:val="18"/>
              </w:rPr>
              <w:t>G3.2</w:t>
            </w:r>
            <w:r w:rsidR="007F4F91" w:rsidRPr="007F4F91">
              <w:rPr>
                <w:rFonts w:cs="Arial"/>
                <w:sz w:val="18"/>
              </w:rPr>
              <w:t xml:space="preserve">, </w:t>
            </w:r>
            <w:r w:rsidRPr="007F4F91">
              <w:rPr>
                <w:rFonts w:cs="Arial"/>
                <w:sz w:val="18"/>
              </w:rPr>
              <w:t>G4.1</w:t>
            </w:r>
            <w:r w:rsidR="007F4F91" w:rsidRPr="007F4F91">
              <w:rPr>
                <w:rFonts w:cs="Arial"/>
                <w:sz w:val="18"/>
              </w:rPr>
              <w:t xml:space="preserve">, </w:t>
            </w:r>
            <w:r w:rsidRPr="007F4F91">
              <w:rPr>
                <w:rFonts w:cs="Arial"/>
                <w:sz w:val="18"/>
              </w:rPr>
              <w:t>G4.2</w:t>
            </w:r>
          </w:p>
          <w:p w14:paraId="57305736" w14:textId="028B3F79" w:rsidR="00DA4E21" w:rsidRPr="007F4F91" w:rsidRDefault="00DA4E21" w:rsidP="00CD72A1">
            <w:pPr>
              <w:widowControl w:val="0"/>
              <w:tabs>
                <w:tab w:val="left" w:pos="720"/>
              </w:tabs>
              <w:rPr>
                <w:rFonts w:cs="Arial"/>
                <w:sz w:val="18"/>
              </w:rPr>
            </w:pPr>
            <w:r w:rsidRPr="007F4F91">
              <w:rPr>
                <w:rFonts w:cs="Arial"/>
                <w:sz w:val="18"/>
              </w:rPr>
              <w:t>Q1.1</w:t>
            </w:r>
            <w:r w:rsidR="007F4F91" w:rsidRPr="007F4F91">
              <w:rPr>
                <w:rFonts w:cs="Arial"/>
                <w:sz w:val="18"/>
              </w:rPr>
              <w:t xml:space="preserve"> </w:t>
            </w:r>
            <w:r w:rsidRPr="007F4F91">
              <w:rPr>
                <w:rFonts w:cs="Arial"/>
                <w:sz w:val="18"/>
              </w:rPr>
              <w:t>Q2.1</w:t>
            </w:r>
          </w:p>
          <w:p w14:paraId="5730573A" w14:textId="6E72BB26" w:rsidR="00DA4E21" w:rsidRPr="007F4F91" w:rsidRDefault="00DA4E21" w:rsidP="00CD72A1">
            <w:pPr>
              <w:widowControl w:val="0"/>
              <w:tabs>
                <w:tab w:val="left" w:pos="720"/>
              </w:tabs>
              <w:rPr>
                <w:rFonts w:cs="Arial"/>
                <w:sz w:val="18"/>
              </w:rPr>
            </w:pPr>
            <w:r w:rsidRPr="007F4F91">
              <w:rPr>
                <w:rFonts w:cs="Arial"/>
                <w:sz w:val="18"/>
              </w:rPr>
              <w:t>S2.1</w:t>
            </w:r>
            <w:r w:rsidR="007F4F91" w:rsidRPr="007F4F91">
              <w:rPr>
                <w:rFonts w:cs="Arial"/>
                <w:sz w:val="18"/>
              </w:rPr>
              <w:t xml:space="preserve">, </w:t>
            </w:r>
            <w:r w:rsidRPr="007F4F91">
              <w:rPr>
                <w:rFonts w:cs="Arial"/>
                <w:sz w:val="18"/>
              </w:rPr>
              <w:t>S2.2</w:t>
            </w:r>
            <w:r w:rsidR="007F4F91" w:rsidRPr="007F4F91">
              <w:rPr>
                <w:rFonts w:cs="Arial"/>
                <w:sz w:val="18"/>
              </w:rPr>
              <w:t xml:space="preserve">, </w:t>
            </w:r>
            <w:r w:rsidRPr="007F4F91">
              <w:rPr>
                <w:rFonts w:cs="Arial"/>
                <w:sz w:val="18"/>
              </w:rPr>
              <w:t>S2.3</w:t>
            </w:r>
            <w:r w:rsidR="007F4F91" w:rsidRPr="007F4F91">
              <w:rPr>
                <w:rFonts w:cs="Arial"/>
                <w:sz w:val="18"/>
              </w:rPr>
              <w:t xml:space="preserve">, </w:t>
            </w:r>
            <w:r w:rsidRPr="007F4F91">
              <w:rPr>
                <w:rFonts w:cs="Arial"/>
                <w:sz w:val="18"/>
              </w:rPr>
              <w:t>S2.4</w:t>
            </w:r>
          </w:p>
        </w:tc>
        <w:tc>
          <w:tcPr>
            <w:tcW w:w="1359" w:type="dxa"/>
            <w:tcBorders>
              <w:top w:val="double" w:sz="4" w:space="0" w:color="auto"/>
              <w:left w:val="nil"/>
              <w:bottom w:val="single" w:sz="6" w:space="0" w:color="auto"/>
              <w:right w:val="single" w:sz="6" w:space="0" w:color="auto"/>
            </w:tcBorders>
            <w:vAlign w:val="center"/>
          </w:tcPr>
          <w:p w14:paraId="5730573B" w14:textId="77777777" w:rsidR="00DA4E21" w:rsidRPr="007F4F91" w:rsidRDefault="00DA4E21" w:rsidP="00CD72A1">
            <w:pPr>
              <w:widowControl w:val="0"/>
              <w:tabs>
                <w:tab w:val="left" w:pos="720"/>
              </w:tabs>
              <w:rPr>
                <w:rFonts w:cs="Arial"/>
                <w:sz w:val="18"/>
              </w:rPr>
            </w:pPr>
          </w:p>
        </w:tc>
        <w:tc>
          <w:tcPr>
            <w:tcW w:w="1268" w:type="dxa"/>
            <w:tcBorders>
              <w:top w:val="double" w:sz="4" w:space="0" w:color="auto"/>
              <w:left w:val="nil"/>
              <w:bottom w:val="single" w:sz="6" w:space="0" w:color="auto"/>
              <w:right w:val="double" w:sz="4" w:space="0" w:color="auto"/>
            </w:tcBorders>
            <w:vAlign w:val="center"/>
          </w:tcPr>
          <w:p w14:paraId="57305743" w14:textId="7F078331" w:rsidR="00DA4E21" w:rsidRPr="007F4F91" w:rsidRDefault="00DA4E21" w:rsidP="00CD72A1">
            <w:pPr>
              <w:widowControl w:val="0"/>
              <w:tabs>
                <w:tab w:val="left" w:pos="720"/>
              </w:tabs>
              <w:rPr>
                <w:rFonts w:cs="Arial"/>
                <w:sz w:val="18"/>
              </w:rPr>
            </w:pPr>
            <w:r w:rsidRPr="007F4F91">
              <w:rPr>
                <w:rFonts w:cs="Arial"/>
                <w:sz w:val="18"/>
              </w:rPr>
              <w:t>DI-23</w:t>
            </w:r>
            <w:r w:rsidR="007F4F91" w:rsidRPr="007F4F91">
              <w:rPr>
                <w:rFonts w:cs="Arial"/>
                <w:sz w:val="18"/>
              </w:rPr>
              <w:t xml:space="preserve">, </w:t>
            </w:r>
            <w:r w:rsidRPr="007F4F91">
              <w:rPr>
                <w:rFonts w:cs="Arial"/>
                <w:sz w:val="18"/>
              </w:rPr>
              <w:t>DI-24</w:t>
            </w:r>
            <w:r w:rsidR="007F4F91" w:rsidRPr="007F4F91">
              <w:rPr>
                <w:rFonts w:cs="Arial"/>
                <w:sz w:val="18"/>
              </w:rPr>
              <w:t xml:space="preserve">, </w:t>
            </w:r>
            <w:r w:rsidRPr="007F4F91">
              <w:rPr>
                <w:rFonts w:cs="Arial"/>
                <w:sz w:val="18"/>
              </w:rPr>
              <w:t>DI-25</w:t>
            </w:r>
            <w:r w:rsidR="007F4F91" w:rsidRPr="007F4F91">
              <w:rPr>
                <w:rFonts w:cs="Arial"/>
                <w:sz w:val="18"/>
              </w:rPr>
              <w:t xml:space="preserve">, </w:t>
            </w:r>
            <w:r w:rsidRPr="007F4F91">
              <w:rPr>
                <w:rFonts w:cs="Arial"/>
                <w:sz w:val="18"/>
              </w:rPr>
              <w:t>DI-35</w:t>
            </w:r>
            <w:r w:rsidR="007F4F91" w:rsidRPr="007F4F91">
              <w:rPr>
                <w:rFonts w:cs="Arial"/>
                <w:sz w:val="18"/>
              </w:rPr>
              <w:t xml:space="preserve">, </w:t>
            </w:r>
            <w:r w:rsidRPr="007F4F91">
              <w:rPr>
                <w:rFonts w:cs="Arial"/>
                <w:sz w:val="18"/>
              </w:rPr>
              <w:t>DI-38</w:t>
            </w:r>
            <w:r w:rsidR="007F4F91" w:rsidRPr="007F4F91">
              <w:rPr>
                <w:rFonts w:cs="Arial"/>
                <w:sz w:val="18"/>
              </w:rPr>
              <w:t xml:space="preserve">, </w:t>
            </w:r>
            <w:r w:rsidRPr="007F4F91">
              <w:rPr>
                <w:rFonts w:cs="Arial"/>
                <w:sz w:val="18"/>
              </w:rPr>
              <w:t>DI-40</w:t>
            </w:r>
            <w:r w:rsidR="007F4F91" w:rsidRPr="007F4F91">
              <w:rPr>
                <w:rFonts w:cs="Arial"/>
                <w:sz w:val="18"/>
              </w:rPr>
              <w:t xml:space="preserve">, </w:t>
            </w:r>
            <w:r w:rsidRPr="007F4F91">
              <w:rPr>
                <w:rFonts w:cs="Arial"/>
                <w:sz w:val="18"/>
              </w:rPr>
              <w:t>DI-53</w:t>
            </w:r>
            <w:r w:rsidR="007F4F91" w:rsidRPr="007F4F91">
              <w:rPr>
                <w:rFonts w:cs="Arial"/>
                <w:sz w:val="18"/>
              </w:rPr>
              <w:t xml:space="preserve">, </w:t>
            </w:r>
            <w:r w:rsidRPr="007F4F91">
              <w:rPr>
                <w:rFonts w:cs="Arial"/>
                <w:sz w:val="18"/>
              </w:rPr>
              <w:t>DI-65</w:t>
            </w:r>
          </w:p>
        </w:tc>
      </w:tr>
      <w:tr w:rsidR="00DA4E21" w:rsidRPr="00CC121D" w14:paraId="5730574C" w14:textId="77777777" w:rsidTr="00CD72A1">
        <w:trPr>
          <w:trHeight w:val="435"/>
          <w:jc w:val="center"/>
        </w:trPr>
        <w:tc>
          <w:tcPr>
            <w:tcW w:w="1171" w:type="dxa"/>
            <w:vMerge/>
            <w:tcBorders>
              <w:top w:val="double" w:sz="4" w:space="0" w:color="auto"/>
              <w:left w:val="double" w:sz="4" w:space="0" w:color="auto"/>
              <w:right w:val="single" w:sz="6" w:space="0" w:color="auto"/>
            </w:tcBorders>
            <w:vAlign w:val="center"/>
          </w:tcPr>
          <w:p w14:paraId="57305745" w14:textId="77777777" w:rsidR="00DA4E21" w:rsidRPr="007F4F91" w:rsidRDefault="00DA4E21" w:rsidP="00D07AFA">
            <w:pPr>
              <w:widowControl w:val="0"/>
              <w:tabs>
                <w:tab w:val="left" w:pos="720"/>
              </w:tabs>
              <w:rPr>
                <w:rFonts w:cs="Arial"/>
                <w:sz w:val="18"/>
              </w:rPr>
            </w:pPr>
          </w:p>
        </w:tc>
        <w:tc>
          <w:tcPr>
            <w:tcW w:w="1852" w:type="dxa"/>
            <w:tcBorders>
              <w:top w:val="single" w:sz="6" w:space="0" w:color="auto"/>
              <w:left w:val="single" w:sz="6" w:space="0" w:color="auto"/>
              <w:bottom w:val="single" w:sz="6" w:space="0" w:color="auto"/>
              <w:right w:val="single" w:sz="6" w:space="0" w:color="auto"/>
            </w:tcBorders>
            <w:vAlign w:val="center"/>
          </w:tcPr>
          <w:p w14:paraId="57305746" w14:textId="77777777" w:rsidR="00DA4E21" w:rsidRPr="007F4F91" w:rsidRDefault="00DA4E21" w:rsidP="00D07AFA">
            <w:pPr>
              <w:widowControl w:val="0"/>
              <w:tabs>
                <w:tab w:val="left" w:pos="720"/>
              </w:tabs>
              <w:rPr>
                <w:rFonts w:cs="Arial"/>
                <w:sz w:val="18"/>
              </w:rPr>
            </w:pPr>
            <w:r w:rsidRPr="007F4F91">
              <w:rPr>
                <w:rFonts w:cs="Arial"/>
                <w:sz w:val="18"/>
              </w:rPr>
              <w:t>Independent arguments</w:t>
            </w:r>
          </w:p>
        </w:tc>
        <w:tc>
          <w:tcPr>
            <w:tcW w:w="850" w:type="dxa"/>
            <w:gridSpan w:val="2"/>
            <w:tcBorders>
              <w:top w:val="single" w:sz="6" w:space="0" w:color="auto"/>
              <w:left w:val="single" w:sz="6" w:space="0" w:color="auto"/>
              <w:right w:val="single" w:sz="6" w:space="0" w:color="auto"/>
            </w:tcBorders>
            <w:vAlign w:val="center"/>
          </w:tcPr>
          <w:p w14:paraId="57305747" w14:textId="77777777" w:rsidR="00DA4E21" w:rsidRPr="007F4F91" w:rsidRDefault="00DA4E21" w:rsidP="00EA3FAE">
            <w:pPr>
              <w:widowControl w:val="0"/>
              <w:tabs>
                <w:tab w:val="left" w:pos="720"/>
              </w:tabs>
              <w:jc w:val="center"/>
              <w:rPr>
                <w:rFonts w:cs="Arial"/>
                <w:sz w:val="18"/>
              </w:rPr>
            </w:pPr>
            <w:r w:rsidRPr="007F4F91">
              <w:rPr>
                <w:rFonts w:cs="Arial"/>
                <w:sz w:val="18"/>
              </w:rPr>
              <w:t>ECE.2</w:t>
            </w:r>
          </w:p>
        </w:tc>
        <w:tc>
          <w:tcPr>
            <w:tcW w:w="2501" w:type="dxa"/>
            <w:tcBorders>
              <w:top w:val="single" w:sz="6" w:space="0" w:color="auto"/>
              <w:left w:val="nil"/>
              <w:bottom w:val="single" w:sz="6" w:space="0" w:color="auto"/>
              <w:right w:val="single" w:sz="6" w:space="0" w:color="auto"/>
            </w:tcBorders>
            <w:tcMar>
              <w:top w:w="28" w:type="dxa"/>
              <w:left w:w="57" w:type="dxa"/>
              <w:bottom w:w="28" w:type="dxa"/>
              <w:right w:w="0" w:type="dxa"/>
            </w:tcMar>
            <w:vAlign w:val="center"/>
          </w:tcPr>
          <w:p w14:paraId="57305749" w14:textId="77777777" w:rsidR="00DA4E21" w:rsidRPr="007F4F91" w:rsidRDefault="00DA4E21" w:rsidP="00CD72A1">
            <w:pPr>
              <w:widowControl w:val="0"/>
              <w:tabs>
                <w:tab w:val="left" w:pos="720"/>
              </w:tabs>
              <w:rPr>
                <w:rFonts w:cs="Arial"/>
                <w:sz w:val="18"/>
              </w:rPr>
            </w:pPr>
          </w:p>
        </w:tc>
        <w:tc>
          <w:tcPr>
            <w:tcW w:w="1359" w:type="dxa"/>
            <w:tcBorders>
              <w:top w:val="single" w:sz="6" w:space="0" w:color="auto"/>
              <w:left w:val="nil"/>
              <w:bottom w:val="single" w:sz="6" w:space="0" w:color="auto"/>
              <w:right w:val="single" w:sz="6" w:space="0" w:color="auto"/>
            </w:tcBorders>
            <w:vAlign w:val="center"/>
          </w:tcPr>
          <w:p w14:paraId="5730574A" w14:textId="77777777" w:rsidR="00DA4E21" w:rsidRPr="007F4F91" w:rsidRDefault="00DA4E21" w:rsidP="00CD72A1">
            <w:pPr>
              <w:widowControl w:val="0"/>
              <w:tabs>
                <w:tab w:val="left" w:pos="720"/>
              </w:tabs>
              <w:rPr>
                <w:rFonts w:cs="Arial"/>
                <w:sz w:val="18"/>
              </w:rPr>
            </w:pPr>
          </w:p>
        </w:tc>
        <w:tc>
          <w:tcPr>
            <w:tcW w:w="1268" w:type="dxa"/>
            <w:tcBorders>
              <w:top w:val="single" w:sz="6" w:space="0" w:color="auto"/>
              <w:left w:val="nil"/>
              <w:bottom w:val="single" w:sz="6" w:space="0" w:color="auto"/>
              <w:right w:val="double" w:sz="4" w:space="0" w:color="auto"/>
            </w:tcBorders>
            <w:vAlign w:val="center"/>
          </w:tcPr>
          <w:p w14:paraId="5730574B" w14:textId="77777777" w:rsidR="00DA4E21" w:rsidRPr="007F4F91" w:rsidRDefault="00DA4E21" w:rsidP="00CD72A1">
            <w:pPr>
              <w:widowControl w:val="0"/>
              <w:tabs>
                <w:tab w:val="left" w:pos="720"/>
              </w:tabs>
              <w:rPr>
                <w:rFonts w:cs="Arial"/>
                <w:sz w:val="18"/>
              </w:rPr>
            </w:pPr>
          </w:p>
        </w:tc>
      </w:tr>
      <w:tr w:rsidR="00DA4E21" w:rsidRPr="00CC121D" w14:paraId="5730575C" w14:textId="77777777" w:rsidTr="00CD72A1">
        <w:trPr>
          <w:jc w:val="center"/>
        </w:trPr>
        <w:tc>
          <w:tcPr>
            <w:tcW w:w="1171" w:type="dxa"/>
            <w:vMerge/>
            <w:tcBorders>
              <w:left w:val="double" w:sz="4" w:space="0" w:color="auto"/>
              <w:right w:val="single" w:sz="6" w:space="0" w:color="auto"/>
            </w:tcBorders>
            <w:vAlign w:val="center"/>
            <w:hideMark/>
          </w:tcPr>
          <w:p w14:paraId="5730574D" w14:textId="77777777" w:rsidR="00DA4E21" w:rsidRPr="007F4F91" w:rsidRDefault="00DA4E21" w:rsidP="007F4F91">
            <w:pPr>
              <w:widowControl w:val="0"/>
              <w:tabs>
                <w:tab w:val="left" w:pos="720"/>
              </w:tabs>
              <w:rPr>
                <w:rFonts w:cs="Arial"/>
                <w:sz w:val="18"/>
              </w:rPr>
            </w:pPr>
          </w:p>
        </w:tc>
        <w:tc>
          <w:tcPr>
            <w:tcW w:w="1852" w:type="dxa"/>
            <w:tcBorders>
              <w:top w:val="single" w:sz="6" w:space="0" w:color="auto"/>
              <w:left w:val="single" w:sz="6" w:space="0" w:color="auto"/>
              <w:right w:val="single" w:sz="6" w:space="0" w:color="auto"/>
            </w:tcBorders>
            <w:vAlign w:val="center"/>
          </w:tcPr>
          <w:p w14:paraId="5730574E" w14:textId="77777777" w:rsidR="00DA4E21" w:rsidRPr="007F4F91" w:rsidRDefault="00DA4E21" w:rsidP="00D07AFA">
            <w:pPr>
              <w:widowControl w:val="0"/>
              <w:tabs>
                <w:tab w:val="left" w:pos="720"/>
              </w:tabs>
              <w:rPr>
                <w:rFonts w:cs="Arial"/>
                <w:sz w:val="18"/>
              </w:rPr>
            </w:pPr>
            <w:r w:rsidRPr="007F4F91">
              <w:rPr>
                <w:rFonts w:cs="Arial"/>
                <w:sz w:val="18"/>
              </w:rPr>
              <w:t>Defects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5730574F" w14:textId="77777777" w:rsidR="00DA4E21" w:rsidRPr="007F4F91" w:rsidRDefault="00DA4E21" w:rsidP="00EA3FAE">
            <w:pPr>
              <w:widowControl w:val="0"/>
              <w:tabs>
                <w:tab w:val="left" w:pos="720"/>
              </w:tabs>
              <w:jc w:val="center"/>
              <w:rPr>
                <w:rFonts w:cs="Arial"/>
                <w:sz w:val="18"/>
              </w:rPr>
            </w:pPr>
            <w:r w:rsidRPr="007F4F91">
              <w:rPr>
                <w:rFonts w:cs="Arial"/>
                <w:sz w:val="18"/>
              </w:rPr>
              <w:t>ECE.3</w:t>
            </w:r>
          </w:p>
        </w:tc>
        <w:tc>
          <w:tcPr>
            <w:tcW w:w="2501" w:type="dxa"/>
            <w:tcBorders>
              <w:top w:val="single" w:sz="6" w:space="0" w:color="auto"/>
              <w:left w:val="nil"/>
              <w:bottom w:val="single" w:sz="6" w:space="0" w:color="auto"/>
              <w:right w:val="single" w:sz="6" w:space="0" w:color="auto"/>
            </w:tcBorders>
            <w:tcMar>
              <w:top w:w="28" w:type="dxa"/>
              <w:left w:w="57" w:type="dxa"/>
              <w:bottom w:w="28" w:type="dxa"/>
              <w:right w:w="0" w:type="dxa"/>
            </w:tcMar>
            <w:vAlign w:val="center"/>
          </w:tcPr>
          <w:p w14:paraId="57305751" w14:textId="1B1FCBF2" w:rsidR="00DA4E21" w:rsidRPr="00CC121D" w:rsidRDefault="00DA4E21" w:rsidP="00CD72A1">
            <w:pPr>
              <w:widowControl w:val="0"/>
              <w:tabs>
                <w:tab w:val="left" w:pos="720"/>
              </w:tabs>
              <w:rPr>
                <w:rFonts w:cs="Arial"/>
                <w:sz w:val="18"/>
              </w:rPr>
            </w:pPr>
            <w:r w:rsidRPr="00CC121D">
              <w:rPr>
                <w:rFonts w:cs="Arial"/>
                <w:sz w:val="18"/>
              </w:rPr>
              <w:t>I1. Objective</w:t>
            </w:r>
          </w:p>
          <w:p w14:paraId="57305757" w14:textId="2DDFD350" w:rsidR="00DA4E21" w:rsidRPr="00CC121D" w:rsidRDefault="00DA4E21" w:rsidP="00CD72A1">
            <w:pPr>
              <w:widowControl w:val="0"/>
              <w:tabs>
                <w:tab w:val="left" w:pos="720"/>
              </w:tabs>
              <w:rPr>
                <w:rFonts w:cs="Arial"/>
                <w:sz w:val="18"/>
              </w:rPr>
            </w:pPr>
            <w:r w:rsidRPr="00CC121D">
              <w:rPr>
                <w:rFonts w:cs="Arial"/>
                <w:sz w:val="18"/>
              </w:rPr>
              <w:t>I1.1</w:t>
            </w:r>
            <w:r w:rsidR="00EA3FAE">
              <w:rPr>
                <w:rFonts w:cs="Arial"/>
                <w:sz w:val="18"/>
              </w:rPr>
              <w:t xml:space="preserve">, </w:t>
            </w:r>
            <w:r w:rsidRPr="00CC121D">
              <w:rPr>
                <w:rFonts w:cs="Arial"/>
                <w:sz w:val="18"/>
              </w:rPr>
              <w:t>I2</w:t>
            </w:r>
            <w:r w:rsidR="00EA3FAE">
              <w:rPr>
                <w:rFonts w:cs="Arial"/>
                <w:sz w:val="18"/>
              </w:rPr>
              <w:t xml:space="preserve">, </w:t>
            </w:r>
            <w:r w:rsidRPr="00CC121D">
              <w:rPr>
                <w:rFonts w:cs="Arial"/>
                <w:sz w:val="18"/>
              </w:rPr>
              <w:t>I2.2</w:t>
            </w:r>
            <w:r w:rsidR="00EA3FAE">
              <w:rPr>
                <w:rFonts w:cs="Arial"/>
                <w:sz w:val="18"/>
              </w:rPr>
              <w:t xml:space="preserve">, </w:t>
            </w:r>
            <w:r w:rsidRPr="00CC121D">
              <w:rPr>
                <w:rFonts w:cs="Arial"/>
                <w:sz w:val="18"/>
              </w:rPr>
              <w:t>I2.3</w:t>
            </w:r>
            <w:r w:rsidR="00EA3FAE">
              <w:rPr>
                <w:rFonts w:cs="Arial"/>
                <w:sz w:val="18"/>
              </w:rPr>
              <w:t xml:space="preserve">, </w:t>
            </w:r>
            <w:r w:rsidRPr="00CC121D">
              <w:rPr>
                <w:rFonts w:cs="Arial"/>
                <w:sz w:val="18"/>
              </w:rPr>
              <w:t>I2.4. I2.5.</w:t>
            </w:r>
          </w:p>
          <w:p w14:paraId="57305759" w14:textId="28DDAE11" w:rsidR="00DA4E21" w:rsidRPr="007F4F91" w:rsidRDefault="00DA4E21" w:rsidP="00CD72A1">
            <w:pPr>
              <w:widowControl w:val="0"/>
              <w:tabs>
                <w:tab w:val="left" w:pos="720"/>
              </w:tabs>
              <w:rPr>
                <w:rFonts w:cs="Arial"/>
                <w:sz w:val="18"/>
              </w:rPr>
            </w:pPr>
            <w:r w:rsidRPr="00CC121D">
              <w:rPr>
                <w:rFonts w:cs="Arial"/>
                <w:sz w:val="18"/>
              </w:rPr>
              <w:t>I3.1. I3.2.</w:t>
            </w:r>
          </w:p>
        </w:tc>
        <w:tc>
          <w:tcPr>
            <w:tcW w:w="1359" w:type="dxa"/>
            <w:tcBorders>
              <w:top w:val="single" w:sz="6" w:space="0" w:color="auto"/>
              <w:left w:val="nil"/>
              <w:bottom w:val="single" w:sz="6" w:space="0" w:color="auto"/>
              <w:right w:val="single" w:sz="6" w:space="0" w:color="auto"/>
            </w:tcBorders>
            <w:vAlign w:val="center"/>
          </w:tcPr>
          <w:p w14:paraId="5730575A" w14:textId="77777777" w:rsidR="00DA4E21" w:rsidRPr="007F4F91" w:rsidRDefault="00DA4E21" w:rsidP="00CD72A1">
            <w:pPr>
              <w:widowControl w:val="0"/>
              <w:tabs>
                <w:tab w:val="left" w:pos="720"/>
              </w:tabs>
              <w:rPr>
                <w:rFonts w:cs="Arial"/>
                <w:sz w:val="18"/>
              </w:rPr>
            </w:pPr>
          </w:p>
        </w:tc>
        <w:tc>
          <w:tcPr>
            <w:tcW w:w="1268" w:type="dxa"/>
            <w:tcBorders>
              <w:top w:val="single" w:sz="6" w:space="0" w:color="auto"/>
              <w:left w:val="nil"/>
              <w:bottom w:val="single" w:sz="6" w:space="0" w:color="auto"/>
              <w:right w:val="double" w:sz="4" w:space="0" w:color="auto"/>
            </w:tcBorders>
            <w:vAlign w:val="center"/>
          </w:tcPr>
          <w:p w14:paraId="5730575B" w14:textId="77777777" w:rsidR="00DA4E21" w:rsidRPr="007F4F91" w:rsidRDefault="00DA4E21" w:rsidP="00CD72A1">
            <w:pPr>
              <w:widowControl w:val="0"/>
              <w:tabs>
                <w:tab w:val="left" w:pos="720"/>
              </w:tabs>
              <w:rPr>
                <w:rFonts w:cs="Arial"/>
                <w:sz w:val="18"/>
              </w:rPr>
            </w:pPr>
          </w:p>
        </w:tc>
      </w:tr>
      <w:tr w:rsidR="00DA4E21" w:rsidRPr="00CC121D" w14:paraId="57305764" w14:textId="77777777" w:rsidTr="00CD72A1">
        <w:trPr>
          <w:trHeight w:val="400"/>
          <w:jc w:val="center"/>
        </w:trPr>
        <w:tc>
          <w:tcPr>
            <w:tcW w:w="1171" w:type="dxa"/>
            <w:vMerge/>
            <w:tcBorders>
              <w:left w:val="double" w:sz="4" w:space="0" w:color="auto"/>
              <w:bottom w:val="double" w:sz="4" w:space="0" w:color="auto"/>
              <w:right w:val="single" w:sz="6" w:space="0" w:color="auto"/>
            </w:tcBorders>
            <w:vAlign w:val="center"/>
            <w:hideMark/>
          </w:tcPr>
          <w:p w14:paraId="5730575D" w14:textId="77777777" w:rsidR="00DA4E21" w:rsidRPr="007F4F91" w:rsidRDefault="00DA4E21" w:rsidP="007F4F91">
            <w:pPr>
              <w:widowControl w:val="0"/>
              <w:tabs>
                <w:tab w:val="left" w:pos="720"/>
              </w:tabs>
              <w:rPr>
                <w:rFonts w:cs="Arial"/>
                <w:sz w:val="18"/>
              </w:rPr>
            </w:pPr>
          </w:p>
        </w:tc>
        <w:tc>
          <w:tcPr>
            <w:tcW w:w="1852" w:type="dxa"/>
            <w:tcBorders>
              <w:left w:val="single" w:sz="6" w:space="0" w:color="auto"/>
              <w:bottom w:val="double" w:sz="4" w:space="0" w:color="auto"/>
              <w:right w:val="single" w:sz="6" w:space="0" w:color="auto"/>
            </w:tcBorders>
            <w:vAlign w:val="center"/>
          </w:tcPr>
          <w:p w14:paraId="5730575E" w14:textId="77777777" w:rsidR="00DA4E21" w:rsidRPr="007F4F91" w:rsidRDefault="00DA4E21" w:rsidP="00D07AFA">
            <w:pPr>
              <w:widowControl w:val="0"/>
              <w:tabs>
                <w:tab w:val="left" w:pos="720"/>
              </w:tabs>
              <w:rPr>
                <w:rFonts w:cs="Arial"/>
                <w:sz w:val="18"/>
              </w:rPr>
            </w:pPr>
            <w:r w:rsidRPr="007F4F91">
              <w:rPr>
                <w:rFonts w:cs="Arial"/>
                <w:sz w:val="18"/>
              </w:rPr>
              <w:t>Natural site materials</w:t>
            </w:r>
          </w:p>
        </w:tc>
        <w:tc>
          <w:tcPr>
            <w:tcW w:w="850" w:type="dxa"/>
            <w:gridSpan w:val="2"/>
            <w:tcBorders>
              <w:top w:val="single" w:sz="6" w:space="0" w:color="auto"/>
              <w:left w:val="single" w:sz="6" w:space="0" w:color="auto"/>
              <w:bottom w:val="double" w:sz="4" w:space="0" w:color="auto"/>
              <w:right w:val="single" w:sz="6" w:space="0" w:color="auto"/>
            </w:tcBorders>
            <w:vAlign w:val="center"/>
          </w:tcPr>
          <w:p w14:paraId="5730575F" w14:textId="77777777" w:rsidR="00DA4E21" w:rsidRPr="007F4F91" w:rsidRDefault="00DA4E21" w:rsidP="00EA3FAE">
            <w:pPr>
              <w:widowControl w:val="0"/>
              <w:tabs>
                <w:tab w:val="left" w:pos="720"/>
              </w:tabs>
              <w:jc w:val="center"/>
              <w:rPr>
                <w:rFonts w:cs="Arial"/>
                <w:sz w:val="18"/>
              </w:rPr>
            </w:pPr>
            <w:r w:rsidRPr="007F4F91">
              <w:rPr>
                <w:rFonts w:cs="Arial"/>
                <w:sz w:val="18"/>
              </w:rPr>
              <w:t>ECE.4</w:t>
            </w:r>
          </w:p>
        </w:tc>
        <w:tc>
          <w:tcPr>
            <w:tcW w:w="2501" w:type="dxa"/>
            <w:tcBorders>
              <w:top w:val="single" w:sz="6" w:space="0" w:color="auto"/>
              <w:left w:val="nil"/>
              <w:bottom w:val="double" w:sz="4" w:space="0" w:color="auto"/>
              <w:right w:val="single" w:sz="6" w:space="0" w:color="auto"/>
            </w:tcBorders>
            <w:tcMar>
              <w:top w:w="28" w:type="dxa"/>
              <w:left w:w="57" w:type="dxa"/>
              <w:bottom w:w="28" w:type="dxa"/>
              <w:right w:w="0" w:type="dxa"/>
            </w:tcMar>
            <w:vAlign w:val="center"/>
          </w:tcPr>
          <w:p w14:paraId="57305761" w14:textId="77777777" w:rsidR="00DA4E21" w:rsidRPr="007F4F91" w:rsidRDefault="00DA4E21" w:rsidP="00CD72A1">
            <w:pPr>
              <w:widowControl w:val="0"/>
              <w:tabs>
                <w:tab w:val="left" w:pos="720"/>
              </w:tabs>
              <w:rPr>
                <w:rFonts w:cs="Arial"/>
                <w:sz w:val="18"/>
              </w:rPr>
            </w:pPr>
          </w:p>
        </w:tc>
        <w:tc>
          <w:tcPr>
            <w:tcW w:w="1359" w:type="dxa"/>
            <w:tcBorders>
              <w:top w:val="single" w:sz="6" w:space="0" w:color="auto"/>
              <w:left w:val="nil"/>
              <w:bottom w:val="double" w:sz="4" w:space="0" w:color="auto"/>
              <w:right w:val="single" w:sz="6" w:space="0" w:color="auto"/>
            </w:tcBorders>
            <w:vAlign w:val="center"/>
          </w:tcPr>
          <w:p w14:paraId="57305762" w14:textId="77777777" w:rsidR="00DA4E21" w:rsidRPr="007F4F91" w:rsidRDefault="00DA4E21" w:rsidP="00CD72A1">
            <w:pPr>
              <w:widowControl w:val="0"/>
              <w:tabs>
                <w:tab w:val="left" w:pos="720"/>
              </w:tabs>
              <w:rPr>
                <w:rFonts w:cs="Arial"/>
                <w:sz w:val="18"/>
              </w:rPr>
            </w:pPr>
          </w:p>
        </w:tc>
        <w:tc>
          <w:tcPr>
            <w:tcW w:w="1268" w:type="dxa"/>
            <w:tcBorders>
              <w:top w:val="single" w:sz="6" w:space="0" w:color="auto"/>
              <w:left w:val="nil"/>
              <w:bottom w:val="double" w:sz="4" w:space="0" w:color="auto"/>
              <w:right w:val="double" w:sz="4" w:space="0" w:color="auto"/>
            </w:tcBorders>
            <w:vAlign w:val="center"/>
          </w:tcPr>
          <w:p w14:paraId="57305763" w14:textId="77777777" w:rsidR="00DA4E21" w:rsidRPr="007F4F91" w:rsidRDefault="00DA4E21" w:rsidP="00CD72A1">
            <w:pPr>
              <w:widowControl w:val="0"/>
              <w:tabs>
                <w:tab w:val="left" w:pos="720"/>
              </w:tabs>
              <w:rPr>
                <w:rFonts w:cs="Arial"/>
                <w:sz w:val="18"/>
              </w:rPr>
            </w:pPr>
          </w:p>
        </w:tc>
      </w:tr>
      <w:tr w:rsidR="00DA4E21" w:rsidRPr="00CC121D" w14:paraId="5730576C" w14:textId="77777777" w:rsidTr="00CD72A1">
        <w:trPr>
          <w:jc w:val="center"/>
        </w:trPr>
        <w:tc>
          <w:tcPr>
            <w:tcW w:w="1171" w:type="dxa"/>
            <w:vMerge w:val="restart"/>
            <w:tcBorders>
              <w:top w:val="double" w:sz="4" w:space="0" w:color="auto"/>
              <w:left w:val="double" w:sz="4" w:space="0" w:color="auto"/>
              <w:right w:val="single" w:sz="6" w:space="0" w:color="auto"/>
            </w:tcBorders>
            <w:vAlign w:val="center"/>
            <w:hideMark/>
          </w:tcPr>
          <w:p w14:paraId="57305765" w14:textId="77777777" w:rsidR="00DA4E21" w:rsidRPr="007F4F91" w:rsidRDefault="00DA4E21" w:rsidP="00D07AFA">
            <w:pPr>
              <w:widowControl w:val="0"/>
              <w:tabs>
                <w:tab w:val="left" w:pos="720"/>
              </w:tabs>
              <w:rPr>
                <w:rFonts w:cs="Arial"/>
                <w:sz w:val="18"/>
              </w:rPr>
            </w:pPr>
            <w:r w:rsidRPr="007F4F91">
              <w:rPr>
                <w:rFonts w:cs="Arial"/>
                <w:sz w:val="18"/>
              </w:rPr>
              <w:t>Engineering principles: civil engineering: investigations</w:t>
            </w:r>
          </w:p>
        </w:tc>
        <w:tc>
          <w:tcPr>
            <w:tcW w:w="1852" w:type="dxa"/>
            <w:tcBorders>
              <w:top w:val="double" w:sz="4" w:space="0" w:color="auto"/>
              <w:left w:val="single" w:sz="6" w:space="0" w:color="auto"/>
              <w:right w:val="single" w:sz="6" w:space="0" w:color="auto"/>
            </w:tcBorders>
            <w:vAlign w:val="center"/>
          </w:tcPr>
          <w:p w14:paraId="57305766" w14:textId="77777777" w:rsidR="00DA4E21" w:rsidRPr="007F4F91" w:rsidRDefault="00DA4E21" w:rsidP="00D07AFA">
            <w:pPr>
              <w:widowControl w:val="0"/>
              <w:tabs>
                <w:tab w:val="left" w:pos="720"/>
              </w:tabs>
              <w:rPr>
                <w:rFonts w:cs="Arial"/>
                <w:sz w:val="18"/>
              </w:rPr>
            </w:pPr>
            <w:r w:rsidRPr="007F4F91">
              <w:rPr>
                <w:rFonts w:cs="Arial"/>
                <w:sz w:val="18"/>
              </w:rPr>
              <w:t>Geotechnical investigation</w:t>
            </w:r>
          </w:p>
        </w:tc>
        <w:tc>
          <w:tcPr>
            <w:tcW w:w="850" w:type="dxa"/>
            <w:gridSpan w:val="2"/>
            <w:tcBorders>
              <w:top w:val="double" w:sz="4" w:space="0" w:color="auto"/>
              <w:left w:val="single" w:sz="6" w:space="0" w:color="auto"/>
              <w:bottom w:val="single" w:sz="6" w:space="0" w:color="auto"/>
              <w:right w:val="single" w:sz="6" w:space="0" w:color="auto"/>
            </w:tcBorders>
            <w:vAlign w:val="center"/>
          </w:tcPr>
          <w:p w14:paraId="57305767" w14:textId="77777777" w:rsidR="00DA4E21" w:rsidRPr="007F4F91" w:rsidRDefault="00DA4E21" w:rsidP="00EA3FAE">
            <w:pPr>
              <w:widowControl w:val="0"/>
              <w:tabs>
                <w:tab w:val="left" w:pos="720"/>
              </w:tabs>
              <w:jc w:val="center"/>
              <w:rPr>
                <w:rFonts w:cs="Arial"/>
                <w:sz w:val="18"/>
              </w:rPr>
            </w:pPr>
            <w:r w:rsidRPr="007F4F91">
              <w:rPr>
                <w:rFonts w:cs="Arial"/>
                <w:sz w:val="18"/>
              </w:rPr>
              <w:t>ECE.5</w:t>
            </w:r>
          </w:p>
        </w:tc>
        <w:tc>
          <w:tcPr>
            <w:tcW w:w="2501" w:type="dxa"/>
            <w:tcBorders>
              <w:top w:val="double" w:sz="4" w:space="0" w:color="auto"/>
              <w:left w:val="nil"/>
              <w:bottom w:val="single" w:sz="6" w:space="0" w:color="auto"/>
              <w:right w:val="single" w:sz="6" w:space="0" w:color="auto"/>
            </w:tcBorders>
            <w:tcMar>
              <w:top w:w="28" w:type="dxa"/>
              <w:left w:w="57" w:type="dxa"/>
              <w:bottom w:w="28" w:type="dxa"/>
              <w:right w:w="0" w:type="dxa"/>
            </w:tcMar>
            <w:vAlign w:val="center"/>
          </w:tcPr>
          <w:p w14:paraId="57305769" w14:textId="77777777" w:rsidR="00DA4E21" w:rsidRPr="007F4F91" w:rsidRDefault="00DA4E21" w:rsidP="00CD72A1">
            <w:pPr>
              <w:widowControl w:val="0"/>
              <w:tabs>
                <w:tab w:val="left" w:pos="720"/>
              </w:tabs>
              <w:rPr>
                <w:rFonts w:cs="Arial"/>
                <w:sz w:val="18"/>
              </w:rPr>
            </w:pPr>
          </w:p>
        </w:tc>
        <w:tc>
          <w:tcPr>
            <w:tcW w:w="1359" w:type="dxa"/>
            <w:tcBorders>
              <w:top w:val="double" w:sz="4" w:space="0" w:color="auto"/>
              <w:left w:val="nil"/>
              <w:bottom w:val="single" w:sz="6" w:space="0" w:color="auto"/>
              <w:right w:val="single" w:sz="6" w:space="0" w:color="auto"/>
            </w:tcBorders>
            <w:vAlign w:val="center"/>
          </w:tcPr>
          <w:p w14:paraId="5730576A" w14:textId="77777777" w:rsidR="00DA4E21" w:rsidRPr="007F4F91" w:rsidRDefault="00DA4E21" w:rsidP="00CD72A1">
            <w:pPr>
              <w:widowControl w:val="0"/>
              <w:tabs>
                <w:tab w:val="left" w:pos="720"/>
              </w:tabs>
              <w:rPr>
                <w:rFonts w:cs="Arial"/>
                <w:sz w:val="18"/>
              </w:rPr>
            </w:pPr>
          </w:p>
        </w:tc>
        <w:tc>
          <w:tcPr>
            <w:tcW w:w="1268" w:type="dxa"/>
            <w:tcBorders>
              <w:top w:val="double" w:sz="4" w:space="0" w:color="auto"/>
              <w:left w:val="nil"/>
              <w:bottom w:val="single" w:sz="6" w:space="0" w:color="auto"/>
              <w:right w:val="double" w:sz="4" w:space="0" w:color="auto"/>
            </w:tcBorders>
            <w:vAlign w:val="center"/>
          </w:tcPr>
          <w:p w14:paraId="5730576B" w14:textId="77777777" w:rsidR="00DA4E21" w:rsidRPr="007F4F91" w:rsidRDefault="00DA4E21" w:rsidP="00CD72A1">
            <w:pPr>
              <w:widowControl w:val="0"/>
              <w:tabs>
                <w:tab w:val="left" w:pos="720"/>
              </w:tabs>
              <w:rPr>
                <w:rFonts w:cs="Arial"/>
                <w:sz w:val="18"/>
              </w:rPr>
            </w:pPr>
            <w:r w:rsidRPr="007F4F91">
              <w:rPr>
                <w:rFonts w:cs="Arial"/>
                <w:sz w:val="18"/>
              </w:rPr>
              <w:t>DI-47</w:t>
            </w:r>
          </w:p>
        </w:tc>
      </w:tr>
      <w:tr w:rsidR="00DA4E21" w:rsidRPr="00CC121D" w14:paraId="57305774" w14:textId="77777777" w:rsidTr="00CD72A1">
        <w:trPr>
          <w:jc w:val="center"/>
        </w:trPr>
        <w:tc>
          <w:tcPr>
            <w:tcW w:w="1171" w:type="dxa"/>
            <w:vMerge/>
            <w:tcBorders>
              <w:left w:val="double" w:sz="4" w:space="0" w:color="auto"/>
              <w:right w:val="single" w:sz="6" w:space="0" w:color="auto"/>
            </w:tcBorders>
            <w:vAlign w:val="center"/>
          </w:tcPr>
          <w:p w14:paraId="5730576D" w14:textId="77777777" w:rsidR="00DA4E21" w:rsidRPr="007F4F91" w:rsidRDefault="00DA4E21" w:rsidP="007F4F91">
            <w:pPr>
              <w:widowControl w:val="0"/>
              <w:tabs>
                <w:tab w:val="left" w:pos="720"/>
              </w:tabs>
              <w:rPr>
                <w:rFonts w:cs="Arial"/>
                <w:sz w:val="18"/>
              </w:rPr>
            </w:pPr>
          </w:p>
        </w:tc>
        <w:tc>
          <w:tcPr>
            <w:tcW w:w="1852" w:type="dxa"/>
            <w:tcBorders>
              <w:left w:val="single" w:sz="6" w:space="0" w:color="auto"/>
              <w:right w:val="single" w:sz="6" w:space="0" w:color="auto"/>
            </w:tcBorders>
            <w:vAlign w:val="center"/>
          </w:tcPr>
          <w:p w14:paraId="5730576E" w14:textId="77777777" w:rsidR="00DA4E21" w:rsidRPr="007F4F91" w:rsidRDefault="00DA4E21" w:rsidP="00D07AFA">
            <w:pPr>
              <w:widowControl w:val="0"/>
              <w:tabs>
                <w:tab w:val="left" w:pos="720"/>
              </w:tabs>
              <w:rPr>
                <w:rFonts w:cs="Arial"/>
                <w:sz w:val="18"/>
              </w:rPr>
            </w:pPr>
            <w:r w:rsidRPr="007F4F91">
              <w:rPr>
                <w:rFonts w:cs="Arial"/>
                <w:sz w:val="18"/>
              </w:rPr>
              <w:t>Loadings</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5730576F" w14:textId="77777777" w:rsidR="00DA4E21" w:rsidRPr="007F4F91" w:rsidRDefault="00DA4E21" w:rsidP="00EA3FAE">
            <w:pPr>
              <w:widowControl w:val="0"/>
              <w:tabs>
                <w:tab w:val="left" w:pos="720"/>
              </w:tabs>
              <w:jc w:val="center"/>
              <w:rPr>
                <w:rFonts w:cs="Arial"/>
                <w:sz w:val="18"/>
              </w:rPr>
            </w:pPr>
            <w:r w:rsidRPr="007F4F91">
              <w:rPr>
                <w:rFonts w:cs="Arial"/>
                <w:sz w:val="18"/>
              </w:rPr>
              <w:t>ECE.6</w:t>
            </w:r>
          </w:p>
        </w:tc>
        <w:tc>
          <w:tcPr>
            <w:tcW w:w="2501" w:type="dxa"/>
            <w:tcBorders>
              <w:top w:val="single" w:sz="6" w:space="0" w:color="auto"/>
              <w:left w:val="nil"/>
              <w:bottom w:val="single" w:sz="6" w:space="0" w:color="auto"/>
              <w:right w:val="single" w:sz="6" w:space="0" w:color="auto"/>
            </w:tcBorders>
            <w:tcMar>
              <w:top w:w="28" w:type="dxa"/>
              <w:left w:w="57" w:type="dxa"/>
              <w:bottom w:w="28" w:type="dxa"/>
              <w:right w:w="0" w:type="dxa"/>
            </w:tcMar>
            <w:vAlign w:val="center"/>
          </w:tcPr>
          <w:p w14:paraId="57305771" w14:textId="32148D1F" w:rsidR="00DA4E21" w:rsidRPr="007F4F91" w:rsidRDefault="00DA4E21" w:rsidP="00CD72A1">
            <w:pPr>
              <w:widowControl w:val="0"/>
              <w:tabs>
                <w:tab w:val="left" w:pos="720"/>
              </w:tabs>
              <w:rPr>
                <w:rFonts w:cs="Arial"/>
                <w:sz w:val="18"/>
              </w:rPr>
            </w:pPr>
            <w:r w:rsidRPr="007F4F91">
              <w:rPr>
                <w:rFonts w:cs="Arial"/>
                <w:sz w:val="18"/>
              </w:rPr>
              <w:t>WENRA RHWG Safety of NPPs</w:t>
            </w:r>
            <w:r w:rsidR="00CD72A1">
              <w:rPr>
                <w:rFonts w:cs="Arial"/>
                <w:sz w:val="18"/>
              </w:rPr>
              <w:t xml:space="preserve"> for consideration of external hazard loading</w:t>
            </w:r>
          </w:p>
        </w:tc>
        <w:tc>
          <w:tcPr>
            <w:tcW w:w="1359" w:type="dxa"/>
            <w:tcBorders>
              <w:top w:val="single" w:sz="6" w:space="0" w:color="auto"/>
              <w:left w:val="nil"/>
              <w:bottom w:val="single" w:sz="6" w:space="0" w:color="auto"/>
              <w:right w:val="single" w:sz="6" w:space="0" w:color="auto"/>
            </w:tcBorders>
            <w:vAlign w:val="center"/>
          </w:tcPr>
          <w:p w14:paraId="57305772" w14:textId="77777777" w:rsidR="00DA4E21" w:rsidRPr="007F4F91" w:rsidRDefault="00DA4E21" w:rsidP="00CD72A1">
            <w:pPr>
              <w:widowControl w:val="0"/>
              <w:tabs>
                <w:tab w:val="left" w:pos="720"/>
              </w:tabs>
              <w:rPr>
                <w:rFonts w:cs="Arial"/>
                <w:sz w:val="18"/>
              </w:rPr>
            </w:pPr>
          </w:p>
        </w:tc>
        <w:tc>
          <w:tcPr>
            <w:tcW w:w="1268" w:type="dxa"/>
            <w:tcBorders>
              <w:top w:val="single" w:sz="6" w:space="0" w:color="auto"/>
              <w:left w:val="nil"/>
              <w:bottom w:val="single" w:sz="6" w:space="0" w:color="auto"/>
              <w:right w:val="double" w:sz="4" w:space="0" w:color="auto"/>
            </w:tcBorders>
            <w:vAlign w:val="center"/>
          </w:tcPr>
          <w:p w14:paraId="57305773" w14:textId="77777777" w:rsidR="00DA4E21" w:rsidRPr="007F4F91" w:rsidRDefault="00DA4E21" w:rsidP="00CD72A1">
            <w:pPr>
              <w:widowControl w:val="0"/>
              <w:tabs>
                <w:tab w:val="left" w:pos="720"/>
              </w:tabs>
              <w:rPr>
                <w:rFonts w:cs="Arial"/>
                <w:sz w:val="18"/>
              </w:rPr>
            </w:pPr>
          </w:p>
        </w:tc>
      </w:tr>
      <w:tr w:rsidR="00DA4E21" w:rsidRPr="00CC121D" w14:paraId="5730577C" w14:textId="77777777" w:rsidTr="00CD72A1">
        <w:trPr>
          <w:jc w:val="center"/>
        </w:trPr>
        <w:tc>
          <w:tcPr>
            <w:tcW w:w="1171" w:type="dxa"/>
            <w:vMerge w:val="restart"/>
            <w:tcBorders>
              <w:left w:val="double" w:sz="4" w:space="0" w:color="auto"/>
              <w:right w:val="single" w:sz="6" w:space="0" w:color="auto"/>
            </w:tcBorders>
            <w:vAlign w:val="center"/>
          </w:tcPr>
          <w:p w14:paraId="57305775" w14:textId="77777777" w:rsidR="00DA4E21" w:rsidRPr="007F4F91" w:rsidRDefault="00DA4E21" w:rsidP="00D07AFA">
            <w:pPr>
              <w:widowControl w:val="0"/>
              <w:tabs>
                <w:tab w:val="left" w:pos="720"/>
              </w:tabs>
              <w:rPr>
                <w:rFonts w:cs="Arial"/>
                <w:sz w:val="18"/>
              </w:rPr>
            </w:pPr>
            <w:r w:rsidRPr="007F4F91">
              <w:rPr>
                <w:rFonts w:cs="Arial"/>
                <w:sz w:val="18"/>
              </w:rPr>
              <w:t xml:space="preserve">Engineering principles: civil engineering: design </w:t>
            </w:r>
          </w:p>
        </w:tc>
        <w:tc>
          <w:tcPr>
            <w:tcW w:w="1852" w:type="dxa"/>
            <w:tcBorders>
              <w:left w:val="single" w:sz="6" w:space="0" w:color="auto"/>
              <w:right w:val="single" w:sz="6" w:space="0" w:color="auto"/>
            </w:tcBorders>
            <w:vAlign w:val="center"/>
          </w:tcPr>
          <w:p w14:paraId="57305776" w14:textId="77777777" w:rsidR="00DA4E21" w:rsidRPr="007F4F91" w:rsidRDefault="00DA4E21" w:rsidP="00D07AFA">
            <w:pPr>
              <w:widowControl w:val="0"/>
              <w:tabs>
                <w:tab w:val="left" w:pos="720"/>
              </w:tabs>
              <w:rPr>
                <w:rFonts w:cs="Arial"/>
                <w:sz w:val="18"/>
              </w:rPr>
            </w:pPr>
            <w:r w:rsidRPr="007F4F91">
              <w:rPr>
                <w:rFonts w:cs="Arial"/>
                <w:sz w:val="18"/>
              </w:rPr>
              <w:t>Foundations</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57305777" w14:textId="77777777" w:rsidR="00DA4E21" w:rsidRPr="007F4F91" w:rsidRDefault="00DA4E21" w:rsidP="00EA3FAE">
            <w:pPr>
              <w:widowControl w:val="0"/>
              <w:tabs>
                <w:tab w:val="left" w:pos="720"/>
              </w:tabs>
              <w:jc w:val="center"/>
              <w:rPr>
                <w:rFonts w:cs="Arial"/>
                <w:sz w:val="18"/>
              </w:rPr>
            </w:pPr>
            <w:r w:rsidRPr="007F4F91">
              <w:rPr>
                <w:rFonts w:cs="Arial"/>
                <w:sz w:val="18"/>
              </w:rPr>
              <w:t>ECE.7</w:t>
            </w:r>
          </w:p>
        </w:tc>
        <w:tc>
          <w:tcPr>
            <w:tcW w:w="2501" w:type="dxa"/>
            <w:tcBorders>
              <w:top w:val="single" w:sz="6" w:space="0" w:color="auto"/>
              <w:left w:val="nil"/>
              <w:bottom w:val="single" w:sz="6" w:space="0" w:color="auto"/>
              <w:right w:val="single" w:sz="6" w:space="0" w:color="auto"/>
            </w:tcBorders>
            <w:tcMar>
              <w:top w:w="28" w:type="dxa"/>
              <w:left w:w="57" w:type="dxa"/>
              <w:bottom w:w="28" w:type="dxa"/>
              <w:right w:w="0" w:type="dxa"/>
            </w:tcMar>
            <w:vAlign w:val="center"/>
          </w:tcPr>
          <w:p w14:paraId="57305779" w14:textId="77777777" w:rsidR="00DA4E21" w:rsidRPr="007F4F91" w:rsidRDefault="00DA4E21" w:rsidP="00CD72A1">
            <w:pPr>
              <w:widowControl w:val="0"/>
              <w:tabs>
                <w:tab w:val="left" w:pos="720"/>
              </w:tabs>
              <w:rPr>
                <w:rFonts w:cs="Arial"/>
                <w:sz w:val="18"/>
              </w:rPr>
            </w:pPr>
          </w:p>
        </w:tc>
        <w:tc>
          <w:tcPr>
            <w:tcW w:w="1359" w:type="dxa"/>
            <w:tcBorders>
              <w:top w:val="single" w:sz="6" w:space="0" w:color="auto"/>
              <w:left w:val="nil"/>
              <w:bottom w:val="single" w:sz="6" w:space="0" w:color="auto"/>
              <w:right w:val="single" w:sz="6" w:space="0" w:color="auto"/>
            </w:tcBorders>
            <w:vAlign w:val="center"/>
          </w:tcPr>
          <w:p w14:paraId="5730577A" w14:textId="77777777" w:rsidR="00DA4E21" w:rsidRPr="007F4F91" w:rsidRDefault="00DA4E21" w:rsidP="00CD72A1">
            <w:pPr>
              <w:widowControl w:val="0"/>
              <w:tabs>
                <w:tab w:val="left" w:pos="720"/>
              </w:tabs>
              <w:rPr>
                <w:rFonts w:cs="Arial"/>
                <w:sz w:val="18"/>
              </w:rPr>
            </w:pPr>
          </w:p>
        </w:tc>
        <w:tc>
          <w:tcPr>
            <w:tcW w:w="1268" w:type="dxa"/>
            <w:tcBorders>
              <w:top w:val="single" w:sz="6" w:space="0" w:color="auto"/>
              <w:left w:val="nil"/>
              <w:bottom w:val="single" w:sz="6" w:space="0" w:color="auto"/>
              <w:right w:val="double" w:sz="4" w:space="0" w:color="auto"/>
            </w:tcBorders>
            <w:vAlign w:val="center"/>
          </w:tcPr>
          <w:p w14:paraId="5730577B" w14:textId="77777777" w:rsidR="00DA4E21" w:rsidRPr="007F4F91" w:rsidRDefault="00DA4E21" w:rsidP="00CD72A1">
            <w:pPr>
              <w:widowControl w:val="0"/>
              <w:tabs>
                <w:tab w:val="left" w:pos="720"/>
              </w:tabs>
              <w:rPr>
                <w:rFonts w:cs="Arial"/>
                <w:sz w:val="18"/>
              </w:rPr>
            </w:pPr>
          </w:p>
        </w:tc>
      </w:tr>
      <w:tr w:rsidR="00DA4E21" w:rsidRPr="00CC121D" w14:paraId="57305792" w14:textId="77777777" w:rsidTr="00CD72A1">
        <w:trPr>
          <w:trHeight w:val="476"/>
          <w:jc w:val="center"/>
        </w:trPr>
        <w:tc>
          <w:tcPr>
            <w:tcW w:w="1171" w:type="dxa"/>
            <w:vMerge/>
            <w:tcBorders>
              <w:left w:val="double" w:sz="4" w:space="0" w:color="auto"/>
              <w:right w:val="single" w:sz="6" w:space="0" w:color="auto"/>
            </w:tcBorders>
            <w:vAlign w:val="center"/>
          </w:tcPr>
          <w:p w14:paraId="5730577D" w14:textId="77777777" w:rsidR="00DA4E21" w:rsidRPr="007F4F91" w:rsidRDefault="00DA4E21" w:rsidP="007F4F91">
            <w:pPr>
              <w:widowControl w:val="0"/>
              <w:tabs>
                <w:tab w:val="left" w:pos="720"/>
              </w:tabs>
              <w:rPr>
                <w:rFonts w:cs="Arial"/>
                <w:sz w:val="18"/>
              </w:rPr>
            </w:pPr>
          </w:p>
        </w:tc>
        <w:tc>
          <w:tcPr>
            <w:tcW w:w="1852" w:type="dxa"/>
            <w:tcBorders>
              <w:left w:val="single" w:sz="6" w:space="0" w:color="auto"/>
              <w:right w:val="single" w:sz="6" w:space="0" w:color="auto"/>
            </w:tcBorders>
            <w:vAlign w:val="center"/>
          </w:tcPr>
          <w:p w14:paraId="5730577E" w14:textId="77777777" w:rsidR="00DA4E21" w:rsidRPr="007F4F91" w:rsidRDefault="00DA4E21" w:rsidP="00D07AFA">
            <w:pPr>
              <w:widowControl w:val="0"/>
              <w:tabs>
                <w:tab w:val="left" w:pos="720"/>
              </w:tabs>
              <w:rPr>
                <w:rFonts w:cs="Arial"/>
                <w:sz w:val="18"/>
              </w:rPr>
            </w:pPr>
            <w:proofErr w:type="spellStart"/>
            <w:r w:rsidRPr="007F4F91">
              <w:rPr>
                <w:rFonts w:cs="Arial"/>
                <w:sz w:val="18"/>
              </w:rPr>
              <w:t>Inspectability</w:t>
            </w:r>
            <w:proofErr w:type="spellEnd"/>
          </w:p>
        </w:tc>
        <w:tc>
          <w:tcPr>
            <w:tcW w:w="850" w:type="dxa"/>
            <w:gridSpan w:val="2"/>
            <w:tcBorders>
              <w:top w:val="single" w:sz="6" w:space="0" w:color="auto"/>
              <w:left w:val="single" w:sz="6" w:space="0" w:color="auto"/>
              <w:bottom w:val="single" w:sz="6" w:space="0" w:color="auto"/>
              <w:right w:val="single" w:sz="6" w:space="0" w:color="auto"/>
            </w:tcBorders>
            <w:vAlign w:val="center"/>
          </w:tcPr>
          <w:p w14:paraId="5730577F" w14:textId="77777777" w:rsidR="00DA4E21" w:rsidRPr="007F4F91" w:rsidRDefault="00DA4E21" w:rsidP="00EA3FAE">
            <w:pPr>
              <w:widowControl w:val="0"/>
              <w:tabs>
                <w:tab w:val="left" w:pos="720"/>
              </w:tabs>
              <w:jc w:val="center"/>
              <w:rPr>
                <w:rFonts w:cs="Arial"/>
                <w:sz w:val="18"/>
              </w:rPr>
            </w:pPr>
            <w:r w:rsidRPr="007F4F91">
              <w:rPr>
                <w:rFonts w:cs="Arial"/>
                <w:sz w:val="18"/>
              </w:rPr>
              <w:t>ECE.8</w:t>
            </w:r>
          </w:p>
        </w:tc>
        <w:tc>
          <w:tcPr>
            <w:tcW w:w="2501" w:type="dxa"/>
            <w:tcBorders>
              <w:top w:val="single" w:sz="6" w:space="0" w:color="auto"/>
              <w:left w:val="nil"/>
              <w:bottom w:val="single" w:sz="6" w:space="0" w:color="auto"/>
              <w:right w:val="single" w:sz="6" w:space="0" w:color="auto"/>
            </w:tcBorders>
            <w:tcMar>
              <w:top w:w="28" w:type="dxa"/>
              <w:left w:w="57" w:type="dxa"/>
              <w:bottom w:w="28" w:type="dxa"/>
              <w:right w:w="0" w:type="dxa"/>
            </w:tcMar>
            <w:vAlign w:val="center"/>
          </w:tcPr>
          <w:p w14:paraId="06B0ECC7" w14:textId="7EBA7A14" w:rsidR="00EA3FAE" w:rsidRDefault="00DA4E21" w:rsidP="00CD72A1">
            <w:pPr>
              <w:widowControl w:val="0"/>
              <w:tabs>
                <w:tab w:val="left" w:pos="720"/>
              </w:tabs>
              <w:rPr>
                <w:rFonts w:cs="Arial"/>
                <w:sz w:val="18"/>
              </w:rPr>
            </w:pPr>
            <w:r w:rsidRPr="007F4F91">
              <w:rPr>
                <w:rFonts w:cs="Arial"/>
                <w:sz w:val="18"/>
              </w:rPr>
              <w:t>K1.1</w:t>
            </w:r>
            <w:r w:rsidR="00EA3FAE">
              <w:rPr>
                <w:rFonts w:cs="Arial"/>
                <w:sz w:val="18"/>
              </w:rPr>
              <w:t xml:space="preserve">, </w:t>
            </w:r>
            <w:r w:rsidRPr="007F4F91">
              <w:rPr>
                <w:rFonts w:cs="Arial"/>
                <w:sz w:val="18"/>
              </w:rPr>
              <w:t>K1.2</w:t>
            </w:r>
            <w:r w:rsidR="00EA3FAE">
              <w:rPr>
                <w:rFonts w:cs="Arial"/>
                <w:sz w:val="18"/>
              </w:rPr>
              <w:t>,</w:t>
            </w:r>
          </w:p>
          <w:p w14:paraId="57305787" w14:textId="4243CC0C" w:rsidR="00DA4E21" w:rsidRPr="007F4F91" w:rsidRDefault="00DA4E21" w:rsidP="00CD72A1">
            <w:pPr>
              <w:widowControl w:val="0"/>
              <w:tabs>
                <w:tab w:val="left" w:pos="720"/>
              </w:tabs>
              <w:rPr>
                <w:rFonts w:cs="Arial"/>
                <w:sz w:val="18"/>
              </w:rPr>
            </w:pPr>
            <w:r w:rsidRPr="007F4F91">
              <w:rPr>
                <w:rFonts w:cs="Arial"/>
                <w:sz w:val="18"/>
              </w:rPr>
              <w:t>K2.1</w:t>
            </w:r>
            <w:r w:rsidR="00EA3FAE">
              <w:rPr>
                <w:rFonts w:cs="Arial"/>
                <w:sz w:val="18"/>
              </w:rPr>
              <w:t xml:space="preserve">, </w:t>
            </w:r>
            <w:r w:rsidRPr="007F4F91">
              <w:rPr>
                <w:rFonts w:cs="Arial"/>
                <w:sz w:val="18"/>
              </w:rPr>
              <w:t>K2.2</w:t>
            </w:r>
            <w:r w:rsidR="00EA3FAE">
              <w:rPr>
                <w:rFonts w:cs="Arial"/>
                <w:sz w:val="18"/>
              </w:rPr>
              <w:t xml:space="preserve">, </w:t>
            </w:r>
            <w:r w:rsidRPr="007F4F91">
              <w:rPr>
                <w:rFonts w:cs="Arial"/>
                <w:sz w:val="18"/>
              </w:rPr>
              <w:t>K2.3</w:t>
            </w:r>
            <w:r w:rsidR="00EA3FAE">
              <w:rPr>
                <w:rFonts w:cs="Arial"/>
                <w:sz w:val="18"/>
              </w:rPr>
              <w:t xml:space="preserve">, </w:t>
            </w:r>
            <w:r w:rsidRPr="007F4F91">
              <w:rPr>
                <w:rFonts w:cs="Arial"/>
                <w:sz w:val="18"/>
              </w:rPr>
              <w:t>K2.4</w:t>
            </w:r>
            <w:r w:rsidR="00EA3FAE">
              <w:rPr>
                <w:rFonts w:cs="Arial"/>
                <w:sz w:val="18"/>
              </w:rPr>
              <w:t xml:space="preserve">, </w:t>
            </w:r>
            <w:r w:rsidRPr="007F4F91">
              <w:rPr>
                <w:rFonts w:cs="Arial"/>
                <w:sz w:val="18"/>
              </w:rPr>
              <w:t>K2.5</w:t>
            </w:r>
          </w:p>
          <w:p w14:paraId="5730578F" w14:textId="7A5EFDD2" w:rsidR="00DA4E21" w:rsidRPr="007F4F91" w:rsidRDefault="00DA4E21" w:rsidP="00CD72A1">
            <w:pPr>
              <w:widowControl w:val="0"/>
              <w:tabs>
                <w:tab w:val="left" w:pos="720"/>
              </w:tabs>
              <w:rPr>
                <w:rFonts w:cs="Arial"/>
                <w:sz w:val="18"/>
              </w:rPr>
            </w:pPr>
            <w:r w:rsidRPr="007F4F91">
              <w:rPr>
                <w:rFonts w:cs="Arial"/>
                <w:sz w:val="18"/>
              </w:rPr>
              <w:t>K3.1</w:t>
            </w:r>
            <w:r w:rsidR="00EA3FAE">
              <w:rPr>
                <w:rFonts w:cs="Arial"/>
                <w:sz w:val="18"/>
              </w:rPr>
              <w:t xml:space="preserve">, </w:t>
            </w:r>
            <w:r w:rsidRPr="007F4F91">
              <w:rPr>
                <w:rFonts w:cs="Arial"/>
                <w:sz w:val="18"/>
              </w:rPr>
              <w:t>K3.2</w:t>
            </w:r>
            <w:r w:rsidR="00EA3FAE">
              <w:rPr>
                <w:rFonts w:cs="Arial"/>
                <w:sz w:val="18"/>
              </w:rPr>
              <w:t xml:space="preserve">, </w:t>
            </w:r>
            <w:r w:rsidRPr="007F4F91">
              <w:rPr>
                <w:rFonts w:cs="Arial"/>
                <w:sz w:val="18"/>
              </w:rPr>
              <w:t>K3.3</w:t>
            </w:r>
            <w:r w:rsidR="00EA3FAE">
              <w:rPr>
                <w:rFonts w:cs="Arial"/>
                <w:sz w:val="18"/>
              </w:rPr>
              <w:t xml:space="preserve">, </w:t>
            </w:r>
            <w:r w:rsidRPr="007F4F91">
              <w:rPr>
                <w:rFonts w:cs="Arial"/>
                <w:sz w:val="18"/>
              </w:rPr>
              <w:t>K3.4</w:t>
            </w:r>
            <w:r w:rsidR="00EA3FAE">
              <w:rPr>
                <w:rFonts w:cs="Arial"/>
                <w:sz w:val="18"/>
              </w:rPr>
              <w:t xml:space="preserve">, </w:t>
            </w:r>
            <w:r w:rsidRPr="007F4F91">
              <w:rPr>
                <w:rFonts w:cs="Arial"/>
                <w:sz w:val="18"/>
              </w:rPr>
              <w:t>K3.5</w:t>
            </w:r>
            <w:r w:rsidR="00EA3FAE">
              <w:rPr>
                <w:rFonts w:cs="Arial"/>
                <w:sz w:val="18"/>
              </w:rPr>
              <w:t xml:space="preserve">, </w:t>
            </w:r>
            <w:r w:rsidRPr="007F4F91">
              <w:rPr>
                <w:rFonts w:cs="Arial"/>
                <w:sz w:val="18"/>
              </w:rPr>
              <w:t>K3.6</w:t>
            </w:r>
            <w:r w:rsidR="00EA3FAE">
              <w:rPr>
                <w:rFonts w:cs="Arial"/>
                <w:sz w:val="18"/>
              </w:rPr>
              <w:t xml:space="preserve">, </w:t>
            </w:r>
            <w:r w:rsidRPr="007F4F91">
              <w:rPr>
                <w:rFonts w:cs="Arial"/>
                <w:sz w:val="18"/>
              </w:rPr>
              <w:t>K3.7</w:t>
            </w:r>
          </w:p>
        </w:tc>
        <w:tc>
          <w:tcPr>
            <w:tcW w:w="1359" w:type="dxa"/>
            <w:tcBorders>
              <w:top w:val="single" w:sz="6" w:space="0" w:color="auto"/>
              <w:left w:val="nil"/>
              <w:bottom w:val="single" w:sz="6" w:space="0" w:color="auto"/>
              <w:right w:val="single" w:sz="6" w:space="0" w:color="auto"/>
            </w:tcBorders>
            <w:vAlign w:val="center"/>
          </w:tcPr>
          <w:p w14:paraId="57305790" w14:textId="77777777" w:rsidR="00DA4E21" w:rsidRPr="007F4F91" w:rsidRDefault="00DA4E21" w:rsidP="00CD72A1">
            <w:pPr>
              <w:widowControl w:val="0"/>
              <w:tabs>
                <w:tab w:val="left" w:pos="720"/>
              </w:tabs>
              <w:rPr>
                <w:rFonts w:cs="Arial"/>
                <w:sz w:val="18"/>
              </w:rPr>
            </w:pPr>
          </w:p>
        </w:tc>
        <w:tc>
          <w:tcPr>
            <w:tcW w:w="1268" w:type="dxa"/>
            <w:tcBorders>
              <w:top w:val="single" w:sz="6" w:space="0" w:color="auto"/>
              <w:left w:val="nil"/>
              <w:bottom w:val="single" w:sz="6" w:space="0" w:color="auto"/>
              <w:right w:val="double" w:sz="4" w:space="0" w:color="auto"/>
            </w:tcBorders>
            <w:vAlign w:val="center"/>
          </w:tcPr>
          <w:p w14:paraId="57305791" w14:textId="77777777" w:rsidR="00DA4E21" w:rsidRPr="007F4F91" w:rsidRDefault="00DA4E21" w:rsidP="00CD72A1">
            <w:pPr>
              <w:widowControl w:val="0"/>
              <w:tabs>
                <w:tab w:val="left" w:pos="720"/>
              </w:tabs>
              <w:rPr>
                <w:rFonts w:cs="Arial"/>
                <w:sz w:val="18"/>
              </w:rPr>
            </w:pPr>
            <w:r w:rsidRPr="007F4F91">
              <w:rPr>
                <w:rFonts w:cs="Arial"/>
                <w:sz w:val="18"/>
              </w:rPr>
              <w:t>DI-43</w:t>
            </w:r>
          </w:p>
        </w:tc>
      </w:tr>
      <w:tr w:rsidR="00DA4E21" w:rsidRPr="00CC121D" w14:paraId="5730579A" w14:textId="77777777" w:rsidTr="00CD72A1">
        <w:trPr>
          <w:trHeight w:val="152"/>
          <w:jc w:val="center"/>
        </w:trPr>
        <w:tc>
          <w:tcPr>
            <w:tcW w:w="1171" w:type="dxa"/>
            <w:vMerge/>
            <w:tcBorders>
              <w:left w:val="double" w:sz="4" w:space="0" w:color="auto"/>
              <w:right w:val="single" w:sz="6" w:space="0" w:color="auto"/>
            </w:tcBorders>
            <w:vAlign w:val="center"/>
          </w:tcPr>
          <w:p w14:paraId="57305793" w14:textId="77777777" w:rsidR="00DA4E21" w:rsidRPr="007F4F91" w:rsidRDefault="00DA4E21" w:rsidP="007F4F91">
            <w:pPr>
              <w:widowControl w:val="0"/>
              <w:tabs>
                <w:tab w:val="left" w:pos="720"/>
              </w:tabs>
              <w:rPr>
                <w:rFonts w:cs="Arial"/>
                <w:sz w:val="18"/>
              </w:rPr>
            </w:pPr>
          </w:p>
        </w:tc>
        <w:tc>
          <w:tcPr>
            <w:tcW w:w="1852" w:type="dxa"/>
            <w:tcBorders>
              <w:left w:val="single" w:sz="6" w:space="0" w:color="auto"/>
              <w:right w:val="single" w:sz="6" w:space="0" w:color="auto"/>
            </w:tcBorders>
            <w:vAlign w:val="center"/>
          </w:tcPr>
          <w:p w14:paraId="57305794" w14:textId="77777777" w:rsidR="00DA4E21" w:rsidRPr="007F4F91" w:rsidRDefault="00DA4E21" w:rsidP="00D07AFA">
            <w:pPr>
              <w:widowControl w:val="0"/>
              <w:tabs>
                <w:tab w:val="left" w:pos="720"/>
              </w:tabs>
              <w:rPr>
                <w:rFonts w:cs="Arial"/>
                <w:sz w:val="18"/>
              </w:rPr>
            </w:pPr>
            <w:r w:rsidRPr="007F4F91">
              <w:rPr>
                <w:rFonts w:cs="Arial"/>
                <w:sz w:val="18"/>
              </w:rPr>
              <w:t>Earthworks</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57305795" w14:textId="77777777" w:rsidR="00DA4E21" w:rsidRPr="007F4F91" w:rsidRDefault="00DA4E21" w:rsidP="00EA3FAE">
            <w:pPr>
              <w:widowControl w:val="0"/>
              <w:tabs>
                <w:tab w:val="left" w:pos="720"/>
              </w:tabs>
              <w:jc w:val="center"/>
              <w:rPr>
                <w:rFonts w:cs="Arial"/>
                <w:sz w:val="18"/>
              </w:rPr>
            </w:pPr>
            <w:r w:rsidRPr="007F4F91">
              <w:rPr>
                <w:rFonts w:cs="Arial"/>
                <w:sz w:val="18"/>
              </w:rPr>
              <w:t>ECE.9</w:t>
            </w:r>
          </w:p>
        </w:tc>
        <w:tc>
          <w:tcPr>
            <w:tcW w:w="2501" w:type="dxa"/>
            <w:tcBorders>
              <w:top w:val="single" w:sz="6" w:space="0" w:color="auto"/>
              <w:left w:val="nil"/>
              <w:bottom w:val="single" w:sz="6" w:space="0" w:color="auto"/>
              <w:right w:val="single" w:sz="6" w:space="0" w:color="auto"/>
            </w:tcBorders>
            <w:tcMar>
              <w:top w:w="28" w:type="dxa"/>
              <w:left w:w="57" w:type="dxa"/>
              <w:bottom w:w="28" w:type="dxa"/>
              <w:right w:w="0" w:type="dxa"/>
            </w:tcMar>
            <w:vAlign w:val="center"/>
          </w:tcPr>
          <w:p w14:paraId="57305797" w14:textId="77777777" w:rsidR="00DA4E21" w:rsidRPr="007F4F91" w:rsidRDefault="00DA4E21" w:rsidP="00CD72A1">
            <w:pPr>
              <w:widowControl w:val="0"/>
              <w:tabs>
                <w:tab w:val="left" w:pos="720"/>
              </w:tabs>
              <w:rPr>
                <w:rFonts w:cs="Arial"/>
                <w:sz w:val="18"/>
              </w:rPr>
            </w:pPr>
          </w:p>
        </w:tc>
        <w:tc>
          <w:tcPr>
            <w:tcW w:w="1359" w:type="dxa"/>
            <w:tcBorders>
              <w:top w:val="single" w:sz="6" w:space="0" w:color="auto"/>
              <w:left w:val="nil"/>
              <w:bottom w:val="single" w:sz="6" w:space="0" w:color="auto"/>
              <w:right w:val="single" w:sz="6" w:space="0" w:color="auto"/>
            </w:tcBorders>
            <w:vAlign w:val="center"/>
          </w:tcPr>
          <w:p w14:paraId="57305798" w14:textId="77777777" w:rsidR="00DA4E21" w:rsidRPr="007F4F91" w:rsidRDefault="00DA4E21" w:rsidP="00CD72A1">
            <w:pPr>
              <w:widowControl w:val="0"/>
              <w:tabs>
                <w:tab w:val="left" w:pos="720"/>
              </w:tabs>
              <w:rPr>
                <w:rFonts w:cs="Arial"/>
                <w:sz w:val="18"/>
              </w:rPr>
            </w:pPr>
          </w:p>
        </w:tc>
        <w:tc>
          <w:tcPr>
            <w:tcW w:w="1268" w:type="dxa"/>
            <w:tcBorders>
              <w:top w:val="single" w:sz="6" w:space="0" w:color="auto"/>
              <w:left w:val="nil"/>
              <w:bottom w:val="single" w:sz="6" w:space="0" w:color="auto"/>
              <w:right w:val="double" w:sz="4" w:space="0" w:color="auto"/>
            </w:tcBorders>
            <w:vAlign w:val="center"/>
          </w:tcPr>
          <w:p w14:paraId="57305799" w14:textId="77777777" w:rsidR="00DA4E21" w:rsidRPr="007F4F91" w:rsidRDefault="00DA4E21" w:rsidP="00CD72A1">
            <w:pPr>
              <w:widowControl w:val="0"/>
              <w:tabs>
                <w:tab w:val="left" w:pos="720"/>
              </w:tabs>
              <w:rPr>
                <w:rFonts w:cs="Arial"/>
                <w:sz w:val="18"/>
              </w:rPr>
            </w:pPr>
          </w:p>
        </w:tc>
      </w:tr>
      <w:tr w:rsidR="00DA4E21" w:rsidRPr="00CC121D" w14:paraId="573057A2" w14:textId="77777777" w:rsidTr="00CD72A1">
        <w:trPr>
          <w:trHeight w:val="143"/>
          <w:jc w:val="center"/>
        </w:trPr>
        <w:tc>
          <w:tcPr>
            <w:tcW w:w="1171" w:type="dxa"/>
            <w:vMerge/>
            <w:tcBorders>
              <w:left w:val="double" w:sz="4" w:space="0" w:color="auto"/>
              <w:right w:val="single" w:sz="6" w:space="0" w:color="auto"/>
            </w:tcBorders>
            <w:vAlign w:val="center"/>
          </w:tcPr>
          <w:p w14:paraId="5730579B" w14:textId="77777777" w:rsidR="00DA4E21" w:rsidRPr="007F4F91" w:rsidRDefault="00DA4E21" w:rsidP="007F4F91">
            <w:pPr>
              <w:widowControl w:val="0"/>
              <w:tabs>
                <w:tab w:val="left" w:pos="720"/>
              </w:tabs>
              <w:rPr>
                <w:rFonts w:cs="Arial"/>
                <w:sz w:val="18"/>
              </w:rPr>
            </w:pPr>
          </w:p>
        </w:tc>
        <w:tc>
          <w:tcPr>
            <w:tcW w:w="1852" w:type="dxa"/>
            <w:tcBorders>
              <w:left w:val="single" w:sz="6" w:space="0" w:color="auto"/>
              <w:right w:val="single" w:sz="6" w:space="0" w:color="auto"/>
            </w:tcBorders>
            <w:vAlign w:val="center"/>
          </w:tcPr>
          <w:p w14:paraId="5730579C" w14:textId="6E482485" w:rsidR="00DA4E21" w:rsidRPr="007F4F91" w:rsidRDefault="006523CD" w:rsidP="00D07AFA">
            <w:pPr>
              <w:widowControl w:val="0"/>
              <w:tabs>
                <w:tab w:val="left" w:pos="720"/>
              </w:tabs>
              <w:rPr>
                <w:rFonts w:cs="Arial"/>
                <w:sz w:val="18"/>
              </w:rPr>
            </w:pPr>
            <w:r w:rsidRPr="007F4F91">
              <w:rPr>
                <w:rFonts w:cs="Arial"/>
                <w:sz w:val="18"/>
              </w:rPr>
              <w:t>Groundwater</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5730579D" w14:textId="77777777" w:rsidR="00DA4E21" w:rsidRPr="007F4F91" w:rsidRDefault="00DA4E21" w:rsidP="00EA3FAE">
            <w:pPr>
              <w:widowControl w:val="0"/>
              <w:tabs>
                <w:tab w:val="left" w:pos="720"/>
              </w:tabs>
              <w:jc w:val="center"/>
              <w:rPr>
                <w:rFonts w:cs="Arial"/>
                <w:sz w:val="18"/>
              </w:rPr>
            </w:pPr>
            <w:r w:rsidRPr="007F4F91">
              <w:rPr>
                <w:rFonts w:cs="Arial"/>
                <w:sz w:val="18"/>
              </w:rPr>
              <w:t>ECE.10</w:t>
            </w:r>
          </w:p>
        </w:tc>
        <w:tc>
          <w:tcPr>
            <w:tcW w:w="2501" w:type="dxa"/>
            <w:tcBorders>
              <w:top w:val="single" w:sz="6" w:space="0" w:color="auto"/>
              <w:left w:val="nil"/>
              <w:bottom w:val="single" w:sz="6" w:space="0" w:color="auto"/>
              <w:right w:val="single" w:sz="6" w:space="0" w:color="auto"/>
            </w:tcBorders>
            <w:tcMar>
              <w:top w:w="28" w:type="dxa"/>
              <w:left w:w="57" w:type="dxa"/>
              <w:bottom w:w="28" w:type="dxa"/>
              <w:right w:w="0" w:type="dxa"/>
            </w:tcMar>
            <w:vAlign w:val="center"/>
          </w:tcPr>
          <w:p w14:paraId="5730579F" w14:textId="77777777" w:rsidR="00DA4E21" w:rsidRPr="007F4F91" w:rsidRDefault="00DA4E21" w:rsidP="00CD72A1">
            <w:pPr>
              <w:widowControl w:val="0"/>
              <w:tabs>
                <w:tab w:val="left" w:pos="720"/>
              </w:tabs>
              <w:rPr>
                <w:rFonts w:cs="Arial"/>
                <w:sz w:val="18"/>
              </w:rPr>
            </w:pPr>
          </w:p>
        </w:tc>
        <w:tc>
          <w:tcPr>
            <w:tcW w:w="1359" w:type="dxa"/>
            <w:tcBorders>
              <w:top w:val="single" w:sz="6" w:space="0" w:color="auto"/>
              <w:left w:val="nil"/>
              <w:bottom w:val="single" w:sz="6" w:space="0" w:color="auto"/>
              <w:right w:val="single" w:sz="6" w:space="0" w:color="auto"/>
            </w:tcBorders>
            <w:vAlign w:val="center"/>
          </w:tcPr>
          <w:p w14:paraId="573057A0" w14:textId="77777777" w:rsidR="00DA4E21" w:rsidRPr="007F4F91" w:rsidRDefault="00DA4E21" w:rsidP="00CD72A1">
            <w:pPr>
              <w:widowControl w:val="0"/>
              <w:tabs>
                <w:tab w:val="left" w:pos="720"/>
              </w:tabs>
              <w:rPr>
                <w:rFonts w:cs="Arial"/>
                <w:sz w:val="18"/>
              </w:rPr>
            </w:pPr>
          </w:p>
        </w:tc>
        <w:tc>
          <w:tcPr>
            <w:tcW w:w="1268" w:type="dxa"/>
            <w:tcBorders>
              <w:top w:val="single" w:sz="6" w:space="0" w:color="auto"/>
              <w:left w:val="nil"/>
              <w:bottom w:val="single" w:sz="6" w:space="0" w:color="auto"/>
              <w:right w:val="double" w:sz="4" w:space="0" w:color="auto"/>
            </w:tcBorders>
            <w:vAlign w:val="center"/>
          </w:tcPr>
          <w:p w14:paraId="573057A1" w14:textId="77777777" w:rsidR="00DA4E21" w:rsidRPr="007F4F91" w:rsidRDefault="00DA4E21" w:rsidP="00CD72A1">
            <w:pPr>
              <w:widowControl w:val="0"/>
              <w:tabs>
                <w:tab w:val="left" w:pos="720"/>
              </w:tabs>
              <w:rPr>
                <w:rFonts w:cs="Arial"/>
                <w:sz w:val="18"/>
              </w:rPr>
            </w:pPr>
          </w:p>
        </w:tc>
      </w:tr>
      <w:tr w:rsidR="00DA4E21" w:rsidRPr="00CC121D" w14:paraId="573057AA" w14:textId="77777777" w:rsidTr="00CD72A1">
        <w:trPr>
          <w:trHeight w:val="302"/>
          <w:jc w:val="center"/>
        </w:trPr>
        <w:tc>
          <w:tcPr>
            <w:tcW w:w="1171" w:type="dxa"/>
            <w:vMerge/>
            <w:tcBorders>
              <w:left w:val="double" w:sz="4" w:space="0" w:color="auto"/>
              <w:right w:val="single" w:sz="6" w:space="0" w:color="auto"/>
            </w:tcBorders>
            <w:vAlign w:val="center"/>
          </w:tcPr>
          <w:p w14:paraId="573057A3" w14:textId="77777777" w:rsidR="00DA4E21" w:rsidRPr="007F4F91" w:rsidRDefault="00DA4E21" w:rsidP="007F4F91">
            <w:pPr>
              <w:widowControl w:val="0"/>
              <w:tabs>
                <w:tab w:val="left" w:pos="720"/>
              </w:tabs>
              <w:rPr>
                <w:rFonts w:cs="Arial"/>
                <w:sz w:val="18"/>
              </w:rPr>
            </w:pPr>
          </w:p>
        </w:tc>
        <w:tc>
          <w:tcPr>
            <w:tcW w:w="1852" w:type="dxa"/>
            <w:tcBorders>
              <w:left w:val="single" w:sz="6" w:space="0" w:color="auto"/>
              <w:right w:val="single" w:sz="6" w:space="0" w:color="auto"/>
            </w:tcBorders>
            <w:vAlign w:val="center"/>
          </w:tcPr>
          <w:p w14:paraId="573057A4" w14:textId="77777777" w:rsidR="00DA4E21" w:rsidRPr="007F4F91" w:rsidRDefault="00DA4E21" w:rsidP="007F4F91">
            <w:pPr>
              <w:widowControl w:val="0"/>
              <w:tabs>
                <w:tab w:val="left" w:pos="720"/>
              </w:tabs>
              <w:rPr>
                <w:rFonts w:cs="Arial"/>
                <w:sz w:val="18"/>
              </w:rPr>
            </w:pPr>
            <w:r w:rsidRPr="007F4F91">
              <w:rPr>
                <w:rFonts w:cs="Arial"/>
                <w:sz w:val="18"/>
              </w:rPr>
              <w:t>Naturally occurring gases</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573057A5" w14:textId="77777777" w:rsidR="00DA4E21" w:rsidRPr="007F4F91" w:rsidRDefault="00DA4E21" w:rsidP="00EA3FAE">
            <w:pPr>
              <w:widowControl w:val="0"/>
              <w:tabs>
                <w:tab w:val="left" w:pos="720"/>
              </w:tabs>
              <w:jc w:val="center"/>
              <w:rPr>
                <w:rFonts w:cs="Arial"/>
                <w:sz w:val="18"/>
              </w:rPr>
            </w:pPr>
            <w:r w:rsidRPr="007F4F91">
              <w:rPr>
                <w:rFonts w:cs="Arial"/>
                <w:sz w:val="18"/>
              </w:rPr>
              <w:t>ECE.11</w:t>
            </w:r>
          </w:p>
        </w:tc>
        <w:tc>
          <w:tcPr>
            <w:tcW w:w="2501" w:type="dxa"/>
            <w:tcBorders>
              <w:top w:val="single" w:sz="6" w:space="0" w:color="auto"/>
              <w:left w:val="nil"/>
              <w:bottom w:val="single" w:sz="6" w:space="0" w:color="auto"/>
              <w:right w:val="single" w:sz="6" w:space="0" w:color="auto"/>
            </w:tcBorders>
            <w:tcMar>
              <w:top w:w="28" w:type="dxa"/>
              <w:left w:w="57" w:type="dxa"/>
              <w:bottom w:w="28" w:type="dxa"/>
              <w:right w:w="0" w:type="dxa"/>
            </w:tcMar>
            <w:vAlign w:val="center"/>
          </w:tcPr>
          <w:p w14:paraId="573057A7" w14:textId="77777777" w:rsidR="00DA4E21" w:rsidRPr="007F4F91" w:rsidRDefault="00DA4E21" w:rsidP="00CD72A1">
            <w:pPr>
              <w:widowControl w:val="0"/>
              <w:tabs>
                <w:tab w:val="left" w:pos="720"/>
              </w:tabs>
              <w:rPr>
                <w:rFonts w:cs="Arial"/>
                <w:sz w:val="18"/>
              </w:rPr>
            </w:pPr>
          </w:p>
        </w:tc>
        <w:tc>
          <w:tcPr>
            <w:tcW w:w="1359" w:type="dxa"/>
            <w:tcBorders>
              <w:top w:val="single" w:sz="6" w:space="0" w:color="auto"/>
              <w:left w:val="nil"/>
              <w:bottom w:val="single" w:sz="6" w:space="0" w:color="auto"/>
              <w:right w:val="single" w:sz="6" w:space="0" w:color="auto"/>
            </w:tcBorders>
            <w:vAlign w:val="center"/>
          </w:tcPr>
          <w:p w14:paraId="573057A8" w14:textId="77777777" w:rsidR="00DA4E21" w:rsidRPr="007F4F91" w:rsidRDefault="00DA4E21" w:rsidP="00CD72A1">
            <w:pPr>
              <w:widowControl w:val="0"/>
              <w:tabs>
                <w:tab w:val="left" w:pos="720"/>
              </w:tabs>
              <w:rPr>
                <w:rFonts w:cs="Arial"/>
                <w:sz w:val="18"/>
              </w:rPr>
            </w:pPr>
          </w:p>
        </w:tc>
        <w:tc>
          <w:tcPr>
            <w:tcW w:w="1268" w:type="dxa"/>
            <w:tcBorders>
              <w:top w:val="single" w:sz="6" w:space="0" w:color="auto"/>
              <w:left w:val="nil"/>
              <w:bottom w:val="single" w:sz="6" w:space="0" w:color="auto"/>
              <w:right w:val="double" w:sz="4" w:space="0" w:color="auto"/>
            </w:tcBorders>
            <w:vAlign w:val="center"/>
          </w:tcPr>
          <w:p w14:paraId="573057A9" w14:textId="77777777" w:rsidR="00DA4E21" w:rsidRPr="007F4F91" w:rsidRDefault="00DA4E21" w:rsidP="00CD72A1">
            <w:pPr>
              <w:widowControl w:val="0"/>
              <w:tabs>
                <w:tab w:val="left" w:pos="720"/>
              </w:tabs>
              <w:rPr>
                <w:rFonts w:cs="Arial"/>
                <w:sz w:val="18"/>
              </w:rPr>
            </w:pPr>
          </w:p>
        </w:tc>
      </w:tr>
      <w:tr w:rsidR="00DA4E21" w:rsidRPr="00CC121D" w14:paraId="573057B2" w14:textId="77777777" w:rsidTr="00CD72A1">
        <w:trPr>
          <w:jc w:val="center"/>
        </w:trPr>
        <w:tc>
          <w:tcPr>
            <w:tcW w:w="1171" w:type="dxa"/>
            <w:vMerge/>
            <w:tcBorders>
              <w:left w:val="double" w:sz="4" w:space="0" w:color="auto"/>
              <w:right w:val="single" w:sz="6" w:space="0" w:color="auto"/>
            </w:tcBorders>
            <w:vAlign w:val="center"/>
          </w:tcPr>
          <w:p w14:paraId="573057AB" w14:textId="77777777" w:rsidR="00DA4E21" w:rsidRPr="007F4F91" w:rsidRDefault="00DA4E21" w:rsidP="007F4F91">
            <w:pPr>
              <w:widowControl w:val="0"/>
              <w:tabs>
                <w:tab w:val="left" w:pos="720"/>
              </w:tabs>
              <w:rPr>
                <w:rFonts w:cs="Arial"/>
                <w:sz w:val="18"/>
              </w:rPr>
            </w:pPr>
          </w:p>
        </w:tc>
        <w:tc>
          <w:tcPr>
            <w:tcW w:w="1852" w:type="dxa"/>
            <w:tcBorders>
              <w:left w:val="single" w:sz="6" w:space="0" w:color="auto"/>
              <w:right w:val="single" w:sz="6" w:space="0" w:color="auto"/>
            </w:tcBorders>
            <w:vAlign w:val="center"/>
          </w:tcPr>
          <w:p w14:paraId="573057AC" w14:textId="77777777" w:rsidR="00DA4E21" w:rsidRPr="007F4F91" w:rsidRDefault="00DA4E21" w:rsidP="007F4F91">
            <w:pPr>
              <w:widowControl w:val="0"/>
              <w:tabs>
                <w:tab w:val="left" w:pos="720"/>
              </w:tabs>
              <w:rPr>
                <w:rFonts w:cs="Arial"/>
                <w:sz w:val="18"/>
              </w:rPr>
            </w:pPr>
            <w:r w:rsidRPr="007F4F91">
              <w:rPr>
                <w:rFonts w:cs="Arial"/>
                <w:sz w:val="18"/>
              </w:rPr>
              <w:t>Structural analysis and model testing</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573057AD" w14:textId="77777777" w:rsidR="00DA4E21" w:rsidRPr="007F4F91" w:rsidRDefault="00DA4E21" w:rsidP="00EA3FAE">
            <w:pPr>
              <w:widowControl w:val="0"/>
              <w:tabs>
                <w:tab w:val="left" w:pos="720"/>
              </w:tabs>
              <w:jc w:val="center"/>
              <w:rPr>
                <w:rFonts w:cs="Arial"/>
                <w:sz w:val="18"/>
              </w:rPr>
            </w:pPr>
            <w:r w:rsidRPr="007F4F91">
              <w:rPr>
                <w:rFonts w:cs="Arial"/>
                <w:sz w:val="18"/>
              </w:rPr>
              <w:t>ECE.12</w:t>
            </w:r>
          </w:p>
        </w:tc>
        <w:tc>
          <w:tcPr>
            <w:tcW w:w="2501" w:type="dxa"/>
            <w:tcBorders>
              <w:top w:val="single" w:sz="6" w:space="0" w:color="auto"/>
              <w:left w:val="nil"/>
              <w:bottom w:val="single" w:sz="6" w:space="0" w:color="auto"/>
              <w:right w:val="single" w:sz="6" w:space="0" w:color="auto"/>
            </w:tcBorders>
            <w:tcMar>
              <w:top w:w="28" w:type="dxa"/>
              <w:left w:w="57" w:type="dxa"/>
              <w:bottom w:w="28" w:type="dxa"/>
              <w:right w:w="0" w:type="dxa"/>
            </w:tcMar>
            <w:vAlign w:val="center"/>
          </w:tcPr>
          <w:p w14:paraId="573057AF" w14:textId="77777777" w:rsidR="00DA4E21" w:rsidRPr="007F4F91" w:rsidRDefault="00DA4E21" w:rsidP="00CD72A1">
            <w:pPr>
              <w:widowControl w:val="0"/>
              <w:tabs>
                <w:tab w:val="left" w:pos="720"/>
              </w:tabs>
              <w:rPr>
                <w:rFonts w:cs="Arial"/>
                <w:sz w:val="18"/>
              </w:rPr>
            </w:pPr>
          </w:p>
        </w:tc>
        <w:tc>
          <w:tcPr>
            <w:tcW w:w="1359" w:type="dxa"/>
            <w:tcBorders>
              <w:top w:val="single" w:sz="6" w:space="0" w:color="auto"/>
              <w:left w:val="nil"/>
              <w:bottom w:val="single" w:sz="6" w:space="0" w:color="auto"/>
              <w:right w:val="single" w:sz="6" w:space="0" w:color="auto"/>
            </w:tcBorders>
            <w:vAlign w:val="center"/>
          </w:tcPr>
          <w:p w14:paraId="573057B0" w14:textId="77777777" w:rsidR="00DA4E21" w:rsidRPr="007F4F91" w:rsidRDefault="00DA4E21" w:rsidP="00CD72A1">
            <w:pPr>
              <w:widowControl w:val="0"/>
              <w:tabs>
                <w:tab w:val="left" w:pos="720"/>
              </w:tabs>
              <w:rPr>
                <w:rFonts w:cs="Arial"/>
                <w:sz w:val="18"/>
              </w:rPr>
            </w:pPr>
          </w:p>
        </w:tc>
        <w:tc>
          <w:tcPr>
            <w:tcW w:w="1268" w:type="dxa"/>
            <w:tcBorders>
              <w:top w:val="single" w:sz="6" w:space="0" w:color="auto"/>
              <w:left w:val="nil"/>
              <w:bottom w:val="single" w:sz="6" w:space="0" w:color="auto"/>
              <w:right w:val="double" w:sz="4" w:space="0" w:color="auto"/>
            </w:tcBorders>
            <w:vAlign w:val="center"/>
          </w:tcPr>
          <w:p w14:paraId="573057B1" w14:textId="77777777" w:rsidR="00DA4E21" w:rsidRPr="007F4F91" w:rsidRDefault="00DA4E21" w:rsidP="00CD72A1">
            <w:pPr>
              <w:widowControl w:val="0"/>
              <w:tabs>
                <w:tab w:val="left" w:pos="720"/>
              </w:tabs>
              <w:rPr>
                <w:rFonts w:cs="Arial"/>
                <w:sz w:val="18"/>
              </w:rPr>
            </w:pPr>
          </w:p>
        </w:tc>
      </w:tr>
      <w:tr w:rsidR="00DA4E21" w:rsidRPr="00CC121D" w14:paraId="573057BA" w14:textId="77777777" w:rsidTr="00CD72A1">
        <w:trPr>
          <w:trHeight w:val="189"/>
          <w:jc w:val="center"/>
        </w:trPr>
        <w:tc>
          <w:tcPr>
            <w:tcW w:w="1171" w:type="dxa"/>
            <w:vMerge/>
            <w:tcBorders>
              <w:left w:val="double" w:sz="4" w:space="0" w:color="auto"/>
              <w:right w:val="single" w:sz="6" w:space="0" w:color="auto"/>
            </w:tcBorders>
            <w:vAlign w:val="center"/>
          </w:tcPr>
          <w:p w14:paraId="573057B3" w14:textId="77777777" w:rsidR="00DA4E21" w:rsidRPr="007F4F91" w:rsidRDefault="00DA4E21" w:rsidP="007F4F91">
            <w:pPr>
              <w:widowControl w:val="0"/>
              <w:tabs>
                <w:tab w:val="left" w:pos="720"/>
              </w:tabs>
              <w:rPr>
                <w:rFonts w:cs="Arial"/>
                <w:sz w:val="18"/>
              </w:rPr>
            </w:pPr>
          </w:p>
        </w:tc>
        <w:tc>
          <w:tcPr>
            <w:tcW w:w="1852" w:type="dxa"/>
            <w:tcBorders>
              <w:left w:val="single" w:sz="6" w:space="0" w:color="auto"/>
              <w:right w:val="single" w:sz="6" w:space="0" w:color="auto"/>
            </w:tcBorders>
            <w:vAlign w:val="center"/>
          </w:tcPr>
          <w:p w14:paraId="573057B4" w14:textId="77777777" w:rsidR="00DA4E21" w:rsidRPr="007F4F91" w:rsidRDefault="00DA4E21" w:rsidP="00D07AFA">
            <w:pPr>
              <w:widowControl w:val="0"/>
              <w:tabs>
                <w:tab w:val="left" w:pos="720"/>
              </w:tabs>
              <w:rPr>
                <w:rFonts w:cs="Arial"/>
                <w:sz w:val="18"/>
              </w:rPr>
            </w:pPr>
            <w:r w:rsidRPr="007F4F91">
              <w:rPr>
                <w:rFonts w:cs="Arial"/>
                <w:sz w:val="18"/>
              </w:rPr>
              <w:t>Use of data</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573057B5" w14:textId="40D32F33" w:rsidR="00DA4E21" w:rsidRPr="007F4F91" w:rsidRDefault="00EA3FAE" w:rsidP="00EA3FAE">
            <w:pPr>
              <w:widowControl w:val="0"/>
              <w:tabs>
                <w:tab w:val="left" w:pos="720"/>
              </w:tabs>
              <w:jc w:val="center"/>
              <w:rPr>
                <w:rFonts w:cs="Arial"/>
                <w:sz w:val="18"/>
              </w:rPr>
            </w:pPr>
            <w:r>
              <w:rPr>
                <w:rFonts w:cs="Arial"/>
                <w:sz w:val="18"/>
              </w:rPr>
              <w:t>E</w:t>
            </w:r>
            <w:r w:rsidR="00DA4E21" w:rsidRPr="007F4F91">
              <w:rPr>
                <w:rFonts w:cs="Arial"/>
                <w:sz w:val="18"/>
              </w:rPr>
              <w:t>CE.13</w:t>
            </w:r>
          </w:p>
        </w:tc>
        <w:tc>
          <w:tcPr>
            <w:tcW w:w="2501" w:type="dxa"/>
            <w:tcBorders>
              <w:top w:val="single" w:sz="6" w:space="0" w:color="auto"/>
              <w:left w:val="nil"/>
              <w:bottom w:val="single" w:sz="6" w:space="0" w:color="auto"/>
              <w:right w:val="single" w:sz="6" w:space="0" w:color="auto"/>
            </w:tcBorders>
            <w:tcMar>
              <w:top w:w="28" w:type="dxa"/>
              <w:left w:w="57" w:type="dxa"/>
              <w:bottom w:w="28" w:type="dxa"/>
              <w:right w:w="0" w:type="dxa"/>
            </w:tcMar>
            <w:vAlign w:val="center"/>
          </w:tcPr>
          <w:p w14:paraId="573057B7" w14:textId="77777777" w:rsidR="00DA4E21" w:rsidRPr="007F4F91" w:rsidRDefault="00DA4E21" w:rsidP="00CD72A1">
            <w:pPr>
              <w:widowControl w:val="0"/>
              <w:tabs>
                <w:tab w:val="left" w:pos="720"/>
              </w:tabs>
              <w:rPr>
                <w:rFonts w:cs="Arial"/>
                <w:sz w:val="18"/>
              </w:rPr>
            </w:pPr>
          </w:p>
        </w:tc>
        <w:tc>
          <w:tcPr>
            <w:tcW w:w="1359" w:type="dxa"/>
            <w:tcBorders>
              <w:top w:val="single" w:sz="6" w:space="0" w:color="auto"/>
              <w:left w:val="nil"/>
              <w:bottom w:val="single" w:sz="6" w:space="0" w:color="auto"/>
              <w:right w:val="single" w:sz="6" w:space="0" w:color="auto"/>
            </w:tcBorders>
            <w:vAlign w:val="center"/>
          </w:tcPr>
          <w:p w14:paraId="573057B8" w14:textId="77777777" w:rsidR="00DA4E21" w:rsidRPr="007F4F91" w:rsidRDefault="00DA4E21" w:rsidP="00CD72A1">
            <w:pPr>
              <w:widowControl w:val="0"/>
              <w:tabs>
                <w:tab w:val="left" w:pos="720"/>
              </w:tabs>
              <w:rPr>
                <w:rFonts w:cs="Arial"/>
                <w:sz w:val="18"/>
              </w:rPr>
            </w:pPr>
          </w:p>
        </w:tc>
        <w:tc>
          <w:tcPr>
            <w:tcW w:w="1268" w:type="dxa"/>
            <w:tcBorders>
              <w:top w:val="single" w:sz="6" w:space="0" w:color="auto"/>
              <w:left w:val="nil"/>
              <w:bottom w:val="single" w:sz="6" w:space="0" w:color="auto"/>
              <w:right w:val="double" w:sz="4" w:space="0" w:color="auto"/>
            </w:tcBorders>
            <w:vAlign w:val="center"/>
          </w:tcPr>
          <w:p w14:paraId="573057B9" w14:textId="77777777" w:rsidR="00DA4E21" w:rsidRPr="007F4F91" w:rsidRDefault="00DA4E21" w:rsidP="00CD72A1">
            <w:pPr>
              <w:widowControl w:val="0"/>
              <w:tabs>
                <w:tab w:val="left" w:pos="720"/>
              </w:tabs>
              <w:rPr>
                <w:rFonts w:cs="Arial"/>
                <w:sz w:val="18"/>
              </w:rPr>
            </w:pPr>
          </w:p>
        </w:tc>
      </w:tr>
      <w:tr w:rsidR="00DA4E21" w:rsidRPr="00CC121D" w14:paraId="573057C2" w14:textId="77777777" w:rsidTr="00CD72A1">
        <w:trPr>
          <w:jc w:val="center"/>
        </w:trPr>
        <w:tc>
          <w:tcPr>
            <w:tcW w:w="1171" w:type="dxa"/>
            <w:vMerge w:val="restart"/>
            <w:tcBorders>
              <w:left w:val="double" w:sz="4" w:space="0" w:color="auto"/>
              <w:right w:val="single" w:sz="6" w:space="0" w:color="auto"/>
            </w:tcBorders>
            <w:vAlign w:val="center"/>
          </w:tcPr>
          <w:p w14:paraId="573057BB" w14:textId="77777777" w:rsidR="00DA4E21" w:rsidRPr="007F4F91" w:rsidRDefault="00DA4E21" w:rsidP="007F4F91">
            <w:pPr>
              <w:widowControl w:val="0"/>
              <w:tabs>
                <w:tab w:val="left" w:pos="720"/>
              </w:tabs>
              <w:rPr>
                <w:rFonts w:cs="Arial"/>
                <w:sz w:val="18"/>
              </w:rPr>
            </w:pPr>
            <w:r w:rsidRPr="007F4F91">
              <w:rPr>
                <w:rFonts w:cs="Arial"/>
                <w:sz w:val="18"/>
              </w:rPr>
              <w:t>Engineering principles: civil engineering: structural analysis and model testing</w:t>
            </w:r>
          </w:p>
        </w:tc>
        <w:tc>
          <w:tcPr>
            <w:tcW w:w="1852" w:type="dxa"/>
            <w:tcBorders>
              <w:left w:val="single" w:sz="6" w:space="0" w:color="auto"/>
              <w:right w:val="single" w:sz="6" w:space="0" w:color="auto"/>
            </w:tcBorders>
            <w:vAlign w:val="center"/>
          </w:tcPr>
          <w:p w14:paraId="573057BC" w14:textId="77777777" w:rsidR="00DA4E21" w:rsidRPr="007F4F91" w:rsidRDefault="00DA4E21" w:rsidP="007F4F91">
            <w:pPr>
              <w:widowControl w:val="0"/>
              <w:tabs>
                <w:tab w:val="left" w:pos="720"/>
              </w:tabs>
              <w:rPr>
                <w:rFonts w:cs="Arial"/>
                <w:sz w:val="18"/>
              </w:rPr>
            </w:pPr>
            <w:r w:rsidRPr="007F4F91">
              <w:rPr>
                <w:rFonts w:cs="Arial"/>
                <w:sz w:val="18"/>
              </w:rPr>
              <w:t>Sensitivity studies</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573057BD" w14:textId="77777777" w:rsidR="00DA4E21" w:rsidRPr="007F4F91" w:rsidRDefault="00DA4E21" w:rsidP="00EA3FAE">
            <w:pPr>
              <w:widowControl w:val="0"/>
              <w:tabs>
                <w:tab w:val="left" w:pos="720"/>
              </w:tabs>
              <w:jc w:val="center"/>
              <w:rPr>
                <w:rFonts w:cs="Arial"/>
                <w:sz w:val="18"/>
              </w:rPr>
            </w:pPr>
            <w:r w:rsidRPr="007F4F91">
              <w:rPr>
                <w:rFonts w:cs="Arial"/>
                <w:sz w:val="18"/>
              </w:rPr>
              <w:t>ECE.14</w:t>
            </w:r>
          </w:p>
        </w:tc>
        <w:tc>
          <w:tcPr>
            <w:tcW w:w="2501" w:type="dxa"/>
            <w:tcBorders>
              <w:top w:val="single" w:sz="6" w:space="0" w:color="auto"/>
              <w:left w:val="nil"/>
              <w:bottom w:val="single" w:sz="6" w:space="0" w:color="auto"/>
              <w:right w:val="single" w:sz="6" w:space="0" w:color="auto"/>
            </w:tcBorders>
            <w:tcMar>
              <w:top w:w="28" w:type="dxa"/>
              <w:left w:w="57" w:type="dxa"/>
              <w:bottom w:w="28" w:type="dxa"/>
              <w:right w:w="0" w:type="dxa"/>
            </w:tcMar>
            <w:vAlign w:val="center"/>
          </w:tcPr>
          <w:p w14:paraId="573057BF" w14:textId="77777777" w:rsidR="00DA4E21" w:rsidRPr="007F4F91" w:rsidRDefault="00DA4E21" w:rsidP="00CD72A1">
            <w:pPr>
              <w:widowControl w:val="0"/>
              <w:tabs>
                <w:tab w:val="left" w:pos="720"/>
              </w:tabs>
              <w:rPr>
                <w:rFonts w:cs="Arial"/>
                <w:sz w:val="18"/>
              </w:rPr>
            </w:pPr>
          </w:p>
        </w:tc>
        <w:tc>
          <w:tcPr>
            <w:tcW w:w="1359" w:type="dxa"/>
            <w:tcBorders>
              <w:top w:val="single" w:sz="6" w:space="0" w:color="auto"/>
              <w:left w:val="nil"/>
              <w:bottom w:val="single" w:sz="6" w:space="0" w:color="auto"/>
              <w:right w:val="single" w:sz="6" w:space="0" w:color="auto"/>
            </w:tcBorders>
            <w:vAlign w:val="center"/>
          </w:tcPr>
          <w:p w14:paraId="573057C0" w14:textId="77777777" w:rsidR="00DA4E21" w:rsidRPr="007F4F91" w:rsidRDefault="00DA4E21" w:rsidP="00CD72A1">
            <w:pPr>
              <w:widowControl w:val="0"/>
              <w:tabs>
                <w:tab w:val="left" w:pos="720"/>
              </w:tabs>
              <w:rPr>
                <w:rFonts w:cs="Arial"/>
                <w:sz w:val="18"/>
              </w:rPr>
            </w:pPr>
          </w:p>
        </w:tc>
        <w:tc>
          <w:tcPr>
            <w:tcW w:w="1268" w:type="dxa"/>
            <w:tcBorders>
              <w:top w:val="single" w:sz="6" w:space="0" w:color="auto"/>
              <w:left w:val="nil"/>
              <w:bottom w:val="single" w:sz="6" w:space="0" w:color="auto"/>
              <w:right w:val="double" w:sz="4" w:space="0" w:color="auto"/>
            </w:tcBorders>
            <w:vAlign w:val="center"/>
          </w:tcPr>
          <w:p w14:paraId="573057C1" w14:textId="77777777" w:rsidR="00DA4E21" w:rsidRPr="007F4F91" w:rsidRDefault="00DA4E21" w:rsidP="00CD72A1">
            <w:pPr>
              <w:widowControl w:val="0"/>
              <w:tabs>
                <w:tab w:val="left" w:pos="720"/>
              </w:tabs>
              <w:rPr>
                <w:rFonts w:cs="Arial"/>
                <w:sz w:val="18"/>
              </w:rPr>
            </w:pPr>
          </w:p>
        </w:tc>
      </w:tr>
      <w:tr w:rsidR="00DA4E21" w:rsidRPr="00CC121D" w14:paraId="573057CA" w14:textId="77777777" w:rsidTr="00CD72A1">
        <w:trPr>
          <w:jc w:val="center"/>
        </w:trPr>
        <w:tc>
          <w:tcPr>
            <w:tcW w:w="1171" w:type="dxa"/>
            <w:vMerge/>
            <w:tcBorders>
              <w:left w:val="double" w:sz="4" w:space="0" w:color="auto"/>
              <w:right w:val="single" w:sz="6" w:space="0" w:color="auto"/>
            </w:tcBorders>
            <w:vAlign w:val="center"/>
          </w:tcPr>
          <w:p w14:paraId="573057C3" w14:textId="77777777" w:rsidR="00DA4E21" w:rsidRPr="007F4F91" w:rsidRDefault="00DA4E21" w:rsidP="007F4F91">
            <w:pPr>
              <w:widowControl w:val="0"/>
              <w:tabs>
                <w:tab w:val="left" w:pos="720"/>
              </w:tabs>
              <w:rPr>
                <w:rFonts w:cs="Arial"/>
                <w:sz w:val="18"/>
              </w:rPr>
            </w:pPr>
          </w:p>
        </w:tc>
        <w:tc>
          <w:tcPr>
            <w:tcW w:w="1852" w:type="dxa"/>
            <w:tcBorders>
              <w:left w:val="single" w:sz="6" w:space="0" w:color="auto"/>
              <w:right w:val="single" w:sz="6" w:space="0" w:color="auto"/>
            </w:tcBorders>
            <w:vAlign w:val="center"/>
          </w:tcPr>
          <w:p w14:paraId="573057C4" w14:textId="77777777" w:rsidR="00DA4E21" w:rsidRPr="007F4F91" w:rsidRDefault="00DA4E21" w:rsidP="007F4F91">
            <w:pPr>
              <w:widowControl w:val="0"/>
              <w:tabs>
                <w:tab w:val="left" w:pos="720"/>
              </w:tabs>
              <w:rPr>
                <w:rFonts w:cs="Arial"/>
                <w:sz w:val="18"/>
              </w:rPr>
            </w:pPr>
            <w:r w:rsidRPr="007F4F91">
              <w:rPr>
                <w:rFonts w:cs="Arial"/>
                <w:sz w:val="18"/>
              </w:rPr>
              <w:t>Validation of methods</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573057C5" w14:textId="77777777" w:rsidR="00DA4E21" w:rsidRPr="007F4F91" w:rsidRDefault="00DA4E21" w:rsidP="00EA3FAE">
            <w:pPr>
              <w:widowControl w:val="0"/>
              <w:tabs>
                <w:tab w:val="left" w:pos="720"/>
              </w:tabs>
              <w:jc w:val="center"/>
              <w:rPr>
                <w:rFonts w:cs="Arial"/>
                <w:sz w:val="18"/>
              </w:rPr>
            </w:pPr>
            <w:r w:rsidRPr="007F4F91">
              <w:rPr>
                <w:rFonts w:cs="Arial"/>
                <w:sz w:val="18"/>
              </w:rPr>
              <w:t>ECE.15</w:t>
            </w:r>
          </w:p>
        </w:tc>
        <w:tc>
          <w:tcPr>
            <w:tcW w:w="2501" w:type="dxa"/>
            <w:tcBorders>
              <w:top w:val="single" w:sz="6" w:space="0" w:color="auto"/>
              <w:left w:val="nil"/>
              <w:bottom w:val="single" w:sz="6" w:space="0" w:color="auto"/>
              <w:right w:val="single" w:sz="6" w:space="0" w:color="auto"/>
            </w:tcBorders>
            <w:tcMar>
              <w:top w:w="28" w:type="dxa"/>
              <w:left w:w="57" w:type="dxa"/>
              <w:bottom w:w="28" w:type="dxa"/>
              <w:right w:w="0" w:type="dxa"/>
            </w:tcMar>
            <w:vAlign w:val="center"/>
          </w:tcPr>
          <w:p w14:paraId="573057C7" w14:textId="77777777" w:rsidR="00DA4E21" w:rsidRPr="007F4F91" w:rsidRDefault="00DA4E21" w:rsidP="00CD72A1">
            <w:pPr>
              <w:widowControl w:val="0"/>
              <w:tabs>
                <w:tab w:val="left" w:pos="720"/>
              </w:tabs>
              <w:rPr>
                <w:rFonts w:cs="Arial"/>
                <w:sz w:val="18"/>
              </w:rPr>
            </w:pPr>
          </w:p>
        </w:tc>
        <w:tc>
          <w:tcPr>
            <w:tcW w:w="1359" w:type="dxa"/>
            <w:tcBorders>
              <w:top w:val="single" w:sz="6" w:space="0" w:color="auto"/>
              <w:left w:val="nil"/>
              <w:bottom w:val="single" w:sz="6" w:space="0" w:color="auto"/>
              <w:right w:val="single" w:sz="6" w:space="0" w:color="auto"/>
            </w:tcBorders>
            <w:vAlign w:val="center"/>
          </w:tcPr>
          <w:p w14:paraId="573057C8" w14:textId="77777777" w:rsidR="00DA4E21" w:rsidRPr="007F4F91" w:rsidRDefault="00DA4E21" w:rsidP="00CD72A1">
            <w:pPr>
              <w:widowControl w:val="0"/>
              <w:tabs>
                <w:tab w:val="left" w:pos="720"/>
              </w:tabs>
              <w:rPr>
                <w:rFonts w:cs="Arial"/>
                <w:sz w:val="18"/>
              </w:rPr>
            </w:pPr>
          </w:p>
        </w:tc>
        <w:tc>
          <w:tcPr>
            <w:tcW w:w="1268" w:type="dxa"/>
            <w:tcBorders>
              <w:top w:val="single" w:sz="6" w:space="0" w:color="auto"/>
              <w:left w:val="nil"/>
              <w:bottom w:val="single" w:sz="6" w:space="0" w:color="auto"/>
              <w:right w:val="double" w:sz="4" w:space="0" w:color="auto"/>
            </w:tcBorders>
            <w:vAlign w:val="center"/>
          </w:tcPr>
          <w:p w14:paraId="573057C9" w14:textId="77777777" w:rsidR="00DA4E21" w:rsidRPr="007F4F91" w:rsidRDefault="00DA4E21" w:rsidP="00CD72A1">
            <w:pPr>
              <w:widowControl w:val="0"/>
              <w:tabs>
                <w:tab w:val="left" w:pos="720"/>
              </w:tabs>
              <w:rPr>
                <w:rFonts w:cs="Arial"/>
                <w:sz w:val="18"/>
              </w:rPr>
            </w:pPr>
          </w:p>
        </w:tc>
      </w:tr>
      <w:tr w:rsidR="00DA4E21" w:rsidRPr="00CC121D" w14:paraId="573057D2" w14:textId="77777777" w:rsidTr="00CD72A1">
        <w:trPr>
          <w:trHeight w:val="343"/>
          <w:jc w:val="center"/>
        </w:trPr>
        <w:tc>
          <w:tcPr>
            <w:tcW w:w="1171" w:type="dxa"/>
            <w:vMerge/>
            <w:tcBorders>
              <w:left w:val="double" w:sz="4" w:space="0" w:color="auto"/>
              <w:right w:val="single" w:sz="6" w:space="0" w:color="auto"/>
            </w:tcBorders>
            <w:vAlign w:val="center"/>
          </w:tcPr>
          <w:p w14:paraId="573057CB" w14:textId="77777777" w:rsidR="00DA4E21" w:rsidRPr="007F4F91" w:rsidRDefault="00DA4E21" w:rsidP="007F4F91">
            <w:pPr>
              <w:widowControl w:val="0"/>
              <w:tabs>
                <w:tab w:val="left" w:pos="720"/>
              </w:tabs>
              <w:rPr>
                <w:rFonts w:cs="Arial"/>
                <w:sz w:val="18"/>
              </w:rPr>
            </w:pPr>
          </w:p>
        </w:tc>
        <w:tc>
          <w:tcPr>
            <w:tcW w:w="1852" w:type="dxa"/>
            <w:tcBorders>
              <w:left w:val="single" w:sz="6" w:space="0" w:color="auto"/>
              <w:right w:val="single" w:sz="6" w:space="0" w:color="auto"/>
            </w:tcBorders>
            <w:vAlign w:val="center"/>
          </w:tcPr>
          <w:p w14:paraId="573057CC" w14:textId="77777777" w:rsidR="00DA4E21" w:rsidRPr="007F4F91" w:rsidRDefault="00DA4E21" w:rsidP="007F4F91">
            <w:pPr>
              <w:widowControl w:val="0"/>
              <w:tabs>
                <w:tab w:val="left" w:pos="720"/>
              </w:tabs>
              <w:rPr>
                <w:rFonts w:cs="Arial"/>
                <w:sz w:val="18"/>
              </w:rPr>
            </w:pPr>
            <w:r w:rsidRPr="007F4F91">
              <w:rPr>
                <w:rFonts w:cs="Arial"/>
                <w:sz w:val="18"/>
              </w:rPr>
              <w:t>Materials</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573057CD" w14:textId="77777777" w:rsidR="00DA4E21" w:rsidRPr="007F4F91" w:rsidRDefault="00DA4E21" w:rsidP="00EA3FAE">
            <w:pPr>
              <w:widowControl w:val="0"/>
              <w:tabs>
                <w:tab w:val="left" w:pos="720"/>
              </w:tabs>
              <w:jc w:val="center"/>
              <w:rPr>
                <w:rFonts w:cs="Arial"/>
                <w:sz w:val="18"/>
              </w:rPr>
            </w:pPr>
            <w:r w:rsidRPr="007F4F91">
              <w:rPr>
                <w:rFonts w:cs="Arial"/>
                <w:sz w:val="18"/>
              </w:rPr>
              <w:t>ECE.16</w:t>
            </w:r>
          </w:p>
        </w:tc>
        <w:tc>
          <w:tcPr>
            <w:tcW w:w="2501" w:type="dxa"/>
            <w:tcBorders>
              <w:top w:val="single" w:sz="6" w:space="0" w:color="auto"/>
              <w:left w:val="nil"/>
              <w:bottom w:val="single" w:sz="6" w:space="0" w:color="auto"/>
              <w:right w:val="single" w:sz="6" w:space="0" w:color="auto"/>
            </w:tcBorders>
            <w:tcMar>
              <w:top w:w="28" w:type="dxa"/>
              <w:left w:w="57" w:type="dxa"/>
              <w:bottom w:w="28" w:type="dxa"/>
              <w:right w:w="0" w:type="dxa"/>
            </w:tcMar>
            <w:vAlign w:val="center"/>
          </w:tcPr>
          <w:p w14:paraId="573057CF" w14:textId="77777777" w:rsidR="00DA4E21" w:rsidRPr="007F4F91" w:rsidRDefault="00DA4E21" w:rsidP="00CD72A1">
            <w:pPr>
              <w:widowControl w:val="0"/>
              <w:tabs>
                <w:tab w:val="left" w:pos="720"/>
              </w:tabs>
              <w:rPr>
                <w:rFonts w:cs="Arial"/>
                <w:sz w:val="18"/>
              </w:rPr>
            </w:pPr>
          </w:p>
        </w:tc>
        <w:tc>
          <w:tcPr>
            <w:tcW w:w="1359" w:type="dxa"/>
            <w:tcBorders>
              <w:top w:val="single" w:sz="6" w:space="0" w:color="auto"/>
              <w:left w:val="nil"/>
              <w:bottom w:val="single" w:sz="6" w:space="0" w:color="auto"/>
              <w:right w:val="single" w:sz="6" w:space="0" w:color="auto"/>
            </w:tcBorders>
            <w:vAlign w:val="center"/>
          </w:tcPr>
          <w:p w14:paraId="573057D0" w14:textId="77777777" w:rsidR="00DA4E21" w:rsidRPr="007F4F91" w:rsidRDefault="00DA4E21" w:rsidP="00CD72A1">
            <w:pPr>
              <w:widowControl w:val="0"/>
              <w:tabs>
                <w:tab w:val="left" w:pos="720"/>
              </w:tabs>
              <w:rPr>
                <w:rFonts w:cs="Arial"/>
                <w:sz w:val="18"/>
              </w:rPr>
            </w:pPr>
          </w:p>
        </w:tc>
        <w:tc>
          <w:tcPr>
            <w:tcW w:w="1268" w:type="dxa"/>
            <w:tcBorders>
              <w:top w:val="single" w:sz="6" w:space="0" w:color="auto"/>
              <w:left w:val="nil"/>
              <w:bottom w:val="single" w:sz="6" w:space="0" w:color="auto"/>
              <w:right w:val="double" w:sz="4" w:space="0" w:color="auto"/>
            </w:tcBorders>
            <w:vAlign w:val="center"/>
          </w:tcPr>
          <w:p w14:paraId="573057D1" w14:textId="77777777" w:rsidR="00DA4E21" w:rsidRPr="007F4F91" w:rsidRDefault="00DA4E21" w:rsidP="00CD72A1">
            <w:pPr>
              <w:widowControl w:val="0"/>
              <w:tabs>
                <w:tab w:val="left" w:pos="720"/>
              </w:tabs>
              <w:rPr>
                <w:rFonts w:cs="Arial"/>
                <w:sz w:val="18"/>
              </w:rPr>
            </w:pPr>
          </w:p>
        </w:tc>
      </w:tr>
      <w:tr w:rsidR="00DA4E21" w:rsidRPr="00CC121D" w14:paraId="573057DA" w14:textId="77777777" w:rsidTr="00CD72A1">
        <w:trPr>
          <w:trHeight w:val="407"/>
          <w:jc w:val="center"/>
        </w:trPr>
        <w:tc>
          <w:tcPr>
            <w:tcW w:w="1171" w:type="dxa"/>
            <w:vMerge/>
            <w:tcBorders>
              <w:left w:val="double" w:sz="4" w:space="0" w:color="auto"/>
              <w:right w:val="single" w:sz="6" w:space="0" w:color="auto"/>
            </w:tcBorders>
            <w:vAlign w:val="center"/>
          </w:tcPr>
          <w:p w14:paraId="573057D3" w14:textId="77777777" w:rsidR="00DA4E21" w:rsidRPr="007F4F91" w:rsidRDefault="00DA4E21" w:rsidP="007F4F91">
            <w:pPr>
              <w:widowControl w:val="0"/>
              <w:tabs>
                <w:tab w:val="left" w:pos="720"/>
              </w:tabs>
              <w:rPr>
                <w:rFonts w:cs="Arial"/>
                <w:sz w:val="18"/>
              </w:rPr>
            </w:pPr>
          </w:p>
        </w:tc>
        <w:tc>
          <w:tcPr>
            <w:tcW w:w="1852" w:type="dxa"/>
            <w:tcBorders>
              <w:left w:val="single" w:sz="6" w:space="0" w:color="auto"/>
              <w:right w:val="single" w:sz="6" w:space="0" w:color="auto"/>
            </w:tcBorders>
            <w:vAlign w:val="center"/>
          </w:tcPr>
          <w:p w14:paraId="573057D4" w14:textId="77777777" w:rsidR="00DA4E21" w:rsidRPr="007F4F91" w:rsidRDefault="00DA4E21" w:rsidP="007F4F91">
            <w:pPr>
              <w:widowControl w:val="0"/>
              <w:tabs>
                <w:tab w:val="left" w:pos="720"/>
              </w:tabs>
              <w:rPr>
                <w:rFonts w:cs="Arial"/>
                <w:sz w:val="18"/>
              </w:rPr>
            </w:pPr>
            <w:r w:rsidRPr="007F4F91">
              <w:rPr>
                <w:rFonts w:cs="Arial"/>
                <w:sz w:val="18"/>
              </w:rPr>
              <w:t>Prevention of defects</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573057D5" w14:textId="77777777" w:rsidR="00DA4E21" w:rsidRPr="007F4F91" w:rsidRDefault="00DA4E21" w:rsidP="00EA3FAE">
            <w:pPr>
              <w:widowControl w:val="0"/>
              <w:tabs>
                <w:tab w:val="left" w:pos="720"/>
              </w:tabs>
              <w:jc w:val="center"/>
              <w:rPr>
                <w:rFonts w:cs="Arial"/>
                <w:sz w:val="18"/>
              </w:rPr>
            </w:pPr>
            <w:r w:rsidRPr="007F4F91">
              <w:rPr>
                <w:rFonts w:cs="Arial"/>
                <w:sz w:val="18"/>
              </w:rPr>
              <w:t>ECE.17</w:t>
            </w:r>
          </w:p>
        </w:tc>
        <w:tc>
          <w:tcPr>
            <w:tcW w:w="2501" w:type="dxa"/>
            <w:tcBorders>
              <w:top w:val="single" w:sz="6" w:space="0" w:color="auto"/>
              <w:left w:val="nil"/>
              <w:bottom w:val="single" w:sz="6" w:space="0" w:color="auto"/>
              <w:right w:val="single" w:sz="6" w:space="0" w:color="auto"/>
            </w:tcBorders>
            <w:tcMar>
              <w:top w:w="28" w:type="dxa"/>
              <w:left w:w="57" w:type="dxa"/>
              <w:bottom w:w="28" w:type="dxa"/>
              <w:right w:w="0" w:type="dxa"/>
            </w:tcMar>
            <w:vAlign w:val="center"/>
          </w:tcPr>
          <w:p w14:paraId="573057D7" w14:textId="77777777" w:rsidR="00DA4E21" w:rsidRPr="007F4F91" w:rsidRDefault="00DA4E21" w:rsidP="00CD72A1">
            <w:pPr>
              <w:widowControl w:val="0"/>
              <w:tabs>
                <w:tab w:val="left" w:pos="720"/>
              </w:tabs>
              <w:rPr>
                <w:rFonts w:cs="Arial"/>
                <w:sz w:val="18"/>
              </w:rPr>
            </w:pPr>
          </w:p>
        </w:tc>
        <w:tc>
          <w:tcPr>
            <w:tcW w:w="1359" w:type="dxa"/>
            <w:tcBorders>
              <w:top w:val="single" w:sz="6" w:space="0" w:color="auto"/>
              <w:left w:val="nil"/>
              <w:bottom w:val="single" w:sz="6" w:space="0" w:color="auto"/>
              <w:right w:val="single" w:sz="6" w:space="0" w:color="auto"/>
            </w:tcBorders>
            <w:vAlign w:val="center"/>
          </w:tcPr>
          <w:p w14:paraId="573057D8" w14:textId="77777777" w:rsidR="00DA4E21" w:rsidRPr="007F4F91" w:rsidRDefault="00DA4E21" w:rsidP="00CD72A1">
            <w:pPr>
              <w:widowControl w:val="0"/>
              <w:tabs>
                <w:tab w:val="left" w:pos="720"/>
              </w:tabs>
              <w:rPr>
                <w:rFonts w:cs="Arial"/>
                <w:sz w:val="18"/>
              </w:rPr>
            </w:pPr>
          </w:p>
        </w:tc>
        <w:tc>
          <w:tcPr>
            <w:tcW w:w="1268" w:type="dxa"/>
            <w:tcBorders>
              <w:top w:val="single" w:sz="6" w:space="0" w:color="auto"/>
              <w:left w:val="nil"/>
              <w:bottom w:val="single" w:sz="6" w:space="0" w:color="auto"/>
              <w:right w:val="double" w:sz="4" w:space="0" w:color="auto"/>
            </w:tcBorders>
            <w:vAlign w:val="center"/>
          </w:tcPr>
          <w:p w14:paraId="573057D9" w14:textId="77777777" w:rsidR="00DA4E21" w:rsidRPr="007F4F91" w:rsidRDefault="00DA4E21" w:rsidP="00CD72A1">
            <w:pPr>
              <w:widowControl w:val="0"/>
              <w:tabs>
                <w:tab w:val="left" w:pos="720"/>
              </w:tabs>
              <w:rPr>
                <w:rFonts w:cs="Arial"/>
                <w:sz w:val="18"/>
              </w:rPr>
            </w:pPr>
          </w:p>
        </w:tc>
      </w:tr>
      <w:tr w:rsidR="00DA4E21" w:rsidRPr="00CC121D" w14:paraId="573057EA" w14:textId="77777777" w:rsidTr="00CD72A1">
        <w:trPr>
          <w:jc w:val="center"/>
        </w:trPr>
        <w:tc>
          <w:tcPr>
            <w:tcW w:w="1171" w:type="dxa"/>
            <w:vMerge w:val="restart"/>
            <w:tcBorders>
              <w:left w:val="double" w:sz="4" w:space="0" w:color="auto"/>
              <w:right w:val="single" w:sz="6" w:space="0" w:color="auto"/>
            </w:tcBorders>
            <w:vAlign w:val="center"/>
          </w:tcPr>
          <w:p w14:paraId="573057DB" w14:textId="77777777" w:rsidR="00DA4E21" w:rsidRPr="007F4F91" w:rsidRDefault="00DA4E21" w:rsidP="007F4F91">
            <w:pPr>
              <w:widowControl w:val="0"/>
              <w:tabs>
                <w:tab w:val="left" w:pos="720"/>
              </w:tabs>
              <w:rPr>
                <w:rFonts w:cs="Arial"/>
                <w:sz w:val="18"/>
              </w:rPr>
            </w:pPr>
            <w:r w:rsidRPr="007F4F91">
              <w:rPr>
                <w:rFonts w:cs="Arial"/>
                <w:sz w:val="18"/>
              </w:rPr>
              <w:t>Engineering principles: civil engineering: construction</w:t>
            </w:r>
          </w:p>
        </w:tc>
        <w:tc>
          <w:tcPr>
            <w:tcW w:w="1852" w:type="dxa"/>
            <w:tcBorders>
              <w:left w:val="single" w:sz="6" w:space="0" w:color="auto"/>
              <w:right w:val="single" w:sz="6" w:space="0" w:color="auto"/>
            </w:tcBorders>
            <w:vAlign w:val="center"/>
          </w:tcPr>
          <w:p w14:paraId="573057DC" w14:textId="77777777" w:rsidR="00DA4E21" w:rsidRPr="007F4F91" w:rsidRDefault="00DA4E21" w:rsidP="00D07AFA">
            <w:pPr>
              <w:widowControl w:val="0"/>
              <w:tabs>
                <w:tab w:val="left" w:pos="720"/>
              </w:tabs>
              <w:rPr>
                <w:rFonts w:cs="Arial"/>
                <w:sz w:val="18"/>
              </w:rPr>
            </w:pPr>
            <w:r w:rsidRPr="007F4F91">
              <w:rPr>
                <w:rFonts w:cs="Arial"/>
                <w:sz w:val="18"/>
              </w:rPr>
              <w:t>Inspection during construction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573057DD" w14:textId="77777777" w:rsidR="00DA4E21" w:rsidRPr="007F4F91" w:rsidRDefault="00DA4E21" w:rsidP="00EA3FAE">
            <w:pPr>
              <w:widowControl w:val="0"/>
              <w:tabs>
                <w:tab w:val="left" w:pos="720"/>
              </w:tabs>
              <w:jc w:val="center"/>
              <w:rPr>
                <w:rFonts w:cs="Arial"/>
                <w:sz w:val="18"/>
              </w:rPr>
            </w:pPr>
            <w:r w:rsidRPr="007F4F91">
              <w:rPr>
                <w:rFonts w:cs="Arial"/>
                <w:sz w:val="18"/>
              </w:rPr>
              <w:t>ECE.18</w:t>
            </w:r>
          </w:p>
        </w:tc>
        <w:tc>
          <w:tcPr>
            <w:tcW w:w="2501" w:type="dxa"/>
            <w:tcBorders>
              <w:top w:val="single" w:sz="6" w:space="0" w:color="auto"/>
              <w:left w:val="nil"/>
              <w:bottom w:val="single" w:sz="6" w:space="0" w:color="auto"/>
              <w:right w:val="single" w:sz="6" w:space="0" w:color="auto"/>
            </w:tcBorders>
            <w:tcMar>
              <w:top w:w="28" w:type="dxa"/>
              <w:left w:w="57" w:type="dxa"/>
              <w:bottom w:w="28" w:type="dxa"/>
              <w:right w:w="0" w:type="dxa"/>
            </w:tcMar>
            <w:vAlign w:val="center"/>
          </w:tcPr>
          <w:p w14:paraId="573057E5" w14:textId="254505C7" w:rsidR="00DA4E21" w:rsidRPr="007F4F91" w:rsidRDefault="00DA4E21" w:rsidP="00CD72A1">
            <w:pPr>
              <w:widowControl w:val="0"/>
              <w:tabs>
                <w:tab w:val="left" w:pos="720"/>
              </w:tabs>
              <w:rPr>
                <w:rFonts w:cs="Arial"/>
                <w:sz w:val="18"/>
              </w:rPr>
            </w:pPr>
            <w:r w:rsidRPr="007F4F91">
              <w:rPr>
                <w:rFonts w:cs="Arial"/>
                <w:sz w:val="18"/>
              </w:rPr>
              <w:t>K3.8</w:t>
            </w:r>
            <w:r w:rsidR="00EA3FAE">
              <w:rPr>
                <w:rFonts w:cs="Arial"/>
                <w:sz w:val="18"/>
              </w:rPr>
              <w:t xml:space="preserve">, </w:t>
            </w:r>
            <w:r w:rsidRPr="007F4F91">
              <w:rPr>
                <w:rFonts w:cs="Arial"/>
                <w:sz w:val="18"/>
              </w:rPr>
              <w:t>K3.9</w:t>
            </w:r>
            <w:r w:rsidR="00EA3FAE">
              <w:rPr>
                <w:rFonts w:cs="Arial"/>
                <w:sz w:val="18"/>
              </w:rPr>
              <w:t xml:space="preserve">, </w:t>
            </w:r>
            <w:r w:rsidRPr="007F4F91">
              <w:rPr>
                <w:rFonts w:cs="Arial"/>
                <w:sz w:val="18"/>
              </w:rPr>
              <w:t>K3.10</w:t>
            </w:r>
            <w:r w:rsidR="00EA3FAE">
              <w:rPr>
                <w:rFonts w:cs="Arial"/>
                <w:sz w:val="18"/>
              </w:rPr>
              <w:t xml:space="preserve">, </w:t>
            </w:r>
            <w:r w:rsidRPr="007F4F91">
              <w:rPr>
                <w:rFonts w:cs="Arial"/>
                <w:sz w:val="18"/>
              </w:rPr>
              <w:t>K3.11</w:t>
            </w:r>
            <w:r w:rsidR="00EA3FAE">
              <w:rPr>
                <w:rFonts w:cs="Arial"/>
                <w:sz w:val="18"/>
              </w:rPr>
              <w:t xml:space="preserve">, </w:t>
            </w:r>
            <w:r w:rsidRPr="007F4F91">
              <w:rPr>
                <w:rFonts w:cs="Arial"/>
                <w:sz w:val="18"/>
              </w:rPr>
              <w:t>K3.12</w:t>
            </w:r>
            <w:r w:rsidR="00EA3FAE">
              <w:rPr>
                <w:rFonts w:cs="Arial"/>
                <w:sz w:val="18"/>
              </w:rPr>
              <w:t xml:space="preserve">, </w:t>
            </w:r>
            <w:r w:rsidRPr="007F4F91">
              <w:rPr>
                <w:rFonts w:cs="Arial"/>
                <w:sz w:val="18"/>
              </w:rPr>
              <w:t>K3.13</w:t>
            </w:r>
          </w:p>
        </w:tc>
        <w:tc>
          <w:tcPr>
            <w:tcW w:w="1359" w:type="dxa"/>
            <w:tcBorders>
              <w:top w:val="single" w:sz="6" w:space="0" w:color="auto"/>
              <w:left w:val="nil"/>
              <w:bottom w:val="single" w:sz="6" w:space="0" w:color="auto"/>
              <w:right w:val="single" w:sz="6" w:space="0" w:color="auto"/>
            </w:tcBorders>
            <w:vAlign w:val="center"/>
          </w:tcPr>
          <w:p w14:paraId="573057E6" w14:textId="77777777" w:rsidR="00DA4E21" w:rsidRPr="007F4F91" w:rsidRDefault="00DA4E21" w:rsidP="00CD72A1">
            <w:pPr>
              <w:widowControl w:val="0"/>
              <w:tabs>
                <w:tab w:val="left" w:pos="720"/>
              </w:tabs>
              <w:rPr>
                <w:rFonts w:cs="Arial"/>
                <w:sz w:val="18"/>
              </w:rPr>
            </w:pPr>
            <w:r w:rsidRPr="007F4F91">
              <w:rPr>
                <w:rFonts w:cs="Arial"/>
                <w:sz w:val="18"/>
              </w:rPr>
              <w:t>DE-42</w:t>
            </w:r>
          </w:p>
        </w:tc>
        <w:tc>
          <w:tcPr>
            <w:tcW w:w="1268" w:type="dxa"/>
            <w:tcBorders>
              <w:top w:val="single" w:sz="6" w:space="0" w:color="auto"/>
              <w:left w:val="nil"/>
              <w:bottom w:val="single" w:sz="6" w:space="0" w:color="auto"/>
              <w:right w:val="double" w:sz="4" w:space="0" w:color="auto"/>
            </w:tcBorders>
            <w:vAlign w:val="center"/>
          </w:tcPr>
          <w:p w14:paraId="573057E9" w14:textId="26050BD0" w:rsidR="00DA4E21" w:rsidRPr="007F4F91" w:rsidRDefault="00DA4E21" w:rsidP="00CD72A1">
            <w:pPr>
              <w:widowControl w:val="0"/>
              <w:tabs>
                <w:tab w:val="left" w:pos="720"/>
              </w:tabs>
              <w:rPr>
                <w:rFonts w:cs="Arial"/>
                <w:sz w:val="18"/>
              </w:rPr>
            </w:pPr>
            <w:r w:rsidRPr="007F4F91">
              <w:rPr>
                <w:rFonts w:cs="Arial"/>
                <w:sz w:val="18"/>
              </w:rPr>
              <w:t>DI-48</w:t>
            </w:r>
            <w:r w:rsidR="00EA3FAE">
              <w:rPr>
                <w:rFonts w:cs="Arial"/>
                <w:sz w:val="18"/>
              </w:rPr>
              <w:t xml:space="preserve">, </w:t>
            </w:r>
            <w:r w:rsidRPr="007F4F91">
              <w:rPr>
                <w:rFonts w:cs="Arial"/>
                <w:sz w:val="18"/>
              </w:rPr>
              <w:t>DI-50</w:t>
            </w:r>
            <w:r w:rsidR="00EA3FAE">
              <w:rPr>
                <w:rFonts w:cs="Arial"/>
                <w:sz w:val="18"/>
              </w:rPr>
              <w:t xml:space="preserve">, </w:t>
            </w:r>
            <w:r w:rsidRPr="007F4F91">
              <w:rPr>
                <w:rFonts w:cs="Arial"/>
                <w:sz w:val="18"/>
              </w:rPr>
              <w:t>DI-51</w:t>
            </w:r>
          </w:p>
        </w:tc>
      </w:tr>
      <w:tr w:rsidR="00DA4E21" w:rsidRPr="00CC121D" w14:paraId="573057F3" w14:textId="77777777" w:rsidTr="00CD72A1">
        <w:trPr>
          <w:jc w:val="center"/>
        </w:trPr>
        <w:tc>
          <w:tcPr>
            <w:tcW w:w="1171" w:type="dxa"/>
            <w:vMerge/>
            <w:tcBorders>
              <w:left w:val="double" w:sz="4" w:space="0" w:color="auto"/>
              <w:right w:val="single" w:sz="6" w:space="0" w:color="auto"/>
            </w:tcBorders>
            <w:vAlign w:val="center"/>
          </w:tcPr>
          <w:p w14:paraId="573057EB" w14:textId="77777777" w:rsidR="00DA4E21" w:rsidRPr="007F4F91" w:rsidRDefault="00DA4E21" w:rsidP="007F4F91">
            <w:pPr>
              <w:widowControl w:val="0"/>
              <w:tabs>
                <w:tab w:val="left" w:pos="720"/>
              </w:tabs>
              <w:rPr>
                <w:rFonts w:cs="Arial"/>
                <w:sz w:val="18"/>
              </w:rPr>
            </w:pPr>
          </w:p>
        </w:tc>
        <w:tc>
          <w:tcPr>
            <w:tcW w:w="1852" w:type="dxa"/>
            <w:tcBorders>
              <w:left w:val="single" w:sz="6" w:space="0" w:color="auto"/>
              <w:right w:val="single" w:sz="6" w:space="0" w:color="auto"/>
            </w:tcBorders>
            <w:vAlign w:val="center"/>
          </w:tcPr>
          <w:p w14:paraId="573057EC" w14:textId="77777777" w:rsidR="00DA4E21" w:rsidRPr="007F4F91" w:rsidRDefault="00DA4E21" w:rsidP="00D07AFA">
            <w:pPr>
              <w:widowControl w:val="0"/>
              <w:tabs>
                <w:tab w:val="left" w:pos="720"/>
              </w:tabs>
              <w:rPr>
                <w:rFonts w:cs="Arial"/>
                <w:sz w:val="18"/>
              </w:rPr>
            </w:pPr>
            <w:r w:rsidRPr="007F4F91">
              <w:rPr>
                <w:rFonts w:cs="Arial"/>
                <w:sz w:val="18"/>
              </w:rPr>
              <w:t>Non-conformities</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573057ED" w14:textId="77777777" w:rsidR="00DA4E21" w:rsidRPr="007F4F91" w:rsidRDefault="00DA4E21" w:rsidP="00EA3FAE">
            <w:pPr>
              <w:widowControl w:val="0"/>
              <w:tabs>
                <w:tab w:val="left" w:pos="720"/>
              </w:tabs>
              <w:jc w:val="center"/>
              <w:rPr>
                <w:rFonts w:cs="Arial"/>
                <w:sz w:val="18"/>
              </w:rPr>
            </w:pPr>
            <w:r w:rsidRPr="007F4F91">
              <w:rPr>
                <w:rFonts w:cs="Arial"/>
                <w:sz w:val="18"/>
              </w:rPr>
              <w:t>ECE.19</w:t>
            </w:r>
          </w:p>
        </w:tc>
        <w:tc>
          <w:tcPr>
            <w:tcW w:w="2501" w:type="dxa"/>
            <w:tcBorders>
              <w:top w:val="single" w:sz="6" w:space="0" w:color="auto"/>
              <w:left w:val="nil"/>
              <w:bottom w:val="single" w:sz="6" w:space="0" w:color="auto"/>
              <w:right w:val="single" w:sz="6" w:space="0" w:color="auto"/>
            </w:tcBorders>
            <w:tcMar>
              <w:top w:w="28" w:type="dxa"/>
              <w:left w:w="57" w:type="dxa"/>
              <w:bottom w:w="28" w:type="dxa"/>
              <w:right w:w="0" w:type="dxa"/>
            </w:tcMar>
            <w:vAlign w:val="center"/>
          </w:tcPr>
          <w:p w14:paraId="573057EF" w14:textId="77777777" w:rsidR="00DA4E21" w:rsidRPr="007F4F91" w:rsidRDefault="00DA4E21" w:rsidP="00CD72A1">
            <w:pPr>
              <w:widowControl w:val="0"/>
              <w:tabs>
                <w:tab w:val="left" w:pos="720"/>
              </w:tabs>
              <w:rPr>
                <w:rFonts w:cs="Arial"/>
                <w:sz w:val="18"/>
              </w:rPr>
            </w:pPr>
          </w:p>
        </w:tc>
        <w:tc>
          <w:tcPr>
            <w:tcW w:w="1359" w:type="dxa"/>
            <w:tcBorders>
              <w:top w:val="single" w:sz="6" w:space="0" w:color="auto"/>
              <w:left w:val="nil"/>
              <w:bottom w:val="single" w:sz="6" w:space="0" w:color="auto"/>
              <w:right w:val="single" w:sz="6" w:space="0" w:color="auto"/>
            </w:tcBorders>
            <w:vAlign w:val="center"/>
          </w:tcPr>
          <w:p w14:paraId="573057F1" w14:textId="242E53A9" w:rsidR="00DA4E21" w:rsidRPr="007F4F91" w:rsidRDefault="00DA4E21" w:rsidP="00CD72A1">
            <w:pPr>
              <w:widowControl w:val="0"/>
              <w:tabs>
                <w:tab w:val="left" w:pos="720"/>
              </w:tabs>
              <w:rPr>
                <w:rFonts w:cs="Arial"/>
                <w:sz w:val="18"/>
              </w:rPr>
            </w:pPr>
            <w:r w:rsidRPr="007F4F91">
              <w:rPr>
                <w:rFonts w:cs="Arial"/>
                <w:sz w:val="18"/>
              </w:rPr>
              <w:t>DE-36</w:t>
            </w:r>
            <w:r w:rsidR="00EA3FAE">
              <w:rPr>
                <w:rFonts w:cs="Arial"/>
                <w:sz w:val="18"/>
              </w:rPr>
              <w:t xml:space="preserve">, </w:t>
            </w:r>
            <w:r w:rsidRPr="007F4F91">
              <w:rPr>
                <w:rFonts w:cs="Arial"/>
                <w:sz w:val="18"/>
              </w:rPr>
              <w:t>DE-37</w:t>
            </w:r>
          </w:p>
        </w:tc>
        <w:tc>
          <w:tcPr>
            <w:tcW w:w="1268" w:type="dxa"/>
            <w:tcBorders>
              <w:top w:val="single" w:sz="6" w:space="0" w:color="auto"/>
              <w:left w:val="nil"/>
              <w:bottom w:val="single" w:sz="6" w:space="0" w:color="auto"/>
              <w:right w:val="double" w:sz="4" w:space="0" w:color="auto"/>
            </w:tcBorders>
            <w:vAlign w:val="center"/>
          </w:tcPr>
          <w:p w14:paraId="573057F2" w14:textId="77777777" w:rsidR="00DA4E21" w:rsidRPr="007F4F91" w:rsidRDefault="00DA4E21" w:rsidP="00CD72A1">
            <w:pPr>
              <w:widowControl w:val="0"/>
              <w:tabs>
                <w:tab w:val="left" w:pos="720"/>
              </w:tabs>
              <w:rPr>
                <w:rFonts w:cs="Arial"/>
                <w:sz w:val="18"/>
              </w:rPr>
            </w:pPr>
          </w:p>
        </w:tc>
      </w:tr>
      <w:tr w:rsidR="00DA4E21" w:rsidRPr="00CC121D" w14:paraId="573057FC" w14:textId="77777777" w:rsidTr="00CD72A1">
        <w:trPr>
          <w:jc w:val="center"/>
        </w:trPr>
        <w:tc>
          <w:tcPr>
            <w:tcW w:w="1171" w:type="dxa"/>
            <w:vMerge/>
            <w:tcBorders>
              <w:left w:val="double" w:sz="4" w:space="0" w:color="auto"/>
              <w:right w:val="single" w:sz="6" w:space="0" w:color="auto"/>
            </w:tcBorders>
            <w:vAlign w:val="center"/>
          </w:tcPr>
          <w:p w14:paraId="573057F4" w14:textId="77777777" w:rsidR="00DA4E21" w:rsidRPr="007F4F91" w:rsidRDefault="00DA4E21" w:rsidP="007F4F91">
            <w:pPr>
              <w:widowControl w:val="0"/>
              <w:tabs>
                <w:tab w:val="left" w:pos="720"/>
              </w:tabs>
              <w:rPr>
                <w:rFonts w:cs="Arial"/>
                <w:sz w:val="18"/>
              </w:rPr>
            </w:pPr>
          </w:p>
        </w:tc>
        <w:tc>
          <w:tcPr>
            <w:tcW w:w="1852" w:type="dxa"/>
            <w:tcBorders>
              <w:left w:val="single" w:sz="6" w:space="0" w:color="auto"/>
              <w:right w:val="single" w:sz="6" w:space="0" w:color="auto"/>
            </w:tcBorders>
            <w:vAlign w:val="center"/>
          </w:tcPr>
          <w:p w14:paraId="573057F5" w14:textId="77777777" w:rsidR="00DA4E21" w:rsidRPr="007F4F91" w:rsidRDefault="00DA4E21" w:rsidP="00D07AFA">
            <w:pPr>
              <w:widowControl w:val="0"/>
              <w:tabs>
                <w:tab w:val="left" w:pos="720"/>
              </w:tabs>
              <w:rPr>
                <w:rFonts w:cs="Arial"/>
                <w:sz w:val="18"/>
              </w:rPr>
            </w:pPr>
            <w:r w:rsidRPr="007F4F91">
              <w:rPr>
                <w:rFonts w:cs="Arial"/>
                <w:sz w:val="18"/>
              </w:rPr>
              <w:t>In-service inspection and testing</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573057F6" w14:textId="77777777" w:rsidR="00DA4E21" w:rsidRPr="007F4F91" w:rsidRDefault="00DA4E21" w:rsidP="00EA3FAE">
            <w:pPr>
              <w:widowControl w:val="0"/>
              <w:tabs>
                <w:tab w:val="left" w:pos="720"/>
              </w:tabs>
              <w:jc w:val="center"/>
              <w:rPr>
                <w:rFonts w:cs="Arial"/>
                <w:sz w:val="18"/>
              </w:rPr>
            </w:pPr>
            <w:r w:rsidRPr="007F4F91">
              <w:rPr>
                <w:rFonts w:cs="Arial"/>
                <w:sz w:val="18"/>
              </w:rPr>
              <w:t>ECE.20</w:t>
            </w:r>
          </w:p>
        </w:tc>
        <w:tc>
          <w:tcPr>
            <w:tcW w:w="2501" w:type="dxa"/>
            <w:tcBorders>
              <w:top w:val="single" w:sz="6" w:space="0" w:color="auto"/>
              <w:left w:val="nil"/>
              <w:bottom w:val="single" w:sz="6" w:space="0" w:color="auto"/>
              <w:right w:val="single" w:sz="6" w:space="0" w:color="auto"/>
            </w:tcBorders>
            <w:tcMar>
              <w:top w:w="28" w:type="dxa"/>
              <w:left w:w="57" w:type="dxa"/>
              <w:bottom w:w="28" w:type="dxa"/>
              <w:right w:w="0" w:type="dxa"/>
            </w:tcMar>
            <w:vAlign w:val="center"/>
          </w:tcPr>
          <w:p w14:paraId="573057F8" w14:textId="77777777" w:rsidR="00DA4E21" w:rsidRPr="007F4F91" w:rsidRDefault="00DA4E21" w:rsidP="00CD72A1">
            <w:pPr>
              <w:widowControl w:val="0"/>
              <w:tabs>
                <w:tab w:val="left" w:pos="720"/>
              </w:tabs>
              <w:rPr>
                <w:rFonts w:cs="Arial"/>
                <w:sz w:val="18"/>
              </w:rPr>
            </w:pPr>
            <w:r w:rsidRPr="007F4F91">
              <w:rPr>
                <w:rFonts w:cs="Arial"/>
                <w:sz w:val="18"/>
              </w:rPr>
              <w:t>D4.3</w:t>
            </w:r>
          </w:p>
        </w:tc>
        <w:tc>
          <w:tcPr>
            <w:tcW w:w="1359" w:type="dxa"/>
            <w:tcBorders>
              <w:top w:val="single" w:sz="6" w:space="0" w:color="auto"/>
              <w:left w:val="nil"/>
              <w:bottom w:val="single" w:sz="6" w:space="0" w:color="auto"/>
              <w:right w:val="single" w:sz="6" w:space="0" w:color="auto"/>
            </w:tcBorders>
            <w:vAlign w:val="center"/>
          </w:tcPr>
          <w:p w14:paraId="573057FA" w14:textId="4491B154" w:rsidR="00DA4E21" w:rsidRPr="007F4F91" w:rsidRDefault="00DA4E21" w:rsidP="00CD72A1">
            <w:pPr>
              <w:widowControl w:val="0"/>
              <w:tabs>
                <w:tab w:val="left" w:pos="720"/>
              </w:tabs>
              <w:rPr>
                <w:rFonts w:cs="Arial"/>
                <w:sz w:val="18"/>
              </w:rPr>
            </w:pPr>
            <w:r w:rsidRPr="007F4F91">
              <w:rPr>
                <w:rFonts w:cs="Arial"/>
                <w:sz w:val="18"/>
              </w:rPr>
              <w:t>DE-43</w:t>
            </w:r>
            <w:r w:rsidR="00EA3FAE">
              <w:rPr>
                <w:rFonts w:cs="Arial"/>
                <w:sz w:val="18"/>
              </w:rPr>
              <w:t xml:space="preserve">, </w:t>
            </w:r>
            <w:r w:rsidRPr="007F4F91">
              <w:rPr>
                <w:rFonts w:cs="Arial"/>
                <w:sz w:val="18"/>
              </w:rPr>
              <w:t>DE-44</w:t>
            </w:r>
          </w:p>
        </w:tc>
        <w:tc>
          <w:tcPr>
            <w:tcW w:w="1268" w:type="dxa"/>
            <w:tcBorders>
              <w:top w:val="single" w:sz="6" w:space="0" w:color="auto"/>
              <w:left w:val="nil"/>
              <w:bottom w:val="single" w:sz="6" w:space="0" w:color="auto"/>
              <w:right w:val="double" w:sz="4" w:space="0" w:color="auto"/>
            </w:tcBorders>
            <w:vAlign w:val="center"/>
          </w:tcPr>
          <w:p w14:paraId="573057FB" w14:textId="77777777" w:rsidR="00DA4E21" w:rsidRPr="007F4F91" w:rsidRDefault="00DA4E21" w:rsidP="00CD72A1">
            <w:pPr>
              <w:widowControl w:val="0"/>
              <w:tabs>
                <w:tab w:val="left" w:pos="720"/>
              </w:tabs>
              <w:rPr>
                <w:rFonts w:cs="Arial"/>
                <w:sz w:val="18"/>
              </w:rPr>
            </w:pPr>
          </w:p>
        </w:tc>
      </w:tr>
      <w:tr w:rsidR="00DA4E21" w:rsidRPr="00CC121D" w14:paraId="57305804" w14:textId="77777777" w:rsidTr="00CD72A1">
        <w:trPr>
          <w:jc w:val="center"/>
        </w:trPr>
        <w:tc>
          <w:tcPr>
            <w:tcW w:w="1171" w:type="dxa"/>
            <w:vMerge/>
            <w:tcBorders>
              <w:left w:val="double" w:sz="4" w:space="0" w:color="auto"/>
              <w:bottom w:val="single" w:sz="6" w:space="0" w:color="auto"/>
              <w:right w:val="single" w:sz="6" w:space="0" w:color="auto"/>
            </w:tcBorders>
            <w:vAlign w:val="center"/>
          </w:tcPr>
          <w:p w14:paraId="573057FD" w14:textId="77777777" w:rsidR="00DA4E21" w:rsidRPr="007F4F91" w:rsidRDefault="00DA4E21" w:rsidP="007F4F91">
            <w:pPr>
              <w:widowControl w:val="0"/>
              <w:tabs>
                <w:tab w:val="left" w:pos="720"/>
              </w:tabs>
              <w:rPr>
                <w:rFonts w:cs="Arial"/>
                <w:sz w:val="18"/>
              </w:rPr>
            </w:pPr>
          </w:p>
        </w:tc>
        <w:tc>
          <w:tcPr>
            <w:tcW w:w="1852" w:type="dxa"/>
            <w:tcBorders>
              <w:left w:val="single" w:sz="6" w:space="0" w:color="auto"/>
              <w:right w:val="single" w:sz="6" w:space="0" w:color="auto"/>
            </w:tcBorders>
            <w:vAlign w:val="center"/>
          </w:tcPr>
          <w:p w14:paraId="573057FE" w14:textId="77777777" w:rsidR="00DA4E21" w:rsidRPr="007F4F91" w:rsidRDefault="00DA4E21" w:rsidP="00D07AFA">
            <w:pPr>
              <w:widowControl w:val="0"/>
              <w:tabs>
                <w:tab w:val="left" w:pos="720"/>
              </w:tabs>
              <w:rPr>
                <w:rFonts w:cs="Arial"/>
                <w:sz w:val="18"/>
              </w:rPr>
            </w:pPr>
            <w:r w:rsidRPr="007F4F91">
              <w:rPr>
                <w:rFonts w:cs="Arial"/>
                <w:sz w:val="18"/>
              </w:rPr>
              <w:t>Proof pressure tests</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573057FF" w14:textId="77777777" w:rsidR="00DA4E21" w:rsidRPr="007F4F91" w:rsidRDefault="00DA4E21" w:rsidP="00EA3FAE">
            <w:pPr>
              <w:widowControl w:val="0"/>
              <w:tabs>
                <w:tab w:val="left" w:pos="720"/>
              </w:tabs>
              <w:jc w:val="center"/>
              <w:rPr>
                <w:rFonts w:cs="Arial"/>
                <w:sz w:val="18"/>
              </w:rPr>
            </w:pPr>
            <w:r w:rsidRPr="007F4F91">
              <w:rPr>
                <w:rFonts w:cs="Arial"/>
                <w:sz w:val="18"/>
              </w:rPr>
              <w:t>ECE.21</w:t>
            </w:r>
          </w:p>
        </w:tc>
        <w:tc>
          <w:tcPr>
            <w:tcW w:w="2501" w:type="dxa"/>
            <w:tcBorders>
              <w:top w:val="single" w:sz="6" w:space="0" w:color="auto"/>
              <w:left w:val="nil"/>
              <w:bottom w:val="single" w:sz="6" w:space="0" w:color="auto"/>
              <w:right w:val="single" w:sz="6" w:space="0" w:color="auto"/>
            </w:tcBorders>
            <w:tcMar>
              <w:top w:w="28" w:type="dxa"/>
              <w:left w:w="57" w:type="dxa"/>
              <w:bottom w:w="28" w:type="dxa"/>
              <w:right w:w="0" w:type="dxa"/>
            </w:tcMar>
            <w:vAlign w:val="center"/>
          </w:tcPr>
          <w:p w14:paraId="57305801" w14:textId="77777777" w:rsidR="00DA4E21" w:rsidRPr="007F4F91" w:rsidRDefault="00DA4E21" w:rsidP="00CD72A1">
            <w:pPr>
              <w:widowControl w:val="0"/>
              <w:tabs>
                <w:tab w:val="left" w:pos="720"/>
              </w:tabs>
              <w:rPr>
                <w:rFonts w:cs="Arial"/>
                <w:sz w:val="18"/>
              </w:rPr>
            </w:pPr>
          </w:p>
        </w:tc>
        <w:tc>
          <w:tcPr>
            <w:tcW w:w="1359" w:type="dxa"/>
            <w:tcBorders>
              <w:top w:val="single" w:sz="6" w:space="0" w:color="auto"/>
              <w:left w:val="nil"/>
              <w:bottom w:val="single" w:sz="6" w:space="0" w:color="auto"/>
              <w:right w:val="single" w:sz="6" w:space="0" w:color="auto"/>
            </w:tcBorders>
            <w:vAlign w:val="center"/>
          </w:tcPr>
          <w:p w14:paraId="57305802" w14:textId="77777777" w:rsidR="00DA4E21" w:rsidRPr="007F4F91" w:rsidRDefault="00DA4E21" w:rsidP="00CD72A1">
            <w:pPr>
              <w:widowControl w:val="0"/>
              <w:tabs>
                <w:tab w:val="left" w:pos="720"/>
              </w:tabs>
              <w:rPr>
                <w:rFonts w:cs="Arial"/>
                <w:sz w:val="18"/>
              </w:rPr>
            </w:pPr>
          </w:p>
        </w:tc>
        <w:tc>
          <w:tcPr>
            <w:tcW w:w="1268" w:type="dxa"/>
            <w:tcBorders>
              <w:top w:val="single" w:sz="6" w:space="0" w:color="auto"/>
              <w:left w:val="nil"/>
              <w:bottom w:val="single" w:sz="6" w:space="0" w:color="auto"/>
              <w:right w:val="double" w:sz="4" w:space="0" w:color="auto"/>
            </w:tcBorders>
            <w:vAlign w:val="center"/>
          </w:tcPr>
          <w:p w14:paraId="57305803" w14:textId="77777777" w:rsidR="00DA4E21" w:rsidRPr="007F4F91" w:rsidRDefault="00DA4E21" w:rsidP="00CD72A1">
            <w:pPr>
              <w:widowControl w:val="0"/>
              <w:tabs>
                <w:tab w:val="left" w:pos="720"/>
              </w:tabs>
              <w:rPr>
                <w:rFonts w:cs="Arial"/>
                <w:sz w:val="18"/>
              </w:rPr>
            </w:pPr>
          </w:p>
        </w:tc>
      </w:tr>
      <w:tr w:rsidR="00DA4E21" w:rsidRPr="00CC121D" w14:paraId="5730580C" w14:textId="77777777" w:rsidTr="00CD72A1">
        <w:trPr>
          <w:jc w:val="center"/>
        </w:trPr>
        <w:tc>
          <w:tcPr>
            <w:tcW w:w="1171" w:type="dxa"/>
            <w:vMerge w:val="restart"/>
            <w:tcBorders>
              <w:left w:val="double" w:sz="4" w:space="0" w:color="auto"/>
              <w:right w:val="single" w:sz="6" w:space="0" w:color="auto"/>
            </w:tcBorders>
            <w:vAlign w:val="center"/>
          </w:tcPr>
          <w:p w14:paraId="57305805" w14:textId="77777777" w:rsidR="00DA4E21" w:rsidRPr="007F4F91" w:rsidRDefault="00DA4E21" w:rsidP="007F4F91">
            <w:pPr>
              <w:widowControl w:val="0"/>
              <w:tabs>
                <w:tab w:val="left" w:pos="720"/>
              </w:tabs>
              <w:rPr>
                <w:rFonts w:cs="Arial"/>
                <w:sz w:val="18"/>
              </w:rPr>
            </w:pPr>
            <w:r w:rsidRPr="007F4F91">
              <w:rPr>
                <w:rFonts w:cs="Arial"/>
                <w:sz w:val="18"/>
              </w:rPr>
              <w:t>Engineering principles: civil engineering: in-service inspection and testing</w:t>
            </w:r>
          </w:p>
        </w:tc>
        <w:tc>
          <w:tcPr>
            <w:tcW w:w="1852" w:type="dxa"/>
            <w:tcBorders>
              <w:left w:val="single" w:sz="6" w:space="0" w:color="auto"/>
              <w:right w:val="single" w:sz="6" w:space="0" w:color="auto"/>
            </w:tcBorders>
            <w:vAlign w:val="center"/>
          </w:tcPr>
          <w:p w14:paraId="57305806" w14:textId="77777777" w:rsidR="00DA4E21" w:rsidRPr="007F4F91" w:rsidRDefault="00DA4E21" w:rsidP="00D07AFA">
            <w:pPr>
              <w:widowControl w:val="0"/>
              <w:tabs>
                <w:tab w:val="left" w:pos="720"/>
              </w:tabs>
              <w:rPr>
                <w:rFonts w:cs="Arial"/>
                <w:sz w:val="18"/>
              </w:rPr>
            </w:pPr>
            <w:r w:rsidRPr="007F4F91">
              <w:rPr>
                <w:rFonts w:cs="Arial"/>
                <w:sz w:val="18"/>
              </w:rPr>
              <w:t>Leak tightness</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57305807" w14:textId="77777777" w:rsidR="00DA4E21" w:rsidRPr="007F4F91" w:rsidRDefault="00DA4E21" w:rsidP="00EA3FAE">
            <w:pPr>
              <w:widowControl w:val="0"/>
              <w:tabs>
                <w:tab w:val="left" w:pos="720"/>
              </w:tabs>
              <w:jc w:val="center"/>
              <w:rPr>
                <w:rFonts w:cs="Arial"/>
                <w:sz w:val="18"/>
              </w:rPr>
            </w:pPr>
            <w:r w:rsidRPr="007F4F91">
              <w:rPr>
                <w:rFonts w:cs="Arial"/>
                <w:sz w:val="18"/>
              </w:rPr>
              <w:t>ECE.22</w:t>
            </w:r>
          </w:p>
        </w:tc>
        <w:tc>
          <w:tcPr>
            <w:tcW w:w="2501" w:type="dxa"/>
            <w:tcBorders>
              <w:top w:val="single" w:sz="6" w:space="0" w:color="auto"/>
              <w:left w:val="nil"/>
              <w:bottom w:val="single" w:sz="6" w:space="0" w:color="auto"/>
              <w:right w:val="single" w:sz="6" w:space="0" w:color="auto"/>
            </w:tcBorders>
            <w:tcMar>
              <w:top w:w="28" w:type="dxa"/>
              <w:left w:w="57" w:type="dxa"/>
              <w:bottom w:w="28" w:type="dxa"/>
              <w:right w:w="0" w:type="dxa"/>
            </w:tcMar>
            <w:vAlign w:val="center"/>
          </w:tcPr>
          <w:p w14:paraId="57305809" w14:textId="77777777" w:rsidR="00DA4E21" w:rsidRPr="007F4F91" w:rsidRDefault="00DA4E21" w:rsidP="00CD72A1">
            <w:pPr>
              <w:widowControl w:val="0"/>
              <w:tabs>
                <w:tab w:val="left" w:pos="720"/>
              </w:tabs>
              <w:rPr>
                <w:rFonts w:cs="Arial"/>
                <w:sz w:val="18"/>
              </w:rPr>
            </w:pPr>
          </w:p>
        </w:tc>
        <w:tc>
          <w:tcPr>
            <w:tcW w:w="1359" w:type="dxa"/>
            <w:tcBorders>
              <w:top w:val="single" w:sz="6" w:space="0" w:color="auto"/>
              <w:left w:val="nil"/>
              <w:bottom w:val="single" w:sz="6" w:space="0" w:color="auto"/>
              <w:right w:val="single" w:sz="6" w:space="0" w:color="auto"/>
            </w:tcBorders>
            <w:vAlign w:val="center"/>
          </w:tcPr>
          <w:p w14:paraId="5730580A" w14:textId="77777777" w:rsidR="00DA4E21" w:rsidRPr="007F4F91" w:rsidRDefault="00DA4E21" w:rsidP="00CD72A1">
            <w:pPr>
              <w:widowControl w:val="0"/>
              <w:tabs>
                <w:tab w:val="left" w:pos="720"/>
              </w:tabs>
              <w:rPr>
                <w:rFonts w:cs="Arial"/>
                <w:sz w:val="18"/>
              </w:rPr>
            </w:pPr>
          </w:p>
        </w:tc>
        <w:tc>
          <w:tcPr>
            <w:tcW w:w="1268" w:type="dxa"/>
            <w:tcBorders>
              <w:top w:val="single" w:sz="6" w:space="0" w:color="auto"/>
              <w:left w:val="nil"/>
              <w:bottom w:val="single" w:sz="6" w:space="0" w:color="auto"/>
              <w:right w:val="double" w:sz="4" w:space="0" w:color="auto"/>
            </w:tcBorders>
            <w:vAlign w:val="center"/>
          </w:tcPr>
          <w:p w14:paraId="5730580B" w14:textId="77777777" w:rsidR="00DA4E21" w:rsidRPr="007F4F91" w:rsidRDefault="00DA4E21" w:rsidP="00CD72A1">
            <w:pPr>
              <w:widowControl w:val="0"/>
              <w:tabs>
                <w:tab w:val="left" w:pos="720"/>
              </w:tabs>
              <w:rPr>
                <w:rFonts w:cs="Arial"/>
                <w:sz w:val="18"/>
              </w:rPr>
            </w:pPr>
          </w:p>
        </w:tc>
      </w:tr>
      <w:tr w:rsidR="00DA4E21" w:rsidRPr="00CC121D" w14:paraId="57305814" w14:textId="77777777" w:rsidTr="00CD72A1">
        <w:trPr>
          <w:jc w:val="center"/>
        </w:trPr>
        <w:tc>
          <w:tcPr>
            <w:tcW w:w="1171" w:type="dxa"/>
            <w:vMerge/>
            <w:tcBorders>
              <w:left w:val="double" w:sz="4" w:space="0" w:color="auto"/>
              <w:right w:val="single" w:sz="6" w:space="0" w:color="auto"/>
            </w:tcBorders>
            <w:vAlign w:val="center"/>
          </w:tcPr>
          <w:p w14:paraId="5730580D" w14:textId="77777777" w:rsidR="00DA4E21" w:rsidRPr="00CC121D" w:rsidRDefault="00DA4E21" w:rsidP="00D07AFA">
            <w:pPr>
              <w:rPr>
                <w:rFonts w:cs="Arial"/>
                <w:sz w:val="20"/>
              </w:rPr>
            </w:pPr>
          </w:p>
        </w:tc>
        <w:tc>
          <w:tcPr>
            <w:tcW w:w="1852" w:type="dxa"/>
            <w:tcBorders>
              <w:left w:val="single" w:sz="6" w:space="0" w:color="auto"/>
              <w:right w:val="single" w:sz="6" w:space="0" w:color="auto"/>
            </w:tcBorders>
            <w:vAlign w:val="center"/>
          </w:tcPr>
          <w:p w14:paraId="5730580E" w14:textId="77777777" w:rsidR="00DA4E21" w:rsidRPr="007F4F91" w:rsidRDefault="00DA4E21" w:rsidP="00D07AFA">
            <w:pPr>
              <w:widowControl w:val="0"/>
              <w:tabs>
                <w:tab w:val="left" w:pos="720"/>
              </w:tabs>
              <w:rPr>
                <w:rFonts w:cs="Arial"/>
                <w:sz w:val="18"/>
              </w:rPr>
            </w:pPr>
            <w:r w:rsidRPr="007F4F91">
              <w:rPr>
                <w:rFonts w:cs="Arial"/>
                <w:sz w:val="18"/>
              </w:rPr>
              <w:t>Inspection of sea and river flood defences</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5730580F" w14:textId="77777777" w:rsidR="00DA4E21" w:rsidRPr="007F4F91" w:rsidRDefault="00DA4E21" w:rsidP="00EA3FAE">
            <w:pPr>
              <w:widowControl w:val="0"/>
              <w:tabs>
                <w:tab w:val="left" w:pos="720"/>
              </w:tabs>
              <w:jc w:val="center"/>
              <w:rPr>
                <w:rFonts w:cs="Arial"/>
                <w:sz w:val="18"/>
              </w:rPr>
            </w:pPr>
            <w:r w:rsidRPr="007F4F91">
              <w:rPr>
                <w:rFonts w:cs="Arial"/>
                <w:sz w:val="18"/>
              </w:rPr>
              <w:t>ECE.23</w:t>
            </w:r>
          </w:p>
        </w:tc>
        <w:tc>
          <w:tcPr>
            <w:tcW w:w="2501" w:type="dxa"/>
            <w:tcBorders>
              <w:top w:val="single" w:sz="6" w:space="0" w:color="auto"/>
              <w:left w:val="nil"/>
              <w:bottom w:val="single" w:sz="6" w:space="0" w:color="auto"/>
              <w:right w:val="single" w:sz="6" w:space="0" w:color="auto"/>
            </w:tcBorders>
            <w:tcMar>
              <w:top w:w="28" w:type="dxa"/>
              <w:left w:w="57" w:type="dxa"/>
              <w:bottom w:w="28" w:type="dxa"/>
              <w:right w:w="0" w:type="dxa"/>
            </w:tcMar>
            <w:vAlign w:val="center"/>
          </w:tcPr>
          <w:p w14:paraId="57305811" w14:textId="77777777" w:rsidR="00DA4E21" w:rsidRPr="007F4F91" w:rsidRDefault="00DA4E21" w:rsidP="00CD72A1">
            <w:pPr>
              <w:widowControl w:val="0"/>
              <w:tabs>
                <w:tab w:val="left" w:pos="720"/>
              </w:tabs>
              <w:rPr>
                <w:rFonts w:cs="Arial"/>
                <w:sz w:val="18"/>
              </w:rPr>
            </w:pPr>
          </w:p>
        </w:tc>
        <w:tc>
          <w:tcPr>
            <w:tcW w:w="1359" w:type="dxa"/>
            <w:tcBorders>
              <w:top w:val="single" w:sz="6" w:space="0" w:color="auto"/>
              <w:left w:val="nil"/>
              <w:bottom w:val="single" w:sz="6" w:space="0" w:color="auto"/>
              <w:right w:val="single" w:sz="6" w:space="0" w:color="auto"/>
            </w:tcBorders>
            <w:vAlign w:val="center"/>
          </w:tcPr>
          <w:p w14:paraId="57305812" w14:textId="77777777" w:rsidR="00DA4E21" w:rsidRPr="007F4F91" w:rsidRDefault="00DA4E21" w:rsidP="00CD72A1">
            <w:pPr>
              <w:widowControl w:val="0"/>
              <w:tabs>
                <w:tab w:val="left" w:pos="720"/>
              </w:tabs>
              <w:rPr>
                <w:rFonts w:cs="Arial"/>
                <w:sz w:val="18"/>
              </w:rPr>
            </w:pPr>
          </w:p>
        </w:tc>
        <w:tc>
          <w:tcPr>
            <w:tcW w:w="1268" w:type="dxa"/>
            <w:tcBorders>
              <w:top w:val="single" w:sz="6" w:space="0" w:color="auto"/>
              <w:left w:val="nil"/>
              <w:bottom w:val="single" w:sz="6" w:space="0" w:color="auto"/>
              <w:right w:val="double" w:sz="4" w:space="0" w:color="auto"/>
            </w:tcBorders>
            <w:vAlign w:val="center"/>
          </w:tcPr>
          <w:p w14:paraId="57305813" w14:textId="77777777" w:rsidR="00DA4E21" w:rsidRPr="007F4F91" w:rsidRDefault="00DA4E21" w:rsidP="00CD72A1">
            <w:pPr>
              <w:widowControl w:val="0"/>
              <w:tabs>
                <w:tab w:val="left" w:pos="720"/>
              </w:tabs>
              <w:rPr>
                <w:rFonts w:cs="Arial"/>
                <w:sz w:val="18"/>
              </w:rPr>
            </w:pPr>
          </w:p>
        </w:tc>
      </w:tr>
      <w:tr w:rsidR="00DA4E21" w:rsidRPr="00CC121D" w14:paraId="5730581C" w14:textId="77777777" w:rsidTr="00CD72A1">
        <w:trPr>
          <w:jc w:val="center"/>
        </w:trPr>
        <w:tc>
          <w:tcPr>
            <w:tcW w:w="1171" w:type="dxa"/>
            <w:vMerge/>
            <w:tcBorders>
              <w:left w:val="double" w:sz="4" w:space="0" w:color="auto"/>
              <w:right w:val="single" w:sz="6" w:space="0" w:color="auto"/>
            </w:tcBorders>
            <w:vAlign w:val="center"/>
          </w:tcPr>
          <w:p w14:paraId="57305815" w14:textId="77777777" w:rsidR="00DA4E21" w:rsidRPr="00CC121D" w:rsidRDefault="00DA4E21" w:rsidP="00D07AFA">
            <w:pPr>
              <w:rPr>
                <w:rFonts w:cs="Arial"/>
                <w:sz w:val="20"/>
              </w:rPr>
            </w:pPr>
          </w:p>
        </w:tc>
        <w:tc>
          <w:tcPr>
            <w:tcW w:w="1852" w:type="dxa"/>
            <w:tcBorders>
              <w:left w:val="single" w:sz="6" w:space="0" w:color="auto"/>
              <w:right w:val="single" w:sz="6" w:space="0" w:color="auto"/>
            </w:tcBorders>
            <w:vAlign w:val="center"/>
          </w:tcPr>
          <w:p w14:paraId="57305816" w14:textId="77777777" w:rsidR="00DA4E21" w:rsidRPr="007F4F91" w:rsidRDefault="00DA4E21" w:rsidP="00D07AFA">
            <w:pPr>
              <w:widowControl w:val="0"/>
              <w:tabs>
                <w:tab w:val="left" w:pos="720"/>
              </w:tabs>
              <w:rPr>
                <w:rFonts w:cs="Arial"/>
                <w:sz w:val="18"/>
              </w:rPr>
            </w:pPr>
            <w:r w:rsidRPr="007F4F91">
              <w:rPr>
                <w:rFonts w:cs="Arial"/>
                <w:sz w:val="18"/>
              </w:rPr>
              <w:t>Settlement</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57305817" w14:textId="77777777" w:rsidR="00DA4E21" w:rsidRPr="007F4F91" w:rsidRDefault="00DA4E21" w:rsidP="00EA3FAE">
            <w:pPr>
              <w:widowControl w:val="0"/>
              <w:tabs>
                <w:tab w:val="left" w:pos="720"/>
              </w:tabs>
              <w:jc w:val="center"/>
              <w:rPr>
                <w:rFonts w:cs="Arial"/>
                <w:sz w:val="18"/>
              </w:rPr>
            </w:pPr>
            <w:r w:rsidRPr="007F4F91">
              <w:rPr>
                <w:rFonts w:cs="Arial"/>
                <w:sz w:val="18"/>
              </w:rPr>
              <w:t>ECE.24</w:t>
            </w:r>
          </w:p>
        </w:tc>
        <w:tc>
          <w:tcPr>
            <w:tcW w:w="2501" w:type="dxa"/>
            <w:tcBorders>
              <w:top w:val="single" w:sz="6" w:space="0" w:color="auto"/>
              <w:left w:val="nil"/>
              <w:bottom w:val="single" w:sz="6" w:space="0" w:color="auto"/>
              <w:right w:val="single" w:sz="6" w:space="0" w:color="auto"/>
            </w:tcBorders>
            <w:tcMar>
              <w:top w:w="28" w:type="dxa"/>
              <w:left w:w="57" w:type="dxa"/>
              <w:bottom w:w="28" w:type="dxa"/>
              <w:right w:w="0" w:type="dxa"/>
            </w:tcMar>
            <w:vAlign w:val="center"/>
          </w:tcPr>
          <w:p w14:paraId="57305819" w14:textId="77777777" w:rsidR="00DA4E21" w:rsidRPr="007F4F91" w:rsidRDefault="00DA4E21" w:rsidP="00CD72A1">
            <w:pPr>
              <w:widowControl w:val="0"/>
              <w:tabs>
                <w:tab w:val="left" w:pos="720"/>
              </w:tabs>
              <w:rPr>
                <w:rFonts w:cs="Arial"/>
                <w:sz w:val="18"/>
              </w:rPr>
            </w:pPr>
          </w:p>
        </w:tc>
        <w:tc>
          <w:tcPr>
            <w:tcW w:w="1359" w:type="dxa"/>
            <w:tcBorders>
              <w:top w:val="single" w:sz="6" w:space="0" w:color="auto"/>
              <w:left w:val="nil"/>
              <w:bottom w:val="single" w:sz="6" w:space="0" w:color="auto"/>
              <w:right w:val="single" w:sz="6" w:space="0" w:color="auto"/>
            </w:tcBorders>
            <w:vAlign w:val="center"/>
          </w:tcPr>
          <w:p w14:paraId="5730581A" w14:textId="77777777" w:rsidR="00DA4E21" w:rsidRPr="007F4F91" w:rsidRDefault="00DA4E21" w:rsidP="00CD72A1">
            <w:pPr>
              <w:widowControl w:val="0"/>
              <w:tabs>
                <w:tab w:val="left" w:pos="720"/>
              </w:tabs>
              <w:rPr>
                <w:rFonts w:cs="Arial"/>
                <w:sz w:val="18"/>
              </w:rPr>
            </w:pPr>
          </w:p>
        </w:tc>
        <w:tc>
          <w:tcPr>
            <w:tcW w:w="1268" w:type="dxa"/>
            <w:tcBorders>
              <w:top w:val="single" w:sz="6" w:space="0" w:color="auto"/>
              <w:left w:val="nil"/>
              <w:bottom w:val="single" w:sz="6" w:space="0" w:color="auto"/>
              <w:right w:val="double" w:sz="4" w:space="0" w:color="auto"/>
            </w:tcBorders>
            <w:vAlign w:val="center"/>
          </w:tcPr>
          <w:p w14:paraId="5730581B" w14:textId="77777777" w:rsidR="00DA4E21" w:rsidRPr="007F4F91" w:rsidRDefault="00DA4E21" w:rsidP="00CD72A1">
            <w:pPr>
              <w:widowControl w:val="0"/>
              <w:tabs>
                <w:tab w:val="left" w:pos="720"/>
              </w:tabs>
              <w:rPr>
                <w:rFonts w:cs="Arial"/>
                <w:sz w:val="18"/>
              </w:rPr>
            </w:pPr>
          </w:p>
        </w:tc>
      </w:tr>
      <w:tr w:rsidR="00DA4E21" w:rsidRPr="00CC121D" w14:paraId="57305826" w14:textId="77777777" w:rsidTr="00CD72A1">
        <w:trPr>
          <w:trHeight w:val="438"/>
          <w:jc w:val="center"/>
        </w:trPr>
        <w:tc>
          <w:tcPr>
            <w:tcW w:w="1171" w:type="dxa"/>
            <w:vMerge/>
            <w:tcBorders>
              <w:left w:val="double" w:sz="4" w:space="0" w:color="auto"/>
              <w:right w:val="single" w:sz="6" w:space="0" w:color="auto"/>
            </w:tcBorders>
            <w:vAlign w:val="center"/>
          </w:tcPr>
          <w:p w14:paraId="5730581D" w14:textId="77777777" w:rsidR="00DA4E21" w:rsidRPr="00CC121D" w:rsidRDefault="00DA4E21" w:rsidP="00D07AFA">
            <w:pPr>
              <w:rPr>
                <w:rFonts w:cs="Arial"/>
                <w:sz w:val="20"/>
              </w:rPr>
            </w:pPr>
          </w:p>
        </w:tc>
        <w:tc>
          <w:tcPr>
            <w:tcW w:w="1852" w:type="dxa"/>
            <w:tcBorders>
              <w:left w:val="single" w:sz="6" w:space="0" w:color="auto"/>
              <w:right w:val="single" w:sz="6" w:space="0" w:color="auto"/>
            </w:tcBorders>
            <w:vAlign w:val="center"/>
          </w:tcPr>
          <w:p w14:paraId="5730581E" w14:textId="77777777" w:rsidR="00DA4E21" w:rsidRPr="007F4F91" w:rsidRDefault="00DA4E21" w:rsidP="00D07AFA">
            <w:pPr>
              <w:widowControl w:val="0"/>
              <w:tabs>
                <w:tab w:val="left" w:pos="720"/>
              </w:tabs>
              <w:rPr>
                <w:rFonts w:cs="Arial"/>
                <w:sz w:val="18"/>
              </w:rPr>
            </w:pPr>
            <w:r w:rsidRPr="007F4F91">
              <w:rPr>
                <w:rFonts w:cs="Arial"/>
                <w:sz w:val="18"/>
              </w:rPr>
              <w:t>Provision for construction</w:t>
            </w:r>
          </w:p>
        </w:tc>
        <w:tc>
          <w:tcPr>
            <w:tcW w:w="850" w:type="dxa"/>
            <w:gridSpan w:val="2"/>
            <w:tcBorders>
              <w:top w:val="single" w:sz="6" w:space="0" w:color="auto"/>
              <w:left w:val="single" w:sz="6" w:space="0" w:color="auto"/>
              <w:bottom w:val="single" w:sz="6" w:space="0" w:color="auto"/>
              <w:right w:val="single" w:sz="6" w:space="0" w:color="auto"/>
            </w:tcBorders>
            <w:vAlign w:val="center"/>
          </w:tcPr>
          <w:p w14:paraId="5730581F" w14:textId="77777777" w:rsidR="00DA4E21" w:rsidRPr="007F4F91" w:rsidRDefault="00DA4E21" w:rsidP="00EA3FAE">
            <w:pPr>
              <w:widowControl w:val="0"/>
              <w:tabs>
                <w:tab w:val="left" w:pos="720"/>
              </w:tabs>
              <w:jc w:val="center"/>
              <w:rPr>
                <w:rFonts w:cs="Arial"/>
                <w:sz w:val="18"/>
              </w:rPr>
            </w:pPr>
            <w:r w:rsidRPr="007F4F91">
              <w:rPr>
                <w:rFonts w:cs="Arial"/>
                <w:sz w:val="18"/>
              </w:rPr>
              <w:t>ECE.25</w:t>
            </w:r>
          </w:p>
        </w:tc>
        <w:tc>
          <w:tcPr>
            <w:tcW w:w="2501" w:type="dxa"/>
            <w:tcBorders>
              <w:top w:val="single" w:sz="6" w:space="0" w:color="auto"/>
              <w:left w:val="nil"/>
              <w:bottom w:val="single" w:sz="6" w:space="0" w:color="auto"/>
              <w:right w:val="single" w:sz="6" w:space="0" w:color="auto"/>
            </w:tcBorders>
            <w:tcMar>
              <w:top w:w="28" w:type="dxa"/>
              <w:left w:w="57" w:type="dxa"/>
              <w:bottom w:w="28" w:type="dxa"/>
              <w:right w:w="0" w:type="dxa"/>
            </w:tcMar>
            <w:vAlign w:val="center"/>
          </w:tcPr>
          <w:p w14:paraId="57305821" w14:textId="77777777" w:rsidR="00DA4E21" w:rsidRPr="007F4F91" w:rsidRDefault="00DA4E21" w:rsidP="00CD72A1">
            <w:pPr>
              <w:widowControl w:val="0"/>
              <w:tabs>
                <w:tab w:val="left" w:pos="720"/>
              </w:tabs>
              <w:rPr>
                <w:rFonts w:cs="Arial"/>
                <w:sz w:val="18"/>
              </w:rPr>
            </w:pPr>
          </w:p>
        </w:tc>
        <w:tc>
          <w:tcPr>
            <w:tcW w:w="1359" w:type="dxa"/>
            <w:tcBorders>
              <w:top w:val="single" w:sz="6" w:space="0" w:color="auto"/>
              <w:left w:val="nil"/>
              <w:bottom w:val="single" w:sz="6" w:space="0" w:color="auto"/>
              <w:right w:val="single" w:sz="6" w:space="0" w:color="auto"/>
            </w:tcBorders>
            <w:vAlign w:val="center"/>
          </w:tcPr>
          <w:p w14:paraId="57305822" w14:textId="77777777" w:rsidR="00DA4E21" w:rsidRPr="007F4F91" w:rsidRDefault="00DA4E21" w:rsidP="00CD72A1">
            <w:pPr>
              <w:widowControl w:val="0"/>
              <w:tabs>
                <w:tab w:val="left" w:pos="720"/>
              </w:tabs>
              <w:rPr>
                <w:rFonts w:cs="Arial"/>
                <w:sz w:val="18"/>
              </w:rPr>
            </w:pPr>
          </w:p>
        </w:tc>
        <w:tc>
          <w:tcPr>
            <w:tcW w:w="1268" w:type="dxa"/>
            <w:tcBorders>
              <w:top w:val="single" w:sz="6" w:space="0" w:color="auto"/>
              <w:left w:val="nil"/>
              <w:bottom w:val="single" w:sz="6" w:space="0" w:color="auto"/>
              <w:right w:val="double" w:sz="4" w:space="0" w:color="auto"/>
            </w:tcBorders>
            <w:vAlign w:val="center"/>
          </w:tcPr>
          <w:p w14:paraId="57305823" w14:textId="77777777" w:rsidR="00DA4E21" w:rsidRPr="007F4F91" w:rsidRDefault="00DA4E21" w:rsidP="00CD72A1">
            <w:pPr>
              <w:widowControl w:val="0"/>
              <w:tabs>
                <w:tab w:val="left" w:pos="720"/>
              </w:tabs>
              <w:rPr>
                <w:rFonts w:cs="Arial"/>
                <w:sz w:val="18"/>
              </w:rPr>
            </w:pPr>
            <w:r w:rsidRPr="007F4F91">
              <w:rPr>
                <w:rFonts w:cs="Arial"/>
                <w:sz w:val="18"/>
              </w:rPr>
              <w:t>DI-07</w:t>
            </w:r>
          </w:p>
          <w:p w14:paraId="57305825" w14:textId="34A72259" w:rsidR="00DA4E21" w:rsidRPr="007F4F91" w:rsidRDefault="00DA4E21" w:rsidP="00CD72A1">
            <w:pPr>
              <w:rPr>
                <w:rFonts w:cs="Arial"/>
                <w:sz w:val="18"/>
              </w:rPr>
            </w:pPr>
            <w:r w:rsidRPr="007F4F91">
              <w:rPr>
                <w:rFonts w:cs="Arial"/>
                <w:sz w:val="18"/>
              </w:rPr>
              <w:t>DI-22</w:t>
            </w:r>
          </w:p>
        </w:tc>
      </w:tr>
      <w:tr w:rsidR="00DA4E21" w:rsidRPr="00CC121D" w14:paraId="57305836" w14:textId="77777777" w:rsidTr="00CD72A1">
        <w:trPr>
          <w:jc w:val="center"/>
        </w:trPr>
        <w:tc>
          <w:tcPr>
            <w:tcW w:w="1171" w:type="dxa"/>
            <w:vMerge/>
            <w:tcBorders>
              <w:left w:val="double" w:sz="4" w:space="0" w:color="auto"/>
              <w:bottom w:val="single" w:sz="6" w:space="0" w:color="auto"/>
              <w:right w:val="single" w:sz="6" w:space="0" w:color="auto"/>
            </w:tcBorders>
            <w:vAlign w:val="center"/>
          </w:tcPr>
          <w:p w14:paraId="57305827" w14:textId="77777777" w:rsidR="00DA4E21" w:rsidRPr="00CC121D" w:rsidRDefault="00DA4E21" w:rsidP="00D07AFA">
            <w:pPr>
              <w:rPr>
                <w:rFonts w:cs="Arial"/>
                <w:sz w:val="20"/>
              </w:rPr>
            </w:pPr>
          </w:p>
        </w:tc>
        <w:tc>
          <w:tcPr>
            <w:tcW w:w="1852" w:type="dxa"/>
            <w:tcBorders>
              <w:left w:val="single" w:sz="6" w:space="0" w:color="auto"/>
              <w:bottom w:val="double" w:sz="4" w:space="0" w:color="auto"/>
              <w:right w:val="single" w:sz="6" w:space="0" w:color="auto"/>
            </w:tcBorders>
            <w:vAlign w:val="center"/>
          </w:tcPr>
          <w:p w14:paraId="57305828" w14:textId="77777777" w:rsidR="00DA4E21" w:rsidRPr="007F4F91" w:rsidRDefault="00DA4E21" w:rsidP="00D07AFA">
            <w:pPr>
              <w:widowControl w:val="0"/>
              <w:tabs>
                <w:tab w:val="left" w:pos="720"/>
              </w:tabs>
              <w:rPr>
                <w:rFonts w:cs="Arial"/>
                <w:sz w:val="18"/>
              </w:rPr>
            </w:pPr>
            <w:r w:rsidRPr="007F4F91">
              <w:rPr>
                <w:rFonts w:cs="Arial"/>
                <w:sz w:val="18"/>
              </w:rPr>
              <w:t>Provision for decommissioning</w:t>
            </w:r>
          </w:p>
        </w:tc>
        <w:tc>
          <w:tcPr>
            <w:tcW w:w="850" w:type="dxa"/>
            <w:gridSpan w:val="2"/>
            <w:tcBorders>
              <w:top w:val="single" w:sz="6" w:space="0" w:color="auto"/>
              <w:left w:val="single" w:sz="6" w:space="0" w:color="auto"/>
              <w:bottom w:val="double" w:sz="4" w:space="0" w:color="auto"/>
              <w:right w:val="single" w:sz="6" w:space="0" w:color="auto"/>
            </w:tcBorders>
            <w:vAlign w:val="center"/>
          </w:tcPr>
          <w:p w14:paraId="57305829" w14:textId="77777777" w:rsidR="00DA4E21" w:rsidRPr="007F4F91" w:rsidRDefault="00DA4E21" w:rsidP="00EA3FAE">
            <w:pPr>
              <w:widowControl w:val="0"/>
              <w:tabs>
                <w:tab w:val="left" w:pos="720"/>
              </w:tabs>
              <w:jc w:val="center"/>
              <w:rPr>
                <w:rFonts w:cs="Arial"/>
                <w:sz w:val="18"/>
              </w:rPr>
            </w:pPr>
            <w:r w:rsidRPr="007F4F91">
              <w:rPr>
                <w:rFonts w:cs="Arial"/>
                <w:sz w:val="18"/>
              </w:rPr>
              <w:t>ECE.26</w:t>
            </w:r>
          </w:p>
        </w:tc>
        <w:tc>
          <w:tcPr>
            <w:tcW w:w="2501" w:type="dxa"/>
            <w:tcBorders>
              <w:top w:val="single" w:sz="6" w:space="0" w:color="auto"/>
              <w:left w:val="nil"/>
              <w:bottom w:val="double" w:sz="4" w:space="0" w:color="auto"/>
              <w:right w:val="single" w:sz="6" w:space="0" w:color="auto"/>
            </w:tcBorders>
            <w:tcMar>
              <w:top w:w="28" w:type="dxa"/>
              <w:left w:w="57" w:type="dxa"/>
              <w:bottom w:w="28" w:type="dxa"/>
              <w:right w:w="0" w:type="dxa"/>
            </w:tcMar>
            <w:vAlign w:val="center"/>
          </w:tcPr>
          <w:p w14:paraId="5730582B" w14:textId="77777777" w:rsidR="00DA4E21" w:rsidRPr="007F4F91" w:rsidRDefault="00DA4E21" w:rsidP="00CD72A1">
            <w:pPr>
              <w:widowControl w:val="0"/>
              <w:tabs>
                <w:tab w:val="left" w:pos="720"/>
              </w:tabs>
              <w:rPr>
                <w:rFonts w:cs="Arial"/>
                <w:sz w:val="18"/>
              </w:rPr>
            </w:pPr>
          </w:p>
        </w:tc>
        <w:tc>
          <w:tcPr>
            <w:tcW w:w="1359" w:type="dxa"/>
            <w:tcBorders>
              <w:top w:val="single" w:sz="6" w:space="0" w:color="auto"/>
              <w:left w:val="nil"/>
              <w:bottom w:val="double" w:sz="4" w:space="0" w:color="auto"/>
              <w:right w:val="single" w:sz="6" w:space="0" w:color="auto"/>
            </w:tcBorders>
            <w:vAlign w:val="center"/>
          </w:tcPr>
          <w:p w14:paraId="57305834" w14:textId="6E722B11" w:rsidR="00DA4E21" w:rsidRPr="007F4F91" w:rsidRDefault="00DA4E21" w:rsidP="00CD72A1">
            <w:pPr>
              <w:widowControl w:val="0"/>
              <w:tabs>
                <w:tab w:val="left" w:pos="720"/>
              </w:tabs>
              <w:rPr>
                <w:rFonts w:cs="Arial"/>
                <w:sz w:val="18"/>
              </w:rPr>
            </w:pPr>
            <w:r w:rsidRPr="007F4F91">
              <w:rPr>
                <w:rFonts w:cs="Arial"/>
                <w:sz w:val="18"/>
              </w:rPr>
              <w:t>DE-15</w:t>
            </w:r>
            <w:r w:rsidR="00EA3FAE">
              <w:rPr>
                <w:rFonts w:cs="Arial"/>
                <w:sz w:val="18"/>
              </w:rPr>
              <w:t xml:space="preserve">, </w:t>
            </w:r>
            <w:r w:rsidRPr="007F4F91">
              <w:rPr>
                <w:rFonts w:cs="Arial"/>
                <w:sz w:val="18"/>
              </w:rPr>
              <w:t>DE-16</w:t>
            </w:r>
            <w:r w:rsidR="00EA3FAE">
              <w:rPr>
                <w:rFonts w:cs="Arial"/>
                <w:sz w:val="18"/>
              </w:rPr>
              <w:t xml:space="preserve">, </w:t>
            </w:r>
            <w:r w:rsidRPr="007F4F91">
              <w:rPr>
                <w:rFonts w:cs="Arial"/>
                <w:sz w:val="18"/>
              </w:rPr>
              <w:t>DE-17</w:t>
            </w:r>
            <w:r w:rsidR="00EA3FAE">
              <w:rPr>
                <w:rFonts w:cs="Arial"/>
                <w:sz w:val="18"/>
              </w:rPr>
              <w:t xml:space="preserve">, </w:t>
            </w:r>
            <w:r w:rsidRPr="007F4F91">
              <w:rPr>
                <w:rFonts w:cs="Arial"/>
                <w:sz w:val="18"/>
              </w:rPr>
              <w:t>DE-18</w:t>
            </w:r>
            <w:r w:rsidR="00EA3FAE">
              <w:rPr>
                <w:rFonts w:cs="Arial"/>
                <w:sz w:val="18"/>
              </w:rPr>
              <w:t xml:space="preserve">, </w:t>
            </w:r>
            <w:r w:rsidRPr="007F4F91">
              <w:rPr>
                <w:rFonts w:cs="Arial"/>
                <w:sz w:val="18"/>
              </w:rPr>
              <w:t>DE-20</w:t>
            </w:r>
            <w:r w:rsidR="00EA3FAE">
              <w:rPr>
                <w:rFonts w:cs="Arial"/>
                <w:sz w:val="18"/>
              </w:rPr>
              <w:t xml:space="preserve">, </w:t>
            </w:r>
            <w:r w:rsidRPr="007F4F91">
              <w:rPr>
                <w:rFonts w:cs="Arial"/>
                <w:sz w:val="18"/>
              </w:rPr>
              <w:t>DE-21</w:t>
            </w:r>
            <w:r w:rsidR="00EA3FAE">
              <w:rPr>
                <w:rFonts w:cs="Arial"/>
                <w:sz w:val="18"/>
              </w:rPr>
              <w:t xml:space="preserve">, </w:t>
            </w:r>
            <w:r w:rsidRPr="007F4F91">
              <w:rPr>
                <w:rFonts w:cs="Arial"/>
                <w:sz w:val="18"/>
              </w:rPr>
              <w:t>DE-54</w:t>
            </w:r>
            <w:r w:rsidR="00EA3FAE">
              <w:rPr>
                <w:rFonts w:cs="Arial"/>
                <w:sz w:val="18"/>
              </w:rPr>
              <w:t xml:space="preserve">, </w:t>
            </w:r>
            <w:r w:rsidRPr="007F4F91">
              <w:rPr>
                <w:rFonts w:cs="Arial"/>
                <w:sz w:val="18"/>
              </w:rPr>
              <w:t>DE-55</w:t>
            </w:r>
            <w:r w:rsidR="00EA3FAE">
              <w:rPr>
                <w:rFonts w:cs="Arial"/>
                <w:sz w:val="18"/>
              </w:rPr>
              <w:t xml:space="preserve">, </w:t>
            </w:r>
            <w:r w:rsidRPr="007F4F91">
              <w:rPr>
                <w:rFonts w:cs="Arial"/>
                <w:sz w:val="18"/>
              </w:rPr>
              <w:t>DE-56</w:t>
            </w:r>
          </w:p>
        </w:tc>
        <w:tc>
          <w:tcPr>
            <w:tcW w:w="1268" w:type="dxa"/>
            <w:tcBorders>
              <w:top w:val="single" w:sz="6" w:space="0" w:color="auto"/>
              <w:left w:val="nil"/>
              <w:bottom w:val="double" w:sz="4" w:space="0" w:color="auto"/>
              <w:right w:val="double" w:sz="4" w:space="0" w:color="auto"/>
            </w:tcBorders>
            <w:vAlign w:val="center"/>
          </w:tcPr>
          <w:p w14:paraId="57305835" w14:textId="77777777" w:rsidR="00DA4E21" w:rsidRPr="007F4F91" w:rsidRDefault="00DA4E21" w:rsidP="00CD72A1">
            <w:pPr>
              <w:rPr>
                <w:rFonts w:cs="Arial"/>
                <w:sz w:val="18"/>
              </w:rPr>
            </w:pPr>
            <w:r w:rsidRPr="007F4F91">
              <w:rPr>
                <w:rFonts w:cs="Arial"/>
                <w:sz w:val="18"/>
              </w:rPr>
              <w:t>DI-68</w:t>
            </w:r>
          </w:p>
        </w:tc>
      </w:tr>
    </w:tbl>
    <w:p w14:paraId="57305838" w14:textId="756CE3A6" w:rsidR="00D07AFA" w:rsidRPr="00CC121D" w:rsidRDefault="00D07AFA" w:rsidP="00D07AFA">
      <w:pPr>
        <w:rPr>
          <w:rFonts w:ascii="Times New Roman" w:hAnsi="Times New Roman"/>
          <w:sz w:val="24"/>
          <w:lang w:eastAsia="en-GB"/>
        </w:rPr>
      </w:pPr>
      <w:r w:rsidRPr="00CC121D">
        <w:rPr>
          <w:rFonts w:ascii="Times New Roman" w:hAnsi="Times New Roman"/>
          <w:sz w:val="24"/>
          <w:lang w:eastAsia="en-GB"/>
        </w:rPr>
        <w:t xml:space="preserve">  </w:t>
      </w:r>
      <w:r w:rsidRPr="00CC121D">
        <w:rPr>
          <w:rFonts w:ascii="Times New Roman" w:hAnsi="Times New Roman"/>
          <w:sz w:val="24"/>
          <w:lang w:eastAsia="en-GB"/>
        </w:rPr>
        <w:br w:type="page"/>
      </w:r>
    </w:p>
    <w:p w14:paraId="57305839" w14:textId="1CA450E0" w:rsidR="00D07AFA" w:rsidRPr="00CC121D" w:rsidRDefault="00D07AFA" w:rsidP="00D07AFA">
      <w:pPr>
        <w:pStyle w:val="TSHeadingNumbered11"/>
      </w:pPr>
      <w:bookmarkStart w:id="102" w:name="_Toc57912716"/>
      <w:r w:rsidRPr="00CC121D">
        <w:t>APPENDIX F: INTERNAL INTERFACES</w:t>
      </w:r>
      <w:bookmarkEnd w:id="102"/>
    </w:p>
    <w:p w14:paraId="5730583A" w14:textId="77777777" w:rsidR="00D07AFA" w:rsidRPr="00CC121D" w:rsidRDefault="00D07AFA" w:rsidP="00D07AFA">
      <w:pPr>
        <w:spacing w:after="220"/>
        <w:outlineLvl w:val="0"/>
        <w:rPr>
          <w:b/>
        </w:rPr>
      </w:pPr>
      <w:r w:rsidRPr="00CC121D">
        <w:rPr>
          <w:szCs w:val="22"/>
        </w:rPr>
        <w:t>Civil engineering interacts with a wide number of disciplines as it needs the input (loadings) from other disciplines to design the civil engineering structures that provide support to other SSCs, and the decisions made in civil engineering design impact on other disciplines.</w:t>
      </w:r>
    </w:p>
    <w:p w14:paraId="5730583B" w14:textId="77777777" w:rsidR="00D07AFA" w:rsidRPr="00CC121D" w:rsidRDefault="00D07AFA" w:rsidP="00D07AFA">
      <w:pPr>
        <w:spacing w:after="220"/>
        <w:outlineLvl w:val="0"/>
        <w:rPr>
          <w:b/>
        </w:rPr>
      </w:pPr>
      <w:r w:rsidRPr="00CC121D">
        <w:rPr>
          <w:b/>
        </w:rPr>
        <w:t>Key common interfaces (not limited to) the following TAGs and TIGs:</w:t>
      </w:r>
    </w:p>
    <w:tbl>
      <w:tblPr>
        <w:tblStyle w:val="TableGrid"/>
        <w:tblW w:w="9341" w:type="dxa"/>
        <w:jc w:val="center"/>
        <w:tblBorders>
          <w:top w:val="double" w:sz="4" w:space="0" w:color="8DB3E2"/>
          <w:left w:val="double" w:sz="4" w:space="0" w:color="8DB3E2"/>
          <w:bottom w:val="double" w:sz="4" w:space="0" w:color="8DB3E2"/>
          <w:right w:val="double" w:sz="4" w:space="0" w:color="8DB3E2"/>
          <w:insideH w:val="double" w:sz="4" w:space="0" w:color="8DB3E2"/>
          <w:insideV w:val="double" w:sz="4" w:space="0" w:color="8DB3E2"/>
        </w:tblBorders>
        <w:tblLook w:val="04A0" w:firstRow="1" w:lastRow="0" w:firstColumn="1" w:lastColumn="0" w:noHBand="0" w:noVBand="1"/>
      </w:tblPr>
      <w:tblGrid>
        <w:gridCol w:w="2261"/>
        <w:gridCol w:w="7080"/>
      </w:tblGrid>
      <w:tr w:rsidR="00CC121D" w:rsidRPr="00CC121D" w14:paraId="5730583E" w14:textId="77777777" w:rsidTr="00AA1B3C">
        <w:trPr>
          <w:jc w:val="center"/>
        </w:trPr>
        <w:tc>
          <w:tcPr>
            <w:tcW w:w="2261" w:type="dxa"/>
            <w:tcBorders>
              <w:top w:val="double" w:sz="4" w:space="0" w:color="8DB3E2"/>
              <w:left w:val="double" w:sz="4" w:space="0" w:color="8DB3E2"/>
              <w:bottom w:val="double" w:sz="4" w:space="0" w:color="8DB3E2"/>
              <w:right w:val="double" w:sz="4" w:space="0" w:color="8DB3E2"/>
            </w:tcBorders>
            <w:shd w:val="clear" w:color="auto" w:fill="C6D9F1"/>
          </w:tcPr>
          <w:p w14:paraId="5730583C" w14:textId="77777777" w:rsidR="00D07AFA" w:rsidRPr="00CC121D" w:rsidRDefault="00D07AFA" w:rsidP="00D07AFA">
            <w:pPr>
              <w:rPr>
                <w:rFonts w:cs="Arial"/>
                <w:b/>
                <w:szCs w:val="20"/>
              </w:rPr>
            </w:pPr>
            <w:r w:rsidRPr="00CC121D">
              <w:rPr>
                <w:rFonts w:cs="Arial"/>
                <w:b/>
                <w:szCs w:val="20"/>
              </w:rPr>
              <w:t xml:space="preserve">Topic </w:t>
            </w:r>
          </w:p>
        </w:tc>
        <w:tc>
          <w:tcPr>
            <w:tcW w:w="7080" w:type="dxa"/>
            <w:tcBorders>
              <w:top w:val="double" w:sz="4" w:space="0" w:color="8DB3E2"/>
              <w:left w:val="double" w:sz="4" w:space="0" w:color="8DB3E2"/>
              <w:bottom w:val="double" w:sz="4" w:space="0" w:color="8DB3E2"/>
              <w:right w:val="double" w:sz="4" w:space="0" w:color="8DB3E2"/>
            </w:tcBorders>
            <w:shd w:val="clear" w:color="auto" w:fill="C6D9F1"/>
          </w:tcPr>
          <w:p w14:paraId="5730583D" w14:textId="77777777" w:rsidR="00D07AFA" w:rsidRPr="00CC121D" w:rsidRDefault="00D07AFA" w:rsidP="00D07AFA">
            <w:pPr>
              <w:rPr>
                <w:rFonts w:cs="Arial"/>
                <w:b/>
                <w:szCs w:val="20"/>
              </w:rPr>
            </w:pPr>
            <w:r w:rsidRPr="00CC121D">
              <w:rPr>
                <w:rFonts w:cs="Arial"/>
                <w:b/>
                <w:szCs w:val="20"/>
              </w:rPr>
              <w:t>TAG Interfaces</w:t>
            </w:r>
          </w:p>
        </w:tc>
      </w:tr>
      <w:tr w:rsidR="00CC121D" w:rsidRPr="00CC121D" w14:paraId="57305840" w14:textId="77777777" w:rsidTr="00AA1B3C">
        <w:trPr>
          <w:trHeight w:val="242"/>
          <w:jc w:val="center"/>
        </w:trPr>
        <w:tc>
          <w:tcPr>
            <w:tcW w:w="9341" w:type="dxa"/>
            <w:gridSpan w:val="2"/>
            <w:tcBorders>
              <w:top w:val="double" w:sz="4" w:space="0" w:color="8DB3E2"/>
              <w:left w:val="double" w:sz="4" w:space="0" w:color="8DB3E2"/>
              <w:bottom w:val="double" w:sz="4" w:space="0" w:color="8DB3E2"/>
              <w:right w:val="double" w:sz="4" w:space="0" w:color="8DB3E2"/>
            </w:tcBorders>
            <w:shd w:val="clear" w:color="auto" w:fill="C6D9F1" w:themeFill="text2" w:themeFillTint="33"/>
          </w:tcPr>
          <w:p w14:paraId="5730583F" w14:textId="77777777" w:rsidR="00D07AFA" w:rsidRPr="00CC121D" w:rsidRDefault="00D07AFA" w:rsidP="00D07AFA">
            <w:pPr>
              <w:rPr>
                <w:rFonts w:cs="Arial"/>
                <w:b/>
                <w:szCs w:val="20"/>
              </w:rPr>
            </w:pPr>
            <w:r w:rsidRPr="00CC121D">
              <w:rPr>
                <w:rFonts w:cs="Arial"/>
                <w:b/>
                <w:szCs w:val="20"/>
              </w:rPr>
              <w:t>Principles</w:t>
            </w:r>
          </w:p>
        </w:tc>
      </w:tr>
      <w:tr w:rsidR="00CC121D" w:rsidRPr="00CC121D" w14:paraId="57305843" w14:textId="77777777" w:rsidTr="00AA1B3C">
        <w:trPr>
          <w:trHeight w:val="223"/>
          <w:jc w:val="center"/>
        </w:trPr>
        <w:tc>
          <w:tcPr>
            <w:tcW w:w="2261" w:type="dxa"/>
            <w:tcBorders>
              <w:top w:val="double" w:sz="4" w:space="0" w:color="8DB3E2"/>
              <w:left w:val="double" w:sz="4" w:space="0" w:color="8DB3E2"/>
              <w:bottom w:val="double" w:sz="4" w:space="0" w:color="8DB3E2"/>
              <w:right w:val="double" w:sz="4" w:space="0" w:color="8DB3E2"/>
            </w:tcBorders>
            <w:vAlign w:val="center"/>
          </w:tcPr>
          <w:p w14:paraId="57305841" w14:textId="77777777" w:rsidR="00D07AFA" w:rsidRPr="00CC121D" w:rsidRDefault="00D07AFA" w:rsidP="00D07AFA">
            <w:r w:rsidRPr="00CC121D">
              <w:t>Design phases</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842" w14:textId="7A088B47" w:rsidR="00D07AFA" w:rsidRPr="00CC121D" w:rsidRDefault="00561E8F" w:rsidP="00D07AFA">
            <w:pPr>
              <w:outlineLvl w:val="0"/>
            </w:pPr>
            <w:r>
              <w:t>ONR-</w:t>
            </w:r>
            <w:r w:rsidR="00D07AFA" w:rsidRPr="00CC121D">
              <w:t xml:space="preserve">NS-TAST-GD-057 ‘Design Safety Assurance’ </w:t>
            </w:r>
          </w:p>
        </w:tc>
      </w:tr>
      <w:tr w:rsidR="00CC121D" w:rsidRPr="00CC121D" w14:paraId="57305846" w14:textId="77777777" w:rsidTr="00AA1B3C">
        <w:trPr>
          <w:trHeight w:val="223"/>
          <w:jc w:val="center"/>
        </w:trPr>
        <w:tc>
          <w:tcPr>
            <w:tcW w:w="2261" w:type="dxa"/>
            <w:tcBorders>
              <w:top w:val="double" w:sz="4" w:space="0" w:color="8DB3E2"/>
              <w:left w:val="double" w:sz="4" w:space="0" w:color="8DB3E2"/>
              <w:bottom w:val="double" w:sz="4" w:space="0" w:color="8DB3E2"/>
              <w:right w:val="double" w:sz="4" w:space="0" w:color="8DB3E2"/>
            </w:tcBorders>
            <w:vAlign w:val="center"/>
          </w:tcPr>
          <w:p w14:paraId="57305844" w14:textId="77777777" w:rsidR="00D07AFA" w:rsidRPr="00CC121D" w:rsidRDefault="00D07AFA" w:rsidP="00D07AFA">
            <w:r w:rsidRPr="00CC121D">
              <w:t xml:space="preserve">Safety Cases </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845" w14:textId="34D42C83" w:rsidR="00D07AFA" w:rsidRPr="00CC121D" w:rsidRDefault="00561E8F" w:rsidP="00D07AFA">
            <w:pPr>
              <w:outlineLvl w:val="0"/>
            </w:pPr>
            <w:r>
              <w:rPr>
                <w:iCs/>
              </w:rPr>
              <w:t>ONR-</w:t>
            </w:r>
            <w:r w:rsidR="00D07AFA" w:rsidRPr="00CC121D">
              <w:t>NS-TAST-GD-051 ‘The Purpose, Scope and Content of Safety Cases’ , in particular paragraph 10 and table 1, Appendix 1</w:t>
            </w:r>
          </w:p>
        </w:tc>
      </w:tr>
      <w:tr w:rsidR="00CC121D" w:rsidRPr="00CC121D" w14:paraId="57305849" w14:textId="77777777" w:rsidTr="00AA1B3C">
        <w:trPr>
          <w:trHeight w:val="223"/>
          <w:jc w:val="center"/>
        </w:trPr>
        <w:tc>
          <w:tcPr>
            <w:tcW w:w="2261" w:type="dxa"/>
            <w:tcBorders>
              <w:top w:val="double" w:sz="4" w:space="0" w:color="8DB3E2"/>
              <w:left w:val="double" w:sz="4" w:space="0" w:color="8DB3E2"/>
              <w:bottom w:val="double" w:sz="4" w:space="0" w:color="8DB3E2"/>
              <w:right w:val="double" w:sz="4" w:space="0" w:color="8DB3E2"/>
            </w:tcBorders>
            <w:vAlign w:val="center"/>
          </w:tcPr>
          <w:p w14:paraId="57305847" w14:textId="77777777" w:rsidR="00D07AFA" w:rsidRPr="00CC121D" w:rsidRDefault="00D07AFA" w:rsidP="00D07AFA">
            <w:r w:rsidRPr="00CC121D">
              <w:t>RGP &amp; ALARP</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848" w14:textId="653EC01C" w:rsidR="00D07AFA" w:rsidRPr="00CC121D" w:rsidRDefault="00561E8F" w:rsidP="00D07AFA">
            <w:pPr>
              <w:outlineLvl w:val="0"/>
            </w:pPr>
            <w:r>
              <w:rPr>
                <w:iCs/>
              </w:rPr>
              <w:t>ONR-</w:t>
            </w:r>
            <w:r w:rsidR="00D07AFA" w:rsidRPr="00CC121D">
              <w:t>NS-TAST-GD-005  ‘Demonstration of ALARP’ , in particular paragraph 6.1 and Annex 1</w:t>
            </w:r>
          </w:p>
        </w:tc>
      </w:tr>
      <w:tr w:rsidR="00CC121D" w:rsidRPr="00CC121D" w14:paraId="5730584C" w14:textId="77777777" w:rsidTr="00AA1B3C">
        <w:trPr>
          <w:trHeight w:val="223"/>
          <w:jc w:val="center"/>
        </w:trPr>
        <w:tc>
          <w:tcPr>
            <w:tcW w:w="2261" w:type="dxa"/>
            <w:tcBorders>
              <w:top w:val="double" w:sz="4" w:space="0" w:color="8DB3E2"/>
              <w:left w:val="double" w:sz="4" w:space="0" w:color="8DB3E2"/>
              <w:bottom w:val="double" w:sz="4" w:space="0" w:color="8DB3E2"/>
              <w:right w:val="double" w:sz="4" w:space="0" w:color="8DB3E2"/>
            </w:tcBorders>
            <w:vAlign w:val="center"/>
          </w:tcPr>
          <w:p w14:paraId="5730584A" w14:textId="77777777" w:rsidR="00D07AFA" w:rsidRPr="00CC121D" w:rsidRDefault="00D07AFA" w:rsidP="00D07AFA">
            <w:r w:rsidRPr="00CC121D">
              <w:t>Safety Functions</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84B" w14:textId="338C7C94" w:rsidR="00D07AFA" w:rsidRPr="00CC121D" w:rsidRDefault="00561E8F" w:rsidP="00D07AFA">
            <w:pPr>
              <w:outlineLvl w:val="0"/>
            </w:pPr>
            <w:r>
              <w:rPr>
                <w:iCs/>
              </w:rPr>
              <w:t>ONR-</w:t>
            </w:r>
            <w:r w:rsidR="00D07AFA" w:rsidRPr="00CC121D">
              <w:t>NS-TAST-GD-004 ‘Fundamental Principles’</w:t>
            </w:r>
          </w:p>
        </w:tc>
      </w:tr>
      <w:tr w:rsidR="00CC121D" w:rsidRPr="00CC121D" w14:paraId="5730584F" w14:textId="77777777" w:rsidTr="00AA1B3C">
        <w:trPr>
          <w:trHeight w:val="223"/>
          <w:jc w:val="center"/>
        </w:trPr>
        <w:tc>
          <w:tcPr>
            <w:tcW w:w="2261" w:type="dxa"/>
            <w:vMerge w:val="restart"/>
            <w:tcBorders>
              <w:top w:val="double" w:sz="4" w:space="0" w:color="8DB3E2"/>
              <w:left w:val="double" w:sz="4" w:space="0" w:color="8DB3E2"/>
              <w:right w:val="double" w:sz="4" w:space="0" w:color="8DB3E2"/>
            </w:tcBorders>
            <w:vAlign w:val="center"/>
          </w:tcPr>
          <w:p w14:paraId="5730584D" w14:textId="77777777" w:rsidR="00D07AFA" w:rsidRPr="00CC121D" w:rsidRDefault="00D07AFA" w:rsidP="00D07AFA">
            <w:r w:rsidRPr="00CC121D">
              <w:t xml:space="preserve">Passive safety functions </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84E" w14:textId="70740F28" w:rsidR="00D07AFA" w:rsidRPr="00CC121D" w:rsidRDefault="00561E8F" w:rsidP="00D07AFA">
            <w:pPr>
              <w:outlineLvl w:val="0"/>
            </w:pPr>
            <w:r>
              <w:rPr>
                <w:iCs/>
              </w:rPr>
              <w:t>ONR-</w:t>
            </w:r>
            <w:r w:rsidR="00D07AFA" w:rsidRPr="00CC121D">
              <w:t>NS-TAST-GD-003: “Safety Systems”: , in particular paragraph 5.1</w:t>
            </w:r>
          </w:p>
        </w:tc>
      </w:tr>
      <w:tr w:rsidR="00CC121D" w:rsidRPr="00CC121D" w14:paraId="57305852" w14:textId="77777777" w:rsidTr="00AA1B3C">
        <w:trPr>
          <w:trHeight w:val="223"/>
          <w:jc w:val="center"/>
        </w:trPr>
        <w:tc>
          <w:tcPr>
            <w:tcW w:w="2261" w:type="dxa"/>
            <w:vMerge/>
            <w:tcBorders>
              <w:left w:val="double" w:sz="4" w:space="0" w:color="8DB3E2"/>
              <w:bottom w:val="double" w:sz="4" w:space="0" w:color="8DB3E2"/>
              <w:right w:val="double" w:sz="4" w:space="0" w:color="8DB3E2"/>
            </w:tcBorders>
            <w:vAlign w:val="center"/>
          </w:tcPr>
          <w:p w14:paraId="57305850" w14:textId="77777777" w:rsidR="00D07AFA" w:rsidRPr="00CC121D" w:rsidRDefault="00D07AFA" w:rsidP="00D07AFA"/>
        </w:tc>
        <w:tc>
          <w:tcPr>
            <w:tcW w:w="7080" w:type="dxa"/>
            <w:tcBorders>
              <w:top w:val="double" w:sz="4" w:space="0" w:color="8DB3E2"/>
              <w:left w:val="double" w:sz="4" w:space="0" w:color="8DB3E2"/>
              <w:bottom w:val="double" w:sz="4" w:space="0" w:color="8DB3E2"/>
              <w:right w:val="double" w:sz="4" w:space="0" w:color="8DB3E2"/>
            </w:tcBorders>
            <w:vAlign w:val="center"/>
          </w:tcPr>
          <w:p w14:paraId="57305851" w14:textId="424F4126" w:rsidR="00D07AFA" w:rsidRPr="00CC121D" w:rsidRDefault="00561E8F" w:rsidP="00D07AFA">
            <w:pPr>
              <w:outlineLvl w:val="0"/>
            </w:pPr>
            <w:r>
              <w:rPr>
                <w:iCs/>
              </w:rPr>
              <w:t>ONR-</w:t>
            </w:r>
            <w:r w:rsidR="00D07AFA" w:rsidRPr="00CC121D">
              <w:t>NS-TAST-GD-035 ‘Limits and Conditions for Nuclear Safety (Operational Rules)’</w:t>
            </w:r>
            <w:r w:rsidR="00835C66">
              <w:t>,</w:t>
            </w:r>
            <w:r w:rsidR="00D07AFA" w:rsidRPr="00CC121D">
              <w:t xml:space="preserve"> in particular paragraph 5.9</w:t>
            </w:r>
          </w:p>
        </w:tc>
      </w:tr>
      <w:tr w:rsidR="00CC121D" w:rsidRPr="00CC121D" w14:paraId="57305855" w14:textId="77777777" w:rsidTr="00AA1B3C">
        <w:trPr>
          <w:trHeight w:val="223"/>
          <w:jc w:val="center"/>
        </w:trPr>
        <w:tc>
          <w:tcPr>
            <w:tcW w:w="2261" w:type="dxa"/>
            <w:tcBorders>
              <w:top w:val="double" w:sz="4" w:space="0" w:color="8DB3E2"/>
              <w:left w:val="double" w:sz="4" w:space="0" w:color="8DB3E2"/>
              <w:bottom w:val="double" w:sz="4" w:space="0" w:color="8DB3E2"/>
              <w:right w:val="double" w:sz="4" w:space="0" w:color="8DB3E2"/>
            </w:tcBorders>
            <w:vAlign w:val="center"/>
          </w:tcPr>
          <w:p w14:paraId="57305853" w14:textId="77777777" w:rsidR="00D07AFA" w:rsidRPr="00CC121D" w:rsidRDefault="00D07AFA" w:rsidP="00D07AFA">
            <w:pPr>
              <w:rPr>
                <w:rFonts w:cs="Arial"/>
              </w:rPr>
            </w:pPr>
            <w:r w:rsidRPr="00CC121D">
              <w:rPr>
                <w:rFonts w:cs="Arial"/>
              </w:rPr>
              <w:t>Design Authority Capability</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854" w14:textId="1CB6C9F2" w:rsidR="00D07AFA" w:rsidRPr="00CC121D" w:rsidRDefault="00561E8F" w:rsidP="00D07AFA">
            <w:pPr>
              <w:outlineLvl w:val="0"/>
            </w:pPr>
            <w:r>
              <w:rPr>
                <w:iCs/>
              </w:rPr>
              <w:t>ONR-</w:t>
            </w:r>
            <w:r w:rsidR="00D07AFA" w:rsidRPr="00CC121D">
              <w:t>NS-TAST-GD-079 ‘Licensee Design Authority Capability’</w:t>
            </w:r>
            <w:r w:rsidR="00835C66">
              <w:t>,</w:t>
            </w:r>
            <w:r w:rsidR="00D07AFA" w:rsidRPr="00CC121D">
              <w:t xml:space="preserve"> in particular paragraphs 50, 66</w:t>
            </w:r>
          </w:p>
        </w:tc>
      </w:tr>
      <w:tr w:rsidR="00CC121D" w:rsidRPr="00CC121D" w14:paraId="57305858" w14:textId="77777777" w:rsidTr="00AA1B3C">
        <w:trPr>
          <w:trHeight w:val="173"/>
          <w:jc w:val="center"/>
        </w:trPr>
        <w:tc>
          <w:tcPr>
            <w:tcW w:w="2261" w:type="dxa"/>
            <w:tcBorders>
              <w:top w:val="double" w:sz="4" w:space="0" w:color="8DB3E2"/>
              <w:left w:val="double" w:sz="4" w:space="0" w:color="8DB3E2"/>
              <w:bottom w:val="double" w:sz="4" w:space="0" w:color="8DB3E2"/>
              <w:right w:val="double" w:sz="4" w:space="0" w:color="8DB3E2"/>
            </w:tcBorders>
            <w:vAlign w:val="center"/>
          </w:tcPr>
          <w:p w14:paraId="57305856" w14:textId="77777777" w:rsidR="00D07AFA" w:rsidRPr="00CC121D" w:rsidRDefault="00D07AFA" w:rsidP="00D07AFA">
            <w:pPr>
              <w:rPr>
                <w:rFonts w:cs="Arial"/>
              </w:rPr>
            </w:pPr>
            <w:r w:rsidRPr="00CC121D">
              <w:rPr>
                <w:rFonts w:cs="Arial"/>
              </w:rPr>
              <w:t>Intelligent Customer arrangements</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857" w14:textId="024479E3" w:rsidR="00D07AFA" w:rsidRPr="00CC121D" w:rsidRDefault="00561E8F" w:rsidP="00D07AFA">
            <w:pPr>
              <w:outlineLvl w:val="0"/>
            </w:pPr>
            <w:r>
              <w:rPr>
                <w:iCs/>
              </w:rPr>
              <w:t>ONR-</w:t>
            </w:r>
            <w:r w:rsidR="00D07AFA" w:rsidRPr="00CC121D">
              <w:t>NS-TAST-GD-049 ‘Licensee Core Safety and Intelligent Customer Capabilities’, in particular paragraphs 4, 12, 52, 2.3</w:t>
            </w:r>
          </w:p>
        </w:tc>
      </w:tr>
      <w:tr w:rsidR="00CC121D" w:rsidRPr="00CC121D" w14:paraId="5730585B" w14:textId="77777777" w:rsidTr="00AA1B3C">
        <w:trPr>
          <w:trHeight w:val="173"/>
          <w:jc w:val="center"/>
        </w:trPr>
        <w:tc>
          <w:tcPr>
            <w:tcW w:w="2261" w:type="dxa"/>
            <w:vMerge w:val="restart"/>
            <w:tcBorders>
              <w:top w:val="double" w:sz="4" w:space="0" w:color="8DB3E2"/>
              <w:left w:val="double" w:sz="4" w:space="0" w:color="8DB3E2"/>
              <w:right w:val="double" w:sz="4" w:space="0" w:color="8DB3E2"/>
            </w:tcBorders>
            <w:vAlign w:val="center"/>
          </w:tcPr>
          <w:p w14:paraId="57305859" w14:textId="77777777" w:rsidR="00D07AFA" w:rsidRPr="00CC121D" w:rsidRDefault="00D07AFA" w:rsidP="00D07AFA">
            <w:pPr>
              <w:rPr>
                <w:rFonts w:cs="Arial"/>
              </w:rPr>
            </w:pPr>
            <w:r w:rsidRPr="00CC121D">
              <w:rPr>
                <w:rFonts w:cs="Arial"/>
              </w:rPr>
              <w:t>Organisational Capability</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85A" w14:textId="15625579" w:rsidR="00D07AFA" w:rsidRPr="00CC121D" w:rsidRDefault="00561E8F" w:rsidP="00D07AFA">
            <w:pPr>
              <w:outlineLvl w:val="0"/>
            </w:pPr>
            <w:r>
              <w:rPr>
                <w:iCs/>
              </w:rPr>
              <w:t>ONR-</w:t>
            </w:r>
            <w:r w:rsidR="00D07AFA" w:rsidRPr="00CC121D">
              <w:t>NS-TAST-GD-027 ‘Training and Assuring Personnel Competence’</w:t>
            </w:r>
          </w:p>
        </w:tc>
      </w:tr>
      <w:tr w:rsidR="00CC121D" w:rsidRPr="00CC121D" w14:paraId="5730585E" w14:textId="77777777" w:rsidTr="00AA1B3C">
        <w:trPr>
          <w:trHeight w:val="173"/>
          <w:jc w:val="center"/>
        </w:trPr>
        <w:tc>
          <w:tcPr>
            <w:tcW w:w="2261" w:type="dxa"/>
            <w:vMerge/>
            <w:tcBorders>
              <w:left w:val="double" w:sz="4" w:space="0" w:color="8DB3E2"/>
              <w:right w:val="double" w:sz="4" w:space="0" w:color="8DB3E2"/>
            </w:tcBorders>
            <w:vAlign w:val="center"/>
          </w:tcPr>
          <w:p w14:paraId="5730585C" w14:textId="77777777" w:rsidR="00D07AFA" w:rsidRPr="00CC121D" w:rsidRDefault="00D07AFA" w:rsidP="00D07AFA">
            <w:pPr>
              <w:rPr>
                <w:rFonts w:cs="Arial"/>
              </w:rPr>
            </w:pPr>
          </w:p>
        </w:tc>
        <w:tc>
          <w:tcPr>
            <w:tcW w:w="7080" w:type="dxa"/>
            <w:tcBorders>
              <w:top w:val="double" w:sz="4" w:space="0" w:color="8DB3E2"/>
              <w:left w:val="double" w:sz="4" w:space="0" w:color="8DB3E2"/>
              <w:bottom w:val="double" w:sz="4" w:space="0" w:color="8DB3E2"/>
              <w:right w:val="double" w:sz="4" w:space="0" w:color="8DB3E2"/>
            </w:tcBorders>
            <w:vAlign w:val="center"/>
          </w:tcPr>
          <w:p w14:paraId="5730585D" w14:textId="50780C3F" w:rsidR="00D07AFA" w:rsidRPr="00CC121D" w:rsidRDefault="00561E8F" w:rsidP="00D07AFA">
            <w:pPr>
              <w:outlineLvl w:val="0"/>
            </w:pPr>
            <w:r>
              <w:rPr>
                <w:iCs/>
              </w:rPr>
              <w:t>ONR-</w:t>
            </w:r>
            <w:r w:rsidR="00D07AFA" w:rsidRPr="00CC121D">
              <w:t>NS-INSP-GD-010 ‘LC10 – Training’</w:t>
            </w:r>
          </w:p>
        </w:tc>
      </w:tr>
      <w:tr w:rsidR="00CC121D" w:rsidRPr="00CC121D" w14:paraId="57305861" w14:textId="77777777" w:rsidTr="00AA1B3C">
        <w:trPr>
          <w:trHeight w:val="173"/>
          <w:jc w:val="center"/>
        </w:trPr>
        <w:tc>
          <w:tcPr>
            <w:tcW w:w="2261" w:type="dxa"/>
            <w:vMerge/>
            <w:tcBorders>
              <w:left w:val="double" w:sz="4" w:space="0" w:color="8DB3E2"/>
              <w:right w:val="double" w:sz="4" w:space="0" w:color="8DB3E2"/>
            </w:tcBorders>
            <w:vAlign w:val="center"/>
          </w:tcPr>
          <w:p w14:paraId="5730585F" w14:textId="77777777" w:rsidR="00D07AFA" w:rsidRPr="00CC121D" w:rsidRDefault="00D07AFA" w:rsidP="00D07AFA">
            <w:pPr>
              <w:rPr>
                <w:rFonts w:cs="Arial"/>
              </w:rPr>
            </w:pPr>
          </w:p>
        </w:tc>
        <w:tc>
          <w:tcPr>
            <w:tcW w:w="7080" w:type="dxa"/>
            <w:tcBorders>
              <w:top w:val="double" w:sz="4" w:space="0" w:color="8DB3E2"/>
              <w:left w:val="double" w:sz="4" w:space="0" w:color="8DB3E2"/>
              <w:bottom w:val="double" w:sz="4" w:space="0" w:color="8DB3E2"/>
              <w:right w:val="double" w:sz="4" w:space="0" w:color="8DB3E2"/>
            </w:tcBorders>
            <w:vAlign w:val="center"/>
          </w:tcPr>
          <w:p w14:paraId="57305860" w14:textId="046D94D8" w:rsidR="00D07AFA" w:rsidRPr="00CC121D" w:rsidRDefault="00561E8F" w:rsidP="00D07AFA">
            <w:pPr>
              <w:outlineLvl w:val="0"/>
            </w:pPr>
            <w:r>
              <w:rPr>
                <w:iCs/>
              </w:rPr>
              <w:t>ONR-</w:t>
            </w:r>
            <w:r w:rsidR="00D07AFA" w:rsidRPr="00CC121D">
              <w:t>NS-TAST-GD-048 ‘Organisational Change’</w:t>
            </w:r>
          </w:p>
        </w:tc>
      </w:tr>
      <w:tr w:rsidR="00CC121D" w:rsidRPr="00CC121D" w14:paraId="57305864" w14:textId="77777777" w:rsidTr="00AA1B3C">
        <w:trPr>
          <w:trHeight w:val="173"/>
          <w:jc w:val="center"/>
        </w:trPr>
        <w:tc>
          <w:tcPr>
            <w:tcW w:w="2261" w:type="dxa"/>
            <w:vMerge/>
            <w:tcBorders>
              <w:left w:val="double" w:sz="4" w:space="0" w:color="8DB3E2"/>
              <w:right w:val="double" w:sz="4" w:space="0" w:color="8DB3E2"/>
            </w:tcBorders>
            <w:vAlign w:val="center"/>
          </w:tcPr>
          <w:p w14:paraId="57305862" w14:textId="77777777" w:rsidR="00D07AFA" w:rsidRPr="00CC121D" w:rsidRDefault="00D07AFA" w:rsidP="00D07AFA">
            <w:pPr>
              <w:rPr>
                <w:rFonts w:cs="Arial"/>
              </w:rPr>
            </w:pPr>
          </w:p>
        </w:tc>
        <w:tc>
          <w:tcPr>
            <w:tcW w:w="7080" w:type="dxa"/>
            <w:tcBorders>
              <w:top w:val="double" w:sz="4" w:space="0" w:color="8DB3E2"/>
              <w:left w:val="double" w:sz="4" w:space="0" w:color="8DB3E2"/>
              <w:bottom w:val="double" w:sz="4" w:space="0" w:color="8DB3E2"/>
              <w:right w:val="double" w:sz="4" w:space="0" w:color="8DB3E2"/>
            </w:tcBorders>
            <w:vAlign w:val="center"/>
          </w:tcPr>
          <w:p w14:paraId="57305863" w14:textId="087D529A" w:rsidR="00D07AFA" w:rsidRPr="00CC121D" w:rsidRDefault="00561E8F" w:rsidP="00D07AFA">
            <w:pPr>
              <w:outlineLvl w:val="0"/>
            </w:pPr>
            <w:r>
              <w:rPr>
                <w:iCs/>
              </w:rPr>
              <w:t>ONR-</w:t>
            </w:r>
            <w:r w:rsidR="00D07AFA" w:rsidRPr="00CC121D">
              <w:t>NS-TAST-GD-061 ‘Staffing Levels and Task Organisation’</w:t>
            </w:r>
          </w:p>
        </w:tc>
      </w:tr>
      <w:tr w:rsidR="00CC121D" w:rsidRPr="00CC121D" w14:paraId="57305867" w14:textId="77777777" w:rsidTr="00AA1B3C">
        <w:trPr>
          <w:trHeight w:val="173"/>
          <w:jc w:val="center"/>
        </w:trPr>
        <w:tc>
          <w:tcPr>
            <w:tcW w:w="2261" w:type="dxa"/>
            <w:vMerge/>
            <w:tcBorders>
              <w:left w:val="double" w:sz="4" w:space="0" w:color="8DB3E2"/>
              <w:right w:val="double" w:sz="4" w:space="0" w:color="8DB3E2"/>
            </w:tcBorders>
            <w:vAlign w:val="center"/>
          </w:tcPr>
          <w:p w14:paraId="57305865" w14:textId="77777777" w:rsidR="00D07AFA" w:rsidRPr="00CC121D" w:rsidRDefault="00D07AFA" w:rsidP="00D07AFA">
            <w:pPr>
              <w:rPr>
                <w:rFonts w:cs="Arial"/>
              </w:rPr>
            </w:pPr>
          </w:p>
        </w:tc>
        <w:tc>
          <w:tcPr>
            <w:tcW w:w="7080" w:type="dxa"/>
            <w:tcBorders>
              <w:top w:val="double" w:sz="4" w:space="0" w:color="8DB3E2"/>
              <w:left w:val="double" w:sz="4" w:space="0" w:color="8DB3E2"/>
              <w:bottom w:val="double" w:sz="4" w:space="0" w:color="8DB3E2"/>
              <w:right w:val="double" w:sz="4" w:space="0" w:color="8DB3E2"/>
            </w:tcBorders>
            <w:vAlign w:val="center"/>
          </w:tcPr>
          <w:p w14:paraId="57305866" w14:textId="4EBB8DFA" w:rsidR="00D07AFA" w:rsidRPr="00CC121D" w:rsidRDefault="00561E8F" w:rsidP="00D07AFA">
            <w:pPr>
              <w:outlineLvl w:val="0"/>
            </w:pPr>
            <w:r>
              <w:rPr>
                <w:iCs/>
              </w:rPr>
              <w:t>ONR-</w:t>
            </w:r>
            <w:r w:rsidR="00D07AFA" w:rsidRPr="00CC121D">
              <w:t>NS-TAST-GD-065 ‘Function and Content of the Nuclear Baseline’</w:t>
            </w:r>
          </w:p>
        </w:tc>
      </w:tr>
      <w:tr w:rsidR="00CC121D" w:rsidRPr="00CC121D" w14:paraId="5730586A" w14:textId="77777777" w:rsidTr="00AA1B3C">
        <w:trPr>
          <w:trHeight w:val="173"/>
          <w:jc w:val="center"/>
        </w:trPr>
        <w:tc>
          <w:tcPr>
            <w:tcW w:w="2261" w:type="dxa"/>
            <w:vMerge/>
            <w:tcBorders>
              <w:left w:val="double" w:sz="4" w:space="0" w:color="8DB3E2"/>
              <w:right w:val="double" w:sz="4" w:space="0" w:color="8DB3E2"/>
            </w:tcBorders>
            <w:vAlign w:val="center"/>
          </w:tcPr>
          <w:p w14:paraId="57305868" w14:textId="77777777" w:rsidR="00D07AFA" w:rsidRPr="00CC121D" w:rsidRDefault="00D07AFA" w:rsidP="00D07AFA">
            <w:pPr>
              <w:rPr>
                <w:rFonts w:cs="Arial"/>
              </w:rPr>
            </w:pPr>
          </w:p>
        </w:tc>
        <w:tc>
          <w:tcPr>
            <w:tcW w:w="7080" w:type="dxa"/>
            <w:tcBorders>
              <w:top w:val="double" w:sz="4" w:space="0" w:color="8DB3E2"/>
              <w:left w:val="double" w:sz="4" w:space="0" w:color="8DB3E2"/>
              <w:bottom w:val="double" w:sz="4" w:space="0" w:color="8DB3E2"/>
              <w:right w:val="double" w:sz="4" w:space="0" w:color="8DB3E2"/>
            </w:tcBorders>
            <w:vAlign w:val="center"/>
          </w:tcPr>
          <w:p w14:paraId="57305869" w14:textId="64474F16" w:rsidR="00D07AFA" w:rsidRPr="00CC121D" w:rsidRDefault="00561E8F" w:rsidP="00D07AFA">
            <w:pPr>
              <w:outlineLvl w:val="0"/>
            </w:pPr>
            <w:r>
              <w:rPr>
                <w:iCs/>
              </w:rPr>
              <w:t>ONR-</w:t>
            </w:r>
            <w:r w:rsidR="00D07AFA" w:rsidRPr="00CC121D">
              <w:t>NS-TAST-GD-060 ‘Procedure Design and Administration Controls’</w:t>
            </w:r>
          </w:p>
        </w:tc>
      </w:tr>
      <w:tr w:rsidR="00CC121D" w:rsidRPr="00CC121D" w14:paraId="5730586D" w14:textId="77777777" w:rsidTr="00AA1B3C">
        <w:trPr>
          <w:trHeight w:val="173"/>
          <w:jc w:val="center"/>
        </w:trPr>
        <w:tc>
          <w:tcPr>
            <w:tcW w:w="2261" w:type="dxa"/>
            <w:vMerge/>
            <w:tcBorders>
              <w:left w:val="double" w:sz="4" w:space="0" w:color="8DB3E2"/>
              <w:right w:val="double" w:sz="4" w:space="0" w:color="8DB3E2"/>
            </w:tcBorders>
            <w:vAlign w:val="center"/>
          </w:tcPr>
          <w:p w14:paraId="5730586B" w14:textId="77777777" w:rsidR="00D07AFA" w:rsidRPr="00CC121D" w:rsidRDefault="00D07AFA" w:rsidP="00D07AFA">
            <w:pPr>
              <w:rPr>
                <w:rFonts w:cs="Arial"/>
              </w:rPr>
            </w:pPr>
          </w:p>
        </w:tc>
        <w:tc>
          <w:tcPr>
            <w:tcW w:w="7080" w:type="dxa"/>
            <w:tcBorders>
              <w:top w:val="double" w:sz="4" w:space="0" w:color="8DB3E2"/>
              <w:left w:val="double" w:sz="4" w:space="0" w:color="8DB3E2"/>
              <w:bottom w:val="double" w:sz="4" w:space="0" w:color="8DB3E2"/>
              <w:right w:val="double" w:sz="4" w:space="0" w:color="8DB3E2"/>
            </w:tcBorders>
            <w:vAlign w:val="center"/>
          </w:tcPr>
          <w:p w14:paraId="5730586C" w14:textId="35FA816F" w:rsidR="00D07AFA" w:rsidRPr="00CC121D" w:rsidRDefault="00561E8F" w:rsidP="00D07AFA">
            <w:pPr>
              <w:outlineLvl w:val="0"/>
            </w:pPr>
            <w:r>
              <w:rPr>
                <w:iCs/>
              </w:rPr>
              <w:t>ONR-</w:t>
            </w:r>
            <w:r w:rsidR="00D07AFA" w:rsidRPr="00CC121D">
              <w:t>NS-TAST-GD-072 ‘Function and Content of a Safety Management Prospectus’</w:t>
            </w:r>
          </w:p>
        </w:tc>
      </w:tr>
      <w:tr w:rsidR="00CC121D" w:rsidRPr="00CC121D" w14:paraId="57305870" w14:textId="77777777" w:rsidTr="00AA1B3C">
        <w:trPr>
          <w:trHeight w:val="173"/>
          <w:jc w:val="center"/>
        </w:trPr>
        <w:tc>
          <w:tcPr>
            <w:tcW w:w="2261" w:type="dxa"/>
            <w:vMerge/>
            <w:tcBorders>
              <w:left w:val="double" w:sz="4" w:space="0" w:color="8DB3E2"/>
              <w:right w:val="double" w:sz="4" w:space="0" w:color="8DB3E2"/>
            </w:tcBorders>
            <w:vAlign w:val="center"/>
          </w:tcPr>
          <w:p w14:paraId="5730586E" w14:textId="77777777" w:rsidR="00D07AFA" w:rsidRPr="00CC121D" w:rsidRDefault="00D07AFA" w:rsidP="00D07AFA">
            <w:pPr>
              <w:rPr>
                <w:rFonts w:cs="Arial"/>
              </w:rPr>
            </w:pPr>
          </w:p>
        </w:tc>
        <w:tc>
          <w:tcPr>
            <w:tcW w:w="7080" w:type="dxa"/>
            <w:tcBorders>
              <w:top w:val="double" w:sz="4" w:space="0" w:color="8DB3E2"/>
              <w:left w:val="double" w:sz="4" w:space="0" w:color="8DB3E2"/>
              <w:bottom w:val="double" w:sz="4" w:space="0" w:color="8DB3E2"/>
              <w:right w:val="double" w:sz="4" w:space="0" w:color="8DB3E2"/>
            </w:tcBorders>
            <w:vAlign w:val="center"/>
          </w:tcPr>
          <w:p w14:paraId="5730586F" w14:textId="40EB295B" w:rsidR="00D07AFA" w:rsidRPr="00CC121D" w:rsidRDefault="00561E8F" w:rsidP="00D07AFA">
            <w:pPr>
              <w:outlineLvl w:val="0"/>
            </w:pPr>
            <w:r>
              <w:rPr>
                <w:iCs/>
              </w:rPr>
              <w:t>ONR-</w:t>
            </w:r>
            <w:r w:rsidR="00D07AFA" w:rsidRPr="00CC121D">
              <w:t>NS-TAST-GD-080 ‘Challenge Culture Capability (including an Internal Regulation function), and the provision of Nuclear Safety Advice’</w:t>
            </w:r>
          </w:p>
        </w:tc>
      </w:tr>
      <w:tr w:rsidR="00CC121D" w:rsidRPr="00CC121D" w14:paraId="57305873" w14:textId="77777777" w:rsidTr="00AA1B3C">
        <w:trPr>
          <w:trHeight w:val="173"/>
          <w:jc w:val="center"/>
        </w:trPr>
        <w:tc>
          <w:tcPr>
            <w:tcW w:w="2261" w:type="dxa"/>
            <w:vMerge/>
            <w:tcBorders>
              <w:left w:val="double" w:sz="4" w:space="0" w:color="8DB3E2"/>
              <w:bottom w:val="double" w:sz="4" w:space="0" w:color="8DB3E2"/>
              <w:right w:val="double" w:sz="4" w:space="0" w:color="8DB3E2"/>
            </w:tcBorders>
            <w:vAlign w:val="center"/>
          </w:tcPr>
          <w:p w14:paraId="57305871" w14:textId="77777777" w:rsidR="00D07AFA" w:rsidRPr="00CC121D" w:rsidRDefault="00D07AFA" w:rsidP="00D07AFA">
            <w:pPr>
              <w:rPr>
                <w:rFonts w:cs="Arial"/>
              </w:rPr>
            </w:pPr>
          </w:p>
        </w:tc>
        <w:tc>
          <w:tcPr>
            <w:tcW w:w="7080" w:type="dxa"/>
            <w:tcBorders>
              <w:top w:val="double" w:sz="4" w:space="0" w:color="8DB3E2"/>
              <w:left w:val="double" w:sz="4" w:space="0" w:color="8DB3E2"/>
              <w:bottom w:val="double" w:sz="4" w:space="0" w:color="8DB3E2"/>
              <w:right w:val="double" w:sz="4" w:space="0" w:color="8DB3E2"/>
            </w:tcBorders>
            <w:vAlign w:val="center"/>
          </w:tcPr>
          <w:p w14:paraId="57305872" w14:textId="19366DFE" w:rsidR="00D07AFA" w:rsidRPr="00CC121D" w:rsidRDefault="00561E8F" w:rsidP="00D07AFA">
            <w:pPr>
              <w:outlineLvl w:val="0"/>
            </w:pPr>
            <w:r>
              <w:rPr>
                <w:iCs/>
              </w:rPr>
              <w:t>ONR-</w:t>
            </w:r>
            <w:r w:rsidR="00D07AFA" w:rsidRPr="00CC121D">
              <w:t>NS-INSP-GD-070 ‘Safety Culture Guide for Inspectors’</w:t>
            </w:r>
          </w:p>
        </w:tc>
      </w:tr>
      <w:tr w:rsidR="00CC121D" w:rsidRPr="00CC121D" w14:paraId="57305876" w14:textId="77777777" w:rsidTr="00AA1B3C">
        <w:trPr>
          <w:trHeight w:val="173"/>
          <w:jc w:val="center"/>
        </w:trPr>
        <w:tc>
          <w:tcPr>
            <w:tcW w:w="2261" w:type="dxa"/>
            <w:tcBorders>
              <w:left w:val="double" w:sz="4" w:space="0" w:color="8DB3E2"/>
              <w:bottom w:val="double" w:sz="4" w:space="0" w:color="8DB3E2"/>
              <w:right w:val="double" w:sz="4" w:space="0" w:color="8DB3E2"/>
            </w:tcBorders>
            <w:vAlign w:val="center"/>
          </w:tcPr>
          <w:p w14:paraId="57305874" w14:textId="77777777" w:rsidR="00D07AFA" w:rsidRPr="00CC121D" w:rsidRDefault="00D07AFA" w:rsidP="00D07AFA">
            <w:pPr>
              <w:rPr>
                <w:rFonts w:cs="Arial"/>
              </w:rPr>
            </w:pPr>
            <w:r w:rsidRPr="00CC121D">
              <w:rPr>
                <w:rFonts w:cs="Arial"/>
              </w:rPr>
              <w:t>Learning from Experience</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875" w14:textId="729DD63E" w:rsidR="00D07AFA" w:rsidRPr="00CC121D" w:rsidRDefault="00561E8F" w:rsidP="00D07AFA">
            <w:pPr>
              <w:outlineLvl w:val="0"/>
            </w:pPr>
            <w:r>
              <w:rPr>
                <w:iCs/>
              </w:rPr>
              <w:t>ONR-</w:t>
            </w:r>
            <w:r w:rsidR="00D07AFA" w:rsidRPr="00CC121D">
              <w:t>NS-INSP-GD-007 ‘LC7 – Incidents on the site and Other Report and Operational Experience (OE) Processes’</w:t>
            </w:r>
          </w:p>
        </w:tc>
      </w:tr>
      <w:tr w:rsidR="00CC121D" w:rsidRPr="00CC121D" w14:paraId="57305879" w14:textId="77777777" w:rsidTr="00AA1B3C">
        <w:trPr>
          <w:trHeight w:val="173"/>
          <w:jc w:val="center"/>
        </w:trPr>
        <w:tc>
          <w:tcPr>
            <w:tcW w:w="2261" w:type="dxa"/>
            <w:tcBorders>
              <w:left w:val="double" w:sz="4" w:space="0" w:color="8DB3E2"/>
              <w:bottom w:val="double" w:sz="4" w:space="0" w:color="8DB3E2"/>
              <w:right w:val="double" w:sz="4" w:space="0" w:color="8DB3E2"/>
            </w:tcBorders>
            <w:vAlign w:val="center"/>
          </w:tcPr>
          <w:p w14:paraId="57305877" w14:textId="77777777" w:rsidR="00D07AFA" w:rsidRPr="00CC121D" w:rsidRDefault="00D07AFA" w:rsidP="00D07AFA">
            <w:r w:rsidRPr="00CC121D">
              <w:t>Fundamental Safety Functions</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878" w14:textId="1A24B4C7" w:rsidR="00D07AFA" w:rsidRPr="00CC121D" w:rsidRDefault="00561E8F" w:rsidP="00D07AFA">
            <w:pPr>
              <w:outlineLvl w:val="0"/>
            </w:pPr>
            <w:r>
              <w:rPr>
                <w:iCs/>
              </w:rPr>
              <w:t>ONR-</w:t>
            </w:r>
            <w:r w:rsidR="00D07AFA" w:rsidRPr="00CC121D">
              <w:t>NS-TAST-GD-075 ‘Safety Aspects Specific to Nuclear Fuel in Power Reactors’</w:t>
            </w:r>
          </w:p>
        </w:tc>
      </w:tr>
      <w:tr w:rsidR="00CC121D" w:rsidRPr="00CC121D" w14:paraId="5730587C" w14:textId="77777777" w:rsidTr="00AA1B3C">
        <w:trPr>
          <w:jc w:val="center"/>
        </w:trPr>
        <w:tc>
          <w:tcPr>
            <w:tcW w:w="2261" w:type="dxa"/>
            <w:vMerge w:val="restart"/>
            <w:tcBorders>
              <w:top w:val="double" w:sz="4" w:space="0" w:color="8DB3E2"/>
              <w:left w:val="double" w:sz="4" w:space="0" w:color="8DB3E2"/>
              <w:right w:val="double" w:sz="4" w:space="0" w:color="8DB3E2"/>
            </w:tcBorders>
            <w:vAlign w:val="center"/>
          </w:tcPr>
          <w:p w14:paraId="5730587A" w14:textId="77777777" w:rsidR="00D07AFA" w:rsidRPr="00CC121D" w:rsidRDefault="00D07AFA" w:rsidP="00D07AFA">
            <w:r w:rsidRPr="00CC121D">
              <w:t xml:space="preserve">Retention of documentation  </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87B" w14:textId="6E80644D" w:rsidR="00D07AFA" w:rsidRPr="00CC121D" w:rsidRDefault="00561E8F" w:rsidP="00D07AFA">
            <w:pPr>
              <w:outlineLvl w:val="0"/>
            </w:pPr>
            <w:r>
              <w:rPr>
                <w:iCs/>
              </w:rPr>
              <w:t>ONR-</w:t>
            </w:r>
            <w:r w:rsidR="00D07AFA" w:rsidRPr="00CC121D">
              <w:t>NS-TAST-GD-033 ‘Duty Holder Management of Records’ A3.1.6</w:t>
            </w:r>
          </w:p>
        </w:tc>
      </w:tr>
      <w:tr w:rsidR="00CC121D" w:rsidRPr="00CC121D" w14:paraId="5730587F" w14:textId="77777777" w:rsidTr="00AA1B3C">
        <w:trPr>
          <w:jc w:val="center"/>
        </w:trPr>
        <w:tc>
          <w:tcPr>
            <w:tcW w:w="2261" w:type="dxa"/>
            <w:vMerge/>
            <w:tcBorders>
              <w:left w:val="double" w:sz="4" w:space="0" w:color="8DB3E2"/>
              <w:bottom w:val="double" w:sz="4" w:space="0" w:color="8DB3E2"/>
              <w:right w:val="double" w:sz="4" w:space="0" w:color="8DB3E2"/>
            </w:tcBorders>
            <w:vAlign w:val="center"/>
          </w:tcPr>
          <w:p w14:paraId="5730587D" w14:textId="77777777" w:rsidR="00D07AFA" w:rsidRPr="00CC121D" w:rsidRDefault="00D07AFA" w:rsidP="00D07AFA"/>
        </w:tc>
        <w:tc>
          <w:tcPr>
            <w:tcW w:w="7080" w:type="dxa"/>
            <w:tcBorders>
              <w:top w:val="double" w:sz="4" w:space="0" w:color="8DB3E2"/>
              <w:left w:val="double" w:sz="4" w:space="0" w:color="8DB3E2"/>
              <w:bottom w:val="double" w:sz="4" w:space="0" w:color="8DB3E2"/>
              <w:right w:val="double" w:sz="4" w:space="0" w:color="8DB3E2"/>
            </w:tcBorders>
            <w:vAlign w:val="center"/>
          </w:tcPr>
          <w:p w14:paraId="5730587E" w14:textId="25DE97E5" w:rsidR="00D07AFA" w:rsidRPr="00CC121D" w:rsidRDefault="00561E8F" w:rsidP="00D07AFA">
            <w:pPr>
              <w:outlineLvl w:val="0"/>
            </w:pPr>
            <w:r>
              <w:rPr>
                <w:iCs/>
              </w:rPr>
              <w:t>ONR-</w:t>
            </w:r>
            <w:r w:rsidR="00D07AFA" w:rsidRPr="00CC121D">
              <w:t>NS-INSP-GD-006 ‘LC6 - Documents, Records, Authorities and Certificates’</w:t>
            </w:r>
          </w:p>
        </w:tc>
      </w:tr>
      <w:tr w:rsidR="00CC121D" w:rsidRPr="00CC121D" w14:paraId="57305881" w14:textId="77777777" w:rsidTr="00AA1B3C">
        <w:trPr>
          <w:trHeight w:val="329"/>
          <w:jc w:val="center"/>
        </w:trPr>
        <w:tc>
          <w:tcPr>
            <w:tcW w:w="9341" w:type="dxa"/>
            <w:gridSpan w:val="2"/>
            <w:tcBorders>
              <w:top w:val="double" w:sz="4" w:space="0" w:color="8DB3E2"/>
              <w:left w:val="double" w:sz="4" w:space="0" w:color="8DB3E2"/>
              <w:bottom w:val="double" w:sz="4" w:space="0" w:color="8DB3E2"/>
              <w:right w:val="double" w:sz="4" w:space="0" w:color="8DB3E2"/>
            </w:tcBorders>
            <w:shd w:val="clear" w:color="auto" w:fill="C6D9F1" w:themeFill="text2" w:themeFillTint="33"/>
          </w:tcPr>
          <w:p w14:paraId="57305880" w14:textId="77777777" w:rsidR="00D07AFA" w:rsidRPr="00CC121D" w:rsidRDefault="00D07AFA" w:rsidP="00D07AFA">
            <w:pPr>
              <w:outlineLvl w:val="0"/>
            </w:pPr>
            <w:r w:rsidRPr="00CC121D">
              <w:t>Siting and Site investigation</w:t>
            </w:r>
          </w:p>
        </w:tc>
      </w:tr>
      <w:tr w:rsidR="00CC121D" w:rsidRPr="00CC121D" w14:paraId="57305884" w14:textId="77777777" w:rsidTr="00AA1B3C">
        <w:trPr>
          <w:jc w:val="center"/>
        </w:trPr>
        <w:tc>
          <w:tcPr>
            <w:tcW w:w="2261" w:type="dxa"/>
            <w:vMerge w:val="restart"/>
            <w:tcBorders>
              <w:top w:val="double" w:sz="4" w:space="0" w:color="8DB3E2"/>
              <w:left w:val="double" w:sz="4" w:space="0" w:color="8DB3E2"/>
              <w:right w:val="double" w:sz="4" w:space="0" w:color="8DB3E2"/>
            </w:tcBorders>
            <w:vAlign w:val="center"/>
          </w:tcPr>
          <w:p w14:paraId="57305882" w14:textId="77777777" w:rsidR="00D07AFA" w:rsidRPr="00CC121D" w:rsidRDefault="00D07AFA" w:rsidP="00D07AFA">
            <w:r w:rsidRPr="00CC121D">
              <w:t>Ground investigations</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883" w14:textId="1D5B179E" w:rsidR="00D07AFA" w:rsidRPr="00CC121D" w:rsidRDefault="00561E8F" w:rsidP="00D07AFA">
            <w:pPr>
              <w:outlineLvl w:val="0"/>
            </w:pPr>
            <w:r>
              <w:rPr>
                <w:iCs/>
              </w:rPr>
              <w:t>ONR-</w:t>
            </w:r>
            <w:r w:rsidR="00D07AFA" w:rsidRPr="00CC121D">
              <w:t>NS-TAST-GD-101 ‘Geological Disposal’ in particular paragraph 5.49 and 5.62</w:t>
            </w:r>
          </w:p>
        </w:tc>
      </w:tr>
      <w:tr w:rsidR="00CC121D" w:rsidRPr="00CC121D" w14:paraId="57305888" w14:textId="77777777" w:rsidTr="00AA1B3C">
        <w:trPr>
          <w:jc w:val="center"/>
        </w:trPr>
        <w:tc>
          <w:tcPr>
            <w:tcW w:w="2261" w:type="dxa"/>
            <w:vMerge/>
            <w:tcBorders>
              <w:left w:val="double" w:sz="4" w:space="0" w:color="8DB3E2"/>
              <w:bottom w:val="double" w:sz="4" w:space="0" w:color="8DB3E2"/>
              <w:right w:val="double" w:sz="4" w:space="0" w:color="8DB3E2"/>
            </w:tcBorders>
            <w:vAlign w:val="center"/>
          </w:tcPr>
          <w:p w14:paraId="57305885" w14:textId="77777777" w:rsidR="00D07AFA" w:rsidRPr="00CC121D" w:rsidRDefault="00D07AFA" w:rsidP="00D07AFA"/>
        </w:tc>
        <w:tc>
          <w:tcPr>
            <w:tcW w:w="7080" w:type="dxa"/>
            <w:tcBorders>
              <w:top w:val="double" w:sz="4" w:space="0" w:color="8DB3E2"/>
              <w:left w:val="double" w:sz="4" w:space="0" w:color="8DB3E2"/>
              <w:bottom w:val="double" w:sz="4" w:space="0" w:color="8DB3E2"/>
              <w:right w:val="double" w:sz="4" w:space="0" w:color="8DB3E2"/>
            </w:tcBorders>
            <w:vAlign w:val="center"/>
          </w:tcPr>
          <w:p w14:paraId="57305886" w14:textId="02D22B0E" w:rsidR="00D07AFA" w:rsidRPr="00CC121D" w:rsidRDefault="00561E8F" w:rsidP="00D07AFA">
            <w:pPr>
              <w:outlineLvl w:val="0"/>
            </w:pPr>
            <w:r>
              <w:rPr>
                <w:iCs/>
              </w:rPr>
              <w:t>ONR-</w:t>
            </w:r>
            <w:r w:rsidR="00D07AFA" w:rsidRPr="00CC121D">
              <w:t>NS-TAST-GD-013 ‘External Hazards’</w:t>
            </w:r>
          </w:p>
          <w:p w14:paraId="57305887" w14:textId="77777777" w:rsidR="00D07AFA" w:rsidRPr="00CC121D" w:rsidRDefault="00D07AFA" w:rsidP="00D07AFA">
            <w:pPr>
              <w:outlineLvl w:val="0"/>
            </w:pPr>
          </w:p>
        </w:tc>
      </w:tr>
      <w:tr w:rsidR="00CC121D" w:rsidRPr="00CC121D" w14:paraId="5730588A" w14:textId="77777777" w:rsidTr="00AA1B3C">
        <w:trPr>
          <w:jc w:val="center"/>
        </w:trPr>
        <w:tc>
          <w:tcPr>
            <w:tcW w:w="9341" w:type="dxa"/>
            <w:gridSpan w:val="2"/>
            <w:tcBorders>
              <w:top w:val="double" w:sz="4" w:space="0" w:color="8DB3E2"/>
              <w:left w:val="double" w:sz="4" w:space="0" w:color="8DB3E2"/>
              <w:bottom w:val="double" w:sz="4" w:space="0" w:color="8DB3E2"/>
              <w:right w:val="double" w:sz="4" w:space="0" w:color="8DB3E2"/>
            </w:tcBorders>
            <w:shd w:val="clear" w:color="auto" w:fill="C6D9F1" w:themeFill="text2" w:themeFillTint="33"/>
          </w:tcPr>
          <w:p w14:paraId="57305889" w14:textId="77777777" w:rsidR="00D07AFA" w:rsidRPr="00CC121D" w:rsidRDefault="00D07AFA" w:rsidP="00D07AFA">
            <w:pPr>
              <w:outlineLvl w:val="0"/>
            </w:pPr>
            <w:r w:rsidRPr="00CC121D">
              <w:t>Design / Modifications</w:t>
            </w:r>
          </w:p>
        </w:tc>
      </w:tr>
      <w:tr w:rsidR="00CC121D" w:rsidRPr="00CC121D" w14:paraId="5730588D" w14:textId="77777777" w:rsidTr="00AA1B3C">
        <w:trPr>
          <w:jc w:val="center"/>
        </w:trPr>
        <w:tc>
          <w:tcPr>
            <w:tcW w:w="2261" w:type="dxa"/>
            <w:tcBorders>
              <w:top w:val="double" w:sz="4" w:space="0" w:color="8DB3E2"/>
              <w:left w:val="double" w:sz="4" w:space="0" w:color="8DB3E2"/>
              <w:right w:val="double" w:sz="4" w:space="0" w:color="8DB3E2"/>
            </w:tcBorders>
            <w:vAlign w:val="center"/>
          </w:tcPr>
          <w:p w14:paraId="5730588B" w14:textId="77777777" w:rsidR="00D07AFA" w:rsidRPr="00CC121D" w:rsidRDefault="00D07AFA" w:rsidP="00D07AFA">
            <w:r w:rsidRPr="00CC121D">
              <w:t xml:space="preserve">Categorisation and Classification, including Seismic classification </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88C" w14:textId="1D522B63" w:rsidR="00D07AFA" w:rsidRPr="00CC121D" w:rsidRDefault="00561E8F" w:rsidP="00D07AFA">
            <w:pPr>
              <w:outlineLvl w:val="0"/>
            </w:pPr>
            <w:r>
              <w:rPr>
                <w:iCs/>
              </w:rPr>
              <w:t>ONR-</w:t>
            </w:r>
            <w:r w:rsidR="00D07AFA" w:rsidRPr="00CC121D">
              <w:t>NS-TAST-GD-094 “Categorisation of safety functions and classification of SSCs”, in particular paragraphs 165, 178-183</w:t>
            </w:r>
          </w:p>
        </w:tc>
      </w:tr>
      <w:tr w:rsidR="00CC121D" w:rsidRPr="00CC121D" w14:paraId="57305890" w14:textId="77777777" w:rsidTr="00AA1B3C">
        <w:trPr>
          <w:jc w:val="center"/>
        </w:trPr>
        <w:tc>
          <w:tcPr>
            <w:tcW w:w="2261" w:type="dxa"/>
            <w:tcBorders>
              <w:left w:val="double" w:sz="4" w:space="0" w:color="8DB3E2"/>
              <w:right w:val="double" w:sz="4" w:space="0" w:color="8DB3E2"/>
            </w:tcBorders>
            <w:vAlign w:val="center"/>
          </w:tcPr>
          <w:p w14:paraId="5730588E" w14:textId="77777777" w:rsidR="00D07AFA" w:rsidRPr="00CC121D" w:rsidRDefault="00D07AFA" w:rsidP="00D07AFA">
            <w:r w:rsidRPr="00CC121D">
              <w:t>Integrity of metal structures systems and components</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88F" w14:textId="623C9A20" w:rsidR="00D07AFA" w:rsidRPr="00CC121D" w:rsidRDefault="00561E8F" w:rsidP="00D07AFA">
            <w:pPr>
              <w:outlineLvl w:val="0"/>
            </w:pPr>
            <w:r>
              <w:rPr>
                <w:iCs/>
              </w:rPr>
              <w:t>ONR-</w:t>
            </w:r>
            <w:r w:rsidR="00D07AFA" w:rsidRPr="00CC121D">
              <w:t>NS-TAST-GD-016 ‘Integrity of Metal Structures, Systems and Components’, in particular paragraphs 2.2 A2.12 and A2.15</w:t>
            </w:r>
          </w:p>
        </w:tc>
      </w:tr>
      <w:tr w:rsidR="00CC121D" w:rsidRPr="00CC121D" w14:paraId="57305893" w14:textId="77777777" w:rsidTr="00AA1B3C">
        <w:trPr>
          <w:jc w:val="center"/>
        </w:trPr>
        <w:tc>
          <w:tcPr>
            <w:tcW w:w="2261" w:type="dxa"/>
            <w:tcBorders>
              <w:left w:val="double" w:sz="4" w:space="0" w:color="8DB3E2"/>
              <w:right w:val="double" w:sz="4" w:space="0" w:color="8DB3E2"/>
            </w:tcBorders>
            <w:vAlign w:val="center"/>
          </w:tcPr>
          <w:p w14:paraId="57305891" w14:textId="77777777" w:rsidR="00D07AFA" w:rsidRPr="00CC121D" w:rsidRDefault="00D07AFA" w:rsidP="00D07AFA">
            <w:r w:rsidRPr="00CC121D">
              <w:t>Design to reduce waste arising, contaminated land</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892" w14:textId="44DDBBCD" w:rsidR="00D07AFA" w:rsidRPr="00CC121D" w:rsidRDefault="00561E8F" w:rsidP="00D07AFA">
            <w:pPr>
              <w:outlineLvl w:val="0"/>
            </w:pPr>
            <w:r>
              <w:rPr>
                <w:iCs/>
              </w:rPr>
              <w:t>ONR-</w:t>
            </w:r>
            <w:r w:rsidR="00D07AFA" w:rsidRPr="00CC121D">
              <w:t>NS-TAST-GD-083 ‘Land quality management’, in particular paragraph 5.29</w:t>
            </w:r>
          </w:p>
        </w:tc>
      </w:tr>
      <w:tr w:rsidR="00CC121D" w:rsidRPr="00CC121D" w14:paraId="57305896" w14:textId="77777777" w:rsidTr="00AA1B3C">
        <w:trPr>
          <w:jc w:val="center"/>
        </w:trPr>
        <w:tc>
          <w:tcPr>
            <w:tcW w:w="2261" w:type="dxa"/>
            <w:tcBorders>
              <w:top w:val="double" w:sz="4" w:space="0" w:color="8DB3E2"/>
              <w:left w:val="double" w:sz="4" w:space="0" w:color="8DB3E2"/>
              <w:bottom w:val="double" w:sz="4" w:space="0" w:color="8DB3E2"/>
              <w:right w:val="double" w:sz="4" w:space="0" w:color="8DB3E2"/>
            </w:tcBorders>
            <w:vAlign w:val="center"/>
          </w:tcPr>
          <w:p w14:paraId="57305894" w14:textId="77777777" w:rsidR="00D07AFA" w:rsidRPr="00CC121D" w:rsidRDefault="00D07AFA" w:rsidP="00D07AFA">
            <w:r w:rsidRPr="00CC121D">
              <w:t>Validation of computer codes and calculation methods</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895" w14:textId="4E957D12" w:rsidR="00D07AFA" w:rsidRPr="00CC121D" w:rsidRDefault="00561E8F" w:rsidP="00D07AFA">
            <w:pPr>
              <w:outlineLvl w:val="0"/>
            </w:pPr>
            <w:r>
              <w:rPr>
                <w:iCs/>
              </w:rPr>
              <w:t>ONR-</w:t>
            </w:r>
            <w:r w:rsidR="00D07AFA" w:rsidRPr="00CC121D">
              <w:t>NS-TAST-GD-042 Validation of computer codes sections 2, 53, 65</w:t>
            </w:r>
          </w:p>
        </w:tc>
      </w:tr>
      <w:tr w:rsidR="00CC121D" w:rsidRPr="00CC121D" w14:paraId="57305899" w14:textId="77777777" w:rsidTr="00AA1B3C">
        <w:trPr>
          <w:jc w:val="center"/>
        </w:trPr>
        <w:tc>
          <w:tcPr>
            <w:tcW w:w="2261" w:type="dxa"/>
            <w:vMerge w:val="restart"/>
            <w:tcBorders>
              <w:left w:val="double" w:sz="4" w:space="0" w:color="8DB3E2"/>
              <w:right w:val="double" w:sz="4" w:space="0" w:color="8DB3E2"/>
            </w:tcBorders>
            <w:vAlign w:val="center"/>
          </w:tcPr>
          <w:p w14:paraId="57305897" w14:textId="77777777" w:rsidR="00D07AFA" w:rsidRPr="00CC121D" w:rsidRDefault="00D07AFA" w:rsidP="00D07AFA">
            <w:r w:rsidRPr="00CC121D">
              <w:t>Layout for workplace accessibility</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898" w14:textId="6564DFDB" w:rsidR="00D07AFA" w:rsidRPr="00CC121D" w:rsidRDefault="00561E8F" w:rsidP="00D07AFA">
            <w:pPr>
              <w:outlineLvl w:val="0"/>
            </w:pPr>
            <w:r>
              <w:rPr>
                <w:iCs/>
              </w:rPr>
              <w:t>ONR-</w:t>
            </w:r>
            <w:r w:rsidR="00D07AFA" w:rsidRPr="00CC121D">
              <w:t>NS-TAST-GD-062 Workplaces and work environment in particular, paragraphs 5.16, 5.6,  5.7</w:t>
            </w:r>
          </w:p>
        </w:tc>
      </w:tr>
      <w:tr w:rsidR="00CC121D" w:rsidRPr="00CC121D" w14:paraId="5730589C" w14:textId="77777777" w:rsidTr="00AA1B3C">
        <w:trPr>
          <w:jc w:val="center"/>
        </w:trPr>
        <w:tc>
          <w:tcPr>
            <w:tcW w:w="2261" w:type="dxa"/>
            <w:vMerge/>
            <w:tcBorders>
              <w:left w:val="double" w:sz="4" w:space="0" w:color="8DB3E2"/>
              <w:right w:val="double" w:sz="4" w:space="0" w:color="8DB3E2"/>
            </w:tcBorders>
            <w:vAlign w:val="center"/>
          </w:tcPr>
          <w:p w14:paraId="5730589A" w14:textId="77777777" w:rsidR="00D07AFA" w:rsidRPr="00CC121D" w:rsidRDefault="00D07AFA" w:rsidP="00D07AFA"/>
        </w:tc>
        <w:tc>
          <w:tcPr>
            <w:tcW w:w="7080" w:type="dxa"/>
            <w:tcBorders>
              <w:top w:val="double" w:sz="4" w:space="0" w:color="8DB3E2"/>
              <w:left w:val="double" w:sz="4" w:space="0" w:color="8DB3E2"/>
              <w:bottom w:val="double" w:sz="4" w:space="0" w:color="8DB3E2"/>
              <w:right w:val="double" w:sz="4" w:space="0" w:color="8DB3E2"/>
            </w:tcBorders>
            <w:vAlign w:val="center"/>
          </w:tcPr>
          <w:p w14:paraId="5730589B" w14:textId="74637C11" w:rsidR="00D07AFA" w:rsidRPr="00CC121D" w:rsidRDefault="00561E8F" w:rsidP="00D07AFA">
            <w:pPr>
              <w:outlineLvl w:val="0"/>
            </w:pPr>
            <w:r>
              <w:rPr>
                <w:iCs/>
              </w:rPr>
              <w:t>ONR-</w:t>
            </w:r>
            <w:r w:rsidR="00D07AFA" w:rsidRPr="00CC121D">
              <w:t>NS-TAST-GD-058 ‘Human Factors Integration’</w:t>
            </w:r>
          </w:p>
        </w:tc>
      </w:tr>
      <w:tr w:rsidR="00CC121D" w:rsidRPr="00CC121D" w14:paraId="5730589F" w14:textId="77777777" w:rsidTr="00AA1B3C">
        <w:trPr>
          <w:jc w:val="center"/>
        </w:trPr>
        <w:tc>
          <w:tcPr>
            <w:tcW w:w="2261" w:type="dxa"/>
            <w:vMerge/>
            <w:tcBorders>
              <w:left w:val="double" w:sz="4" w:space="0" w:color="8DB3E2"/>
              <w:right w:val="double" w:sz="4" w:space="0" w:color="8DB3E2"/>
            </w:tcBorders>
            <w:vAlign w:val="center"/>
          </w:tcPr>
          <w:p w14:paraId="5730589D" w14:textId="77777777" w:rsidR="00D07AFA" w:rsidRPr="00CC121D" w:rsidRDefault="00D07AFA" w:rsidP="00D07AFA"/>
        </w:tc>
        <w:tc>
          <w:tcPr>
            <w:tcW w:w="7080" w:type="dxa"/>
            <w:tcBorders>
              <w:top w:val="double" w:sz="4" w:space="0" w:color="8DB3E2"/>
              <w:left w:val="double" w:sz="4" w:space="0" w:color="8DB3E2"/>
              <w:bottom w:val="double" w:sz="4" w:space="0" w:color="8DB3E2"/>
              <w:right w:val="double" w:sz="4" w:space="0" w:color="8DB3E2"/>
            </w:tcBorders>
            <w:vAlign w:val="center"/>
          </w:tcPr>
          <w:p w14:paraId="5730589E" w14:textId="724BD02F" w:rsidR="00D07AFA" w:rsidRPr="00CC121D" w:rsidRDefault="00561E8F" w:rsidP="00D07AFA">
            <w:pPr>
              <w:outlineLvl w:val="0"/>
            </w:pPr>
            <w:r>
              <w:rPr>
                <w:iCs/>
              </w:rPr>
              <w:t>ONR-</w:t>
            </w:r>
            <w:r w:rsidR="00D07AFA" w:rsidRPr="00CC121D">
              <w:t>NS-TAST-GD-059 ‘Human Machine Interface’</w:t>
            </w:r>
          </w:p>
        </w:tc>
      </w:tr>
      <w:tr w:rsidR="00CC121D" w:rsidRPr="00CC121D" w14:paraId="573058A2" w14:textId="77777777" w:rsidTr="00AA1B3C">
        <w:trPr>
          <w:jc w:val="center"/>
        </w:trPr>
        <w:tc>
          <w:tcPr>
            <w:tcW w:w="2261" w:type="dxa"/>
            <w:vMerge/>
            <w:tcBorders>
              <w:left w:val="double" w:sz="4" w:space="0" w:color="8DB3E2"/>
              <w:right w:val="double" w:sz="4" w:space="0" w:color="8DB3E2"/>
            </w:tcBorders>
            <w:vAlign w:val="center"/>
          </w:tcPr>
          <w:p w14:paraId="573058A0" w14:textId="77777777" w:rsidR="00D07AFA" w:rsidRPr="00CC121D" w:rsidRDefault="00D07AFA" w:rsidP="00D07AFA"/>
        </w:tc>
        <w:tc>
          <w:tcPr>
            <w:tcW w:w="7080" w:type="dxa"/>
            <w:tcBorders>
              <w:top w:val="double" w:sz="4" w:space="0" w:color="8DB3E2"/>
              <w:left w:val="double" w:sz="4" w:space="0" w:color="8DB3E2"/>
              <w:bottom w:val="double" w:sz="4" w:space="0" w:color="8DB3E2"/>
              <w:right w:val="double" w:sz="4" w:space="0" w:color="8DB3E2"/>
            </w:tcBorders>
            <w:vAlign w:val="center"/>
          </w:tcPr>
          <w:p w14:paraId="573058A1" w14:textId="5F7CC991" w:rsidR="00D07AFA" w:rsidRPr="00CC121D" w:rsidRDefault="00561E8F" w:rsidP="00D07AFA">
            <w:pPr>
              <w:outlineLvl w:val="0"/>
            </w:pPr>
            <w:r>
              <w:rPr>
                <w:iCs/>
              </w:rPr>
              <w:t>ONR-</w:t>
            </w:r>
            <w:r w:rsidR="00D07AFA" w:rsidRPr="00CC121D">
              <w:t>NS-TAST-GD-062 ‘Workplaces and Work Environment’</w:t>
            </w:r>
          </w:p>
        </w:tc>
      </w:tr>
      <w:tr w:rsidR="00CC121D" w:rsidRPr="00CC121D" w14:paraId="573058A5" w14:textId="77777777" w:rsidTr="00AA1B3C">
        <w:trPr>
          <w:jc w:val="center"/>
        </w:trPr>
        <w:tc>
          <w:tcPr>
            <w:tcW w:w="2261" w:type="dxa"/>
            <w:vMerge/>
            <w:tcBorders>
              <w:left w:val="double" w:sz="4" w:space="0" w:color="8DB3E2"/>
              <w:right w:val="double" w:sz="4" w:space="0" w:color="8DB3E2"/>
            </w:tcBorders>
            <w:vAlign w:val="center"/>
          </w:tcPr>
          <w:p w14:paraId="573058A3" w14:textId="77777777" w:rsidR="00D07AFA" w:rsidRPr="00CC121D" w:rsidRDefault="00D07AFA" w:rsidP="00D07AFA"/>
        </w:tc>
        <w:tc>
          <w:tcPr>
            <w:tcW w:w="7080" w:type="dxa"/>
            <w:tcBorders>
              <w:top w:val="double" w:sz="4" w:space="0" w:color="8DB3E2"/>
              <w:left w:val="double" w:sz="4" w:space="0" w:color="8DB3E2"/>
              <w:bottom w:val="double" w:sz="4" w:space="0" w:color="8DB3E2"/>
              <w:right w:val="double" w:sz="4" w:space="0" w:color="8DB3E2"/>
            </w:tcBorders>
            <w:vAlign w:val="center"/>
          </w:tcPr>
          <w:p w14:paraId="573058A4" w14:textId="4419B7F7" w:rsidR="00D07AFA" w:rsidRPr="00CC121D" w:rsidRDefault="00561E8F" w:rsidP="00D07AFA">
            <w:pPr>
              <w:outlineLvl w:val="0"/>
            </w:pPr>
            <w:r>
              <w:rPr>
                <w:iCs/>
              </w:rPr>
              <w:t>ONR-</w:t>
            </w:r>
            <w:r w:rsidR="00D07AFA" w:rsidRPr="00CC121D">
              <w:t>NS-TAST-GD-064 ‘Allocation of Function Between Human and Engineered Systems’</w:t>
            </w:r>
          </w:p>
        </w:tc>
      </w:tr>
      <w:tr w:rsidR="00CC121D" w:rsidRPr="00CC121D" w14:paraId="573058A8" w14:textId="77777777" w:rsidTr="00AA1B3C">
        <w:trPr>
          <w:jc w:val="center"/>
        </w:trPr>
        <w:tc>
          <w:tcPr>
            <w:tcW w:w="2261" w:type="dxa"/>
            <w:vMerge w:val="restart"/>
            <w:tcBorders>
              <w:left w:val="double" w:sz="4" w:space="0" w:color="8DB3E2"/>
              <w:right w:val="double" w:sz="4" w:space="0" w:color="8DB3E2"/>
            </w:tcBorders>
            <w:vAlign w:val="center"/>
          </w:tcPr>
          <w:p w14:paraId="573058A6" w14:textId="77777777" w:rsidR="00D07AFA" w:rsidRPr="00CC121D" w:rsidRDefault="00D07AFA" w:rsidP="00D07AFA">
            <w:r w:rsidRPr="00CC121D">
              <w:t>Security of Design information</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8A7" w14:textId="727354A7" w:rsidR="00D07AFA" w:rsidRPr="00CC121D" w:rsidRDefault="00561E8F" w:rsidP="00D07AFA">
            <w:pPr>
              <w:outlineLvl w:val="0"/>
            </w:pPr>
            <w:r>
              <w:rPr>
                <w:iCs/>
              </w:rPr>
              <w:t>ONR-</w:t>
            </w:r>
            <w:r w:rsidR="00D07AFA" w:rsidRPr="00CC121D">
              <w:t xml:space="preserve">CNS-TAST-GD-4.3 ‘Oversight of Suppliers of Items or Services of Nuclear Security Significance’ </w:t>
            </w:r>
          </w:p>
        </w:tc>
      </w:tr>
      <w:tr w:rsidR="00CC121D" w:rsidRPr="00CC121D" w14:paraId="573058AB" w14:textId="77777777" w:rsidTr="00AA1B3C">
        <w:trPr>
          <w:jc w:val="center"/>
        </w:trPr>
        <w:tc>
          <w:tcPr>
            <w:tcW w:w="2261" w:type="dxa"/>
            <w:vMerge/>
            <w:tcBorders>
              <w:left w:val="double" w:sz="4" w:space="0" w:color="8DB3E2"/>
              <w:right w:val="double" w:sz="4" w:space="0" w:color="8DB3E2"/>
            </w:tcBorders>
            <w:vAlign w:val="center"/>
          </w:tcPr>
          <w:p w14:paraId="573058A9" w14:textId="77777777" w:rsidR="00D07AFA" w:rsidRPr="00CC121D" w:rsidRDefault="00D07AFA" w:rsidP="00D07AFA"/>
        </w:tc>
        <w:tc>
          <w:tcPr>
            <w:tcW w:w="7080" w:type="dxa"/>
            <w:tcBorders>
              <w:top w:val="double" w:sz="4" w:space="0" w:color="8DB3E2"/>
              <w:left w:val="double" w:sz="4" w:space="0" w:color="8DB3E2"/>
              <w:bottom w:val="double" w:sz="4" w:space="0" w:color="8DB3E2"/>
              <w:right w:val="double" w:sz="4" w:space="0" w:color="8DB3E2"/>
            </w:tcBorders>
            <w:vAlign w:val="center"/>
          </w:tcPr>
          <w:p w14:paraId="573058AA" w14:textId="0E2BAB7D" w:rsidR="00D07AFA" w:rsidRPr="00CC121D" w:rsidRDefault="00561E8F" w:rsidP="00D07AFA">
            <w:pPr>
              <w:outlineLvl w:val="0"/>
            </w:pPr>
            <w:r>
              <w:rPr>
                <w:iCs/>
              </w:rPr>
              <w:t>ONR-</w:t>
            </w:r>
            <w:r w:rsidR="00D07AFA" w:rsidRPr="00CC121D">
              <w:t>CNS-TAST-GD-7.1 ‘Effective Cyber &amp; Information Risk Management’</w:t>
            </w:r>
          </w:p>
        </w:tc>
      </w:tr>
      <w:tr w:rsidR="00CC121D" w:rsidRPr="00CC121D" w14:paraId="573058AE" w14:textId="77777777" w:rsidTr="00AA1B3C">
        <w:trPr>
          <w:jc w:val="center"/>
        </w:trPr>
        <w:tc>
          <w:tcPr>
            <w:tcW w:w="2261" w:type="dxa"/>
            <w:vMerge/>
            <w:tcBorders>
              <w:left w:val="double" w:sz="4" w:space="0" w:color="8DB3E2"/>
              <w:right w:val="double" w:sz="4" w:space="0" w:color="8DB3E2"/>
            </w:tcBorders>
            <w:vAlign w:val="center"/>
          </w:tcPr>
          <w:p w14:paraId="573058AC" w14:textId="77777777" w:rsidR="00D07AFA" w:rsidRPr="00CC121D" w:rsidRDefault="00D07AFA" w:rsidP="00D07AFA"/>
        </w:tc>
        <w:tc>
          <w:tcPr>
            <w:tcW w:w="7080" w:type="dxa"/>
            <w:tcBorders>
              <w:top w:val="double" w:sz="4" w:space="0" w:color="8DB3E2"/>
              <w:left w:val="double" w:sz="4" w:space="0" w:color="8DB3E2"/>
              <w:bottom w:val="double" w:sz="4" w:space="0" w:color="8DB3E2"/>
              <w:right w:val="double" w:sz="4" w:space="0" w:color="8DB3E2"/>
            </w:tcBorders>
            <w:vAlign w:val="center"/>
          </w:tcPr>
          <w:p w14:paraId="573058AD" w14:textId="5DCB1B5C" w:rsidR="00D07AFA" w:rsidRPr="00CC121D" w:rsidRDefault="00561E8F" w:rsidP="00D07AFA">
            <w:pPr>
              <w:outlineLvl w:val="0"/>
            </w:pPr>
            <w:r>
              <w:rPr>
                <w:iCs/>
              </w:rPr>
              <w:t>ONR-</w:t>
            </w:r>
            <w:r w:rsidR="00D07AFA" w:rsidRPr="00CC121D">
              <w:t>CNS-TAST-GD-7.2 ‘Information Security’</w:t>
            </w:r>
          </w:p>
        </w:tc>
      </w:tr>
      <w:tr w:rsidR="00CC121D" w:rsidRPr="00CC121D" w14:paraId="573058B1" w14:textId="77777777" w:rsidTr="00AA1B3C">
        <w:trPr>
          <w:jc w:val="center"/>
        </w:trPr>
        <w:tc>
          <w:tcPr>
            <w:tcW w:w="2261" w:type="dxa"/>
            <w:vMerge/>
            <w:tcBorders>
              <w:left w:val="double" w:sz="4" w:space="0" w:color="8DB3E2"/>
              <w:right w:val="double" w:sz="4" w:space="0" w:color="8DB3E2"/>
            </w:tcBorders>
            <w:vAlign w:val="center"/>
          </w:tcPr>
          <w:p w14:paraId="573058AF" w14:textId="77777777" w:rsidR="00D07AFA" w:rsidRPr="00CC121D" w:rsidRDefault="00D07AFA" w:rsidP="00D07AFA"/>
        </w:tc>
        <w:tc>
          <w:tcPr>
            <w:tcW w:w="7080" w:type="dxa"/>
            <w:tcBorders>
              <w:top w:val="double" w:sz="4" w:space="0" w:color="8DB3E2"/>
              <w:left w:val="double" w:sz="4" w:space="0" w:color="8DB3E2"/>
              <w:bottom w:val="double" w:sz="4" w:space="0" w:color="8DB3E2"/>
              <w:right w:val="double" w:sz="4" w:space="0" w:color="8DB3E2"/>
            </w:tcBorders>
            <w:vAlign w:val="center"/>
          </w:tcPr>
          <w:p w14:paraId="573058B0" w14:textId="7DE7A6AE" w:rsidR="00D07AFA" w:rsidRPr="00CC121D" w:rsidRDefault="00561E8F" w:rsidP="00D07AFA">
            <w:pPr>
              <w:outlineLvl w:val="0"/>
            </w:pPr>
            <w:r>
              <w:rPr>
                <w:iCs/>
              </w:rPr>
              <w:t>ONR-</w:t>
            </w:r>
            <w:r w:rsidR="00D07AFA" w:rsidRPr="00CC121D">
              <w:t>CNS-TAST-GD-7.4 ‘Physical Protection of Information’</w:t>
            </w:r>
          </w:p>
        </w:tc>
      </w:tr>
      <w:tr w:rsidR="00CC121D" w:rsidRPr="00CC121D" w14:paraId="573058B4" w14:textId="77777777" w:rsidTr="00AA1B3C">
        <w:trPr>
          <w:jc w:val="center"/>
        </w:trPr>
        <w:tc>
          <w:tcPr>
            <w:tcW w:w="2261" w:type="dxa"/>
            <w:tcBorders>
              <w:left w:val="double" w:sz="4" w:space="0" w:color="8DB3E2"/>
              <w:right w:val="double" w:sz="4" w:space="0" w:color="8DB3E2"/>
            </w:tcBorders>
            <w:vAlign w:val="center"/>
          </w:tcPr>
          <w:p w14:paraId="573058B2" w14:textId="77777777" w:rsidR="00D07AFA" w:rsidRPr="00CC121D" w:rsidRDefault="00D07AFA" w:rsidP="00D07AFA">
            <w:r w:rsidRPr="00CC121D">
              <w:t>Civil Engineering Containments</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8B3" w14:textId="0CA43CAD" w:rsidR="00D07AFA" w:rsidRPr="00CC121D" w:rsidRDefault="00561E8F" w:rsidP="00D07AFA">
            <w:pPr>
              <w:outlineLvl w:val="0"/>
            </w:pPr>
            <w:r>
              <w:rPr>
                <w:iCs/>
              </w:rPr>
              <w:t>ONR-</w:t>
            </w:r>
            <w:r w:rsidR="00D07AFA" w:rsidRPr="00CC121D">
              <w:t>NS-TAST-GD-020 ‘Civil Engineering Containments for Reactor Plants’ for information on: PCPVs, reactor containment buildings, fuel stores and waste stores, construction, reliability and EIMT, unpressurised containments, hazards and safety functional requirements.</w:t>
            </w:r>
          </w:p>
        </w:tc>
      </w:tr>
      <w:tr w:rsidR="00CC121D" w:rsidRPr="00CC121D" w14:paraId="573058B6" w14:textId="77777777" w:rsidTr="00AA1B3C">
        <w:trPr>
          <w:jc w:val="center"/>
        </w:trPr>
        <w:tc>
          <w:tcPr>
            <w:tcW w:w="9341" w:type="dxa"/>
            <w:gridSpan w:val="2"/>
            <w:tcBorders>
              <w:top w:val="double" w:sz="4" w:space="0" w:color="8DB3E2"/>
              <w:left w:val="double" w:sz="4" w:space="0" w:color="8DB3E2"/>
              <w:bottom w:val="double" w:sz="4" w:space="0" w:color="8DB3E2"/>
              <w:right w:val="double" w:sz="4" w:space="0" w:color="8DB3E2"/>
            </w:tcBorders>
            <w:shd w:val="clear" w:color="auto" w:fill="C6D9F1" w:themeFill="text2" w:themeFillTint="33"/>
          </w:tcPr>
          <w:p w14:paraId="573058B5" w14:textId="77777777" w:rsidR="00D07AFA" w:rsidRPr="00CC121D" w:rsidRDefault="00D07AFA" w:rsidP="00D07AFA">
            <w:pPr>
              <w:outlineLvl w:val="0"/>
            </w:pPr>
            <w:r w:rsidRPr="00CC121D">
              <w:t>Fault Studies</w:t>
            </w:r>
          </w:p>
        </w:tc>
      </w:tr>
      <w:tr w:rsidR="00CC121D" w:rsidRPr="00CC121D" w14:paraId="573058B9" w14:textId="77777777" w:rsidTr="00AA1B3C">
        <w:trPr>
          <w:jc w:val="center"/>
        </w:trPr>
        <w:tc>
          <w:tcPr>
            <w:tcW w:w="2261" w:type="dxa"/>
            <w:vMerge w:val="restart"/>
            <w:tcBorders>
              <w:left w:val="double" w:sz="4" w:space="0" w:color="8DB3E2"/>
              <w:right w:val="double" w:sz="4" w:space="0" w:color="8DB3E2"/>
            </w:tcBorders>
            <w:vAlign w:val="center"/>
          </w:tcPr>
          <w:p w14:paraId="573058B7" w14:textId="23E064DB" w:rsidR="00D07AFA" w:rsidRPr="00CC121D" w:rsidRDefault="00D07AFA" w:rsidP="00D07AFA">
            <w:bookmarkStart w:id="103" w:name="_Toc473126432"/>
            <w:bookmarkStart w:id="104" w:name="_Toc473128052"/>
            <w:r w:rsidRPr="00CC121D">
              <w:t>Layout / segregation / separation,</w:t>
            </w:r>
            <w:bookmarkEnd w:id="103"/>
            <w:bookmarkEnd w:id="104"/>
            <w:r w:rsidRPr="00CC121D">
              <w:t xml:space="preserve"> storage of spent fuel</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8B8" w14:textId="4448A1E9" w:rsidR="00D07AFA" w:rsidRPr="00CC121D" w:rsidRDefault="00561E8F" w:rsidP="00D07AFA">
            <w:pPr>
              <w:outlineLvl w:val="0"/>
            </w:pPr>
            <w:r>
              <w:rPr>
                <w:iCs/>
              </w:rPr>
              <w:t>ONR-</w:t>
            </w:r>
            <w:r w:rsidR="00D07AFA" w:rsidRPr="00CC121D">
              <w:t>NS-TAST-GD-081 ‘Safety aspects specific to storage of spent nuclear fuel</w:t>
            </w:r>
            <w:r w:rsidR="00C17F56" w:rsidRPr="00CC121D">
              <w:t>’,</w:t>
            </w:r>
            <w:r w:rsidR="00D07AFA" w:rsidRPr="00CC121D">
              <w:t xml:space="preserve"> Appendix 1  - FA.3, Appendix 2, section 5.73</w:t>
            </w:r>
          </w:p>
        </w:tc>
      </w:tr>
      <w:tr w:rsidR="00CC121D" w:rsidRPr="00CC121D" w14:paraId="573058BC" w14:textId="77777777" w:rsidTr="00AA1B3C">
        <w:trPr>
          <w:jc w:val="center"/>
        </w:trPr>
        <w:tc>
          <w:tcPr>
            <w:tcW w:w="2261" w:type="dxa"/>
            <w:vMerge/>
            <w:tcBorders>
              <w:left w:val="double" w:sz="4" w:space="0" w:color="8DB3E2"/>
              <w:right w:val="double" w:sz="4" w:space="0" w:color="8DB3E2"/>
            </w:tcBorders>
            <w:vAlign w:val="center"/>
          </w:tcPr>
          <w:p w14:paraId="573058BA" w14:textId="77777777" w:rsidR="00D07AFA" w:rsidRPr="00CC121D" w:rsidRDefault="00D07AFA" w:rsidP="00D07AFA"/>
        </w:tc>
        <w:tc>
          <w:tcPr>
            <w:tcW w:w="7080" w:type="dxa"/>
            <w:tcBorders>
              <w:top w:val="double" w:sz="4" w:space="0" w:color="8DB3E2"/>
              <w:left w:val="double" w:sz="4" w:space="0" w:color="8DB3E2"/>
              <w:bottom w:val="double" w:sz="4" w:space="0" w:color="8DB3E2"/>
              <w:right w:val="double" w:sz="4" w:space="0" w:color="8DB3E2"/>
            </w:tcBorders>
            <w:vAlign w:val="center"/>
          </w:tcPr>
          <w:p w14:paraId="573058BB" w14:textId="3D82EA9C" w:rsidR="00D07AFA" w:rsidRPr="00CC121D" w:rsidRDefault="00561E8F" w:rsidP="00D07AFA">
            <w:pPr>
              <w:outlineLvl w:val="0"/>
            </w:pPr>
            <w:r>
              <w:rPr>
                <w:iCs/>
              </w:rPr>
              <w:t>ONR-</w:t>
            </w:r>
            <w:r w:rsidR="00D07AFA" w:rsidRPr="00CC121D">
              <w:t>NS-TAST-GD-036 ‘Diversity Redundancy Segregation and Layout of Mechanical Plant’</w:t>
            </w:r>
          </w:p>
        </w:tc>
      </w:tr>
      <w:tr w:rsidR="00CC121D" w:rsidRPr="00CC121D" w14:paraId="573058BF" w14:textId="77777777" w:rsidTr="00AA1B3C">
        <w:trPr>
          <w:jc w:val="center"/>
        </w:trPr>
        <w:tc>
          <w:tcPr>
            <w:tcW w:w="2261" w:type="dxa"/>
            <w:tcBorders>
              <w:left w:val="double" w:sz="4" w:space="0" w:color="8DB3E2"/>
              <w:right w:val="double" w:sz="4" w:space="0" w:color="8DB3E2"/>
            </w:tcBorders>
            <w:vAlign w:val="center"/>
          </w:tcPr>
          <w:p w14:paraId="573058BD" w14:textId="1C69DFEE" w:rsidR="00D07AFA" w:rsidRPr="00CC121D" w:rsidRDefault="00D07AFA" w:rsidP="00D07AFA">
            <w:bookmarkStart w:id="105" w:name="_Toc473126433"/>
            <w:bookmarkStart w:id="106" w:name="_Toc473128053"/>
            <w:r w:rsidRPr="00CC121D">
              <w:t>Fault schedule</w:t>
            </w:r>
            <w:bookmarkEnd w:id="105"/>
            <w:bookmarkEnd w:id="106"/>
            <w:r w:rsidRPr="00CC121D">
              <w:t xml:space="preserve">s </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8BE" w14:textId="445AEACF" w:rsidR="00D07AFA" w:rsidRPr="00CC121D" w:rsidRDefault="00561E8F" w:rsidP="00D07AFA">
            <w:pPr>
              <w:outlineLvl w:val="0"/>
            </w:pPr>
            <w:r>
              <w:rPr>
                <w:iCs/>
              </w:rPr>
              <w:t>ONR-</w:t>
            </w:r>
            <w:r w:rsidR="00D07AFA" w:rsidRPr="00CC121D">
              <w:t>NS-TAST-GD-030 in particular, paragraphs: 5.3, 4.6-3)ii, 5.8-2)viii</w:t>
            </w:r>
          </w:p>
        </w:tc>
      </w:tr>
      <w:tr w:rsidR="00CC121D" w:rsidRPr="00CC121D" w14:paraId="573058C2" w14:textId="77777777" w:rsidTr="00AA1B3C">
        <w:trPr>
          <w:jc w:val="center"/>
        </w:trPr>
        <w:tc>
          <w:tcPr>
            <w:tcW w:w="2261" w:type="dxa"/>
            <w:tcBorders>
              <w:left w:val="double" w:sz="4" w:space="0" w:color="8DB3E2"/>
              <w:right w:val="double" w:sz="4" w:space="0" w:color="8DB3E2"/>
            </w:tcBorders>
            <w:vAlign w:val="center"/>
          </w:tcPr>
          <w:p w14:paraId="573058C0" w14:textId="76B29F38" w:rsidR="00D07AFA" w:rsidRPr="00CC121D" w:rsidRDefault="00C17F56" w:rsidP="00D07AFA">
            <w:r w:rsidRPr="00CC121D">
              <w:t>Probabilistic</w:t>
            </w:r>
            <w:r w:rsidR="00D07AFA" w:rsidRPr="00CC121D">
              <w:t xml:space="preserve"> Safety Analysis</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8C1" w14:textId="11CCBCC1" w:rsidR="00D07AFA" w:rsidRPr="00CC121D" w:rsidRDefault="00561E8F" w:rsidP="00D07AFA">
            <w:pPr>
              <w:outlineLvl w:val="0"/>
            </w:pPr>
            <w:r>
              <w:rPr>
                <w:iCs/>
              </w:rPr>
              <w:t>ONR-</w:t>
            </w:r>
            <w:r w:rsidR="00D07AFA" w:rsidRPr="00CC121D">
              <w:t>NS-TAST-GD-030 ‘Probab</w:t>
            </w:r>
            <w:r w:rsidR="00C17F56">
              <w:t>i</w:t>
            </w:r>
            <w:r w:rsidR="00D07AFA" w:rsidRPr="00CC121D">
              <w:t>listic Safety Analysis’, in particular, paragraphs: 9, 26.3)iii, 28, 29, 31, Table A1-1.4 and 2.4.1, 2.6.2, 2.7.3-4, 3.3-3.4, 54 and Table A1 – 2.7.2</w:t>
            </w:r>
          </w:p>
        </w:tc>
      </w:tr>
      <w:tr w:rsidR="00CC121D" w:rsidRPr="00CC121D" w14:paraId="573058C5" w14:textId="77777777" w:rsidTr="00AA1B3C">
        <w:trPr>
          <w:jc w:val="center"/>
        </w:trPr>
        <w:tc>
          <w:tcPr>
            <w:tcW w:w="2261" w:type="dxa"/>
            <w:tcBorders>
              <w:left w:val="double" w:sz="4" w:space="0" w:color="8DB3E2"/>
              <w:bottom w:val="double" w:sz="4" w:space="0" w:color="8DB3E2"/>
              <w:right w:val="double" w:sz="4" w:space="0" w:color="8DB3E2"/>
            </w:tcBorders>
            <w:vAlign w:val="center"/>
          </w:tcPr>
          <w:p w14:paraId="573058C3" w14:textId="77777777" w:rsidR="00D07AFA" w:rsidRPr="00CC121D" w:rsidRDefault="00D07AFA" w:rsidP="00D07AFA">
            <w:r w:rsidRPr="00CC121D">
              <w:rPr>
                <w:rFonts w:cs="Arial"/>
                <w:szCs w:val="20"/>
              </w:rPr>
              <w:t>Severe Accident Analysis</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8C4" w14:textId="03D6CF0C" w:rsidR="00D07AFA" w:rsidRPr="00CC121D" w:rsidRDefault="00561E8F" w:rsidP="00D07AFA">
            <w:pPr>
              <w:outlineLvl w:val="0"/>
            </w:pPr>
            <w:r>
              <w:rPr>
                <w:iCs/>
              </w:rPr>
              <w:t>ONR-</w:t>
            </w:r>
            <w:r w:rsidR="00D07AFA" w:rsidRPr="00CC121D">
              <w:t>NS-TAST-GD-43 ‘Severe Accident Analysis’, in particular, paragraphs: 13 - 14 structural response to low frequency hazard events</w:t>
            </w:r>
          </w:p>
        </w:tc>
      </w:tr>
      <w:tr w:rsidR="00CC121D" w:rsidRPr="00CC121D" w14:paraId="573058C7" w14:textId="77777777" w:rsidTr="00AA1B3C">
        <w:trPr>
          <w:jc w:val="center"/>
        </w:trPr>
        <w:tc>
          <w:tcPr>
            <w:tcW w:w="9341" w:type="dxa"/>
            <w:gridSpan w:val="2"/>
            <w:tcBorders>
              <w:top w:val="double" w:sz="4" w:space="0" w:color="8DB3E2"/>
              <w:left w:val="double" w:sz="4" w:space="0" w:color="8DB3E2"/>
              <w:bottom w:val="double" w:sz="4" w:space="0" w:color="8DB3E2"/>
              <w:right w:val="double" w:sz="4" w:space="0" w:color="8DB3E2"/>
            </w:tcBorders>
            <w:shd w:val="clear" w:color="auto" w:fill="C6D9F1" w:themeFill="text2" w:themeFillTint="33"/>
          </w:tcPr>
          <w:p w14:paraId="573058C6" w14:textId="77777777" w:rsidR="00D07AFA" w:rsidRPr="00CC121D" w:rsidRDefault="00D07AFA" w:rsidP="00D07AFA">
            <w:pPr>
              <w:outlineLvl w:val="0"/>
            </w:pPr>
            <w:r w:rsidRPr="00CC121D">
              <w:t>Internal Hazards</w:t>
            </w:r>
          </w:p>
        </w:tc>
      </w:tr>
      <w:tr w:rsidR="00CC121D" w:rsidRPr="00CC121D" w14:paraId="573058CA" w14:textId="77777777" w:rsidTr="00AA1B3C">
        <w:trPr>
          <w:jc w:val="center"/>
        </w:trPr>
        <w:tc>
          <w:tcPr>
            <w:tcW w:w="2261" w:type="dxa"/>
            <w:tcBorders>
              <w:top w:val="double" w:sz="4" w:space="0" w:color="8DB3E2"/>
              <w:left w:val="double" w:sz="4" w:space="0" w:color="8DB3E2"/>
              <w:bottom w:val="double" w:sz="4" w:space="0" w:color="8DB3E2"/>
              <w:right w:val="double" w:sz="4" w:space="0" w:color="8DB3E2"/>
            </w:tcBorders>
            <w:vAlign w:val="center"/>
          </w:tcPr>
          <w:p w14:paraId="573058C8" w14:textId="77777777" w:rsidR="00D07AFA" w:rsidRPr="00CC121D" w:rsidRDefault="00D07AFA" w:rsidP="00D07AFA">
            <w:r w:rsidRPr="00CC121D">
              <w:t>Derivation of hazards loading for design substantiation</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8C9" w14:textId="004DCC24" w:rsidR="00D07AFA" w:rsidRPr="00CC121D" w:rsidRDefault="00561E8F" w:rsidP="00D07AFA">
            <w:pPr>
              <w:outlineLvl w:val="0"/>
            </w:pPr>
            <w:r>
              <w:rPr>
                <w:iCs/>
              </w:rPr>
              <w:t>ONR-</w:t>
            </w:r>
            <w:r w:rsidR="00D07AFA" w:rsidRPr="00CC121D">
              <w:t>NS-TAST-GD-014 ‘Internal Hazards’ in particular paragraphs: 5.11,  5.14-15, 5.17, 5.19, 5.22, 5.24, 5.34, 5.78, 5.227</w:t>
            </w:r>
          </w:p>
        </w:tc>
      </w:tr>
      <w:tr w:rsidR="00CC121D" w:rsidRPr="00CC121D" w14:paraId="573058CD" w14:textId="77777777" w:rsidTr="00AA1B3C">
        <w:trPr>
          <w:jc w:val="center"/>
        </w:trPr>
        <w:tc>
          <w:tcPr>
            <w:tcW w:w="2261" w:type="dxa"/>
            <w:tcBorders>
              <w:left w:val="double" w:sz="4" w:space="0" w:color="8DB3E2"/>
              <w:right w:val="double" w:sz="4" w:space="0" w:color="8DB3E2"/>
            </w:tcBorders>
            <w:vAlign w:val="center"/>
          </w:tcPr>
          <w:p w14:paraId="573058CB" w14:textId="77777777" w:rsidR="00D07AFA" w:rsidRPr="00CC121D" w:rsidRDefault="00D07AFA" w:rsidP="00D07AFA">
            <w:r w:rsidRPr="00CC121D">
              <w:t>Structural collapse of lifting systems</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8CC" w14:textId="6A3503E0" w:rsidR="00D07AFA" w:rsidRPr="00CC121D" w:rsidRDefault="00561E8F" w:rsidP="00D07AFA">
            <w:pPr>
              <w:outlineLvl w:val="0"/>
            </w:pPr>
            <w:r>
              <w:rPr>
                <w:iCs/>
              </w:rPr>
              <w:t>ONR-</w:t>
            </w:r>
            <w:r w:rsidR="00D07AFA" w:rsidRPr="00CC121D">
              <w:t>NS-TAST-GD-056 ‘Nuclear Lifting Operations’: page 6 – EHA sections 1,</w:t>
            </w:r>
            <w:r w:rsidR="00305946">
              <w:t xml:space="preserve"> </w:t>
            </w:r>
            <w:r w:rsidR="00D07AFA" w:rsidRPr="00CC121D">
              <w:t>5,</w:t>
            </w:r>
            <w:r w:rsidR="00305946">
              <w:t xml:space="preserve"> </w:t>
            </w:r>
            <w:r w:rsidR="00D07AFA" w:rsidRPr="00CC121D">
              <w:t>6,</w:t>
            </w:r>
            <w:r w:rsidR="00305946">
              <w:t xml:space="preserve"> </w:t>
            </w:r>
            <w:r w:rsidR="00D07AFA" w:rsidRPr="00CC121D">
              <w:t>7,</w:t>
            </w:r>
            <w:r w:rsidR="00305946">
              <w:t xml:space="preserve"> </w:t>
            </w:r>
            <w:r w:rsidR="00D07AFA" w:rsidRPr="00CC121D">
              <w:t>10,13-18, Page 16 – section 21, page 47 LOLER Reg 8</w:t>
            </w:r>
          </w:p>
        </w:tc>
      </w:tr>
      <w:tr w:rsidR="00CC121D" w:rsidRPr="00CC121D" w14:paraId="573058D0" w14:textId="77777777" w:rsidTr="00AA1B3C">
        <w:trPr>
          <w:jc w:val="center"/>
        </w:trPr>
        <w:tc>
          <w:tcPr>
            <w:tcW w:w="2261" w:type="dxa"/>
            <w:tcBorders>
              <w:left w:val="double" w:sz="4" w:space="0" w:color="8DB3E2"/>
              <w:right w:val="double" w:sz="4" w:space="0" w:color="8DB3E2"/>
            </w:tcBorders>
            <w:vAlign w:val="center"/>
          </w:tcPr>
          <w:p w14:paraId="573058CE" w14:textId="77777777" w:rsidR="00D07AFA" w:rsidRPr="00CC121D" w:rsidRDefault="00D07AFA" w:rsidP="00D07AFA">
            <w:r w:rsidRPr="00CC121D">
              <w:t>Essential services / drainage / flooding</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8CF" w14:textId="6D27EEDC" w:rsidR="00D07AFA" w:rsidRPr="00CC121D" w:rsidRDefault="00561E8F" w:rsidP="00D07AFA">
            <w:pPr>
              <w:outlineLvl w:val="0"/>
            </w:pPr>
            <w:r>
              <w:rPr>
                <w:iCs/>
              </w:rPr>
              <w:t>ONR-</w:t>
            </w:r>
            <w:r w:rsidR="00D07AFA" w:rsidRPr="00CC121D">
              <w:t>NS-TAST-GD-019 ‘Essential Services’, in particular, paragraphs 2.3, and 5.2</w:t>
            </w:r>
          </w:p>
        </w:tc>
      </w:tr>
      <w:tr w:rsidR="00CC121D" w:rsidRPr="00CC121D" w14:paraId="573058D3" w14:textId="77777777" w:rsidTr="00AA1B3C">
        <w:trPr>
          <w:jc w:val="center"/>
        </w:trPr>
        <w:tc>
          <w:tcPr>
            <w:tcW w:w="2261" w:type="dxa"/>
            <w:tcBorders>
              <w:left w:val="double" w:sz="4" w:space="0" w:color="8DB3E2"/>
              <w:right w:val="double" w:sz="4" w:space="0" w:color="8DB3E2"/>
            </w:tcBorders>
            <w:vAlign w:val="center"/>
          </w:tcPr>
          <w:p w14:paraId="573058D1" w14:textId="77777777" w:rsidR="00D07AFA" w:rsidRPr="00CC121D" w:rsidRDefault="00D07AFA" w:rsidP="00D07AFA">
            <w:r w:rsidRPr="00CC121D">
              <w:t xml:space="preserve">Initiating events, Probability of structural analysis  </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8D2" w14:textId="183C64F8" w:rsidR="00D07AFA" w:rsidRPr="00CC121D" w:rsidRDefault="00561E8F" w:rsidP="00D07AFA">
            <w:pPr>
              <w:outlineLvl w:val="0"/>
            </w:pPr>
            <w:r>
              <w:rPr>
                <w:iCs/>
              </w:rPr>
              <w:t>ONR-</w:t>
            </w:r>
            <w:r w:rsidR="00D07AFA" w:rsidRPr="00CC121D">
              <w:t>NS-TAST-GD-034 ‘Transient Analysis for DBA in Nuclear Reactors’, in particular, paragraphs 25 and 27</w:t>
            </w:r>
          </w:p>
        </w:tc>
      </w:tr>
      <w:tr w:rsidR="00CC121D" w:rsidRPr="00CC121D" w14:paraId="573058D6" w14:textId="77777777" w:rsidTr="00AA1B3C">
        <w:trPr>
          <w:jc w:val="center"/>
        </w:trPr>
        <w:tc>
          <w:tcPr>
            <w:tcW w:w="2261" w:type="dxa"/>
            <w:tcBorders>
              <w:left w:val="double" w:sz="4" w:space="0" w:color="8DB3E2"/>
              <w:right w:val="double" w:sz="4" w:space="0" w:color="8DB3E2"/>
            </w:tcBorders>
            <w:vAlign w:val="center"/>
          </w:tcPr>
          <w:p w14:paraId="573058D4" w14:textId="77777777" w:rsidR="00D07AFA" w:rsidRPr="00CC121D" w:rsidRDefault="00D07AFA" w:rsidP="00D07AFA">
            <w:r w:rsidRPr="00CC121D">
              <w:t>Safe working life</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8D5" w14:textId="70F303A9" w:rsidR="00D07AFA" w:rsidRPr="00CC121D" w:rsidRDefault="00561E8F" w:rsidP="00D07AFA">
            <w:pPr>
              <w:outlineLvl w:val="0"/>
            </w:pPr>
            <w:r>
              <w:rPr>
                <w:iCs/>
              </w:rPr>
              <w:t>ONR-</w:t>
            </w:r>
            <w:r w:rsidR="00D07AFA" w:rsidRPr="00CC121D">
              <w:t>NS-TAST-GD-081 ‘Safety Aspects Specific to Storage of Spent Nuclear Fuel’ in particular, Appendix 1 – EAD 1 &amp; EAD 2, Appendix 2 table, paragraph 5.73</w:t>
            </w:r>
          </w:p>
        </w:tc>
      </w:tr>
      <w:tr w:rsidR="00CC121D" w:rsidRPr="00CC121D" w14:paraId="573058D9" w14:textId="77777777" w:rsidTr="00AA1B3C">
        <w:trPr>
          <w:jc w:val="center"/>
        </w:trPr>
        <w:tc>
          <w:tcPr>
            <w:tcW w:w="2261" w:type="dxa"/>
            <w:vMerge w:val="restart"/>
            <w:tcBorders>
              <w:left w:val="double" w:sz="4" w:space="0" w:color="8DB3E2"/>
              <w:right w:val="double" w:sz="4" w:space="0" w:color="8DB3E2"/>
            </w:tcBorders>
            <w:vAlign w:val="center"/>
          </w:tcPr>
          <w:p w14:paraId="573058D7" w14:textId="77777777" w:rsidR="00D07AFA" w:rsidRPr="00CC121D" w:rsidRDefault="00D07AFA" w:rsidP="00D07AFA">
            <w:r w:rsidRPr="00CC121D">
              <w:t>Leakage and leak monitoring</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8D8" w14:textId="12079C7B" w:rsidR="00D07AFA" w:rsidRPr="00CC121D" w:rsidRDefault="00561E8F" w:rsidP="00D07AFA">
            <w:pPr>
              <w:outlineLvl w:val="0"/>
            </w:pPr>
            <w:r>
              <w:rPr>
                <w:iCs/>
              </w:rPr>
              <w:t>ONR-</w:t>
            </w:r>
            <w:r w:rsidR="00D07AFA" w:rsidRPr="00CC121D">
              <w:t>NS-TAST-GD-081 ‘Safety Aspects Specific to Storage of Spent Nuclear Fuel’ in particular, paragraphs 3.1, 5.11, Appendix 1: ECV 1, EVC 7, 5.73</w:t>
            </w:r>
          </w:p>
        </w:tc>
      </w:tr>
      <w:tr w:rsidR="00CC121D" w:rsidRPr="00CC121D" w14:paraId="573058DC" w14:textId="77777777" w:rsidTr="00AA1B3C">
        <w:trPr>
          <w:jc w:val="center"/>
        </w:trPr>
        <w:tc>
          <w:tcPr>
            <w:tcW w:w="2261" w:type="dxa"/>
            <w:vMerge/>
            <w:tcBorders>
              <w:left w:val="double" w:sz="4" w:space="0" w:color="8DB3E2"/>
              <w:right w:val="double" w:sz="4" w:space="0" w:color="8DB3E2"/>
            </w:tcBorders>
            <w:vAlign w:val="center"/>
          </w:tcPr>
          <w:p w14:paraId="573058DA" w14:textId="77777777" w:rsidR="00D07AFA" w:rsidRPr="00CC121D" w:rsidRDefault="00D07AFA" w:rsidP="00D07AFA"/>
        </w:tc>
        <w:tc>
          <w:tcPr>
            <w:tcW w:w="7080" w:type="dxa"/>
            <w:tcBorders>
              <w:top w:val="double" w:sz="4" w:space="0" w:color="8DB3E2"/>
              <w:left w:val="double" w:sz="4" w:space="0" w:color="8DB3E2"/>
              <w:bottom w:val="double" w:sz="4" w:space="0" w:color="8DB3E2"/>
              <w:right w:val="double" w:sz="4" w:space="0" w:color="8DB3E2"/>
            </w:tcBorders>
            <w:vAlign w:val="center"/>
          </w:tcPr>
          <w:p w14:paraId="573058DB" w14:textId="3136FA82" w:rsidR="00D07AFA" w:rsidRPr="00CC121D" w:rsidRDefault="00561E8F" w:rsidP="00D07AFA">
            <w:pPr>
              <w:outlineLvl w:val="0"/>
            </w:pPr>
            <w:r>
              <w:rPr>
                <w:iCs/>
              </w:rPr>
              <w:t>ONR-</w:t>
            </w:r>
            <w:r w:rsidR="00D07AFA" w:rsidRPr="00CC121D">
              <w:t>NS-TAST-GD-083 ‘Land Quality Management’, in particular, paragraphs: 4.1, 5.13, 5.14, 5.16, 5.17, 5.22, 5.47</w:t>
            </w:r>
          </w:p>
        </w:tc>
      </w:tr>
      <w:tr w:rsidR="00CC121D" w:rsidRPr="00CC121D" w14:paraId="573058DF" w14:textId="77777777" w:rsidTr="00AA1B3C">
        <w:trPr>
          <w:jc w:val="center"/>
        </w:trPr>
        <w:tc>
          <w:tcPr>
            <w:tcW w:w="2261" w:type="dxa"/>
            <w:vMerge/>
            <w:tcBorders>
              <w:left w:val="double" w:sz="4" w:space="0" w:color="8DB3E2"/>
              <w:right w:val="double" w:sz="4" w:space="0" w:color="8DB3E2"/>
            </w:tcBorders>
            <w:vAlign w:val="center"/>
          </w:tcPr>
          <w:p w14:paraId="573058DD" w14:textId="77777777" w:rsidR="00D07AFA" w:rsidRPr="00CC121D" w:rsidRDefault="00D07AFA" w:rsidP="00D07AFA"/>
        </w:tc>
        <w:tc>
          <w:tcPr>
            <w:tcW w:w="7080" w:type="dxa"/>
            <w:tcBorders>
              <w:top w:val="double" w:sz="4" w:space="0" w:color="8DB3E2"/>
              <w:left w:val="double" w:sz="4" w:space="0" w:color="8DB3E2"/>
              <w:bottom w:val="double" w:sz="4" w:space="0" w:color="8DB3E2"/>
              <w:right w:val="double" w:sz="4" w:space="0" w:color="8DB3E2"/>
            </w:tcBorders>
            <w:vAlign w:val="center"/>
          </w:tcPr>
          <w:p w14:paraId="573058DE" w14:textId="0629555D" w:rsidR="00D07AFA" w:rsidRPr="00CC121D" w:rsidRDefault="00561E8F" w:rsidP="00D07AFA">
            <w:pPr>
              <w:outlineLvl w:val="0"/>
            </w:pPr>
            <w:r>
              <w:rPr>
                <w:iCs/>
              </w:rPr>
              <w:t>ONR-</w:t>
            </w:r>
            <w:r w:rsidR="00D07AFA" w:rsidRPr="00CC121D">
              <w:t>NS-INSP-GD-034 ‘LC34 – Leakage and Escape of Radioactive Material and Radioactive Waste’</w:t>
            </w:r>
          </w:p>
        </w:tc>
      </w:tr>
      <w:tr w:rsidR="00CC121D" w:rsidRPr="00CC121D" w14:paraId="573058E2" w14:textId="77777777" w:rsidTr="00AA1B3C">
        <w:trPr>
          <w:jc w:val="center"/>
        </w:trPr>
        <w:tc>
          <w:tcPr>
            <w:tcW w:w="2261" w:type="dxa"/>
            <w:vMerge w:val="restart"/>
            <w:tcBorders>
              <w:left w:val="double" w:sz="4" w:space="0" w:color="8DB3E2"/>
              <w:right w:val="double" w:sz="4" w:space="0" w:color="8DB3E2"/>
            </w:tcBorders>
            <w:vAlign w:val="center"/>
          </w:tcPr>
          <w:p w14:paraId="573058E0" w14:textId="77777777" w:rsidR="00D07AFA" w:rsidRPr="00CC121D" w:rsidRDefault="00D07AFA" w:rsidP="00D07AFA">
            <w:r w:rsidRPr="00CC121D">
              <w:t>Shielding</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8E1" w14:textId="639C5951" w:rsidR="00D07AFA" w:rsidRPr="00CC121D" w:rsidRDefault="00561E8F" w:rsidP="00D07AFA">
            <w:pPr>
              <w:outlineLvl w:val="0"/>
            </w:pPr>
            <w:r>
              <w:rPr>
                <w:iCs/>
              </w:rPr>
              <w:t>ONR-</w:t>
            </w:r>
            <w:r w:rsidR="00D07AFA" w:rsidRPr="00CC121D">
              <w:t>NS-TAST-GD-002: ‘Radiological Shielding’ in particular, paragraphs:  11, Appendix 1: 8, 5.37-38, 5.52, 5.67</w:t>
            </w:r>
          </w:p>
        </w:tc>
      </w:tr>
      <w:tr w:rsidR="00CC121D" w:rsidRPr="00CC121D" w14:paraId="573058E5" w14:textId="77777777" w:rsidTr="00AA1B3C">
        <w:trPr>
          <w:jc w:val="center"/>
        </w:trPr>
        <w:tc>
          <w:tcPr>
            <w:tcW w:w="2261" w:type="dxa"/>
            <w:vMerge/>
            <w:tcBorders>
              <w:left w:val="double" w:sz="4" w:space="0" w:color="8DB3E2"/>
              <w:right w:val="double" w:sz="4" w:space="0" w:color="8DB3E2"/>
            </w:tcBorders>
            <w:vAlign w:val="center"/>
          </w:tcPr>
          <w:p w14:paraId="573058E3" w14:textId="77777777" w:rsidR="00D07AFA" w:rsidRPr="00CC121D" w:rsidRDefault="00D07AFA" w:rsidP="00D07AFA"/>
        </w:tc>
        <w:tc>
          <w:tcPr>
            <w:tcW w:w="7080" w:type="dxa"/>
            <w:tcBorders>
              <w:top w:val="double" w:sz="4" w:space="0" w:color="8DB3E2"/>
              <w:left w:val="double" w:sz="4" w:space="0" w:color="8DB3E2"/>
              <w:bottom w:val="double" w:sz="4" w:space="0" w:color="8DB3E2"/>
              <w:right w:val="double" w:sz="4" w:space="0" w:color="8DB3E2"/>
            </w:tcBorders>
            <w:vAlign w:val="center"/>
          </w:tcPr>
          <w:p w14:paraId="573058E4" w14:textId="7C6D1AEB" w:rsidR="00D07AFA" w:rsidRPr="00CC121D" w:rsidRDefault="00561E8F" w:rsidP="00D07AFA">
            <w:pPr>
              <w:outlineLvl w:val="0"/>
            </w:pPr>
            <w:r>
              <w:rPr>
                <w:iCs/>
              </w:rPr>
              <w:t>ONR-</w:t>
            </w:r>
            <w:r w:rsidR="00D07AFA" w:rsidRPr="00CC121D">
              <w:t>NS-TAST-GD-045 ‘Radiological analysis for Fault Conditions’</w:t>
            </w:r>
          </w:p>
        </w:tc>
      </w:tr>
      <w:tr w:rsidR="00CC121D" w:rsidRPr="00CC121D" w14:paraId="573058E8" w14:textId="77777777" w:rsidTr="00AA1B3C">
        <w:trPr>
          <w:jc w:val="center"/>
        </w:trPr>
        <w:tc>
          <w:tcPr>
            <w:tcW w:w="2261" w:type="dxa"/>
            <w:tcBorders>
              <w:left w:val="double" w:sz="4" w:space="0" w:color="8DB3E2"/>
              <w:right w:val="double" w:sz="4" w:space="0" w:color="8DB3E2"/>
            </w:tcBorders>
            <w:vAlign w:val="center"/>
          </w:tcPr>
          <w:p w14:paraId="573058E6" w14:textId="77777777" w:rsidR="00D07AFA" w:rsidRPr="00CC121D" w:rsidRDefault="00D07AFA" w:rsidP="00D07AFA">
            <w:r w:rsidRPr="00CC121D">
              <w:t>Pressure systems</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8E7" w14:textId="0AAE1E75" w:rsidR="00D07AFA" w:rsidRPr="00CC121D" w:rsidRDefault="00561E8F" w:rsidP="00D07AFA">
            <w:pPr>
              <w:outlineLvl w:val="0"/>
            </w:pPr>
            <w:r>
              <w:rPr>
                <w:iCs/>
              </w:rPr>
              <w:t>ONR-</w:t>
            </w:r>
            <w:r w:rsidR="00D07AFA" w:rsidRPr="00CC121D">
              <w:t>NS-TAST-GD-067 ‘Pressure Systems Safety’ in particular, paragraphs 4.2.2</w:t>
            </w:r>
          </w:p>
        </w:tc>
      </w:tr>
      <w:tr w:rsidR="00CC121D" w:rsidRPr="00CC121D" w14:paraId="573058EB" w14:textId="77777777" w:rsidTr="00AA1B3C">
        <w:trPr>
          <w:trHeight w:val="487"/>
          <w:jc w:val="center"/>
        </w:trPr>
        <w:tc>
          <w:tcPr>
            <w:tcW w:w="2261" w:type="dxa"/>
            <w:tcBorders>
              <w:left w:val="double" w:sz="4" w:space="0" w:color="8DB3E2"/>
              <w:right w:val="double" w:sz="4" w:space="0" w:color="8DB3E2"/>
            </w:tcBorders>
            <w:vAlign w:val="center"/>
          </w:tcPr>
          <w:p w14:paraId="573058E9" w14:textId="77777777" w:rsidR="00D07AFA" w:rsidRPr="00CC121D" w:rsidRDefault="00D07AFA" w:rsidP="00D07AFA">
            <w:r w:rsidRPr="00CC121D">
              <w:t>Accumulation of material (fire hazard)</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8EA" w14:textId="0715BE50" w:rsidR="00D07AFA" w:rsidRPr="00CC121D" w:rsidRDefault="00561E8F" w:rsidP="00D07AFA">
            <w:pPr>
              <w:outlineLvl w:val="0"/>
            </w:pPr>
            <w:r>
              <w:rPr>
                <w:iCs/>
              </w:rPr>
              <w:t>ONR-</w:t>
            </w:r>
            <w:r w:rsidR="00D07AFA" w:rsidRPr="00CC121D">
              <w:t>NS-TAST-GD-033 ‘</w:t>
            </w:r>
            <w:proofErr w:type="spellStart"/>
            <w:r w:rsidR="00D07AFA" w:rsidRPr="00CC121D">
              <w:t>Dutyholder</w:t>
            </w:r>
            <w:proofErr w:type="spellEnd"/>
            <w:r w:rsidR="00D07AFA" w:rsidRPr="00CC121D">
              <w:t xml:space="preserve"> Management of Records’ in particular, paragraph A3.1.6</w:t>
            </w:r>
          </w:p>
        </w:tc>
      </w:tr>
      <w:tr w:rsidR="00CC121D" w:rsidRPr="00CC121D" w14:paraId="573058ED" w14:textId="77777777" w:rsidTr="00AA1B3C">
        <w:trPr>
          <w:jc w:val="center"/>
        </w:trPr>
        <w:tc>
          <w:tcPr>
            <w:tcW w:w="9341" w:type="dxa"/>
            <w:gridSpan w:val="2"/>
            <w:tcBorders>
              <w:top w:val="double" w:sz="4" w:space="0" w:color="8DB3E2"/>
              <w:left w:val="double" w:sz="4" w:space="0" w:color="8DB3E2"/>
              <w:bottom w:val="double" w:sz="4" w:space="0" w:color="8DB3E2"/>
              <w:right w:val="double" w:sz="4" w:space="0" w:color="8DB3E2"/>
            </w:tcBorders>
            <w:shd w:val="clear" w:color="auto" w:fill="C6D9F1" w:themeFill="text2" w:themeFillTint="33"/>
          </w:tcPr>
          <w:p w14:paraId="573058EC" w14:textId="77777777" w:rsidR="00D07AFA" w:rsidRPr="00CC121D" w:rsidRDefault="00D07AFA" w:rsidP="00D07AFA">
            <w:pPr>
              <w:outlineLvl w:val="0"/>
            </w:pPr>
            <w:r w:rsidRPr="00CC121D">
              <w:t>External Hazard Loading</w:t>
            </w:r>
          </w:p>
        </w:tc>
      </w:tr>
      <w:tr w:rsidR="00CC121D" w:rsidRPr="00CC121D" w14:paraId="573058F0" w14:textId="77777777" w:rsidTr="00AA1B3C">
        <w:trPr>
          <w:jc w:val="center"/>
        </w:trPr>
        <w:tc>
          <w:tcPr>
            <w:tcW w:w="2261" w:type="dxa"/>
            <w:tcBorders>
              <w:left w:val="double" w:sz="4" w:space="0" w:color="8DB3E2"/>
              <w:right w:val="double" w:sz="4" w:space="0" w:color="8DB3E2"/>
            </w:tcBorders>
            <w:vAlign w:val="center"/>
          </w:tcPr>
          <w:p w14:paraId="573058EE" w14:textId="77777777" w:rsidR="00D07AFA" w:rsidRPr="00CC121D" w:rsidRDefault="00D07AFA" w:rsidP="00D07AFA">
            <w:r w:rsidRPr="00CC121D">
              <w:t xml:space="preserve">Protection by Structure or Equipment Withstand Capability </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8EF" w14:textId="035EA9FA" w:rsidR="00D07AFA" w:rsidRPr="00CC121D" w:rsidRDefault="00561E8F" w:rsidP="00D07AFA">
            <w:pPr>
              <w:outlineLvl w:val="0"/>
            </w:pPr>
            <w:r>
              <w:rPr>
                <w:iCs/>
              </w:rPr>
              <w:t>ONR-</w:t>
            </w:r>
            <w:r w:rsidR="00D07AFA" w:rsidRPr="00CC121D">
              <w:t xml:space="preserve">NS-TAST-GD-013 ‘External Hazards’ in particular; paragraphs 188-190, </w:t>
            </w:r>
          </w:p>
        </w:tc>
      </w:tr>
      <w:tr w:rsidR="00CC121D" w:rsidRPr="00CC121D" w14:paraId="573058F4" w14:textId="77777777" w:rsidTr="00AA1B3C">
        <w:trPr>
          <w:jc w:val="center"/>
        </w:trPr>
        <w:tc>
          <w:tcPr>
            <w:tcW w:w="2261" w:type="dxa"/>
            <w:vMerge w:val="restart"/>
            <w:tcBorders>
              <w:left w:val="double" w:sz="4" w:space="0" w:color="8DB3E2"/>
              <w:right w:val="double" w:sz="4" w:space="0" w:color="8DB3E2"/>
            </w:tcBorders>
            <w:vAlign w:val="center"/>
          </w:tcPr>
          <w:p w14:paraId="573058F1" w14:textId="77777777" w:rsidR="00D07AFA" w:rsidRPr="00CC121D" w:rsidRDefault="00D07AFA" w:rsidP="00D07AFA">
            <w:r w:rsidRPr="00CC121D">
              <w:t xml:space="preserve">Aircraft Crash </w:t>
            </w:r>
          </w:p>
          <w:p w14:paraId="573058F2" w14:textId="77777777" w:rsidR="00D07AFA" w:rsidRPr="00CC121D" w:rsidRDefault="00D07AFA" w:rsidP="00D07AFA">
            <w:r w:rsidRPr="00CC121D">
              <w:t>Loadings</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8F3" w14:textId="7C79CC22" w:rsidR="00D07AFA" w:rsidRPr="00CC121D" w:rsidRDefault="00561E8F" w:rsidP="00D07AFA">
            <w:pPr>
              <w:outlineLvl w:val="0"/>
            </w:pPr>
            <w:r>
              <w:rPr>
                <w:iCs/>
              </w:rPr>
              <w:t>ONR-</w:t>
            </w:r>
            <w:r w:rsidR="00D07AFA" w:rsidRPr="00CC121D">
              <w:t>NS-TAST-GD-013 External Hazards, section 178, appendix 6</w:t>
            </w:r>
          </w:p>
        </w:tc>
      </w:tr>
      <w:tr w:rsidR="00CC121D" w:rsidRPr="00CC121D" w14:paraId="573058F7" w14:textId="77777777" w:rsidTr="00AA1B3C">
        <w:trPr>
          <w:jc w:val="center"/>
        </w:trPr>
        <w:tc>
          <w:tcPr>
            <w:tcW w:w="2261" w:type="dxa"/>
            <w:vMerge/>
            <w:tcBorders>
              <w:left w:val="double" w:sz="4" w:space="0" w:color="8DB3E2"/>
              <w:right w:val="double" w:sz="4" w:space="0" w:color="8DB3E2"/>
            </w:tcBorders>
            <w:vAlign w:val="center"/>
          </w:tcPr>
          <w:p w14:paraId="573058F5" w14:textId="77777777" w:rsidR="00D07AFA" w:rsidRPr="00CC121D" w:rsidRDefault="00D07AFA" w:rsidP="00D07AFA"/>
        </w:tc>
        <w:tc>
          <w:tcPr>
            <w:tcW w:w="7080" w:type="dxa"/>
            <w:tcBorders>
              <w:top w:val="double" w:sz="4" w:space="0" w:color="8DB3E2"/>
              <w:left w:val="double" w:sz="4" w:space="0" w:color="8DB3E2"/>
              <w:bottom w:val="double" w:sz="4" w:space="0" w:color="8DB3E2"/>
              <w:right w:val="double" w:sz="4" w:space="0" w:color="8DB3E2"/>
            </w:tcBorders>
            <w:vAlign w:val="center"/>
          </w:tcPr>
          <w:p w14:paraId="573058F6" w14:textId="1752340A" w:rsidR="00D07AFA" w:rsidRPr="00CC121D" w:rsidRDefault="00561E8F" w:rsidP="00D07AFA">
            <w:pPr>
              <w:outlineLvl w:val="0"/>
            </w:pPr>
            <w:r>
              <w:rPr>
                <w:iCs/>
              </w:rPr>
              <w:t>ONR-</w:t>
            </w:r>
            <w:r w:rsidR="00D07AFA" w:rsidRPr="00CC121D">
              <w:t xml:space="preserve">CNS-TAST-GD-6.4 </w:t>
            </w:r>
          </w:p>
        </w:tc>
      </w:tr>
      <w:tr w:rsidR="00CC121D" w:rsidRPr="00CC121D" w14:paraId="573058FA" w14:textId="77777777" w:rsidTr="00AA1B3C">
        <w:trPr>
          <w:jc w:val="center"/>
        </w:trPr>
        <w:tc>
          <w:tcPr>
            <w:tcW w:w="2261" w:type="dxa"/>
            <w:tcBorders>
              <w:left w:val="double" w:sz="4" w:space="0" w:color="8DB3E2"/>
              <w:right w:val="double" w:sz="4" w:space="0" w:color="8DB3E2"/>
            </w:tcBorders>
            <w:vAlign w:val="center"/>
          </w:tcPr>
          <w:p w14:paraId="573058F8" w14:textId="2C1021FC" w:rsidR="00D07AFA" w:rsidRPr="00CC121D" w:rsidRDefault="00D07AFA" w:rsidP="00D07AFA">
            <w:bookmarkStart w:id="107" w:name="_Toc473126452"/>
            <w:bookmarkStart w:id="108" w:name="_Toc473128072"/>
            <w:r w:rsidRPr="00CC121D">
              <w:t xml:space="preserve">Large lifting operations </w:t>
            </w:r>
            <w:bookmarkEnd w:id="107"/>
            <w:bookmarkEnd w:id="108"/>
          </w:p>
        </w:tc>
        <w:tc>
          <w:tcPr>
            <w:tcW w:w="7080" w:type="dxa"/>
            <w:tcBorders>
              <w:top w:val="double" w:sz="4" w:space="0" w:color="8DB3E2"/>
              <w:left w:val="double" w:sz="4" w:space="0" w:color="8DB3E2"/>
              <w:bottom w:val="double" w:sz="4" w:space="0" w:color="8DB3E2"/>
              <w:right w:val="double" w:sz="4" w:space="0" w:color="8DB3E2"/>
            </w:tcBorders>
            <w:vAlign w:val="center"/>
          </w:tcPr>
          <w:p w14:paraId="573058F9" w14:textId="12000E21" w:rsidR="00D07AFA" w:rsidRPr="00CC121D" w:rsidRDefault="00561E8F" w:rsidP="00D07AFA">
            <w:pPr>
              <w:outlineLvl w:val="0"/>
            </w:pPr>
            <w:r>
              <w:rPr>
                <w:iCs/>
              </w:rPr>
              <w:t>ONR-</w:t>
            </w:r>
            <w:r w:rsidR="00D07AFA" w:rsidRPr="00CC121D">
              <w:t>NS-TAST-GD-056 ‘Nuclear Lifting Operations’ section A2.39 and A2.41 and EHA page 6</w:t>
            </w:r>
          </w:p>
        </w:tc>
      </w:tr>
      <w:tr w:rsidR="00CC121D" w:rsidRPr="00CC121D" w14:paraId="573058FD" w14:textId="77777777" w:rsidTr="00AA1B3C">
        <w:trPr>
          <w:jc w:val="center"/>
        </w:trPr>
        <w:tc>
          <w:tcPr>
            <w:tcW w:w="2261" w:type="dxa"/>
            <w:tcBorders>
              <w:left w:val="double" w:sz="4" w:space="0" w:color="8DB3E2"/>
              <w:right w:val="double" w:sz="4" w:space="0" w:color="8DB3E2"/>
            </w:tcBorders>
            <w:vAlign w:val="center"/>
          </w:tcPr>
          <w:p w14:paraId="573058FB" w14:textId="74F36CB2" w:rsidR="00D07AFA" w:rsidRPr="00CC121D" w:rsidRDefault="00D07AFA" w:rsidP="00D07AFA">
            <w:r w:rsidRPr="00CC121D">
              <w:t xml:space="preserve">Emergency power generation </w:t>
            </w:r>
            <w:r w:rsidR="00AA1B3C">
              <w:t>/ int/</w:t>
            </w:r>
            <w:proofErr w:type="spellStart"/>
            <w:r w:rsidRPr="00CC121D">
              <w:t>ext</w:t>
            </w:r>
            <w:proofErr w:type="spellEnd"/>
            <w:r w:rsidRPr="00CC121D">
              <w:t xml:space="preserve"> hazard event</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8FC" w14:textId="4CB263A2" w:rsidR="00D07AFA" w:rsidRPr="00CC121D" w:rsidRDefault="00561E8F" w:rsidP="00D07AFA">
            <w:pPr>
              <w:outlineLvl w:val="0"/>
            </w:pPr>
            <w:r>
              <w:rPr>
                <w:iCs/>
              </w:rPr>
              <w:t>ONR-</w:t>
            </w:r>
            <w:r w:rsidR="00D07AFA" w:rsidRPr="00CC121D">
              <w:t>NS-TAST-GD-103 ‘Emergency Power Generation’ in particular</w:t>
            </w:r>
            <w:r>
              <w:t>,</w:t>
            </w:r>
            <w:r w:rsidR="00D07AFA" w:rsidRPr="00CC121D">
              <w:t xml:space="preserve"> paragraphs 5.32, 5.56, 5.58, table 1, table 3,</w:t>
            </w:r>
          </w:p>
        </w:tc>
      </w:tr>
      <w:tr w:rsidR="00CC121D" w:rsidRPr="00CC121D" w14:paraId="573058FF" w14:textId="77777777" w:rsidTr="00AA1B3C">
        <w:trPr>
          <w:trHeight w:val="357"/>
          <w:jc w:val="center"/>
        </w:trPr>
        <w:tc>
          <w:tcPr>
            <w:tcW w:w="9341" w:type="dxa"/>
            <w:gridSpan w:val="2"/>
            <w:tcBorders>
              <w:top w:val="double" w:sz="4" w:space="0" w:color="8DB3E2"/>
              <w:left w:val="double" w:sz="4" w:space="0" w:color="8DB3E2"/>
              <w:bottom w:val="double" w:sz="4" w:space="0" w:color="8DB3E2"/>
              <w:right w:val="double" w:sz="4" w:space="0" w:color="8DB3E2"/>
            </w:tcBorders>
            <w:shd w:val="clear" w:color="auto" w:fill="C6D9F1" w:themeFill="text2" w:themeFillTint="33"/>
          </w:tcPr>
          <w:p w14:paraId="573058FE" w14:textId="77777777" w:rsidR="00D07AFA" w:rsidRPr="00CC121D" w:rsidRDefault="00D07AFA" w:rsidP="00D07AFA">
            <w:pPr>
              <w:outlineLvl w:val="0"/>
            </w:pPr>
            <w:r w:rsidRPr="00CC121D">
              <w:t>Construction (including Commissioning)</w:t>
            </w:r>
          </w:p>
        </w:tc>
      </w:tr>
      <w:tr w:rsidR="00CC121D" w:rsidRPr="00CC121D" w14:paraId="57305902" w14:textId="77777777" w:rsidTr="00AA1B3C">
        <w:trPr>
          <w:jc w:val="center"/>
        </w:trPr>
        <w:tc>
          <w:tcPr>
            <w:tcW w:w="2261" w:type="dxa"/>
            <w:vMerge w:val="restart"/>
            <w:tcBorders>
              <w:top w:val="double" w:sz="4" w:space="0" w:color="8DB3E2"/>
              <w:left w:val="double" w:sz="4" w:space="0" w:color="8DB3E2"/>
              <w:right w:val="double" w:sz="4" w:space="0" w:color="8DB3E2"/>
            </w:tcBorders>
            <w:vAlign w:val="center"/>
          </w:tcPr>
          <w:p w14:paraId="57305900" w14:textId="77777777" w:rsidR="00D07AFA" w:rsidRPr="00CC121D" w:rsidRDefault="00D07AFA" w:rsidP="00D07AFA">
            <w:r w:rsidRPr="00CC121D">
              <w:t>Construction activities</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901" w14:textId="0FA8940A" w:rsidR="00D07AFA" w:rsidRPr="00CC121D" w:rsidRDefault="00561E8F" w:rsidP="00D07AFA">
            <w:pPr>
              <w:outlineLvl w:val="0"/>
            </w:pPr>
            <w:r>
              <w:rPr>
                <w:iCs/>
              </w:rPr>
              <w:t>ONR-</w:t>
            </w:r>
            <w:r w:rsidR="00D07AFA" w:rsidRPr="00CC121D">
              <w:t>NS-INSP-GD-019 ‘LC19 – Construction and Installation of New Plant’</w:t>
            </w:r>
          </w:p>
        </w:tc>
      </w:tr>
      <w:tr w:rsidR="00CC121D" w:rsidRPr="00CC121D" w14:paraId="57305905" w14:textId="77777777" w:rsidTr="00AA1B3C">
        <w:trPr>
          <w:jc w:val="center"/>
        </w:trPr>
        <w:tc>
          <w:tcPr>
            <w:tcW w:w="2261" w:type="dxa"/>
            <w:vMerge/>
            <w:tcBorders>
              <w:left w:val="double" w:sz="4" w:space="0" w:color="8DB3E2"/>
              <w:right w:val="double" w:sz="4" w:space="0" w:color="8DB3E2"/>
            </w:tcBorders>
            <w:vAlign w:val="center"/>
          </w:tcPr>
          <w:p w14:paraId="57305903" w14:textId="77777777" w:rsidR="00D07AFA" w:rsidRPr="00CC121D" w:rsidRDefault="00D07AFA" w:rsidP="00D07AFA"/>
        </w:tc>
        <w:tc>
          <w:tcPr>
            <w:tcW w:w="7080" w:type="dxa"/>
            <w:tcBorders>
              <w:top w:val="double" w:sz="4" w:space="0" w:color="8DB3E2"/>
              <w:left w:val="double" w:sz="4" w:space="0" w:color="8DB3E2"/>
              <w:bottom w:val="double" w:sz="4" w:space="0" w:color="8DB3E2"/>
              <w:right w:val="double" w:sz="4" w:space="0" w:color="8DB3E2"/>
            </w:tcBorders>
            <w:vAlign w:val="center"/>
          </w:tcPr>
          <w:p w14:paraId="57305904" w14:textId="125361DC" w:rsidR="00D07AFA" w:rsidRPr="00CC121D" w:rsidRDefault="00561E8F" w:rsidP="00D07AFA">
            <w:pPr>
              <w:outlineLvl w:val="0"/>
            </w:pPr>
            <w:r>
              <w:rPr>
                <w:iCs/>
              </w:rPr>
              <w:t>ONR-</w:t>
            </w:r>
            <w:r w:rsidR="00D07AFA" w:rsidRPr="00CC121D">
              <w:t>NS-INSP-GD-020 ‘LC20 – Modification to Design of Plant Under Construction’</w:t>
            </w:r>
          </w:p>
        </w:tc>
      </w:tr>
      <w:tr w:rsidR="00CC121D" w:rsidRPr="00CC121D" w14:paraId="57305908" w14:textId="77777777" w:rsidTr="00AA1B3C">
        <w:trPr>
          <w:jc w:val="center"/>
        </w:trPr>
        <w:tc>
          <w:tcPr>
            <w:tcW w:w="2261" w:type="dxa"/>
            <w:vMerge/>
            <w:tcBorders>
              <w:left w:val="double" w:sz="4" w:space="0" w:color="8DB3E2"/>
              <w:right w:val="double" w:sz="4" w:space="0" w:color="8DB3E2"/>
            </w:tcBorders>
            <w:vAlign w:val="center"/>
          </w:tcPr>
          <w:p w14:paraId="57305906" w14:textId="77777777" w:rsidR="00D07AFA" w:rsidRPr="00CC121D" w:rsidRDefault="00D07AFA" w:rsidP="00D07AFA"/>
        </w:tc>
        <w:tc>
          <w:tcPr>
            <w:tcW w:w="7080" w:type="dxa"/>
            <w:tcBorders>
              <w:top w:val="double" w:sz="4" w:space="0" w:color="8DB3E2"/>
              <w:left w:val="double" w:sz="4" w:space="0" w:color="8DB3E2"/>
              <w:bottom w:val="double" w:sz="4" w:space="0" w:color="8DB3E2"/>
              <w:right w:val="double" w:sz="4" w:space="0" w:color="8DB3E2"/>
            </w:tcBorders>
            <w:vAlign w:val="center"/>
          </w:tcPr>
          <w:p w14:paraId="57305907" w14:textId="6D571472" w:rsidR="00D07AFA" w:rsidRPr="00CC121D" w:rsidRDefault="00561E8F" w:rsidP="00D07AFA">
            <w:pPr>
              <w:outlineLvl w:val="0"/>
            </w:pPr>
            <w:r>
              <w:rPr>
                <w:iCs/>
              </w:rPr>
              <w:t>ONR-</w:t>
            </w:r>
            <w:r w:rsidR="00D07AFA" w:rsidRPr="00CC121D">
              <w:t>NS-INSP-GD-021 ‘LC21 – Commissioning’</w:t>
            </w:r>
          </w:p>
        </w:tc>
      </w:tr>
      <w:tr w:rsidR="00CC121D" w:rsidRPr="00CC121D" w14:paraId="5730590B" w14:textId="77777777" w:rsidTr="00AA1B3C">
        <w:trPr>
          <w:jc w:val="center"/>
        </w:trPr>
        <w:tc>
          <w:tcPr>
            <w:tcW w:w="2261" w:type="dxa"/>
            <w:vMerge/>
            <w:tcBorders>
              <w:left w:val="double" w:sz="4" w:space="0" w:color="8DB3E2"/>
              <w:right w:val="double" w:sz="4" w:space="0" w:color="8DB3E2"/>
            </w:tcBorders>
            <w:vAlign w:val="center"/>
          </w:tcPr>
          <w:p w14:paraId="57305909" w14:textId="77777777" w:rsidR="00D07AFA" w:rsidRPr="00CC121D" w:rsidRDefault="00D07AFA" w:rsidP="00D07AFA"/>
        </w:tc>
        <w:tc>
          <w:tcPr>
            <w:tcW w:w="7080" w:type="dxa"/>
            <w:tcBorders>
              <w:top w:val="double" w:sz="4" w:space="0" w:color="8DB3E2"/>
              <w:left w:val="double" w:sz="4" w:space="0" w:color="8DB3E2"/>
              <w:bottom w:val="double" w:sz="4" w:space="0" w:color="8DB3E2"/>
              <w:right w:val="double" w:sz="4" w:space="0" w:color="8DB3E2"/>
            </w:tcBorders>
            <w:vAlign w:val="center"/>
          </w:tcPr>
          <w:p w14:paraId="5730590A" w14:textId="5F11DCE6" w:rsidR="00D07AFA" w:rsidRPr="00CC121D" w:rsidRDefault="00561E8F" w:rsidP="00D07AFA">
            <w:pPr>
              <w:outlineLvl w:val="0"/>
            </w:pPr>
            <w:r>
              <w:rPr>
                <w:iCs/>
              </w:rPr>
              <w:t>ONR-</w:t>
            </w:r>
            <w:r w:rsidR="00D07AFA" w:rsidRPr="00CC121D">
              <w:t>NS-INSP-GD-022 ‘LC22 – Modification or Experiment on Existing Plant’</w:t>
            </w:r>
          </w:p>
        </w:tc>
      </w:tr>
      <w:tr w:rsidR="00CC121D" w:rsidRPr="00CC121D" w14:paraId="5730590E" w14:textId="77777777" w:rsidTr="00AA1B3C">
        <w:trPr>
          <w:jc w:val="center"/>
        </w:trPr>
        <w:tc>
          <w:tcPr>
            <w:tcW w:w="2261" w:type="dxa"/>
            <w:vMerge/>
            <w:tcBorders>
              <w:left w:val="double" w:sz="4" w:space="0" w:color="8DB3E2"/>
              <w:bottom w:val="double" w:sz="4" w:space="0" w:color="8DB3E2"/>
              <w:right w:val="double" w:sz="4" w:space="0" w:color="8DB3E2"/>
            </w:tcBorders>
            <w:vAlign w:val="center"/>
          </w:tcPr>
          <w:p w14:paraId="5730590C" w14:textId="77777777" w:rsidR="00D07AFA" w:rsidRPr="00CC121D" w:rsidRDefault="00D07AFA" w:rsidP="00D07AFA"/>
        </w:tc>
        <w:tc>
          <w:tcPr>
            <w:tcW w:w="7080" w:type="dxa"/>
            <w:tcBorders>
              <w:top w:val="double" w:sz="4" w:space="0" w:color="8DB3E2"/>
              <w:left w:val="double" w:sz="4" w:space="0" w:color="8DB3E2"/>
              <w:bottom w:val="double" w:sz="4" w:space="0" w:color="8DB3E2"/>
              <w:right w:val="double" w:sz="4" w:space="0" w:color="8DB3E2"/>
            </w:tcBorders>
            <w:vAlign w:val="center"/>
          </w:tcPr>
          <w:p w14:paraId="5730590D" w14:textId="6D0BE1A2" w:rsidR="00D07AFA" w:rsidRPr="00CC121D" w:rsidRDefault="00561E8F" w:rsidP="00D07AFA">
            <w:pPr>
              <w:outlineLvl w:val="0"/>
            </w:pPr>
            <w:r>
              <w:rPr>
                <w:iCs/>
              </w:rPr>
              <w:t>ONR-</w:t>
            </w:r>
            <w:r w:rsidR="00D07AFA" w:rsidRPr="00CC121D">
              <w:t>NS-INSP-GD-051 ‘The Regulation of Conventional Health and Safety on UK Nuclear Sites’</w:t>
            </w:r>
          </w:p>
        </w:tc>
      </w:tr>
      <w:tr w:rsidR="00CC121D" w:rsidRPr="00CC121D" w14:paraId="57305911" w14:textId="77777777" w:rsidTr="00AA1B3C">
        <w:trPr>
          <w:jc w:val="center"/>
        </w:trPr>
        <w:tc>
          <w:tcPr>
            <w:tcW w:w="2261" w:type="dxa"/>
            <w:tcBorders>
              <w:top w:val="double" w:sz="4" w:space="0" w:color="8DB3E2"/>
              <w:left w:val="double" w:sz="4" w:space="0" w:color="8DB3E2"/>
              <w:bottom w:val="double" w:sz="4" w:space="0" w:color="8DB3E2"/>
              <w:right w:val="double" w:sz="4" w:space="0" w:color="8DB3E2"/>
            </w:tcBorders>
            <w:vAlign w:val="center"/>
          </w:tcPr>
          <w:p w14:paraId="5730590F" w14:textId="77777777" w:rsidR="00D07AFA" w:rsidRPr="00CC121D" w:rsidRDefault="00D07AFA" w:rsidP="00D07AFA">
            <w:r w:rsidRPr="00CC121D">
              <w:t>Supply chain management</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910" w14:textId="4435456D" w:rsidR="00D07AFA" w:rsidRPr="00CC121D" w:rsidRDefault="00561E8F" w:rsidP="00D07AFA">
            <w:pPr>
              <w:outlineLvl w:val="0"/>
            </w:pPr>
            <w:r>
              <w:rPr>
                <w:iCs/>
              </w:rPr>
              <w:t>ONR-</w:t>
            </w:r>
            <w:r w:rsidR="00D07AFA" w:rsidRPr="00CC121D">
              <w:t xml:space="preserve">NS-TAST-GD-077 ‘Supply Chain Management Arrangements for the Procurement of Nuclear Safety Related Items or Services’ </w:t>
            </w:r>
          </w:p>
        </w:tc>
      </w:tr>
      <w:tr w:rsidR="00CC121D" w:rsidRPr="00CC121D" w14:paraId="57305914" w14:textId="77777777" w:rsidTr="00AA1B3C">
        <w:trPr>
          <w:jc w:val="center"/>
        </w:trPr>
        <w:tc>
          <w:tcPr>
            <w:tcW w:w="2261" w:type="dxa"/>
            <w:tcBorders>
              <w:top w:val="double" w:sz="4" w:space="0" w:color="8DB3E2"/>
              <w:left w:val="double" w:sz="4" w:space="0" w:color="8DB3E2"/>
              <w:bottom w:val="double" w:sz="4" w:space="0" w:color="8DB3E2"/>
              <w:right w:val="double" w:sz="4" w:space="0" w:color="8DB3E2"/>
            </w:tcBorders>
            <w:vAlign w:val="center"/>
          </w:tcPr>
          <w:p w14:paraId="57305912" w14:textId="77777777" w:rsidR="00D07AFA" w:rsidRPr="00CC121D" w:rsidRDefault="00D07AFA" w:rsidP="00D07AFA">
            <w:r w:rsidRPr="00CC121D">
              <w:t xml:space="preserve">Suitable tests on civil structures during construction phase  </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913" w14:textId="5E51D8AC" w:rsidR="00D07AFA" w:rsidRPr="00CC121D" w:rsidRDefault="00561E8F" w:rsidP="00D07AFA">
            <w:pPr>
              <w:outlineLvl w:val="0"/>
            </w:pPr>
            <w:r>
              <w:rPr>
                <w:iCs/>
              </w:rPr>
              <w:t>ONR-</w:t>
            </w:r>
            <w:r w:rsidR="00D07AFA" w:rsidRPr="00CC121D">
              <w:t>NS-TAST-GD-057 ‘Design Safety Assurance’</w:t>
            </w:r>
            <w:r w:rsidR="00B95DCD">
              <w:t>,</w:t>
            </w:r>
            <w:r w:rsidR="00D07AFA" w:rsidRPr="00CC121D">
              <w:t xml:space="preserve"> in particular paragraph 6.14 </w:t>
            </w:r>
          </w:p>
        </w:tc>
      </w:tr>
      <w:tr w:rsidR="00CC121D" w:rsidRPr="00CC121D" w14:paraId="57305917" w14:textId="77777777" w:rsidTr="00AA1B3C">
        <w:trPr>
          <w:jc w:val="center"/>
        </w:trPr>
        <w:tc>
          <w:tcPr>
            <w:tcW w:w="2261" w:type="dxa"/>
            <w:tcBorders>
              <w:top w:val="double" w:sz="4" w:space="0" w:color="8DB3E2"/>
              <w:left w:val="double" w:sz="4" w:space="0" w:color="8DB3E2"/>
              <w:bottom w:val="double" w:sz="4" w:space="0" w:color="8DB3E2"/>
              <w:right w:val="double" w:sz="4" w:space="0" w:color="8DB3E2"/>
            </w:tcBorders>
            <w:vAlign w:val="center"/>
          </w:tcPr>
          <w:p w14:paraId="57305915" w14:textId="77777777" w:rsidR="00D07AFA" w:rsidRPr="00CC121D" w:rsidRDefault="00D07AFA" w:rsidP="00D07AFA">
            <w:r w:rsidRPr="00CC121D">
              <w:t xml:space="preserve">Keeping structural drawings and calculations up to date </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916" w14:textId="250353D2" w:rsidR="00D07AFA" w:rsidRPr="00CC121D" w:rsidRDefault="00561E8F" w:rsidP="00D07AFA">
            <w:pPr>
              <w:outlineLvl w:val="0"/>
            </w:pPr>
            <w:r>
              <w:rPr>
                <w:iCs/>
              </w:rPr>
              <w:t>ONR-</w:t>
            </w:r>
            <w:r w:rsidR="00D07AFA" w:rsidRPr="00CC121D">
              <w:t>NS-TAST-GD-079 ‘Design Authority Capability’</w:t>
            </w:r>
            <w:r w:rsidR="00B95DCD">
              <w:t>,</w:t>
            </w:r>
            <w:r w:rsidR="00D07AFA" w:rsidRPr="00CC121D">
              <w:t xml:space="preserve"> in particular paragraphs 50 and 66</w:t>
            </w:r>
          </w:p>
        </w:tc>
      </w:tr>
      <w:tr w:rsidR="00CC121D" w:rsidRPr="00CC121D" w14:paraId="5730591A" w14:textId="77777777" w:rsidTr="00AA1B3C">
        <w:trPr>
          <w:jc w:val="center"/>
        </w:trPr>
        <w:tc>
          <w:tcPr>
            <w:tcW w:w="2261" w:type="dxa"/>
            <w:tcBorders>
              <w:top w:val="double" w:sz="4" w:space="0" w:color="8DB3E2"/>
              <w:left w:val="double" w:sz="4" w:space="0" w:color="8DB3E2"/>
              <w:bottom w:val="double" w:sz="4" w:space="0" w:color="8DB3E2"/>
              <w:right w:val="double" w:sz="4" w:space="0" w:color="8DB3E2"/>
            </w:tcBorders>
            <w:vAlign w:val="center"/>
          </w:tcPr>
          <w:p w14:paraId="57305918" w14:textId="77777777" w:rsidR="00D07AFA" w:rsidRPr="00CC121D" w:rsidRDefault="00D07AFA" w:rsidP="00D07AFA">
            <w:r w:rsidRPr="00CC121D">
              <w:t xml:space="preserve">Assessing ageing facilities suitability to maintain operation </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919" w14:textId="57A827BF" w:rsidR="00D07AFA" w:rsidRPr="00CC121D" w:rsidRDefault="00561E8F" w:rsidP="00D07AFA">
            <w:pPr>
              <w:outlineLvl w:val="0"/>
            </w:pPr>
            <w:r>
              <w:rPr>
                <w:iCs/>
              </w:rPr>
              <w:t>ONR-</w:t>
            </w:r>
            <w:r w:rsidR="00D07AFA" w:rsidRPr="00CC121D">
              <w:t>NS-TAST-GD-082 ‘The Technical Assessment of REPPIR Submissions and the Determination of Detailed Emergency Planning Zones (DEPZ)’</w:t>
            </w:r>
            <w:r w:rsidR="00B95DCD">
              <w:t>,</w:t>
            </w:r>
            <w:r w:rsidR="00D07AFA" w:rsidRPr="00CC121D">
              <w:t xml:space="preserve"> in particular, paragraph A24</w:t>
            </w:r>
          </w:p>
        </w:tc>
      </w:tr>
      <w:tr w:rsidR="00CC121D" w:rsidRPr="00CC121D" w14:paraId="5730591D" w14:textId="77777777" w:rsidTr="00AA1B3C">
        <w:trPr>
          <w:jc w:val="center"/>
        </w:trPr>
        <w:tc>
          <w:tcPr>
            <w:tcW w:w="2261" w:type="dxa"/>
            <w:tcBorders>
              <w:top w:val="double" w:sz="4" w:space="0" w:color="8DB3E2"/>
              <w:left w:val="double" w:sz="4" w:space="0" w:color="8DB3E2"/>
              <w:bottom w:val="double" w:sz="4" w:space="0" w:color="8DB3E2"/>
              <w:right w:val="double" w:sz="4" w:space="0" w:color="8DB3E2"/>
            </w:tcBorders>
            <w:vAlign w:val="center"/>
          </w:tcPr>
          <w:p w14:paraId="5730591B" w14:textId="77777777" w:rsidR="00D07AFA" w:rsidRPr="00CC121D" w:rsidRDefault="00D07AFA" w:rsidP="00D07AFA">
            <w:r w:rsidRPr="00CC121D">
              <w:t xml:space="preserve">Presence of gasses or vapours in underground structures  </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91C" w14:textId="2DDBEC14" w:rsidR="00D07AFA" w:rsidRPr="00CC121D" w:rsidRDefault="00561E8F" w:rsidP="00D07AFA">
            <w:pPr>
              <w:outlineLvl w:val="0"/>
            </w:pPr>
            <w:r>
              <w:rPr>
                <w:iCs/>
              </w:rPr>
              <w:t>ONR-</w:t>
            </w:r>
            <w:r w:rsidR="00D07AFA" w:rsidRPr="00CC121D">
              <w:t>NS-TAST-GD-013: Appendix 6 – Section 5</w:t>
            </w:r>
          </w:p>
        </w:tc>
      </w:tr>
      <w:tr w:rsidR="00CC121D" w:rsidRPr="00CC121D" w14:paraId="57305920" w14:textId="77777777" w:rsidTr="00AA1B3C">
        <w:trPr>
          <w:jc w:val="center"/>
        </w:trPr>
        <w:tc>
          <w:tcPr>
            <w:tcW w:w="2261" w:type="dxa"/>
            <w:tcBorders>
              <w:top w:val="double" w:sz="4" w:space="0" w:color="8DB3E2"/>
              <w:left w:val="double" w:sz="4" w:space="0" w:color="8DB3E2"/>
              <w:bottom w:val="double" w:sz="4" w:space="0" w:color="8DB3E2"/>
              <w:right w:val="double" w:sz="4" w:space="0" w:color="8DB3E2"/>
            </w:tcBorders>
            <w:vAlign w:val="center"/>
          </w:tcPr>
          <w:p w14:paraId="5730591E" w14:textId="77777777" w:rsidR="00D07AFA" w:rsidRPr="00CC121D" w:rsidRDefault="00D07AFA" w:rsidP="00D07AFA">
            <w:r w:rsidRPr="00CC121D">
              <w:t>Defects to metal structures</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91F" w14:textId="76551CDD" w:rsidR="00D07AFA" w:rsidRPr="00CC121D" w:rsidRDefault="00561E8F" w:rsidP="00D07AFA">
            <w:pPr>
              <w:outlineLvl w:val="0"/>
            </w:pPr>
            <w:r>
              <w:rPr>
                <w:iCs/>
              </w:rPr>
              <w:t>ONR-</w:t>
            </w:r>
            <w:r w:rsidR="00D07AFA" w:rsidRPr="00CC121D">
              <w:t>NS-TAST-GD-102 ‘General Guidance for Mechanical Engineering Specialism Group’</w:t>
            </w:r>
          </w:p>
        </w:tc>
      </w:tr>
      <w:tr w:rsidR="00CC121D" w:rsidRPr="00CC121D" w14:paraId="57305923" w14:textId="77777777" w:rsidTr="00AA1B3C">
        <w:trPr>
          <w:jc w:val="center"/>
        </w:trPr>
        <w:tc>
          <w:tcPr>
            <w:tcW w:w="2261" w:type="dxa"/>
            <w:vMerge w:val="restart"/>
            <w:tcBorders>
              <w:top w:val="double" w:sz="4" w:space="0" w:color="8DB3E2"/>
              <w:left w:val="double" w:sz="4" w:space="0" w:color="8DB3E2"/>
              <w:right w:val="double" w:sz="4" w:space="0" w:color="8DB3E2"/>
            </w:tcBorders>
          </w:tcPr>
          <w:p w14:paraId="57305921" w14:textId="77777777" w:rsidR="00D07AFA" w:rsidRPr="00CC121D" w:rsidRDefault="00D07AFA" w:rsidP="00D07AFA">
            <w:pPr>
              <w:rPr>
                <w:rFonts w:cs="Arial"/>
                <w:iCs/>
                <w:szCs w:val="20"/>
              </w:rPr>
            </w:pPr>
            <w:r w:rsidRPr="00CC121D">
              <w:rPr>
                <w:iCs/>
              </w:rPr>
              <w:t>Security consideration for construction activities</w:t>
            </w:r>
          </w:p>
        </w:tc>
        <w:tc>
          <w:tcPr>
            <w:tcW w:w="7080" w:type="dxa"/>
            <w:tcBorders>
              <w:top w:val="double" w:sz="4" w:space="0" w:color="8DB3E2"/>
              <w:left w:val="double" w:sz="4" w:space="0" w:color="8DB3E2"/>
              <w:bottom w:val="double" w:sz="4" w:space="0" w:color="8DB3E2"/>
              <w:right w:val="double" w:sz="4" w:space="0" w:color="8DB3E2"/>
            </w:tcBorders>
          </w:tcPr>
          <w:p w14:paraId="57305922" w14:textId="0EF10808" w:rsidR="00D07AFA" w:rsidRPr="00CC121D" w:rsidRDefault="00561E8F" w:rsidP="00D07AFA">
            <w:pPr>
              <w:outlineLvl w:val="0"/>
            </w:pPr>
            <w:r>
              <w:rPr>
                <w:iCs/>
              </w:rPr>
              <w:t>ONR-</w:t>
            </w:r>
            <w:r w:rsidR="00D07AFA" w:rsidRPr="00CC121D">
              <w:t>CNS-TAST-GD-6.6 ‘Nuclear Construction Sites’</w:t>
            </w:r>
          </w:p>
        </w:tc>
      </w:tr>
      <w:tr w:rsidR="00CC121D" w:rsidRPr="00CC121D" w14:paraId="57305926" w14:textId="77777777" w:rsidTr="00AA1B3C">
        <w:trPr>
          <w:jc w:val="center"/>
        </w:trPr>
        <w:tc>
          <w:tcPr>
            <w:tcW w:w="2261" w:type="dxa"/>
            <w:vMerge/>
            <w:tcBorders>
              <w:left w:val="double" w:sz="4" w:space="0" w:color="8DB3E2"/>
              <w:right w:val="double" w:sz="4" w:space="0" w:color="8DB3E2"/>
            </w:tcBorders>
            <w:vAlign w:val="center"/>
          </w:tcPr>
          <w:p w14:paraId="57305924" w14:textId="77777777" w:rsidR="00D07AFA" w:rsidRPr="00CC121D" w:rsidRDefault="00D07AFA" w:rsidP="00D07AFA">
            <w:pPr>
              <w:outlineLvl w:val="0"/>
            </w:pPr>
          </w:p>
        </w:tc>
        <w:tc>
          <w:tcPr>
            <w:tcW w:w="7080" w:type="dxa"/>
            <w:tcBorders>
              <w:top w:val="double" w:sz="4" w:space="0" w:color="8DB3E2"/>
              <w:left w:val="double" w:sz="4" w:space="0" w:color="8DB3E2"/>
              <w:bottom w:val="double" w:sz="4" w:space="0" w:color="8DB3E2"/>
              <w:right w:val="double" w:sz="4" w:space="0" w:color="8DB3E2"/>
            </w:tcBorders>
            <w:vAlign w:val="center"/>
          </w:tcPr>
          <w:p w14:paraId="57305925" w14:textId="33F8C56D" w:rsidR="00D07AFA" w:rsidRPr="00CC121D" w:rsidRDefault="00561E8F" w:rsidP="00D07AFA">
            <w:pPr>
              <w:outlineLvl w:val="0"/>
            </w:pPr>
            <w:r>
              <w:rPr>
                <w:iCs/>
              </w:rPr>
              <w:t>ONR-</w:t>
            </w:r>
            <w:r w:rsidR="00D07AFA" w:rsidRPr="00CC121D">
              <w:t>CNS-TAST- GD-6.6 ‘Vulnerabilities During Construction’</w:t>
            </w:r>
          </w:p>
        </w:tc>
      </w:tr>
      <w:tr w:rsidR="00CC121D" w:rsidRPr="00CC121D" w14:paraId="57305929" w14:textId="77777777" w:rsidTr="00AA1B3C">
        <w:trPr>
          <w:jc w:val="center"/>
        </w:trPr>
        <w:tc>
          <w:tcPr>
            <w:tcW w:w="2261" w:type="dxa"/>
            <w:vMerge/>
            <w:tcBorders>
              <w:left w:val="double" w:sz="4" w:space="0" w:color="8DB3E2"/>
              <w:right w:val="double" w:sz="4" w:space="0" w:color="8DB3E2"/>
            </w:tcBorders>
            <w:vAlign w:val="center"/>
          </w:tcPr>
          <w:p w14:paraId="57305927" w14:textId="77777777" w:rsidR="00D07AFA" w:rsidRPr="00CC121D" w:rsidRDefault="00D07AFA" w:rsidP="00D07AFA">
            <w:pPr>
              <w:outlineLvl w:val="0"/>
            </w:pPr>
          </w:p>
        </w:tc>
        <w:tc>
          <w:tcPr>
            <w:tcW w:w="7080" w:type="dxa"/>
            <w:tcBorders>
              <w:top w:val="double" w:sz="4" w:space="0" w:color="8DB3E2"/>
              <w:left w:val="double" w:sz="4" w:space="0" w:color="8DB3E2"/>
              <w:bottom w:val="double" w:sz="4" w:space="0" w:color="8DB3E2"/>
              <w:right w:val="double" w:sz="4" w:space="0" w:color="8DB3E2"/>
            </w:tcBorders>
            <w:vAlign w:val="center"/>
          </w:tcPr>
          <w:p w14:paraId="57305928" w14:textId="479195DC" w:rsidR="00D07AFA" w:rsidRPr="00CC121D" w:rsidRDefault="00561E8F" w:rsidP="00D07AFA">
            <w:pPr>
              <w:outlineLvl w:val="0"/>
            </w:pPr>
            <w:r>
              <w:rPr>
                <w:iCs/>
              </w:rPr>
              <w:t>ONR-</w:t>
            </w:r>
            <w:r w:rsidR="00D07AFA" w:rsidRPr="00CC121D">
              <w:t>CNS-TAST-GD-4.4 ‘Commissioning’</w:t>
            </w:r>
          </w:p>
        </w:tc>
      </w:tr>
      <w:tr w:rsidR="00CC121D" w:rsidRPr="00CC121D" w14:paraId="5730592C" w14:textId="77777777" w:rsidTr="00AA1B3C">
        <w:trPr>
          <w:jc w:val="center"/>
        </w:trPr>
        <w:tc>
          <w:tcPr>
            <w:tcW w:w="2261" w:type="dxa"/>
            <w:vMerge/>
            <w:tcBorders>
              <w:left w:val="double" w:sz="4" w:space="0" w:color="8DB3E2"/>
              <w:bottom w:val="double" w:sz="4" w:space="0" w:color="8DB3E2"/>
              <w:right w:val="double" w:sz="4" w:space="0" w:color="8DB3E2"/>
            </w:tcBorders>
            <w:vAlign w:val="center"/>
          </w:tcPr>
          <w:p w14:paraId="5730592A" w14:textId="77777777" w:rsidR="00D07AFA" w:rsidRPr="00CC121D" w:rsidRDefault="00D07AFA" w:rsidP="00D07AFA">
            <w:pPr>
              <w:outlineLvl w:val="0"/>
            </w:pPr>
          </w:p>
        </w:tc>
        <w:tc>
          <w:tcPr>
            <w:tcW w:w="7080" w:type="dxa"/>
            <w:tcBorders>
              <w:top w:val="double" w:sz="4" w:space="0" w:color="8DB3E2"/>
              <w:left w:val="double" w:sz="4" w:space="0" w:color="8DB3E2"/>
              <w:bottom w:val="double" w:sz="4" w:space="0" w:color="8DB3E2"/>
              <w:right w:val="double" w:sz="4" w:space="0" w:color="8DB3E2"/>
            </w:tcBorders>
            <w:vAlign w:val="center"/>
          </w:tcPr>
          <w:p w14:paraId="5730592B" w14:textId="4326EFBC" w:rsidR="00D07AFA" w:rsidRPr="00CC121D" w:rsidRDefault="00561E8F" w:rsidP="00D07AFA">
            <w:pPr>
              <w:outlineLvl w:val="0"/>
            </w:pPr>
            <w:r>
              <w:rPr>
                <w:iCs/>
              </w:rPr>
              <w:t>ONR-</w:t>
            </w:r>
            <w:r w:rsidR="00D07AFA" w:rsidRPr="00CC121D">
              <w:t>CNS-TAST-GD-4.3 ‘Oversight of Suppliers of Items or Services of Nuclear Security Significance’</w:t>
            </w:r>
          </w:p>
        </w:tc>
      </w:tr>
      <w:tr w:rsidR="00CC121D" w:rsidRPr="00CC121D" w14:paraId="5730592E" w14:textId="77777777" w:rsidTr="00AA1B3C">
        <w:trPr>
          <w:jc w:val="center"/>
        </w:trPr>
        <w:tc>
          <w:tcPr>
            <w:tcW w:w="9341" w:type="dxa"/>
            <w:gridSpan w:val="2"/>
            <w:tcBorders>
              <w:top w:val="double" w:sz="4" w:space="0" w:color="8DB3E2"/>
              <w:left w:val="double" w:sz="4" w:space="0" w:color="8DB3E2"/>
              <w:bottom w:val="double" w:sz="4" w:space="0" w:color="8DB3E2"/>
              <w:right w:val="double" w:sz="4" w:space="0" w:color="8DB3E2"/>
            </w:tcBorders>
            <w:shd w:val="clear" w:color="auto" w:fill="C6D9F1" w:themeFill="text2" w:themeFillTint="33"/>
          </w:tcPr>
          <w:p w14:paraId="5730592D" w14:textId="77777777" w:rsidR="00D07AFA" w:rsidRPr="00CC121D" w:rsidRDefault="00D07AFA" w:rsidP="00D07AFA">
            <w:pPr>
              <w:outlineLvl w:val="0"/>
            </w:pPr>
            <w:r w:rsidRPr="00CC121D">
              <w:t>Operations/Maintenance</w:t>
            </w:r>
          </w:p>
        </w:tc>
      </w:tr>
      <w:tr w:rsidR="00CC121D" w:rsidRPr="00CC121D" w14:paraId="57305931" w14:textId="77777777" w:rsidTr="00AA1B3C">
        <w:trPr>
          <w:jc w:val="center"/>
        </w:trPr>
        <w:tc>
          <w:tcPr>
            <w:tcW w:w="2261" w:type="dxa"/>
            <w:tcBorders>
              <w:top w:val="double" w:sz="4" w:space="0" w:color="8DB3E2"/>
              <w:left w:val="double" w:sz="4" w:space="0" w:color="8DB3E2"/>
              <w:bottom w:val="double" w:sz="4" w:space="0" w:color="8DB3E2"/>
              <w:right w:val="double" w:sz="4" w:space="0" w:color="8DB3E2"/>
            </w:tcBorders>
            <w:vAlign w:val="center"/>
          </w:tcPr>
          <w:p w14:paraId="5730592F" w14:textId="77777777" w:rsidR="00D07AFA" w:rsidRPr="00CC121D" w:rsidRDefault="00D07AFA" w:rsidP="00D07AFA">
            <w:r w:rsidRPr="00CC121D">
              <w:t>Asset management</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930" w14:textId="1AADC264" w:rsidR="00D07AFA" w:rsidRPr="00CC121D" w:rsidRDefault="00561E8F" w:rsidP="00D07AFA">
            <w:pPr>
              <w:outlineLvl w:val="0"/>
            </w:pPr>
            <w:r>
              <w:rPr>
                <w:iCs/>
              </w:rPr>
              <w:t>ONR-</w:t>
            </w:r>
            <w:r w:rsidR="00D07AFA" w:rsidRPr="00CC121D">
              <w:t xml:space="preserve">NS-TAST-GD-098 ‘Asset Management’ in particular, paragraph 4.1 </w:t>
            </w:r>
          </w:p>
        </w:tc>
      </w:tr>
      <w:tr w:rsidR="00CC121D" w:rsidRPr="00CC121D" w14:paraId="57305934" w14:textId="77777777" w:rsidTr="00AA1B3C">
        <w:trPr>
          <w:jc w:val="center"/>
        </w:trPr>
        <w:tc>
          <w:tcPr>
            <w:tcW w:w="2261" w:type="dxa"/>
            <w:tcBorders>
              <w:left w:val="double" w:sz="4" w:space="0" w:color="8DB3E2"/>
              <w:right w:val="double" w:sz="4" w:space="0" w:color="8DB3E2"/>
            </w:tcBorders>
            <w:vAlign w:val="center"/>
          </w:tcPr>
          <w:p w14:paraId="57305932" w14:textId="77777777" w:rsidR="00D07AFA" w:rsidRPr="00CC121D" w:rsidRDefault="00D07AFA" w:rsidP="00D07AFA">
            <w:r w:rsidRPr="00CC121D">
              <w:t>Ageing of plant structures</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933" w14:textId="09D62D47" w:rsidR="00D07AFA" w:rsidRPr="00CC121D" w:rsidRDefault="00561E8F" w:rsidP="00D07AFA">
            <w:pPr>
              <w:outlineLvl w:val="0"/>
            </w:pPr>
            <w:r>
              <w:rPr>
                <w:iCs/>
              </w:rPr>
              <w:t>ONR-</w:t>
            </w:r>
            <w:r w:rsidR="00D07AFA" w:rsidRPr="00CC121D">
              <w:t>NS-TAST-GD-079 ‘Design Authority Capability’ paragraphs 50, 66</w:t>
            </w:r>
          </w:p>
        </w:tc>
      </w:tr>
      <w:tr w:rsidR="00CC121D" w:rsidRPr="00CC121D" w14:paraId="57305937" w14:textId="77777777" w:rsidTr="00AA1B3C">
        <w:trPr>
          <w:jc w:val="center"/>
        </w:trPr>
        <w:tc>
          <w:tcPr>
            <w:tcW w:w="2261" w:type="dxa"/>
            <w:vMerge w:val="restart"/>
            <w:tcBorders>
              <w:top w:val="double" w:sz="4" w:space="0" w:color="8DB3E2"/>
              <w:left w:val="double" w:sz="4" w:space="0" w:color="8DB3E2"/>
              <w:right w:val="double" w:sz="4" w:space="0" w:color="8DB3E2"/>
            </w:tcBorders>
            <w:vAlign w:val="center"/>
          </w:tcPr>
          <w:p w14:paraId="57305935" w14:textId="001B5677" w:rsidR="00D07AFA" w:rsidRPr="00CC121D" w:rsidRDefault="00D07AFA" w:rsidP="00D07AFA">
            <w:r w:rsidRPr="00CC121D">
              <w:t>Examination Inspection Maintenance and Testing (EIMT)</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936" w14:textId="2F965A82" w:rsidR="00D07AFA" w:rsidRPr="00CC121D" w:rsidRDefault="00561E8F" w:rsidP="00D07AFA">
            <w:pPr>
              <w:outlineLvl w:val="0"/>
            </w:pPr>
            <w:r>
              <w:rPr>
                <w:iCs/>
              </w:rPr>
              <w:t>ONR-</w:t>
            </w:r>
            <w:r w:rsidR="00D07AFA" w:rsidRPr="00CC121D">
              <w:t>NS-TAST-GD-009 ‘Examination Inspection Maintenance and Testing of Items Important to Safety’ in particular paragraph 4.1.6</w:t>
            </w:r>
          </w:p>
        </w:tc>
      </w:tr>
      <w:tr w:rsidR="00CC121D" w:rsidRPr="00CC121D" w14:paraId="5730593A" w14:textId="77777777" w:rsidTr="00AA1B3C">
        <w:trPr>
          <w:jc w:val="center"/>
        </w:trPr>
        <w:tc>
          <w:tcPr>
            <w:tcW w:w="2261" w:type="dxa"/>
            <w:vMerge/>
            <w:tcBorders>
              <w:left w:val="double" w:sz="4" w:space="0" w:color="8DB3E2"/>
              <w:bottom w:val="double" w:sz="4" w:space="0" w:color="8DB3E2"/>
              <w:right w:val="double" w:sz="4" w:space="0" w:color="8DB3E2"/>
            </w:tcBorders>
            <w:vAlign w:val="center"/>
          </w:tcPr>
          <w:p w14:paraId="57305938" w14:textId="77777777" w:rsidR="00D07AFA" w:rsidRPr="00CC121D" w:rsidRDefault="00D07AFA" w:rsidP="00D07AFA"/>
        </w:tc>
        <w:tc>
          <w:tcPr>
            <w:tcW w:w="7080" w:type="dxa"/>
            <w:tcBorders>
              <w:top w:val="double" w:sz="4" w:space="0" w:color="8DB3E2"/>
              <w:left w:val="double" w:sz="4" w:space="0" w:color="8DB3E2"/>
              <w:bottom w:val="double" w:sz="4" w:space="0" w:color="8DB3E2"/>
              <w:right w:val="double" w:sz="4" w:space="0" w:color="8DB3E2"/>
            </w:tcBorders>
            <w:vAlign w:val="center"/>
          </w:tcPr>
          <w:p w14:paraId="57305939" w14:textId="714919F2" w:rsidR="00D07AFA" w:rsidRPr="00CC121D" w:rsidRDefault="00561E8F" w:rsidP="00D07AFA">
            <w:pPr>
              <w:outlineLvl w:val="0"/>
            </w:pPr>
            <w:r>
              <w:rPr>
                <w:iCs/>
              </w:rPr>
              <w:t>ONR-</w:t>
            </w:r>
            <w:r w:rsidR="00D07AFA" w:rsidRPr="00CC121D">
              <w:t>NS-INSP-GD-028 ‘LC28 – Examination Inspection Maintenance and Testing (EIMT)’</w:t>
            </w:r>
          </w:p>
        </w:tc>
      </w:tr>
      <w:tr w:rsidR="00CC121D" w:rsidRPr="00CC121D" w14:paraId="5730593D" w14:textId="77777777" w:rsidTr="00AA1B3C">
        <w:trPr>
          <w:jc w:val="center"/>
        </w:trPr>
        <w:tc>
          <w:tcPr>
            <w:tcW w:w="2261" w:type="dxa"/>
            <w:tcBorders>
              <w:top w:val="double" w:sz="4" w:space="0" w:color="8DB3E2"/>
              <w:left w:val="double" w:sz="4" w:space="0" w:color="8DB3E2"/>
              <w:right w:val="double" w:sz="4" w:space="0" w:color="8DB3E2"/>
            </w:tcBorders>
            <w:vAlign w:val="center"/>
          </w:tcPr>
          <w:p w14:paraId="5730593B" w14:textId="77777777" w:rsidR="00D07AFA" w:rsidRPr="00CC121D" w:rsidRDefault="00D07AFA" w:rsidP="00D07AFA">
            <w:r w:rsidRPr="00CC121D">
              <w:t xml:space="preserve">SSC operations in adverse conditions </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93C" w14:textId="1180FAC4" w:rsidR="00D07AFA" w:rsidRPr="00CC121D" w:rsidRDefault="00561E8F" w:rsidP="00D07AFA">
            <w:pPr>
              <w:outlineLvl w:val="0"/>
            </w:pPr>
            <w:r>
              <w:rPr>
                <w:iCs/>
              </w:rPr>
              <w:t>ONR-</w:t>
            </w:r>
            <w:r w:rsidR="00D07AFA" w:rsidRPr="00CC121D">
              <w:t>NS-TAST-GD-019 ‘Essential Services’</w:t>
            </w:r>
            <w:r w:rsidR="00B95DCD">
              <w:t>,</w:t>
            </w:r>
            <w:r w:rsidR="00D07AFA" w:rsidRPr="00CC121D">
              <w:t xml:space="preserve"> in particular paragraphs 2.3, 5.2</w:t>
            </w:r>
          </w:p>
        </w:tc>
      </w:tr>
      <w:tr w:rsidR="00CC121D" w:rsidRPr="00CC121D" w14:paraId="57305940" w14:textId="77777777" w:rsidTr="00AA1B3C">
        <w:trPr>
          <w:jc w:val="center"/>
        </w:trPr>
        <w:tc>
          <w:tcPr>
            <w:tcW w:w="2261" w:type="dxa"/>
            <w:tcBorders>
              <w:left w:val="double" w:sz="4" w:space="0" w:color="8DB3E2"/>
              <w:right w:val="double" w:sz="4" w:space="0" w:color="8DB3E2"/>
            </w:tcBorders>
            <w:vAlign w:val="center"/>
          </w:tcPr>
          <w:p w14:paraId="5730593E" w14:textId="77777777" w:rsidR="00D07AFA" w:rsidRPr="00CC121D" w:rsidRDefault="00D07AFA" w:rsidP="00D07AFA">
            <w:r w:rsidRPr="00CC121D">
              <w:t>Structural welds</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93F" w14:textId="397FEDA8" w:rsidR="00D07AFA" w:rsidRPr="00CC121D" w:rsidRDefault="00561E8F" w:rsidP="00D07AFA">
            <w:pPr>
              <w:outlineLvl w:val="0"/>
            </w:pPr>
            <w:r>
              <w:rPr>
                <w:iCs/>
              </w:rPr>
              <w:t>ONR-</w:t>
            </w:r>
            <w:r w:rsidR="00D07AFA" w:rsidRPr="00CC121D">
              <w:t>NS-TAST-GD-016 ‘Integrity of metal structures, systems and components’ section: 5.66</w:t>
            </w:r>
          </w:p>
        </w:tc>
      </w:tr>
      <w:tr w:rsidR="00CC121D" w:rsidRPr="00CC121D" w14:paraId="57305943" w14:textId="77777777" w:rsidTr="00AA1B3C">
        <w:trPr>
          <w:jc w:val="center"/>
        </w:trPr>
        <w:tc>
          <w:tcPr>
            <w:tcW w:w="2261" w:type="dxa"/>
            <w:vMerge w:val="restart"/>
            <w:tcBorders>
              <w:top w:val="double" w:sz="4" w:space="0" w:color="8DB3E2"/>
              <w:left w:val="double" w:sz="4" w:space="0" w:color="8DB3E2"/>
              <w:right w:val="double" w:sz="4" w:space="0" w:color="8DB3E2"/>
            </w:tcBorders>
            <w:vAlign w:val="center"/>
          </w:tcPr>
          <w:p w14:paraId="57305941" w14:textId="77777777" w:rsidR="00D07AFA" w:rsidRPr="00CC121D" w:rsidRDefault="00D07AFA" w:rsidP="00D07AFA">
            <w:r w:rsidRPr="00CC121D">
              <w:t>Review of condition of buildings and structures</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942" w14:textId="1B89EC55" w:rsidR="00D07AFA" w:rsidRPr="00CC121D" w:rsidRDefault="00561E8F" w:rsidP="00D07AFA">
            <w:pPr>
              <w:outlineLvl w:val="0"/>
            </w:pPr>
            <w:r>
              <w:rPr>
                <w:iCs/>
              </w:rPr>
              <w:t>ONR-</w:t>
            </w:r>
            <w:r w:rsidR="00D07AFA" w:rsidRPr="00CC121D">
              <w:t>NS-TAST-GD-050 ‘Periodic Safety Review’</w:t>
            </w:r>
            <w:r w:rsidR="00B95DCD">
              <w:t>, in particular,</w:t>
            </w:r>
            <w:r w:rsidR="00D07AFA" w:rsidRPr="00CC121D">
              <w:t xml:space="preserve"> annex 2 section 5.5, table 1</w:t>
            </w:r>
          </w:p>
        </w:tc>
      </w:tr>
      <w:tr w:rsidR="00CC121D" w:rsidRPr="00CC121D" w14:paraId="57305946" w14:textId="77777777" w:rsidTr="00AA1B3C">
        <w:trPr>
          <w:jc w:val="center"/>
        </w:trPr>
        <w:tc>
          <w:tcPr>
            <w:tcW w:w="2261" w:type="dxa"/>
            <w:vMerge/>
            <w:tcBorders>
              <w:left w:val="double" w:sz="4" w:space="0" w:color="8DB3E2"/>
              <w:right w:val="double" w:sz="4" w:space="0" w:color="8DB3E2"/>
            </w:tcBorders>
            <w:vAlign w:val="center"/>
          </w:tcPr>
          <w:p w14:paraId="57305944" w14:textId="77777777" w:rsidR="00D07AFA" w:rsidRPr="00CC121D" w:rsidRDefault="00D07AFA" w:rsidP="00D07AFA"/>
        </w:tc>
        <w:tc>
          <w:tcPr>
            <w:tcW w:w="7080" w:type="dxa"/>
            <w:tcBorders>
              <w:top w:val="double" w:sz="4" w:space="0" w:color="8DB3E2"/>
              <w:left w:val="double" w:sz="4" w:space="0" w:color="8DB3E2"/>
              <w:bottom w:val="double" w:sz="4" w:space="0" w:color="8DB3E2"/>
              <w:right w:val="double" w:sz="4" w:space="0" w:color="8DB3E2"/>
            </w:tcBorders>
            <w:vAlign w:val="center"/>
          </w:tcPr>
          <w:p w14:paraId="57305945" w14:textId="57975AF6" w:rsidR="00D07AFA" w:rsidRPr="00CC121D" w:rsidRDefault="00561E8F" w:rsidP="00D07AFA">
            <w:pPr>
              <w:outlineLvl w:val="0"/>
            </w:pPr>
            <w:r>
              <w:rPr>
                <w:iCs/>
              </w:rPr>
              <w:t>ONR-</w:t>
            </w:r>
            <w:r w:rsidR="00D07AFA" w:rsidRPr="00CC121D">
              <w:t>NS-INSP-GD-015 ‘LC15 – Periodic Review’</w:t>
            </w:r>
          </w:p>
        </w:tc>
      </w:tr>
      <w:tr w:rsidR="00CC121D" w:rsidRPr="00CC121D" w14:paraId="57305949" w14:textId="77777777" w:rsidTr="00AA1B3C">
        <w:trPr>
          <w:jc w:val="center"/>
        </w:trPr>
        <w:tc>
          <w:tcPr>
            <w:tcW w:w="2261" w:type="dxa"/>
            <w:vMerge w:val="restart"/>
            <w:tcBorders>
              <w:left w:val="double" w:sz="4" w:space="0" w:color="8DB3E2"/>
              <w:right w:val="double" w:sz="4" w:space="0" w:color="8DB3E2"/>
            </w:tcBorders>
          </w:tcPr>
          <w:p w14:paraId="57305947" w14:textId="77777777" w:rsidR="00D07AFA" w:rsidRPr="00CC121D" w:rsidRDefault="00D07AFA" w:rsidP="00D07AFA">
            <w:pPr>
              <w:rPr>
                <w:rFonts w:cs="Arial"/>
                <w:iCs/>
                <w:szCs w:val="20"/>
              </w:rPr>
            </w:pPr>
            <w:r w:rsidRPr="00CC121D">
              <w:rPr>
                <w:rFonts w:cs="Arial"/>
                <w:iCs/>
                <w:szCs w:val="20"/>
              </w:rPr>
              <w:t>Site security</w:t>
            </w:r>
          </w:p>
        </w:tc>
        <w:tc>
          <w:tcPr>
            <w:tcW w:w="7080" w:type="dxa"/>
            <w:tcBorders>
              <w:top w:val="double" w:sz="4" w:space="0" w:color="8DB3E2"/>
              <w:left w:val="double" w:sz="4" w:space="0" w:color="8DB3E2"/>
              <w:bottom w:val="double" w:sz="4" w:space="0" w:color="8DB3E2"/>
              <w:right w:val="double" w:sz="4" w:space="0" w:color="8DB3E2"/>
            </w:tcBorders>
          </w:tcPr>
          <w:p w14:paraId="57305948" w14:textId="5899044F" w:rsidR="00D07AFA" w:rsidRPr="00CC121D" w:rsidRDefault="00561E8F" w:rsidP="00D07AFA">
            <w:pPr>
              <w:outlineLvl w:val="0"/>
            </w:pPr>
            <w:r>
              <w:rPr>
                <w:iCs/>
              </w:rPr>
              <w:t>ONR-</w:t>
            </w:r>
            <w:r w:rsidR="00D07AFA" w:rsidRPr="00CC121D">
              <w:t>CNS-TAST-GD-5.2 “Examination, Inspection, Maintenance and Testing of Physical Protection Systems</w:t>
            </w:r>
          </w:p>
        </w:tc>
      </w:tr>
      <w:tr w:rsidR="00CC121D" w:rsidRPr="00CC121D" w14:paraId="5730594C" w14:textId="77777777" w:rsidTr="00AA1B3C">
        <w:trPr>
          <w:jc w:val="center"/>
        </w:trPr>
        <w:tc>
          <w:tcPr>
            <w:tcW w:w="2261" w:type="dxa"/>
            <w:vMerge/>
            <w:tcBorders>
              <w:left w:val="double" w:sz="4" w:space="0" w:color="8DB3E2"/>
              <w:bottom w:val="double" w:sz="4" w:space="0" w:color="8DB3E2"/>
              <w:right w:val="double" w:sz="4" w:space="0" w:color="8DB3E2"/>
            </w:tcBorders>
          </w:tcPr>
          <w:p w14:paraId="5730594A" w14:textId="77777777" w:rsidR="00D07AFA" w:rsidRPr="00CC121D" w:rsidRDefault="00D07AFA" w:rsidP="00D07AFA">
            <w:pPr>
              <w:rPr>
                <w:rFonts w:cs="Arial"/>
                <w:iCs/>
                <w:szCs w:val="20"/>
              </w:rPr>
            </w:pPr>
          </w:p>
        </w:tc>
        <w:tc>
          <w:tcPr>
            <w:tcW w:w="7080" w:type="dxa"/>
            <w:tcBorders>
              <w:top w:val="double" w:sz="4" w:space="0" w:color="8DB3E2"/>
              <w:left w:val="double" w:sz="4" w:space="0" w:color="8DB3E2"/>
              <w:bottom w:val="double" w:sz="4" w:space="0" w:color="8DB3E2"/>
              <w:right w:val="double" w:sz="4" w:space="0" w:color="8DB3E2"/>
            </w:tcBorders>
          </w:tcPr>
          <w:p w14:paraId="5730594B" w14:textId="48C1F28E" w:rsidR="00D07AFA" w:rsidRPr="00CC121D" w:rsidRDefault="00561E8F" w:rsidP="00D07AFA">
            <w:pPr>
              <w:outlineLvl w:val="0"/>
            </w:pPr>
            <w:r>
              <w:rPr>
                <w:iCs/>
              </w:rPr>
              <w:t>ONR-</w:t>
            </w:r>
            <w:r w:rsidR="00D07AFA" w:rsidRPr="00CC121D">
              <w:t>CNS-TAST-GD-6.3 ‘Security Fencing Protection Requirement Timescales’</w:t>
            </w:r>
          </w:p>
        </w:tc>
      </w:tr>
      <w:tr w:rsidR="00CC121D" w:rsidRPr="00CC121D" w14:paraId="5730594E" w14:textId="77777777" w:rsidTr="00AA1B3C">
        <w:trPr>
          <w:trHeight w:val="395"/>
          <w:jc w:val="center"/>
        </w:trPr>
        <w:tc>
          <w:tcPr>
            <w:tcW w:w="9341" w:type="dxa"/>
            <w:gridSpan w:val="2"/>
            <w:tcBorders>
              <w:top w:val="double" w:sz="4" w:space="0" w:color="8DB3E2"/>
              <w:left w:val="double" w:sz="4" w:space="0" w:color="8DB3E2"/>
              <w:bottom w:val="double" w:sz="4" w:space="0" w:color="8DB3E2"/>
              <w:right w:val="double" w:sz="4" w:space="0" w:color="8DB3E2"/>
            </w:tcBorders>
            <w:shd w:val="clear" w:color="auto" w:fill="C6D9F1" w:themeFill="text2" w:themeFillTint="33"/>
          </w:tcPr>
          <w:p w14:paraId="5730594D" w14:textId="77777777" w:rsidR="00D07AFA" w:rsidRPr="00CC121D" w:rsidRDefault="00D07AFA" w:rsidP="00D07AFA">
            <w:pPr>
              <w:outlineLvl w:val="0"/>
            </w:pPr>
            <w:r w:rsidRPr="00CC121D">
              <w:t>Decommissioning and Demolition</w:t>
            </w:r>
          </w:p>
        </w:tc>
      </w:tr>
      <w:tr w:rsidR="00CC121D" w:rsidRPr="00CC121D" w14:paraId="57305951" w14:textId="77777777" w:rsidTr="00AA1B3C">
        <w:trPr>
          <w:jc w:val="center"/>
        </w:trPr>
        <w:tc>
          <w:tcPr>
            <w:tcW w:w="2261" w:type="dxa"/>
            <w:tcBorders>
              <w:top w:val="double" w:sz="4" w:space="0" w:color="8DB3E2"/>
              <w:left w:val="double" w:sz="4" w:space="0" w:color="8DB3E2"/>
              <w:right w:val="double" w:sz="4" w:space="0" w:color="8DB3E2"/>
            </w:tcBorders>
            <w:vAlign w:val="center"/>
          </w:tcPr>
          <w:p w14:paraId="5730594F" w14:textId="77777777" w:rsidR="00D07AFA" w:rsidRPr="00CC121D" w:rsidRDefault="00D07AFA" w:rsidP="00D07AFA">
            <w:r w:rsidRPr="00CC121D">
              <w:t>General Guidance</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950" w14:textId="3755BC7F" w:rsidR="00D07AFA" w:rsidRPr="00CC121D" w:rsidRDefault="00561E8F" w:rsidP="00D07AFA">
            <w:pPr>
              <w:outlineLvl w:val="0"/>
            </w:pPr>
            <w:r>
              <w:rPr>
                <w:iCs/>
              </w:rPr>
              <w:t>ONR-</w:t>
            </w:r>
            <w:r w:rsidR="00D07AFA" w:rsidRPr="00CC121D">
              <w:t>NS-TAST-GD-026 ‘Decommissioning’</w:t>
            </w:r>
          </w:p>
        </w:tc>
      </w:tr>
      <w:tr w:rsidR="00CC121D" w:rsidRPr="00CC121D" w14:paraId="57305954" w14:textId="77777777" w:rsidTr="00AA1B3C">
        <w:trPr>
          <w:jc w:val="center"/>
        </w:trPr>
        <w:tc>
          <w:tcPr>
            <w:tcW w:w="2261" w:type="dxa"/>
            <w:vMerge w:val="restart"/>
            <w:tcBorders>
              <w:top w:val="double" w:sz="4" w:space="0" w:color="8DB3E2"/>
              <w:left w:val="double" w:sz="4" w:space="0" w:color="8DB3E2"/>
              <w:right w:val="double" w:sz="4" w:space="0" w:color="8DB3E2"/>
            </w:tcBorders>
            <w:vAlign w:val="center"/>
          </w:tcPr>
          <w:p w14:paraId="57305952" w14:textId="77777777" w:rsidR="00D07AFA" w:rsidRPr="00CC121D" w:rsidRDefault="00D07AFA" w:rsidP="00D07AFA">
            <w:r w:rsidRPr="00CC121D">
              <w:t xml:space="preserve">Waste Management Safety case </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953" w14:textId="0282389A" w:rsidR="00D07AFA" w:rsidRPr="00CC121D" w:rsidRDefault="00561E8F" w:rsidP="00D07AFA">
            <w:pPr>
              <w:outlineLvl w:val="0"/>
            </w:pPr>
            <w:r>
              <w:rPr>
                <w:iCs/>
              </w:rPr>
              <w:t>ONR-</w:t>
            </w:r>
            <w:r w:rsidR="00D07AFA" w:rsidRPr="00CC121D">
              <w:t>NS-TAST-GD-051 ‘The Purpose, Scope and Content of Safety Cases’ in particular paragraph 101 – g)</w:t>
            </w:r>
          </w:p>
        </w:tc>
      </w:tr>
      <w:tr w:rsidR="00CC121D" w:rsidRPr="00CC121D" w14:paraId="57305957" w14:textId="77777777" w:rsidTr="00AA1B3C">
        <w:trPr>
          <w:jc w:val="center"/>
        </w:trPr>
        <w:tc>
          <w:tcPr>
            <w:tcW w:w="2261" w:type="dxa"/>
            <w:vMerge/>
            <w:tcBorders>
              <w:left w:val="double" w:sz="4" w:space="0" w:color="8DB3E2"/>
              <w:right w:val="double" w:sz="4" w:space="0" w:color="8DB3E2"/>
            </w:tcBorders>
            <w:vAlign w:val="center"/>
          </w:tcPr>
          <w:p w14:paraId="57305955" w14:textId="77777777" w:rsidR="00D07AFA" w:rsidRPr="00CC121D" w:rsidRDefault="00D07AFA" w:rsidP="00D07AFA"/>
        </w:tc>
        <w:tc>
          <w:tcPr>
            <w:tcW w:w="7080" w:type="dxa"/>
            <w:tcBorders>
              <w:top w:val="double" w:sz="4" w:space="0" w:color="8DB3E2"/>
              <w:left w:val="double" w:sz="4" w:space="0" w:color="8DB3E2"/>
              <w:bottom w:val="double" w:sz="4" w:space="0" w:color="8DB3E2"/>
              <w:right w:val="double" w:sz="4" w:space="0" w:color="8DB3E2"/>
            </w:tcBorders>
            <w:vAlign w:val="center"/>
          </w:tcPr>
          <w:p w14:paraId="57305956" w14:textId="38A61511" w:rsidR="00D07AFA" w:rsidRPr="00CC121D" w:rsidRDefault="00561E8F" w:rsidP="00D07AFA">
            <w:pPr>
              <w:outlineLvl w:val="0"/>
            </w:pPr>
            <w:r>
              <w:rPr>
                <w:iCs/>
              </w:rPr>
              <w:t>ONR-</w:t>
            </w:r>
            <w:r w:rsidR="00D07AFA" w:rsidRPr="00CC121D">
              <w:t>NS-TAST-GD-024 ‘Management of Radioactive Material and Radioactive Waste’</w:t>
            </w:r>
          </w:p>
        </w:tc>
      </w:tr>
      <w:tr w:rsidR="00CC121D" w:rsidRPr="00CC121D" w14:paraId="5730595A" w14:textId="77777777" w:rsidTr="00AA1B3C">
        <w:trPr>
          <w:jc w:val="center"/>
        </w:trPr>
        <w:tc>
          <w:tcPr>
            <w:tcW w:w="2261" w:type="dxa"/>
            <w:tcBorders>
              <w:left w:val="double" w:sz="4" w:space="0" w:color="8DB3E2"/>
              <w:right w:val="double" w:sz="4" w:space="0" w:color="8DB3E2"/>
            </w:tcBorders>
            <w:vAlign w:val="center"/>
          </w:tcPr>
          <w:p w14:paraId="57305958" w14:textId="77777777" w:rsidR="00D07AFA" w:rsidRPr="00CC121D" w:rsidRDefault="00D07AFA" w:rsidP="00D07AFA">
            <w:r w:rsidRPr="00CC121D">
              <w:t>decommissioning and shielding properties of concrete</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959" w14:textId="755E75BE" w:rsidR="00D07AFA" w:rsidRPr="00CC121D" w:rsidRDefault="00561E8F" w:rsidP="00D07AFA">
            <w:pPr>
              <w:outlineLvl w:val="0"/>
            </w:pPr>
            <w:r>
              <w:rPr>
                <w:iCs/>
              </w:rPr>
              <w:t>ONR-</w:t>
            </w:r>
            <w:r w:rsidR="00D07AFA" w:rsidRPr="00CC121D">
              <w:t>NS-TAST-GD-002 ‘Radiological Shielding’, in particular</w:t>
            </w:r>
            <w:r w:rsidR="00B95DCD">
              <w:t>,</w:t>
            </w:r>
            <w:r w:rsidR="00D07AFA" w:rsidRPr="00CC121D">
              <w:t xml:space="preserve"> paragraph 5.8, 5.9, 5.37 – 5.38, 5.52, 5.67, 8, 11</w:t>
            </w:r>
          </w:p>
        </w:tc>
      </w:tr>
      <w:tr w:rsidR="00D07AFA" w:rsidRPr="00CC121D" w14:paraId="5730595D" w14:textId="77777777" w:rsidTr="00AA1B3C">
        <w:trPr>
          <w:trHeight w:val="982"/>
          <w:jc w:val="center"/>
        </w:trPr>
        <w:tc>
          <w:tcPr>
            <w:tcW w:w="2261" w:type="dxa"/>
            <w:tcBorders>
              <w:left w:val="double" w:sz="4" w:space="0" w:color="8DB3E2"/>
              <w:right w:val="double" w:sz="4" w:space="0" w:color="8DB3E2"/>
            </w:tcBorders>
            <w:vAlign w:val="center"/>
          </w:tcPr>
          <w:p w14:paraId="5730595B" w14:textId="77777777" w:rsidR="00D07AFA" w:rsidRPr="00CC121D" w:rsidRDefault="00D07AFA" w:rsidP="00D07AFA">
            <w:r w:rsidRPr="00CC121D">
              <w:t xml:space="preserve">Radiation exposure to workers: Fuel Storage Ponds  </w:t>
            </w:r>
          </w:p>
        </w:tc>
        <w:tc>
          <w:tcPr>
            <w:tcW w:w="7080" w:type="dxa"/>
            <w:tcBorders>
              <w:top w:val="double" w:sz="4" w:space="0" w:color="8DB3E2"/>
              <w:left w:val="double" w:sz="4" w:space="0" w:color="8DB3E2"/>
              <w:bottom w:val="double" w:sz="4" w:space="0" w:color="8DB3E2"/>
              <w:right w:val="double" w:sz="4" w:space="0" w:color="8DB3E2"/>
            </w:tcBorders>
            <w:vAlign w:val="center"/>
          </w:tcPr>
          <w:p w14:paraId="5730595C" w14:textId="70F82FAA" w:rsidR="00D07AFA" w:rsidRPr="00CC121D" w:rsidRDefault="00407613" w:rsidP="00D07AFA">
            <w:pPr>
              <w:outlineLvl w:val="0"/>
            </w:pPr>
            <w:r>
              <w:rPr>
                <w:iCs/>
              </w:rPr>
              <w:t>ONR-</w:t>
            </w:r>
            <w:r w:rsidR="00D07AFA" w:rsidRPr="00CC121D">
              <w:t>NS-TAST-GD-043 ‘Severe Accident Analysis’, in particular</w:t>
            </w:r>
            <w:r w:rsidR="00B95DCD">
              <w:t>,</w:t>
            </w:r>
            <w:r w:rsidR="00D07AFA" w:rsidRPr="00CC121D">
              <w:t xml:space="preserve"> paragraph 5.20 </w:t>
            </w:r>
          </w:p>
        </w:tc>
      </w:tr>
    </w:tbl>
    <w:p w14:paraId="5730595E" w14:textId="77777777" w:rsidR="00D07AFA" w:rsidRPr="00CC121D" w:rsidRDefault="00D07AFA" w:rsidP="00D07AFA"/>
    <w:p w14:paraId="5730595F" w14:textId="77777777" w:rsidR="00D07AFA" w:rsidRPr="00CC121D" w:rsidRDefault="00D07AFA" w:rsidP="00D07AFA">
      <w:pPr>
        <w:rPr>
          <w:rFonts w:ascii="Arial Bold" w:hAnsi="Arial Bold"/>
          <w:b/>
          <w:bCs/>
          <w:szCs w:val="22"/>
          <w:lang w:eastAsia="en-GB"/>
        </w:rPr>
      </w:pPr>
      <w:r w:rsidRPr="00CC121D">
        <w:rPr>
          <w:rFonts w:ascii="Arial Bold" w:hAnsi="Arial Bold"/>
          <w:b/>
          <w:bCs/>
          <w:szCs w:val="22"/>
        </w:rPr>
        <w:br w:type="page"/>
      </w:r>
    </w:p>
    <w:p w14:paraId="57305960" w14:textId="77777777" w:rsidR="00D07AFA" w:rsidRPr="00CC121D" w:rsidRDefault="00D07AFA" w:rsidP="00D07AFA">
      <w:pPr>
        <w:pStyle w:val="TSHeadingNumbered11"/>
      </w:pPr>
      <w:bookmarkStart w:id="109" w:name="_Toc57912717"/>
      <w:r w:rsidRPr="00CC121D">
        <w:t>APPENDIX G: EXTERNAL INTERFACES.</w:t>
      </w:r>
      <w:bookmarkEnd w:id="109"/>
    </w:p>
    <w:p w14:paraId="57305961" w14:textId="77777777" w:rsidR="00D07AFA" w:rsidRPr="00CC121D" w:rsidRDefault="00D07AFA" w:rsidP="00D07AFA">
      <w:pPr>
        <w:spacing w:after="216"/>
        <w:rPr>
          <w:rFonts w:ascii="Times New Roman" w:hAnsi="Times New Roman"/>
          <w:sz w:val="24"/>
          <w:lang w:eastAsia="en-GB"/>
        </w:rPr>
      </w:pPr>
      <w:r w:rsidRPr="00CC121D">
        <w:rPr>
          <w:rFonts w:ascii="Arial Bold" w:hAnsi="Arial Bold"/>
          <w:b/>
          <w:bCs/>
          <w:szCs w:val="22"/>
          <w:lang w:eastAsia="en-GB"/>
        </w:rPr>
        <w:t>TOPICS COMMON TO CIVIL ENGINEERING AND OTHER EXTERNAL STAKEHOLDERS</w:t>
      </w:r>
    </w:p>
    <w:p w14:paraId="57305962" w14:textId="77777777" w:rsidR="00D07AFA" w:rsidRPr="00CC121D" w:rsidRDefault="00D07AFA" w:rsidP="00D07AFA">
      <w:pPr>
        <w:rPr>
          <w:rFonts w:ascii="Times New Roman" w:hAnsi="Times New Roman"/>
          <w:sz w:val="24"/>
          <w:lang w:eastAsia="en-GB"/>
        </w:rPr>
      </w:pPr>
    </w:p>
    <w:tbl>
      <w:tblPr>
        <w:tblStyle w:val="TableGrid"/>
        <w:tblW w:w="9214" w:type="dxa"/>
        <w:tblInd w:w="-147" w:type="dxa"/>
        <w:tblLook w:val="04A0" w:firstRow="1" w:lastRow="0" w:firstColumn="1" w:lastColumn="0" w:noHBand="0" w:noVBand="1"/>
      </w:tblPr>
      <w:tblGrid>
        <w:gridCol w:w="3197"/>
        <w:gridCol w:w="6017"/>
      </w:tblGrid>
      <w:tr w:rsidR="00CC121D" w:rsidRPr="00CC121D" w14:paraId="57305965" w14:textId="77777777" w:rsidTr="00AA1B3C">
        <w:tc>
          <w:tcPr>
            <w:tcW w:w="3197" w:type="dxa"/>
          </w:tcPr>
          <w:p w14:paraId="57305963" w14:textId="77777777" w:rsidR="00D07AFA" w:rsidRPr="00CC121D" w:rsidRDefault="00D07AFA" w:rsidP="00D07AFA">
            <w:pPr>
              <w:spacing w:after="240"/>
              <w:ind w:left="120"/>
              <w:contextualSpacing/>
              <w:rPr>
                <w:b/>
                <w:iCs/>
              </w:rPr>
            </w:pPr>
            <w:r w:rsidRPr="00CC121D">
              <w:rPr>
                <w:b/>
                <w:iCs/>
              </w:rPr>
              <w:t>Scenario</w:t>
            </w:r>
          </w:p>
        </w:tc>
        <w:tc>
          <w:tcPr>
            <w:tcW w:w="6017" w:type="dxa"/>
          </w:tcPr>
          <w:p w14:paraId="57305964" w14:textId="77777777" w:rsidR="00D07AFA" w:rsidRPr="00CC121D" w:rsidRDefault="00D07AFA" w:rsidP="00D07AFA">
            <w:pPr>
              <w:spacing w:after="240"/>
              <w:ind w:left="120"/>
              <w:contextualSpacing/>
              <w:rPr>
                <w:b/>
                <w:iCs/>
              </w:rPr>
            </w:pPr>
            <w:r w:rsidRPr="00CC121D">
              <w:rPr>
                <w:b/>
                <w:iCs/>
              </w:rPr>
              <w:t>Stakeholder(s)</w:t>
            </w:r>
          </w:p>
        </w:tc>
      </w:tr>
      <w:tr w:rsidR="00CC121D" w:rsidRPr="00CC121D" w14:paraId="57305968" w14:textId="77777777" w:rsidTr="00AA1B3C">
        <w:tc>
          <w:tcPr>
            <w:tcW w:w="3197" w:type="dxa"/>
          </w:tcPr>
          <w:p w14:paraId="57305966" w14:textId="77777777" w:rsidR="00D07AFA" w:rsidRPr="00CC121D" w:rsidRDefault="00D07AFA" w:rsidP="00D07AFA">
            <w:pPr>
              <w:spacing w:after="240"/>
              <w:ind w:left="120"/>
              <w:contextualSpacing/>
              <w:rPr>
                <w:iCs/>
              </w:rPr>
            </w:pPr>
            <w:r w:rsidRPr="00CC121D">
              <w:rPr>
                <w:iCs/>
              </w:rPr>
              <w:t>Working under or over water or around the tide line, receipt of goods by boat or barge</w:t>
            </w:r>
          </w:p>
        </w:tc>
        <w:tc>
          <w:tcPr>
            <w:tcW w:w="6017" w:type="dxa"/>
          </w:tcPr>
          <w:p w14:paraId="6C415A39" w14:textId="77777777" w:rsidR="00613217" w:rsidRDefault="00D07AFA" w:rsidP="00D07AFA">
            <w:pPr>
              <w:spacing w:after="240"/>
              <w:ind w:left="120"/>
              <w:contextualSpacing/>
              <w:rPr>
                <w:iCs/>
              </w:rPr>
            </w:pPr>
            <w:r w:rsidRPr="00CC121D">
              <w:rPr>
                <w:iCs/>
              </w:rPr>
              <w:t xml:space="preserve">Maritime Coastguard Agency, harbourmaster(s), </w:t>
            </w:r>
          </w:p>
          <w:p w14:paraId="78A7FD71" w14:textId="5FB2DFD2" w:rsidR="00613217" w:rsidRDefault="00D07AFA" w:rsidP="00D07AFA">
            <w:pPr>
              <w:spacing w:after="240"/>
              <w:ind w:left="120"/>
              <w:contextualSpacing/>
              <w:rPr>
                <w:iCs/>
              </w:rPr>
            </w:pPr>
            <w:r w:rsidRPr="00CC121D">
              <w:rPr>
                <w:iCs/>
              </w:rPr>
              <w:t xml:space="preserve">Marine Management Organisation (Marine Licences), </w:t>
            </w:r>
          </w:p>
          <w:p w14:paraId="57305967" w14:textId="67D88660" w:rsidR="00D07AFA" w:rsidRPr="00CC121D" w:rsidRDefault="00D07AFA" w:rsidP="00D07AFA">
            <w:pPr>
              <w:spacing w:after="240"/>
              <w:ind w:left="120"/>
              <w:contextualSpacing/>
              <w:rPr>
                <w:iCs/>
              </w:rPr>
            </w:pPr>
            <w:r w:rsidRPr="00CC121D">
              <w:rPr>
                <w:iCs/>
              </w:rPr>
              <w:t>Department for Environment, Food and Rural Affairs (or successor organisations).</w:t>
            </w:r>
          </w:p>
        </w:tc>
      </w:tr>
      <w:tr w:rsidR="00CC121D" w:rsidRPr="00CC121D" w14:paraId="5730596E" w14:textId="77777777" w:rsidTr="00AA1B3C">
        <w:tc>
          <w:tcPr>
            <w:tcW w:w="3197" w:type="dxa"/>
            <w:vMerge w:val="restart"/>
          </w:tcPr>
          <w:p w14:paraId="57305969" w14:textId="77777777" w:rsidR="00D07AFA" w:rsidRPr="00CC121D" w:rsidRDefault="00D07AFA" w:rsidP="00D07AFA">
            <w:pPr>
              <w:spacing w:after="240"/>
              <w:ind w:left="120"/>
              <w:contextualSpacing/>
              <w:rPr>
                <w:iCs/>
              </w:rPr>
            </w:pPr>
            <w:r w:rsidRPr="00CC121D">
              <w:rPr>
                <w:iCs/>
              </w:rPr>
              <w:t xml:space="preserve">Generic Design Assessment, </w:t>
            </w:r>
          </w:p>
          <w:p w14:paraId="5730596A" w14:textId="77777777" w:rsidR="00D07AFA" w:rsidRPr="00CC121D" w:rsidRDefault="00D07AFA" w:rsidP="00D07AFA">
            <w:pPr>
              <w:spacing w:after="240"/>
              <w:ind w:left="120"/>
              <w:contextualSpacing/>
              <w:rPr>
                <w:iCs/>
              </w:rPr>
            </w:pPr>
            <w:r w:rsidRPr="00CC121D">
              <w:rPr>
                <w:iCs/>
              </w:rPr>
              <w:t xml:space="preserve">Site Licencing, </w:t>
            </w:r>
          </w:p>
          <w:p w14:paraId="5730596B" w14:textId="77777777" w:rsidR="00D07AFA" w:rsidRPr="00CC121D" w:rsidRDefault="00D07AFA" w:rsidP="00D07AFA">
            <w:pPr>
              <w:spacing w:after="240"/>
              <w:ind w:left="120"/>
              <w:contextualSpacing/>
              <w:rPr>
                <w:iCs/>
              </w:rPr>
            </w:pPr>
            <w:r w:rsidRPr="00CC121D">
              <w:rPr>
                <w:iCs/>
              </w:rPr>
              <w:t xml:space="preserve">New build issues relating to changes to site boundary plan, </w:t>
            </w:r>
          </w:p>
          <w:p w14:paraId="5730596C" w14:textId="77777777" w:rsidR="00D07AFA" w:rsidRPr="00CC121D" w:rsidRDefault="00D07AFA" w:rsidP="00D07AFA">
            <w:pPr>
              <w:spacing w:after="240"/>
              <w:ind w:left="120"/>
              <w:contextualSpacing/>
              <w:rPr>
                <w:iCs/>
              </w:rPr>
            </w:pPr>
            <w:r w:rsidRPr="00CC121D">
              <w:rPr>
                <w:iCs/>
              </w:rPr>
              <w:t>Development Consent Orders</w:t>
            </w:r>
          </w:p>
        </w:tc>
        <w:tc>
          <w:tcPr>
            <w:tcW w:w="6017" w:type="dxa"/>
          </w:tcPr>
          <w:p w14:paraId="5730596D" w14:textId="77777777" w:rsidR="00D07AFA" w:rsidRPr="00CC121D" w:rsidRDefault="00D07AFA" w:rsidP="00D07AFA">
            <w:pPr>
              <w:spacing w:after="240"/>
              <w:ind w:left="120"/>
              <w:contextualSpacing/>
              <w:rPr>
                <w:iCs/>
              </w:rPr>
            </w:pPr>
            <w:r w:rsidRPr="00CC121D">
              <w:rPr>
                <w:iCs/>
              </w:rPr>
              <w:t xml:space="preserve">Local authorities, site stakeholder groups, local engagement meetings with residents and local communities, Non-Governmental Organisations (NGOs) </w:t>
            </w:r>
          </w:p>
        </w:tc>
      </w:tr>
      <w:tr w:rsidR="00CC121D" w:rsidRPr="00CC121D" w14:paraId="57305971" w14:textId="77777777" w:rsidTr="00AA1B3C">
        <w:tc>
          <w:tcPr>
            <w:tcW w:w="3197" w:type="dxa"/>
            <w:vMerge/>
          </w:tcPr>
          <w:p w14:paraId="5730596F" w14:textId="77777777" w:rsidR="00D07AFA" w:rsidRPr="00CC121D" w:rsidRDefault="00D07AFA" w:rsidP="00D07AFA">
            <w:pPr>
              <w:spacing w:after="240"/>
              <w:contextualSpacing/>
              <w:rPr>
                <w:iCs/>
              </w:rPr>
            </w:pPr>
          </w:p>
        </w:tc>
        <w:tc>
          <w:tcPr>
            <w:tcW w:w="6017" w:type="dxa"/>
          </w:tcPr>
          <w:p w14:paraId="57305970" w14:textId="77777777" w:rsidR="00D07AFA" w:rsidRPr="00CC121D" w:rsidRDefault="00D07AFA" w:rsidP="00D07AFA">
            <w:pPr>
              <w:spacing w:after="240"/>
              <w:ind w:left="120"/>
              <w:contextualSpacing/>
              <w:rPr>
                <w:iCs/>
              </w:rPr>
            </w:pPr>
            <w:r w:rsidRPr="00CC121D">
              <w:rPr>
                <w:iCs/>
              </w:rPr>
              <w:t>ONR are not the competent authority for planning decisions or authorising the construction of a nuclear facility in a particular location. These duties fall to the relevant national and local planning authorities.</w:t>
            </w:r>
          </w:p>
        </w:tc>
      </w:tr>
      <w:tr w:rsidR="00CC121D" w:rsidRPr="00CC121D" w14:paraId="57305974" w14:textId="77777777" w:rsidTr="00AA1B3C">
        <w:trPr>
          <w:trHeight w:val="519"/>
        </w:trPr>
        <w:tc>
          <w:tcPr>
            <w:tcW w:w="3197" w:type="dxa"/>
          </w:tcPr>
          <w:p w14:paraId="57305972" w14:textId="486C7352" w:rsidR="00D07AFA" w:rsidRPr="00CC121D" w:rsidRDefault="00D07AFA" w:rsidP="00D07AFA">
            <w:pPr>
              <w:spacing w:after="240"/>
              <w:ind w:left="120"/>
              <w:contextualSpacing/>
              <w:rPr>
                <w:iCs/>
              </w:rPr>
            </w:pPr>
            <w:r w:rsidRPr="00CC121D">
              <w:rPr>
                <w:iCs/>
              </w:rPr>
              <w:t xml:space="preserve">Activities that </w:t>
            </w:r>
            <w:r w:rsidR="004D3147">
              <w:rPr>
                <w:iCs/>
              </w:rPr>
              <w:t>may</w:t>
            </w:r>
            <w:r w:rsidR="004D3147" w:rsidRPr="00CC121D">
              <w:rPr>
                <w:iCs/>
              </w:rPr>
              <w:t xml:space="preserve"> </w:t>
            </w:r>
            <w:r w:rsidRPr="00CC121D">
              <w:rPr>
                <w:iCs/>
              </w:rPr>
              <w:t xml:space="preserve">release </w:t>
            </w:r>
            <w:r w:rsidRPr="00DE46D6">
              <w:rPr>
                <w:iCs/>
              </w:rPr>
              <w:t>discharges to the environment</w:t>
            </w:r>
            <w:r w:rsidR="004D3147" w:rsidRPr="00DE46D6">
              <w:rPr>
                <w:iCs/>
              </w:rPr>
              <w:t xml:space="preserve"> </w:t>
            </w:r>
            <w:r w:rsidR="004D3147" w:rsidRPr="00DE46D6">
              <w:t xml:space="preserve">and activities that </w:t>
            </w:r>
            <w:r w:rsidR="00DA796D" w:rsidRPr="00DE46D6">
              <w:t>may</w:t>
            </w:r>
            <w:r w:rsidR="004D3147" w:rsidRPr="00DE46D6">
              <w:t xml:space="preserve"> result in the generation of solid radioactive materials and non-radioactive waste materials</w:t>
            </w:r>
          </w:p>
        </w:tc>
        <w:tc>
          <w:tcPr>
            <w:tcW w:w="6017" w:type="dxa"/>
          </w:tcPr>
          <w:p w14:paraId="57305973" w14:textId="517B4721" w:rsidR="00D07AFA" w:rsidRPr="00CC121D" w:rsidRDefault="00A92E14" w:rsidP="00D07AFA">
            <w:pPr>
              <w:spacing w:after="240"/>
              <w:ind w:left="120"/>
              <w:contextualSpacing/>
              <w:rPr>
                <w:iCs/>
              </w:rPr>
            </w:pPr>
            <w:r>
              <w:rPr>
                <w:iCs/>
              </w:rPr>
              <w:t xml:space="preserve">The relevant environment regulator i.e. </w:t>
            </w:r>
            <w:r w:rsidR="00D07AFA" w:rsidRPr="00CC121D">
              <w:rPr>
                <w:iCs/>
              </w:rPr>
              <w:t>Environment Agency (England), Natural Resources Wales (</w:t>
            </w:r>
            <w:r w:rsidR="00D07AFA" w:rsidRPr="00CC121D">
              <w:t>Wales</w:t>
            </w:r>
            <w:r w:rsidR="00D07AFA" w:rsidRPr="00CC121D">
              <w:rPr>
                <w:iCs/>
              </w:rPr>
              <w:t>) and Scottish Environment Protection Agency (Scotland)</w:t>
            </w:r>
          </w:p>
        </w:tc>
      </w:tr>
      <w:tr w:rsidR="00CC121D" w:rsidRPr="00CC121D" w14:paraId="57305977" w14:textId="77777777" w:rsidTr="00AA1B3C">
        <w:trPr>
          <w:trHeight w:val="519"/>
        </w:trPr>
        <w:tc>
          <w:tcPr>
            <w:tcW w:w="3197" w:type="dxa"/>
          </w:tcPr>
          <w:p w14:paraId="57305975" w14:textId="77777777" w:rsidR="00D07AFA" w:rsidRPr="00CC121D" w:rsidRDefault="00D07AFA" w:rsidP="00D07AFA">
            <w:pPr>
              <w:spacing w:after="240"/>
              <w:ind w:left="120"/>
              <w:contextualSpacing/>
              <w:rPr>
                <w:iCs/>
              </w:rPr>
            </w:pPr>
            <w:r w:rsidRPr="00CC121D">
              <w:rPr>
                <w:iCs/>
              </w:rPr>
              <w:t>Temporary Works</w:t>
            </w:r>
          </w:p>
        </w:tc>
        <w:tc>
          <w:tcPr>
            <w:tcW w:w="6017" w:type="dxa"/>
          </w:tcPr>
          <w:p w14:paraId="57305976" w14:textId="77777777" w:rsidR="00D07AFA" w:rsidRPr="00CC121D" w:rsidRDefault="00D07AFA" w:rsidP="00D07AFA">
            <w:pPr>
              <w:spacing w:after="240"/>
              <w:ind w:left="120"/>
              <w:contextualSpacing/>
              <w:rPr>
                <w:iCs/>
              </w:rPr>
            </w:pPr>
            <w:r w:rsidRPr="00CC121D">
              <w:rPr>
                <w:iCs/>
              </w:rPr>
              <w:t>HSE, Temporary Works Forum</w:t>
            </w:r>
          </w:p>
        </w:tc>
      </w:tr>
      <w:tr w:rsidR="00CC121D" w:rsidRPr="00CC121D" w14:paraId="5730597A" w14:textId="77777777" w:rsidTr="00AA1B3C">
        <w:trPr>
          <w:trHeight w:val="519"/>
        </w:trPr>
        <w:tc>
          <w:tcPr>
            <w:tcW w:w="3197" w:type="dxa"/>
          </w:tcPr>
          <w:p w14:paraId="57305978" w14:textId="77777777" w:rsidR="00D07AFA" w:rsidRPr="00CC121D" w:rsidRDefault="00D07AFA" w:rsidP="00D07AFA">
            <w:pPr>
              <w:spacing w:after="240"/>
              <w:ind w:left="120"/>
              <w:contextualSpacing/>
              <w:rPr>
                <w:iCs/>
              </w:rPr>
            </w:pPr>
            <w:r w:rsidRPr="00CC121D">
              <w:rPr>
                <w:iCs/>
              </w:rPr>
              <w:t>Events, e.g. structural collapse</w:t>
            </w:r>
          </w:p>
        </w:tc>
        <w:tc>
          <w:tcPr>
            <w:tcW w:w="6017" w:type="dxa"/>
          </w:tcPr>
          <w:p w14:paraId="57305979" w14:textId="77777777" w:rsidR="00D07AFA" w:rsidRPr="00CC121D" w:rsidRDefault="00D07AFA" w:rsidP="00D07AFA">
            <w:pPr>
              <w:spacing w:after="240"/>
              <w:ind w:left="120"/>
              <w:contextualSpacing/>
              <w:rPr>
                <w:iCs/>
              </w:rPr>
            </w:pPr>
            <w:r w:rsidRPr="00CC121D">
              <w:rPr>
                <w:iCs/>
              </w:rPr>
              <w:t xml:space="preserve">SCOSS, CROSS, Nationwide INF1 process and International Operational Experience </w:t>
            </w:r>
          </w:p>
        </w:tc>
      </w:tr>
      <w:tr w:rsidR="00CC121D" w:rsidRPr="00CC121D" w14:paraId="57305981" w14:textId="77777777" w:rsidTr="00AA1B3C">
        <w:trPr>
          <w:trHeight w:val="2428"/>
        </w:trPr>
        <w:tc>
          <w:tcPr>
            <w:tcW w:w="3197" w:type="dxa"/>
          </w:tcPr>
          <w:p w14:paraId="5730597B" w14:textId="77777777" w:rsidR="00D07AFA" w:rsidRPr="00CC121D" w:rsidRDefault="00D07AFA" w:rsidP="00D07AFA">
            <w:pPr>
              <w:spacing w:after="240"/>
              <w:ind w:left="120"/>
              <w:contextualSpacing/>
              <w:rPr>
                <w:iCs/>
              </w:rPr>
            </w:pPr>
            <w:r w:rsidRPr="00CC121D">
              <w:rPr>
                <w:iCs/>
              </w:rPr>
              <w:t>Decommissioning</w:t>
            </w:r>
          </w:p>
        </w:tc>
        <w:tc>
          <w:tcPr>
            <w:tcW w:w="6017" w:type="dxa"/>
          </w:tcPr>
          <w:p w14:paraId="5730597C" w14:textId="49388EBA" w:rsidR="00D07AFA" w:rsidRPr="00CC121D" w:rsidRDefault="00A92E14" w:rsidP="00D07AFA">
            <w:pPr>
              <w:spacing w:after="240"/>
              <w:ind w:left="120"/>
              <w:contextualSpacing/>
              <w:rPr>
                <w:iCs/>
              </w:rPr>
            </w:pPr>
            <w:r>
              <w:rPr>
                <w:iCs/>
              </w:rPr>
              <w:t xml:space="preserve">The relevant environment regulator i.e. </w:t>
            </w:r>
            <w:r w:rsidR="00D07AFA" w:rsidRPr="00CC121D">
              <w:rPr>
                <w:iCs/>
              </w:rPr>
              <w:t xml:space="preserve">Environment Agency (England), Natural Resources Wales (Wales) and Scottish Environment Protection Agency (Scotland), </w:t>
            </w:r>
          </w:p>
          <w:p w14:paraId="5730597D" w14:textId="77777777" w:rsidR="00D07AFA" w:rsidRPr="00CC121D" w:rsidRDefault="00D07AFA" w:rsidP="00D07AFA">
            <w:pPr>
              <w:spacing w:after="240"/>
              <w:ind w:left="120"/>
              <w:contextualSpacing/>
              <w:rPr>
                <w:iCs/>
              </w:rPr>
            </w:pPr>
            <w:r w:rsidRPr="00CC121D">
              <w:rPr>
                <w:iCs/>
              </w:rPr>
              <w:t>Local Authority Waste, Environmental Health, Building Control and Planning Departments (including modification to or removal of emergency plans).</w:t>
            </w:r>
          </w:p>
          <w:p w14:paraId="5730597E" w14:textId="2A5FC19D" w:rsidR="00D07AFA" w:rsidRDefault="00D07AFA" w:rsidP="00D07AFA">
            <w:pPr>
              <w:spacing w:after="240"/>
              <w:ind w:left="120"/>
              <w:contextualSpacing/>
              <w:rPr>
                <w:iCs/>
              </w:rPr>
            </w:pPr>
            <w:r w:rsidRPr="00CC121D">
              <w:rPr>
                <w:iCs/>
              </w:rPr>
              <w:t>Adjacent Licensees or duty holders</w:t>
            </w:r>
            <w:r w:rsidR="005F4BB1">
              <w:rPr>
                <w:iCs/>
              </w:rPr>
              <w:t xml:space="preserve"> at adjacent sites</w:t>
            </w:r>
            <w:r w:rsidRPr="00CC121D">
              <w:rPr>
                <w:iCs/>
              </w:rPr>
              <w:t>.</w:t>
            </w:r>
          </w:p>
          <w:p w14:paraId="36935E55" w14:textId="126BF5EC" w:rsidR="00E107FB" w:rsidRPr="00CC121D" w:rsidRDefault="00E107FB" w:rsidP="00D07AFA">
            <w:pPr>
              <w:spacing w:after="240"/>
              <w:ind w:left="120"/>
              <w:contextualSpacing/>
              <w:rPr>
                <w:iCs/>
              </w:rPr>
            </w:pPr>
            <w:r>
              <w:rPr>
                <w:iCs/>
              </w:rPr>
              <w:t>HSE</w:t>
            </w:r>
          </w:p>
          <w:p w14:paraId="5730597F" w14:textId="77777777" w:rsidR="00D07AFA" w:rsidRPr="00CC121D" w:rsidRDefault="00D07AFA" w:rsidP="00D07AFA">
            <w:pPr>
              <w:spacing w:after="240"/>
              <w:ind w:left="120"/>
              <w:contextualSpacing/>
              <w:rPr>
                <w:iCs/>
              </w:rPr>
            </w:pPr>
            <w:r w:rsidRPr="00CC121D">
              <w:rPr>
                <w:iCs/>
              </w:rPr>
              <w:t>Local groups and the public near the site.</w:t>
            </w:r>
          </w:p>
          <w:p w14:paraId="57305980" w14:textId="77777777" w:rsidR="00D07AFA" w:rsidRPr="00CC121D" w:rsidRDefault="00D07AFA" w:rsidP="00D07AFA">
            <w:pPr>
              <w:spacing w:after="240"/>
              <w:ind w:left="120"/>
              <w:contextualSpacing/>
              <w:rPr>
                <w:iCs/>
              </w:rPr>
            </w:pPr>
            <w:r w:rsidRPr="00CC121D">
              <w:rPr>
                <w:iCs/>
              </w:rPr>
              <w:t>Nuclear Decommissioning Authority</w:t>
            </w:r>
          </w:p>
        </w:tc>
      </w:tr>
      <w:tr w:rsidR="00333E85" w:rsidRPr="00CC121D" w14:paraId="6678B75C" w14:textId="77777777" w:rsidTr="00AA1B3C">
        <w:trPr>
          <w:trHeight w:val="514"/>
        </w:trPr>
        <w:tc>
          <w:tcPr>
            <w:tcW w:w="3197" w:type="dxa"/>
          </w:tcPr>
          <w:p w14:paraId="1811C39F" w14:textId="4A24FC43" w:rsidR="00333E85" w:rsidRPr="00CC121D" w:rsidRDefault="00333E85" w:rsidP="00333E85">
            <w:pPr>
              <w:spacing w:after="240"/>
              <w:ind w:left="120"/>
              <w:contextualSpacing/>
              <w:rPr>
                <w:iCs/>
              </w:rPr>
            </w:pPr>
            <w:r>
              <w:rPr>
                <w:iCs/>
              </w:rPr>
              <w:t>Civil engineering activities as part of the defence programme</w:t>
            </w:r>
          </w:p>
        </w:tc>
        <w:tc>
          <w:tcPr>
            <w:tcW w:w="6017" w:type="dxa"/>
          </w:tcPr>
          <w:p w14:paraId="7C8A735D" w14:textId="2251E873" w:rsidR="00333E85" w:rsidRDefault="00E107FB" w:rsidP="00D07AFA">
            <w:pPr>
              <w:spacing w:after="240"/>
              <w:ind w:left="120"/>
              <w:contextualSpacing/>
              <w:rPr>
                <w:iCs/>
              </w:rPr>
            </w:pPr>
            <w:r>
              <w:rPr>
                <w:iCs/>
              </w:rPr>
              <w:t>Defence Nuclear Safety Regulator (</w:t>
            </w:r>
            <w:r w:rsidR="00333E85">
              <w:rPr>
                <w:iCs/>
              </w:rPr>
              <w:t>DNSR</w:t>
            </w:r>
            <w:r>
              <w:rPr>
                <w:iCs/>
              </w:rPr>
              <w:t>)</w:t>
            </w:r>
          </w:p>
        </w:tc>
      </w:tr>
      <w:tr w:rsidR="00E107FB" w:rsidRPr="00CC121D" w14:paraId="35F8B1F1" w14:textId="77777777" w:rsidTr="00AA1B3C">
        <w:trPr>
          <w:trHeight w:val="514"/>
        </w:trPr>
        <w:tc>
          <w:tcPr>
            <w:tcW w:w="3197" w:type="dxa"/>
          </w:tcPr>
          <w:p w14:paraId="0BB4A5D3" w14:textId="678D371C" w:rsidR="00E107FB" w:rsidRDefault="00E107FB" w:rsidP="00333E85">
            <w:pPr>
              <w:spacing w:after="240"/>
              <w:ind w:left="120"/>
              <w:contextualSpacing/>
              <w:rPr>
                <w:iCs/>
              </w:rPr>
            </w:pPr>
            <w:r>
              <w:rPr>
                <w:iCs/>
              </w:rPr>
              <w:t xml:space="preserve">Civil engineering </w:t>
            </w:r>
            <w:r w:rsidR="0071656A">
              <w:rPr>
                <w:iCs/>
              </w:rPr>
              <w:t>activities</w:t>
            </w:r>
            <w:r>
              <w:rPr>
                <w:iCs/>
              </w:rPr>
              <w:t xml:space="preserve"> that bridge the nuclear licenced site</w:t>
            </w:r>
            <w:r w:rsidR="0071656A">
              <w:rPr>
                <w:iCs/>
              </w:rPr>
              <w:t xml:space="preserve"> e.g. tunnels</w:t>
            </w:r>
          </w:p>
        </w:tc>
        <w:tc>
          <w:tcPr>
            <w:tcW w:w="6017" w:type="dxa"/>
          </w:tcPr>
          <w:p w14:paraId="6AD29EC0" w14:textId="77777777" w:rsidR="00E107FB" w:rsidRDefault="0071656A" w:rsidP="00D07AFA">
            <w:pPr>
              <w:spacing w:after="240"/>
              <w:ind w:left="120"/>
              <w:contextualSpacing/>
              <w:rPr>
                <w:iCs/>
              </w:rPr>
            </w:pPr>
            <w:r>
              <w:rPr>
                <w:iCs/>
              </w:rPr>
              <w:t>Health and Safety Executive (HSE)</w:t>
            </w:r>
          </w:p>
          <w:p w14:paraId="2C4A35A4" w14:textId="31408D0E" w:rsidR="007E2F88" w:rsidRDefault="007E2F88" w:rsidP="007E2F88">
            <w:pPr>
              <w:spacing w:after="240"/>
              <w:ind w:left="120"/>
              <w:contextualSpacing/>
              <w:rPr>
                <w:iCs/>
              </w:rPr>
            </w:pPr>
            <w:r>
              <w:rPr>
                <w:iCs/>
              </w:rPr>
              <w:t>Marine Management Organisation (MMO) or similar, other stakeholders e.g. harbourmaster</w:t>
            </w:r>
          </w:p>
        </w:tc>
      </w:tr>
      <w:tr w:rsidR="00CC121D" w:rsidRPr="00CC121D" w14:paraId="57305984" w14:textId="77777777" w:rsidTr="00AA1B3C">
        <w:tc>
          <w:tcPr>
            <w:tcW w:w="3197" w:type="dxa"/>
          </w:tcPr>
          <w:p w14:paraId="57305982" w14:textId="77777777" w:rsidR="00D07AFA" w:rsidRPr="00CC121D" w:rsidRDefault="00D07AFA" w:rsidP="00D07AFA">
            <w:pPr>
              <w:spacing w:after="240"/>
              <w:ind w:left="120"/>
              <w:contextualSpacing/>
              <w:rPr>
                <w:iCs/>
              </w:rPr>
            </w:pPr>
            <w:r w:rsidRPr="00CC121D">
              <w:rPr>
                <w:iCs/>
              </w:rPr>
              <w:t>Environmental impact assessments, discharge permits, noise and other pollution, flood risk, rights of way, accessing land</w:t>
            </w:r>
          </w:p>
        </w:tc>
        <w:tc>
          <w:tcPr>
            <w:tcW w:w="6017" w:type="dxa"/>
          </w:tcPr>
          <w:p w14:paraId="57305983" w14:textId="77777777" w:rsidR="00D07AFA" w:rsidRPr="00CC121D" w:rsidRDefault="00D07AFA" w:rsidP="00D07AFA">
            <w:pPr>
              <w:spacing w:after="240"/>
              <w:ind w:left="120"/>
              <w:contextualSpacing/>
              <w:rPr>
                <w:iCs/>
              </w:rPr>
            </w:pPr>
            <w:r w:rsidRPr="00CC121D">
              <w:rPr>
                <w:iCs/>
              </w:rPr>
              <w:t>Department for Environment, Food and Rural Affairs (or successor organisations).</w:t>
            </w:r>
          </w:p>
        </w:tc>
      </w:tr>
      <w:tr w:rsidR="00D07AFA" w:rsidRPr="00CC121D" w14:paraId="57305987" w14:textId="77777777" w:rsidTr="00AA1B3C">
        <w:trPr>
          <w:trHeight w:val="318"/>
        </w:trPr>
        <w:tc>
          <w:tcPr>
            <w:tcW w:w="3197" w:type="dxa"/>
          </w:tcPr>
          <w:p w14:paraId="57305985" w14:textId="77777777" w:rsidR="00D07AFA" w:rsidRPr="00CC121D" w:rsidRDefault="00D07AFA" w:rsidP="00D07AFA">
            <w:pPr>
              <w:spacing w:after="240"/>
              <w:ind w:left="120"/>
              <w:contextualSpacing/>
              <w:rPr>
                <w:iCs/>
              </w:rPr>
            </w:pPr>
            <w:r w:rsidRPr="00CC121D">
              <w:rPr>
                <w:iCs/>
              </w:rPr>
              <w:t>Demolition or other activities using explosives</w:t>
            </w:r>
          </w:p>
        </w:tc>
        <w:tc>
          <w:tcPr>
            <w:tcW w:w="6017" w:type="dxa"/>
          </w:tcPr>
          <w:p w14:paraId="57305986" w14:textId="77777777" w:rsidR="00D07AFA" w:rsidRPr="00CC121D" w:rsidRDefault="00D07AFA" w:rsidP="00D07AFA">
            <w:pPr>
              <w:spacing w:after="240"/>
              <w:ind w:left="120"/>
              <w:contextualSpacing/>
              <w:rPr>
                <w:iCs/>
              </w:rPr>
            </w:pPr>
            <w:r w:rsidRPr="00CC121D">
              <w:rPr>
                <w:iCs/>
              </w:rPr>
              <w:t>HSE Explosives Inspectorate</w:t>
            </w:r>
          </w:p>
        </w:tc>
      </w:tr>
    </w:tbl>
    <w:p w14:paraId="57305988" w14:textId="77777777" w:rsidR="00D07AFA" w:rsidRPr="00CC121D" w:rsidRDefault="00D07AFA" w:rsidP="00D07AFA">
      <w:pPr>
        <w:rPr>
          <w:rFonts w:ascii="Times New Roman" w:hAnsi="Times New Roman"/>
          <w:sz w:val="24"/>
          <w:lang w:eastAsia="en-GB"/>
        </w:rPr>
      </w:pPr>
    </w:p>
    <w:p w14:paraId="57305989" w14:textId="77777777" w:rsidR="00D20C3C" w:rsidRPr="00CC121D" w:rsidRDefault="00D20C3C" w:rsidP="00D07AFA">
      <w:pPr>
        <w:pStyle w:val="TSNumberedParagraph1"/>
        <w:numPr>
          <w:ilvl w:val="0"/>
          <w:numId w:val="0"/>
        </w:numPr>
      </w:pPr>
    </w:p>
    <w:sectPr w:rsidR="00D20C3C" w:rsidRPr="00CC121D" w:rsidSect="00D07AFA">
      <w:headerReference w:type="even" r:id="rId44"/>
      <w:headerReference w:type="default" r:id="rId45"/>
      <w:footerReference w:type="even" r:id="rId46"/>
      <w:footerReference w:type="default" r:id="rId47"/>
      <w:headerReference w:type="first" r:id="rId48"/>
      <w:footerReference w:type="first" r:id="rId49"/>
      <w:pgSz w:w="11906" w:h="16838" w:code="9"/>
      <w:pgMar w:top="907" w:right="1134" w:bottom="1134" w:left="1588" w:header="431"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 wne:kcmPrimary="0077">
      <wne:acd wne:acdName="acd3"/>
    </wne:keymap>
    <wne:keymap wne:kcmPrimary="0078">
      <wne:acd wne:acdName="acd7"/>
    </wne:keymap>
    <wne:keymap wne:kcmPrimary="0079">
      <wne:acd wne:acdName="acd5"/>
    </wne:keymap>
    <wne:keymap wne:kcmPrimary="007A">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rgValue="AgBUAFMAIABIAGUAYQBkAGkAbgBnACAATgB1AG0AYgBlAHIAZQBkACAAMQA=" wne:acdName="acd0" wne:fciIndexBasedOn="0065"/>
    <wne:acd wne:argValue="AgBUAFMAIABIAGUAYQBkAGkAbgBnACAATgB1AG0AYgBlAHIAZQBkACAAMQAuADEA" wne:acdName="acd1" wne:fciIndexBasedOn="0065"/>
    <wne:acd wne:argValue="AgBUAFMAIABIAGUAYQBkAGkAbgBnACAATgB1AG0AYgBlAHIAZQBkACAAMQAuADEALgAxAA==" wne:acdName="acd2" wne:fciIndexBasedOn="0065"/>
    <wne:acd wne:argValue="AgBUAFMAIABIAGUAYQBkAGkAbgBnACAATgB1AG0AYgBlAHIAZQBkACAAMQAuADEALgAxAC4AMQA=" wne:acdName="acd3" wne:fciIndexBasedOn="0065"/>
    <wne:acd wne:argValue="AgBUAFMAIABCAHUAbABsAGUAdAAgADIAIABDAGkAcgBjAGwAZQA=" wne:acdName="acd4" wne:fciIndexBasedOn="0065"/>
    <wne:acd wne:argValue="AgBUAFMAIABCAHUAbABsAGUAdAAgADEAIABTAHEAdQBhAHIAZQA=" wne:acdName="acd5" wne:fciIndexBasedOn="0065"/>
    <wne:acd wne:argValue="AgBUAFMAIABCAHUAbABsAGUAdAAgADIAIABDAGkAcgBjAGwAZQA=" wne:acdName="acd6" wne:fciIndexBasedOn="0065"/>
    <wne:acd wne:argValue="AgBUAFMAIABOAHUAbQBiAGUAcgBlAGQAIABQAGEAcgBhAGcAcgBhAHAAaAAgADE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A88F7" w14:textId="77777777" w:rsidR="00BD6DD0" w:rsidRDefault="00BD6DD0">
      <w:r>
        <w:separator/>
      </w:r>
    </w:p>
  </w:endnote>
  <w:endnote w:type="continuationSeparator" w:id="0">
    <w:p w14:paraId="1276F590" w14:textId="77777777" w:rsidR="00BD6DD0" w:rsidRDefault="00BD6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187BD" w14:textId="77777777" w:rsidR="00BF7478" w:rsidRDefault="00BF7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F5758" w14:textId="67D6BF0D" w:rsidR="00EE7AE3" w:rsidRPr="00793476" w:rsidRDefault="00EE7AE3" w:rsidP="00EE7AE3">
    <w:pPr>
      <w:pStyle w:val="Footer"/>
      <w:tabs>
        <w:tab w:val="clear" w:pos="4153"/>
        <w:tab w:val="clear" w:pos="8306"/>
        <w:tab w:val="right" w:pos="9214"/>
      </w:tabs>
      <w:rPr>
        <w:rFonts w:cs="Arial"/>
        <w:color w:val="006D68"/>
        <w:sz w:val="14"/>
        <w:szCs w:val="14"/>
      </w:rPr>
    </w:pPr>
    <w:r w:rsidRPr="00793476">
      <w:rPr>
        <w:rFonts w:cs="Arial"/>
        <w:color w:val="006D68"/>
        <w:sz w:val="14"/>
        <w:szCs w:val="14"/>
      </w:rPr>
      <w:t>N</w:t>
    </w:r>
    <w:r>
      <w:rPr>
        <w:rFonts w:cs="Arial"/>
        <w:color w:val="006D68"/>
        <w:sz w:val="14"/>
        <w:szCs w:val="14"/>
      </w:rPr>
      <w:t>S-TAST-GD-017</w:t>
    </w:r>
    <w:r w:rsidRPr="00793476">
      <w:rPr>
        <w:rFonts w:cs="Arial"/>
        <w:color w:val="006D68"/>
        <w:sz w:val="14"/>
        <w:szCs w:val="14"/>
      </w:rPr>
      <w:t xml:space="preserve"> </w:t>
    </w:r>
  </w:p>
  <w:p w14:paraId="57305998" w14:textId="2D96D955" w:rsidR="002D6023" w:rsidRPr="00487A22" w:rsidRDefault="00EE7AE3" w:rsidP="00EE7AE3">
    <w:pPr>
      <w:pStyle w:val="Footer"/>
      <w:tabs>
        <w:tab w:val="clear" w:pos="4153"/>
        <w:tab w:val="clear" w:pos="8306"/>
        <w:tab w:val="right" w:pos="9216"/>
      </w:tabs>
      <w:rPr>
        <w:b/>
        <w:color w:val="006D68"/>
        <w:sz w:val="14"/>
        <w:szCs w:val="14"/>
      </w:rPr>
    </w:pPr>
    <w:r>
      <w:rPr>
        <w:rFonts w:cs="Arial"/>
        <w:color w:val="006D68"/>
        <w:sz w:val="14"/>
        <w:szCs w:val="14"/>
        <w:lang w:val="fr-FR"/>
      </w:rPr>
      <w:t>CM9</w:t>
    </w:r>
    <w:r w:rsidRPr="00793476">
      <w:rPr>
        <w:rFonts w:cs="Arial"/>
        <w:color w:val="006D68"/>
        <w:sz w:val="14"/>
        <w:szCs w:val="14"/>
      </w:rPr>
      <w:t xml:space="preserve"> Ref</w:t>
    </w:r>
    <w:r>
      <w:rPr>
        <w:rFonts w:cs="Arial"/>
        <w:color w:val="006D68"/>
        <w:sz w:val="14"/>
        <w:szCs w:val="14"/>
      </w:rPr>
      <w:t xml:space="preserve"> </w:t>
    </w:r>
    <w:r w:rsidRPr="00793476">
      <w:rPr>
        <w:rFonts w:cs="Arial"/>
        <w:color w:val="006D68"/>
        <w:sz w:val="14"/>
        <w:szCs w:val="14"/>
        <w:lang w:val="fr-FR"/>
      </w:rPr>
      <w:t>: 20</w:t>
    </w:r>
    <w:r>
      <w:rPr>
        <w:rFonts w:cs="Arial"/>
        <w:color w:val="006D68"/>
        <w:sz w:val="14"/>
        <w:szCs w:val="14"/>
        <w:lang w:val="fr-FR"/>
      </w:rPr>
      <w:t>20</w:t>
    </w:r>
    <w:r w:rsidRPr="00793476">
      <w:rPr>
        <w:rFonts w:cs="Arial"/>
        <w:color w:val="006D68"/>
        <w:sz w:val="14"/>
        <w:szCs w:val="14"/>
        <w:lang w:val="fr-FR"/>
      </w:rPr>
      <w:t>/</w:t>
    </w:r>
    <w:r>
      <w:rPr>
        <w:rFonts w:cs="Arial"/>
        <w:color w:val="006D68"/>
        <w:sz w:val="14"/>
        <w:szCs w:val="14"/>
        <w:lang w:val="fr-FR"/>
      </w:rPr>
      <w:t>189462</w:t>
    </w:r>
    <w:r w:rsidR="002D6023" w:rsidRPr="00487A22">
      <w:rPr>
        <w:b/>
        <w:color w:val="006D68"/>
        <w:sz w:val="14"/>
        <w:szCs w:val="14"/>
      </w:rPr>
      <w:tab/>
      <w:t xml:space="preserve">Page </w:t>
    </w:r>
    <w:r w:rsidR="002D6023" w:rsidRPr="00487A22">
      <w:rPr>
        <w:b/>
        <w:color w:val="006D68"/>
        <w:sz w:val="14"/>
        <w:szCs w:val="14"/>
      </w:rPr>
      <w:fldChar w:fldCharType="begin"/>
    </w:r>
    <w:r w:rsidR="002D6023" w:rsidRPr="00487A22">
      <w:rPr>
        <w:b/>
        <w:color w:val="006D68"/>
        <w:sz w:val="14"/>
        <w:szCs w:val="14"/>
      </w:rPr>
      <w:instrText xml:space="preserve"> PAGE </w:instrText>
    </w:r>
    <w:r w:rsidR="002D6023" w:rsidRPr="00487A22">
      <w:rPr>
        <w:b/>
        <w:color w:val="006D68"/>
        <w:sz w:val="14"/>
        <w:szCs w:val="14"/>
      </w:rPr>
      <w:fldChar w:fldCharType="separate"/>
    </w:r>
    <w:r w:rsidR="002D6023">
      <w:rPr>
        <w:b/>
        <w:noProof/>
        <w:color w:val="006D68"/>
        <w:sz w:val="14"/>
        <w:szCs w:val="14"/>
      </w:rPr>
      <w:t>78</w:t>
    </w:r>
    <w:r w:rsidR="002D6023" w:rsidRPr="00487A22">
      <w:rPr>
        <w:b/>
        <w:color w:val="006D68"/>
        <w:sz w:val="14"/>
        <w:szCs w:val="14"/>
      </w:rPr>
      <w:fldChar w:fldCharType="end"/>
    </w:r>
    <w:r w:rsidR="002D6023" w:rsidRPr="00487A22">
      <w:rPr>
        <w:b/>
        <w:color w:val="006D68"/>
        <w:sz w:val="14"/>
        <w:szCs w:val="14"/>
      </w:rPr>
      <w:t xml:space="preserve"> of </w:t>
    </w:r>
    <w:r w:rsidR="002D6023" w:rsidRPr="00487A22">
      <w:rPr>
        <w:b/>
        <w:color w:val="006D68"/>
        <w:sz w:val="14"/>
        <w:szCs w:val="14"/>
      </w:rPr>
      <w:fldChar w:fldCharType="begin"/>
    </w:r>
    <w:r w:rsidR="002D6023" w:rsidRPr="00487A22">
      <w:rPr>
        <w:b/>
        <w:color w:val="006D68"/>
        <w:sz w:val="14"/>
        <w:szCs w:val="14"/>
      </w:rPr>
      <w:instrText xml:space="preserve"> NUMPAGES </w:instrText>
    </w:r>
    <w:r w:rsidR="002D6023" w:rsidRPr="00487A22">
      <w:rPr>
        <w:b/>
        <w:color w:val="006D68"/>
        <w:sz w:val="14"/>
        <w:szCs w:val="14"/>
      </w:rPr>
      <w:fldChar w:fldCharType="separate"/>
    </w:r>
    <w:r w:rsidR="002D6023">
      <w:rPr>
        <w:b/>
        <w:noProof/>
        <w:color w:val="006D68"/>
        <w:sz w:val="14"/>
        <w:szCs w:val="14"/>
      </w:rPr>
      <w:t>78</w:t>
    </w:r>
    <w:r w:rsidR="002D6023" w:rsidRPr="00487A22">
      <w:rPr>
        <w:b/>
        <w:color w:val="006D68"/>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5999" w14:textId="121C8B70" w:rsidR="002D6023" w:rsidRPr="00793476" w:rsidRDefault="002D6023" w:rsidP="00D20C3C">
    <w:pPr>
      <w:pStyle w:val="Footer"/>
      <w:tabs>
        <w:tab w:val="clear" w:pos="4153"/>
        <w:tab w:val="clear" w:pos="8306"/>
        <w:tab w:val="right" w:pos="9214"/>
      </w:tabs>
      <w:rPr>
        <w:rFonts w:cs="Arial"/>
        <w:color w:val="006D68"/>
        <w:sz w:val="14"/>
        <w:szCs w:val="14"/>
      </w:rPr>
    </w:pPr>
    <w:r w:rsidRPr="00793476">
      <w:rPr>
        <w:rFonts w:cs="Arial"/>
        <w:color w:val="006D68"/>
        <w:sz w:val="14"/>
        <w:szCs w:val="14"/>
      </w:rPr>
      <w:t>N</w:t>
    </w:r>
    <w:r>
      <w:rPr>
        <w:rFonts w:cs="Arial"/>
        <w:color w:val="006D68"/>
        <w:sz w:val="14"/>
        <w:szCs w:val="14"/>
      </w:rPr>
      <w:t>S-TAST-GD-017</w:t>
    </w:r>
    <w:r w:rsidRPr="00793476">
      <w:rPr>
        <w:rFonts w:cs="Arial"/>
        <w:color w:val="006D68"/>
        <w:sz w:val="14"/>
        <w:szCs w:val="14"/>
      </w:rPr>
      <w:t xml:space="preserve"> </w:t>
    </w:r>
  </w:p>
  <w:p w14:paraId="5730599A" w14:textId="742D9ADE" w:rsidR="002D6023" w:rsidRPr="00784E02" w:rsidRDefault="0001128A" w:rsidP="00D20C3C">
    <w:pPr>
      <w:pStyle w:val="Footer"/>
      <w:tabs>
        <w:tab w:val="clear" w:pos="4153"/>
        <w:tab w:val="clear" w:pos="8306"/>
        <w:tab w:val="right" w:pos="9214"/>
      </w:tabs>
      <w:rPr>
        <w:rFonts w:cs="Arial"/>
        <w:b/>
        <w:color w:val="006D68"/>
        <w:sz w:val="14"/>
        <w:szCs w:val="14"/>
      </w:rPr>
    </w:pPr>
    <w:r>
      <w:rPr>
        <w:rFonts w:cs="Arial"/>
        <w:color w:val="006D68"/>
        <w:sz w:val="14"/>
        <w:szCs w:val="14"/>
        <w:lang w:val="fr-FR"/>
      </w:rPr>
      <w:t>CM9</w:t>
    </w:r>
    <w:r w:rsidRPr="00793476">
      <w:rPr>
        <w:rFonts w:cs="Arial"/>
        <w:color w:val="006D68"/>
        <w:sz w:val="14"/>
        <w:szCs w:val="14"/>
      </w:rPr>
      <w:t xml:space="preserve"> </w:t>
    </w:r>
    <w:r w:rsidR="002D6023" w:rsidRPr="00793476">
      <w:rPr>
        <w:rFonts w:cs="Arial"/>
        <w:color w:val="006D68"/>
        <w:sz w:val="14"/>
        <w:szCs w:val="14"/>
      </w:rPr>
      <w:t>Ref</w:t>
    </w:r>
    <w:r w:rsidR="00601F34">
      <w:rPr>
        <w:rFonts w:cs="Arial"/>
        <w:color w:val="006D68"/>
        <w:sz w:val="14"/>
        <w:szCs w:val="14"/>
      </w:rPr>
      <w:t xml:space="preserve"> </w:t>
    </w:r>
    <w:r w:rsidR="002D6023" w:rsidRPr="00793476">
      <w:rPr>
        <w:rFonts w:cs="Arial"/>
        <w:color w:val="006D68"/>
        <w:sz w:val="14"/>
        <w:szCs w:val="14"/>
        <w:lang w:val="fr-FR"/>
      </w:rPr>
      <w:t>: 20</w:t>
    </w:r>
    <w:r w:rsidR="00053C70">
      <w:rPr>
        <w:rFonts w:cs="Arial"/>
        <w:color w:val="006D68"/>
        <w:sz w:val="14"/>
        <w:szCs w:val="14"/>
        <w:lang w:val="fr-FR"/>
      </w:rPr>
      <w:t>20</w:t>
    </w:r>
    <w:r w:rsidR="002D6023" w:rsidRPr="00793476">
      <w:rPr>
        <w:rFonts w:cs="Arial"/>
        <w:color w:val="006D68"/>
        <w:sz w:val="14"/>
        <w:szCs w:val="14"/>
        <w:lang w:val="fr-FR"/>
      </w:rPr>
      <w:t>/</w:t>
    </w:r>
    <w:r w:rsidR="00976468">
      <w:rPr>
        <w:rFonts w:cs="Arial"/>
        <w:color w:val="006D68"/>
        <w:sz w:val="14"/>
        <w:szCs w:val="14"/>
        <w:lang w:val="fr-FR"/>
      </w:rPr>
      <w:t>189462</w:t>
    </w:r>
    <w:r w:rsidR="002D6023">
      <w:rPr>
        <w:rFonts w:cs="Arial"/>
        <w:color w:val="006D68"/>
        <w:sz w:val="14"/>
        <w:szCs w:val="14"/>
      </w:rPr>
      <w:tab/>
    </w:r>
    <w:r w:rsidR="002D6023" w:rsidRPr="00784E02">
      <w:rPr>
        <w:rFonts w:cs="Arial"/>
        <w:b/>
        <w:color w:val="006D68"/>
        <w:sz w:val="14"/>
        <w:szCs w:val="14"/>
      </w:rPr>
      <w:t xml:space="preserve">Page </w:t>
    </w:r>
    <w:r w:rsidR="002D6023" w:rsidRPr="00784E02">
      <w:rPr>
        <w:rFonts w:cs="Arial"/>
        <w:b/>
        <w:color w:val="006D68"/>
        <w:sz w:val="14"/>
        <w:szCs w:val="14"/>
      </w:rPr>
      <w:fldChar w:fldCharType="begin"/>
    </w:r>
    <w:r w:rsidR="002D6023" w:rsidRPr="00784E02">
      <w:rPr>
        <w:rFonts w:cs="Arial"/>
        <w:b/>
        <w:color w:val="006D68"/>
        <w:sz w:val="14"/>
        <w:szCs w:val="14"/>
      </w:rPr>
      <w:instrText xml:space="preserve"> PAGE </w:instrText>
    </w:r>
    <w:r w:rsidR="002D6023" w:rsidRPr="00784E02">
      <w:rPr>
        <w:rFonts w:cs="Arial"/>
        <w:b/>
        <w:color w:val="006D68"/>
        <w:sz w:val="14"/>
        <w:szCs w:val="14"/>
      </w:rPr>
      <w:fldChar w:fldCharType="separate"/>
    </w:r>
    <w:r w:rsidR="002D6023">
      <w:rPr>
        <w:rFonts w:cs="Arial"/>
        <w:b/>
        <w:noProof/>
        <w:color w:val="006D68"/>
        <w:sz w:val="14"/>
        <w:szCs w:val="14"/>
      </w:rPr>
      <w:t>1</w:t>
    </w:r>
    <w:r w:rsidR="002D6023" w:rsidRPr="00784E02">
      <w:rPr>
        <w:rFonts w:cs="Arial"/>
        <w:b/>
        <w:color w:val="006D68"/>
        <w:sz w:val="14"/>
        <w:szCs w:val="14"/>
      </w:rPr>
      <w:fldChar w:fldCharType="end"/>
    </w:r>
    <w:r w:rsidR="002D6023" w:rsidRPr="00784E02">
      <w:rPr>
        <w:rFonts w:cs="Arial"/>
        <w:b/>
        <w:color w:val="006D68"/>
        <w:sz w:val="14"/>
        <w:szCs w:val="14"/>
      </w:rPr>
      <w:t xml:space="preserve"> of </w:t>
    </w:r>
    <w:r w:rsidR="002D6023" w:rsidRPr="00784E02">
      <w:rPr>
        <w:rFonts w:cs="Arial"/>
        <w:b/>
        <w:color w:val="006D68"/>
        <w:sz w:val="14"/>
        <w:szCs w:val="14"/>
      </w:rPr>
      <w:fldChar w:fldCharType="begin"/>
    </w:r>
    <w:r w:rsidR="002D6023" w:rsidRPr="00784E02">
      <w:rPr>
        <w:rFonts w:cs="Arial"/>
        <w:b/>
        <w:color w:val="006D68"/>
        <w:sz w:val="14"/>
        <w:szCs w:val="14"/>
      </w:rPr>
      <w:instrText xml:space="preserve"> NUMPAGES </w:instrText>
    </w:r>
    <w:r w:rsidR="002D6023" w:rsidRPr="00784E02">
      <w:rPr>
        <w:rFonts w:cs="Arial"/>
        <w:b/>
        <w:color w:val="006D68"/>
        <w:sz w:val="14"/>
        <w:szCs w:val="14"/>
      </w:rPr>
      <w:fldChar w:fldCharType="separate"/>
    </w:r>
    <w:r w:rsidR="002D6023">
      <w:rPr>
        <w:rFonts w:cs="Arial"/>
        <w:b/>
        <w:noProof/>
        <w:color w:val="006D68"/>
        <w:sz w:val="14"/>
        <w:szCs w:val="14"/>
      </w:rPr>
      <w:t>78</w:t>
    </w:r>
    <w:r w:rsidR="002D6023" w:rsidRPr="00784E02">
      <w:rPr>
        <w:rFonts w:cs="Arial"/>
        <w:b/>
        <w:color w:val="006D68"/>
        <w:sz w:val="14"/>
        <w:szCs w:val="14"/>
      </w:rPr>
      <w:fldChar w:fldCharType="end"/>
    </w:r>
  </w:p>
  <w:p w14:paraId="5730599B" w14:textId="77777777" w:rsidR="002D6023" w:rsidRPr="00D20C3C" w:rsidRDefault="002D6023" w:rsidP="00D20C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2144C" w14:textId="77777777" w:rsidR="00BD6DD0" w:rsidRDefault="00BD6DD0">
      <w:r>
        <w:separator/>
      </w:r>
    </w:p>
  </w:footnote>
  <w:footnote w:type="continuationSeparator" w:id="0">
    <w:p w14:paraId="41CCCA43" w14:textId="77777777" w:rsidR="00BD6DD0" w:rsidRDefault="00BD6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BE39" w14:textId="77777777" w:rsidR="00BF7478" w:rsidRDefault="00BF7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9D19" w14:textId="4B199CBC" w:rsidR="00EE7AE3" w:rsidRDefault="00EE7AE3">
    <w:pPr>
      <w:pStyle w:val="Header"/>
    </w:pPr>
    <w:r w:rsidRPr="00487A22">
      <w:rPr>
        <w:color w:val="006D68"/>
        <w:sz w:val="14"/>
        <w:szCs w:val="14"/>
      </w:rPr>
      <w:t>Office for Nuclear Regulation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100F" w14:textId="6285DB33" w:rsidR="00B05B70" w:rsidRDefault="00B05B70">
    <w:pPr>
      <w:pStyle w:val="Header"/>
    </w:pPr>
    <w:r>
      <w:rPr>
        <w:noProof/>
        <w:lang w:eastAsia="en-GB"/>
      </w:rPr>
      <w:drawing>
        <wp:anchor distT="288290" distB="0" distL="288290" distR="114300" simplePos="0" relativeHeight="251659264" behindDoc="0" locked="0" layoutInCell="1" allowOverlap="0" wp14:anchorId="443725DE" wp14:editId="12B49689">
          <wp:simplePos x="0" y="0"/>
          <wp:positionH relativeFrom="page">
            <wp:posOffset>1008380</wp:posOffset>
          </wp:positionH>
          <wp:positionV relativeFrom="page">
            <wp:posOffset>561975</wp:posOffset>
          </wp:positionV>
          <wp:extent cx="6572250" cy="619125"/>
          <wp:effectExtent l="0" t="0" r="0" b="9525"/>
          <wp:wrapNone/>
          <wp:docPr id="13" name="Picture 13"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100261" b="23965"/>
                  <a:stretch>
                    <a:fillRect/>
                  </a:stretch>
                </pic:blipFill>
                <pic:spPr bwMode="auto">
                  <a:xfrm>
                    <a:off x="0" y="0"/>
                    <a:ext cx="6572250" cy="6191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76417"/>
    <w:multiLevelType w:val="hybridMultilevel"/>
    <w:tmpl w:val="CC4278F6"/>
    <w:lvl w:ilvl="0" w:tplc="DBC48688">
      <w:start w:val="1"/>
      <w:numFmt w:val="decimal"/>
      <w:pStyle w:val="ONRNumberedParagraph1"/>
      <w:lvlText w:val="%1"/>
      <w:lvlJc w:val="left"/>
      <w:pPr>
        <w:tabs>
          <w:tab w:val="num" w:pos="907"/>
        </w:tabs>
        <w:ind w:left="907" w:firstLine="0"/>
      </w:pPr>
      <w:rPr>
        <w:rFonts w:ascii="Arial" w:hAnsi="Arial" w:cs="Times New Roman" w:hint="default"/>
        <w:sz w:val="22"/>
      </w:rPr>
    </w:lvl>
    <w:lvl w:ilvl="1" w:tplc="3774CFE8">
      <w:start w:val="1"/>
      <w:numFmt w:val="bullet"/>
      <w:lvlText w:val=""/>
      <w:lvlJc w:val="left"/>
      <w:pPr>
        <w:tabs>
          <w:tab w:val="num" w:pos="2160"/>
        </w:tabs>
        <w:ind w:left="2160" w:hanging="360"/>
      </w:pPr>
      <w:rPr>
        <w:rFonts w:ascii="Wingdings" w:hAnsi="Wingdings" w:hint="default"/>
        <w:caps w:val="0"/>
        <w:strike w:val="0"/>
        <w:dstrike w:val="0"/>
        <w:vanish w:val="0"/>
        <w:webHidden w:val="0"/>
        <w:color w:val="333333"/>
        <w:sz w:val="1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tplc="528C4184">
      <w:numFmt w:val="bullet"/>
      <w:lvlText w:val="-"/>
      <w:lvlJc w:val="left"/>
      <w:pPr>
        <w:tabs>
          <w:tab w:val="num" w:pos="3060"/>
        </w:tabs>
        <w:ind w:left="3060" w:hanging="360"/>
      </w:pPr>
      <w:rPr>
        <w:rFonts w:ascii="Calibri" w:eastAsia="Times New Roman" w:hAnsi="Calibri" w:cs="Arial" w:hint="default"/>
      </w:rPr>
    </w:lvl>
    <w:lvl w:ilvl="3" w:tplc="1CD449B0">
      <w:numFmt w:val="bullet"/>
      <w:lvlText w:val="–"/>
      <w:lvlJc w:val="left"/>
      <w:pPr>
        <w:tabs>
          <w:tab w:val="num" w:pos="3600"/>
        </w:tabs>
        <w:ind w:left="3600" w:hanging="360"/>
      </w:pPr>
      <w:rPr>
        <w:rFonts w:ascii="Calibri" w:eastAsia="Times New Roman" w:hAnsi="Calibri" w:cs="Arial" w:hint="default"/>
      </w:rPr>
    </w:lvl>
    <w:lvl w:ilvl="4" w:tplc="08090019">
      <w:start w:val="1"/>
      <w:numFmt w:val="lowerLetter"/>
      <w:lvlText w:val="%5."/>
      <w:lvlJc w:val="left"/>
      <w:pPr>
        <w:tabs>
          <w:tab w:val="num" w:pos="4320"/>
        </w:tabs>
        <w:ind w:left="4320" w:hanging="360"/>
      </w:pPr>
    </w:lvl>
    <w:lvl w:ilvl="5" w:tplc="0809001B">
      <w:start w:val="1"/>
      <w:numFmt w:val="lowerRoman"/>
      <w:lvlText w:val="%6."/>
      <w:lvlJc w:val="right"/>
      <w:pPr>
        <w:tabs>
          <w:tab w:val="num" w:pos="5040"/>
        </w:tabs>
        <w:ind w:left="5040" w:hanging="180"/>
      </w:pPr>
    </w:lvl>
    <w:lvl w:ilvl="6" w:tplc="0809000F">
      <w:start w:val="1"/>
      <w:numFmt w:val="decimal"/>
      <w:lvlText w:val="%7."/>
      <w:lvlJc w:val="left"/>
      <w:pPr>
        <w:tabs>
          <w:tab w:val="num" w:pos="5760"/>
        </w:tabs>
        <w:ind w:left="5760" w:hanging="360"/>
      </w:pPr>
    </w:lvl>
    <w:lvl w:ilvl="7" w:tplc="08090019">
      <w:start w:val="1"/>
      <w:numFmt w:val="lowerLetter"/>
      <w:lvlText w:val="%8."/>
      <w:lvlJc w:val="left"/>
      <w:pPr>
        <w:tabs>
          <w:tab w:val="num" w:pos="6480"/>
        </w:tabs>
        <w:ind w:left="6480" w:hanging="360"/>
      </w:pPr>
    </w:lvl>
    <w:lvl w:ilvl="8" w:tplc="0809001B">
      <w:start w:val="1"/>
      <w:numFmt w:val="lowerRoman"/>
      <w:lvlText w:val="%9."/>
      <w:lvlJc w:val="right"/>
      <w:pPr>
        <w:tabs>
          <w:tab w:val="num" w:pos="7200"/>
        </w:tabs>
        <w:ind w:left="7200" w:hanging="180"/>
      </w:pPr>
    </w:lvl>
  </w:abstractNum>
  <w:abstractNum w:abstractNumId="1" w15:restartNumberingAfterBreak="0">
    <w:nsid w:val="157449F3"/>
    <w:multiLevelType w:val="multilevel"/>
    <w:tmpl w:val="5DEA6F42"/>
    <w:lvl w:ilvl="0">
      <w:start w:val="1"/>
      <w:numFmt w:val="decimal"/>
      <w:lvlText w:val="%1."/>
      <w:lvlJc w:val="left"/>
      <w:pPr>
        <w:tabs>
          <w:tab w:val="num" w:pos="-31680"/>
        </w:tabs>
        <w:ind w:left="720" w:hanging="720"/>
      </w:pPr>
      <w:rPr>
        <w:rFonts w:hint="default"/>
        <w:sz w:val="22"/>
      </w:rPr>
    </w:lvl>
    <w:lvl w:ilvl="1">
      <w:start w:val="1"/>
      <w:numFmt w:val="bullet"/>
      <w:lvlText w:val=""/>
      <w:lvlJc w:val="left"/>
      <w:pPr>
        <w:tabs>
          <w:tab w:val="num" w:pos="-31680"/>
        </w:tabs>
        <w:ind w:left="1004" w:hanging="720"/>
      </w:pPr>
      <w:rPr>
        <w:rFonts w:ascii="Wingdings" w:hAnsi="Wingdings" w:hint="default"/>
        <w:b w:val="0"/>
        <w:caps w:val="0"/>
        <w:strike w:val="0"/>
        <w:dstrike w:val="0"/>
        <w:vanish w:val="0"/>
        <w:color w:val="333333"/>
        <w:sz w:val="18"/>
        <w:vertAlign w:val="baseline"/>
      </w:rPr>
    </w:lvl>
    <w:lvl w:ilvl="2">
      <w:start w:val="1"/>
      <w:numFmt w:val="bullet"/>
      <w:lvlText w:val=""/>
      <w:lvlJc w:val="left"/>
      <w:pPr>
        <w:tabs>
          <w:tab w:val="num" w:pos="-31680"/>
        </w:tabs>
        <w:ind w:left="720" w:hanging="720"/>
      </w:pPr>
      <w:rPr>
        <w:rFonts w:ascii="Wingdings" w:hAnsi="Wingdings" w:hint="default"/>
        <w:caps w:val="0"/>
        <w:strike w:val="0"/>
        <w:dstrike w:val="0"/>
        <w:vanish w:val="0"/>
        <w:color w:val="333333"/>
        <w:sz w:val="18"/>
        <w:vertAlign w:val="baseline"/>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7304E12"/>
    <w:multiLevelType w:val="multilevel"/>
    <w:tmpl w:val="CFC678B4"/>
    <w:lvl w:ilvl="0">
      <w:start w:val="1"/>
      <w:numFmt w:val="decimal"/>
      <w:pStyle w:val="TSNumberedParagraph1"/>
      <w:lvlText w:val="%1."/>
      <w:lvlJc w:val="left"/>
      <w:pPr>
        <w:tabs>
          <w:tab w:val="num" w:pos="-31680"/>
        </w:tabs>
        <w:ind w:left="720" w:hanging="720"/>
      </w:pPr>
      <w:rPr>
        <w:rFonts w:ascii="Arial" w:hAnsi="Arial" w:cs="Arial" w:hint="default"/>
        <w:b w:val="0"/>
        <w:color w:val="auto"/>
        <w:sz w:val="22"/>
      </w:rPr>
    </w:lvl>
    <w:lvl w:ilvl="1">
      <w:start w:val="1"/>
      <w:numFmt w:val="decimal"/>
      <w:lvlText w:val="%1.%2"/>
      <w:lvlJc w:val="left"/>
      <w:pPr>
        <w:tabs>
          <w:tab w:val="num" w:pos="-31680"/>
        </w:tabs>
        <w:ind w:left="720" w:hanging="720"/>
      </w:pPr>
      <w:rPr>
        <w:rFonts w:hint="default"/>
        <w:sz w:val="22"/>
      </w:rPr>
    </w:lvl>
    <w:lvl w:ilvl="2">
      <w:start w:val="1"/>
      <w:numFmt w:val="decimal"/>
      <w:lvlText w:val="%1.%2.%3"/>
      <w:lvlJc w:val="left"/>
      <w:pPr>
        <w:tabs>
          <w:tab w:val="num" w:pos="-31680"/>
        </w:tabs>
        <w:ind w:left="720" w:hanging="720"/>
      </w:pPr>
      <w:rPr>
        <w:rFonts w:hint="default"/>
        <w:sz w:val="22"/>
      </w:rPr>
    </w:lvl>
    <w:lvl w:ilvl="3">
      <w:start w:val="1"/>
      <w:numFmt w:val="decimal"/>
      <w:lvlText w:val="%1.%2.%3.%4"/>
      <w:lvlJc w:val="left"/>
      <w:pPr>
        <w:tabs>
          <w:tab w:val="num" w:pos="-31680"/>
        </w:tabs>
        <w:ind w:left="720" w:hanging="720"/>
      </w:pPr>
      <w:rPr>
        <w:rFonts w:hint="default"/>
        <w:sz w:val="2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BDB47E4"/>
    <w:multiLevelType w:val="hybridMultilevel"/>
    <w:tmpl w:val="C15C9D1E"/>
    <w:lvl w:ilvl="0" w:tplc="CFCECD5C">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866945"/>
    <w:multiLevelType w:val="hybridMultilevel"/>
    <w:tmpl w:val="21B8E1B4"/>
    <w:lvl w:ilvl="0" w:tplc="9710B646">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706A39"/>
    <w:multiLevelType w:val="multilevel"/>
    <w:tmpl w:val="2E04D3D0"/>
    <w:lvl w:ilvl="0">
      <w:start w:val="1"/>
      <w:numFmt w:val="decimal"/>
      <w:pStyle w:val="TSHeadingNumbered1"/>
      <w:lvlText w:val="%1"/>
      <w:lvlJc w:val="left"/>
      <w:pPr>
        <w:tabs>
          <w:tab w:val="num" w:pos="-31680"/>
        </w:tabs>
        <w:ind w:left="720" w:hanging="720"/>
      </w:pPr>
      <w:rPr>
        <w:rFonts w:ascii="Arial" w:hAnsi="Arial" w:cs="Arial" w:hint="default"/>
        <w:sz w:val="22"/>
      </w:rPr>
    </w:lvl>
    <w:lvl w:ilvl="1">
      <w:start w:val="1"/>
      <w:numFmt w:val="decimal"/>
      <w:pStyle w:val="TSHeadingNumbered11"/>
      <w:lvlText w:val="%1.%2"/>
      <w:lvlJc w:val="left"/>
      <w:pPr>
        <w:tabs>
          <w:tab w:val="num" w:pos="-31680"/>
        </w:tabs>
        <w:ind w:left="720" w:hanging="720"/>
      </w:pPr>
      <w:rPr>
        <w:rFonts w:hint="default"/>
        <w:sz w:val="22"/>
      </w:rPr>
    </w:lvl>
    <w:lvl w:ilvl="2">
      <w:start w:val="1"/>
      <w:numFmt w:val="decimal"/>
      <w:pStyle w:val="TSHeadingNumbered111"/>
      <w:lvlText w:val="%1.%2.%3"/>
      <w:lvlJc w:val="left"/>
      <w:pPr>
        <w:tabs>
          <w:tab w:val="num" w:pos="-31680"/>
        </w:tabs>
        <w:ind w:left="720" w:hanging="720"/>
      </w:pPr>
      <w:rPr>
        <w:rFonts w:hint="default"/>
        <w:sz w:val="22"/>
      </w:rPr>
    </w:lvl>
    <w:lvl w:ilvl="3">
      <w:start w:val="1"/>
      <w:numFmt w:val="decimal"/>
      <w:pStyle w:val="TSHeadingNumbered1111"/>
      <w:lvlText w:val="%1.%2.%3.%4"/>
      <w:lvlJc w:val="left"/>
      <w:pPr>
        <w:tabs>
          <w:tab w:val="num" w:pos="-31680"/>
        </w:tabs>
        <w:ind w:left="720" w:hanging="720"/>
      </w:pPr>
      <w:rPr>
        <w:rFonts w:hint="default"/>
        <w:sz w:val="22"/>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33201F23"/>
    <w:multiLevelType w:val="multilevel"/>
    <w:tmpl w:val="CD2A4F6C"/>
    <w:lvl w:ilvl="0">
      <w:start w:val="1"/>
      <w:numFmt w:val="decimal"/>
      <w:lvlText w:val="%1."/>
      <w:lvlJc w:val="left"/>
      <w:pPr>
        <w:tabs>
          <w:tab w:val="num" w:pos="-31680"/>
        </w:tabs>
        <w:ind w:left="720" w:hanging="720"/>
      </w:pPr>
      <w:rPr>
        <w:rFonts w:hint="default"/>
        <w:sz w:val="22"/>
      </w:rPr>
    </w:lvl>
    <w:lvl w:ilvl="1">
      <w:start w:val="1"/>
      <w:numFmt w:val="bullet"/>
      <w:lvlText w:val=""/>
      <w:lvlJc w:val="left"/>
      <w:pPr>
        <w:tabs>
          <w:tab w:val="num" w:pos="-31680"/>
        </w:tabs>
        <w:ind w:left="1004" w:hanging="720"/>
      </w:pPr>
      <w:rPr>
        <w:rFonts w:ascii="Wingdings" w:hAnsi="Wingdings" w:hint="default"/>
        <w:b w:val="0"/>
        <w:caps w:val="0"/>
        <w:strike w:val="0"/>
        <w:dstrike w:val="0"/>
        <w:vanish w:val="0"/>
        <w:color w:val="333333"/>
        <w:sz w:val="18"/>
        <w:vertAlign w:val="baseline"/>
      </w:rPr>
    </w:lvl>
    <w:lvl w:ilvl="2">
      <w:start w:val="1"/>
      <w:numFmt w:val="bullet"/>
      <w:lvlText w:val=""/>
      <w:lvlJc w:val="left"/>
      <w:pPr>
        <w:tabs>
          <w:tab w:val="num" w:pos="-31680"/>
        </w:tabs>
        <w:ind w:left="720" w:hanging="720"/>
      </w:pPr>
      <w:rPr>
        <w:rFonts w:ascii="Wingdings" w:hAnsi="Wingdings" w:hint="default"/>
        <w:caps w:val="0"/>
        <w:strike w:val="0"/>
        <w:dstrike w:val="0"/>
        <w:vanish w:val="0"/>
        <w:color w:val="333333"/>
        <w:sz w:val="18"/>
        <w:vertAlign w:val="baseline"/>
      </w:rPr>
    </w:lvl>
    <w:lvl w:ilvl="3">
      <w:start w:val="1"/>
      <w:numFmt w:val="decimal"/>
      <w:lvlText w:val="%1.%2.%3.%4"/>
      <w:lvlJc w:val="left"/>
      <w:pPr>
        <w:tabs>
          <w:tab w:val="num" w:pos="-31680"/>
        </w:tabs>
        <w:ind w:left="720" w:hanging="720"/>
      </w:pPr>
      <w:rPr>
        <w:rFonts w:hint="default"/>
        <w:sz w:val="22"/>
      </w:rPr>
    </w:lvl>
    <w:lvl w:ilvl="4">
      <w:start w:val="1"/>
      <w:numFmt w:val="bullet"/>
      <w:lvlText w:val=""/>
      <w:lvlJc w:val="left"/>
      <w:pPr>
        <w:tabs>
          <w:tab w:val="num" w:pos="1008"/>
        </w:tabs>
        <w:ind w:left="1008" w:hanging="1008"/>
      </w:pPr>
      <w:rPr>
        <w:rFonts w:ascii="Wingdings" w:hAnsi="Wingdings" w:hint="default"/>
        <w:caps w:val="0"/>
        <w:strike w:val="0"/>
        <w:dstrike w:val="0"/>
        <w:vanish w:val="0"/>
        <w:color w:val="333333"/>
        <w:sz w:val="18"/>
        <w:vertAlign w:val="baseline"/>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6BF02CC"/>
    <w:multiLevelType w:val="hybridMultilevel"/>
    <w:tmpl w:val="F9468378"/>
    <w:lvl w:ilvl="0" w:tplc="F7DC465C">
      <w:start w:val="1"/>
      <w:numFmt w:val="bullet"/>
      <w:pStyle w:val="ONRSquareBullet1"/>
      <w:lvlText w:val=""/>
      <w:lvlJc w:val="left"/>
      <w:pPr>
        <w:tabs>
          <w:tab w:val="num" w:pos="1418"/>
        </w:tabs>
        <w:ind w:left="1418" w:hanging="567"/>
      </w:pPr>
      <w:rPr>
        <w:rFonts w:ascii="Wingdings" w:hAnsi="Wingdings" w:hint="default"/>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3B7A79"/>
    <w:multiLevelType w:val="multilevel"/>
    <w:tmpl w:val="24F04F3A"/>
    <w:lvl w:ilvl="0">
      <w:start w:val="1"/>
      <w:numFmt w:val="decimal"/>
      <w:pStyle w:val="NumberedHeading"/>
      <w:lvlText w:val="%1."/>
      <w:lvlJc w:val="left"/>
      <w:pPr>
        <w:tabs>
          <w:tab w:val="num" w:pos="-31680"/>
        </w:tabs>
        <w:ind w:left="720" w:hanging="720"/>
      </w:pPr>
      <w:rPr>
        <w:rFonts w:hint="default"/>
      </w:rPr>
    </w:lvl>
    <w:lvl w:ilvl="1">
      <w:start w:val="1"/>
      <w:numFmt w:val="decimal"/>
      <w:pStyle w:val="NumberedParagraph"/>
      <w:lvlText w:val="%1.%2"/>
      <w:lvlJc w:val="left"/>
      <w:pPr>
        <w:tabs>
          <w:tab w:val="num" w:pos="-31680"/>
        </w:tabs>
        <w:ind w:left="720" w:hanging="720"/>
      </w:pPr>
      <w:rPr>
        <w:rFonts w:hint="default"/>
      </w:rPr>
    </w:lvl>
    <w:lvl w:ilvl="2">
      <w:start w:val="1"/>
      <w:numFmt w:val="decimal"/>
      <w:lvlText w:val="%1.%2.%3"/>
      <w:lvlJc w:val="left"/>
      <w:pPr>
        <w:tabs>
          <w:tab w:val="num" w:pos="1288"/>
        </w:tabs>
        <w:ind w:left="1072" w:hanging="504"/>
      </w:pPr>
      <w:rPr>
        <w:rFonts w:hint="default"/>
        <w:b/>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57526F4"/>
    <w:multiLevelType w:val="hybridMultilevel"/>
    <w:tmpl w:val="CB667F1E"/>
    <w:lvl w:ilvl="0" w:tplc="0809000F">
      <w:start w:val="1"/>
      <w:numFmt w:val="decimal"/>
      <w:lvlText w:val="%1."/>
      <w:lvlJc w:val="left"/>
      <w:pPr>
        <w:ind w:left="360" w:hanging="360"/>
      </w:pPr>
      <w:rPr>
        <w:rFonts w:hint="default"/>
        <w:sz w:val="22"/>
        <w:szCs w:val="22"/>
      </w:rPr>
    </w:lvl>
    <w:lvl w:ilvl="1" w:tplc="08090019" w:tentative="1">
      <w:start w:val="1"/>
      <w:numFmt w:val="lowerLetter"/>
      <w:lvlText w:val="%2."/>
      <w:lvlJc w:val="left"/>
      <w:pPr>
        <w:ind w:left="229" w:hanging="360"/>
      </w:pPr>
    </w:lvl>
    <w:lvl w:ilvl="2" w:tplc="0809001B">
      <w:start w:val="1"/>
      <w:numFmt w:val="lowerRoman"/>
      <w:lvlText w:val="%3."/>
      <w:lvlJc w:val="right"/>
      <w:pPr>
        <w:ind w:left="949" w:hanging="180"/>
      </w:pPr>
    </w:lvl>
    <w:lvl w:ilvl="3" w:tplc="0809000F" w:tentative="1">
      <w:start w:val="1"/>
      <w:numFmt w:val="decimal"/>
      <w:lvlText w:val="%4."/>
      <w:lvlJc w:val="left"/>
      <w:pPr>
        <w:ind w:left="1669" w:hanging="360"/>
      </w:pPr>
    </w:lvl>
    <w:lvl w:ilvl="4" w:tplc="08090019" w:tentative="1">
      <w:start w:val="1"/>
      <w:numFmt w:val="lowerLetter"/>
      <w:lvlText w:val="%5."/>
      <w:lvlJc w:val="left"/>
      <w:pPr>
        <w:ind w:left="2389" w:hanging="360"/>
      </w:pPr>
    </w:lvl>
    <w:lvl w:ilvl="5" w:tplc="0809001B" w:tentative="1">
      <w:start w:val="1"/>
      <w:numFmt w:val="lowerRoman"/>
      <w:lvlText w:val="%6."/>
      <w:lvlJc w:val="right"/>
      <w:pPr>
        <w:ind w:left="3109" w:hanging="180"/>
      </w:pPr>
    </w:lvl>
    <w:lvl w:ilvl="6" w:tplc="0809000F" w:tentative="1">
      <w:start w:val="1"/>
      <w:numFmt w:val="decimal"/>
      <w:lvlText w:val="%7."/>
      <w:lvlJc w:val="left"/>
      <w:pPr>
        <w:ind w:left="3829" w:hanging="360"/>
      </w:pPr>
    </w:lvl>
    <w:lvl w:ilvl="7" w:tplc="08090019" w:tentative="1">
      <w:start w:val="1"/>
      <w:numFmt w:val="lowerLetter"/>
      <w:lvlText w:val="%8."/>
      <w:lvlJc w:val="left"/>
      <w:pPr>
        <w:ind w:left="4549" w:hanging="360"/>
      </w:pPr>
    </w:lvl>
    <w:lvl w:ilvl="8" w:tplc="0809001B" w:tentative="1">
      <w:start w:val="1"/>
      <w:numFmt w:val="lowerRoman"/>
      <w:lvlText w:val="%9."/>
      <w:lvlJc w:val="right"/>
      <w:pPr>
        <w:ind w:left="5269" w:hanging="180"/>
      </w:pPr>
    </w:lvl>
  </w:abstractNum>
  <w:abstractNum w:abstractNumId="10" w15:restartNumberingAfterBreak="0">
    <w:nsid w:val="5A121B7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5B342844"/>
    <w:multiLevelType w:val="hybridMultilevel"/>
    <w:tmpl w:val="F9527E96"/>
    <w:lvl w:ilvl="0" w:tplc="08090003">
      <w:start w:val="1"/>
      <w:numFmt w:val="bullet"/>
      <w:lvlText w:val=""/>
      <w:lvlJc w:val="left"/>
      <w:pPr>
        <w:ind w:left="1440" w:hanging="360"/>
      </w:pPr>
      <w:rPr>
        <w:rFonts w:ascii="Wingdings" w:hAnsi="Wingdings" w:hint="default"/>
        <w:caps w:val="0"/>
        <w:strike w:val="0"/>
        <w:dstrike w:val="0"/>
        <w:vanish w:val="0"/>
        <w:color w:val="333333"/>
        <w:sz w:val="18"/>
        <w:vertAlign w:val="baseline"/>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A5913E8"/>
    <w:multiLevelType w:val="hybridMultilevel"/>
    <w:tmpl w:val="2ABCF55C"/>
    <w:lvl w:ilvl="0" w:tplc="B794434E">
      <w:numFmt w:val="decimal"/>
      <w:pStyle w:val="ONRparagraphTAG4"/>
      <w:lvlText w:val=""/>
      <w:lvlJc w:val="left"/>
    </w:lvl>
    <w:lvl w:ilvl="1" w:tplc="08090001">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3" w15:restartNumberingAfterBreak="0">
    <w:nsid w:val="6F490BD0"/>
    <w:multiLevelType w:val="hybridMultilevel"/>
    <w:tmpl w:val="C48018F2"/>
    <w:lvl w:ilvl="0" w:tplc="07627C5A">
      <w:numFmt w:val="decimal"/>
      <w:pStyle w:val="ONRParagraphTAG5"/>
      <w:lvlText w:val=""/>
      <w:lvlJc w:val="left"/>
    </w:lvl>
    <w:lvl w:ilvl="1" w:tplc="08090001">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abstractNum w:abstractNumId="14" w15:restartNumberingAfterBreak="0">
    <w:nsid w:val="70C2195C"/>
    <w:multiLevelType w:val="hybridMultilevel"/>
    <w:tmpl w:val="11C8635E"/>
    <w:lvl w:ilvl="0" w:tplc="84BA4EF8">
      <w:start w:val="1"/>
      <w:numFmt w:val="bullet"/>
      <w:pStyle w:val="TSBullet1Square"/>
      <w:lvlText w:val=""/>
      <w:lvlJc w:val="left"/>
      <w:pPr>
        <w:tabs>
          <w:tab w:val="num" w:pos="-28713"/>
        </w:tabs>
        <w:ind w:left="4407" w:hanging="720"/>
      </w:pPr>
      <w:rPr>
        <w:rFonts w:ascii="Wingdings" w:hAnsi="Wingdings" w:hint="default"/>
        <w:b w:val="0"/>
        <w:i w:val="0"/>
        <w:color w:val="333333"/>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691777"/>
    <w:multiLevelType w:val="hybridMultilevel"/>
    <w:tmpl w:val="06704774"/>
    <w:lvl w:ilvl="0" w:tplc="B4C685C6">
      <w:start w:val="1"/>
      <w:numFmt w:val="decimal"/>
      <w:pStyle w:val="StyleNumberListReferences10pt"/>
      <w:lvlText w:val="%1"/>
      <w:lvlJc w:val="left"/>
      <w:pPr>
        <w:tabs>
          <w:tab w:val="num" w:pos="567"/>
        </w:tabs>
        <w:ind w:left="567" w:hanging="567"/>
      </w:pPr>
      <w:rPr>
        <w:rFonts w:ascii="Arial" w:hAnsi="Arial" w:hint="default"/>
        <w:b w:val="0"/>
        <w:i w:val="0"/>
        <w:color w:val="auto"/>
        <w:sz w:val="22"/>
        <w:szCs w:val="22"/>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91439D"/>
    <w:multiLevelType w:val="hybridMultilevel"/>
    <w:tmpl w:val="9348AEB6"/>
    <w:lvl w:ilvl="0" w:tplc="296445C0">
      <w:start w:val="1"/>
      <w:numFmt w:val="decimal"/>
      <w:pStyle w:val="Ch7num"/>
      <w:lvlText w:val="7.%1."/>
      <w:lvlJc w:val="left"/>
      <w:pPr>
        <w:ind w:left="4329" w:hanging="360"/>
      </w:pPr>
      <w:rPr>
        <w:rFonts w:cs="Times New Roman" w:hint="default"/>
        <w:b w:val="0"/>
        <w:i w:val="0"/>
        <w:color w:val="auto"/>
        <w:sz w:val="22"/>
        <w:szCs w:val="22"/>
      </w:rPr>
    </w:lvl>
    <w:lvl w:ilvl="1" w:tplc="08090019" w:tentative="1">
      <w:start w:val="1"/>
      <w:numFmt w:val="lowerLetter"/>
      <w:lvlText w:val="%2."/>
      <w:lvlJc w:val="left"/>
      <w:pPr>
        <w:ind w:left="5049" w:hanging="360"/>
      </w:pPr>
    </w:lvl>
    <w:lvl w:ilvl="2" w:tplc="0809001B" w:tentative="1">
      <w:start w:val="1"/>
      <w:numFmt w:val="lowerRoman"/>
      <w:lvlText w:val="%3."/>
      <w:lvlJc w:val="right"/>
      <w:pPr>
        <w:ind w:left="5769" w:hanging="180"/>
      </w:pPr>
    </w:lvl>
    <w:lvl w:ilvl="3" w:tplc="0809000F" w:tentative="1">
      <w:start w:val="1"/>
      <w:numFmt w:val="decimal"/>
      <w:lvlText w:val="%4."/>
      <w:lvlJc w:val="left"/>
      <w:pPr>
        <w:ind w:left="6489" w:hanging="360"/>
      </w:pPr>
    </w:lvl>
    <w:lvl w:ilvl="4" w:tplc="08090019" w:tentative="1">
      <w:start w:val="1"/>
      <w:numFmt w:val="lowerLetter"/>
      <w:lvlText w:val="%5."/>
      <w:lvlJc w:val="left"/>
      <w:pPr>
        <w:ind w:left="7209" w:hanging="360"/>
      </w:pPr>
    </w:lvl>
    <w:lvl w:ilvl="5" w:tplc="0809001B" w:tentative="1">
      <w:start w:val="1"/>
      <w:numFmt w:val="lowerRoman"/>
      <w:lvlText w:val="%6."/>
      <w:lvlJc w:val="right"/>
      <w:pPr>
        <w:ind w:left="7929" w:hanging="180"/>
      </w:pPr>
    </w:lvl>
    <w:lvl w:ilvl="6" w:tplc="0809000F" w:tentative="1">
      <w:start w:val="1"/>
      <w:numFmt w:val="decimal"/>
      <w:lvlText w:val="%7."/>
      <w:lvlJc w:val="left"/>
      <w:pPr>
        <w:ind w:left="8649" w:hanging="360"/>
      </w:pPr>
    </w:lvl>
    <w:lvl w:ilvl="7" w:tplc="08090019" w:tentative="1">
      <w:start w:val="1"/>
      <w:numFmt w:val="lowerLetter"/>
      <w:lvlText w:val="%8."/>
      <w:lvlJc w:val="left"/>
      <w:pPr>
        <w:ind w:left="9369" w:hanging="360"/>
      </w:pPr>
    </w:lvl>
    <w:lvl w:ilvl="8" w:tplc="0809001B" w:tentative="1">
      <w:start w:val="1"/>
      <w:numFmt w:val="lowerRoman"/>
      <w:lvlText w:val="%9."/>
      <w:lvlJc w:val="right"/>
      <w:pPr>
        <w:ind w:left="10089" w:hanging="180"/>
      </w:pPr>
    </w:lvl>
  </w:abstractNum>
  <w:num w:numId="1" w16cid:durableId="468128619">
    <w:abstractNumId w:val="5"/>
  </w:num>
  <w:num w:numId="2" w16cid:durableId="640503862">
    <w:abstractNumId w:val="14"/>
  </w:num>
  <w:num w:numId="3" w16cid:durableId="1966622072">
    <w:abstractNumId w:val="4"/>
  </w:num>
  <w:num w:numId="4" w16cid:durableId="623733874">
    <w:abstractNumId w:val="2"/>
  </w:num>
  <w:num w:numId="5" w16cid:durableId="20982752">
    <w:abstractNumId w:val="0"/>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38077222">
    <w:abstractNumId w:val="7"/>
  </w:num>
  <w:num w:numId="7" w16cid:durableId="1141731600">
    <w:abstractNumId w:val="15"/>
  </w:num>
  <w:num w:numId="8" w16cid:durableId="833185233">
    <w:abstractNumId w:val="16"/>
  </w:num>
  <w:num w:numId="9" w16cid:durableId="922489509">
    <w:abstractNumId w:val="8"/>
  </w:num>
  <w:num w:numId="10" w16cid:durableId="1664509832">
    <w:abstractNumId w:val="6"/>
  </w:num>
  <w:num w:numId="11" w16cid:durableId="554512105">
    <w:abstractNumId w:val="11"/>
  </w:num>
  <w:num w:numId="12" w16cid:durableId="2016884758">
    <w:abstractNumId w:val="1"/>
  </w:num>
  <w:num w:numId="13" w16cid:durableId="832452799">
    <w:abstractNumId w:val="12"/>
  </w:num>
  <w:num w:numId="14" w16cid:durableId="113789405">
    <w:abstractNumId w:val="13"/>
  </w:num>
  <w:num w:numId="15" w16cid:durableId="664087914">
    <w:abstractNumId w:val="10"/>
  </w:num>
  <w:num w:numId="16" w16cid:durableId="1037848750">
    <w:abstractNumId w:val="3"/>
  </w:num>
  <w:num w:numId="17" w16cid:durableId="1472819216">
    <w:abstractNumId w:val="9"/>
  </w:num>
  <w:num w:numId="18" w16cid:durableId="1436638155">
    <w:abstractNumId w:val="2"/>
  </w:num>
  <w:num w:numId="19" w16cid:durableId="824973602">
    <w:abstractNumId w:val="2"/>
  </w:num>
  <w:num w:numId="20" w16cid:durableId="1893806282">
    <w:abstractNumId w:val="2"/>
  </w:num>
  <w:num w:numId="21" w16cid:durableId="1573856239">
    <w:abstractNumId w:val="2"/>
  </w:num>
  <w:num w:numId="22" w16cid:durableId="2080665714">
    <w:abstractNumId w:val="14"/>
  </w:num>
  <w:num w:numId="23" w16cid:durableId="1700859319">
    <w:abstractNumId w:val="5"/>
  </w:num>
  <w:num w:numId="24" w16cid:durableId="1036852719">
    <w:abstractNumId w:val="5"/>
  </w:num>
  <w:num w:numId="25" w16cid:durableId="362441316">
    <w:abstractNumId w:val="5"/>
  </w:num>
  <w:num w:numId="26" w16cid:durableId="69933183">
    <w:abstractNumId w:val="5"/>
  </w:num>
  <w:num w:numId="27" w16cid:durableId="1246111406">
    <w:abstractNumId w:val="5"/>
  </w:num>
  <w:num w:numId="28" w16cid:durableId="114325460">
    <w:abstractNumId w:val="5"/>
  </w:num>
  <w:num w:numId="29" w16cid:durableId="1940259977">
    <w:abstractNumId w:val="5"/>
  </w:num>
  <w:num w:numId="30" w16cid:durableId="1711958030">
    <w:abstractNumId w:val="5"/>
  </w:num>
  <w:num w:numId="31" w16cid:durableId="186991752">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22"/>
    <w:rsid w:val="00000B4C"/>
    <w:rsid w:val="0000171C"/>
    <w:rsid w:val="00001832"/>
    <w:rsid w:val="000019F6"/>
    <w:rsid w:val="0000217E"/>
    <w:rsid w:val="000022CC"/>
    <w:rsid w:val="00002676"/>
    <w:rsid w:val="000030EC"/>
    <w:rsid w:val="00004E22"/>
    <w:rsid w:val="00004FCE"/>
    <w:rsid w:val="000050C6"/>
    <w:rsid w:val="00005859"/>
    <w:rsid w:val="00005C29"/>
    <w:rsid w:val="00005CDD"/>
    <w:rsid w:val="00005F95"/>
    <w:rsid w:val="00006124"/>
    <w:rsid w:val="00006B30"/>
    <w:rsid w:val="00006CD2"/>
    <w:rsid w:val="000070E0"/>
    <w:rsid w:val="00007D3A"/>
    <w:rsid w:val="0001128A"/>
    <w:rsid w:val="00011784"/>
    <w:rsid w:val="0001219E"/>
    <w:rsid w:val="00015392"/>
    <w:rsid w:val="000167D0"/>
    <w:rsid w:val="0001692C"/>
    <w:rsid w:val="00016A97"/>
    <w:rsid w:val="00016B25"/>
    <w:rsid w:val="00017BD1"/>
    <w:rsid w:val="00020219"/>
    <w:rsid w:val="0002058D"/>
    <w:rsid w:val="00020EFC"/>
    <w:rsid w:val="00021624"/>
    <w:rsid w:val="00021A84"/>
    <w:rsid w:val="00021B47"/>
    <w:rsid w:val="00022958"/>
    <w:rsid w:val="000235F6"/>
    <w:rsid w:val="00023B3B"/>
    <w:rsid w:val="00024D7D"/>
    <w:rsid w:val="00025343"/>
    <w:rsid w:val="000255C2"/>
    <w:rsid w:val="00025F92"/>
    <w:rsid w:val="00027340"/>
    <w:rsid w:val="00030448"/>
    <w:rsid w:val="00030D3C"/>
    <w:rsid w:val="000312D3"/>
    <w:rsid w:val="00031FF3"/>
    <w:rsid w:val="00032417"/>
    <w:rsid w:val="00032D26"/>
    <w:rsid w:val="00033546"/>
    <w:rsid w:val="00033891"/>
    <w:rsid w:val="00033C45"/>
    <w:rsid w:val="00034207"/>
    <w:rsid w:val="00034784"/>
    <w:rsid w:val="00034BE8"/>
    <w:rsid w:val="00034D5F"/>
    <w:rsid w:val="0003549E"/>
    <w:rsid w:val="000354E4"/>
    <w:rsid w:val="00036030"/>
    <w:rsid w:val="0003663D"/>
    <w:rsid w:val="00036A64"/>
    <w:rsid w:val="00036F72"/>
    <w:rsid w:val="00041DE2"/>
    <w:rsid w:val="00042171"/>
    <w:rsid w:val="00042A1F"/>
    <w:rsid w:val="0004322A"/>
    <w:rsid w:val="00043FB9"/>
    <w:rsid w:val="000440F7"/>
    <w:rsid w:val="000441DF"/>
    <w:rsid w:val="0004448E"/>
    <w:rsid w:val="00045B95"/>
    <w:rsid w:val="0004683D"/>
    <w:rsid w:val="000470CB"/>
    <w:rsid w:val="00047448"/>
    <w:rsid w:val="000478F2"/>
    <w:rsid w:val="00047E4B"/>
    <w:rsid w:val="00050352"/>
    <w:rsid w:val="00050B20"/>
    <w:rsid w:val="000511B2"/>
    <w:rsid w:val="00051607"/>
    <w:rsid w:val="000517E5"/>
    <w:rsid w:val="000523DF"/>
    <w:rsid w:val="00052F30"/>
    <w:rsid w:val="00053BC0"/>
    <w:rsid w:val="00053C70"/>
    <w:rsid w:val="000543D7"/>
    <w:rsid w:val="00055B12"/>
    <w:rsid w:val="00055E00"/>
    <w:rsid w:val="0005606C"/>
    <w:rsid w:val="00057413"/>
    <w:rsid w:val="00057623"/>
    <w:rsid w:val="000577EE"/>
    <w:rsid w:val="00057A42"/>
    <w:rsid w:val="00057C3D"/>
    <w:rsid w:val="00057CC9"/>
    <w:rsid w:val="00057FB3"/>
    <w:rsid w:val="0006187C"/>
    <w:rsid w:val="0006467A"/>
    <w:rsid w:val="000648C7"/>
    <w:rsid w:val="000648F3"/>
    <w:rsid w:val="000654E8"/>
    <w:rsid w:val="000655A6"/>
    <w:rsid w:val="00065603"/>
    <w:rsid w:val="000660E5"/>
    <w:rsid w:val="0006646C"/>
    <w:rsid w:val="00066548"/>
    <w:rsid w:val="00066713"/>
    <w:rsid w:val="000674F7"/>
    <w:rsid w:val="0007000A"/>
    <w:rsid w:val="00070214"/>
    <w:rsid w:val="0007042F"/>
    <w:rsid w:val="00070EEF"/>
    <w:rsid w:val="000715BD"/>
    <w:rsid w:val="000728BF"/>
    <w:rsid w:val="000730EB"/>
    <w:rsid w:val="00073B8D"/>
    <w:rsid w:val="00073E88"/>
    <w:rsid w:val="00073EE9"/>
    <w:rsid w:val="00073FC7"/>
    <w:rsid w:val="000741B1"/>
    <w:rsid w:val="00076272"/>
    <w:rsid w:val="00076564"/>
    <w:rsid w:val="00076CA9"/>
    <w:rsid w:val="0007774A"/>
    <w:rsid w:val="00081A2E"/>
    <w:rsid w:val="000822CE"/>
    <w:rsid w:val="0008320E"/>
    <w:rsid w:val="000835D8"/>
    <w:rsid w:val="00083B55"/>
    <w:rsid w:val="00083B94"/>
    <w:rsid w:val="00083FDC"/>
    <w:rsid w:val="00085D2D"/>
    <w:rsid w:val="0008653F"/>
    <w:rsid w:val="00086B9C"/>
    <w:rsid w:val="00087599"/>
    <w:rsid w:val="0009055D"/>
    <w:rsid w:val="00090EBD"/>
    <w:rsid w:val="00091522"/>
    <w:rsid w:val="0009191E"/>
    <w:rsid w:val="0009284B"/>
    <w:rsid w:val="0009322B"/>
    <w:rsid w:val="0009361F"/>
    <w:rsid w:val="000937A1"/>
    <w:rsid w:val="00093ADB"/>
    <w:rsid w:val="00093B7A"/>
    <w:rsid w:val="00093D38"/>
    <w:rsid w:val="00093D3C"/>
    <w:rsid w:val="00094835"/>
    <w:rsid w:val="00094F12"/>
    <w:rsid w:val="000951FF"/>
    <w:rsid w:val="00095314"/>
    <w:rsid w:val="00096646"/>
    <w:rsid w:val="00096F71"/>
    <w:rsid w:val="00096F76"/>
    <w:rsid w:val="000973F0"/>
    <w:rsid w:val="000975B2"/>
    <w:rsid w:val="000A08DC"/>
    <w:rsid w:val="000A0D4D"/>
    <w:rsid w:val="000A1296"/>
    <w:rsid w:val="000A1BC2"/>
    <w:rsid w:val="000A1E7A"/>
    <w:rsid w:val="000A2B3B"/>
    <w:rsid w:val="000A2BB2"/>
    <w:rsid w:val="000A2DD2"/>
    <w:rsid w:val="000A36FE"/>
    <w:rsid w:val="000A3708"/>
    <w:rsid w:val="000A491A"/>
    <w:rsid w:val="000A5A98"/>
    <w:rsid w:val="000A5CA8"/>
    <w:rsid w:val="000A7B83"/>
    <w:rsid w:val="000A7F48"/>
    <w:rsid w:val="000B022A"/>
    <w:rsid w:val="000B08A7"/>
    <w:rsid w:val="000B1555"/>
    <w:rsid w:val="000B1801"/>
    <w:rsid w:val="000B245A"/>
    <w:rsid w:val="000B2B12"/>
    <w:rsid w:val="000B385A"/>
    <w:rsid w:val="000B3947"/>
    <w:rsid w:val="000B43F8"/>
    <w:rsid w:val="000B492C"/>
    <w:rsid w:val="000B4E40"/>
    <w:rsid w:val="000B5209"/>
    <w:rsid w:val="000B57FA"/>
    <w:rsid w:val="000B5988"/>
    <w:rsid w:val="000B5D94"/>
    <w:rsid w:val="000B6C13"/>
    <w:rsid w:val="000B6C55"/>
    <w:rsid w:val="000B71B9"/>
    <w:rsid w:val="000B7252"/>
    <w:rsid w:val="000B79DC"/>
    <w:rsid w:val="000C041E"/>
    <w:rsid w:val="000C08DE"/>
    <w:rsid w:val="000C1848"/>
    <w:rsid w:val="000C1CB5"/>
    <w:rsid w:val="000C21FA"/>
    <w:rsid w:val="000C28C4"/>
    <w:rsid w:val="000C2A68"/>
    <w:rsid w:val="000C3842"/>
    <w:rsid w:val="000C386C"/>
    <w:rsid w:val="000C3A57"/>
    <w:rsid w:val="000C3FD3"/>
    <w:rsid w:val="000C49F7"/>
    <w:rsid w:val="000C4C3E"/>
    <w:rsid w:val="000C4EF1"/>
    <w:rsid w:val="000C4F76"/>
    <w:rsid w:val="000C57D1"/>
    <w:rsid w:val="000C5924"/>
    <w:rsid w:val="000C5D65"/>
    <w:rsid w:val="000C6101"/>
    <w:rsid w:val="000C666E"/>
    <w:rsid w:val="000C7867"/>
    <w:rsid w:val="000C7AEF"/>
    <w:rsid w:val="000C7C2A"/>
    <w:rsid w:val="000D0184"/>
    <w:rsid w:val="000D1632"/>
    <w:rsid w:val="000D2397"/>
    <w:rsid w:val="000D23A4"/>
    <w:rsid w:val="000D3482"/>
    <w:rsid w:val="000D3C1C"/>
    <w:rsid w:val="000D3FB0"/>
    <w:rsid w:val="000D452A"/>
    <w:rsid w:val="000D4CB2"/>
    <w:rsid w:val="000D500C"/>
    <w:rsid w:val="000D56E8"/>
    <w:rsid w:val="000D580B"/>
    <w:rsid w:val="000D6244"/>
    <w:rsid w:val="000D666A"/>
    <w:rsid w:val="000D7CF6"/>
    <w:rsid w:val="000E00A4"/>
    <w:rsid w:val="000E0537"/>
    <w:rsid w:val="000E0940"/>
    <w:rsid w:val="000E0B11"/>
    <w:rsid w:val="000E1645"/>
    <w:rsid w:val="000E2632"/>
    <w:rsid w:val="000E2C31"/>
    <w:rsid w:val="000E2E91"/>
    <w:rsid w:val="000E3E58"/>
    <w:rsid w:val="000E3F3A"/>
    <w:rsid w:val="000E459F"/>
    <w:rsid w:val="000E4733"/>
    <w:rsid w:val="000E4C4F"/>
    <w:rsid w:val="000E4C7D"/>
    <w:rsid w:val="000E5114"/>
    <w:rsid w:val="000E6D81"/>
    <w:rsid w:val="000E6FC5"/>
    <w:rsid w:val="000E7972"/>
    <w:rsid w:val="000F00E3"/>
    <w:rsid w:val="000F18D4"/>
    <w:rsid w:val="000F200D"/>
    <w:rsid w:val="000F2254"/>
    <w:rsid w:val="000F2AC9"/>
    <w:rsid w:val="000F3D91"/>
    <w:rsid w:val="000F4199"/>
    <w:rsid w:val="000F4545"/>
    <w:rsid w:val="000F4B1E"/>
    <w:rsid w:val="000F55EC"/>
    <w:rsid w:val="000F6DB9"/>
    <w:rsid w:val="000F6F24"/>
    <w:rsid w:val="000F71D8"/>
    <w:rsid w:val="00100197"/>
    <w:rsid w:val="001001E8"/>
    <w:rsid w:val="00100878"/>
    <w:rsid w:val="00100C1F"/>
    <w:rsid w:val="00103615"/>
    <w:rsid w:val="00103E81"/>
    <w:rsid w:val="00104BE6"/>
    <w:rsid w:val="00105ADE"/>
    <w:rsid w:val="00106EF8"/>
    <w:rsid w:val="00107586"/>
    <w:rsid w:val="00107F7D"/>
    <w:rsid w:val="00110910"/>
    <w:rsid w:val="0011094B"/>
    <w:rsid w:val="00110A1F"/>
    <w:rsid w:val="00110F1C"/>
    <w:rsid w:val="001111C8"/>
    <w:rsid w:val="001117D0"/>
    <w:rsid w:val="00111CCC"/>
    <w:rsid w:val="00112C2B"/>
    <w:rsid w:val="0011318D"/>
    <w:rsid w:val="0011330D"/>
    <w:rsid w:val="00113625"/>
    <w:rsid w:val="00113EC2"/>
    <w:rsid w:val="001142B6"/>
    <w:rsid w:val="0011474A"/>
    <w:rsid w:val="00114E9B"/>
    <w:rsid w:val="00116542"/>
    <w:rsid w:val="001166BA"/>
    <w:rsid w:val="0011776B"/>
    <w:rsid w:val="00117A0C"/>
    <w:rsid w:val="001205A1"/>
    <w:rsid w:val="00121419"/>
    <w:rsid w:val="00121518"/>
    <w:rsid w:val="00121A66"/>
    <w:rsid w:val="00121C8F"/>
    <w:rsid w:val="00121C93"/>
    <w:rsid w:val="00122D13"/>
    <w:rsid w:val="00122EF8"/>
    <w:rsid w:val="001237A1"/>
    <w:rsid w:val="001239AF"/>
    <w:rsid w:val="00124137"/>
    <w:rsid w:val="00124D78"/>
    <w:rsid w:val="00125507"/>
    <w:rsid w:val="001257E1"/>
    <w:rsid w:val="00125D39"/>
    <w:rsid w:val="00126976"/>
    <w:rsid w:val="00127253"/>
    <w:rsid w:val="0012749A"/>
    <w:rsid w:val="00127DBB"/>
    <w:rsid w:val="00130B29"/>
    <w:rsid w:val="001317B4"/>
    <w:rsid w:val="00131ECC"/>
    <w:rsid w:val="00132566"/>
    <w:rsid w:val="00132FCD"/>
    <w:rsid w:val="0013404D"/>
    <w:rsid w:val="0013414B"/>
    <w:rsid w:val="001344D9"/>
    <w:rsid w:val="001355BD"/>
    <w:rsid w:val="00135D93"/>
    <w:rsid w:val="001362B4"/>
    <w:rsid w:val="00136767"/>
    <w:rsid w:val="00137105"/>
    <w:rsid w:val="001376AD"/>
    <w:rsid w:val="00140749"/>
    <w:rsid w:val="00140B3C"/>
    <w:rsid w:val="001414AC"/>
    <w:rsid w:val="00141760"/>
    <w:rsid w:val="00141EF3"/>
    <w:rsid w:val="001428DE"/>
    <w:rsid w:val="00142EC1"/>
    <w:rsid w:val="00143117"/>
    <w:rsid w:val="0014345A"/>
    <w:rsid w:val="001440E1"/>
    <w:rsid w:val="001442BE"/>
    <w:rsid w:val="001449AB"/>
    <w:rsid w:val="00145EFA"/>
    <w:rsid w:val="00146176"/>
    <w:rsid w:val="00146296"/>
    <w:rsid w:val="001467A6"/>
    <w:rsid w:val="001468B7"/>
    <w:rsid w:val="00147103"/>
    <w:rsid w:val="001479F5"/>
    <w:rsid w:val="00150209"/>
    <w:rsid w:val="0015090B"/>
    <w:rsid w:val="00151F9F"/>
    <w:rsid w:val="0015225A"/>
    <w:rsid w:val="001529F3"/>
    <w:rsid w:val="00152C5E"/>
    <w:rsid w:val="001530B3"/>
    <w:rsid w:val="00153E86"/>
    <w:rsid w:val="00155131"/>
    <w:rsid w:val="001551D1"/>
    <w:rsid w:val="00155223"/>
    <w:rsid w:val="00156197"/>
    <w:rsid w:val="001565FE"/>
    <w:rsid w:val="0015710E"/>
    <w:rsid w:val="00157727"/>
    <w:rsid w:val="0016005A"/>
    <w:rsid w:val="0016017C"/>
    <w:rsid w:val="001603ED"/>
    <w:rsid w:val="00160C71"/>
    <w:rsid w:val="00160D18"/>
    <w:rsid w:val="00160F1A"/>
    <w:rsid w:val="00162031"/>
    <w:rsid w:val="00162E18"/>
    <w:rsid w:val="00163090"/>
    <w:rsid w:val="001630C9"/>
    <w:rsid w:val="001637B1"/>
    <w:rsid w:val="00164BE5"/>
    <w:rsid w:val="00164F4F"/>
    <w:rsid w:val="001651B4"/>
    <w:rsid w:val="0016548F"/>
    <w:rsid w:val="001657BE"/>
    <w:rsid w:val="00166F46"/>
    <w:rsid w:val="0016703A"/>
    <w:rsid w:val="001674C8"/>
    <w:rsid w:val="001677BC"/>
    <w:rsid w:val="00167C66"/>
    <w:rsid w:val="00167CA0"/>
    <w:rsid w:val="00167D76"/>
    <w:rsid w:val="00171A6A"/>
    <w:rsid w:val="001725E7"/>
    <w:rsid w:val="00173BDB"/>
    <w:rsid w:val="00173F9A"/>
    <w:rsid w:val="001740DC"/>
    <w:rsid w:val="00175219"/>
    <w:rsid w:val="0017591D"/>
    <w:rsid w:val="00175F54"/>
    <w:rsid w:val="00176048"/>
    <w:rsid w:val="001761D9"/>
    <w:rsid w:val="001768EE"/>
    <w:rsid w:val="00177664"/>
    <w:rsid w:val="001811BB"/>
    <w:rsid w:val="001815DE"/>
    <w:rsid w:val="00181D3C"/>
    <w:rsid w:val="001820CC"/>
    <w:rsid w:val="00182BA5"/>
    <w:rsid w:val="00184111"/>
    <w:rsid w:val="00184263"/>
    <w:rsid w:val="00184797"/>
    <w:rsid w:val="00184E17"/>
    <w:rsid w:val="001856AB"/>
    <w:rsid w:val="00185E58"/>
    <w:rsid w:val="00186315"/>
    <w:rsid w:val="001869B8"/>
    <w:rsid w:val="00187638"/>
    <w:rsid w:val="0018778C"/>
    <w:rsid w:val="00190489"/>
    <w:rsid w:val="00190558"/>
    <w:rsid w:val="00190697"/>
    <w:rsid w:val="001909B0"/>
    <w:rsid w:val="00190D8E"/>
    <w:rsid w:val="001918B6"/>
    <w:rsid w:val="001922D3"/>
    <w:rsid w:val="00192990"/>
    <w:rsid w:val="00192E60"/>
    <w:rsid w:val="00192F56"/>
    <w:rsid w:val="00193C57"/>
    <w:rsid w:val="00194236"/>
    <w:rsid w:val="00194487"/>
    <w:rsid w:val="00195498"/>
    <w:rsid w:val="00196693"/>
    <w:rsid w:val="00196763"/>
    <w:rsid w:val="00197292"/>
    <w:rsid w:val="00197C78"/>
    <w:rsid w:val="001A0382"/>
    <w:rsid w:val="001A04FE"/>
    <w:rsid w:val="001A3277"/>
    <w:rsid w:val="001A3D45"/>
    <w:rsid w:val="001A3ECE"/>
    <w:rsid w:val="001A4DD1"/>
    <w:rsid w:val="001A6B53"/>
    <w:rsid w:val="001A7776"/>
    <w:rsid w:val="001A7EDD"/>
    <w:rsid w:val="001B046E"/>
    <w:rsid w:val="001B04C2"/>
    <w:rsid w:val="001B0685"/>
    <w:rsid w:val="001B0793"/>
    <w:rsid w:val="001B0799"/>
    <w:rsid w:val="001B0DF1"/>
    <w:rsid w:val="001B132C"/>
    <w:rsid w:val="001B2409"/>
    <w:rsid w:val="001B328B"/>
    <w:rsid w:val="001B44EE"/>
    <w:rsid w:val="001B45D1"/>
    <w:rsid w:val="001B477E"/>
    <w:rsid w:val="001B5891"/>
    <w:rsid w:val="001B5A69"/>
    <w:rsid w:val="001B60D3"/>
    <w:rsid w:val="001B6581"/>
    <w:rsid w:val="001B66DF"/>
    <w:rsid w:val="001B7A15"/>
    <w:rsid w:val="001B7D59"/>
    <w:rsid w:val="001C001F"/>
    <w:rsid w:val="001C0078"/>
    <w:rsid w:val="001C09B8"/>
    <w:rsid w:val="001C0E3F"/>
    <w:rsid w:val="001C1316"/>
    <w:rsid w:val="001C17F1"/>
    <w:rsid w:val="001C1B6A"/>
    <w:rsid w:val="001C1D3E"/>
    <w:rsid w:val="001C1DF0"/>
    <w:rsid w:val="001C282E"/>
    <w:rsid w:val="001C2C4B"/>
    <w:rsid w:val="001C36C9"/>
    <w:rsid w:val="001C3DB8"/>
    <w:rsid w:val="001C42E5"/>
    <w:rsid w:val="001C44A0"/>
    <w:rsid w:val="001C4B29"/>
    <w:rsid w:val="001C5406"/>
    <w:rsid w:val="001C6AC6"/>
    <w:rsid w:val="001C6E21"/>
    <w:rsid w:val="001C71F4"/>
    <w:rsid w:val="001C7E90"/>
    <w:rsid w:val="001D08C0"/>
    <w:rsid w:val="001D0EBD"/>
    <w:rsid w:val="001D0F7A"/>
    <w:rsid w:val="001D1BB7"/>
    <w:rsid w:val="001D1DDF"/>
    <w:rsid w:val="001D26A9"/>
    <w:rsid w:val="001D26D5"/>
    <w:rsid w:val="001D3923"/>
    <w:rsid w:val="001D4BBE"/>
    <w:rsid w:val="001D4D8F"/>
    <w:rsid w:val="001D5142"/>
    <w:rsid w:val="001D578E"/>
    <w:rsid w:val="001D591B"/>
    <w:rsid w:val="001D5E2A"/>
    <w:rsid w:val="001D6226"/>
    <w:rsid w:val="001D74A9"/>
    <w:rsid w:val="001D78A1"/>
    <w:rsid w:val="001E0788"/>
    <w:rsid w:val="001E1012"/>
    <w:rsid w:val="001E1054"/>
    <w:rsid w:val="001E145E"/>
    <w:rsid w:val="001E34DF"/>
    <w:rsid w:val="001E35B3"/>
    <w:rsid w:val="001E368B"/>
    <w:rsid w:val="001E47C7"/>
    <w:rsid w:val="001E4806"/>
    <w:rsid w:val="001E4F72"/>
    <w:rsid w:val="001E623A"/>
    <w:rsid w:val="001E6ADE"/>
    <w:rsid w:val="001E6CFA"/>
    <w:rsid w:val="001E7220"/>
    <w:rsid w:val="001E7524"/>
    <w:rsid w:val="001E7E1D"/>
    <w:rsid w:val="001F07BF"/>
    <w:rsid w:val="001F09B0"/>
    <w:rsid w:val="001F1442"/>
    <w:rsid w:val="001F20F9"/>
    <w:rsid w:val="001F2732"/>
    <w:rsid w:val="001F2DE6"/>
    <w:rsid w:val="001F3222"/>
    <w:rsid w:val="001F340E"/>
    <w:rsid w:val="001F3F1E"/>
    <w:rsid w:val="001F4825"/>
    <w:rsid w:val="001F5732"/>
    <w:rsid w:val="001F5F76"/>
    <w:rsid w:val="001F64F5"/>
    <w:rsid w:val="001F66B1"/>
    <w:rsid w:val="0020019C"/>
    <w:rsid w:val="00200A4A"/>
    <w:rsid w:val="00200CB7"/>
    <w:rsid w:val="00201AD4"/>
    <w:rsid w:val="0020227B"/>
    <w:rsid w:val="0020284D"/>
    <w:rsid w:val="0020383B"/>
    <w:rsid w:val="002038BE"/>
    <w:rsid w:val="00203994"/>
    <w:rsid w:val="00203E57"/>
    <w:rsid w:val="0020417A"/>
    <w:rsid w:val="002049CE"/>
    <w:rsid w:val="00205036"/>
    <w:rsid w:val="00205787"/>
    <w:rsid w:val="00206C37"/>
    <w:rsid w:val="00206EE0"/>
    <w:rsid w:val="00207AC3"/>
    <w:rsid w:val="00207DD8"/>
    <w:rsid w:val="0021074A"/>
    <w:rsid w:val="0021143D"/>
    <w:rsid w:val="002115ED"/>
    <w:rsid w:val="00211BF6"/>
    <w:rsid w:val="0021332B"/>
    <w:rsid w:val="002133D8"/>
    <w:rsid w:val="002138DC"/>
    <w:rsid w:val="00213982"/>
    <w:rsid w:val="00215B48"/>
    <w:rsid w:val="00215DFB"/>
    <w:rsid w:val="00216018"/>
    <w:rsid w:val="002160CE"/>
    <w:rsid w:val="00216460"/>
    <w:rsid w:val="00216E82"/>
    <w:rsid w:val="00217372"/>
    <w:rsid w:val="00217549"/>
    <w:rsid w:val="00221206"/>
    <w:rsid w:val="00221D3D"/>
    <w:rsid w:val="00221FB3"/>
    <w:rsid w:val="00223184"/>
    <w:rsid w:val="002238C5"/>
    <w:rsid w:val="002241B0"/>
    <w:rsid w:val="00225208"/>
    <w:rsid w:val="0022554B"/>
    <w:rsid w:val="002257D5"/>
    <w:rsid w:val="00225BAF"/>
    <w:rsid w:val="00226293"/>
    <w:rsid w:val="002263B1"/>
    <w:rsid w:val="002268F7"/>
    <w:rsid w:val="00226DAA"/>
    <w:rsid w:val="00226E25"/>
    <w:rsid w:val="002273B9"/>
    <w:rsid w:val="00227BBA"/>
    <w:rsid w:val="0023052D"/>
    <w:rsid w:val="00230842"/>
    <w:rsid w:val="00230E16"/>
    <w:rsid w:val="002311AA"/>
    <w:rsid w:val="00231571"/>
    <w:rsid w:val="00232045"/>
    <w:rsid w:val="0023233C"/>
    <w:rsid w:val="002327A1"/>
    <w:rsid w:val="002333F8"/>
    <w:rsid w:val="002339C9"/>
    <w:rsid w:val="00233C83"/>
    <w:rsid w:val="00234272"/>
    <w:rsid w:val="00234682"/>
    <w:rsid w:val="0023579F"/>
    <w:rsid w:val="002358CE"/>
    <w:rsid w:val="00235C41"/>
    <w:rsid w:val="002365E6"/>
    <w:rsid w:val="0023704E"/>
    <w:rsid w:val="00237292"/>
    <w:rsid w:val="00237FFC"/>
    <w:rsid w:val="0024039D"/>
    <w:rsid w:val="00240420"/>
    <w:rsid w:val="00240776"/>
    <w:rsid w:val="00241BE8"/>
    <w:rsid w:val="002434EF"/>
    <w:rsid w:val="00243542"/>
    <w:rsid w:val="002441BC"/>
    <w:rsid w:val="0024502C"/>
    <w:rsid w:val="00245A5C"/>
    <w:rsid w:val="00245F80"/>
    <w:rsid w:val="0024616F"/>
    <w:rsid w:val="00246CDF"/>
    <w:rsid w:val="002470C4"/>
    <w:rsid w:val="00247727"/>
    <w:rsid w:val="0025049D"/>
    <w:rsid w:val="00251049"/>
    <w:rsid w:val="00251179"/>
    <w:rsid w:val="0025168F"/>
    <w:rsid w:val="00251720"/>
    <w:rsid w:val="00251E82"/>
    <w:rsid w:val="00252694"/>
    <w:rsid w:val="00254015"/>
    <w:rsid w:val="002543C6"/>
    <w:rsid w:val="002547C7"/>
    <w:rsid w:val="002553D2"/>
    <w:rsid w:val="00255BC0"/>
    <w:rsid w:val="002562F1"/>
    <w:rsid w:val="002563D2"/>
    <w:rsid w:val="002565BA"/>
    <w:rsid w:val="002605D7"/>
    <w:rsid w:val="00260B17"/>
    <w:rsid w:val="00260C0F"/>
    <w:rsid w:val="00260C2C"/>
    <w:rsid w:val="00260C6C"/>
    <w:rsid w:val="002617F2"/>
    <w:rsid w:val="00262AEA"/>
    <w:rsid w:val="00262E00"/>
    <w:rsid w:val="00263ADD"/>
    <w:rsid w:val="00265275"/>
    <w:rsid w:val="0026566E"/>
    <w:rsid w:val="002709BF"/>
    <w:rsid w:val="00270A07"/>
    <w:rsid w:val="00271A34"/>
    <w:rsid w:val="00272260"/>
    <w:rsid w:val="002726E7"/>
    <w:rsid w:val="00272F21"/>
    <w:rsid w:val="00272F6F"/>
    <w:rsid w:val="00273E49"/>
    <w:rsid w:val="0027428C"/>
    <w:rsid w:val="002744B4"/>
    <w:rsid w:val="00275554"/>
    <w:rsid w:val="00275CD5"/>
    <w:rsid w:val="00275DBE"/>
    <w:rsid w:val="0027675C"/>
    <w:rsid w:val="00276832"/>
    <w:rsid w:val="0028011F"/>
    <w:rsid w:val="002801C3"/>
    <w:rsid w:val="00280A2B"/>
    <w:rsid w:val="00281014"/>
    <w:rsid w:val="00281682"/>
    <w:rsid w:val="00281ADA"/>
    <w:rsid w:val="00281C81"/>
    <w:rsid w:val="00281E9A"/>
    <w:rsid w:val="002826EC"/>
    <w:rsid w:val="00283050"/>
    <w:rsid w:val="00283386"/>
    <w:rsid w:val="0028356A"/>
    <w:rsid w:val="00285FB0"/>
    <w:rsid w:val="00286AC9"/>
    <w:rsid w:val="00287044"/>
    <w:rsid w:val="002873F8"/>
    <w:rsid w:val="00290467"/>
    <w:rsid w:val="00290681"/>
    <w:rsid w:val="00290CFF"/>
    <w:rsid w:val="00290EB3"/>
    <w:rsid w:val="002912BD"/>
    <w:rsid w:val="00292EC5"/>
    <w:rsid w:val="0029348F"/>
    <w:rsid w:val="002936B3"/>
    <w:rsid w:val="00293AAC"/>
    <w:rsid w:val="00294530"/>
    <w:rsid w:val="00297013"/>
    <w:rsid w:val="00297401"/>
    <w:rsid w:val="002976A3"/>
    <w:rsid w:val="00297957"/>
    <w:rsid w:val="002A03F6"/>
    <w:rsid w:val="002A081B"/>
    <w:rsid w:val="002A0FDF"/>
    <w:rsid w:val="002A1648"/>
    <w:rsid w:val="002A22ED"/>
    <w:rsid w:val="002A2842"/>
    <w:rsid w:val="002A286A"/>
    <w:rsid w:val="002A2B8B"/>
    <w:rsid w:val="002A2D57"/>
    <w:rsid w:val="002A2F15"/>
    <w:rsid w:val="002A354D"/>
    <w:rsid w:val="002A36A2"/>
    <w:rsid w:val="002A3FA9"/>
    <w:rsid w:val="002A4AEE"/>
    <w:rsid w:val="002A55EF"/>
    <w:rsid w:val="002A5A50"/>
    <w:rsid w:val="002A5A6A"/>
    <w:rsid w:val="002A60EB"/>
    <w:rsid w:val="002B0094"/>
    <w:rsid w:val="002B07F6"/>
    <w:rsid w:val="002B1022"/>
    <w:rsid w:val="002B10D6"/>
    <w:rsid w:val="002B1306"/>
    <w:rsid w:val="002B1562"/>
    <w:rsid w:val="002B1803"/>
    <w:rsid w:val="002B1BDC"/>
    <w:rsid w:val="002B2701"/>
    <w:rsid w:val="002B27A0"/>
    <w:rsid w:val="002B3520"/>
    <w:rsid w:val="002B4640"/>
    <w:rsid w:val="002B4AAE"/>
    <w:rsid w:val="002B5442"/>
    <w:rsid w:val="002B5711"/>
    <w:rsid w:val="002B5FBE"/>
    <w:rsid w:val="002B61CA"/>
    <w:rsid w:val="002B6252"/>
    <w:rsid w:val="002B6471"/>
    <w:rsid w:val="002B6AE5"/>
    <w:rsid w:val="002B7EAE"/>
    <w:rsid w:val="002C01C6"/>
    <w:rsid w:val="002C0BB1"/>
    <w:rsid w:val="002C1231"/>
    <w:rsid w:val="002C1666"/>
    <w:rsid w:val="002C19D1"/>
    <w:rsid w:val="002C23FE"/>
    <w:rsid w:val="002C2641"/>
    <w:rsid w:val="002C2B63"/>
    <w:rsid w:val="002C2F0B"/>
    <w:rsid w:val="002C3302"/>
    <w:rsid w:val="002C3594"/>
    <w:rsid w:val="002C37B6"/>
    <w:rsid w:val="002C4499"/>
    <w:rsid w:val="002C44BB"/>
    <w:rsid w:val="002C4BD9"/>
    <w:rsid w:val="002C588D"/>
    <w:rsid w:val="002C58F2"/>
    <w:rsid w:val="002C5CCB"/>
    <w:rsid w:val="002C66CA"/>
    <w:rsid w:val="002C6BE1"/>
    <w:rsid w:val="002C75F3"/>
    <w:rsid w:val="002C7C74"/>
    <w:rsid w:val="002D1379"/>
    <w:rsid w:val="002D1D32"/>
    <w:rsid w:val="002D21B4"/>
    <w:rsid w:val="002D2DB3"/>
    <w:rsid w:val="002D4EBD"/>
    <w:rsid w:val="002D548A"/>
    <w:rsid w:val="002D5E81"/>
    <w:rsid w:val="002D5F9C"/>
    <w:rsid w:val="002D6023"/>
    <w:rsid w:val="002D61B5"/>
    <w:rsid w:val="002D6BC1"/>
    <w:rsid w:val="002D6F12"/>
    <w:rsid w:val="002D7D2F"/>
    <w:rsid w:val="002E0377"/>
    <w:rsid w:val="002E093D"/>
    <w:rsid w:val="002E1164"/>
    <w:rsid w:val="002E184C"/>
    <w:rsid w:val="002E1CAB"/>
    <w:rsid w:val="002E1E13"/>
    <w:rsid w:val="002E2977"/>
    <w:rsid w:val="002E29A0"/>
    <w:rsid w:val="002E2A2F"/>
    <w:rsid w:val="002E2AD2"/>
    <w:rsid w:val="002E2EFB"/>
    <w:rsid w:val="002E3AC3"/>
    <w:rsid w:val="002E4648"/>
    <w:rsid w:val="002E50AA"/>
    <w:rsid w:val="002E50AB"/>
    <w:rsid w:val="002E59D1"/>
    <w:rsid w:val="002E5DD0"/>
    <w:rsid w:val="002E6373"/>
    <w:rsid w:val="002E667F"/>
    <w:rsid w:val="002E7E1E"/>
    <w:rsid w:val="002E7E41"/>
    <w:rsid w:val="002F03C5"/>
    <w:rsid w:val="002F0976"/>
    <w:rsid w:val="002F09FF"/>
    <w:rsid w:val="002F0A57"/>
    <w:rsid w:val="002F0AE7"/>
    <w:rsid w:val="002F18A5"/>
    <w:rsid w:val="002F19FF"/>
    <w:rsid w:val="002F2521"/>
    <w:rsid w:val="002F29BE"/>
    <w:rsid w:val="002F3C26"/>
    <w:rsid w:val="002F4639"/>
    <w:rsid w:val="002F4ED9"/>
    <w:rsid w:val="002F4FF2"/>
    <w:rsid w:val="002F5007"/>
    <w:rsid w:val="002F67B4"/>
    <w:rsid w:val="003003B1"/>
    <w:rsid w:val="003003FD"/>
    <w:rsid w:val="00300A5F"/>
    <w:rsid w:val="003018F7"/>
    <w:rsid w:val="00302D27"/>
    <w:rsid w:val="003032A8"/>
    <w:rsid w:val="00303750"/>
    <w:rsid w:val="003047F2"/>
    <w:rsid w:val="00304877"/>
    <w:rsid w:val="00304E7B"/>
    <w:rsid w:val="00305264"/>
    <w:rsid w:val="00305946"/>
    <w:rsid w:val="00306085"/>
    <w:rsid w:val="003063CB"/>
    <w:rsid w:val="00306895"/>
    <w:rsid w:val="00306BFA"/>
    <w:rsid w:val="0030733B"/>
    <w:rsid w:val="003075D4"/>
    <w:rsid w:val="00310551"/>
    <w:rsid w:val="00310C64"/>
    <w:rsid w:val="00311FCD"/>
    <w:rsid w:val="00312090"/>
    <w:rsid w:val="00312657"/>
    <w:rsid w:val="00312AB7"/>
    <w:rsid w:val="00312E02"/>
    <w:rsid w:val="00313BBA"/>
    <w:rsid w:val="00313D7F"/>
    <w:rsid w:val="00313E5B"/>
    <w:rsid w:val="00314709"/>
    <w:rsid w:val="00314D2F"/>
    <w:rsid w:val="003151A3"/>
    <w:rsid w:val="00315338"/>
    <w:rsid w:val="00315F48"/>
    <w:rsid w:val="00316BC2"/>
    <w:rsid w:val="00316E68"/>
    <w:rsid w:val="0031706E"/>
    <w:rsid w:val="003171AB"/>
    <w:rsid w:val="00317F25"/>
    <w:rsid w:val="0032029E"/>
    <w:rsid w:val="00320869"/>
    <w:rsid w:val="00320E06"/>
    <w:rsid w:val="0032133B"/>
    <w:rsid w:val="00321C25"/>
    <w:rsid w:val="00321F22"/>
    <w:rsid w:val="003220AA"/>
    <w:rsid w:val="00322417"/>
    <w:rsid w:val="00322558"/>
    <w:rsid w:val="00322855"/>
    <w:rsid w:val="00322F1E"/>
    <w:rsid w:val="003232BB"/>
    <w:rsid w:val="003235BC"/>
    <w:rsid w:val="0032372F"/>
    <w:rsid w:val="00324A7E"/>
    <w:rsid w:val="00324BFB"/>
    <w:rsid w:val="00324E22"/>
    <w:rsid w:val="003256A1"/>
    <w:rsid w:val="0032579F"/>
    <w:rsid w:val="003269D7"/>
    <w:rsid w:val="00326C0A"/>
    <w:rsid w:val="00327057"/>
    <w:rsid w:val="003279E4"/>
    <w:rsid w:val="00327B89"/>
    <w:rsid w:val="00330C0E"/>
    <w:rsid w:val="00331547"/>
    <w:rsid w:val="00331AE2"/>
    <w:rsid w:val="0033218D"/>
    <w:rsid w:val="003323A6"/>
    <w:rsid w:val="003324D4"/>
    <w:rsid w:val="003327F9"/>
    <w:rsid w:val="003333E8"/>
    <w:rsid w:val="003334A3"/>
    <w:rsid w:val="003334F5"/>
    <w:rsid w:val="00333E85"/>
    <w:rsid w:val="00334139"/>
    <w:rsid w:val="003343BD"/>
    <w:rsid w:val="00334F8D"/>
    <w:rsid w:val="00336BCB"/>
    <w:rsid w:val="00337599"/>
    <w:rsid w:val="00337B45"/>
    <w:rsid w:val="00340ACF"/>
    <w:rsid w:val="003419AD"/>
    <w:rsid w:val="00341D7C"/>
    <w:rsid w:val="003422AC"/>
    <w:rsid w:val="00342877"/>
    <w:rsid w:val="00342D9D"/>
    <w:rsid w:val="003436AC"/>
    <w:rsid w:val="00343711"/>
    <w:rsid w:val="00343BA6"/>
    <w:rsid w:val="00343BB5"/>
    <w:rsid w:val="00343FEC"/>
    <w:rsid w:val="003442DB"/>
    <w:rsid w:val="003443EA"/>
    <w:rsid w:val="00344A39"/>
    <w:rsid w:val="00344F34"/>
    <w:rsid w:val="00346409"/>
    <w:rsid w:val="00346F39"/>
    <w:rsid w:val="003479F9"/>
    <w:rsid w:val="00350272"/>
    <w:rsid w:val="003511B0"/>
    <w:rsid w:val="00351AEF"/>
    <w:rsid w:val="00353014"/>
    <w:rsid w:val="003532F2"/>
    <w:rsid w:val="003533C3"/>
    <w:rsid w:val="00354265"/>
    <w:rsid w:val="00354461"/>
    <w:rsid w:val="00354540"/>
    <w:rsid w:val="00354F4B"/>
    <w:rsid w:val="00355052"/>
    <w:rsid w:val="003561CC"/>
    <w:rsid w:val="00356BF3"/>
    <w:rsid w:val="00360230"/>
    <w:rsid w:val="00360454"/>
    <w:rsid w:val="0036078D"/>
    <w:rsid w:val="003617EC"/>
    <w:rsid w:val="00361ED5"/>
    <w:rsid w:val="00362069"/>
    <w:rsid w:val="003628A5"/>
    <w:rsid w:val="00362A33"/>
    <w:rsid w:val="00362D55"/>
    <w:rsid w:val="00362DE6"/>
    <w:rsid w:val="0036349A"/>
    <w:rsid w:val="00364070"/>
    <w:rsid w:val="00364864"/>
    <w:rsid w:val="00364AA3"/>
    <w:rsid w:val="003658A6"/>
    <w:rsid w:val="00365FB3"/>
    <w:rsid w:val="0036646E"/>
    <w:rsid w:val="00366866"/>
    <w:rsid w:val="003668FE"/>
    <w:rsid w:val="00366DAD"/>
    <w:rsid w:val="003704B5"/>
    <w:rsid w:val="003706F7"/>
    <w:rsid w:val="00370B9A"/>
    <w:rsid w:val="003713C4"/>
    <w:rsid w:val="003717ED"/>
    <w:rsid w:val="0037240F"/>
    <w:rsid w:val="0037259F"/>
    <w:rsid w:val="00372736"/>
    <w:rsid w:val="003727EA"/>
    <w:rsid w:val="00372D75"/>
    <w:rsid w:val="003736AC"/>
    <w:rsid w:val="003738BA"/>
    <w:rsid w:val="003746F3"/>
    <w:rsid w:val="00375565"/>
    <w:rsid w:val="00375A4E"/>
    <w:rsid w:val="003761D6"/>
    <w:rsid w:val="00376229"/>
    <w:rsid w:val="0037664E"/>
    <w:rsid w:val="00376AAE"/>
    <w:rsid w:val="00376E30"/>
    <w:rsid w:val="00376F25"/>
    <w:rsid w:val="00377718"/>
    <w:rsid w:val="003814EF"/>
    <w:rsid w:val="003817F0"/>
    <w:rsid w:val="0038220E"/>
    <w:rsid w:val="00382386"/>
    <w:rsid w:val="0038244C"/>
    <w:rsid w:val="00383324"/>
    <w:rsid w:val="003835FF"/>
    <w:rsid w:val="00383B7B"/>
    <w:rsid w:val="003846F1"/>
    <w:rsid w:val="00385915"/>
    <w:rsid w:val="003874D1"/>
    <w:rsid w:val="00387A3A"/>
    <w:rsid w:val="00387BD8"/>
    <w:rsid w:val="00390A5D"/>
    <w:rsid w:val="00390ADF"/>
    <w:rsid w:val="00391239"/>
    <w:rsid w:val="003914B0"/>
    <w:rsid w:val="00391B74"/>
    <w:rsid w:val="00392B72"/>
    <w:rsid w:val="00392BDE"/>
    <w:rsid w:val="0039308C"/>
    <w:rsid w:val="003934EC"/>
    <w:rsid w:val="00393A77"/>
    <w:rsid w:val="00394B72"/>
    <w:rsid w:val="00395A90"/>
    <w:rsid w:val="00395B38"/>
    <w:rsid w:val="00395DE7"/>
    <w:rsid w:val="00396FBE"/>
    <w:rsid w:val="0039784F"/>
    <w:rsid w:val="00397D08"/>
    <w:rsid w:val="003A0D64"/>
    <w:rsid w:val="003A194C"/>
    <w:rsid w:val="003A2403"/>
    <w:rsid w:val="003A31D3"/>
    <w:rsid w:val="003A325D"/>
    <w:rsid w:val="003A434C"/>
    <w:rsid w:val="003A452E"/>
    <w:rsid w:val="003A5089"/>
    <w:rsid w:val="003A6632"/>
    <w:rsid w:val="003A6B94"/>
    <w:rsid w:val="003A6D4E"/>
    <w:rsid w:val="003A7453"/>
    <w:rsid w:val="003B003B"/>
    <w:rsid w:val="003B0826"/>
    <w:rsid w:val="003B0E99"/>
    <w:rsid w:val="003B15D6"/>
    <w:rsid w:val="003B1879"/>
    <w:rsid w:val="003B1CB7"/>
    <w:rsid w:val="003B2024"/>
    <w:rsid w:val="003B292B"/>
    <w:rsid w:val="003B3336"/>
    <w:rsid w:val="003B4609"/>
    <w:rsid w:val="003B4B1D"/>
    <w:rsid w:val="003B50D0"/>
    <w:rsid w:val="003B534A"/>
    <w:rsid w:val="003B5787"/>
    <w:rsid w:val="003B7630"/>
    <w:rsid w:val="003C2018"/>
    <w:rsid w:val="003C21A9"/>
    <w:rsid w:val="003C22BB"/>
    <w:rsid w:val="003C2600"/>
    <w:rsid w:val="003C2817"/>
    <w:rsid w:val="003C2AA4"/>
    <w:rsid w:val="003C2E9F"/>
    <w:rsid w:val="003C3D33"/>
    <w:rsid w:val="003C4212"/>
    <w:rsid w:val="003C5693"/>
    <w:rsid w:val="003C5F8C"/>
    <w:rsid w:val="003C6097"/>
    <w:rsid w:val="003C60CA"/>
    <w:rsid w:val="003C6311"/>
    <w:rsid w:val="003C6E4F"/>
    <w:rsid w:val="003C78F7"/>
    <w:rsid w:val="003D005E"/>
    <w:rsid w:val="003D010F"/>
    <w:rsid w:val="003D02F9"/>
    <w:rsid w:val="003D07AB"/>
    <w:rsid w:val="003D1824"/>
    <w:rsid w:val="003D1A8E"/>
    <w:rsid w:val="003D1ACD"/>
    <w:rsid w:val="003D1E42"/>
    <w:rsid w:val="003D22C0"/>
    <w:rsid w:val="003D2342"/>
    <w:rsid w:val="003D4180"/>
    <w:rsid w:val="003D4D57"/>
    <w:rsid w:val="003D5541"/>
    <w:rsid w:val="003D586F"/>
    <w:rsid w:val="003D595E"/>
    <w:rsid w:val="003D5F36"/>
    <w:rsid w:val="003D71B5"/>
    <w:rsid w:val="003E161C"/>
    <w:rsid w:val="003E19D0"/>
    <w:rsid w:val="003E1A00"/>
    <w:rsid w:val="003E3479"/>
    <w:rsid w:val="003E34F2"/>
    <w:rsid w:val="003E623C"/>
    <w:rsid w:val="003E669A"/>
    <w:rsid w:val="003E6BBA"/>
    <w:rsid w:val="003E6D3D"/>
    <w:rsid w:val="003E70D6"/>
    <w:rsid w:val="003E77D8"/>
    <w:rsid w:val="003E7D2C"/>
    <w:rsid w:val="003F0374"/>
    <w:rsid w:val="003F0BBF"/>
    <w:rsid w:val="003F1B31"/>
    <w:rsid w:val="003F2387"/>
    <w:rsid w:val="003F3239"/>
    <w:rsid w:val="003F3FFE"/>
    <w:rsid w:val="003F4174"/>
    <w:rsid w:val="003F426A"/>
    <w:rsid w:val="003F427B"/>
    <w:rsid w:val="003F5481"/>
    <w:rsid w:val="003F6794"/>
    <w:rsid w:val="003F683E"/>
    <w:rsid w:val="003F692E"/>
    <w:rsid w:val="003F6FA2"/>
    <w:rsid w:val="003F79B3"/>
    <w:rsid w:val="00400382"/>
    <w:rsid w:val="0040099A"/>
    <w:rsid w:val="0040159A"/>
    <w:rsid w:val="00401ECB"/>
    <w:rsid w:val="00402DA2"/>
    <w:rsid w:val="004038A9"/>
    <w:rsid w:val="004047D6"/>
    <w:rsid w:val="00404F00"/>
    <w:rsid w:val="004051FE"/>
    <w:rsid w:val="00405F58"/>
    <w:rsid w:val="0040603B"/>
    <w:rsid w:val="00406C57"/>
    <w:rsid w:val="00406DF1"/>
    <w:rsid w:val="00407585"/>
    <w:rsid w:val="00407613"/>
    <w:rsid w:val="00410E61"/>
    <w:rsid w:val="0041118C"/>
    <w:rsid w:val="00411479"/>
    <w:rsid w:val="00412066"/>
    <w:rsid w:val="00412767"/>
    <w:rsid w:val="004127C7"/>
    <w:rsid w:val="00413957"/>
    <w:rsid w:val="00413A59"/>
    <w:rsid w:val="00414520"/>
    <w:rsid w:val="00414624"/>
    <w:rsid w:val="00414740"/>
    <w:rsid w:val="00414FE2"/>
    <w:rsid w:val="0041550B"/>
    <w:rsid w:val="00415540"/>
    <w:rsid w:val="00415AB3"/>
    <w:rsid w:val="00415B1C"/>
    <w:rsid w:val="00415C7E"/>
    <w:rsid w:val="00415D89"/>
    <w:rsid w:val="00416388"/>
    <w:rsid w:val="00416436"/>
    <w:rsid w:val="00416573"/>
    <w:rsid w:val="004166C2"/>
    <w:rsid w:val="00416FF9"/>
    <w:rsid w:val="004171E7"/>
    <w:rsid w:val="00417307"/>
    <w:rsid w:val="00417426"/>
    <w:rsid w:val="00417AF3"/>
    <w:rsid w:val="00417C5D"/>
    <w:rsid w:val="00417F2B"/>
    <w:rsid w:val="0042056A"/>
    <w:rsid w:val="00420B2F"/>
    <w:rsid w:val="00421B25"/>
    <w:rsid w:val="00421FD6"/>
    <w:rsid w:val="00422375"/>
    <w:rsid w:val="004230B0"/>
    <w:rsid w:val="004233DC"/>
    <w:rsid w:val="00423A0A"/>
    <w:rsid w:val="00423C14"/>
    <w:rsid w:val="00424126"/>
    <w:rsid w:val="004242C8"/>
    <w:rsid w:val="0042475F"/>
    <w:rsid w:val="004261B6"/>
    <w:rsid w:val="00426287"/>
    <w:rsid w:val="00426294"/>
    <w:rsid w:val="004264BD"/>
    <w:rsid w:val="00426AC4"/>
    <w:rsid w:val="00426F36"/>
    <w:rsid w:val="00427184"/>
    <w:rsid w:val="0043017A"/>
    <w:rsid w:val="00430E54"/>
    <w:rsid w:val="004314D6"/>
    <w:rsid w:val="00431FA6"/>
    <w:rsid w:val="00432187"/>
    <w:rsid w:val="004322CA"/>
    <w:rsid w:val="004325D5"/>
    <w:rsid w:val="00432613"/>
    <w:rsid w:val="00432AB4"/>
    <w:rsid w:val="00432BFB"/>
    <w:rsid w:val="004330DC"/>
    <w:rsid w:val="004342EB"/>
    <w:rsid w:val="0043434A"/>
    <w:rsid w:val="00434731"/>
    <w:rsid w:val="00435698"/>
    <w:rsid w:val="004357EC"/>
    <w:rsid w:val="00436FDC"/>
    <w:rsid w:val="00437058"/>
    <w:rsid w:val="00437D68"/>
    <w:rsid w:val="004404CB"/>
    <w:rsid w:val="00440A4F"/>
    <w:rsid w:val="00440DA7"/>
    <w:rsid w:val="00440FB7"/>
    <w:rsid w:val="0044127A"/>
    <w:rsid w:val="00441760"/>
    <w:rsid w:val="00441DAA"/>
    <w:rsid w:val="00441DC3"/>
    <w:rsid w:val="00441F63"/>
    <w:rsid w:val="0044247D"/>
    <w:rsid w:val="0044250A"/>
    <w:rsid w:val="00442A07"/>
    <w:rsid w:val="0044349F"/>
    <w:rsid w:val="00443690"/>
    <w:rsid w:val="00443EBC"/>
    <w:rsid w:val="004453BE"/>
    <w:rsid w:val="004458A2"/>
    <w:rsid w:val="00445D04"/>
    <w:rsid w:val="004468B8"/>
    <w:rsid w:val="00446A60"/>
    <w:rsid w:val="00446BC9"/>
    <w:rsid w:val="0044744C"/>
    <w:rsid w:val="00447496"/>
    <w:rsid w:val="004476D5"/>
    <w:rsid w:val="00450061"/>
    <w:rsid w:val="004503BD"/>
    <w:rsid w:val="004504C3"/>
    <w:rsid w:val="004504F4"/>
    <w:rsid w:val="004505C8"/>
    <w:rsid w:val="004506D7"/>
    <w:rsid w:val="00451859"/>
    <w:rsid w:val="00452396"/>
    <w:rsid w:val="00453420"/>
    <w:rsid w:val="00453F09"/>
    <w:rsid w:val="0045439E"/>
    <w:rsid w:val="004545A6"/>
    <w:rsid w:val="00454BB8"/>
    <w:rsid w:val="00455F15"/>
    <w:rsid w:val="004569D4"/>
    <w:rsid w:val="00456FF2"/>
    <w:rsid w:val="0045733D"/>
    <w:rsid w:val="0045754C"/>
    <w:rsid w:val="00457643"/>
    <w:rsid w:val="00460843"/>
    <w:rsid w:val="00460F97"/>
    <w:rsid w:val="004610DF"/>
    <w:rsid w:val="00461244"/>
    <w:rsid w:val="00461BA9"/>
    <w:rsid w:val="00462341"/>
    <w:rsid w:val="004625A4"/>
    <w:rsid w:val="0046389A"/>
    <w:rsid w:val="00463BE5"/>
    <w:rsid w:val="0046504A"/>
    <w:rsid w:val="00465A93"/>
    <w:rsid w:val="00465D42"/>
    <w:rsid w:val="00465DCB"/>
    <w:rsid w:val="004667CD"/>
    <w:rsid w:val="00466B18"/>
    <w:rsid w:val="00466E78"/>
    <w:rsid w:val="004673DF"/>
    <w:rsid w:val="00467EB4"/>
    <w:rsid w:val="00467F55"/>
    <w:rsid w:val="00470A2B"/>
    <w:rsid w:val="0047131C"/>
    <w:rsid w:val="00471394"/>
    <w:rsid w:val="0047311D"/>
    <w:rsid w:val="0047360C"/>
    <w:rsid w:val="0047374A"/>
    <w:rsid w:val="00474692"/>
    <w:rsid w:val="004749D4"/>
    <w:rsid w:val="00474D58"/>
    <w:rsid w:val="00474E25"/>
    <w:rsid w:val="004750A2"/>
    <w:rsid w:val="0047520A"/>
    <w:rsid w:val="00475336"/>
    <w:rsid w:val="00475CF2"/>
    <w:rsid w:val="00475E35"/>
    <w:rsid w:val="00476196"/>
    <w:rsid w:val="004762E2"/>
    <w:rsid w:val="00477747"/>
    <w:rsid w:val="00477C4B"/>
    <w:rsid w:val="004812CA"/>
    <w:rsid w:val="004813AD"/>
    <w:rsid w:val="00481C87"/>
    <w:rsid w:val="00481D3B"/>
    <w:rsid w:val="004827BB"/>
    <w:rsid w:val="004828E5"/>
    <w:rsid w:val="00482914"/>
    <w:rsid w:val="00482BF8"/>
    <w:rsid w:val="00483A27"/>
    <w:rsid w:val="00483C79"/>
    <w:rsid w:val="004843EE"/>
    <w:rsid w:val="00484760"/>
    <w:rsid w:val="004856E9"/>
    <w:rsid w:val="0048578E"/>
    <w:rsid w:val="00486004"/>
    <w:rsid w:val="0048633F"/>
    <w:rsid w:val="004868DF"/>
    <w:rsid w:val="00486D92"/>
    <w:rsid w:val="00487471"/>
    <w:rsid w:val="00487A22"/>
    <w:rsid w:val="00491033"/>
    <w:rsid w:val="00492CD1"/>
    <w:rsid w:val="00493149"/>
    <w:rsid w:val="004933F2"/>
    <w:rsid w:val="0049443B"/>
    <w:rsid w:val="00494A97"/>
    <w:rsid w:val="00495BB9"/>
    <w:rsid w:val="00495E2A"/>
    <w:rsid w:val="00496143"/>
    <w:rsid w:val="004966CF"/>
    <w:rsid w:val="0049683A"/>
    <w:rsid w:val="00496A52"/>
    <w:rsid w:val="00496CBE"/>
    <w:rsid w:val="00496E9E"/>
    <w:rsid w:val="0049796C"/>
    <w:rsid w:val="00497ADB"/>
    <w:rsid w:val="00497B4B"/>
    <w:rsid w:val="004A0C98"/>
    <w:rsid w:val="004A0E7C"/>
    <w:rsid w:val="004A20DD"/>
    <w:rsid w:val="004A27B6"/>
    <w:rsid w:val="004A2FCB"/>
    <w:rsid w:val="004A323E"/>
    <w:rsid w:val="004A350C"/>
    <w:rsid w:val="004A38E9"/>
    <w:rsid w:val="004A392E"/>
    <w:rsid w:val="004A3B74"/>
    <w:rsid w:val="004A4D4E"/>
    <w:rsid w:val="004A5153"/>
    <w:rsid w:val="004A589C"/>
    <w:rsid w:val="004A5B0F"/>
    <w:rsid w:val="004A5E88"/>
    <w:rsid w:val="004A65D9"/>
    <w:rsid w:val="004A6B1C"/>
    <w:rsid w:val="004A6DAC"/>
    <w:rsid w:val="004A703F"/>
    <w:rsid w:val="004A758B"/>
    <w:rsid w:val="004A7B1B"/>
    <w:rsid w:val="004B0081"/>
    <w:rsid w:val="004B0E0C"/>
    <w:rsid w:val="004B16CC"/>
    <w:rsid w:val="004B1C25"/>
    <w:rsid w:val="004B1D0B"/>
    <w:rsid w:val="004B1FFF"/>
    <w:rsid w:val="004B215A"/>
    <w:rsid w:val="004B258B"/>
    <w:rsid w:val="004B2FA8"/>
    <w:rsid w:val="004B32A9"/>
    <w:rsid w:val="004B3510"/>
    <w:rsid w:val="004B4ED0"/>
    <w:rsid w:val="004B6B2E"/>
    <w:rsid w:val="004B6EBC"/>
    <w:rsid w:val="004B7D54"/>
    <w:rsid w:val="004C1337"/>
    <w:rsid w:val="004C214A"/>
    <w:rsid w:val="004C259C"/>
    <w:rsid w:val="004C2E95"/>
    <w:rsid w:val="004C30AC"/>
    <w:rsid w:val="004C46F4"/>
    <w:rsid w:val="004C4883"/>
    <w:rsid w:val="004C4F13"/>
    <w:rsid w:val="004C4F1D"/>
    <w:rsid w:val="004C5892"/>
    <w:rsid w:val="004C597F"/>
    <w:rsid w:val="004C5EB7"/>
    <w:rsid w:val="004C6309"/>
    <w:rsid w:val="004C660E"/>
    <w:rsid w:val="004C6924"/>
    <w:rsid w:val="004C7252"/>
    <w:rsid w:val="004C77D0"/>
    <w:rsid w:val="004C7FB4"/>
    <w:rsid w:val="004D0FAA"/>
    <w:rsid w:val="004D1039"/>
    <w:rsid w:val="004D24B7"/>
    <w:rsid w:val="004D280C"/>
    <w:rsid w:val="004D2D7F"/>
    <w:rsid w:val="004D3147"/>
    <w:rsid w:val="004D3861"/>
    <w:rsid w:val="004D3C28"/>
    <w:rsid w:val="004D4284"/>
    <w:rsid w:val="004D4ACC"/>
    <w:rsid w:val="004D56E7"/>
    <w:rsid w:val="004D5983"/>
    <w:rsid w:val="004D6C84"/>
    <w:rsid w:val="004D6E51"/>
    <w:rsid w:val="004D7480"/>
    <w:rsid w:val="004D7942"/>
    <w:rsid w:val="004E0406"/>
    <w:rsid w:val="004E2334"/>
    <w:rsid w:val="004E27AB"/>
    <w:rsid w:val="004E2A45"/>
    <w:rsid w:val="004E2AF4"/>
    <w:rsid w:val="004E3A64"/>
    <w:rsid w:val="004E3FD7"/>
    <w:rsid w:val="004E40EC"/>
    <w:rsid w:val="004E5325"/>
    <w:rsid w:val="004E5A9B"/>
    <w:rsid w:val="004E5BA5"/>
    <w:rsid w:val="004E70B6"/>
    <w:rsid w:val="004E73FD"/>
    <w:rsid w:val="004E7414"/>
    <w:rsid w:val="004E7FAC"/>
    <w:rsid w:val="004F01AD"/>
    <w:rsid w:val="004F0C1B"/>
    <w:rsid w:val="004F1C6D"/>
    <w:rsid w:val="004F2408"/>
    <w:rsid w:val="004F24BA"/>
    <w:rsid w:val="004F24BC"/>
    <w:rsid w:val="004F2787"/>
    <w:rsid w:val="004F2E43"/>
    <w:rsid w:val="004F2F87"/>
    <w:rsid w:val="004F38DA"/>
    <w:rsid w:val="004F3A7B"/>
    <w:rsid w:val="004F3E90"/>
    <w:rsid w:val="004F43BD"/>
    <w:rsid w:val="004F47B2"/>
    <w:rsid w:val="004F498D"/>
    <w:rsid w:val="004F5C9F"/>
    <w:rsid w:val="004F61B3"/>
    <w:rsid w:val="004F7345"/>
    <w:rsid w:val="004F75EB"/>
    <w:rsid w:val="004F76A2"/>
    <w:rsid w:val="0050011D"/>
    <w:rsid w:val="005007F5"/>
    <w:rsid w:val="0050083A"/>
    <w:rsid w:val="00500E01"/>
    <w:rsid w:val="005034F2"/>
    <w:rsid w:val="0050351E"/>
    <w:rsid w:val="005038C9"/>
    <w:rsid w:val="005043BA"/>
    <w:rsid w:val="005046AB"/>
    <w:rsid w:val="00504F29"/>
    <w:rsid w:val="00505499"/>
    <w:rsid w:val="00506234"/>
    <w:rsid w:val="00506491"/>
    <w:rsid w:val="00506AA4"/>
    <w:rsid w:val="00506AFE"/>
    <w:rsid w:val="00507091"/>
    <w:rsid w:val="005076F7"/>
    <w:rsid w:val="0051000F"/>
    <w:rsid w:val="005105C6"/>
    <w:rsid w:val="005109EC"/>
    <w:rsid w:val="0051127D"/>
    <w:rsid w:val="0051138C"/>
    <w:rsid w:val="00511F84"/>
    <w:rsid w:val="005125A3"/>
    <w:rsid w:val="00512E05"/>
    <w:rsid w:val="00513724"/>
    <w:rsid w:val="00513868"/>
    <w:rsid w:val="00513A8B"/>
    <w:rsid w:val="00513E4A"/>
    <w:rsid w:val="005142D7"/>
    <w:rsid w:val="005144A4"/>
    <w:rsid w:val="005152CD"/>
    <w:rsid w:val="00515884"/>
    <w:rsid w:val="00515C1D"/>
    <w:rsid w:val="00516E6E"/>
    <w:rsid w:val="0051729D"/>
    <w:rsid w:val="005202A6"/>
    <w:rsid w:val="00520863"/>
    <w:rsid w:val="0052135B"/>
    <w:rsid w:val="005219BF"/>
    <w:rsid w:val="00521A80"/>
    <w:rsid w:val="00522094"/>
    <w:rsid w:val="00522505"/>
    <w:rsid w:val="00522E9F"/>
    <w:rsid w:val="0052402C"/>
    <w:rsid w:val="00524959"/>
    <w:rsid w:val="00524C7B"/>
    <w:rsid w:val="00524F51"/>
    <w:rsid w:val="00525227"/>
    <w:rsid w:val="005263C5"/>
    <w:rsid w:val="005263F9"/>
    <w:rsid w:val="0052657F"/>
    <w:rsid w:val="00526942"/>
    <w:rsid w:val="00526ED3"/>
    <w:rsid w:val="00527074"/>
    <w:rsid w:val="00530B31"/>
    <w:rsid w:val="00530C41"/>
    <w:rsid w:val="00530C9A"/>
    <w:rsid w:val="00530EB7"/>
    <w:rsid w:val="0053152B"/>
    <w:rsid w:val="005315E9"/>
    <w:rsid w:val="005315FF"/>
    <w:rsid w:val="005316AB"/>
    <w:rsid w:val="005322E6"/>
    <w:rsid w:val="00532518"/>
    <w:rsid w:val="00532561"/>
    <w:rsid w:val="005353AC"/>
    <w:rsid w:val="005354E5"/>
    <w:rsid w:val="00535571"/>
    <w:rsid w:val="00535E15"/>
    <w:rsid w:val="00535EE0"/>
    <w:rsid w:val="005362A0"/>
    <w:rsid w:val="00536894"/>
    <w:rsid w:val="00536DEF"/>
    <w:rsid w:val="00536EC1"/>
    <w:rsid w:val="00537274"/>
    <w:rsid w:val="005373BC"/>
    <w:rsid w:val="00537796"/>
    <w:rsid w:val="00540196"/>
    <w:rsid w:val="0054083D"/>
    <w:rsid w:val="00540C46"/>
    <w:rsid w:val="0054186F"/>
    <w:rsid w:val="00541C2E"/>
    <w:rsid w:val="00541F3F"/>
    <w:rsid w:val="0054232D"/>
    <w:rsid w:val="0054402E"/>
    <w:rsid w:val="00544F8F"/>
    <w:rsid w:val="00545669"/>
    <w:rsid w:val="0054613E"/>
    <w:rsid w:val="00546F3B"/>
    <w:rsid w:val="00550362"/>
    <w:rsid w:val="0055138A"/>
    <w:rsid w:val="0055296F"/>
    <w:rsid w:val="00552C75"/>
    <w:rsid w:val="00552E1F"/>
    <w:rsid w:val="00552FF9"/>
    <w:rsid w:val="00553A49"/>
    <w:rsid w:val="00553DB4"/>
    <w:rsid w:val="00554701"/>
    <w:rsid w:val="00555783"/>
    <w:rsid w:val="0055607E"/>
    <w:rsid w:val="005562EB"/>
    <w:rsid w:val="00556DBD"/>
    <w:rsid w:val="00556FC7"/>
    <w:rsid w:val="00557909"/>
    <w:rsid w:val="005579D8"/>
    <w:rsid w:val="005600AA"/>
    <w:rsid w:val="00561053"/>
    <w:rsid w:val="00561427"/>
    <w:rsid w:val="0056169F"/>
    <w:rsid w:val="00561E8F"/>
    <w:rsid w:val="00562958"/>
    <w:rsid w:val="00562A05"/>
    <w:rsid w:val="00562C7F"/>
    <w:rsid w:val="00562F2F"/>
    <w:rsid w:val="005631C2"/>
    <w:rsid w:val="005638C2"/>
    <w:rsid w:val="00564584"/>
    <w:rsid w:val="0056458C"/>
    <w:rsid w:val="005645BF"/>
    <w:rsid w:val="005647FC"/>
    <w:rsid w:val="00564F10"/>
    <w:rsid w:val="0056776C"/>
    <w:rsid w:val="00567DF0"/>
    <w:rsid w:val="00570415"/>
    <w:rsid w:val="005711D7"/>
    <w:rsid w:val="00571D84"/>
    <w:rsid w:val="005721DD"/>
    <w:rsid w:val="00572715"/>
    <w:rsid w:val="005730CA"/>
    <w:rsid w:val="00573DC3"/>
    <w:rsid w:val="005756A2"/>
    <w:rsid w:val="00575BED"/>
    <w:rsid w:val="005762D0"/>
    <w:rsid w:val="0057630A"/>
    <w:rsid w:val="005773AE"/>
    <w:rsid w:val="00577A3A"/>
    <w:rsid w:val="005801C9"/>
    <w:rsid w:val="005801E9"/>
    <w:rsid w:val="005801FE"/>
    <w:rsid w:val="00580590"/>
    <w:rsid w:val="00580D31"/>
    <w:rsid w:val="00580DC9"/>
    <w:rsid w:val="005812D6"/>
    <w:rsid w:val="005814C1"/>
    <w:rsid w:val="00581745"/>
    <w:rsid w:val="005820C3"/>
    <w:rsid w:val="00583686"/>
    <w:rsid w:val="005839E1"/>
    <w:rsid w:val="00583FE4"/>
    <w:rsid w:val="00583FF7"/>
    <w:rsid w:val="00584435"/>
    <w:rsid w:val="00585E0A"/>
    <w:rsid w:val="00585E63"/>
    <w:rsid w:val="00587DC6"/>
    <w:rsid w:val="0059102D"/>
    <w:rsid w:val="00591462"/>
    <w:rsid w:val="00591494"/>
    <w:rsid w:val="0059197F"/>
    <w:rsid w:val="00592ACB"/>
    <w:rsid w:val="00592DC8"/>
    <w:rsid w:val="00594E78"/>
    <w:rsid w:val="0059545A"/>
    <w:rsid w:val="005959A8"/>
    <w:rsid w:val="00595A78"/>
    <w:rsid w:val="00595A89"/>
    <w:rsid w:val="00595BB4"/>
    <w:rsid w:val="00596451"/>
    <w:rsid w:val="00596F1F"/>
    <w:rsid w:val="005979A8"/>
    <w:rsid w:val="00597B77"/>
    <w:rsid w:val="00597D79"/>
    <w:rsid w:val="005A0130"/>
    <w:rsid w:val="005A038C"/>
    <w:rsid w:val="005A0BEF"/>
    <w:rsid w:val="005A0F95"/>
    <w:rsid w:val="005A1570"/>
    <w:rsid w:val="005A1732"/>
    <w:rsid w:val="005A17DB"/>
    <w:rsid w:val="005A1C1C"/>
    <w:rsid w:val="005A21BE"/>
    <w:rsid w:val="005A2F2E"/>
    <w:rsid w:val="005A3114"/>
    <w:rsid w:val="005A381C"/>
    <w:rsid w:val="005A3921"/>
    <w:rsid w:val="005A3976"/>
    <w:rsid w:val="005A3F0E"/>
    <w:rsid w:val="005A48F2"/>
    <w:rsid w:val="005A5A87"/>
    <w:rsid w:val="005A6468"/>
    <w:rsid w:val="005A663A"/>
    <w:rsid w:val="005A70B3"/>
    <w:rsid w:val="005B07CD"/>
    <w:rsid w:val="005B1475"/>
    <w:rsid w:val="005B1504"/>
    <w:rsid w:val="005B18F2"/>
    <w:rsid w:val="005B28E1"/>
    <w:rsid w:val="005B3B15"/>
    <w:rsid w:val="005B4558"/>
    <w:rsid w:val="005B46E0"/>
    <w:rsid w:val="005B5FAF"/>
    <w:rsid w:val="005B64D3"/>
    <w:rsid w:val="005B6BBD"/>
    <w:rsid w:val="005B7891"/>
    <w:rsid w:val="005C035C"/>
    <w:rsid w:val="005C0A63"/>
    <w:rsid w:val="005C0B0B"/>
    <w:rsid w:val="005C0FB1"/>
    <w:rsid w:val="005C10DB"/>
    <w:rsid w:val="005C1FA6"/>
    <w:rsid w:val="005C22A2"/>
    <w:rsid w:val="005C2D3A"/>
    <w:rsid w:val="005C4195"/>
    <w:rsid w:val="005C4A00"/>
    <w:rsid w:val="005C4D56"/>
    <w:rsid w:val="005C5CCB"/>
    <w:rsid w:val="005C6308"/>
    <w:rsid w:val="005C689F"/>
    <w:rsid w:val="005D01A8"/>
    <w:rsid w:val="005D0280"/>
    <w:rsid w:val="005D0CC8"/>
    <w:rsid w:val="005D0DB9"/>
    <w:rsid w:val="005D18E6"/>
    <w:rsid w:val="005D2388"/>
    <w:rsid w:val="005D26CD"/>
    <w:rsid w:val="005D36B4"/>
    <w:rsid w:val="005D4CA8"/>
    <w:rsid w:val="005D4CBA"/>
    <w:rsid w:val="005D504B"/>
    <w:rsid w:val="005D5A0F"/>
    <w:rsid w:val="005D7119"/>
    <w:rsid w:val="005D7520"/>
    <w:rsid w:val="005D7A03"/>
    <w:rsid w:val="005D7FE0"/>
    <w:rsid w:val="005E073E"/>
    <w:rsid w:val="005E08C4"/>
    <w:rsid w:val="005E0BCE"/>
    <w:rsid w:val="005E0F3F"/>
    <w:rsid w:val="005E101A"/>
    <w:rsid w:val="005E12BB"/>
    <w:rsid w:val="005E20E9"/>
    <w:rsid w:val="005E28EA"/>
    <w:rsid w:val="005E3035"/>
    <w:rsid w:val="005E34BB"/>
    <w:rsid w:val="005E3C61"/>
    <w:rsid w:val="005E4A34"/>
    <w:rsid w:val="005E50D5"/>
    <w:rsid w:val="005E5321"/>
    <w:rsid w:val="005E6BBD"/>
    <w:rsid w:val="005E6F13"/>
    <w:rsid w:val="005E7298"/>
    <w:rsid w:val="005E7C82"/>
    <w:rsid w:val="005F02CB"/>
    <w:rsid w:val="005F0652"/>
    <w:rsid w:val="005F0F58"/>
    <w:rsid w:val="005F1241"/>
    <w:rsid w:val="005F1B55"/>
    <w:rsid w:val="005F22A9"/>
    <w:rsid w:val="005F297D"/>
    <w:rsid w:val="005F300F"/>
    <w:rsid w:val="005F3198"/>
    <w:rsid w:val="005F3446"/>
    <w:rsid w:val="005F3586"/>
    <w:rsid w:val="005F35EC"/>
    <w:rsid w:val="005F37A9"/>
    <w:rsid w:val="005F3FC2"/>
    <w:rsid w:val="005F4101"/>
    <w:rsid w:val="005F4BB1"/>
    <w:rsid w:val="005F5C4F"/>
    <w:rsid w:val="005F696D"/>
    <w:rsid w:val="005F772B"/>
    <w:rsid w:val="0060053C"/>
    <w:rsid w:val="00600C91"/>
    <w:rsid w:val="00600FEB"/>
    <w:rsid w:val="00601B18"/>
    <w:rsid w:val="00601C22"/>
    <w:rsid w:val="00601F34"/>
    <w:rsid w:val="006024D4"/>
    <w:rsid w:val="00602566"/>
    <w:rsid w:val="00602633"/>
    <w:rsid w:val="00602726"/>
    <w:rsid w:val="00602F3F"/>
    <w:rsid w:val="006039B2"/>
    <w:rsid w:val="00604396"/>
    <w:rsid w:val="00604F23"/>
    <w:rsid w:val="00604F71"/>
    <w:rsid w:val="00605D9F"/>
    <w:rsid w:val="00605E22"/>
    <w:rsid w:val="0060612D"/>
    <w:rsid w:val="00606592"/>
    <w:rsid w:val="006067A8"/>
    <w:rsid w:val="00606ACF"/>
    <w:rsid w:val="0061162B"/>
    <w:rsid w:val="0061253A"/>
    <w:rsid w:val="00613217"/>
    <w:rsid w:val="0061384A"/>
    <w:rsid w:val="00613D21"/>
    <w:rsid w:val="00614526"/>
    <w:rsid w:val="00616A50"/>
    <w:rsid w:val="00616AF8"/>
    <w:rsid w:val="00617A6D"/>
    <w:rsid w:val="00617C35"/>
    <w:rsid w:val="006204C3"/>
    <w:rsid w:val="006204E0"/>
    <w:rsid w:val="00620846"/>
    <w:rsid w:val="0062094C"/>
    <w:rsid w:val="006209D1"/>
    <w:rsid w:val="00620DFC"/>
    <w:rsid w:val="006211EA"/>
    <w:rsid w:val="00621284"/>
    <w:rsid w:val="00621739"/>
    <w:rsid w:val="006218D4"/>
    <w:rsid w:val="00621AB2"/>
    <w:rsid w:val="006227D1"/>
    <w:rsid w:val="006236A9"/>
    <w:rsid w:val="00624E02"/>
    <w:rsid w:val="00624FDD"/>
    <w:rsid w:val="00626355"/>
    <w:rsid w:val="00626673"/>
    <w:rsid w:val="00626BE7"/>
    <w:rsid w:val="006278CE"/>
    <w:rsid w:val="006278D6"/>
    <w:rsid w:val="00630130"/>
    <w:rsid w:val="0063024A"/>
    <w:rsid w:val="00630410"/>
    <w:rsid w:val="00630648"/>
    <w:rsid w:val="00631C2E"/>
    <w:rsid w:val="00631C87"/>
    <w:rsid w:val="00633548"/>
    <w:rsid w:val="00634474"/>
    <w:rsid w:val="00634665"/>
    <w:rsid w:val="00635DC9"/>
    <w:rsid w:val="00636A73"/>
    <w:rsid w:val="00637B83"/>
    <w:rsid w:val="00637C55"/>
    <w:rsid w:val="0064131A"/>
    <w:rsid w:val="00641370"/>
    <w:rsid w:val="006421D1"/>
    <w:rsid w:val="006436A0"/>
    <w:rsid w:val="006449E9"/>
    <w:rsid w:val="00644ACC"/>
    <w:rsid w:val="00644CA2"/>
    <w:rsid w:val="00644D06"/>
    <w:rsid w:val="00644ED3"/>
    <w:rsid w:val="00645294"/>
    <w:rsid w:val="00645CF7"/>
    <w:rsid w:val="00645E09"/>
    <w:rsid w:val="00646142"/>
    <w:rsid w:val="00646E89"/>
    <w:rsid w:val="00647076"/>
    <w:rsid w:val="0064770F"/>
    <w:rsid w:val="006510D4"/>
    <w:rsid w:val="00651194"/>
    <w:rsid w:val="00651EBA"/>
    <w:rsid w:val="006523CD"/>
    <w:rsid w:val="0065293D"/>
    <w:rsid w:val="00652DF0"/>
    <w:rsid w:val="006537E0"/>
    <w:rsid w:val="00653AF4"/>
    <w:rsid w:val="00653C69"/>
    <w:rsid w:val="00653CC9"/>
    <w:rsid w:val="006540B5"/>
    <w:rsid w:val="00654AF8"/>
    <w:rsid w:val="0065593C"/>
    <w:rsid w:val="00655A8B"/>
    <w:rsid w:val="00656584"/>
    <w:rsid w:val="0065691A"/>
    <w:rsid w:val="00657399"/>
    <w:rsid w:val="00657F82"/>
    <w:rsid w:val="00661656"/>
    <w:rsid w:val="00661684"/>
    <w:rsid w:val="00662995"/>
    <w:rsid w:val="006629FD"/>
    <w:rsid w:val="006630DB"/>
    <w:rsid w:val="006630F5"/>
    <w:rsid w:val="00663ED6"/>
    <w:rsid w:val="006656C5"/>
    <w:rsid w:val="00666317"/>
    <w:rsid w:val="00666872"/>
    <w:rsid w:val="006670D8"/>
    <w:rsid w:val="00667A98"/>
    <w:rsid w:val="006722D2"/>
    <w:rsid w:val="00672B7C"/>
    <w:rsid w:val="00672F07"/>
    <w:rsid w:val="006730B8"/>
    <w:rsid w:val="00673349"/>
    <w:rsid w:val="006745F1"/>
    <w:rsid w:val="006762AF"/>
    <w:rsid w:val="00677074"/>
    <w:rsid w:val="006770FE"/>
    <w:rsid w:val="00680A4C"/>
    <w:rsid w:val="00681E90"/>
    <w:rsid w:val="0068209F"/>
    <w:rsid w:val="00682772"/>
    <w:rsid w:val="00682B21"/>
    <w:rsid w:val="00683526"/>
    <w:rsid w:val="00684E61"/>
    <w:rsid w:val="0068525F"/>
    <w:rsid w:val="006852AD"/>
    <w:rsid w:val="00686519"/>
    <w:rsid w:val="00686B44"/>
    <w:rsid w:val="00686B7A"/>
    <w:rsid w:val="00686DF3"/>
    <w:rsid w:val="00687091"/>
    <w:rsid w:val="00687880"/>
    <w:rsid w:val="00687C4F"/>
    <w:rsid w:val="0069030F"/>
    <w:rsid w:val="0069032A"/>
    <w:rsid w:val="00690FC2"/>
    <w:rsid w:val="00691067"/>
    <w:rsid w:val="00691C9C"/>
    <w:rsid w:val="00692E27"/>
    <w:rsid w:val="00693687"/>
    <w:rsid w:val="0069395C"/>
    <w:rsid w:val="00694472"/>
    <w:rsid w:val="006946E5"/>
    <w:rsid w:val="0069496A"/>
    <w:rsid w:val="00694C48"/>
    <w:rsid w:val="00695518"/>
    <w:rsid w:val="00695941"/>
    <w:rsid w:val="00695AA3"/>
    <w:rsid w:val="00696E25"/>
    <w:rsid w:val="0069755A"/>
    <w:rsid w:val="00697762"/>
    <w:rsid w:val="00697B9D"/>
    <w:rsid w:val="00697E8F"/>
    <w:rsid w:val="006A0107"/>
    <w:rsid w:val="006A040B"/>
    <w:rsid w:val="006A0AA1"/>
    <w:rsid w:val="006A0B05"/>
    <w:rsid w:val="006A11DC"/>
    <w:rsid w:val="006A1F07"/>
    <w:rsid w:val="006A26CE"/>
    <w:rsid w:val="006A26D8"/>
    <w:rsid w:val="006A283E"/>
    <w:rsid w:val="006A2FBE"/>
    <w:rsid w:val="006A36F2"/>
    <w:rsid w:val="006A39C2"/>
    <w:rsid w:val="006A3A3A"/>
    <w:rsid w:val="006A44FB"/>
    <w:rsid w:val="006A51CD"/>
    <w:rsid w:val="006A5456"/>
    <w:rsid w:val="006A5702"/>
    <w:rsid w:val="006A5798"/>
    <w:rsid w:val="006A5A05"/>
    <w:rsid w:val="006A5D02"/>
    <w:rsid w:val="006A639E"/>
    <w:rsid w:val="006A65BE"/>
    <w:rsid w:val="006A6C06"/>
    <w:rsid w:val="006A6E96"/>
    <w:rsid w:val="006A7146"/>
    <w:rsid w:val="006A735B"/>
    <w:rsid w:val="006A7809"/>
    <w:rsid w:val="006A7A5D"/>
    <w:rsid w:val="006A7AEC"/>
    <w:rsid w:val="006A7C4E"/>
    <w:rsid w:val="006B0ADD"/>
    <w:rsid w:val="006B129D"/>
    <w:rsid w:val="006B1D65"/>
    <w:rsid w:val="006B2DA6"/>
    <w:rsid w:val="006B41F0"/>
    <w:rsid w:val="006B4574"/>
    <w:rsid w:val="006B4834"/>
    <w:rsid w:val="006B6223"/>
    <w:rsid w:val="006B6604"/>
    <w:rsid w:val="006B758F"/>
    <w:rsid w:val="006C04DE"/>
    <w:rsid w:val="006C0A77"/>
    <w:rsid w:val="006C1EBD"/>
    <w:rsid w:val="006C2153"/>
    <w:rsid w:val="006C23BF"/>
    <w:rsid w:val="006C28E6"/>
    <w:rsid w:val="006C2ECE"/>
    <w:rsid w:val="006C42CE"/>
    <w:rsid w:val="006C46E2"/>
    <w:rsid w:val="006C519A"/>
    <w:rsid w:val="006C6094"/>
    <w:rsid w:val="006C62A4"/>
    <w:rsid w:val="006C7394"/>
    <w:rsid w:val="006C7416"/>
    <w:rsid w:val="006C7570"/>
    <w:rsid w:val="006D118E"/>
    <w:rsid w:val="006D141E"/>
    <w:rsid w:val="006D147D"/>
    <w:rsid w:val="006D1A2B"/>
    <w:rsid w:val="006D1CE0"/>
    <w:rsid w:val="006D2E01"/>
    <w:rsid w:val="006D2E79"/>
    <w:rsid w:val="006D30D9"/>
    <w:rsid w:val="006D3219"/>
    <w:rsid w:val="006D35A3"/>
    <w:rsid w:val="006D4012"/>
    <w:rsid w:val="006D4A3C"/>
    <w:rsid w:val="006D4DB0"/>
    <w:rsid w:val="006D504F"/>
    <w:rsid w:val="006D580C"/>
    <w:rsid w:val="006D5B9C"/>
    <w:rsid w:val="006D5E1A"/>
    <w:rsid w:val="006D69DB"/>
    <w:rsid w:val="006D6BBC"/>
    <w:rsid w:val="006D6C7B"/>
    <w:rsid w:val="006D6DA8"/>
    <w:rsid w:val="006D788B"/>
    <w:rsid w:val="006D7F05"/>
    <w:rsid w:val="006E0299"/>
    <w:rsid w:val="006E0548"/>
    <w:rsid w:val="006E068E"/>
    <w:rsid w:val="006E0A71"/>
    <w:rsid w:val="006E155E"/>
    <w:rsid w:val="006E18ED"/>
    <w:rsid w:val="006E1CCD"/>
    <w:rsid w:val="006E1E5D"/>
    <w:rsid w:val="006E2B03"/>
    <w:rsid w:val="006E2F81"/>
    <w:rsid w:val="006E3C76"/>
    <w:rsid w:val="006E4B28"/>
    <w:rsid w:val="006E5663"/>
    <w:rsid w:val="006E581B"/>
    <w:rsid w:val="006E5E86"/>
    <w:rsid w:val="006E66AF"/>
    <w:rsid w:val="006E6A92"/>
    <w:rsid w:val="006E6F7A"/>
    <w:rsid w:val="006E740C"/>
    <w:rsid w:val="006E7BA0"/>
    <w:rsid w:val="006F02F7"/>
    <w:rsid w:val="006F1199"/>
    <w:rsid w:val="006F2251"/>
    <w:rsid w:val="006F2F31"/>
    <w:rsid w:val="006F3028"/>
    <w:rsid w:val="006F4941"/>
    <w:rsid w:val="006F49B1"/>
    <w:rsid w:val="006F5458"/>
    <w:rsid w:val="006F5A89"/>
    <w:rsid w:val="006F5BA3"/>
    <w:rsid w:val="006F5DAD"/>
    <w:rsid w:val="006F606E"/>
    <w:rsid w:val="006F6072"/>
    <w:rsid w:val="006F60F6"/>
    <w:rsid w:val="006F6507"/>
    <w:rsid w:val="006F6C86"/>
    <w:rsid w:val="006F6D0D"/>
    <w:rsid w:val="006F6DEB"/>
    <w:rsid w:val="006F7BE7"/>
    <w:rsid w:val="00700785"/>
    <w:rsid w:val="00700881"/>
    <w:rsid w:val="0070231A"/>
    <w:rsid w:val="00702B52"/>
    <w:rsid w:val="0070308F"/>
    <w:rsid w:val="007030D5"/>
    <w:rsid w:val="007038B3"/>
    <w:rsid w:val="007051C9"/>
    <w:rsid w:val="00705397"/>
    <w:rsid w:val="0070539E"/>
    <w:rsid w:val="0070585F"/>
    <w:rsid w:val="00705978"/>
    <w:rsid w:val="00705ECD"/>
    <w:rsid w:val="0070655F"/>
    <w:rsid w:val="00706598"/>
    <w:rsid w:val="00707136"/>
    <w:rsid w:val="007072D5"/>
    <w:rsid w:val="00707C43"/>
    <w:rsid w:val="0071032A"/>
    <w:rsid w:val="00710A99"/>
    <w:rsid w:val="00711406"/>
    <w:rsid w:val="0071189B"/>
    <w:rsid w:val="00712717"/>
    <w:rsid w:val="00712B87"/>
    <w:rsid w:val="00712CF4"/>
    <w:rsid w:val="00712CFE"/>
    <w:rsid w:val="00712E33"/>
    <w:rsid w:val="00712E35"/>
    <w:rsid w:val="00713C30"/>
    <w:rsid w:val="007146C2"/>
    <w:rsid w:val="0071515A"/>
    <w:rsid w:val="00715C62"/>
    <w:rsid w:val="0071656A"/>
    <w:rsid w:val="0071696F"/>
    <w:rsid w:val="007170BB"/>
    <w:rsid w:val="00720231"/>
    <w:rsid w:val="007205C2"/>
    <w:rsid w:val="00721075"/>
    <w:rsid w:val="0072134B"/>
    <w:rsid w:val="00721EBB"/>
    <w:rsid w:val="00722351"/>
    <w:rsid w:val="00722469"/>
    <w:rsid w:val="0072263C"/>
    <w:rsid w:val="00722ADD"/>
    <w:rsid w:val="007234C9"/>
    <w:rsid w:val="007250B0"/>
    <w:rsid w:val="00725218"/>
    <w:rsid w:val="00725DCB"/>
    <w:rsid w:val="007269E5"/>
    <w:rsid w:val="00726DA4"/>
    <w:rsid w:val="00726DF4"/>
    <w:rsid w:val="00727393"/>
    <w:rsid w:val="007309DA"/>
    <w:rsid w:val="00730C43"/>
    <w:rsid w:val="00730FEB"/>
    <w:rsid w:val="0073144B"/>
    <w:rsid w:val="00731B6F"/>
    <w:rsid w:val="00732521"/>
    <w:rsid w:val="00732EBF"/>
    <w:rsid w:val="0073422F"/>
    <w:rsid w:val="00734461"/>
    <w:rsid w:val="00734713"/>
    <w:rsid w:val="00734742"/>
    <w:rsid w:val="00734C6E"/>
    <w:rsid w:val="00735675"/>
    <w:rsid w:val="007356BD"/>
    <w:rsid w:val="00735A16"/>
    <w:rsid w:val="00735BA6"/>
    <w:rsid w:val="0073602A"/>
    <w:rsid w:val="00736222"/>
    <w:rsid w:val="00736F34"/>
    <w:rsid w:val="007371FD"/>
    <w:rsid w:val="00740151"/>
    <w:rsid w:val="00740B63"/>
    <w:rsid w:val="00741F77"/>
    <w:rsid w:val="00743241"/>
    <w:rsid w:val="0074480A"/>
    <w:rsid w:val="00744B09"/>
    <w:rsid w:val="00744CB0"/>
    <w:rsid w:val="00745BFB"/>
    <w:rsid w:val="00745F32"/>
    <w:rsid w:val="00746B3E"/>
    <w:rsid w:val="00746C5F"/>
    <w:rsid w:val="00747469"/>
    <w:rsid w:val="00747948"/>
    <w:rsid w:val="00750DC5"/>
    <w:rsid w:val="007517D6"/>
    <w:rsid w:val="007520DF"/>
    <w:rsid w:val="00752521"/>
    <w:rsid w:val="00754722"/>
    <w:rsid w:val="007550A1"/>
    <w:rsid w:val="007559E1"/>
    <w:rsid w:val="00755C11"/>
    <w:rsid w:val="00756023"/>
    <w:rsid w:val="0075670F"/>
    <w:rsid w:val="00756D3B"/>
    <w:rsid w:val="00756DC9"/>
    <w:rsid w:val="00756E3D"/>
    <w:rsid w:val="00757758"/>
    <w:rsid w:val="00757B5C"/>
    <w:rsid w:val="00761D4D"/>
    <w:rsid w:val="00762637"/>
    <w:rsid w:val="00762A87"/>
    <w:rsid w:val="00762C28"/>
    <w:rsid w:val="00763019"/>
    <w:rsid w:val="00763225"/>
    <w:rsid w:val="00763599"/>
    <w:rsid w:val="0076452A"/>
    <w:rsid w:val="007645CE"/>
    <w:rsid w:val="007657BF"/>
    <w:rsid w:val="00765DDA"/>
    <w:rsid w:val="0076616F"/>
    <w:rsid w:val="007667F2"/>
    <w:rsid w:val="00766FC6"/>
    <w:rsid w:val="0076754C"/>
    <w:rsid w:val="00767BB6"/>
    <w:rsid w:val="00767D2A"/>
    <w:rsid w:val="007712E7"/>
    <w:rsid w:val="007715C1"/>
    <w:rsid w:val="0077298F"/>
    <w:rsid w:val="007735B6"/>
    <w:rsid w:val="00773D0A"/>
    <w:rsid w:val="00774C69"/>
    <w:rsid w:val="00774EA5"/>
    <w:rsid w:val="007755B3"/>
    <w:rsid w:val="00775795"/>
    <w:rsid w:val="007760D8"/>
    <w:rsid w:val="007767C0"/>
    <w:rsid w:val="00776936"/>
    <w:rsid w:val="0077693D"/>
    <w:rsid w:val="0077763F"/>
    <w:rsid w:val="007776C2"/>
    <w:rsid w:val="00777A08"/>
    <w:rsid w:val="00780559"/>
    <w:rsid w:val="00780EAC"/>
    <w:rsid w:val="0078123B"/>
    <w:rsid w:val="0078183E"/>
    <w:rsid w:val="00781D26"/>
    <w:rsid w:val="00782B1B"/>
    <w:rsid w:val="00783A9E"/>
    <w:rsid w:val="007845DA"/>
    <w:rsid w:val="007849C9"/>
    <w:rsid w:val="00784CB3"/>
    <w:rsid w:val="00785568"/>
    <w:rsid w:val="00785857"/>
    <w:rsid w:val="007859BB"/>
    <w:rsid w:val="00785BE7"/>
    <w:rsid w:val="007861A4"/>
    <w:rsid w:val="00786A32"/>
    <w:rsid w:val="00786F3C"/>
    <w:rsid w:val="0078779A"/>
    <w:rsid w:val="00787CB9"/>
    <w:rsid w:val="00790150"/>
    <w:rsid w:val="00790F9D"/>
    <w:rsid w:val="007910AF"/>
    <w:rsid w:val="00791248"/>
    <w:rsid w:val="00791540"/>
    <w:rsid w:val="00791770"/>
    <w:rsid w:val="00791A13"/>
    <w:rsid w:val="00791B0D"/>
    <w:rsid w:val="0079219B"/>
    <w:rsid w:val="00792A0A"/>
    <w:rsid w:val="00793341"/>
    <w:rsid w:val="00793476"/>
    <w:rsid w:val="00793554"/>
    <w:rsid w:val="007937BF"/>
    <w:rsid w:val="00793AC7"/>
    <w:rsid w:val="00793F43"/>
    <w:rsid w:val="007950D6"/>
    <w:rsid w:val="00795C53"/>
    <w:rsid w:val="00796846"/>
    <w:rsid w:val="00796883"/>
    <w:rsid w:val="00797092"/>
    <w:rsid w:val="007971C8"/>
    <w:rsid w:val="00797385"/>
    <w:rsid w:val="007975C4"/>
    <w:rsid w:val="00797767"/>
    <w:rsid w:val="00797802"/>
    <w:rsid w:val="00797FE2"/>
    <w:rsid w:val="007A1F71"/>
    <w:rsid w:val="007A2434"/>
    <w:rsid w:val="007A3466"/>
    <w:rsid w:val="007A3491"/>
    <w:rsid w:val="007A47E7"/>
    <w:rsid w:val="007A52CC"/>
    <w:rsid w:val="007A5EFF"/>
    <w:rsid w:val="007A69C0"/>
    <w:rsid w:val="007A6B51"/>
    <w:rsid w:val="007A71B5"/>
    <w:rsid w:val="007A7BCA"/>
    <w:rsid w:val="007B1999"/>
    <w:rsid w:val="007B202B"/>
    <w:rsid w:val="007B2E21"/>
    <w:rsid w:val="007B4C70"/>
    <w:rsid w:val="007B4E93"/>
    <w:rsid w:val="007B4EE0"/>
    <w:rsid w:val="007B4FDC"/>
    <w:rsid w:val="007B5406"/>
    <w:rsid w:val="007B602D"/>
    <w:rsid w:val="007B655B"/>
    <w:rsid w:val="007B6920"/>
    <w:rsid w:val="007B6C34"/>
    <w:rsid w:val="007C01CF"/>
    <w:rsid w:val="007C08B1"/>
    <w:rsid w:val="007C1208"/>
    <w:rsid w:val="007C22DF"/>
    <w:rsid w:val="007C24F8"/>
    <w:rsid w:val="007C27E5"/>
    <w:rsid w:val="007C2C7C"/>
    <w:rsid w:val="007C2E47"/>
    <w:rsid w:val="007C35FA"/>
    <w:rsid w:val="007C38CB"/>
    <w:rsid w:val="007C3EFB"/>
    <w:rsid w:val="007C49F1"/>
    <w:rsid w:val="007C4E48"/>
    <w:rsid w:val="007C58D7"/>
    <w:rsid w:val="007C5AD4"/>
    <w:rsid w:val="007C6974"/>
    <w:rsid w:val="007C7635"/>
    <w:rsid w:val="007C79EE"/>
    <w:rsid w:val="007C7CB1"/>
    <w:rsid w:val="007C7E99"/>
    <w:rsid w:val="007D086A"/>
    <w:rsid w:val="007D09EF"/>
    <w:rsid w:val="007D2128"/>
    <w:rsid w:val="007D256D"/>
    <w:rsid w:val="007D2919"/>
    <w:rsid w:val="007D3923"/>
    <w:rsid w:val="007D473F"/>
    <w:rsid w:val="007D4764"/>
    <w:rsid w:val="007D4AEF"/>
    <w:rsid w:val="007D577F"/>
    <w:rsid w:val="007D586E"/>
    <w:rsid w:val="007D5E25"/>
    <w:rsid w:val="007D6A92"/>
    <w:rsid w:val="007D71ED"/>
    <w:rsid w:val="007D7D76"/>
    <w:rsid w:val="007E0C68"/>
    <w:rsid w:val="007E0CB7"/>
    <w:rsid w:val="007E1571"/>
    <w:rsid w:val="007E159B"/>
    <w:rsid w:val="007E27DC"/>
    <w:rsid w:val="007E2F88"/>
    <w:rsid w:val="007E2FE9"/>
    <w:rsid w:val="007E37F8"/>
    <w:rsid w:val="007E3903"/>
    <w:rsid w:val="007E40CD"/>
    <w:rsid w:val="007E460D"/>
    <w:rsid w:val="007E4E7E"/>
    <w:rsid w:val="007E5217"/>
    <w:rsid w:val="007E61F6"/>
    <w:rsid w:val="007E69CA"/>
    <w:rsid w:val="007E69E1"/>
    <w:rsid w:val="007E6A9D"/>
    <w:rsid w:val="007E6E56"/>
    <w:rsid w:val="007E6EC4"/>
    <w:rsid w:val="007E786B"/>
    <w:rsid w:val="007E7FCF"/>
    <w:rsid w:val="007F0416"/>
    <w:rsid w:val="007F0DC6"/>
    <w:rsid w:val="007F1AFE"/>
    <w:rsid w:val="007F1BC5"/>
    <w:rsid w:val="007F1DD1"/>
    <w:rsid w:val="007F23BC"/>
    <w:rsid w:val="007F312C"/>
    <w:rsid w:val="007F320D"/>
    <w:rsid w:val="007F3570"/>
    <w:rsid w:val="007F36C1"/>
    <w:rsid w:val="007F3883"/>
    <w:rsid w:val="007F4F91"/>
    <w:rsid w:val="007F5158"/>
    <w:rsid w:val="007F58C9"/>
    <w:rsid w:val="007F5EDE"/>
    <w:rsid w:val="007F6069"/>
    <w:rsid w:val="007F6387"/>
    <w:rsid w:val="007F7050"/>
    <w:rsid w:val="007F7246"/>
    <w:rsid w:val="007F74DC"/>
    <w:rsid w:val="007F7A05"/>
    <w:rsid w:val="008015C6"/>
    <w:rsid w:val="00801714"/>
    <w:rsid w:val="00802A9E"/>
    <w:rsid w:val="00802B5E"/>
    <w:rsid w:val="00802BFD"/>
    <w:rsid w:val="00802DC8"/>
    <w:rsid w:val="008043AC"/>
    <w:rsid w:val="00804912"/>
    <w:rsid w:val="00804C88"/>
    <w:rsid w:val="0080507D"/>
    <w:rsid w:val="00806848"/>
    <w:rsid w:val="00807090"/>
    <w:rsid w:val="00807364"/>
    <w:rsid w:val="00807776"/>
    <w:rsid w:val="00807A84"/>
    <w:rsid w:val="00807BDE"/>
    <w:rsid w:val="00810C39"/>
    <w:rsid w:val="00810D0B"/>
    <w:rsid w:val="008114F3"/>
    <w:rsid w:val="0081168E"/>
    <w:rsid w:val="008118C7"/>
    <w:rsid w:val="008121A7"/>
    <w:rsid w:val="00812A17"/>
    <w:rsid w:val="00813518"/>
    <w:rsid w:val="0081365F"/>
    <w:rsid w:val="00813A3D"/>
    <w:rsid w:val="00813E14"/>
    <w:rsid w:val="008141FE"/>
    <w:rsid w:val="008144DA"/>
    <w:rsid w:val="008152F7"/>
    <w:rsid w:val="0081751C"/>
    <w:rsid w:val="00820717"/>
    <w:rsid w:val="00820A38"/>
    <w:rsid w:val="00822588"/>
    <w:rsid w:val="00822846"/>
    <w:rsid w:val="00823267"/>
    <w:rsid w:val="00823873"/>
    <w:rsid w:val="00824384"/>
    <w:rsid w:val="00824D78"/>
    <w:rsid w:val="00824DD1"/>
    <w:rsid w:val="00826A1C"/>
    <w:rsid w:val="00826C46"/>
    <w:rsid w:val="00827F02"/>
    <w:rsid w:val="008301BA"/>
    <w:rsid w:val="00830AAE"/>
    <w:rsid w:val="00830E15"/>
    <w:rsid w:val="008314F5"/>
    <w:rsid w:val="00831A13"/>
    <w:rsid w:val="008324F4"/>
    <w:rsid w:val="00832BA1"/>
    <w:rsid w:val="00832E48"/>
    <w:rsid w:val="00833255"/>
    <w:rsid w:val="00833339"/>
    <w:rsid w:val="00833780"/>
    <w:rsid w:val="00833BDB"/>
    <w:rsid w:val="00833CBA"/>
    <w:rsid w:val="00833CC8"/>
    <w:rsid w:val="00833F5D"/>
    <w:rsid w:val="00834DB4"/>
    <w:rsid w:val="00835700"/>
    <w:rsid w:val="00835C66"/>
    <w:rsid w:val="00835D7B"/>
    <w:rsid w:val="008366A1"/>
    <w:rsid w:val="0083741C"/>
    <w:rsid w:val="00837BBA"/>
    <w:rsid w:val="00837C38"/>
    <w:rsid w:val="0084150A"/>
    <w:rsid w:val="0084205A"/>
    <w:rsid w:val="00842383"/>
    <w:rsid w:val="008428F0"/>
    <w:rsid w:val="00844180"/>
    <w:rsid w:val="0084418D"/>
    <w:rsid w:val="0084443B"/>
    <w:rsid w:val="008453C9"/>
    <w:rsid w:val="008455A4"/>
    <w:rsid w:val="00845855"/>
    <w:rsid w:val="0084604C"/>
    <w:rsid w:val="00846077"/>
    <w:rsid w:val="008460D3"/>
    <w:rsid w:val="008512C9"/>
    <w:rsid w:val="00851B03"/>
    <w:rsid w:val="00851C9E"/>
    <w:rsid w:val="00852016"/>
    <w:rsid w:val="00852ABC"/>
    <w:rsid w:val="00852ADE"/>
    <w:rsid w:val="008532F8"/>
    <w:rsid w:val="00853528"/>
    <w:rsid w:val="00854315"/>
    <w:rsid w:val="00854575"/>
    <w:rsid w:val="00854DD1"/>
    <w:rsid w:val="00855705"/>
    <w:rsid w:val="00855D09"/>
    <w:rsid w:val="00860538"/>
    <w:rsid w:val="00860F8B"/>
    <w:rsid w:val="00861D1A"/>
    <w:rsid w:val="008638D0"/>
    <w:rsid w:val="00863A46"/>
    <w:rsid w:val="00863F31"/>
    <w:rsid w:val="0086425C"/>
    <w:rsid w:val="00864439"/>
    <w:rsid w:val="008652B8"/>
    <w:rsid w:val="00865C9F"/>
    <w:rsid w:val="008670AA"/>
    <w:rsid w:val="0086722F"/>
    <w:rsid w:val="00870237"/>
    <w:rsid w:val="0087065E"/>
    <w:rsid w:val="00871158"/>
    <w:rsid w:val="0087132C"/>
    <w:rsid w:val="008713EC"/>
    <w:rsid w:val="00871782"/>
    <w:rsid w:val="00871C7F"/>
    <w:rsid w:val="00872EAF"/>
    <w:rsid w:val="00874C3A"/>
    <w:rsid w:val="0087517F"/>
    <w:rsid w:val="00875834"/>
    <w:rsid w:val="00876CD1"/>
    <w:rsid w:val="00877323"/>
    <w:rsid w:val="008805C1"/>
    <w:rsid w:val="00880B9E"/>
    <w:rsid w:val="0088130E"/>
    <w:rsid w:val="00881E62"/>
    <w:rsid w:val="008828AC"/>
    <w:rsid w:val="00882AF7"/>
    <w:rsid w:val="00882BC1"/>
    <w:rsid w:val="00883B88"/>
    <w:rsid w:val="00884AE8"/>
    <w:rsid w:val="00885385"/>
    <w:rsid w:val="0088591B"/>
    <w:rsid w:val="00885D05"/>
    <w:rsid w:val="00886811"/>
    <w:rsid w:val="00886D00"/>
    <w:rsid w:val="00886F19"/>
    <w:rsid w:val="008876F4"/>
    <w:rsid w:val="00887978"/>
    <w:rsid w:val="00887D18"/>
    <w:rsid w:val="008902F9"/>
    <w:rsid w:val="0089063A"/>
    <w:rsid w:val="00891423"/>
    <w:rsid w:val="00891534"/>
    <w:rsid w:val="00891AC5"/>
    <w:rsid w:val="0089302B"/>
    <w:rsid w:val="008938AB"/>
    <w:rsid w:val="00894994"/>
    <w:rsid w:val="00894B83"/>
    <w:rsid w:val="00894F36"/>
    <w:rsid w:val="00894F44"/>
    <w:rsid w:val="00895A5A"/>
    <w:rsid w:val="00896116"/>
    <w:rsid w:val="008964D0"/>
    <w:rsid w:val="00896F2C"/>
    <w:rsid w:val="008978DD"/>
    <w:rsid w:val="008A00DB"/>
    <w:rsid w:val="008A01F8"/>
    <w:rsid w:val="008A02A3"/>
    <w:rsid w:val="008A0B98"/>
    <w:rsid w:val="008A0EE9"/>
    <w:rsid w:val="008A186C"/>
    <w:rsid w:val="008A2C54"/>
    <w:rsid w:val="008A3399"/>
    <w:rsid w:val="008A34BA"/>
    <w:rsid w:val="008A43CF"/>
    <w:rsid w:val="008A4459"/>
    <w:rsid w:val="008A56A7"/>
    <w:rsid w:val="008A5984"/>
    <w:rsid w:val="008A5B16"/>
    <w:rsid w:val="008A5B68"/>
    <w:rsid w:val="008A5F6D"/>
    <w:rsid w:val="008A6454"/>
    <w:rsid w:val="008A7BDD"/>
    <w:rsid w:val="008A7F82"/>
    <w:rsid w:val="008B012B"/>
    <w:rsid w:val="008B0232"/>
    <w:rsid w:val="008B0996"/>
    <w:rsid w:val="008B20C2"/>
    <w:rsid w:val="008B2113"/>
    <w:rsid w:val="008B248E"/>
    <w:rsid w:val="008B2687"/>
    <w:rsid w:val="008B2B4A"/>
    <w:rsid w:val="008B359F"/>
    <w:rsid w:val="008B39A3"/>
    <w:rsid w:val="008B3C4E"/>
    <w:rsid w:val="008B41C4"/>
    <w:rsid w:val="008B427B"/>
    <w:rsid w:val="008B4361"/>
    <w:rsid w:val="008B43F9"/>
    <w:rsid w:val="008B645A"/>
    <w:rsid w:val="008B652F"/>
    <w:rsid w:val="008B6F9C"/>
    <w:rsid w:val="008B72B8"/>
    <w:rsid w:val="008B7BF8"/>
    <w:rsid w:val="008C04FA"/>
    <w:rsid w:val="008C063A"/>
    <w:rsid w:val="008C1F48"/>
    <w:rsid w:val="008C1FC4"/>
    <w:rsid w:val="008C3F05"/>
    <w:rsid w:val="008C4188"/>
    <w:rsid w:val="008C42AC"/>
    <w:rsid w:val="008C58FD"/>
    <w:rsid w:val="008C6128"/>
    <w:rsid w:val="008C6E80"/>
    <w:rsid w:val="008C6EF7"/>
    <w:rsid w:val="008C6FF6"/>
    <w:rsid w:val="008C7D44"/>
    <w:rsid w:val="008D028D"/>
    <w:rsid w:val="008D069F"/>
    <w:rsid w:val="008D07BD"/>
    <w:rsid w:val="008D0E2E"/>
    <w:rsid w:val="008D1922"/>
    <w:rsid w:val="008D2335"/>
    <w:rsid w:val="008D31AC"/>
    <w:rsid w:val="008D33AD"/>
    <w:rsid w:val="008D3907"/>
    <w:rsid w:val="008D3D79"/>
    <w:rsid w:val="008D42C2"/>
    <w:rsid w:val="008D4328"/>
    <w:rsid w:val="008D4843"/>
    <w:rsid w:val="008D517E"/>
    <w:rsid w:val="008D5399"/>
    <w:rsid w:val="008D5948"/>
    <w:rsid w:val="008D5EC5"/>
    <w:rsid w:val="008D66B4"/>
    <w:rsid w:val="008D7782"/>
    <w:rsid w:val="008D7A33"/>
    <w:rsid w:val="008E0E5D"/>
    <w:rsid w:val="008E0EFE"/>
    <w:rsid w:val="008E109A"/>
    <w:rsid w:val="008E1133"/>
    <w:rsid w:val="008E25AF"/>
    <w:rsid w:val="008E29BB"/>
    <w:rsid w:val="008E307A"/>
    <w:rsid w:val="008E3227"/>
    <w:rsid w:val="008E3F2F"/>
    <w:rsid w:val="008E4065"/>
    <w:rsid w:val="008E4274"/>
    <w:rsid w:val="008E56FD"/>
    <w:rsid w:val="008E632B"/>
    <w:rsid w:val="008E64BB"/>
    <w:rsid w:val="008E67CB"/>
    <w:rsid w:val="008E6AD7"/>
    <w:rsid w:val="008E70F5"/>
    <w:rsid w:val="008F05FB"/>
    <w:rsid w:val="008F0AE4"/>
    <w:rsid w:val="008F1FD5"/>
    <w:rsid w:val="008F210A"/>
    <w:rsid w:val="008F2D18"/>
    <w:rsid w:val="008F2E0F"/>
    <w:rsid w:val="008F3139"/>
    <w:rsid w:val="008F34EC"/>
    <w:rsid w:val="008F4691"/>
    <w:rsid w:val="008F567F"/>
    <w:rsid w:val="008F5DE7"/>
    <w:rsid w:val="008F6130"/>
    <w:rsid w:val="008F6EB2"/>
    <w:rsid w:val="008F7119"/>
    <w:rsid w:val="008F755F"/>
    <w:rsid w:val="008F76AB"/>
    <w:rsid w:val="0090046C"/>
    <w:rsid w:val="0090140E"/>
    <w:rsid w:val="00901E21"/>
    <w:rsid w:val="00901F01"/>
    <w:rsid w:val="009025A8"/>
    <w:rsid w:val="009027FB"/>
    <w:rsid w:val="00902B24"/>
    <w:rsid w:val="00902C64"/>
    <w:rsid w:val="00902F78"/>
    <w:rsid w:val="00905478"/>
    <w:rsid w:val="009059C3"/>
    <w:rsid w:val="00905CCF"/>
    <w:rsid w:val="00905D2A"/>
    <w:rsid w:val="00906485"/>
    <w:rsid w:val="009076AD"/>
    <w:rsid w:val="00910120"/>
    <w:rsid w:val="00910285"/>
    <w:rsid w:val="0091041C"/>
    <w:rsid w:val="00910483"/>
    <w:rsid w:val="00910C31"/>
    <w:rsid w:val="00910E92"/>
    <w:rsid w:val="00911106"/>
    <w:rsid w:val="009127DF"/>
    <w:rsid w:val="00912ADE"/>
    <w:rsid w:val="009135AB"/>
    <w:rsid w:val="00913F85"/>
    <w:rsid w:val="00914314"/>
    <w:rsid w:val="009147F0"/>
    <w:rsid w:val="00915057"/>
    <w:rsid w:val="00915139"/>
    <w:rsid w:val="009156CD"/>
    <w:rsid w:val="00916AD2"/>
    <w:rsid w:val="00916D91"/>
    <w:rsid w:val="0091709B"/>
    <w:rsid w:val="0092132F"/>
    <w:rsid w:val="009214F8"/>
    <w:rsid w:val="00921716"/>
    <w:rsid w:val="0092237E"/>
    <w:rsid w:val="00922AF8"/>
    <w:rsid w:val="009237DD"/>
    <w:rsid w:val="00923E62"/>
    <w:rsid w:val="009241DE"/>
    <w:rsid w:val="00924AB4"/>
    <w:rsid w:val="00924BA3"/>
    <w:rsid w:val="0092588C"/>
    <w:rsid w:val="00925F69"/>
    <w:rsid w:val="009268F0"/>
    <w:rsid w:val="00926D0D"/>
    <w:rsid w:val="00926D6A"/>
    <w:rsid w:val="0092713E"/>
    <w:rsid w:val="00927A7C"/>
    <w:rsid w:val="00927D7F"/>
    <w:rsid w:val="00930562"/>
    <w:rsid w:val="00930DB6"/>
    <w:rsid w:val="00931818"/>
    <w:rsid w:val="00931C01"/>
    <w:rsid w:val="00931CBB"/>
    <w:rsid w:val="00932851"/>
    <w:rsid w:val="00932EE0"/>
    <w:rsid w:val="009333CC"/>
    <w:rsid w:val="00934882"/>
    <w:rsid w:val="00934AA3"/>
    <w:rsid w:val="0093526C"/>
    <w:rsid w:val="00935903"/>
    <w:rsid w:val="00935C35"/>
    <w:rsid w:val="0093749B"/>
    <w:rsid w:val="00937A97"/>
    <w:rsid w:val="00940C86"/>
    <w:rsid w:val="00941080"/>
    <w:rsid w:val="00941EE6"/>
    <w:rsid w:val="00942986"/>
    <w:rsid w:val="00942BCF"/>
    <w:rsid w:val="00942C94"/>
    <w:rsid w:val="00943344"/>
    <w:rsid w:val="00943389"/>
    <w:rsid w:val="0094348E"/>
    <w:rsid w:val="00944594"/>
    <w:rsid w:val="00944AAC"/>
    <w:rsid w:val="0094533C"/>
    <w:rsid w:val="009458CE"/>
    <w:rsid w:val="009468F1"/>
    <w:rsid w:val="00947395"/>
    <w:rsid w:val="00947D65"/>
    <w:rsid w:val="00947F0A"/>
    <w:rsid w:val="00950748"/>
    <w:rsid w:val="00950BA8"/>
    <w:rsid w:val="00950BB3"/>
    <w:rsid w:val="00951954"/>
    <w:rsid w:val="00951AC0"/>
    <w:rsid w:val="00951D9F"/>
    <w:rsid w:val="009526C1"/>
    <w:rsid w:val="00952B98"/>
    <w:rsid w:val="00953667"/>
    <w:rsid w:val="009538BE"/>
    <w:rsid w:val="00954245"/>
    <w:rsid w:val="0095484E"/>
    <w:rsid w:val="0095499F"/>
    <w:rsid w:val="00954ABB"/>
    <w:rsid w:val="00955289"/>
    <w:rsid w:val="0095571F"/>
    <w:rsid w:val="009559C2"/>
    <w:rsid w:val="00956145"/>
    <w:rsid w:val="0095726B"/>
    <w:rsid w:val="0095784F"/>
    <w:rsid w:val="009601F0"/>
    <w:rsid w:val="0096102D"/>
    <w:rsid w:val="009612E7"/>
    <w:rsid w:val="00961478"/>
    <w:rsid w:val="00961598"/>
    <w:rsid w:val="0096185A"/>
    <w:rsid w:val="00962F5F"/>
    <w:rsid w:val="00963EF9"/>
    <w:rsid w:val="00964F92"/>
    <w:rsid w:val="009656D5"/>
    <w:rsid w:val="00966372"/>
    <w:rsid w:val="00966EDF"/>
    <w:rsid w:val="00967763"/>
    <w:rsid w:val="00967BEE"/>
    <w:rsid w:val="00970F32"/>
    <w:rsid w:val="00971580"/>
    <w:rsid w:val="0097308F"/>
    <w:rsid w:val="009736DC"/>
    <w:rsid w:val="009740BB"/>
    <w:rsid w:val="009745DE"/>
    <w:rsid w:val="00974D78"/>
    <w:rsid w:val="00976468"/>
    <w:rsid w:val="00976930"/>
    <w:rsid w:val="00976C07"/>
    <w:rsid w:val="00977EE0"/>
    <w:rsid w:val="00980335"/>
    <w:rsid w:val="00981B33"/>
    <w:rsid w:val="00982DB5"/>
    <w:rsid w:val="009839CA"/>
    <w:rsid w:val="00984141"/>
    <w:rsid w:val="009842C1"/>
    <w:rsid w:val="00984345"/>
    <w:rsid w:val="00984D62"/>
    <w:rsid w:val="00984EC8"/>
    <w:rsid w:val="00985039"/>
    <w:rsid w:val="00985079"/>
    <w:rsid w:val="009854DD"/>
    <w:rsid w:val="009857EA"/>
    <w:rsid w:val="0098598C"/>
    <w:rsid w:val="00985E8A"/>
    <w:rsid w:val="00985F91"/>
    <w:rsid w:val="00986610"/>
    <w:rsid w:val="009866E2"/>
    <w:rsid w:val="0098694E"/>
    <w:rsid w:val="00986B03"/>
    <w:rsid w:val="00986BC0"/>
    <w:rsid w:val="00986E36"/>
    <w:rsid w:val="00987523"/>
    <w:rsid w:val="00987AA6"/>
    <w:rsid w:val="00987F78"/>
    <w:rsid w:val="00990ED7"/>
    <w:rsid w:val="0099140B"/>
    <w:rsid w:val="00991719"/>
    <w:rsid w:val="0099176D"/>
    <w:rsid w:val="00991990"/>
    <w:rsid w:val="0099288B"/>
    <w:rsid w:val="00993069"/>
    <w:rsid w:val="009931E6"/>
    <w:rsid w:val="00993957"/>
    <w:rsid w:val="009939EE"/>
    <w:rsid w:val="00993CDB"/>
    <w:rsid w:val="009942B8"/>
    <w:rsid w:val="00994D01"/>
    <w:rsid w:val="0099618B"/>
    <w:rsid w:val="00996292"/>
    <w:rsid w:val="0099705C"/>
    <w:rsid w:val="009972BE"/>
    <w:rsid w:val="00997463"/>
    <w:rsid w:val="00997543"/>
    <w:rsid w:val="009A00EF"/>
    <w:rsid w:val="009A0B31"/>
    <w:rsid w:val="009A110A"/>
    <w:rsid w:val="009A16C1"/>
    <w:rsid w:val="009A1A43"/>
    <w:rsid w:val="009A1DD1"/>
    <w:rsid w:val="009A2007"/>
    <w:rsid w:val="009A2970"/>
    <w:rsid w:val="009A329C"/>
    <w:rsid w:val="009A342A"/>
    <w:rsid w:val="009A3EF2"/>
    <w:rsid w:val="009A41D3"/>
    <w:rsid w:val="009A4852"/>
    <w:rsid w:val="009A4A0B"/>
    <w:rsid w:val="009A57D6"/>
    <w:rsid w:val="009A5A06"/>
    <w:rsid w:val="009A5E1C"/>
    <w:rsid w:val="009A63BD"/>
    <w:rsid w:val="009A657C"/>
    <w:rsid w:val="009A657D"/>
    <w:rsid w:val="009A6B71"/>
    <w:rsid w:val="009B0192"/>
    <w:rsid w:val="009B10EA"/>
    <w:rsid w:val="009B136D"/>
    <w:rsid w:val="009B153C"/>
    <w:rsid w:val="009B2574"/>
    <w:rsid w:val="009B2754"/>
    <w:rsid w:val="009B3337"/>
    <w:rsid w:val="009B45F6"/>
    <w:rsid w:val="009B4D69"/>
    <w:rsid w:val="009B508D"/>
    <w:rsid w:val="009B5159"/>
    <w:rsid w:val="009B5E8C"/>
    <w:rsid w:val="009B6A2A"/>
    <w:rsid w:val="009B758C"/>
    <w:rsid w:val="009B7A22"/>
    <w:rsid w:val="009C005E"/>
    <w:rsid w:val="009C0857"/>
    <w:rsid w:val="009C0922"/>
    <w:rsid w:val="009C1375"/>
    <w:rsid w:val="009C1968"/>
    <w:rsid w:val="009C244C"/>
    <w:rsid w:val="009C2D55"/>
    <w:rsid w:val="009C2EFC"/>
    <w:rsid w:val="009C3D20"/>
    <w:rsid w:val="009C53E8"/>
    <w:rsid w:val="009C5BFB"/>
    <w:rsid w:val="009C6288"/>
    <w:rsid w:val="009C63F2"/>
    <w:rsid w:val="009C74E3"/>
    <w:rsid w:val="009C78B5"/>
    <w:rsid w:val="009D0133"/>
    <w:rsid w:val="009D1271"/>
    <w:rsid w:val="009D1DD5"/>
    <w:rsid w:val="009D309D"/>
    <w:rsid w:val="009D3659"/>
    <w:rsid w:val="009D3C05"/>
    <w:rsid w:val="009D4236"/>
    <w:rsid w:val="009D4AA2"/>
    <w:rsid w:val="009D5A7D"/>
    <w:rsid w:val="009D6C25"/>
    <w:rsid w:val="009D7EF3"/>
    <w:rsid w:val="009D7F94"/>
    <w:rsid w:val="009E084C"/>
    <w:rsid w:val="009E16F7"/>
    <w:rsid w:val="009E1A31"/>
    <w:rsid w:val="009E1CBB"/>
    <w:rsid w:val="009E2DD6"/>
    <w:rsid w:val="009E32AD"/>
    <w:rsid w:val="009E350D"/>
    <w:rsid w:val="009E35BB"/>
    <w:rsid w:val="009E3653"/>
    <w:rsid w:val="009E3DFE"/>
    <w:rsid w:val="009E43D0"/>
    <w:rsid w:val="009E4A65"/>
    <w:rsid w:val="009E4CAB"/>
    <w:rsid w:val="009E5019"/>
    <w:rsid w:val="009E5688"/>
    <w:rsid w:val="009E5765"/>
    <w:rsid w:val="009E5D92"/>
    <w:rsid w:val="009E615B"/>
    <w:rsid w:val="009E6370"/>
    <w:rsid w:val="009E7DC9"/>
    <w:rsid w:val="009E7F8E"/>
    <w:rsid w:val="009F0D7F"/>
    <w:rsid w:val="009F0FAD"/>
    <w:rsid w:val="009F16D9"/>
    <w:rsid w:val="009F1946"/>
    <w:rsid w:val="009F1B6F"/>
    <w:rsid w:val="009F1DF5"/>
    <w:rsid w:val="009F270B"/>
    <w:rsid w:val="009F2A6E"/>
    <w:rsid w:val="009F2DE3"/>
    <w:rsid w:val="009F40C7"/>
    <w:rsid w:val="009F42D2"/>
    <w:rsid w:val="009F43FC"/>
    <w:rsid w:val="009F4412"/>
    <w:rsid w:val="009F4B5A"/>
    <w:rsid w:val="009F5553"/>
    <w:rsid w:val="009F629A"/>
    <w:rsid w:val="009F700B"/>
    <w:rsid w:val="009F7E68"/>
    <w:rsid w:val="009F7E85"/>
    <w:rsid w:val="00A008DC"/>
    <w:rsid w:val="00A017A8"/>
    <w:rsid w:val="00A020EC"/>
    <w:rsid w:val="00A02366"/>
    <w:rsid w:val="00A030B0"/>
    <w:rsid w:val="00A03804"/>
    <w:rsid w:val="00A03F72"/>
    <w:rsid w:val="00A060AB"/>
    <w:rsid w:val="00A060B5"/>
    <w:rsid w:val="00A06426"/>
    <w:rsid w:val="00A06477"/>
    <w:rsid w:val="00A06C9A"/>
    <w:rsid w:val="00A06FF5"/>
    <w:rsid w:val="00A07DFC"/>
    <w:rsid w:val="00A07E25"/>
    <w:rsid w:val="00A07F9E"/>
    <w:rsid w:val="00A1058B"/>
    <w:rsid w:val="00A10733"/>
    <w:rsid w:val="00A1089F"/>
    <w:rsid w:val="00A10C53"/>
    <w:rsid w:val="00A115A4"/>
    <w:rsid w:val="00A11E08"/>
    <w:rsid w:val="00A12376"/>
    <w:rsid w:val="00A12496"/>
    <w:rsid w:val="00A12ED6"/>
    <w:rsid w:val="00A13205"/>
    <w:rsid w:val="00A13298"/>
    <w:rsid w:val="00A13B9D"/>
    <w:rsid w:val="00A14BD7"/>
    <w:rsid w:val="00A14C9C"/>
    <w:rsid w:val="00A14F09"/>
    <w:rsid w:val="00A15E33"/>
    <w:rsid w:val="00A1606F"/>
    <w:rsid w:val="00A16280"/>
    <w:rsid w:val="00A17290"/>
    <w:rsid w:val="00A17645"/>
    <w:rsid w:val="00A17676"/>
    <w:rsid w:val="00A1769C"/>
    <w:rsid w:val="00A2050E"/>
    <w:rsid w:val="00A20CFA"/>
    <w:rsid w:val="00A21135"/>
    <w:rsid w:val="00A21479"/>
    <w:rsid w:val="00A21A4F"/>
    <w:rsid w:val="00A21CBE"/>
    <w:rsid w:val="00A22FB6"/>
    <w:rsid w:val="00A252E3"/>
    <w:rsid w:val="00A256F1"/>
    <w:rsid w:val="00A259FA"/>
    <w:rsid w:val="00A26103"/>
    <w:rsid w:val="00A301FA"/>
    <w:rsid w:val="00A3054C"/>
    <w:rsid w:val="00A305FA"/>
    <w:rsid w:val="00A3094F"/>
    <w:rsid w:val="00A30D4F"/>
    <w:rsid w:val="00A315CC"/>
    <w:rsid w:val="00A31689"/>
    <w:rsid w:val="00A31EE9"/>
    <w:rsid w:val="00A32241"/>
    <w:rsid w:val="00A322D8"/>
    <w:rsid w:val="00A32D19"/>
    <w:rsid w:val="00A33018"/>
    <w:rsid w:val="00A336C7"/>
    <w:rsid w:val="00A3397D"/>
    <w:rsid w:val="00A342E8"/>
    <w:rsid w:val="00A34704"/>
    <w:rsid w:val="00A34775"/>
    <w:rsid w:val="00A34DBF"/>
    <w:rsid w:val="00A350B9"/>
    <w:rsid w:val="00A368C9"/>
    <w:rsid w:val="00A37ECC"/>
    <w:rsid w:val="00A40975"/>
    <w:rsid w:val="00A40A40"/>
    <w:rsid w:val="00A40A6E"/>
    <w:rsid w:val="00A419CB"/>
    <w:rsid w:val="00A419E8"/>
    <w:rsid w:val="00A41F6A"/>
    <w:rsid w:val="00A4288C"/>
    <w:rsid w:val="00A42F15"/>
    <w:rsid w:val="00A43FA4"/>
    <w:rsid w:val="00A442D1"/>
    <w:rsid w:val="00A4454E"/>
    <w:rsid w:val="00A44B3A"/>
    <w:rsid w:val="00A450CB"/>
    <w:rsid w:val="00A45AFA"/>
    <w:rsid w:val="00A467A5"/>
    <w:rsid w:val="00A47581"/>
    <w:rsid w:val="00A476BE"/>
    <w:rsid w:val="00A47DD1"/>
    <w:rsid w:val="00A51197"/>
    <w:rsid w:val="00A52034"/>
    <w:rsid w:val="00A52B56"/>
    <w:rsid w:val="00A52C30"/>
    <w:rsid w:val="00A52F76"/>
    <w:rsid w:val="00A531A6"/>
    <w:rsid w:val="00A53277"/>
    <w:rsid w:val="00A533AB"/>
    <w:rsid w:val="00A5352F"/>
    <w:rsid w:val="00A551B8"/>
    <w:rsid w:val="00A55485"/>
    <w:rsid w:val="00A55559"/>
    <w:rsid w:val="00A56F8D"/>
    <w:rsid w:val="00A57A25"/>
    <w:rsid w:val="00A57FD7"/>
    <w:rsid w:val="00A60A07"/>
    <w:rsid w:val="00A60FF2"/>
    <w:rsid w:val="00A61239"/>
    <w:rsid w:val="00A61423"/>
    <w:rsid w:val="00A62213"/>
    <w:rsid w:val="00A62247"/>
    <w:rsid w:val="00A63F51"/>
    <w:rsid w:val="00A64683"/>
    <w:rsid w:val="00A663BA"/>
    <w:rsid w:val="00A66849"/>
    <w:rsid w:val="00A66998"/>
    <w:rsid w:val="00A673AF"/>
    <w:rsid w:val="00A701F1"/>
    <w:rsid w:val="00A702B9"/>
    <w:rsid w:val="00A70AF5"/>
    <w:rsid w:val="00A70E86"/>
    <w:rsid w:val="00A713B2"/>
    <w:rsid w:val="00A713C1"/>
    <w:rsid w:val="00A718BE"/>
    <w:rsid w:val="00A72B47"/>
    <w:rsid w:val="00A732E0"/>
    <w:rsid w:val="00A740C1"/>
    <w:rsid w:val="00A74234"/>
    <w:rsid w:val="00A743C8"/>
    <w:rsid w:val="00A74A5F"/>
    <w:rsid w:val="00A74CE9"/>
    <w:rsid w:val="00A74E07"/>
    <w:rsid w:val="00A76099"/>
    <w:rsid w:val="00A763F7"/>
    <w:rsid w:val="00A76E68"/>
    <w:rsid w:val="00A76F34"/>
    <w:rsid w:val="00A77159"/>
    <w:rsid w:val="00A7785F"/>
    <w:rsid w:val="00A80509"/>
    <w:rsid w:val="00A81253"/>
    <w:rsid w:val="00A82474"/>
    <w:rsid w:val="00A82750"/>
    <w:rsid w:val="00A82D65"/>
    <w:rsid w:val="00A83006"/>
    <w:rsid w:val="00A83629"/>
    <w:rsid w:val="00A8363A"/>
    <w:rsid w:val="00A83893"/>
    <w:rsid w:val="00A83BC4"/>
    <w:rsid w:val="00A8426E"/>
    <w:rsid w:val="00A84BFC"/>
    <w:rsid w:val="00A85548"/>
    <w:rsid w:val="00A85AC4"/>
    <w:rsid w:val="00A86216"/>
    <w:rsid w:val="00A86A51"/>
    <w:rsid w:val="00A86A77"/>
    <w:rsid w:val="00A86D5D"/>
    <w:rsid w:val="00A87458"/>
    <w:rsid w:val="00A876DA"/>
    <w:rsid w:val="00A8783B"/>
    <w:rsid w:val="00A878E3"/>
    <w:rsid w:val="00A909F2"/>
    <w:rsid w:val="00A90A0A"/>
    <w:rsid w:val="00A90D9E"/>
    <w:rsid w:val="00A90DBE"/>
    <w:rsid w:val="00A91AE9"/>
    <w:rsid w:val="00A92463"/>
    <w:rsid w:val="00A92BCB"/>
    <w:rsid w:val="00A92E14"/>
    <w:rsid w:val="00A933F8"/>
    <w:rsid w:val="00A93AC7"/>
    <w:rsid w:val="00A94527"/>
    <w:rsid w:val="00A945EA"/>
    <w:rsid w:val="00A949A9"/>
    <w:rsid w:val="00A94D68"/>
    <w:rsid w:val="00A967C6"/>
    <w:rsid w:val="00A96DF0"/>
    <w:rsid w:val="00A973EA"/>
    <w:rsid w:val="00A97AA2"/>
    <w:rsid w:val="00AA0829"/>
    <w:rsid w:val="00AA0B9E"/>
    <w:rsid w:val="00AA15A1"/>
    <w:rsid w:val="00AA162D"/>
    <w:rsid w:val="00AA1B3C"/>
    <w:rsid w:val="00AA1D39"/>
    <w:rsid w:val="00AA2987"/>
    <w:rsid w:val="00AA3BA3"/>
    <w:rsid w:val="00AA3CE2"/>
    <w:rsid w:val="00AA4187"/>
    <w:rsid w:val="00AA4FA7"/>
    <w:rsid w:val="00AA5818"/>
    <w:rsid w:val="00AA6183"/>
    <w:rsid w:val="00AA635D"/>
    <w:rsid w:val="00AA6449"/>
    <w:rsid w:val="00AA6EAA"/>
    <w:rsid w:val="00AA7E56"/>
    <w:rsid w:val="00AB10BE"/>
    <w:rsid w:val="00AB1B06"/>
    <w:rsid w:val="00AB2292"/>
    <w:rsid w:val="00AB2BB0"/>
    <w:rsid w:val="00AB3503"/>
    <w:rsid w:val="00AB3920"/>
    <w:rsid w:val="00AB4478"/>
    <w:rsid w:val="00AB5219"/>
    <w:rsid w:val="00AB5483"/>
    <w:rsid w:val="00AB5B88"/>
    <w:rsid w:val="00AB5DB3"/>
    <w:rsid w:val="00AB6581"/>
    <w:rsid w:val="00AB74CF"/>
    <w:rsid w:val="00AB78F7"/>
    <w:rsid w:val="00AB7D26"/>
    <w:rsid w:val="00AC01CD"/>
    <w:rsid w:val="00AC0D93"/>
    <w:rsid w:val="00AC19CA"/>
    <w:rsid w:val="00AC30CA"/>
    <w:rsid w:val="00AC357B"/>
    <w:rsid w:val="00AC3B9F"/>
    <w:rsid w:val="00AC3E80"/>
    <w:rsid w:val="00AC47E9"/>
    <w:rsid w:val="00AC4C32"/>
    <w:rsid w:val="00AC5614"/>
    <w:rsid w:val="00AC6819"/>
    <w:rsid w:val="00AC69C0"/>
    <w:rsid w:val="00AC6ACF"/>
    <w:rsid w:val="00AC6C99"/>
    <w:rsid w:val="00AC7513"/>
    <w:rsid w:val="00AC7564"/>
    <w:rsid w:val="00AC7582"/>
    <w:rsid w:val="00AC7902"/>
    <w:rsid w:val="00AD039A"/>
    <w:rsid w:val="00AD0456"/>
    <w:rsid w:val="00AD17D3"/>
    <w:rsid w:val="00AD18EB"/>
    <w:rsid w:val="00AD346F"/>
    <w:rsid w:val="00AD34C3"/>
    <w:rsid w:val="00AD433B"/>
    <w:rsid w:val="00AD513B"/>
    <w:rsid w:val="00AD5635"/>
    <w:rsid w:val="00AD5A7B"/>
    <w:rsid w:val="00AD753C"/>
    <w:rsid w:val="00AD78B1"/>
    <w:rsid w:val="00AE06CC"/>
    <w:rsid w:val="00AE1C70"/>
    <w:rsid w:val="00AE2ECC"/>
    <w:rsid w:val="00AE2EFB"/>
    <w:rsid w:val="00AE3196"/>
    <w:rsid w:val="00AE34DB"/>
    <w:rsid w:val="00AE3AFA"/>
    <w:rsid w:val="00AE434A"/>
    <w:rsid w:val="00AE5DC9"/>
    <w:rsid w:val="00AE65AB"/>
    <w:rsid w:val="00AE673A"/>
    <w:rsid w:val="00AE7637"/>
    <w:rsid w:val="00AE7898"/>
    <w:rsid w:val="00AE78B2"/>
    <w:rsid w:val="00AF0E09"/>
    <w:rsid w:val="00AF1A5E"/>
    <w:rsid w:val="00AF1D89"/>
    <w:rsid w:val="00AF3CF0"/>
    <w:rsid w:val="00AF3E73"/>
    <w:rsid w:val="00AF3ECF"/>
    <w:rsid w:val="00AF45BA"/>
    <w:rsid w:val="00AF4800"/>
    <w:rsid w:val="00AF5128"/>
    <w:rsid w:val="00AF52BD"/>
    <w:rsid w:val="00AF530A"/>
    <w:rsid w:val="00AF6899"/>
    <w:rsid w:val="00AF7306"/>
    <w:rsid w:val="00AF76F8"/>
    <w:rsid w:val="00AF7814"/>
    <w:rsid w:val="00B00B73"/>
    <w:rsid w:val="00B00F28"/>
    <w:rsid w:val="00B01450"/>
    <w:rsid w:val="00B01BCA"/>
    <w:rsid w:val="00B02C90"/>
    <w:rsid w:val="00B03709"/>
    <w:rsid w:val="00B03A19"/>
    <w:rsid w:val="00B03D2D"/>
    <w:rsid w:val="00B0486C"/>
    <w:rsid w:val="00B04ABF"/>
    <w:rsid w:val="00B04AD4"/>
    <w:rsid w:val="00B0562B"/>
    <w:rsid w:val="00B058E8"/>
    <w:rsid w:val="00B05B70"/>
    <w:rsid w:val="00B0636A"/>
    <w:rsid w:val="00B0648B"/>
    <w:rsid w:val="00B064FB"/>
    <w:rsid w:val="00B06510"/>
    <w:rsid w:val="00B065CB"/>
    <w:rsid w:val="00B06F6E"/>
    <w:rsid w:val="00B07174"/>
    <w:rsid w:val="00B07337"/>
    <w:rsid w:val="00B07372"/>
    <w:rsid w:val="00B07648"/>
    <w:rsid w:val="00B0765E"/>
    <w:rsid w:val="00B10139"/>
    <w:rsid w:val="00B105CF"/>
    <w:rsid w:val="00B10D3D"/>
    <w:rsid w:val="00B111E4"/>
    <w:rsid w:val="00B1138E"/>
    <w:rsid w:val="00B1310E"/>
    <w:rsid w:val="00B134EC"/>
    <w:rsid w:val="00B13607"/>
    <w:rsid w:val="00B136D7"/>
    <w:rsid w:val="00B15490"/>
    <w:rsid w:val="00B15612"/>
    <w:rsid w:val="00B17A4F"/>
    <w:rsid w:val="00B209B4"/>
    <w:rsid w:val="00B20A8B"/>
    <w:rsid w:val="00B21124"/>
    <w:rsid w:val="00B217F1"/>
    <w:rsid w:val="00B21BEE"/>
    <w:rsid w:val="00B227E9"/>
    <w:rsid w:val="00B22AF0"/>
    <w:rsid w:val="00B231AA"/>
    <w:rsid w:val="00B231C3"/>
    <w:rsid w:val="00B236A3"/>
    <w:rsid w:val="00B23C33"/>
    <w:rsid w:val="00B2404E"/>
    <w:rsid w:val="00B2427A"/>
    <w:rsid w:val="00B24B1E"/>
    <w:rsid w:val="00B2557E"/>
    <w:rsid w:val="00B25A43"/>
    <w:rsid w:val="00B25AAC"/>
    <w:rsid w:val="00B26276"/>
    <w:rsid w:val="00B30269"/>
    <w:rsid w:val="00B304A6"/>
    <w:rsid w:val="00B307EB"/>
    <w:rsid w:val="00B30B03"/>
    <w:rsid w:val="00B3113B"/>
    <w:rsid w:val="00B31250"/>
    <w:rsid w:val="00B319E5"/>
    <w:rsid w:val="00B32852"/>
    <w:rsid w:val="00B33C5A"/>
    <w:rsid w:val="00B3410F"/>
    <w:rsid w:val="00B3412E"/>
    <w:rsid w:val="00B34381"/>
    <w:rsid w:val="00B3448D"/>
    <w:rsid w:val="00B34B95"/>
    <w:rsid w:val="00B35133"/>
    <w:rsid w:val="00B3577D"/>
    <w:rsid w:val="00B35B9B"/>
    <w:rsid w:val="00B35F4E"/>
    <w:rsid w:val="00B36E8B"/>
    <w:rsid w:val="00B37717"/>
    <w:rsid w:val="00B41601"/>
    <w:rsid w:val="00B4160F"/>
    <w:rsid w:val="00B417C2"/>
    <w:rsid w:val="00B4275E"/>
    <w:rsid w:val="00B429BB"/>
    <w:rsid w:val="00B42C83"/>
    <w:rsid w:val="00B43C54"/>
    <w:rsid w:val="00B45561"/>
    <w:rsid w:val="00B45E59"/>
    <w:rsid w:val="00B46076"/>
    <w:rsid w:val="00B46761"/>
    <w:rsid w:val="00B46EA7"/>
    <w:rsid w:val="00B473B3"/>
    <w:rsid w:val="00B479B9"/>
    <w:rsid w:val="00B47D80"/>
    <w:rsid w:val="00B47DDF"/>
    <w:rsid w:val="00B503FC"/>
    <w:rsid w:val="00B5040C"/>
    <w:rsid w:val="00B504F7"/>
    <w:rsid w:val="00B50530"/>
    <w:rsid w:val="00B50D2A"/>
    <w:rsid w:val="00B5126D"/>
    <w:rsid w:val="00B517D0"/>
    <w:rsid w:val="00B51B9B"/>
    <w:rsid w:val="00B51F02"/>
    <w:rsid w:val="00B5249E"/>
    <w:rsid w:val="00B532FA"/>
    <w:rsid w:val="00B53989"/>
    <w:rsid w:val="00B54A78"/>
    <w:rsid w:val="00B54F65"/>
    <w:rsid w:val="00B55124"/>
    <w:rsid w:val="00B55AEB"/>
    <w:rsid w:val="00B5621E"/>
    <w:rsid w:val="00B56590"/>
    <w:rsid w:val="00B56CCE"/>
    <w:rsid w:val="00B56D23"/>
    <w:rsid w:val="00B57182"/>
    <w:rsid w:val="00B579FF"/>
    <w:rsid w:val="00B60D56"/>
    <w:rsid w:val="00B6112A"/>
    <w:rsid w:val="00B61153"/>
    <w:rsid w:val="00B61308"/>
    <w:rsid w:val="00B6216B"/>
    <w:rsid w:val="00B62320"/>
    <w:rsid w:val="00B629E0"/>
    <w:rsid w:val="00B62F6B"/>
    <w:rsid w:val="00B63115"/>
    <w:rsid w:val="00B63A33"/>
    <w:rsid w:val="00B6528B"/>
    <w:rsid w:val="00B656C5"/>
    <w:rsid w:val="00B65DFA"/>
    <w:rsid w:val="00B66DF3"/>
    <w:rsid w:val="00B66FBE"/>
    <w:rsid w:val="00B67264"/>
    <w:rsid w:val="00B67487"/>
    <w:rsid w:val="00B675C5"/>
    <w:rsid w:val="00B67AC4"/>
    <w:rsid w:val="00B7061A"/>
    <w:rsid w:val="00B71908"/>
    <w:rsid w:val="00B72CFF"/>
    <w:rsid w:val="00B72F29"/>
    <w:rsid w:val="00B73353"/>
    <w:rsid w:val="00B73433"/>
    <w:rsid w:val="00B73456"/>
    <w:rsid w:val="00B73837"/>
    <w:rsid w:val="00B73987"/>
    <w:rsid w:val="00B74151"/>
    <w:rsid w:val="00B74243"/>
    <w:rsid w:val="00B7449F"/>
    <w:rsid w:val="00B75CB4"/>
    <w:rsid w:val="00B75D6D"/>
    <w:rsid w:val="00B75FA7"/>
    <w:rsid w:val="00B76206"/>
    <w:rsid w:val="00B76A20"/>
    <w:rsid w:val="00B76FAE"/>
    <w:rsid w:val="00B77A8A"/>
    <w:rsid w:val="00B800BE"/>
    <w:rsid w:val="00B8033E"/>
    <w:rsid w:val="00B81119"/>
    <w:rsid w:val="00B81B18"/>
    <w:rsid w:val="00B81D8B"/>
    <w:rsid w:val="00B827A6"/>
    <w:rsid w:val="00B82996"/>
    <w:rsid w:val="00B82D86"/>
    <w:rsid w:val="00B83133"/>
    <w:rsid w:val="00B83611"/>
    <w:rsid w:val="00B837D4"/>
    <w:rsid w:val="00B838BB"/>
    <w:rsid w:val="00B83BCE"/>
    <w:rsid w:val="00B84606"/>
    <w:rsid w:val="00B84F2A"/>
    <w:rsid w:val="00B85497"/>
    <w:rsid w:val="00B85917"/>
    <w:rsid w:val="00B859F4"/>
    <w:rsid w:val="00B85BE3"/>
    <w:rsid w:val="00B8624C"/>
    <w:rsid w:val="00B86542"/>
    <w:rsid w:val="00B865A1"/>
    <w:rsid w:val="00B86C15"/>
    <w:rsid w:val="00B87895"/>
    <w:rsid w:val="00B906D9"/>
    <w:rsid w:val="00B90815"/>
    <w:rsid w:val="00B90D19"/>
    <w:rsid w:val="00B910A7"/>
    <w:rsid w:val="00B914A1"/>
    <w:rsid w:val="00B93C12"/>
    <w:rsid w:val="00B93F11"/>
    <w:rsid w:val="00B948CF"/>
    <w:rsid w:val="00B9490D"/>
    <w:rsid w:val="00B94DCC"/>
    <w:rsid w:val="00B95DCD"/>
    <w:rsid w:val="00B96555"/>
    <w:rsid w:val="00B96A2B"/>
    <w:rsid w:val="00B979E1"/>
    <w:rsid w:val="00BA0346"/>
    <w:rsid w:val="00BA035B"/>
    <w:rsid w:val="00BA14CA"/>
    <w:rsid w:val="00BA1B86"/>
    <w:rsid w:val="00BA1F8C"/>
    <w:rsid w:val="00BA2113"/>
    <w:rsid w:val="00BA227A"/>
    <w:rsid w:val="00BA2C08"/>
    <w:rsid w:val="00BA331F"/>
    <w:rsid w:val="00BA4283"/>
    <w:rsid w:val="00BA527A"/>
    <w:rsid w:val="00BA5FFF"/>
    <w:rsid w:val="00BA6154"/>
    <w:rsid w:val="00BA68C1"/>
    <w:rsid w:val="00BA7749"/>
    <w:rsid w:val="00BA7EE8"/>
    <w:rsid w:val="00BB054C"/>
    <w:rsid w:val="00BB0E3F"/>
    <w:rsid w:val="00BB10E0"/>
    <w:rsid w:val="00BB14F6"/>
    <w:rsid w:val="00BB1EF8"/>
    <w:rsid w:val="00BB326B"/>
    <w:rsid w:val="00BB3B05"/>
    <w:rsid w:val="00BB3CD7"/>
    <w:rsid w:val="00BB4136"/>
    <w:rsid w:val="00BB498A"/>
    <w:rsid w:val="00BB4A65"/>
    <w:rsid w:val="00BB5311"/>
    <w:rsid w:val="00BB5FAF"/>
    <w:rsid w:val="00BB6301"/>
    <w:rsid w:val="00BB6AF9"/>
    <w:rsid w:val="00BB6E1D"/>
    <w:rsid w:val="00BB73C4"/>
    <w:rsid w:val="00BB7776"/>
    <w:rsid w:val="00BB7847"/>
    <w:rsid w:val="00BC0649"/>
    <w:rsid w:val="00BC084E"/>
    <w:rsid w:val="00BC0984"/>
    <w:rsid w:val="00BC0CB5"/>
    <w:rsid w:val="00BC2F88"/>
    <w:rsid w:val="00BC42BC"/>
    <w:rsid w:val="00BC4800"/>
    <w:rsid w:val="00BC4F63"/>
    <w:rsid w:val="00BC522A"/>
    <w:rsid w:val="00BC6841"/>
    <w:rsid w:val="00BC77AD"/>
    <w:rsid w:val="00BC7D39"/>
    <w:rsid w:val="00BD0918"/>
    <w:rsid w:val="00BD0D4F"/>
    <w:rsid w:val="00BD0FB3"/>
    <w:rsid w:val="00BD1B34"/>
    <w:rsid w:val="00BD2238"/>
    <w:rsid w:val="00BD27DA"/>
    <w:rsid w:val="00BD28FB"/>
    <w:rsid w:val="00BD2DEE"/>
    <w:rsid w:val="00BD31D6"/>
    <w:rsid w:val="00BD3A3E"/>
    <w:rsid w:val="00BD3C58"/>
    <w:rsid w:val="00BD4151"/>
    <w:rsid w:val="00BD4213"/>
    <w:rsid w:val="00BD4696"/>
    <w:rsid w:val="00BD4A1E"/>
    <w:rsid w:val="00BD4CF9"/>
    <w:rsid w:val="00BD6DD0"/>
    <w:rsid w:val="00BE004E"/>
    <w:rsid w:val="00BE053E"/>
    <w:rsid w:val="00BE0A04"/>
    <w:rsid w:val="00BE1C5F"/>
    <w:rsid w:val="00BE1D0A"/>
    <w:rsid w:val="00BE1E80"/>
    <w:rsid w:val="00BE32BD"/>
    <w:rsid w:val="00BE39C9"/>
    <w:rsid w:val="00BE3CE9"/>
    <w:rsid w:val="00BE463A"/>
    <w:rsid w:val="00BE472D"/>
    <w:rsid w:val="00BE47BB"/>
    <w:rsid w:val="00BE7897"/>
    <w:rsid w:val="00BE78D6"/>
    <w:rsid w:val="00BE790F"/>
    <w:rsid w:val="00BE7F11"/>
    <w:rsid w:val="00BF0DBB"/>
    <w:rsid w:val="00BF1181"/>
    <w:rsid w:val="00BF211C"/>
    <w:rsid w:val="00BF2284"/>
    <w:rsid w:val="00BF2448"/>
    <w:rsid w:val="00BF24D0"/>
    <w:rsid w:val="00BF25E2"/>
    <w:rsid w:val="00BF2651"/>
    <w:rsid w:val="00BF2BAB"/>
    <w:rsid w:val="00BF2CD4"/>
    <w:rsid w:val="00BF35FF"/>
    <w:rsid w:val="00BF377B"/>
    <w:rsid w:val="00BF38C5"/>
    <w:rsid w:val="00BF3BA4"/>
    <w:rsid w:val="00BF4583"/>
    <w:rsid w:val="00BF47D7"/>
    <w:rsid w:val="00BF5446"/>
    <w:rsid w:val="00BF5718"/>
    <w:rsid w:val="00BF5A99"/>
    <w:rsid w:val="00BF611E"/>
    <w:rsid w:val="00BF6128"/>
    <w:rsid w:val="00BF6138"/>
    <w:rsid w:val="00BF62E6"/>
    <w:rsid w:val="00BF6B85"/>
    <w:rsid w:val="00BF710F"/>
    <w:rsid w:val="00BF7478"/>
    <w:rsid w:val="00BF7AF6"/>
    <w:rsid w:val="00BF7E9C"/>
    <w:rsid w:val="00BF7FE6"/>
    <w:rsid w:val="00C00BC0"/>
    <w:rsid w:val="00C014E6"/>
    <w:rsid w:val="00C017AE"/>
    <w:rsid w:val="00C0205E"/>
    <w:rsid w:val="00C02711"/>
    <w:rsid w:val="00C0499C"/>
    <w:rsid w:val="00C05038"/>
    <w:rsid w:val="00C05055"/>
    <w:rsid w:val="00C06043"/>
    <w:rsid w:val="00C06359"/>
    <w:rsid w:val="00C0645F"/>
    <w:rsid w:val="00C065F5"/>
    <w:rsid w:val="00C06A06"/>
    <w:rsid w:val="00C06A58"/>
    <w:rsid w:val="00C06C04"/>
    <w:rsid w:val="00C06E62"/>
    <w:rsid w:val="00C073C2"/>
    <w:rsid w:val="00C0760F"/>
    <w:rsid w:val="00C07D8B"/>
    <w:rsid w:val="00C104D0"/>
    <w:rsid w:val="00C12253"/>
    <w:rsid w:val="00C129E1"/>
    <w:rsid w:val="00C13A8E"/>
    <w:rsid w:val="00C15012"/>
    <w:rsid w:val="00C15023"/>
    <w:rsid w:val="00C15CBD"/>
    <w:rsid w:val="00C17F56"/>
    <w:rsid w:val="00C2051B"/>
    <w:rsid w:val="00C20F3A"/>
    <w:rsid w:val="00C215AF"/>
    <w:rsid w:val="00C21C79"/>
    <w:rsid w:val="00C21E01"/>
    <w:rsid w:val="00C22216"/>
    <w:rsid w:val="00C2226E"/>
    <w:rsid w:val="00C22502"/>
    <w:rsid w:val="00C22903"/>
    <w:rsid w:val="00C2366C"/>
    <w:rsid w:val="00C24033"/>
    <w:rsid w:val="00C24105"/>
    <w:rsid w:val="00C241A7"/>
    <w:rsid w:val="00C24200"/>
    <w:rsid w:val="00C24978"/>
    <w:rsid w:val="00C24E77"/>
    <w:rsid w:val="00C25583"/>
    <w:rsid w:val="00C255FD"/>
    <w:rsid w:val="00C2639F"/>
    <w:rsid w:val="00C26A20"/>
    <w:rsid w:val="00C26BFD"/>
    <w:rsid w:val="00C27127"/>
    <w:rsid w:val="00C278EF"/>
    <w:rsid w:val="00C2793E"/>
    <w:rsid w:val="00C27B9A"/>
    <w:rsid w:val="00C30B22"/>
    <w:rsid w:val="00C313B2"/>
    <w:rsid w:val="00C315A1"/>
    <w:rsid w:val="00C316B7"/>
    <w:rsid w:val="00C32F33"/>
    <w:rsid w:val="00C3378F"/>
    <w:rsid w:val="00C33CAB"/>
    <w:rsid w:val="00C346CF"/>
    <w:rsid w:val="00C347AB"/>
    <w:rsid w:val="00C35108"/>
    <w:rsid w:val="00C360F9"/>
    <w:rsid w:val="00C36E1F"/>
    <w:rsid w:val="00C36FB2"/>
    <w:rsid w:val="00C37DE3"/>
    <w:rsid w:val="00C40DA2"/>
    <w:rsid w:val="00C4151F"/>
    <w:rsid w:val="00C41AED"/>
    <w:rsid w:val="00C4203C"/>
    <w:rsid w:val="00C42608"/>
    <w:rsid w:val="00C429F3"/>
    <w:rsid w:val="00C42D0C"/>
    <w:rsid w:val="00C42D86"/>
    <w:rsid w:val="00C42F5B"/>
    <w:rsid w:val="00C44E42"/>
    <w:rsid w:val="00C45F2E"/>
    <w:rsid w:val="00C47B7F"/>
    <w:rsid w:val="00C5021A"/>
    <w:rsid w:val="00C5170A"/>
    <w:rsid w:val="00C5253C"/>
    <w:rsid w:val="00C53974"/>
    <w:rsid w:val="00C549CF"/>
    <w:rsid w:val="00C54A3C"/>
    <w:rsid w:val="00C54AE4"/>
    <w:rsid w:val="00C54EFC"/>
    <w:rsid w:val="00C553EA"/>
    <w:rsid w:val="00C55E79"/>
    <w:rsid w:val="00C563C2"/>
    <w:rsid w:val="00C56534"/>
    <w:rsid w:val="00C61227"/>
    <w:rsid w:val="00C61A37"/>
    <w:rsid w:val="00C61D5D"/>
    <w:rsid w:val="00C61DF6"/>
    <w:rsid w:val="00C63925"/>
    <w:rsid w:val="00C64303"/>
    <w:rsid w:val="00C650E3"/>
    <w:rsid w:val="00C659BD"/>
    <w:rsid w:val="00C65D0F"/>
    <w:rsid w:val="00C670A4"/>
    <w:rsid w:val="00C67302"/>
    <w:rsid w:val="00C67332"/>
    <w:rsid w:val="00C706F6"/>
    <w:rsid w:val="00C70764"/>
    <w:rsid w:val="00C710A8"/>
    <w:rsid w:val="00C71C0E"/>
    <w:rsid w:val="00C72A48"/>
    <w:rsid w:val="00C72CD0"/>
    <w:rsid w:val="00C72F4C"/>
    <w:rsid w:val="00C7417E"/>
    <w:rsid w:val="00C74321"/>
    <w:rsid w:val="00C74490"/>
    <w:rsid w:val="00C74C17"/>
    <w:rsid w:val="00C751D2"/>
    <w:rsid w:val="00C7525C"/>
    <w:rsid w:val="00C75298"/>
    <w:rsid w:val="00C75A1C"/>
    <w:rsid w:val="00C75A5C"/>
    <w:rsid w:val="00C76922"/>
    <w:rsid w:val="00C77751"/>
    <w:rsid w:val="00C778F3"/>
    <w:rsid w:val="00C77C42"/>
    <w:rsid w:val="00C80DA1"/>
    <w:rsid w:val="00C8154D"/>
    <w:rsid w:val="00C81C92"/>
    <w:rsid w:val="00C83A3D"/>
    <w:rsid w:val="00C83EEE"/>
    <w:rsid w:val="00C841F9"/>
    <w:rsid w:val="00C84A52"/>
    <w:rsid w:val="00C85616"/>
    <w:rsid w:val="00C8646B"/>
    <w:rsid w:val="00C86923"/>
    <w:rsid w:val="00C875E4"/>
    <w:rsid w:val="00C9014A"/>
    <w:rsid w:val="00C9035F"/>
    <w:rsid w:val="00C9038A"/>
    <w:rsid w:val="00C9057E"/>
    <w:rsid w:val="00C908C3"/>
    <w:rsid w:val="00C90B17"/>
    <w:rsid w:val="00C91496"/>
    <w:rsid w:val="00C914F5"/>
    <w:rsid w:val="00C9152B"/>
    <w:rsid w:val="00C9179C"/>
    <w:rsid w:val="00C918DA"/>
    <w:rsid w:val="00C91DF8"/>
    <w:rsid w:val="00C9277F"/>
    <w:rsid w:val="00C92CA9"/>
    <w:rsid w:val="00C930CA"/>
    <w:rsid w:val="00C934CA"/>
    <w:rsid w:val="00C93E20"/>
    <w:rsid w:val="00C93E65"/>
    <w:rsid w:val="00C9442E"/>
    <w:rsid w:val="00C948CF"/>
    <w:rsid w:val="00C94C1C"/>
    <w:rsid w:val="00C953DF"/>
    <w:rsid w:val="00C955ED"/>
    <w:rsid w:val="00C96A41"/>
    <w:rsid w:val="00C96B23"/>
    <w:rsid w:val="00C96E06"/>
    <w:rsid w:val="00C979B8"/>
    <w:rsid w:val="00CA0ABD"/>
    <w:rsid w:val="00CA0B10"/>
    <w:rsid w:val="00CA2509"/>
    <w:rsid w:val="00CA2A94"/>
    <w:rsid w:val="00CA3138"/>
    <w:rsid w:val="00CA3A1E"/>
    <w:rsid w:val="00CA3B14"/>
    <w:rsid w:val="00CA406B"/>
    <w:rsid w:val="00CA467B"/>
    <w:rsid w:val="00CA57FC"/>
    <w:rsid w:val="00CA5EB8"/>
    <w:rsid w:val="00CA5F8E"/>
    <w:rsid w:val="00CA65CC"/>
    <w:rsid w:val="00CA6AEB"/>
    <w:rsid w:val="00CB01E8"/>
    <w:rsid w:val="00CB1568"/>
    <w:rsid w:val="00CB362A"/>
    <w:rsid w:val="00CB40A2"/>
    <w:rsid w:val="00CB4712"/>
    <w:rsid w:val="00CB4FFE"/>
    <w:rsid w:val="00CB552B"/>
    <w:rsid w:val="00CB5A21"/>
    <w:rsid w:val="00CB5B27"/>
    <w:rsid w:val="00CB6693"/>
    <w:rsid w:val="00CB7069"/>
    <w:rsid w:val="00CC0386"/>
    <w:rsid w:val="00CC039B"/>
    <w:rsid w:val="00CC0EDB"/>
    <w:rsid w:val="00CC121D"/>
    <w:rsid w:val="00CC1611"/>
    <w:rsid w:val="00CC1B98"/>
    <w:rsid w:val="00CC1E74"/>
    <w:rsid w:val="00CC1E78"/>
    <w:rsid w:val="00CC22DA"/>
    <w:rsid w:val="00CC2371"/>
    <w:rsid w:val="00CC2B8E"/>
    <w:rsid w:val="00CC2DF4"/>
    <w:rsid w:val="00CC377B"/>
    <w:rsid w:val="00CC4125"/>
    <w:rsid w:val="00CC41E9"/>
    <w:rsid w:val="00CC426D"/>
    <w:rsid w:val="00CC5258"/>
    <w:rsid w:val="00CC530D"/>
    <w:rsid w:val="00CC5A42"/>
    <w:rsid w:val="00CC5AE2"/>
    <w:rsid w:val="00CC5EEC"/>
    <w:rsid w:val="00CC60A1"/>
    <w:rsid w:val="00CC6EDE"/>
    <w:rsid w:val="00CD12CB"/>
    <w:rsid w:val="00CD1503"/>
    <w:rsid w:val="00CD1E4F"/>
    <w:rsid w:val="00CD24B6"/>
    <w:rsid w:val="00CD2CE5"/>
    <w:rsid w:val="00CD3C14"/>
    <w:rsid w:val="00CD4FF5"/>
    <w:rsid w:val="00CD72A1"/>
    <w:rsid w:val="00CD7C9C"/>
    <w:rsid w:val="00CE023D"/>
    <w:rsid w:val="00CE0379"/>
    <w:rsid w:val="00CE0B2A"/>
    <w:rsid w:val="00CE15E5"/>
    <w:rsid w:val="00CE1779"/>
    <w:rsid w:val="00CE1BF3"/>
    <w:rsid w:val="00CE1ECA"/>
    <w:rsid w:val="00CE1F3C"/>
    <w:rsid w:val="00CE1FFD"/>
    <w:rsid w:val="00CE288D"/>
    <w:rsid w:val="00CE2E5A"/>
    <w:rsid w:val="00CE3A4A"/>
    <w:rsid w:val="00CE44AC"/>
    <w:rsid w:val="00CE5958"/>
    <w:rsid w:val="00CE5E6B"/>
    <w:rsid w:val="00CE6571"/>
    <w:rsid w:val="00CF0DB7"/>
    <w:rsid w:val="00CF1A0D"/>
    <w:rsid w:val="00CF1A62"/>
    <w:rsid w:val="00CF23C7"/>
    <w:rsid w:val="00CF263C"/>
    <w:rsid w:val="00CF3733"/>
    <w:rsid w:val="00CF4107"/>
    <w:rsid w:val="00CF4CA7"/>
    <w:rsid w:val="00CF531D"/>
    <w:rsid w:val="00CF5F20"/>
    <w:rsid w:val="00CF727B"/>
    <w:rsid w:val="00CF799F"/>
    <w:rsid w:val="00CF7D41"/>
    <w:rsid w:val="00D01BAE"/>
    <w:rsid w:val="00D02581"/>
    <w:rsid w:val="00D02FAD"/>
    <w:rsid w:val="00D04951"/>
    <w:rsid w:val="00D050AD"/>
    <w:rsid w:val="00D05948"/>
    <w:rsid w:val="00D05C4B"/>
    <w:rsid w:val="00D05D55"/>
    <w:rsid w:val="00D05DC9"/>
    <w:rsid w:val="00D06A19"/>
    <w:rsid w:val="00D0753F"/>
    <w:rsid w:val="00D07AFA"/>
    <w:rsid w:val="00D07B63"/>
    <w:rsid w:val="00D07C21"/>
    <w:rsid w:val="00D07FB3"/>
    <w:rsid w:val="00D1013F"/>
    <w:rsid w:val="00D10497"/>
    <w:rsid w:val="00D107D4"/>
    <w:rsid w:val="00D11AB0"/>
    <w:rsid w:val="00D12D6A"/>
    <w:rsid w:val="00D1311B"/>
    <w:rsid w:val="00D135D1"/>
    <w:rsid w:val="00D13647"/>
    <w:rsid w:val="00D15CEF"/>
    <w:rsid w:val="00D17454"/>
    <w:rsid w:val="00D17BB3"/>
    <w:rsid w:val="00D17BDD"/>
    <w:rsid w:val="00D20C3C"/>
    <w:rsid w:val="00D23C58"/>
    <w:rsid w:val="00D24144"/>
    <w:rsid w:val="00D24659"/>
    <w:rsid w:val="00D248AA"/>
    <w:rsid w:val="00D24B8A"/>
    <w:rsid w:val="00D25709"/>
    <w:rsid w:val="00D3061A"/>
    <w:rsid w:val="00D312C1"/>
    <w:rsid w:val="00D3192C"/>
    <w:rsid w:val="00D319CA"/>
    <w:rsid w:val="00D3218E"/>
    <w:rsid w:val="00D32B0F"/>
    <w:rsid w:val="00D3420C"/>
    <w:rsid w:val="00D34D25"/>
    <w:rsid w:val="00D3531E"/>
    <w:rsid w:val="00D36B95"/>
    <w:rsid w:val="00D37315"/>
    <w:rsid w:val="00D37AE2"/>
    <w:rsid w:val="00D41241"/>
    <w:rsid w:val="00D419A6"/>
    <w:rsid w:val="00D41A61"/>
    <w:rsid w:val="00D41CA7"/>
    <w:rsid w:val="00D41D17"/>
    <w:rsid w:val="00D42021"/>
    <w:rsid w:val="00D423CE"/>
    <w:rsid w:val="00D42909"/>
    <w:rsid w:val="00D434BA"/>
    <w:rsid w:val="00D44AA4"/>
    <w:rsid w:val="00D45B1C"/>
    <w:rsid w:val="00D45BF3"/>
    <w:rsid w:val="00D45F5E"/>
    <w:rsid w:val="00D46251"/>
    <w:rsid w:val="00D464C9"/>
    <w:rsid w:val="00D47FD3"/>
    <w:rsid w:val="00D50B9E"/>
    <w:rsid w:val="00D50D30"/>
    <w:rsid w:val="00D50D4D"/>
    <w:rsid w:val="00D51544"/>
    <w:rsid w:val="00D51BDB"/>
    <w:rsid w:val="00D522AE"/>
    <w:rsid w:val="00D523AA"/>
    <w:rsid w:val="00D524A8"/>
    <w:rsid w:val="00D52E32"/>
    <w:rsid w:val="00D533BD"/>
    <w:rsid w:val="00D54B54"/>
    <w:rsid w:val="00D55197"/>
    <w:rsid w:val="00D551CE"/>
    <w:rsid w:val="00D5580A"/>
    <w:rsid w:val="00D56008"/>
    <w:rsid w:val="00D5604F"/>
    <w:rsid w:val="00D56530"/>
    <w:rsid w:val="00D60C46"/>
    <w:rsid w:val="00D61275"/>
    <w:rsid w:val="00D622B2"/>
    <w:rsid w:val="00D625BC"/>
    <w:rsid w:val="00D63AA7"/>
    <w:rsid w:val="00D643AA"/>
    <w:rsid w:val="00D643F1"/>
    <w:rsid w:val="00D64564"/>
    <w:rsid w:val="00D64C30"/>
    <w:rsid w:val="00D65013"/>
    <w:rsid w:val="00D676C1"/>
    <w:rsid w:val="00D67864"/>
    <w:rsid w:val="00D70E8F"/>
    <w:rsid w:val="00D71270"/>
    <w:rsid w:val="00D717AE"/>
    <w:rsid w:val="00D71871"/>
    <w:rsid w:val="00D7191F"/>
    <w:rsid w:val="00D721F3"/>
    <w:rsid w:val="00D72407"/>
    <w:rsid w:val="00D729CD"/>
    <w:rsid w:val="00D72DE0"/>
    <w:rsid w:val="00D730B5"/>
    <w:rsid w:val="00D7321D"/>
    <w:rsid w:val="00D73470"/>
    <w:rsid w:val="00D73F75"/>
    <w:rsid w:val="00D740D1"/>
    <w:rsid w:val="00D74D0B"/>
    <w:rsid w:val="00D754E5"/>
    <w:rsid w:val="00D75953"/>
    <w:rsid w:val="00D76CCD"/>
    <w:rsid w:val="00D7747E"/>
    <w:rsid w:val="00D77AF1"/>
    <w:rsid w:val="00D80058"/>
    <w:rsid w:val="00D8052A"/>
    <w:rsid w:val="00D8133D"/>
    <w:rsid w:val="00D81911"/>
    <w:rsid w:val="00D82206"/>
    <w:rsid w:val="00D824A4"/>
    <w:rsid w:val="00D83148"/>
    <w:rsid w:val="00D8316D"/>
    <w:rsid w:val="00D83FA3"/>
    <w:rsid w:val="00D84DAD"/>
    <w:rsid w:val="00D84DC1"/>
    <w:rsid w:val="00D85570"/>
    <w:rsid w:val="00D86253"/>
    <w:rsid w:val="00D86423"/>
    <w:rsid w:val="00D86607"/>
    <w:rsid w:val="00D90031"/>
    <w:rsid w:val="00D90C1C"/>
    <w:rsid w:val="00D91826"/>
    <w:rsid w:val="00D91B66"/>
    <w:rsid w:val="00D91DC6"/>
    <w:rsid w:val="00D92A80"/>
    <w:rsid w:val="00D92AD9"/>
    <w:rsid w:val="00D92B55"/>
    <w:rsid w:val="00D93596"/>
    <w:rsid w:val="00D93716"/>
    <w:rsid w:val="00D93F34"/>
    <w:rsid w:val="00D94358"/>
    <w:rsid w:val="00D94852"/>
    <w:rsid w:val="00D94EFF"/>
    <w:rsid w:val="00D9500D"/>
    <w:rsid w:val="00D950C7"/>
    <w:rsid w:val="00D9511A"/>
    <w:rsid w:val="00D95AE6"/>
    <w:rsid w:val="00D96829"/>
    <w:rsid w:val="00D97907"/>
    <w:rsid w:val="00D979EC"/>
    <w:rsid w:val="00D97E74"/>
    <w:rsid w:val="00D97FCE"/>
    <w:rsid w:val="00DA06CF"/>
    <w:rsid w:val="00DA06D5"/>
    <w:rsid w:val="00DA0A53"/>
    <w:rsid w:val="00DA1767"/>
    <w:rsid w:val="00DA2362"/>
    <w:rsid w:val="00DA26E2"/>
    <w:rsid w:val="00DA310C"/>
    <w:rsid w:val="00DA3447"/>
    <w:rsid w:val="00DA3F7F"/>
    <w:rsid w:val="00DA4E21"/>
    <w:rsid w:val="00DA5034"/>
    <w:rsid w:val="00DA5142"/>
    <w:rsid w:val="00DA5898"/>
    <w:rsid w:val="00DA6ACF"/>
    <w:rsid w:val="00DA7450"/>
    <w:rsid w:val="00DA796D"/>
    <w:rsid w:val="00DB081C"/>
    <w:rsid w:val="00DB098C"/>
    <w:rsid w:val="00DB0D51"/>
    <w:rsid w:val="00DB138A"/>
    <w:rsid w:val="00DB3F5F"/>
    <w:rsid w:val="00DB41D8"/>
    <w:rsid w:val="00DB490B"/>
    <w:rsid w:val="00DB4D04"/>
    <w:rsid w:val="00DB54DF"/>
    <w:rsid w:val="00DB6DA1"/>
    <w:rsid w:val="00DB72E5"/>
    <w:rsid w:val="00DB7ADE"/>
    <w:rsid w:val="00DB7C5E"/>
    <w:rsid w:val="00DB7FFE"/>
    <w:rsid w:val="00DC0264"/>
    <w:rsid w:val="00DC1325"/>
    <w:rsid w:val="00DC151D"/>
    <w:rsid w:val="00DC18A5"/>
    <w:rsid w:val="00DC1939"/>
    <w:rsid w:val="00DC1F8F"/>
    <w:rsid w:val="00DC2AAB"/>
    <w:rsid w:val="00DC2D1B"/>
    <w:rsid w:val="00DC40C0"/>
    <w:rsid w:val="00DC477A"/>
    <w:rsid w:val="00DC5ABE"/>
    <w:rsid w:val="00DC63DC"/>
    <w:rsid w:val="00DC6611"/>
    <w:rsid w:val="00DC6693"/>
    <w:rsid w:val="00DC69D7"/>
    <w:rsid w:val="00DC7253"/>
    <w:rsid w:val="00DD03BF"/>
    <w:rsid w:val="00DD0A32"/>
    <w:rsid w:val="00DD0AB6"/>
    <w:rsid w:val="00DD10FB"/>
    <w:rsid w:val="00DD2139"/>
    <w:rsid w:val="00DD21B1"/>
    <w:rsid w:val="00DD241F"/>
    <w:rsid w:val="00DD3152"/>
    <w:rsid w:val="00DD3FA4"/>
    <w:rsid w:val="00DD447A"/>
    <w:rsid w:val="00DD5043"/>
    <w:rsid w:val="00DD550D"/>
    <w:rsid w:val="00DD5DF2"/>
    <w:rsid w:val="00DE0600"/>
    <w:rsid w:val="00DE0C96"/>
    <w:rsid w:val="00DE2164"/>
    <w:rsid w:val="00DE2380"/>
    <w:rsid w:val="00DE2D45"/>
    <w:rsid w:val="00DE388B"/>
    <w:rsid w:val="00DE3E11"/>
    <w:rsid w:val="00DE4417"/>
    <w:rsid w:val="00DE46D6"/>
    <w:rsid w:val="00DE4F2C"/>
    <w:rsid w:val="00DE52B8"/>
    <w:rsid w:val="00DE6287"/>
    <w:rsid w:val="00DE6664"/>
    <w:rsid w:val="00DE6C54"/>
    <w:rsid w:val="00DE7EE6"/>
    <w:rsid w:val="00DF056C"/>
    <w:rsid w:val="00DF0ABC"/>
    <w:rsid w:val="00DF11FB"/>
    <w:rsid w:val="00DF1421"/>
    <w:rsid w:val="00DF1D6C"/>
    <w:rsid w:val="00DF2109"/>
    <w:rsid w:val="00DF2CE7"/>
    <w:rsid w:val="00DF3697"/>
    <w:rsid w:val="00DF3FB6"/>
    <w:rsid w:val="00DF43B4"/>
    <w:rsid w:val="00DF44A3"/>
    <w:rsid w:val="00DF4DAE"/>
    <w:rsid w:val="00DF5A24"/>
    <w:rsid w:val="00DF6151"/>
    <w:rsid w:val="00DF7528"/>
    <w:rsid w:val="00DF758F"/>
    <w:rsid w:val="00DF7D18"/>
    <w:rsid w:val="00E008C6"/>
    <w:rsid w:val="00E00FA4"/>
    <w:rsid w:val="00E01630"/>
    <w:rsid w:val="00E016ED"/>
    <w:rsid w:val="00E01A1F"/>
    <w:rsid w:val="00E025F5"/>
    <w:rsid w:val="00E02BC7"/>
    <w:rsid w:val="00E035A6"/>
    <w:rsid w:val="00E03864"/>
    <w:rsid w:val="00E03DA4"/>
    <w:rsid w:val="00E048FC"/>
    <w:rsid w:val="00E049FB"/>
    <w:rsid w:val="00E056FC"/>
    <w:rsid w:val="00E05EEA"/>
    <w:rsid w:val="00E06094"/>
    <w:rsid w:val="00E06A04"/>
    <w:rsid w:val="00E0775A"/>
    <w:rsid w:val="00E07AF9"/>
    <w:rsid w:val="00E1009A"/>
    <w:rsid w:val="00E107FB"/>
    <w:rsid w:val="00E115CE"/>
    <w:rsid w:val="00E11955"/>
    <w:rsid w:val="00E1196B"/>
    <w:rsid w:val="00E12562"/>
    <w:rsid w:val="00E1257B"/>
    <w:rsid w:val="00E125EA"/>
    <w:rsid w:val="00E125FB"/>
    <w:rsid w:val="00E126E7"/>
    <w:rsid w:val="00E12A39"/>
    <w:rsid w:val="00E13401"/>
    <w:rsid w:val="00E1348E"/>
    <w:rsid w:val="00E13AF4"/>
    <w:rsid w:val="00E13B1B"/>
    <w:rsid w:val="00E13EED"/>
    <w:rsid w:val="00E14823"/>
    <w:rsid w:val="00E14BB8"/>
    <w:rsid w:val="00E15D59"/>
    <w:rsid w:val="00E16348"/>
    <w:rsid w:val="00E166DC"/>
    <w:rsid w:val="00E16C61"/>
    <w:rsid w:val="00E16CD7"/>
    <w:rsid w:val="00E171F0"/>
    <w:rsid w:val="00E17AE2"/>
    <w:rsid w:val="00E2007F"/>
    <w:rsid w:val="00E203EF"/>
    <w:rsid w:val="00E206D5"/>
    <w:rsid w:val="00E209D2"/>
    <w:rsid w:val="00E20C34"/>
    <w:rsid w:val="00E21599"/>
    <w:rsid w:val="00E21903"/>
    <w:rsid w:val="00E21A95"/>
    <w:rsid w:val="00E21FE5"/>
    <w:rsid w:val="00E237CD"/>
    <w:rsid w:val="00E24212"/>
    <w:rsid w:val="00E24587"/>
    <w:rsid w:val="00E2466E"/>
    <w:rsid w:val="00E251A3"/>
    <w:rsid w:val="00E25483"/>
    <w:rsid w:val="00E25C43"/>
    <w:rsid w:val="00E25C72"/>
    <w:rsid w:val="00E26F34"/>
    <w:rsid w:val="00E27977"/>
    <w:rsid w:val="00E27B49"/>
    <w:rsid w:val="00E3062D"/>
    <w:rsid w:val="00E3083C"/>
    <w:rsid w:val="00E30FEA"/>
    <w:rsid w:val="00E315FC"/>
    <w:rsid w:val="00E32802"/>
    <w:rsid w:val="00E32BDB"/>
    <w:rsid w:val="00E32E52"/>
    <w:rsid w:val="00E3360B"/>
    <w:rsid w:val="00E338BD"/>
    <w:rsid w:val="00E33AA9"/>
    <w:rsid w:val="00E33B06"/>
    <w:rsid w:val="00E33EDE"/>
    <w:rsid w:val="00E344B2"/>
    <w:rsid w:val="00E348E4"/>
    <w:rsid w:val="00E35BCB"/>
    <w:rsid w:val="00E35C1B"/>
    <w:rsid w:val="00E35DE3"/>
    <w:rsid w:val="00E35F3D"/>
    <w:rsid w:val="00E362A1"/>
    <w:rsid w:val="00E36608"/>
    <w:rsid w:val="00E366C8"/>
    <w:rsid w:val="00E37F0B"/>
    <w:rsid w:val="00E402FB"/>
    <w:rsid w:val="00E40623"/>
    <w:rsid w:val="00E413CC"/>
    <w:rsid w:val="00E41ED2"/>
    <w:rsid w:val="00E422DF"/>
    <w:rsid w:val="00E42A0F"/>
    <w:rsid w:val="00E43866"/>
    <w:rsid w:val="00E43AB8"/>
    <w:rsid w:val="00E44157"/>
    <w:rsid w:val="00E4416C"/>
    <w:rsid w:val="00E443A8"/>
    <w:rsid w:val="00E449B1"/>
    <w:rsid w:val="00E45A66"/>
    <w:rsid w:val="00E45BA9"/>
    <w:rsid w:val="00E45C22"/>
    <w:rsid w:val="00E45CFA"/>
    <w:rsid w:val="00E46650"/>
    <w:rsid w:val="00E46690"/>
    <w:rsid w:val="00E4696D"/>
    <w:rsid w:val="00E47818"/>
    <w:rsid w:val="00E50810"/>
    <w:rsid w:val="00E50847"/>
    <w:rsid w:val="00E51014"/>
    <w:rsid w:val="00E5135D"/>
    <w:rsid w:val="00E51494"/>
    <w:rsid w:val="00E518EF"/>
    <w:rsid w:val="00E525B4"/>
    <w:rsid w:val="00E531E4"/>
    <w:rsid w:val="00E533EC"/>
    <w:rsid w:val="00E544E2"/>
    <w:rsid w:val="00E56480"/>
    <w:rsid w:val="00E572DA"/>
    <w:rsid w:val="00E57B22"/>
    <w:rsid w:val="00E6067A"/>
    <w:rsid w:val="00E609E7"/>
    <w:rsid w:val="00E61783"/>
    <w:rsid w:val="00E618EC"/>
    <w:rsid w:val="00E6271C"/>
    <w:rsid w:val="00E6277A"/>
    <w:rsid w:val="00E632B2"/>
    <w:rsid w:val="00E634C2"/>
    <w:rsid w:val="00E635FA"/>
    <w:rsid w:val="00E63A97"/>
    <w:rsid w:val="00E6673F"/>
    <w:rsid w:val="00E66870"/>
    <w:rsid w:val="00E66FEB"/>
    <w:rsid w:val="00E67361"/>
    <w:rsid w:val="00E67B7E"/>
    <w:rsid w:val="00E704E7"/>
    <w:rsid w:val="00E71D5D"/>
    <w:rsid w:val="00E72396"/>
    <w:rsid w:val="00E7264D"/>
    <w:rsid w:val="00E734AF"/>
    <w:rsid w:val="00E73840"/>
    <w:rsid w:val="00E740F0"/>
    <w:rsid w:val="00E74160"/>
    <w:rsid w:val="00E74B9B"/>
    <w:rsid w:val="00E75D0F"/>
    <w:rsid w:val="00E76DC1"/>
    <w:rsid w:val="00E7731E"/>
    <w:rsid w:val="00E77BC3"/>
    <w:rsid w:val="00E8015C"/>
    <w:rsid w:val="00E809B9"/>
    <w:rsid w:val="00E80E4C"/>
    <w:rsid w:val="00E8111B"/>
    <w:rsid w:val="00E81341"/>
    <w:rsid w:val="00E81BBD"/>
    <w:rsid w:val="00E81F6F"/>
    <w:rsid w:val="00E8324E"/>
    <w:rsid w:val="00E8349C"/>
    <w:rsid w:val="00E83C95"/>
    <w:rsid w:val="00E84909"/>
    <w:rsid w:val="00E84936"/>
    <w:rsid w:val="00E84963"/>
    <w:rsid w:val="00E85151"/>
    <w:rsid w:val="00E85AB7"/>
    <w:rsid w:val="00E85E71"/>
    <w:rsid w:val="00E86277"/>
    <w:rsid w:val="00E86A5A"/>
    <w:rsid w:val="00E8774B"/>
    <w:rsid w:val="00E87C8C"/>
    <w:rsid w:val="00E9063B"/>
    <w:rsid w:val="00E90A46"/>
    <w:rsid w:val="00E91C49"/>
    <w:rsid w:val="00E92480"/>
    <w:rsid w:val="00E92731"/>
    <w:rsid w:val="00E92F37"/>
    <w:rsid w:val="00E94214"/>
    <w:rsid w:val="00E949D9"/>
    <w:rsid w:val="00E952E2"/>
    <w:rsid w:val="00E95C6A"/>
    <w:rsid w:val="00E95CDD"/>
    <w:rsid w:val="00E95DCC"/>
    <w:rsid w:val="00E960AA"/>
    <w:rsid w:val="00E96ADD"/>
    <w:rsid w:val="00E96CA1"/>
    <w:rsid w:val="00E96D2E"/>
    <w:rsid w:val="00E971B2"/>
    <w:rsid w:val="00E971C9"/>
    <w:rsid w:val="00E97C7F"/>
    <w:rsid w:val="00EA0B7D"/>
    <w:rsid w:val="00EA160B"/>
    <w:rsid w:val="00EA1CE7"/>
    <w:rsid w:val="00EA2DA0"/>
    <w:rsid w:val="00EA33C2"/>
    <w:rsid w:val="00EA3EB8"/>
    <w:rsid w:val="00EA3FAE"/>
    <w:rsid w:val="00EA401A"/>
    <w:rsid w:val="00EA4407"/>
    <w:rsid w:val="00EA4A77"/>
    <w:rsid w:val="00EA4E56"/>
    <w:rsid w:val="00EA5EB4"/>
    <w:rsid w:val="00EA5FDF"/>
    <w:rsid w:val="00EA61E9"/>
    <w:rsid w:val="00EA67AB"/>
    <w:rsid w:val="00EA6BAC"/>
    <w:rsid w:val="00EA71E5"/>
    <w:rsid w:val="00EA7F19"/>
    <w:rsid w:val="00EA7FB6"/>
    <w:rsid w:val="00EA7FF9"/>
    <w:rsid w:val="00EB1A3F"/>
    <w:rsid w:val="00EB2327"/>
    <w:rsid w:val="00EB2A99"/>
    <w:rsid w:val="00EB2BE3"/>
    <w:rsid w:val="00EB4814"/>
    <w:rsid w:val="00EB49BB"/>
    <w:rsid w:val="00EB4D18"/>
    <w:rsid w:val="00EB619E"/>
    <w:rsid w:val="00EB6458"/>
    <w:rsid w:val="00EB6C81"/>
    <w:rsid w:val="00EB7781"/>
    <w:rsid w:val="00EC00F1"/>
    <w:rsid w:val="00EC0526"/>
    <w:rsid w:val="00EC0575"/>
    <w:rsid w:val="00EC127D"/>
    <w:rsid w:val="00EC1ABD"/>
    <w:rsid w:val="00EC3963"/>
    <w:rsid w:val="00EC41AB"/>
    <w:rsid w:val="00EC42F2"/>
    <w:rsid w:val="00EC44F2"/>
    <w:rsid w:val="00EC593C"/>
    <w:rsid w:val="00EC59BB"/>
    <w:rsid w:val="00EC5B83"/>
    <w:rsid w:val="00EC785F"/>
    <w:rsid w:val="00ED0EC3"/>
    <w:rsid w:val="00ED1138"/>
    <w:rsid w:val="00ED113D"/>
    <w:rsid w:val="00ED1342"/>
    <w:rsid w:val="00ED19DD"/>
    <w:rsid w:val="00ED1F85"/>
    <w:rsid w:val="00ED1F88"/>
    <w:rsid w:val="00ED324B"/>
    <w:rsid w:val="00ED355D"/>
    <w:rsid w:val="00ED3932"/>
    <w:rsid w:val="00ED5643"/>
    <w:rsid w:val="00ED5F2B"/>
    <w:rsid w:val="00ED60B6"/>
    <w:rsid w:val="00ED7A38"/>
    <w:rsid w:val="00ED7FA9"/>
    <w:rsid w:val="00EE1ADE"/>
    <w:rsid w:val="00EE2362"/>
    <w:rsid w:val="00EE24DA"/>
    <w:rsid w:val="00EE26F2"/>
    <w:rsid w:val="00EE42F6"/>
    <w:rsid w:val="00EE4D0C"/>
    <w:rsid w:val="00EE4E6D"/>
    <w:rsid w:val="00EE4F44"/>
    <w:rsid w:val="00EE5171"/>
    <w:rsid w:val="00EE53EC"/>
    <w:rsid w:val="00EE6A42"/>
    <w:rsid w:val="00EE788C"/>
    <w:rsid w:val="00EE7AE3"/>
    <w:rsid w:val="00EF06F2"/>
    <w:rsid w:val="00EF1304"/>
    <w:rsid w:val="00EF1AA4"/>
    <w:rsid w:val="00EF258F"/>
    <w:rsid w:val="00EF2A64"/>
    <w:rsid w:val="00EF2A82"/>
    <w:rsid w:val="00EF45EB"/>
    <w:rsid w:val="00EF592A"/>
    <w:rsid w:val="00EF6161"/>
    <w:rsid w:val="00EF66D6"/>
    <w:rsid w:val="00EF6AEB"/>
    <w:rsid w:val="00EF6E2A"/>
    <w:rsid w:val="00EF7134"/>
    <w:rsid w:val="00EF78B1"/>
    <w:rsid w:val="00EF7E96"/>
    <w:rsid w:val="00F00C61"/>
    <w:rsid w:val="00F010D7"/>
    <w:rsid w:val="00F01318"/>
    <w:rsid w:val="00F01652"/>
    <w:rsid w:val="00F019AE"/>
    <w:rsid w:val="00F02B26"/>
    <w:rsid w:val="00F039DC"/>
    <w:rsid w:val="00F043F1"/>
    <w:rsid w:val="00F04B8B"/>
    <w:rsid w:val="00F05CC7"/>
    <w:rsid w:val="00F0656C"/>
    <w:rsid w:val="00F06AE4"/>
    <w:rsid w:val="00F070B7"/>
    <w:rsid w:val="00F072E6"/>
    <w:rsid w:val="00F107FC"/>
    <w:rsid w:val="00F10DA8"/>
    <w:rsid w:val="00F117AA"/>
    <w:rsid w:val="00F119EA"/>
    <w:rsid w:val="00F11DB6"/>
    <w:rsid w:val="00F132F7"/>
    <w:rsid w:val="00F13FA7"/>
    <w:rsid w:val="00F144D8"/>
    <w:rsid w:val="00F14AC7"/>
    <w:rsid w:val="00F15BE9"/>
    <w:rsid w:val="00F16124"/>
    <w:rsid w:val="00F16442"/>
    <w:rsid w:val="00F17200"/>
    <w:rsid w:val="00F202AF"/>
    <w:rsid w:val="00F204A8"/>
    <w:rsid w:val="00F20D31"/>
    <w:rsid w:val="00F2147D"/>
    <w:rsid w:val="00F21B14"/>
    <w:rsid w:val="00F21E3C"/>
    <w:rsid w:val="00F2209E"/>
    <w:rsid w:val="00F22B72"/>
    <w:rsid w:val="00F22BB0"/>
    <w:rsid w:val="00F22E89"/>
    <w:rsid w:val="00F2343D"/>
    <w:rsid w:val="00F23C92"/>
    <w:rsid w:val="00F23FE1"/>
    <w:rsid w:val="00F24BEF"/>
    <w:rsid w:val="00F2599C"/>
    <w:rsid w:val="00F26476"/>
    <w:rsid w:val="00F2672E"/>
    <w:rsid w:val="00F26CA0"/>
    <w:rsid w:val="00F27243"/>
    <w:rsid w:val="00F27619"/>
    <w:rsid w:val="00F27DE8"/>
    <w:rsid w:val="00F30203"/>
    <w:rsid w:val="00F30256"/>
    <w:rsid w:val="00F302DC"/>
    <w:rsid w:val="00F3047B"/>
    <w:rsid w:val="00F311CE"/>
    <w:rsid w:val="00F31442"/>
    <w:rsid w:val="00F3178A"/>
    <w:rsid w:val="00F317B2"/>
    <w:rsid w:val="00F31E74"/>
    <w:rsid w:val="00F32011"/>
    <w:rsid w:val="00F323F5"/>
    <w:rsid w:val="00F3423E"/>
    <w:rsid w:val="00F34E85"/>
    <w:rsid w:val="00F35403"/>
    <w:rsid w:val="00F361B4"/>
    <w:rsid w:val="00F361CE"/>
    <w:rsid w:val="00F36901"/>
    <w:rsid w:val="00F36E61"/>
    <w:rsid w:val="00F371E2"/>
    <w:rsid w:val="00F375AC"/>
    <w:rsid w:val="00F37C8F"/>
    <w:rsid w:val="00F404EB"/>
    <w:rsid w:val="00F40509"/>
    <w:rsid w:val="00F4119E"/>
    <w:rsid w:val="00F411AB"/>
    <w:rsid w:val="00F417EB"/>
    <w:rsid w:val="00F41DBF"/>
    <w:rsid w:val="00F41E0F"/>
    <w:rsid w:val="00F41EE4"/>
    <w:rsid w:val="00F42430"/>
    <w:rsid w:val="00F429C0"/>
    <w:rsid w:val="00F4364C"/>
    <w:rsid w:val="00F44265"/>
    <w:rsid w:val="00F443B7"/>
    <w:rsid w:val="00F44C0E"/>
    <w:rsid w:val="00F45FC3"/>
    <w:rsid w:val="00F46521"/>
    <w:rsid w:val="00F46B1D"/>
    <w:rsid w:val="00F4706C"/>
    <w:rsid w:val="00F478DB"/>
    <w:rsid w:val="00F5014C"/>
    <w:rsid w:val="00F502F5"/>
    <w:rsid w:val="00F504A8"/>
    <w:rsid w:val="00F50EB5"/>
    <w:rsid w:val="00F519B7"/>
    <w:rsid w:val="00F525AD"/>
    <w:rsid w:val="00F526BC"/>
    <w:rsid w:val="00F52A78"/>
    <w:rsid w:val="00F52FF6"/>
    <w:rsid w:val="00F531C6"/>
    <w:rsid w:val="00F53785"/>
    <w:rsid w:val="00F54738"/>
    <w:rsid w:val="00F549D3"/>
    <w:rsid w:val="00F54BD6"/>
    <w:rsid w:val="00F54DC2"/>
    <w:rsid w:val="00F55A46"/>
    <w:rsid w:val="00F55C1B"/>
    <w:rsid w:val="00F55F6E"/>
    <w:rsid w:val="00F56F38"/>
    <w:rsid w:val="00F573FE"/>
    <w:rsid w:val="00F57CBB"/>
    <w:rsid w:val="00F6020F"/>
    <w:rsid w:val="00F60643"/>
    <w:rsid w:val="00F60C17"/>
    <w:rsid w:val="00F61905"/>
    <w:rsid w:val="00F61C0A"/>
    <w:rsid w:val="00F6255D"/>
    <w:rsid w:val="00F635ED"/>
    <w:rsid w:val="00F641DC"/>
    <w:rsid w:val="00F6491B"/>
    <w:rsid w:val="00F64E2B"/>
    <w:rsid w:val="00F6542D"/>
    <w:rsid w:val="00F65597"/>
    <w:rsid w:val="00F65BF7"/>
    <w:rsid w:val="00F65CAF"/>
    <w:rsid w:val="00F6655A"/>
    <w:rsid w:val="00F66691"/>
    <w:rsid w:val="00F667FE"/>
    <w:rsid w:val="00F705E2"/>
    <w:rsid w:val="00F718D1"/>
    <w:rsid w:val="00F71E92"/>
    <w:rsid w:val="00F7373D"/>
    <w:rsid w:val="00F73A0F"/>
    <w:rsid w:val="00F759EB"/>
    <w:rsid w:val="00F7601A"/>
    <w:rsid w:val="00F76BBB"/>
    <w:rsid w:val="00F76D31"/>
    <w:rsid w:val="00F77405"/>
    <w:rsid w:val="00F77941"/>
    <w:rsid w:val="00F801E0"/>
    <w:rsid w:val="00F803D3"/>
    <w:rsid w:val="00F80478"/>
    <w:rsid w:val="00F807FF"/>
    <w:rsid w:val="00F81657"/>
    <w:rsid w:val="00F81CB4"/>
    <w:rsid w:val="00F83040"/>
    <w:rsid w:val="00F833C1"/>
    <w:rsid w:val="00F834E7"/>
    <w:rsid w:val="00F83AD6"/>
    <w:rsid w:val="00F83EE0"/>
    <w:rsid w:val="00F84C25"/>
    <w:rsid w:val="00F84DFA"/>
    <w:rsid w:val="00F85315"/>
    <w:rsid w:val="00F85427"/>
    <w:rsid w:val="00F85F6E"/>
    <w:rsid w:val="00F86B10"/>
    <w:rsid w:val="00F86B6E"/>
    <w:rsid w:val="00F86CBC"/>
    <w:rsid w:val="00F87414"/>
    <w:rsid w:val="00F900EC"/>
    <w:rsid w:val="00F902C1"/>
    <w:rsid w:val="00F90300"/>
    <w:rsid w:val="00F910AC"/>
    <w:rsid w:val="00F92BB5"/>
    <w:rsid w:val="00F92CA1"/>
    <w:rsid w:val="00F933E0"/>
    <w:rsid w:val="00F93985"/>
    <w:rsid w:val="00F93AF8"/>
    <w:rsid w:val="00F9403A"/>
    <w:rsid w:val="00F94AE9"/>
    <w:rsid w:val="00F94BA7"/>
    <w:rsid w:val="00F9575A"/>
    <w:rsid w:val="00F9637D"/>
    <w:rsid w:val="00F96775"/>
    <w:rsid w:val="00F9745D"/>
    <w:rsid w:val="00F97FB8"/>
    <w:rsid w:val="00FA005F"/>
    <w:rsid w:val="00FA0D7D"/>
    <w:rsid w:val="00FA105A"/>
    <w:rsid w:val="00FA23E6"/>
    <w:rsid w:val="00FA2487"/>
    <w:rsid w:val="00FA255E"/>
    <w:rsid w:val="00FA269A"/>
    <w:rsid w:val="00FA38BD"/>
    <w:rsid w:val="00FA3F88"/>
    <w:rsid w:val="00FA40C3"/>
    <w:rsid w:val="00FA434B"/>
    <w:rsid w:val="00FA5233"/>
    <w:rsid w:val="00FA571A"/>
    <w:rsid w:val="00FA591A"/>
    <w:rsid w:val="00FA647B"/>
    <w:rsid w:val="00FA6CB0"/>
    <w:rsid w:val="00FA6EC1"/>
    <w:rsid w:val="00FA7A89"/>
    <w:rsid w:val="00FB0174"/>
    <w:rsid w:val="00FB07AD"/>
    <w:rsid w:val="00FB0989"/>
    <w:rsid w:val="00FB1602"/>
    <w:rsid w:val="00FB16F4"/>
    <w:rsid w:val="00FB2040"/>
    <w:rsid w:val="00FB236E"/>
    <w:rsid w:val="00FB381E"/>
    <w:rsid w:val="00FB3D47"/>
    <w:rsid w:val="00FB3ECC"/>
    <w:rsid w:val="00FB4BC8"/>
    <w:rsid w:val="00FB4CF3"/>
    <w:rsid w:val="00FB4FFC"/>
    <w:rsid w:val="00FB5C48"/>
    <w:rsid w:val="00FB6ABA"/>
    <w:rsid w:val="00FB7384"/>
    <w:rsid w:val="00FB7741"/>
    <w:rsid w:val="00FC0C02"/>
    <w:rsid w:val="00FC0D32"/>
    <w:rsid w:val="00FC0EB6"/>
    <w:rsid w:val="00FC149E"/>
    <w:rsid w:val="00FC169D"/>
    <w:rsid w:val="00FC179C"/>
    <w:rsid w:val="00FC21C9"/>
    <w:rsid w:val="00FC227F"/>
    <w:rsid w:val="00FC33C4"/>
    <w:rsid w:val="00FC3737"/>
    <w:rsid w:val="00FC37F0"/>
    <w:rsid w:val="00FC3AA2"/>
    <w:rsid w:val="00FC3AC3"/>
    <w:rsid w:val="00FC4676"/>
    <w:rsid w:val="00FC57A4"/>
    <w:rsid w:val="00FC5FB1"/>
    <w:rsid w:val="00FC6C86"/>
    <w:rsid w:val="00FD0C4A"/>
    <w:rsid w:val="00FD23D7"/>
    <w:rsid w:val="00FD2470"/>
    <w:rsid w:val="00FD264B"/>
    <w:rsid w:val="00FD364C"/>
    <w:rsid w:val="00FD389D"/>
    <w:rsid w:val="00FD3CF2"/>
    <w:rsid w:val="00FD41DD"/>
    <w:rsid w:val="00FD4C78"/>
    <w:rsid w:val="00FD511C"/>
    <w:rsid w:val="00FD5224"/>
    <w:rsid w:val="00FD55C3"/>
    <w:rsid w:val="00FD59D4"/>
    <w:rsid w:val="00FD6510"/>
    <w:rsid w:val="00FD6BFF"/>
    <w:rsid w:val="00FD6E95"/>
    <w:rsid w:val="00FD7F1D"/>
    <w:rsid w:val="00FE0378"/>
    <w:rsid w:val="00FE0577"/>
    <w:rsid w:val="00FE06D6"/>
    <w:rsid w:val="00FE07AC"/>
    <w:rsid w:val="00FE080F"/>
    <w:rsid w:val="00FE0C02"/>
    <w:rsid w:val="00FE0F3F"/>
    <w:rsid w:val="00FE0FD1"/>
    <w:rsid w:val="00FE2647"/>
    <w:rsid w:val="00FE29FB"/>
    <w:rsid w:val="00FE2DA5"/>
    <w:rsid w:val="00FE3A65"/>
    <w:rsid w:val="00FE4402"/>
    <w:rsid w:val="00FE453A"/>
    <w:rsid w:val="00FE5084"/>
    <w:rsid w:val="00FE6333"/>
    <w:rsid w:val="00FE63DC"/>
    <w:rsid w:val="00FE670B"/>
    <w:rsid w:val="00FE77C4"/>
    <w:rsid w:val="00FF091F"/>
    <w:rsid w:val="00FF0C72"/>
    <w:rsid w:val="00FF1AFB"/>
    <w:rsid w:val="00FF28B7"/>
    <w:rsid w:val="00FF2B76"/>
    <w:rsid w:val="00FF2EEA"/>
    <w:rsid w:val="00FF4DFA"/>
    <w:rsid w:val="00FF5118"/>
    <w:rsid w:val="00FF57FA"/>
    <w:rsid w:val="00FF6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304CDC"/>
  <w15:docId w15:val="{A2E36423-4BC0-4B14-8D1C-319D334F0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7CB"/>
    <w:rPr>
      <w:rFonts w:ascii="Arial" w:hAnsi="Arial"/>
      <w:sz w:val="22"/>
      <w:szCs w:val="24"/>
      <w:lang w:eastAsia="en-US"/>
    </w:rPr>
  </w:style>
  <w:style w:type="paragraph" w:styleId="Heading1">
    <w:name w:val="heading 1"/>
    <w:aliases w:val="Centre"/>
    <w:basedOn w:val="Normal"/>
    <w:next w:val="Normal"/>
    <w:link w:val="Heading1Char"/>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link w:val="Heading2Char"/>
    <w:qFormat/>
    <w:rsid w:val="00CE6571"/>
    <w:pPr>
      <w:keepNext/>
      <w:outlineLvl w:val="1"/>
    </w:pPr>
    <w:rPr>
      <w:rFonts w:cs="Arial"/>
      <w:b/>
      <w:bCs/>
      <w:iCs/>
      <w:caps/>
      <w:szCs w:val="28"/>
    </w:rPr>
  </w:style>
  <w:style w:type="paragraph" w:styleId="Heading3">
    <w:name w:val="heading 3"/>
    <w:aliases w:val="Sub"/>
    <w:basedOn w:val="Normal"/>
    <w:next w:val="Normal"/>
    <w:link w:val="Heading3Char"/>
    <w:qFormat/>
    <w:rsid w:val="00CE6571"/>
    <w:pPr>
      <w:keepNext/>
      <w:outlineLvl w:val="2"/>
    </w:pPr>
    <w:rPr>
      <w:rFonts w:cs="Arial"/>
      <w:b/>
      <w:bCs/>
      <w:szCs w:val="26"/>
    </w:rPr>
  </w:style>
  <w:style w:type="paragraph" w:styleId="Heading4">
    <w:name w:val="heading 4"/>
    <w:basedOn w:val="Normal"/>
    <w:next w:val="Normal"/>
    <w:link w:val="Heading4Char"/>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CE6571"/>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CE6571"/>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CE6571"/>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CE6571"/>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CE6571"/>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A22"/>
    <w:pPr>
      <w:tabs>
        <w:tab w:val="center" w:pos="4153"/>
        <w:tab w:val="right" w:pos="8306"/>
      </w:tabs>
    </w:pPr>
  </w:style>
  <w:style w:type="table" w:styleId="TableGrid">
    <w:name w:val="Table Grid"/>
    <w:basedOn w:val="TableNormal"/>
    <w:uiPriority w:val="59"/>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link w:val="FooterChar"/>
    <w:rsid w:val="00487A22"/>
    <w:pPr>
      <w:tabs>
        <w:tab w:val="center" w:pos="4153"/>
        <w:tab w:val="right" w:pos="8306"/>
      </w:tabs>
    </w:pPr>
  </w:style>
  <w:style w:type="paragraph" w:customStyle="1" w:styleId="TSHeadingNumbered1">
    <w:name w:val="TS Heading Numbered 1"/>
    <w:basedOn w:val="Normal"/>
    <w:link w:val="TSHeadingNumbered1Char"/>
    <w:rsid w:val="00226293"/>
    <w:pPr>
      <w:numPr>
        <w:numId w:val="1"/>
      </w:numPr>
      <w:spacing w:after="220"/>
      <w:outlineLvl w:val="0"/>
    </w:pPr>
    <w:rPr>
      <w:rFonts w:ascii="Arial Bold" w:hAnsi="Arial Bold"/>
      <w:b/>
      <w:caps/>
    </w:rPr>
  </w:style>
  <w:style w:type="paragraph" w:customStyle="1" w:styleId="TSHeadingNumbered11">
    <w:name w:val="TS Heading Numbered 1.1"/>
    <w:basedOn w:val="TSHeadingNumbered1"/>
    <w:link w:val="TSHeadingNumbered11Char"/>
    <w:rsid w:val="00226293"/>
    <w:pPr>
      <w:numPr>
        <w:ilvl w:val="1"/>
      </w:numPr>
    </w:pPr>
    <w:rPr>
      <w:caps w:val="0"/>
    </w:rPr>
  </w:style>
  <w:style w:type="paragraph" w:customStyle="1" w:styleId="TSHeadingNumbered111">
    <w:name w:val="TS Heading Numbered 1.1.1"/>
    <w:basedOn w:val="TSHeadingNumbered1"/>
    <w:rsid w:val="00226293"/>
    <w:pPr>
      <w:numPr>
        <w:ilvl w:val="2"/>
      </w:numPr>
    </w:pPr>
    <w:rPr>
      <w:caps w:val="0"/>
    </w:rPr>
  </w:style>
  <w:style w:type="paragraph" w:customStyle="1" w:styleId="TSHeadingNumbered1111">
    <w:name w:val="TS Heading Numbered 1.1.1.1"/>
    <w:basedOn w:val="TSHeadingNumbered1"/>
    <w:uiPriority w:val="99"/>
    <w:rsid w:val="00CE6571"/>
    <w:pPr>
      <w:numPr>
        <w:ilvl w:val="3"/>
      </w:numPr>
    </w:pPr>
  </w:style>
  <w:style w:type="character" w:styleId="Hyperlink">
    <w:name w:val="Hyperlink"/>
    <w:uiPriority w:val="99"/>
    <w:rsid w:val="009B5159"/>
    <w:rPr>
      <w:color w:val="0000FF"/>
      <w:u w:val="single"/>
    </w:rPr>
  </w:style>
  <w:style w:type="paragraph" w:customStyle="1" w:styleId="TSNumberedParagraph11">
    <w:name w:val="TS Numbered Paragraph 1.1"/>
    <w:basedOn w:val="TSHeadingNumbered11"/>
    <w:rsid w:val="009B5159"/>
    <w:rPr>
      <w:b w:val="0"/>
    </w:rPr>
  </w:style>
  <w:style w:type="character" w:customStyle="1" w:styleId="TSExampleText">
    <w:name w:val="TS Example Text"/>
    <w:rsid w:val="009B5159"/>
    <w:rPr>
      <w:i/>
      <w:iCs/>
      <w:color w:val="006D68"/>
    </w:rPr>
  </w:style>
  <w:style w:type="paragraph" w:styleId="TOC1">
    <w:name w:val="toc 1"/>
    <w:basedOn w:val="Normal"/>
    <w:next w:val="Normal"/>
    <w:autoRedefine/>
    <w:uiPriority w:val="39"/>
    <w:rsid w:val="00D07AFA"/>
    <w:pPr>
      <w:tabs>
        <w:tab w:val="left" w:pos="360"/>
        <w:tab w:val="right" w:leader="dot" w:pos="9216"/>
      </w:tabs>
      <w:spacing w:before="120" w:after="120"/>
      <w:ind w:left="357" w:hanging="357"/>
    </w:pPr>
    <w:rPr>
      <w:caps/>
    </w:rPr>
  </w:style>
  <w:style w:type="paragraph" w:customStyle="1" w:styleId="TSBullet1Square">
    <w:name w:val="TS Bullet 1 Square"/>
    <w:basedOn w:val="Normal"/>
    <w:link w:val="TSBullet1SquareChar"/>
    <w:rsid w:val="00B504F7"/>
    <w:pPr>
      <w:numPr>
        <w:numId w:val="2"/>
      </w:numPr>
      <w:spacing w:after="240"/>
      <w:contextualSpacing/>
    </w:pPr>
  </w:style>
  <w:style w:type="paragraph" w:customStyle="1" w:styleId="TSBullet2Circle">
    <w:name w:val="TS Bullet 2 Circle"/>
    <w:basedOn w:val="TSBullet1Square"/>
    <w:rsid w:val="00B504F7"/>
    <w:pPr>
      <w:numPr>
        <w:numId w:val="3"/>
      </w:numPr>
    </w:pPr>
  </w:style>
  <w:style w:type="paragraph" w:styleId="FootnoteText">
    <w:name w:val="footnote text"/>
    <w:basedOn w:val="Normal"/>
    <w:link w:val="FootnoteTextChar"/>
    <w:rsid w:val="008C6FF6"/>
    <w:rPr>
      <w:i/>
      <w:sz w:val="16"/>
      <w:szCs w:val="20"/>
    </w:rPr>
  </w:style>
  <w:style w:type="character" w:styleId="FootnoteReference">
    <w:name w:val="footnote reference"/>
    <w:rsid w:val="006067A8"/>
    <w:rPr>
      <w:vertAlign w:val="superscript"/>
    </w:rPr>
  </w:style>
  <w:style w:type="paragraph" w:customStyle="1" w:styleId="TSNumberedParagraph1">
    <w:name w:val="TS Numbered Paragraph 1"/>
    <w:basedOn w:val="TSNumberedParagraph11"/>
    <w:rsid w:val="00226293"/>
    <w:pPr>
      <w:numPr>
        <w:ilvl w:val="0"/>
        <w:numId w:val="4"/>
      </w:numPr>
    </w:pPr>
    <w:rPr>
      <w:rFonts w:ascii="Arial" w:hAnsi="Arial"/>
    </w:rPr>
  </w:style>
  <w:style w:type="paragraph" w:customStyle="1" w:styleId="ONRCopyrightBlock">
    <w:name w:val="ONR Copyright Block"/>
    <w:basedOn w:val="Normal"/>
    <w:rsid w:val="00190D8E"/>
    <w:rPr>
      <w:rFonts w:cs="Arial"/>
      <w:sz w:val="18"/>
      <w:szCs w:val="18"/>
    </w:rPr>
  </w:style>
  <w:style w:type="paragraph" w:styleId="DocumentMap">
    <w:name w:val="Document Map"/>
    <w:basedOn w:val="Normal"/>
    <w:link w:val="DocumentMapChar"/>
    <w:semiHidden/>
    <w:rsid w:val="00226293"/>
    <w:pPr>
      <w:shd w:val="clear" w:color="auto" w:fill="000080"/>
    </w:pPr>
    <w:rPr>
      <w:rFonts w:ascii="Tahoma" w:hAnsi="Tahoma" w:cs="Tahoma"/>
      <w:sz w:val="20"/>
      <w:szCs w:val="20"/>
    </w:rPr>
  </w:style>
  <w:style w:type="character" w:customStyle="1" w:styleId="HeaderChar">
    <w:name w:val="Header Char"/>
    <w:link w:val="Header"/>
    <w:locked/>
    <w:rsid w:val="00465D42"/>
    <w:rPr>
      <w:rFonts w:ascii="Arial" w:hAnsi="Arial"/>
      <w:sz w:val="22"/>
      <w:szCs w:val="24"/>
      <w:lang w:val="en-GB" w:eastAsia="en-US" w:bidi="ar-SA"/>
    </w:rPr>
  </w:style>
  <w:style w:type="paragraph" w:styleId="TOC2">
    <w:name w:val="toc 2"/>
    <w:basedOn w:val="Normal"/>
    <w:next w:val="Normal"/>
    <w:autoRedefine/>
    <w:uiPriority w:val="39"/>
    <w:rsid w:val="00D07AFA"/>
    <w:pPr>
      <w:tabs>
        <w:tab w:val="left" w:pos="880"/>
        <w:tab w:val="right" w:leader="dot" w:pos="9214"/>
      </w:tabs>
      <w:spacing w:before="120"/>
      <w:ind w:left="901" w:hanging="680"/>
    </w:pPr>
  </w:style>
  <w:style w:type="character" w:styleId="FollowedHyperlink">
    <w:name w:val="FollowedHyperlink"/>
    <w:rsid w:val="00443EBC"/>
    <w:rPr>
      <w:color w:val="800080"/>
      <w:u w:val="single"/>
    </w:rPr>
  </w:style>
  <w:style w:type="paragraph" w:styleId="BalloonText">
    <w:name w:val="Balloon Text"/>
    <w:basedOn w:val="Normal"/>
    <w:link w:val="BalloonTextChar"/>
    <w:uiPriority w:val="99"/>
    <w:rsid w:val="00916D91"/>
    <w:rPr>
      <w:rFonts w:ascii="Tahoma" w:hAnsi="Tahoma" w:cs="Tahoma"/>
      <w:sz w:val="16"/>
      <w:szCs w:val="16"/>
    </w:rPr>
  </w:style>
  <w:style w:type="character" w:customStyle="1" w:styleId="BalloonTextChar">
    <w:name w:val="Balloon Text Char"/>
    <w:link w:val="BalloonText"/>
    <w:uiPriority w:val="99"/>
    <w:rsid w:val="00916D91"/>
    <w:rPr>
      <w:rFonts w:ascii="Tahoma" w:hAnsi="Tahoma" w:cs="Tahoma"/>
      <w:sz w:val="16"/>
      <w:szCs w:val="16"/>
      <w:lang w:eastAsia="en-US"/>
    </w:rPr>
  </w:style>
  <w:style w:type="paragraph" w:styleId="ListParagraph">
    <w:name w:val="List Paragraph"/>
    <w:basedOn w:val="Normal"/>
    <w:uiPriority w:val="34"/>
    <w:qFormat/>
    <w:rsid w:val="00B8624C"/>
    <w:pPr>
      <w:spacing w:after="200" w:line="276" w:lineRule="auto"/>
      <w:ind w:left="720"/>
      <w:contextualSpacing/>
    </w:pPr>
    <w:rPr>
      <w:rFonts w:asciiTheme="minorHAnsi" w:eastAsiaTheme="minorHAnsi" w:hAnsiTheme="minorHAnsi" w:cstheme="minorBidi"/>
      <w:szCs w:val="22"/>
    </w:rPr>
  </w:style>
  <w:style w:type="character" w:customStyle="1" w:styleId="ONRNumberedParagraph1CharChar">
    <w:name w:val="ONR Numbered Paragraph 1 Char Char"/>
    <w:basedOn w:val="DefaultParagraphFont"/>
    <w:link w:val="ONRNumberedParagraph1"/>
    <w:locked/>
    <w:rsid w:val="00005C29"/>
    <w:rPr>
      <w:rFonts w:ascii="Arial" w:hAnsi="Arial" w:cs="Arial"/>
      <w:sz w:val="22"/>
      <w:szCs w:val="22"/>
    </w:rPr>
  </w:style>
  <w:style w:type="paragraph" w:customStyle="1" w:styleId="ONRNumberedParagraph1">
    <w:name w:val="ONR Numbered Paragraph 1"/>
    <w:basedOn w:val="Normal"/>
    <w:link w:val="ONRNumberedParagraph1CharChar"/>
    <w:locked/>
    <w:rsid w:val="00005C29"/>
    <w:pPr>
      <w:numPr>
        <w:numId w:val="5"/>
      </w:numPr>
      <w:tabs>
        <w:tab w:val="left" w:pos="880"/>
      </w:tabs>
      <w:spacing w:after="120"/>
      <w:ind w:left="880" w:hanging="880"/>
      <w:jc w:val="both"/>
    </w:pPr>
    <w:rPr>
      <w:rFonts w:cs="Arial"/>
      <w:szCs w:val="22"/>
      <w:lang w:eastAsia="en-GB"/>
    </w:rPr>
  </w:style>
  <w:style w:type="paragraph" w:customStyle="1" w:styleId="Default">
    <w:name w:val="Default"/>
    <w:rsid w:val="00AA3CE2"/>
    <w:pPr>
      <w:autoSpaceDE w:val="0"/>
      <w:autoSpaceDN w:val="0"/>
      <w:adjustRightInd w:val="0"/>
    </w:pPr>
    <w:rPr>
      <w:rFonts w:ascii="Arial" w:hAnsi="Arial" w:cs="Arial"/>
      <w:color w:val="000000"/>
      <w:sz w:val="24"/>
      <w:szCs w:val="24"/>
    </w:rPr>
  </w:style>
  <w:style w:type="paragraph" w:customStyle="1" w:styleId="PSHAReferences">
    <w:name w:val="PSHA References"/>
    <w:basedOn w:val="Normal"/>
    <w:next w:val="Normal"/>
    <w:autoRedefine/>
    <w:qFormat/>
    <w:rsid w:val="00A12ED6"/>
    <w:pPr>
      <w:jc w:val="both"/>
    </w:pPr>
    <w:rPr>
      <w:rFonts w:eastAsia="Calibri" w:cs="Arial"/>
      <w:lang w:val="en-ZA"/>
    </w:rPr>
  </w:style>
  <w:style w:type="character" w:customStyle="1" w:styleId="st1">
    <w:name w:val="st1"/>
    <w:basedOn w:val="DefaultParagraphFont"/>
    <w:rsid w:val="002B5711"/>
  </w:style>
  <w:style w:type="character" w:customStyle="1" w:styleId="FootnoteTextChar">
    <w:name w:val="Footnote Text Char"/>
    <w:basedOn w:val="DefaultParagraphFont"/>
    <w:link w:val="FootnoteText"/>
    <w:rsid w:val="008E0EFE"/>
    <w:rPr>
      <w:rFonts w:ascii="Arial" w:hAnsi="Arial"/>
      <w:i/>
      <w:sz w:val="16"/>
      <w:lang w:eastAsia="en-US"/>
    </w:rPr>
  </w:style>
  <w:style w:type="paragraph" w:customStyle="1" w:styleId="ONRSquareBullet1">
    <w:name w:val="ONR Square Bullet 1"/>
    <w:basedOn w:val="Normal"/>
    <w:rsid w:val="00780EAC"/>
    <w:pPr>
      <w:numPr>
        <w:numId w:val="6"/>
      </w:numPr>
      <w:spacing w:after="120"/>
    </w:pPr>
    <w:rPr>
      <w:rFonts w:cs="Arial"/>
      <w:szCs w:val="22"/>
    </w:rPr>
  </w:style>
  <w:style w:type="paragraph" w:customStyle="1" w:styleId="normal1">
    <w:name w:val="normal+1"/>
    <w:basedOn w:val="Normal"/>
    <w:next w:val="Normal"/>
    <w:rsid w:val="00E51494"/>
    <w:pPr>
      <w:autoSpaceDE w:val="0"/>
      <w:autoSpaceDN w:val="0"/>
      <w:adjustRightInd w:val="0"/>
    </w:pPr>
    <w:rPr>
      <w:rFonts w:eastAsia="MS Mincho"/>
      <w:sz w:val="24"/>
      <w:lang w:eastAsia="ja-JP"/>
    </w:rPr>
  </w:style>
  <w:style w:type="paragraph" w:customStyle="1" w:styleId="Principle1">
    <w:name w:val="Principle+1"/>
    <w:basedOn w:val="Normal"/>
    <w:next w:val="Normal"/>
    <w:rsid w:val="00E51494"/>
    <w:pPr>
      <w:autoSpaceDE w:val="0"/>
      <w:autoSpaceDN w:val="0"/>
      <w:adjustRightInd w:val="0"/>
    </w:pPr>
    <w:rPr>
      <w:rFonts w:eastAsia="MS Mincho"/>
      <w:sz w:val="24"/>
      <w:lang w:eastAsia="ja-JP"/>
    </w:rPr>
  </w:style>
  <w:style w:type="character" w:customStyle="1" w:styleId="ONRNormalChar">
    <w:name w:val="ONR Normal Char"/>
    <w:link w:val="ONRNormal"/>
    <w:rsid w:val="00E51494"/>
    <w:rPr>
      <w:rFonts w:ascii="Arial" w:hAnsi="Arial" w:cs="Arial"/>
      <w:sz w:val="22"/>
      <w:szCs w:val="22"/>
      <w:lang w:eastAsia="en-US"/>
    </w:rPr>
  </w:style>
  <w:style w:type="paragraph" w:customStyle="1" w:styleId="ONRNormal">
    <w:name w:val="ONR Normal"/>
    <w:link w:val="ONRNormalChar"/>
    <w:locked/>
    <w:rsid w:val="00E51494"/>
    <w:pPr>
      <w:spacing w:after="120"/>
      <w:jc w:val="both"/>
    </w:pPr>
    <w:rPr>
      <w:rFonts w:ascii="Arial" w:hAnsi="Arial" w:cs="Arial"/>
      <w:sz w:val="22"/>
      <w:szCs w:val="22"/>
      <w:lang w:eastAsia="en-US"/>
    </w:rPr>
  </w:style>
  <w:style w:type="paragraph" w:customStyle="1" w:styleId="Principle">
    <w:name w:val="Principle"/>
    <w:basedOn w:val="Normal"/>
    <w:next w:val="Normal"/>
    <w:uiPriority w:val="99"/>
    <w:rsid w:val="00E51494"/>
    <w:pPr>
      <w:autoSpaceDE w:val="0"/>
      <w:autoSpaceDN w:val="0"/>
      <w:adjustRightInd w:val="0"/>
    </w:pPr>
    <w:rPr>
      <w:rFonts w:eastAsia="MS Mincho"/>
      <w:sz w:val="24"/>
      <w:lang w:eastAsia="ja-JP"/>
    </w:rPr>
  </w:style>
  <w:style w:type="character" w:styleId="EndnoteReference">
    <w:name w:val="endnote reference"/>
    <w:basedOn w:val="DefaultParagraphFont"/>
    <w:rsid w:val="00FE06D6"/>
    <w:rPr>
      <w:vertAlign w:val="superscript"/>
    </w:rPr>
  </w:style>
  <w:style w:type="character" w:styleId="CommentReference">
    <w:name w:val="annotation reference"/>
    <w:basedOn w:val="DefaultParagraphFont"/>
    <w:rsid w:val="008B7BF8"/>
    <w:rPr>
      <w:sz w:val="16"/>
      <w:szCs w:val="16"/>
    </w:rPr>
  </w:style>
  <w:style w:type="paragraph" w:styleId="CommentText">
    <w:name w:val="annotation text"/>
    <w:basedOn w:val="Normal"/>
    <w:link w:val="CommentTextChar"/>
    <w:rsid w:val="008B7BF8"/>
    <w:rPr>
      <w:sz w:val="20"/>
      <w:szCs w:val="20"/>
    </w:rPr>
  </w:style>
  <w:style w:type="character" w:customStyle="1" w:styleId="CommentTextChar">
    <w:name w:val="Comment Text Char"/>
    <w:basedOn w:val="DefaultParagraphFont"/>
    <w:link w:val="CommentText"/>
    <w:rsid w:val="008B7BF8"/>
    <w:rPr>
      <w:rFonts w:ascii="Arial" w:hAnsi="Arial"/>
      <w:lang w:eastAsia="en-US"/>
    </w:rPr>
  </w:style>
  <w:style w:type="paragraph" w:styleId="CommentSubject">
    <w:name w:val="annotation subject"/>
    <w:basedOn w:val="CommentText"/>
    <w:next w:val="CommentText"/>
    <w:link w:val="CommentSubjectChar"/>
    <w:rsid w:val="008B7BF8"/>
    <w:rPr>
      <w:b/>
      <w:bCs/>
    </w:rPr>
  </w:style>
  <w:style w:type="character" w:customStyle="1" w:styleId="CommentSubjectChar">
    <w:name w:val="Comment Subject Char"/>
    <w:basedOn w:val="CommentTextChar"/>
    <w:link w:val="CommentSubject"/>
    <w:rsid w:val="008B7BF8"/>
    <w:rPr>
      <w:rFonts w:ascii="Arial" w:hAnsi="Arial"/>
      <w:b/>
      <w:bCs/>
      <w:lang w:eastAsia="en-US"/>
    </w:rPr>
  </w:style>
  <w:style w:type="character" w:customStyle="1" w:styleId="tgc">
    <w:name w:val="_tgc"/>
    <w:basedOn w:val="DefaultParagraphFont"/>
    <w:rsid w:val="0011330D"/>
  </w:style>
  <w:style w:type="character" w:customStyle="1" w:styleId="Heading3Char">
    <w:name w:val="Heading 3 Char"/>
    <w:aliases w:val="Sub Char"/>
    <w:basedOn w:val="DefaultParagraphFont"/>
    <w:link w:val="Heading3"/>
    <w:locked/>
    <w:rsid w:val="0070308F"/>
    <w:rPr>
      <w:rFonts w:ascii="Arial" w:hAnsi="Arial" w:cs="Arial"/>
      <w:b/>
      <w:bCs/>
      <w:sz w:val="22"/>
      <w:szCs w:val="26"/>
      <w:lang w:eastAsia="en-US"/>
    </w:rPr>
  </w:style>
  <w:style w:type="character" w:customStyle="1" w:styleId="FooterChar">
    <w:name w:val="Footer Char"/>
    <w:basedOn w:val="DefaultParagraphFont"/>
    <w:link w:val="Footer"/>
    <w:locked/>
    <w:rsid w:val="0070308F"/>
    <w:rPr>
      <w:rFonts w:ascii="Arial" w:hAnsi="Arial"/>
      <w:sz w:val="22"/>
      <w:szCs w:val="24"/>
      <w:lang w:eastAsia="en-US"/>
    </w:rPr>
  </w:style>
  <w:style w:type="character" w:customStyle="1" w:styleId="ya-q-full-text">
    <w:name w:val="ya-q-full-text"/>
    <w:basedOn w:val="DefaultParagraphFont"/>
    <w:rsid w:val="001479F5"/>
  </w:style>
  <w:style w:type="character" w:customStyle="1" w:styleId="Heading4Char">
    <w:name w:val="Heading 4 Char"/>
    <w:basedOn w:val="DefaultParagraphFont"/>
    <w:link w:val="Heading4"/>
    <w:locked/>
    <w:rsid w:val="00734C6E"/>
    <w:rPr>
      <w:b/>
      <w:bCs/>
      <w:sz w:val="28"/>
      <w:szCs w:val="28"/>
      <w:lang w:eastAsia="en-US"/>
    </w:rPr>
  </w:style>
  <w:style w:type="paragraph" w:styleId="NormalWeb">
    <w:name w:val="Normal (Web)"/>
    <w:basedOn w:val="Normal"/>
    <w:unhideWhenUsed/>
    <w:rsid w:val="00D20C3C"/>
    <w:pPr>
      <w:spacing w:before="100" w:beforeAutospacing="1" w:after="100" w:afterAutospacing="1"/>
    </w:pPr>
    <w:rPr>
      <w:rFonts w:ascii="Times New Roman" w:eastAsiaTheme="minorHAnsi" w:hAnsi="Times New Roman"/>
      <w:sz w:val="24"/>
      <w:lang w:eastAsia="en-GB" w:bidi="he-IL"/>
    </w:rPr>
  </w:style>
  <w:style w:type="paragraph" w:styleId="Revision">
    <w:name w:val="Revision"/>
    <w:hidden/>
    <w:uiPriority w:val="99"/>
    <w:semiHidden/>
    <w:rsid w:val="00C24033"/>
    <w:rPr>
      <w:rFonts w:ascii="Arial" w:hAnsi="Arial"/>
      <w:sz w:val="22"/>
      <w:szCs w:val="24"/>
      <w:lang w:eastAsia="en-US"/>
    </w:rPr>
  </w:style>
  <w:style w:type="paragraph" w:styleId="Bibliography">
    <w:name w:val="Bibliography"/>
    <w:basedOn w:val="Normal"/>
    <w:next w:val="Normal"/>
    <w:uiPriority w:val="37"/>
    <w:unhideWhenUsed/>
    <w:rsid w:val="00C24033"/>
  </w:style>
  <w:style w:type="character" w:customStyle="1" w:styleId="Heading1Char">
    <w:name w:val="Heading 1 Char"/>
    <w:aliases w:val="Centre Char"/>
    <w:basedOn w:val="DefaultParagraphFont"/>
    <w:link w:val="Heading1"/>
    <w:rsid w:val="00C24033"/>
    <w:rPr>
      <w:rFonts w:ascii="Arial" w:hAnsi="Arial" w:cs="Arial"/>
      <w:b/>
      <w:bCs/>
      <w:caps/>
      <w:kern w:val="32"/>
      <w:sz w:val="28"/>
      <w:szCs w:val="32"/>
      <w:lang w:eastAsia="en-US"/>
    </w:rPr>
  </w:style>
  <w:style w:type="character" w:customStyle="1" w:styleId="UnresolvedMention1">
    <w:name w:val="Unresolved Mention1"/>
    <w:basedOn w:val="DefaultParagraphFont"/>
    <w:uiPriority w:val="99"/>
    <w:semiHidden/>
    <w:unhideWhenUsed/>
    <w:rsid w:val="00697E8F"/>
    <w:rPr>
      <w:color w:val="808080"/>
      <w:shd w:val="clear" w:color="auto" w:fill="E6E6E6"/>
    </w:rPr>
  </w:style>
  <w:style w:type="character" w:customStyle="1" w:styleId="TSHeadingNumbered1Char">
    <w:name w:val="TS Heading Numbered 1 Char"/>
    <w:basedOn w:val="DefaultParagraphFont"/>
    <w:link w:val="TSHeadingNumbered1"/>
    <w:rsid w:val="00B62320"/>
    <w:rPr>
      <w:rFonts w:ascii="Arial Bold" w:hAnsi="Arial Bold"/>
      <w:b/>
      <w:caps/>
      <w:sz w:val="22"/>
      <w:szCs w:val="24"/>
      <w:lang w:eastAsia="en-US"/>
    </w:rPr>
  </w:style>
  <w:style w:type="paragraph" w:customStyle="1" w:styleId="StyleNumberListReferences10pt">
    <w:name w:val="Style Number List References + 10 pt"/>
    <w:basedOn w:val="Normal"/>
    <w:link w:val="StyleNumberListReferences10ptChar"/>
    <w:rsid w:val="00E13AF4"/>
    <w:pPr>
      <w:numPr>
        <w:numId w:val="7"/>
      </w:numPr>
      <w:spacing w:before="60"/>
    </w:pPr>
    <w:rPr>
      <w:sz w:val="20"/>
      <w:szCs w:val="22"/>
    </w:rPr>
  </w:style>
  <w:style w:type="character" w:customStyle="1" w:styleId="StyleNumberListReferences10ptChar">
    <w:name w:val="Style Number List References + 10 pt Char"/>
    <w:link w:val="StyleNumberListReferences10pt"/>
    <w:rsid w:val="00E13AF4"/>
    <w:rPr>
      <w:rFonts w:ascii="Arial" w:hAnsi="Arial"/>
      <w:szCs w:val="22"/>
      <w:lang w:eastAsia="en-US"/>
    </w:rPr>
  </w:style>
  <w:style w:type="paragraph" w:customStyle="1" w:styleId="Ch7num">
    <w:name w:val="Ch 7 num"/>
    <w:basedOn w:val="Normal"/>
    <w:link w:val="Ch7numChar"/>
    <w:qFormat/>
    <w:rsid w:val="002C44BB"/>
    <w:pPr>
      <w:numPr>
        <w:numId w:val="8"/>
      </w:numPr>
      <w:spacing w:before="120" w:after="120"/>
      <w:ind w:left="0" w:firstLine="0"/>
      <w:jc w:val="both"/>
    </w:pPr>
    <w:rPr>
      <w:szCs w:val="22"/>
    </w:rPr>
  </w:style>
  <w:style w:type="character" w:customStyle="1" w:styleId="Ch7numChar">
    <w:name w:val="Ch 7 num Char"/>
    <w:link w:val="Ch7num"/>
    <w:rsid w:val="002C44BB"/>
    <w:rPr>
      <w:rFonts w:ascii="Arial" w:hAnsi="Arial"/>
      <w:sz w:val="22"/>
      <w:szCs w:val="22"/>
      <w:lang w:eastAsia="en-US"/>
    </w:rPr>
  </w:style>
  <w:style w:type="paragraph" w:customStyle="1" w:styleId="NumberedHeading">
    <w:name w:val="Numbered Heading"/>
    <w:basedOn w:val="Normal"/>
    <w:qFormat/>
    <w:rsid w:val="007E27DC"/>
    <w:pPr>
      <w:keepNext/>
      <w:numPr>
        <w:numId w:val="9"/>
      </w:numPr>
      <w:overflowPunct w:val="0"/>
      <w:autoSpaceDE w:val="0"/>
      <w:autoSpaceDN w:val="0"/>
      <w:adjustRightInd w:val="0"/>
      <w:spacing w:after="240"/>
      <w:textAlignment w:val="baseline"/>
    </w:pPr>
    <w:rPr>
      <w:rFonts w:ascii="Arial Bold" w:hAnsi="Arial Bold" w:cs="Arial"/>
      <w:b/>
      <w:bCs/>
      <w:caps/>
      <w:color w:val="000000"/>
      <w:szCs w:val="20"/>
    </w:rPr>
  </w:style>
  <w:style w:type="paragraph" w:customStyle="1" w:styleId="NumberedParagraph">
    <w:name w:val="Numbered Paragraph"/>
    <w:basedOn w:val="Normal"/>
    <w:link w:val="NumberedParagraphChar"/>
    <w:rsid w:val="007E27DC"/>
    <w:pPr>
      <w:numPr>
        <w:ilvl w:val="1"/>
        <w:numId w:val="9"/>
      </w:numPr>
      <w:spacing w:after="240"/>
      <w:jc w:val="both"/>
    </w:pPr>
    <w:rPr>
      <w:rFonts w:cs="Arial"/>
      <w:szCs w:val="22"/>
    </w:rPr>
  </w:style>
  <w:style w:type="paragraph" w:customStyle="1" w:styleId="Pa11">
    <w:name w:val="Pa11"/>
    <w:basedOn w:val="Default"/>
    <w:next w:val="Default"/>
    <w:uiPriority w:val="99"/>
    <w:rsid w:val="00B25A43"/>
    <w:pPr>
      <w:spacing w:line="221" w:lineRule="atLeast"/>
    </w:pPr>
    <w:rPr>
      <w:rFonts w:ascii="Cambria" w:hAnsi="Cambria" w:cs="Times New Roman"/>
      <w:color w:val="auto"/>
    </w:rPr>
  </w:style>
  <w:style w:type="paragraph" w:customStyle="1" w:styleId="Pa16">
    <w:name w:val="Pa16"/>
    <w:basedOn w:val="Default"/>
    <w:next w:val="Default"/>
    <w:uiPriority w:val="99"/>
    <w:rsid w:val="00B25A43"/>
    <w:pPr>
      <w:spacing w:line="211" w:lineRule="atLeast"/>
    </w:pPr>
    <w:rPr>
      <w:rFonts w:ascii="Cambria" w:hAnsi="Cambria" w:cs="Times New Roman"/>
      <w:color w:val="auto"/>
    </w:rPr>
  </w:style>
  <w:style w:type="paragraph" w:customStyle="1" w:styleId="Pa12">
    <w:name w:val="Pa12"/>
    <w:basedOn w:val="Default"/>
    <w:next w:val="Default"/>
    <w:uiPriority w:val="99"/>
    <w:rsid w:val="00B25A43"/>
    <w:pPr>
      <w:spacing w:line="201" w:lineRule="atLeast"/>
    </w:pPr>
    <w:rPr>
      <w:rFonts w:ascii="Cambria" w:hAnsi="Cambria" w:cs="Times New Roman"/>
      <w:color w:val="auto"/>
    </w:rPr>
  </w:style>
  <w:style w:type="paragraph" w:styleId="Caption">
    <w:name w:val="caption"/>
    <w:basedOn w:val="Normal"/>
    <w:next w:val="Normal"/>
    <w:unhideWhenUsed/>
    <w:qFormat/>
    <w:rsid w:val="00171A6A"/>
    <w:pPr>
      <w:spacing w:after="200"/>
    </w:pPr>
    <w:rPr>
      <w:b/>
      <w:bCs/>
      <w:color w:val="4F81BD" w:themeColor="accent1"/>
      <w:sz w:val="18"/>
      <w:szCs w:val="18"/>
    </w:rPr>
  </w:style>
  <w:style w:type="character" w:customStyle="1" w:styleId="e24kjd">
    <w:name w:val="e24kjd"/>
    <w:basedOn w:val="DefaultParagraphFont"/>
    <w:rsid w:val="00C65D0F"/>
  </w:style>
  <w:style w:type="paragraph" w:styleId="EndnoteText">
    <w:name w:val="endnote text"/>
    <w:basedOn w:val="Normal"/>
    <w:link w:val="EndnoteTextChar"/>
    <w:unhideWhenUsed/>
    <w:rsid w:val="00E6673F"/>
    <w:rPr>
      <w:sz w:val="20"/>
      <w:szCs w:val="20"/>
    </w:rPr>
  </w:style>
  <w:style w:type="character" w:customStyle="1" w:styleId="EndnoteTextChar">
    <w:name w:val="Endnote Text Char"/>
    <w:basedOn w:val="DefaultParagraphFont"/>
    <w:link w:val="EndnoteText"/>
    <w:rsid w:val="00E6673F"/>
    <w:rPr>
      <w:rFonts w:ascii="Arial" w:hAnsi="Arial"/>
      <w:lang w:eastAsia="en-US"/>
    </w:rPr>
  </w:style>
  <w:style w:type="character" w:customStyle="1" w:styleId="TSBullet1SquareChar">
    <w:name w:val="TS Bullet 1 Square Char"/>
    <w:link w:val="TSBullet1Square"/>
    <w:rsid w:val="00744B09"/>
    <w:rPr>
      <w:rFonts w:ascii="Arial" w:hAnsi="Arial"/>
      <w:sz w:val="22"/>
      <w:szCs w:val="24"/>
      <w:lang w:eastAsia="en-US"/>
    </w:rPr>
  </w:style>
  <w:style w:type="character" w:styleId="Strong">
    <w:name w:val="Strong"/>
    <w:basedOn w:val="DefaultParagraphFont"/>
    <w:uiPriority w:val="22"/>
    <w:qFormat/>
    <w:rsid w:val="00417AF3"/>
    <w:rPr>
      <w:b/>
      <w:bCs/>
    </w:rPr>
  </w:style>
  <w:style w:type="paragraph" w:styleId="NoSpacing">
    <w:name w:val="No Spacing"/>
    <w:uiPriority w:val="1"/>
    <w:qFormat/>
    <w:rsid w:val="00644CA2"/>
    <w:rPr>
      <w:rFonts w:asciiTheme="minorHAnsi" w:eastAsiaTheme="minorHAnsi" w:hAnsiTheme="minorHAnsi" w:cstheme="minorBidi"/>
      <w:sz w:val="22"/>
      <w:szCs w:val="22"/>
      <w:lang w:eastAsia="en-US"/>
    </w:rPr>
  </w:style>
  <w:style w:type="character" w:customStyle="1" w:styleId="Heading2Char">
    <w:name w:val="Heading 2 Char"/>
    <w:aliases w:val="Left Char"/>
    <w:basedOn w:val="DefaultParagraphFont"/>
    <w:link w:val="Heading2"/>
    <w:rsid w:val="00D07AFA"/>
    <w:rPr>
      <w:rFonts w:ascii="Arial" w:hAnsi="Arial" w:cs="Arial"/>
      <w:b/>
      <w:bCs/>
      <w:iCs/>
      <w:caps/>
      <w:sz w:val="22"/>
      <w:szCs w:val="28"/>
      <w:lang w:eastAsia="en-US"/>
    </w:rPr>
  </w:style>
  <w:style w:type="character" w:customStyle="1" w:styleId="Heading5Char">
    <w:name w:val="Heading 5 Char"/>
    <w:basedOn w:val="DefaultParagraphFont"/>
    <w:link w:val="Heading5"/>
    <w:uiPriority w:val="99"/>
    <w:rsid w:val="00D07AFA"/>
    <w:rPr>
      <w:rFonts w:ascii="Arial" w:hAnsi="Arial"/>
      <w:b/>
      <w:bCs/>
      <w:i/>
      <w:iCs/>
      <w:sz w:val="26"/>
      <w:szCs w:val="26"/>
      <w:lang w:eastAsia="en-US"/>
    </w:rPr>
  </w:style>
  <w:style w:type="character" w:customStyle="1" w:styleId="Heading6Char">
    <w:name w:val="Heading 6 Char"/>
    <w:basedOn w:val="DefaultParagraphFont"/>
    <w:link w:val="Heading6"/>
    <w:uiPriority w:val="99"/>
    <w:rsid w:val="00D07AFA"/>
    <w:rPr>
      <w:b/>
      <w:bCs/>
      <w:sz w:val="22"/>
      <w:szCs w:val="22"/>
      <w:lang w:eastAsia="en-US"/>
    </w:rPr>
  </w:style>
  <w:style w:type="character" w:customStyle="1" w:styleId="Heading7Char">
    <w:name w:val="Heading 7 Char"/>
    <w:basedOn w:val="DefaultParagraphFont"/>
    <w:link w:val="Heading7"/>
    <w:uiPriority w:val="99"/>
    <w:rsid w:val="00D07AFA"/>
    <w:rPr>
      <w:sz w:val="24"/>
      <w:szCs w:val="24"/>
      <w:lang w:eastAsia="en-US"/>
    </w:rPr>
  </w:style>
  <w:style w:type="character" w:customStyle="1" w:styleId="Heading8Char">
    <w:name w:val="Heading 8 Char"/>
    <w:basedOn w:val="DefaultParagraphFont"/>
    <w:link w:val="Heading8"/>
    <w:uiPriority w:val="99"/>
    <w:rsid w:val="00D07AFA"/>
    <w:rPr>
      <w:i/>
      <w:iCs/>
      <w:sz w:val="24"/>
      <w:szCs w:val="24"/>
      <w:lang w:eastAsia="en-US"/>
    </w:rPr>
  </w:style>
  <w:style w:type="character" w:customStyle="1" w:styleId="Heading9Char">
    <w:name w:val="Heading 9 Char"/>
    <w:basedOn w:val="DefaultParagraphFont"/>
    <w:link w:val="Heading9"/>
    <w:uiPriority w:val="99"/>
    <w:rsid w:val="00D07AFA"/>
    <w:rPr>
      <w:rFonts w:ascii="Arial" w:hAnsi="Arial" w:cs="Arial"/>
      <w:sz w:val="22"/>
      <w:szCs w:val="22"/>
      <w:lang w:eastAsia="en-US"/>
    </w:rPr>
  </w:style>
  <w:style w:type="character" w:customStyle="1" w:styleId="DocumentMapChar">
    <w:name w:val="Document Map Char"/>
    <w:basedOn w:val="DefaultParagraphFont"/>
    <w:link w:val="DocumentMap"/>
    <w:semiHidden/>
    <w:rsid w:val="00D07AFA"/>
    <w:rPr>
      <w:rFonts w:ascii="Tahoma" w:hAnsi="Tahoma" w:cs="Tahoma"/>
      <w:shd w:val="clear" w:color="auto" w:fill="000080"/>
      <w:lang w:eastAsia="en-US"/>
    </w:rPr>
  </w:style>
  <w:style w:type="paragraph" w:customStyle="1" w:styleId="ONRparagraphTAG4">
    <w:name w:val="ONR paragraph TAG 4"/>
    <w:rsid w:val="00D07AFA"/>
    <w:pPr>
      <w:numPr>
        <w:numId w:val="13"/>
      </w:numPr>
      <w:spacing w:after="120"/>
      <w:jc w:val="both"/>
    </w:pPr>
    <w:rPr>
      <w:rFonts w:ascii="Arial" w:hAnsi="Arial" w:cs="Arial"/>
      <w:sz w:val="22"/>
      <w:szCs w:val="22"/>
      <w:lang w:val="en" w:eastAsia="en-US"/>
    </w:rPr>
  </w:style>
  <w:style w:type="paragraph" w:customStyle="1" w:styleId="ONRParagraphTAG5">
    <w:name w:val="ONR Paragraph TAG 5"/>
    <w:rsid w:val="00D07AFA"/>
    <w:pPr>
      <w:numPr>
        <w:numId w:val="14"/>
      </w:numPr>
      <w:spacing w:after="120"/>
    </w:pPr>
    <w:rPr>
      <w:rFonts w:ascii="Arial" w:hAnsi="Arial" w:cs="Arial"/>
      <w:sz w:val="22"/>
      <w:szCs w:val="22"/>
      <w:lang w:val="en" w:eastAsia="en-US"/>
    </w:rPr>
  </w:style>
  <w:style w:type="paragraph" w:styleId="TOCHeading">
    <w:name w:val="TOC Heading"/>
    <w:basedOn w:val="Heading1"/>
    <w:next w:val="Normal"/>
    <w:uiPriority w:val="39"/>
    <w:semiHidden/>
    <w:unhideWhenUsed/>
    <w:qFormat/>
    <w:rsid w:val="00D07AFA"/>
    <w:pPr>
      <w:keepLines/>
      <w:spacing w:before="480" w:line="276" w:lineRule="auto"/>
      <w:jc w:val="left"/>
      <w:outlineLvl w:val="9"/>
    </w:pPr>
    <w:rPr>
      <w:rFonts w:ascii="Cambria" w:eastAsia="MS Gothic" w:hAnsi="Cambria" w:cs="Times New Roman"/>
      <w:caps w:val="0"/>
      <w:color w:val="365F91"/>
      <w:kern w:val="0"/>
      <w:szCs w:val="28"/>
      <w:lang w:val="en-US" w:eastAsia="ja-JP"/>
    </w:rPr>
  </w:style>
  <w:style w:type="paragraph" w:styleId="TOC3">
    <w:name w:val="toc 3"/>
    <w:basedOn w:val="Normal"/>
    <w:next w:val="Normal"/>
    <w:autoRedefine/>
    <w:uiPriority w:val="39"/>
    <w:rsid w:val="00D07AFA"/>
    <w:pPr>
      <w:ind w:left="440"/>
    </w:pPr>
  </w:style>
  <w:style w:type="paragraph" w:styleId="TOC4">
    <w:name w:val="toc 4"/>
    <w:basedOn w:val="Normal"/>
    <w:next w:val="Normal"/>
    <w:autoRedefine/>
    <w:uiPriority w:val="39"/>
    <w:unhideWhenUsed/>
    <w:rsid w:val="00D07AFA"/>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D07AFA"/>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D07AFA"/>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D07AFA"/>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D07AFA"/>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D07AFA"/>
    <w:pPr>
      <w:spacing w:after="100" w:line="276" w:lineRule="auto"/>
      <w:ind w:left="1760"/>
    </w:pPr>
    <w:rPr>
      <w:rFonts w:ascii="Calibri" w:hAnsi="Calibri"/>
      <w:szCs w:val="22"/>
      <w:lang w:eastAsia="en-GB"/>
    </w:rPr>
  </w:style>
  <w:style w:type="paragraph" w:customStyle="1" w:styleId="numberindent">
    <w:name w:val="number indent"/>
    <w:basedOn w:val="TSHeadingNumbered11"/>
    <w:link w:val="numberindentChar"/>
    <w:qFormat/>
    <w:rsid w:val="00D07AFA"/>
    <w:pPr>
      <w:numPr>
        <w:ilvl w:val="0"/>
        <w:numId w:val="0"/>
      </w:numPr>
    </w:pPr>
    <w:rPr>
      <w:rFonts w:ascii="Arial" w:hAnsi="Arial" w:cs="Arial"/>
      <w:b w:val="0"/>
    </w:rPr>
  </w:style>
  <w:style w:type="character" w:customStyle="1" w:styleId="TSHeadingNumbered11Char">
    <w:name w:val="TS Heading Numbered 1.1 Char"/>
    <w:basedOn w:val="TSHeadingNumbered1Char"/>
    <w:link w:val="TSHeadingNumbered11"/>
    <w:rsid w:val="00D07AFA"/>
    <w:rPr>
      <w:rFonts w:ascii="Arial Bold" w:hAnsi="Arial Bold"/>
      <w:b/>
      <w:caps w:val="0"/>
      <w:sz w:val="22"/>
      <w:szCs w:val="24"/>
      <w:lang w:eastAsia="en-US"/>
    </w:rPr>
  </w:style>
  <w:style w:type="character" w:customStyle="1" w:styleId="numberindentChar">
    <w:name w:val="number indent Char"/>
    <w:link w:val="numberindent"/>
    <w:rsid w:val="00D07AFA"/>
    <w:rPr>
      <w:rFonts w:ascii="Arial" w:hAnsi="Arial" w:cs="Arial"/>
      <w:sz w:val="22"/>
      <w:szCs w:val="24"/>
      <w:lang w:eastAsia="en-US"/>
    </w:rPr>
  </w:style>
  <w:style w:type="numbering" w:styleId="111111">
    <w:name w:val="Outline List 2"/>
    <w:basedOn w:val="NoList"/>
    <w:rsid w:val="00D07AFA"/>
    <w:pPr>
      <w:numPr>
        <w:numId w:val="15"/>
      </w:numPr>
    </w:pPr>
  </w:style>
  <w:style w:type="character" w:customStyle="1" w:styleId="TSBullet1SquareCharChar">
    <w:name w:val="TS Bullet 1 Square Char Char"/>
    <w:locked/>
    <w:rsid w:val="00D07AFA"/>
    <w:rPr>
      <w:rFonts w:ascii="Arial" w:hAnsi="Arial" w:cs="Arial"/>
      <w:sz w:val="22"/>
      <w:szCs w:val="24"/>
      <w:lang w:eastAsia="en-US"/>
    </w:rPr>
  </w:style>
  <w:style w:type="character" w:customStyle="1" w:styleId="NumberedParagraphChar">
    <w:name w:val="Numbered Paragraph Char"/>
    <w:link w:val="NumberedParagraph"/>
    <w:locked/>
    <w:rsid w:val="00D07AFA"/>
    <w:rPr>
      <w:rFonts w:ascii="Arial" w:hAnsi="Arial" w:cs="Arial"/>
      <w:sz w:val="22"/>
      <w:szCs w:val="22"/>
      <w:lang w:eastAsia="en-US"/>
    </w:rPr>
  </w:style>
  <w:style w:type="paragraph" w:customStyle="1" w:styleId="Pa6">
    <w:name w:val="Pa6"/>
    <w:basedOn w:val="Default"/>
    <w:next w:val="Default"/>
    <w:uiPriority w:val="99"/>
    <w:rsid w:val="00D07AFA"/>
    <w:pPr>
      <w:spacing w:line="221" w:lineRule="atLeast"/>
    </w:pPr>
    <w:rPr>
      <w:rFonts w:ascii="HelveticaNeueLT Std" w:hAnsi="HelveticaNeueLT Std" w:cs="Times New Roman"/>
      <w:color w:val="auto"/>
    </w:rPr>
  </w:style>
  <w:style w:type="character" w:customStyle="1" w:styleId="A6">
    <w:name w:val="A6"/>
    <w:uiPriority w:val="99"/>
    <w:rsid w:val="00D07AFA"/>
    <w:rPr>
      <w:rFonts w:cs="HelveticaNeueLT Std"/>
      <w:color w:val="000000"/>
      <w:sz w:val="22"/>
      <w:szCs w:val="22"/>
      <w:u w:val="single"/>
    </w:rPr>
  </w:style>
  <w:style w:type="paragraph" w:customStyle="1" w:styleId="DefaultText">
    <w:name w:val="Default Text"/>
    <w:basedOn w:val="Normal"/>
    <w:rsid w:val="00D07AFA"/>
    <w:pPr>
      <w:jc w:val="both"/>
    </w:pPr>
    <w:rPr>
      <w:rFonts w:cs="Arial"/>
      <w:szCs w:val="22"/>
    </w:rPr>
  </w:style>
  <w:style w:type="character" w:styleId="UnresolvedMention">
    <w:name w:val="Unresolved Mention"/>
    <w:basedOn w:val="DefaultParagraphFont"/>
    <w:uiPriority w:val="99"/>
    <w:semiHidden/>
    <w:unhideWhenUsed/>
    <w:rsid w:val="00E33B06"/>
    <w:rPr>
      <w:color w:val="605E5C"/>
      <w:shd w:val="clear" w:color="auto" w:fill="E1DFDD"/>
    </w:rPr>
  </w:style>
  <w:style w:type="paragraph" w:customStyle="1" w:styleId="legp1paratext">
    <w:name w:val="legp1paratext"/>
    <w:basedOn w:val="Normal"/>
    <w:rsid w:val="00230842"/>
    <w:pPr>
      <w:spacing w:before="100" w:beforeAutospacing="1" w:after="100" w:afterAutospacing="1"/>
    </w:pPr>
    <w:rPr>
      <w:rFonts w:ascii="Times New Roman" w:hAnsi="Times New Roman"/>
      <w:sz w:val="24"/>
      <w:lang w:eastAsia="en-GB"/>
    </w:rPr>
  </w:style>
  <w:style w:type="character" w:customStyle="1" w:styleId="legp1no">
    <w:name w:val="legp1no"/>
    <w:basedOn w:val="DefaultParagraphFont"/>
    <w:rsid w:val="00230842"/>
  </w:style>
  <w:style w:type="paragraph" w:customStyle="1" w:styleId="legp2paratext">
    <w:name w:val="legp2paratext"/>
    <w:basedOn w:val="Normal"/>
    <w:rsid w:val="00230842"/>
    <w:pPr>
      <w:spacing w:before="100" w:beforeAutospacing="1" w:after="100" w:afterAutospacing="1"/>
    </w:pPr>
    <w:rPr>
      <w:rFonts w:ascii="Times New Roman" w:hAnsi="Times New Roman"/>
      <w:sz w:val="24"/>
      <w:lang w:eastAsia="en-GB"/>
    </w:rPr>
  </w:style>
  <w:style w:type="paragraph" w:customStyle="1" w:styleId="legclearfix">
    <w:name w:val="legclearfix"/>
    <w:basedOn w:val="Normal"/>
    <w:rsid w:val="00230842"/>
    <w:pPr>
      <w:spacing w:before="100" w:beforeAutospacing="1" w:after="100" w:afterAutospacing="1"/>
    </w:pPr>
    <w:rPr>
      <w:rFonts w:ascii="Times New Roman" w:hAnsi="Times New Roman"/>
      <w:sz w:val="24"/>
      <w:lang w:eastAsia="en-GB"/>
    </w:rPr>
  </w:style>
  <w:style w:type="character" w:customStyle="1" w:styleId="legds">
    <w:name w:val="legds"/>
    <w:basedOn w:val="DefaultParagraphFont"/>
    <w:rsid w:val="00230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748">
      <w:bodyDiv w:val="1"/>
      <w:marLeft w:val="0"/>
      <w:marRight w:val="0"/>
      <w:marTop w:val="0"/>
      <w:marBottom w:val="0"/>
      <w:divBdr>
        <w:top w:val="none" w:sz="0" w:space="0" w:color="auto"/>
        <w:left w:val="none" w:sz="0" w:space="0" w:color="auto"/>
        <w:bottom w:val="none" w:sz="0" w:space="0" w:color="auto"/>
        <w:right w:val="none" w:sz="0" w:space="0" w:color="auto"/>
      </w:divBdr>
    </w:div>
    <w:div w:id="7100955">
      <w:bodyDiv w:val="1"/>
      <w:marLeft w:val="0"/>
      <w:marRight w:val="0"/>
      <w:marTop w:val="0"/>
      <w:marBottom w:val="0"/>
      <w:divBdr>
        <w:top w:val="none" w:sz="0" w:space="0" w:color="auto"/>
        <w:left w:val="none" w:sz="0" w:space="0" w:color="auto"/>
        <w:bottom w:val="none" w:sz="0" w:space="0" w:color="auto"/>
        <w:right w:val="none" w:sz="0" w:space="0" w:color="auto"/>
      </w:divBdr>
    </w:div>
    <w:div w:id="16783257">
      <w:bodyDiv w:val="1"/>
      <w:marLeft w:val="0"/>
      <w:marRight w:val="0"/>
      <w:marTop w:val="0"/>
      <w:marBottom w:val="0"/>
      <w:divBdr>
        <w:top w:val="none" w:sz="0" w:space="0" w:color="auto"/>
        <w:left w:val="none" w:sz="0" w:space="0" w:color="auto"/>
        <w:bottom w:val="none" w:sz="0" w:space="0" w:color="auto"/>
        <w:right w:val="none" w:sz="0" w:space="0" w:color="auto"/>
      </w:divBdr>
    </w:div>
    <w:div w:id="32508832">
      <w:bodyDiv w:val="1"/>
      <w:marLeft w:val="0"/>
      <w:marRight w:val="0"/>
      <w:marTop w:val="0"/>
      <w:marBottom w:val="0"/>
      <w:divBdr>
        <w:top w:val="none" w:sz="0" w:space="0" w:color="auto"/>
        <w:left w:val="none" w:sz="0" w:space="0" w:color="auto"/>
        <w:bottom w:val="none" w:sz="0" w:space="0" w:color="auto"/>
        <w:right w:val="none" w:sz="0" w:space="0" w:color="auto"/>
      </w:divBdr>
    </w:div>
    <w:div w:id="39869381">
      <w:bodyDiv w:val="1"/>
      <w:marLeft w:val="0"/>
      <w:marRight w:val="0"/>
      <w:marTop w:val="0"/>
      <w:marBottom w:val="0"/>
      <w:divBdr>
        <w:top w:val="none" w:sz="0" w:space="0" w:color="auto"/>
        <w:left w:val="none" w:sz="0" w:space="0" w:color="auto"/>
        <w:bottom w:val="none" w:sz="0" w:space="0" w:color="auto"/>
        <w:right w:val="none" w:sz="0" w:space="0" w:color="auto"/>
      </w:divBdr>
    </w:div>
    <w:div w:id="68582751">
      <w:bodyDiv w:val="1"/>
      <w:marLeft w:val="0"/>
      <w:marRight w:val="0"/>
      <w:marTop w:val="0"/>
      <w:marBottom w:val="0"/>
      <w:divBdr>
        <w:top w:val="none" w:sz="0" w:space="0" w:color="auto"/>
        <w:left w:val="none" w:sz="0" w:space="0" w:color="auto"/>
        <w:bottom w:val="none" w:sz="0" w:space="0" w:color="auto"/>
        <w:right w:val="none" w:sz="0" w:space="0" w:color="auto"/>
      </w:divBdr>
    </w:div>
    <w:div w:id="70741363">
      <w:bodyDiv w:val="1"/>
      <w:marLeft w:val="0"/>
      <w:marRight w:val="0"/>
      <w:marTop w:val="0"/>
      <w:marBottom w:val="0"/>
      <w:divBdr>
        <w:top w:val="none" w:sz="0" w:space="0" w:color="auto"/>
        <w:left w:val="none" w:sz="0" w:space="0" w:color="auto"/>
        <w:bottom w:val="none" w:sz="0" w:space="0" w:color="auto"/>
        <w:right w:val="none" w:sz="0" w:space="0" w:color="auto"/>
      </w:divBdr>
    </w:div>
    <w:div w:id="137957993">
      <w:bodyDiv w:val="1"/>
      <w:marLeft w:val="0"/>
      <w:marRight w:val="0"/>
      <w:marTop w:val="0"/>
      <w:marBottom w:val="0"/>
      <w:divBdr>
        <w:top w:val="none" w:sz="0" w:space="0" w:color="auto"/>
        <w:left w:val="none" w:sz="0" w:space="0" w:color="auto"/>
        <w:bottom w:val="none" w:sz="0" w:space="0" w:color="auto"/>
        <w:right w:val="none" w:sz="0" w:space="0" w:color="auto"/>
      </w:divBdr>
      <w:divsChild>
        <w:div w:id="1208300474">
          <w:marLeft w:val="0"/>
          <w:marRight w:val="0"/>
          <w:marTop w:val="0"/>
          <w:marBottom w:val="0"/>
          <w:divBdr>
            <w:top w:val="none" w:sz="0" w:space="0" w:color="auto"/>
            <w:left w:val="none" w:sz="0" w:space="0" w:color="auto"/>
            <w:bottom w:val="none" w:sz="0" w:space="0" w:color="auto"/>
            <w:right w:val="none" w:sz="0" w:space="0" w:color="auto"/>
          </w:divBdr>
          <w:divsChild>
            <w:div w:id="1950893793">
              <w:marLeft w:val="0"/>
              <w:marRight w:val="0"/>
              <w:marTop w:val="0"/>
              <w:marBottom w:val="0"/>
              <w:divBdr>
                <w:top w:val="none" w:sz="0" w:space="0" w:color="auto"/>
                <w:left w:val="none" w:sz="0" w:space="0" w:color="auto"/>
                <w:bottom w:val="none" w:sz="0" w:space="0" w:color="auto"/>
                <w:right w:val="none" w:sz="0" w:space="0" w:color="auto"/>
              </w:divBdr>
              <w:divsChild>
                <w:div w:id="1173181909">
                  <w:marLeft w:val="0"/>
                  <w:marRight w:val="0"/>
                  <w:marTop w:val="0"/>
                  <w:marBottom w:val="0"/>
                  <w:divBdr>
                    <w:top w:val="none" w:sz="0" w:space="0" w:color="auto"/>
                    <w:left w:val="none" w:sz="0" w:space="0" w:color="auto"/>
                    <w:bottom w:val="none" w:sz="0" w:space="0" w:color="auto"/>
                    <w:right w:val="none" w:sz="0" w:space="0" w:color="auto"/>
                  </w:divBdr>
                  <w:divsChild>
                    <w:div w:id="201476550">
                      <w:marLeft w:val="0"/>
                      <w:marRight w:val="0"/>
                      <w:marTop w:val="0"/>
                      <w:marBottom w:val="0"/>
                      <w:divBdr>
                        <w:top w:val="none" w:sz="0" w:space="0" w:color="auto"/>
                        <w:left w:val="none" w:sz="0" w:space="0" w:color="auto"/>
                        <w:bottom w:val="none" w:sz="0" w:space="0" w:color="auto"/>
                        <w:right w:val="none" w:sz="0" w:space="0" w:color="auto"/>
                      </w:divBdr>
                      <w:divsChild>
                        <w:div w:id="1332101805">
                          <w:marLeft w:val="0"/>
                          <w:marRight w:val="0"/>
                          <w:marTop w:val="0"/>
                          <w:marBottom w:val="345"/>
                          <w:divBdr>
                            <w:top w:val="none" w:sz="0" w:space="0" w:color="auto"/>
                            <w:left w:val="none" w:sz="0" w:space="0" w:color="auto"/>
                            <w:bottom w:val="none" w:sz="0" w:space="0" w:color="auto"/>
                            <w:right w:val="none" w:sz="0" w:space="0" w:color="auto"/>
                          </w:divBdr>
                          <w:divsChild>
                            <w:div w:id="210071645">
                              <w:marLeft w:val="0"/>
                              <w:marRight w:val="0"/>
                              <w:marTop w:val="0"/>
                              <w:marBottom w:val="0"/>
                              <w:divBdr>
                                <w:top w:val="none" w:sz="0" w:space="0" w:color="auto"/>
                                <w:left w:val="none" w:sz="0" w:space="0" w:color="auto"/>
                                <w:bottom w:val="none" w:sz="0" w:space="0" w:color="auto"/>
                                <w:right w:val="none" w:sz="0" w:space="0" w:color="auto"/>
                              </w:divBdr>
                              <w:divsChild>
                                <w:div w:id="1680426266">
                                  <w:marLeft w:val="0"/>
                                  <w:marRight w:val="0"/>
                                  <w:marTop w:val="0"/>
                                  <w:marBottom w:val="0"/>
                                  <w:divBdr>
                                    <w:top w:val="none" w:sz="0" w:space="0" w:color="auto"/>
                                    <w:left w:val="none" w:sz="0" w:space="0" w:color="auto"/>
                                    <w:bottom w:val="none" w:sz="0" w:space="0" w:color="auto"/>
                                    <w:right w:val="none" w:sz="0" w:space="0" w:color="auto"/>
                                  </w:divBdr>
                                  <w:divsChild>
                                    <w:div w:id="202886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91745">
      <w:bodyDiv w:val="1"/>
      <w:marLeft w:val="0"/>
      <w:marRight w:val="0"/>
      <w:marTop w:val="0"/>
      <w:marBottom w:val="0"/>
      <w:divBdr>
        <w:top w:val="none" w:sz="0" w:space="0" w:color="auto"/>
        <w:left w:val="none" w:sz="0" w:space="0" w:color="auto"/>
        <w:bottom w:val="none" w:sz="0" w:space="0" w:color="auto"/>
        <w:right w:val="none" w:sz="0" w:space="0" w:color="auto"/>
      </w:divBdr>
    </w:div>
    <w:div w:id="144780603">
      <w:bodyDiv w:val="1"/>
      <w:marLeft w:val="0"/>
      <w:marRight w:val="0"/>
      <w:marTop w:val="0"/>
      <w:marBottom w:val="0"/>
      <w:divBdr>
        <w:top w:val="none" w:sz="0" w:space="0" w:color="auto"/>
        <w:left w:val="none" w:sz="0" w:space="0" w:color="auto"/>
        <w:bottom w:val="none" w:sz="0" w:space="0" w:color="auto"/>
        <w:right w:val="none" w:sz="0" w:space="0" w:color="auto"/>
      </w:divBdr>
    </w:div>
    <w:div w:id="150756172">
      <w:bodyDiv w:val="1"/>
      <w:marLeft w:val="0"/>
      <w:marRight w:val="0"/>
      <w:marTop w:val="0"/>
      <w:marBottom w:val="0"/>
      <w:divBdr>
        <w:top w:val="none" w:sz="0" w:space="0" w:color="auto"/>
        <w:left w:val="none" w:sz="0" w:space="0" w:color="auto"/>
        <w:bottom w:val="none" w:sz="0" w:space="0" w:color="auto"/>
        <w:right w:val="none" w:sz="0" w:space="0" w:color="auto"/>
      </w:divBdr>
    </w:div>
    <w:div w:id="158278164">
      <w:bodyDiv w:val="1"/>
      <w:marLeft w:val="0"/>
      <w:marRight w:val="0"/>
      <w:marTop w:val="0"/>
      <w:marBottom w:val="0"/>
      <w:divBdr>
        <w:top w:val="none" w:sz="0" w:space="0" w:color="auto"/>
        <w:left w:val="none" w:sz="0" w:space="0" w:color="auto"/>
        <w:bottom w:val="none" w:sz="0" w:space="0" w:color="auto"/>
        <w:right w:val="none" w:sz="0" w:space="0" w:color="auto"/>
      </w:divBdr>
    </w:div>
    <w:div w:id="181357046">
      <w:bodyDiv w:val="1"/>
      <w:marLeft w:val="0"/>
      <w:marRight w:val="0"/>
      <w:marTop w:val="0"/>
      <w:marBottom w:val="0"/>
      <w:divBdr>
        <w:top w:val="none" w:sz="0" w:space="0" w:color="auto"/>
        <w:left w:val="none" w:sz="0" w:space="0" w:color="auto"/>
        <w:bottom w:val="none" w:sz="0" w:space="0" w:color="auto"/>
        <w:right w:val="none" w:sz="0" w:space="0" w:color="auto"/>
      </w:divBdr>
    </w:div>
    <w:div w:id="184293101">
      <w:bodyDiv w:val="1"/>
      <w:marLeft w:val="0"/>
      <w:marRight w:val="0"/>
      <w:marTop w:val="0"/>
      <w:marBottom w:val="0"/>
      <w:divBdr>
        <w:top w:val="none" w:sz="0" w:space="0" w:color="auto"/>
        <w:left w:val="none" w:sz="0" w:space="0" w:color="auto"/>
        <w:bottom w:val="none" w:sz="0" w:space="0" w:color="auto"/>
        <w:right w:val="none" w:sz="0" w:space="0" w:color="auto"/>
      </w:divBdr>
    </w:div>
    <w:div w:id="186405293">
      <w:bodyDiv w:val="1"/>
      <w:marLeft w:val="0"/>
      <w:marRight w:val="0"/>
      <w:marTop w:val="0"/>
      <w:marBottom w:val="0"/>
      <w:divBdr>
        <w:top w:val="none" w:sz="0" w:space="0" w:color="auto"/>
        <w:left w:val="none" w:sz="0" w:space="0" w:color="auto"/>
        <w:bottom w:val="none" w:sz="0" w:space="0" w:color="auto"/>
        <w:right w:val="none" w:sz="0" w:space="0" w:color="auto"/>
      </w:divBdr>
    </w:div>
    <w:div w:id="196551523">
      <w:bodyDiv w:val="1"/>
      <w:marLeft w:val="0"/>
      <w:marRight w:val="0"/>
      <w:marTop w:val="0"/>
      <w:marBottom w:val="0"/>
      <w:divBdr>
        <w:top w:val="none" w:sz="0" w:space="0" w:color="auto"/>
        <w:left w:val="none" w:sz="0" w:space="0" w:color="auto"/>
        <w:bottom w:val="none" w:sz="0" w:space="0" w:color="auto"/>
        <w:right w:val="none" w:sz="0" w:space="0" w:color="auto"/>
      </w:divBdr>
    </w:div>
    <w:div w:id="207647505">
      <w:bodyDiv w:val="1"/>
      <w:marLeft w:val="0"/>
      <w:marRight w:val="0"/>
      <w:marTop w:val="0"/>
      <w:marBottom w:val="0"/>
      <w:divBdr>
        <w:top w:val="none" w:sz="0" w:space="0" w:color="auto"/>
        <w:left w:val="none" w:sz="0" w:space="0" w:color="auto"/>
        <w:bottom w:val="none" w:sz="0" w:space="0" w:color="auto"/>
        <w:right w:val="none" w:sz="0" w:space="0" w:color="auto"/>
      </w:divBdr>
    </w:div>
    <w:div w:id="223226344">
      <w:bodyDiv w:val="1"/>
      <w:marLeft w:val="0"/>
      <w:marRight w:val="0"/>
      <w:marTop w:val="0"/>
      <w:marBottom w:val="0"/>
      <w:divBdr>
        <w:top w:val="none" w:sz="0" w:space="0" w:color="auto"/>
        <w:left w:val="none" w:sz="0" w:space="0" w:color="auto"/>
        <w:bottom w:val="none" w:sz="0" w:space="0" w:color="auto"/>
        <w:right w:val="none" w:sz="0" w:space="0" w:color="auto"/>
      </w:divBdr>
    </w:div>
    <w:div w:id="240025438">
      <w:bodyDiv w:val="1"/>
      <w:marLeft w:val="0"/>
      <w:marRight w:val="0"/>
      <w:marTop w:val="0"/>
      <w:marBottom w:val="0"/>
      <w:divBdr>
        <w:top w:val="none" w:sz="0" w:space="0" w:color="auto"/>
        <w:left w:val="none" w:sz="0" w:space="0" w:color="auto"/>
        <w:bottom w:val="none" w:sz="0" w:space="0" w:color="auto"/>
        <w:right w:val="none" w:sz="0" w:space="0" w:color="auto"/>
      </w:divBdr>
    </w:div>
    <w:div w:id="249507034">
      <w:bodyDiv w:val="1"/>
      <w:marLeft w:val="0"/>
      <w:marRight w:val="0"/>
      <w:marTop w:val="0"/>
      <w:marBottom w:val="0"/>
      <w:divBdr>
        <w:top w:val="none" w:sz="0" w:space="0" w:color="auto"/>
        <w:left w:val="none" w:sz="0" w:space="0" w:color="auto"/>
        <w:bottom w:val="none" w:sz="0" w:space="0" w:color="auto"/>
        <w:right w:val="none" w:sz="0" w:space="0" w:color="auto"/>
      </w:divBdr>
    </w:div>
    <w:div w:id="258878416">
      <w:bodyDiv w:val="1"/>
      <w:marLeft w:val="0"/>
      <w:marRight w:val="0"/>
      <w:marTop w:val="0"/>
      <w:marBottom w:val="0"/>
      <w:divBdr>
        <w:top w:val="none" w:sz="0" w:space="0" w:color="auto"/>
        <w:left w:val="none" w:sz="0" w:space="0" w:color="auto"/>
        <w:bottom w:val="none" w:sz="0" w:space="0" w:color="auto"/>
        <w:right w:val="none" w:sz="0" w:space="0" w:color="auto"/>
      </w:divBdr>
    </w:div>
    <w:div w:id="294943919">
      <w:bodyDiv w:val="1"/>
      <w:marLeft w:val="0"/>
      <w:marRight w:val="0"/>
      <w:marTop w:val="0"/>
      <w:marBottom w:val="0"/>
      <w:divBdr>
        <w:top w:val="none" w:sz="0" w:space="0" w:color="auto"/>
        <w:left w:val="none" w:sz="0" w:space="0" w:color="auto"/>
        <w:bottom w:val="none" w:sz="0" w:space="0" w:color="auto"/>
        <w:right w:val="none" w:sz="0" w:space="0" w:color="auto"/>
      </w:divBdr>
    </w:div>
    <w:div w:id="298847599">
      <w:bodyDiv w:val="1"/>
      <w:marLeft w:val="0"/>
      <w:marRight w:val="0"/>
      <w:marTop w:val="0"/>
      <w:marBottom w:val="0"/>
      <w:divBdr>
        <w:top w:val="none" w:sz="0" w:space="0" w:color="auto"/>
        <w:left w:val="none" w:sz="0" w:space="0" w:color="auto"/>
        <w:bottom w:val="none" w:sz="0" w:space="0" w:color="auto"/>
        <w:right w:val="none" w:sz="0" w:space="0" w:color="auto"/>
      </w:divBdr>
    </w:div>
    <w:div w:id="301010980">
      <w:bodyDiv w:val="1"/>
      <w:marLeft w:val="0"/>
      <w:marRight w:val="0"/>
      <w:marTop w:val="0"/>
      <w:marBottom w:val="0"/>
      <w:divBdr>
        <w:top w:val="none" w:sz="0" w:space="0" w:color="auto"/>
        <w:left w:val="none" w:sz="0" w:space="0" w:color="auto"/>
        <w:bottom w:val="none" w:sz="0" w:space="0" w:color="auto"/>
        <w:right w:val="none" w:sz="0" w:space="0" w:color="auto"/>
      </w:divBdr>
    </w:div>
    <w:div w:id="306208085">
      <w:bodyDiv w:val="1"/>
      <w:marLeft w:val="0"/>
      <w:marRight w:val="0"/>
      <w:marTop w:val="0"/>
      <w:marBottom w:val="0"/>
      <w:divBdr>
        <w:top w:val="none" w:sz="0" w:space="0" w:color="auto"/>
        <w:left w:val="none" w:sz="0" w:space="0" w:color="auto"/>
        <w:bottom w:val="none" w:sz="0" w:space="0" w:color="auto"/>
        <w:right w:val="none" w:sz="0" w:space="0" w:color="auto"/>
      </w:divBdr>
    </w:div>
    <w:div w:id="333001253">
      <w:bodyDiv w:val="1"/>
      <w:marLeft w:val="0"/>
      <w:marRight w:val="0"/>
      <w:marTop w:val="0"/>
      <w:marBottom w:val="0"/>
      <w:divBdr>
        <w:top w:val="none" w:sz="0" w:space="0" w:color="auto"/>
        <w:left w:val="none" w:sz="0" w:space="0" w:color="auto"/>
        <w:bottom w:val="none" w:sz="0" w:space="0" w:color="auto"/>
        <w:right w:val="none" w:sz="0" w:space="0" w:color="auto"/>
      </w:divBdr>
    </w:div>
    <w:div w:id="333455539">
      <w:bodyDiv w:val="1"/>
      <w:marLeft w:val="0"/>
      <w:marRight w:val="0"/>
      <w:marTop w:val="0"/>
      <w:marBottom w:val="0"/>
      <w:divBdr>
        <w:top w:val="none" w:sz="0" w:space="0" w:color="auto"/>
        <w:left w:val="none" w:sz="0" w:space="0" w:color="auto"/>
        <w:bottom w:val="none" w:sz="0" w:space="0" w:color="auto"/>
        <w:right w:val="none" w:sz="0" w:space="0" w:color="auto"/>
      </w:divBdr>
    </w:div>
    <w:div w:id="336154010">
      <w:bodyDiv w:val="1"/>
      <w:marLeft w:val="0"/>
      <w:marRight w:val="0"/>
      <w:marTop w:val="0"/>
      <w:marBottom w:val="0"/>
      <w:divBdr>
        <w:top w:val="none" w:sz="0" w:space="0" w:color="auto"/>
        <w:left w:val="none" w:sz="0" w:space="0" w:color="auto"/>
        <w:bottom w:val="none" w:sz="0" w:space="0" w:color="auto"/>
        <w:right w:val="none" w:sz="0" w:space="0" w:color="auto"/>
      </w:divBdr>
    </w:div>
    <w:div w:id="341513402">
      <w:bodyDiv w:val="1"/>
      <w:marLeft w:val="0"/>
      <w:marRight w:val="0"/>
      <w:marTop w:val="0"/>
      <w:marBottom w:val="0"/>
      <w:divBdr>
        <w:top w:val="none" w:sz="0" w:space="0" w:color="auto"/>
        <w:left w:val="none" w:sz="0" w:space="0" w:color="auto"/>
        <w:bottom w:val="none" w:sz="0" w:space="0" w:color="auto"/>
        <w:right w:val="none" w:sz="0" w:space="0" w:color="auto"/>
      </w:divBdr>
    </w:div>
    <w:div w:id="362825710">
      <w:bodyDiv w:val="1"/>
      <w:marLeft w:val="0"/>
      <w:marRight w:val="0"/>
      <w:marTop w:val="0"/>
      <w:marBottom w:val="0"/>
      <w:divBdr>
        <w:top w:val="none" w:sz="0" w:space="0" w:color="auto"/>
        <w:left w:val="none" w:sz="0" w:space="0" w:color="auto"/>
        <w:bottom w:val="none" w:sz="0" w:space="0" w:color="auto"/>
        <w:right w:val="none" w:sz="0" w:space="0" w:color="auto"/>
      </w:divBdr>
    </w:div>
    <w:div w:id="391584499">
      <w:bodyDiv w:val="1"/>
      <w:marLeft w:val="0"/>
      <w:marRight w:val="0"/>
      <w:marTop w:val="0"/>
      <w:marBottom w:val="0"/>
      <w:divBdr>
        <w:top w:val="none" w:sz="0" w:space="0" w:color="auto"/>
        <w:left w:val="none" w:sz="0" w:space="0" w:color="auto"/>
        <w:bottom w:val="none" w:sz="0" w:space="0" w:color="auto"/>
        <w:right w:val="none" w:sz="0" w:space="0" w:color="auto"/>
      </w:divBdr>
    </w:div>
    <w:div w:id="399905143">
      <w:bodyDiv w:val="1"/>
      <w:marLeft w:val="0"/>
      <w:marRight w:val="0"/>
      <w:marTop w:val="0"/>
      <w:marBottom w:val="0"/>
      <w:divBdr>
        <w:top w:val="none" w:sz="0" w:space="0" w:color="auto"/>
        <w:left w:val="none" w:sz="0" w:space="0" w:color="auto"/>
        <w:bottom w:val="none" w:sz="0" w:space="0" w:color="auto"/>
        <w:right w:val="none" w:sz="0" w:space="0" w:color="auto"/>
      </w:divBdr>
    </w:div>
    <w:div w:id="424156764">
      <w:bodyDiv w:val="1"/>
      <w:marLeft w:val="0"/>
      <w:marRight w:val="0"/>
      <w:marTop w:val="0"/>
      <w:marBottom w:val="0"/>
      <w:divBdr>
        <w:top w:val="none" w:sz="0" w:space="0" w:color="auto"/>
        <w:left w:val="none" w:sz="0" w:space="0" w:color="auto"/>
        <w:bottom w:val="none" w:sz="0" w:space="0" w:color="auto"/>
        <w:right w:val="none" w:sz="0" w:space="0" w:color="auto"/>
      </w:divBdr>
    </w:div>
    <w:div w:id="446393544">
      <w:bodyDiv w:val="1"/>
      <w:marLeft w:val="0"/>
      <w:marRight w:val="0"/>
      <w:marTop w:val="0"/>
      <w:marBottom w:val="0"/>
      <w:divBdr>
        <w:top w:val="none" w:sz="0" w:space="0" w:color="auto"/>
        <w:left w:val="none" w:sz="0" w:space="0" w:color="auto"/>
        <w:bottom w:val="none" w:sz="0" w:space="0" w:color="auto"/>
        <w:right w:val="none" w:sz="0" w:space="0" w:color="auto"/>
      </w:divBdr>
    </w:div>
    <w:div w:id="450705426">
      <w:bodyDiv w:val="1"/>
      <w:marLeft w:val="0"/>
      <w:marRight w:val="0"/>
      <w:marTop w:val="0"/>
      <w:marBottom w:val="0"/>
      <w:divBdr>
        <w:top w:val="none" w:sz="0" w:space="0" w:color="auto"/>
        <w:left w:val="none" w:sz="0" w:space="0" w:color="auto"/>
        <w:bottom w:val="none" w:sz="0" w:space="0" w:color="auto"/>
        <w:right w:val="none" w:sz="0" w:space="0" w:color="auto"/>
      </w:divBdr>
    </w:div>
    <w:div w:id="490099644">
      <w:bodyDiv w:val="1"/>
      <w:marLeft w:val="0"/>
      <w:marRight w:val="0"/>
      <w:marTop w:val="0"/>
      <w:marBottom w:val="0"/>
      <w:divBdr>
        <w:top w:val="none" w:sz="0" w:space="0" w:color="auto"/>
        <w:left w:val="none" w:sz="0" w:space="0" w:color="auto"/>
        <w:bottom w:val="none" w:sz="0" w:space="0" w:color="auto"/>
        <w:right w:val="none" w:sz="0" w:space="0" w:color="auto"/>
      </w:divBdr>
    </w:div>
    <w:div w:id="501043521">
      <w:bodyDiv w:val="1"/>
      <w:marLeft w:val="0"/>
      <w:marRight w:val="0"/>
      <w:marTop w:val="0"/>
      <w:marBottom w:val="0"/>
      <w:divBdr>
        <w:top w:val="none" w:sz="0" w:space="0" w:color="auto"/>
        <w:left w:val="none" w:sz="0" w:space="0" w:color="auto"/>
        <w:bottom w:val="none" w:sz="0" w:space="0" w:color="auto"/>
        <w:right w:val="none" w:sz="0" w:space="0" w:color="auto"/>
      </w:divBdr>
    </w:div>
    <w:div w:id="501700065">
      <w:bodyDiv w:val="1"/>
      <w:marLeft w:val="0"/>
      <w:marRight w:val="0"/>
      <w:marTop w:val="0"/>
      <w:marBottom w:val="0"/>
      <w:divBdr>
        <w:top w:val="none" w:sz="0" w:space="0" w:color="auto"/>
        <w:left w:val="none" w:sz="0" w:space="0" w:color="auto"/>
        <w:bottom w:val="none" w:sz="0" w:space="0" w:color="auto"/>
        <w:right w:val="none" w:sz="0" w:space="0" w:color="auto"/>
      </w:divBdr>
    </w:div>
    <w:div w:id="502016009">
      <w:bodyDiv w:val="1"/>
      <w:marLeft w:val="0"/>
      <w:marRight w:val="0"/>
      <w:marTop w:val="0"/>
      <w:marBottom w:val="0"/>
      <w:divBdr>
        <w:top w:val="none" w:sz="0" w:space="0" w:color="auto"/>
        <w:left w:val="none" w:sz="0" w:space="0" w:color="auto"/>
        <w:bottom w:val="none" w:sz="0" w:space="0" w:color="auto"/>
        <w:right w:val="none" w:sz="0" w:space="0" w:color="auto"/>
      </w:divBdr>
    </w:div>
    <w:div w:id="528102694">
      <w:bodyDiv w:val="1"/>
      <w:marLeft w:val="0"/>
      <w:marRight w:val="0"/>
      <w:marTop w:val="0"/>
      <w:marBottom w:val="0"/>
      <w:divBdr>
        <w:top w:val="none" w:sz="0" w:space="0" w:color="auto"/>
        <w:left w:val="none" w:sz="0" w:space="0" w:color="auto"/>
        <w:bottom w:val="none" w:sz="0" w:space="0" w:color="auto"/>
        <w:right w:val="none" w:sz="0" w:space="0" w:color="auto"/>
      </w:divBdr>
    </w:div>
    <w:div w:id="528882011">
      <w:bodyDiv w:val="1"/>
      <w:marLeft w:val="0"/>
      <w:marRight w:val="0"/>
      <w:marTop w:val="0"/>
      <w:marBottom w:val="0"/>
      <w:divBdr>
        <w:top w:val="none" w:sz="0" w:space="0" w:color="auto"/>
        <w:left w:val="none" w:sz="0" w:space="0" w:color="auto"/>
        <w:bottom w:val="none" w:sz="0" w:space="0" w:color="auto"/>
        <w:right w:val="none" w:sz="0" w:space="0" w:color="auto"/>
      </w:divBdr>
    </w:div>
    <w:div w:id="532039123">
      <w:bodyDiv w:val="1"/>
      <w:marLeft w:val="0"/>
      <w:marRight w:val="0"/>
      <w:marTop w:val="0"/>
      <w:marBottom w:val="0"/>
      <w:divBdr>
        <w:top w:val="none" w:sz="0" w:space="0" w:color="auto"/>
        <w:left w:val="none" w:sz="0" w:space="0" w:color="auto"/>
        <w:bottom w:val="none" w:sz="0" w:space="0" w:color="auto"/>
        <w:right w:val="none" w:sz="0" w:space="0" w:color="auto"/>
      </w:divBdr>
    </w:div>
    <w:div w:id="533541016">
      <w:bodyDiv w:val="1"/>
      <w:marLeft w:val="0"/>
      <w:marRight w:val="0"/>
      <w:marTop w:val="0"/>
      <w:marBottom w:val="0"/>
      <w:divBdr>
        <w:top w:val="none" w:sz="0" w:space="0" w:color="auto"/>
        <w:left w:val="none" w:sz="0" w:space="0" w:color="auto"/>
        <w:bottom w:val="none" w:sz="0" w:space="0" w:color="auto"/>
        <w:right w:val="none" w:sz="0" w:space="0" w:color="auto"/>
      </w:divBdr>
    </w:div>
    <w:div w:id="555312728">
      <w:bodyDiv w:val="1"/>
      <w:marLeft w:val="0"/>
      <w:marRight w:val="0"/>
      <w:marTop w:val="0"/>
      <w:marBottom w:val="0"/>
      <w:divBdr>
        <w:top w:val="none" w:sz="0" w:space="0" w:color="auto"/>
        <w:left w:val="none" w:sz="0" w:space="0" w:color="auto"/>
        <w:bottom w:val="none" w:sz="0" w:space="0" w:color="auto"/>
        <w:right w:val="none" w:sz="0" w:space="0" w:color="auto"/>
      </w:divBdr>
    </w:div>
    <w:div w:id="555433496">
      <w:bodyDiv w:val="1"/>
      <w:marLeft w:val="0"/>
      <w:marRight w:val="0"/>
      <w:marTop w:val="0"/>
      <w:marBottom w:val="0"/>
      <w:divBdr>
        <w:top w:val="none" w:sz="0" w:space="0" w:color="auto"/>
        <w:left w:val="none" w:sz="0" w:space="0" w:color="auto"/>
        <w:bottom w:val="none" w:sz="0" w:space="0" w:color="auto"/>
        <w:right w:val="none" w:sz="0" w:space="0" w:color="auto"/>
      </w:divBdr>
    </w:div>
    <w:div w:id="574516337">
      <w:bodyDiv w:val="1"/>
      <w:marLeft w:val="0"/>
      <w:marRight w:val="0"/>
      <w:marTop w:val="0"/>
      <w:marBottom w:val="0"/>
      <w:divBdr>
        <w:top w:val="none" w:sz="0" w:space="0" w:color="auto"/>
        <w:left w:val="none" w:sz="0" w:space="0" w:color="auto"/>
        <w:bottom w:val="none" w:sz="0" w:space="0" w:color="auto"/>
        <w:right w:val="none" w:sz="0" w:space="0" w:color="auto"/>
      </w:divBdr>
    </w:div>
    <w:div w:id="591821040">
      <w:bodyDiv w:val="1"/>
      <w:marLeft w:val="0"/>
      <w:marRight w:val="0"/>
      <w:marTop w:val="0"/>
      <w:marBottom w:val="0"/>
      <w:divBdr>
        <w:top w:val="none" w:sz="0" w:space="0" w:color="auto"/>
        <w:left w:val="none" w:sz="0" w:space="0" w:color="auto"/>
        <w:bottom w:val="none" w:sz="0" w:space="0" w:color="auto"/>
        <w:right w:val="none" w:sz="0" w:space="0" w:color="auto"/>
      </w:divBdr>
    </w:div>
    <w:div w:id="600376213">
      <w:bodyDiv w:val="1"/>
      <w:marLeft w:val="0"/>
      <w:marRight w:val="0"/>
      <w:marTop w:val="0"/>
      <w:marBottom w:val="0"/>
      <w:divBdr>
        <w:top w:val="none" w:sz="0" w:space="0" w:color="auto"/>
        <w:left w:val="none" w:sz="0" w:space="0" w:color="auto"/>
        <w:bottom w:val="none" w:sz="0" w:space="0" w:color="auto"/>
        <w:right w:val="none" w:sz="0" w:space="0" w:color="auto"/>
      </w:divBdr>
    </w:div>
    <w:div w:id="613680864">
      <w:bodyDiv w:val="1"/>
      <w:marLeft w:val="0"/>
      <w:marRight w:val="0"/>
      <w:marTop w:val="0"/>
      <w:marBottom w:val="0"/>
      <w:divBdr>
        <w:top w:val="none" w:sz="0" w:space="0" w:color="auto"/>
        <w:left w:val="none" w:sz="0" w:space="0" w:color="auto"/>
        <w:bottom w:val="none" w:sz="0" w:space="0" w:color="auto"/>
        <w:right w:val="none" w:sz="0" w:space="0" w:color="auto"/>
      </w:divBdr>
    </w:div>
    <w:div w:id="667052009">
      <w:bodyDiv w:val="1"/>
      <w:marLeft w:val="0"/>
      <w:marRight w:val="0"/>
      <w:marTop w:val="0"/>
      <w:marBottom w:val="0"/>
      <w:divBdr>
        <w:top w:val="none" w:sz="0" w:space="0" w:color="auto"/>
        <w:left w:val="none" w:sz="0" w:space="0" w:color="auto"/>
        <w:bottom w:val="none" w:sz="0" w:space="0" w:color="auto"/>
        <w:right w:val="none" w:sz="0" w:space="0" w:color="auto"/>
      </w:divBdr>
    </w:div>
    <w:div w:id="673143713">
      <w:bodyDiv w:val="1"/>
      <w:marLeft w:val="0"/>
      <w:marRight w:val="0"/>
      <w:marTop w:val="0"/>
      <w:marBottom w:val="0"/>
      <w:divBdr>
        <w:top w:val="none" w:sz="0" w:space="0" w:color="auto"/>
        <w:left w:val="none" w:sz="0" w:space="0" w:color="auto"/>
        <w:bottom w:val="none" w:sz="0" w:space="0" w:color="auto"/>
        <w:right w:val="none" w:sz="0" w:space="0" w:color="auto"/>
      </w:divBdr>
    </w:div>
    <w:div w:id="676077533">
      <w:bodyDiv w:val="1"/>
      <w:marLeft w:val="0"/>
      <w:marRight w:val="0"/>
      <w:marTop w:val="0"/>
      <w:marBottom w:val="0"/>
      <w:divBdr>
        <w:top w:val="none" w:sz="0" w:space="0" w:color="auto"/>
        <w:left w:val="none" w:sz="0" w:space="0" w:color="auto"/>
        <w:bottom w:val="none" w:sz="0" w:space="0" w:color="auto"/>
        <w:right w:val="none" w:sz="0" w:space="0" w:color="auto"/>
      </w:divBdr>
    </w:div>
    <w:div w:id="689641904">
      <w:bodyDiv w:val="1"/>
      <w:marLeft w:val="0"/>
      <w:marRight w:val="0"/>
      <w:marTop w:val="0"/>
      <w:marBottom w:val="0"/>
      <w:divBdr>
        <w:top w:val="none" w:sz="0" w:space="0" w:color="auto"/>
        <w:left w:val="none" w:sz="0" w:space="0" w:color="auto"/>
        <w:bottom w:val="none" w:sz="0" w:space="0" w:color="auto"/>
        <w:right w:val="none" w:sz="0" w:space="0" w:color="auto"/>
      </w:divBdr>
    </w:div>
    <w:div w:id="697507758">
      <w:bodyDiv w:val="1"/>
      <w:marLeft w:val="0"/>
      <w:marRight w:val="0"/>
      <w:marTop w:val="0"/>
      <w:marBottom w:val="0"/>
      <w:divBdr>
        <w:top w:val="none" w:sz="0" w:space="0" w:color="auto"/>
        <w:left w:val="none" w:sz="0" w:space="0" w:color="auto"/>
        <w:bottom w:val="none" w:sz="0" w:space="0" w:color="auto"/>
        <w:right w:val="none" w:sz="0" w:space="0" w:color="auto"/>
      </w:divBdr>
    </w:div>
    <w:div w:id="727798748">
      <w:bodyDiv w:val="1"/>
      <w:marLeft w:val="0"/>
      <w:marRight w:val="0"/>
      <w:marTop w:val="0"/>
      <w:marBottom w:val="0"/>
      <w:divBdr>
        <w:top w:val="none" w:sz="0" w:space="0" w:color="auto"/>
        <w:left w:val="none" w:sz="0" w:space="0" w:color="auto"/>
        <w:bottom w:val="none" w:sz="0" w:space="0" w:color="auto"/>
        <w:right w:val="none" w:sz="0" w:space="0" w:color="auto"/>
      </w:divBdr>
    </w:div>
    <w:div w:id="743141074">
      <w:bodyDiv w:val="1"/>
      <w:marLeft w:val="0"/>
      <w:marRight w:val="0"/>
      <w:marTop w:val="0"/>
      <w:marBottom w:val="0"/>
      <w:divBdr>
        <w:top w:val="none" w:sz="0" w:space="0" w:color="auto"/>
        <w:left w:val="none" w:sz="0" w:space="0" w:color="auto"/>
        <w:bottom w:val="none" w:sz="0" w:space="0" w:color="auto"/>
        <w:right w:val="none" w:sz="0" w:space="0" w:color="auto"/>
      </w:divBdr>
    </w:div>
    <w:div w:id="782967662">
      <w:bodyDiv w:val="1"/>
      <w:marLeft w:val="0"/>
      <w:marRight w:val="0"/>
      <w:marTop w:val="0"/>
      <w:marBottom w:val="0"/>
      <w:divBdr>
        <w:top w:val="none" w:sz="0" w:space="0" w:color="auto"/>
        <w:left w:val="none" w:sz="0" w:space="0" w:color="auto"/>
        <w:bottom w:val="none" w:sz="0" w:space="0" w:color="auto"/>
        <w:right w:val="none" w:sz="0" w:space="0" w:color="auto"/>
      </w:divBdr>
    </w:div>
    <w:div w:id="787700958">
      <w:bodyDiv w:val="1"/>
      <w:marLeft w:val="0"/>
      <w:marRight w:val="0"/>
      <w:marTop w:val="0"/>
      <w:marBottom w:val="0"/>
      <w:divBdr>
        <w:top w:val="none" w:sz="0" w:space="0" w:color="auto"/>
        <w:left w:val="none" w:sz="0" w:space="0" w:color="auto"/>
        <w:bottom w:val="none" w:sz="0" w:space="0" w:color="auto"/>
        <w:right w:val="none" w:sz="0" w:space="0" w:color="auto"/>
      </w:divBdr>
    </w:div>
    <w:div w:id="812865152">
      <w:bodyDiv w:val="1"/>
      <w:marLeft w:val="0"/>
      <w:marRight w:val="0"/>
      <w:marTop w:val="0"/>
      <w:marBottom w:val="0"/>
      <w:divBdr>
        <w:top w:val="none" w:sz="0" w:space="0" w:color="auto"/>
        <w:left w:val="none" w:sz="0" w:space="0" w:color="auto"/>
        <w:bottom w:val="none" w:sz="0" w:space="0" w:color="auto"/>
        <w:right w:val="none" w:sz="0" w:space="0" w:color="auto"/>
      </w:divBdr>
    </w:div>
    <w:div w:id="830101619">
      <w:bodyDiv w:val="1"/>
      <w:marLeft w:val="0"/>
      <w:marRight w:val="0"/>
      <w:marTop w:val="0"/>
      <w:marBottom w:val="0"/>
      <w:divBdr>
        <w:top w:val="none" w:sz="0" w:space="0" w:color="auto"/>
        <w:left w:val="none" w:sz="0" w:space="0" w:color="auto"/>
        <w:bottom w:val="none" w:sz="0" w:space="0" w:color="auto"/>
        <w:right w:val="none" w:sz="0" w:space="0" w:color="auto"/>
      </w:divBdr>
    </w:div>
    <w:div w:id="831336306">
      <w:bodyDiv w:val="1"/>
      <w:marLeft w:val="0"/>
      <w:marRight w:val="0"/>
      <w:marTop w:val="0"/>
      <w:marBottom w:val="0"/>
      <w:divBdr>
        <w:top w:val="none" w:sz="0" w:space="0" w:color="auto"/>
        <w:left w:val="none" w:sz="0" w:space="0" w:color="auto"/>
        <w:bottom w:val="none" w:sz="0" w:space="0" w:color="auto"/>
        <w:right w:val="none" w:sz="0" w:space="0" w:color="auto"/>
      </w:divBdr>
    </w:div>
    <w:div w:id="849609988">
      <w:bodyDiv w:val="1"/>
      <w:marLeft w:val="0"/>
      <w:marRight w:val="0"/>
      <w:marTop w:val="0"/>
      <w:marBottom w:val="0"/>
      <w:divBdr>
        <w:top w:val="none" w:sz="0" w:space="0" w:color="auto"/>
        <w:left w:val="none" w:sz="0" w:space="0" w:color="auto"/>
        <w:bottom w:val="none" w:sz="0" w:space="0" w:color="auto"/>
        <w:right w:val="none" w:sz="0" w:space="0" w:color="auto"/>
      </w:divBdr>
    </w:div>
    <w:div w:id="849763007">
      <w:bodyDiv w:val="1"/>
      <w:marLeft w:val="0"/>
      <w:marRight w:val="0"/>
      <w:marTop w:val="0"/>
      <w:marBottom w:val="0"/>
      <w:divBdr>
        <w:top w:val="none" w:sz="0" w:space="0" w:color="auto"/>
        <w:left w:val="none" w:sz="0" w:space="0" w:color="auto"/>
        <w:bottom w:val="none" w:sz="0" w:space="0" w:color="auto"/>
        <w:right w:val="none" w:sz="0" w:space="0" w:color="auto"/>
      </w:divBdr>
    </w:div>
    <w:div w:id="857280786">
      <w:bodyDiv w:val="1"/>
      <w:marLeft w:val="0"/>
      <w:marRight w:val="0"/>
      <w:marTop w:val="0"/>
      <w:marBottom w:val="0"/>
      <w:divBdr>
        <w:top w:val="none" w:sz="0" w:space="0" w:color="auto"/>
        <w:left w:val="none" w:sz="0" w:space="0" w:color="auto"/>
        <w:bottom w:val="none" w:sz="0" w:space="0" w:color="auto"/>
        <w:right w:val="none" w:sz="0" w:space="0" w:color="auto"/>
      </w:divBdr>
    </w:div>
    <w:div w:id="857736009">
      <w:bodyDiv w:val="1"/>
      <w:marLeft w:val="0"/>
      <w:marRight w:val="0"/>
      <w:marTop w:val="0"/>
      <w:marBottom w:val="0"/>
      <w:divBdr>
        <w:top w:val="none" w:sz="0" w:space="0" w:color="auto"/>
        <w:left w:val="none" w:sz="0" w:space="0" w:color="auto"/>
        <w:bottom w:val="none" w:sz="0" w:space="0" w:color="auto"/>
        <w:right w:val="none" w:sz="0" w:space="0" w:color="auto"/>
      </w:divBdr>
    </w:div>
    <w:div w:id="864445829">
      <w:bodyDiv w:val="1"/>
      <w:marLeft w:val="0"/>
      <w:marRight w:val="0"/>
      <w:marTop w:val="0"/>
      <w:marBottom w:val="0"/>
      <w:divBdr>
        <w:top w:val="none" w:sz="0" w:space="0" w:color="auto"/>
        <w:left w:val="none" w:sz="0" w:space="0" w:color="auto"/>
        <w:bottom w:val="none" w:sz="0" w:space="0" w:color="auto"/>
        <w:right w:val="none" w:sz="0" w:space="0" w:color="auto"/>
      </w:divBdr>
    </w:div>
    <w:div w:id="871305120">
      <w:bodyDiv w:val="1"/>
      <w:marLeft w:val="0"/>
      <w:marRight w:val="0"/>
      <w:marTop w:val="0"/>
      <w:marBottom w:val="0"/>
      <w:divBdr>
        <w:top w:val="none" w:sz="0" w:space="0" w:color="auto"/>
        <w:left w:val="none" w:sz="0" w:space="0" w:color="auto"/>
        <w:bottom w:val="none" w:sz="0" w:space="0" w:color="auto"/>
        <w:right w:val="none" w:sz="0" w:space="0" w:color="auto"/>
      </w:divBdr>
    </w:div>
    <w:div w:id="877162579">
      <w:bodyDiv w:val="1"/>
      <w:marLeft w:val="0"/>
      <w:marRight w:val="0"/>
      <w:marTop w:val="0"/>
      <w:marBottom w:val="0"/>
      <w:divBdr>
        <w:top w:val="none" w:sz="0" w:space="0" w:color="auto"/>
        <w:left w:val="none" w:sz="0" w:space="0" w:color="auto"/>
        <w:bottom w:val="none" w:sz="0" w:space="0" w:color="auto"/>
        <w:right w:val="none" w:sz="0" w:space="0" w:color="auto"/>
      </w:divBdr>
    </w:div>
    <w:div w:id="906036836">
      <w:bodyDiv w:val="1"/>
      <w:marLeft w:val="0"/>
      <w:marRight w:val="0"/>
      <w:marTop w:val="0"/>
      <w:marBottom w:val="0"/>
      <w:divBdr>
        <w:top w:val="none" w:sz="0" w:space="0" w:color="auto"/>
        <w:left w:val="none" w:sz="0" w:space="0" w:color="auto"/>
        <w:bottom w:val="none" w:sz="0" w:space="0" w:color="auto"/>
        <w:right w:val="none" w:sz="0" w:space="0" w:color="auto"/>
      </w:divBdr>
    </w:div>
    <w:div w:id="911963512">
      <w:bodyDiv w:val="1"/>
      <w:marLeft w:val="0"/>
      <w:marRight w:val="0"/>
      <w:marTop w:val="0"/>
      <w:marBottom w:val="0"/>
      <w:divBdr>
        <w:top w:val="none" w:sz="0" w:space="0" w:color="auto"/>
        <w:left w:val="none" w:sz="0" w:space="0" w:color="auto"/>
        <w:bottom w:val="none" w:sz="0" w:space="0" w:color="auto"/>
        <w:right w:val="none" w:sz="0" w:space="0" w:color="auto"/>
      </w:divBdr>
    </w:div>
    <w:div w:id="915169815">
      <w:bodyDiv w:val="1"/>
      <w:marLeft w:val="0"/>
      <w:marRight w:val="0"/>
      <w:marTop w:val="0"/>
      <w:marBottom w:val="0"/>
      <w:divBdr>
        <w:top w:val="none" w:sz="0" w:space="0" w:color="auto"/>
        <w:left w:val="none" w:sz="0" w:space="0" w:color="auto"/>
        <w:bottom w:val="none" w:sz="0" w:space="0" w:color="auto"/>
        <w:right w:val="none" w:sz="0" w:space="0" w:color="auto"/>
      </w:divBdr>
    </w:div>
    <w:div w:id="916940484">
      <w:bodyDiv w:val="1"/>
      <w:marLeft w:val="0"/>
      <w:marRight w:val="0"/>
      <w:marTop w:val="0"/>
      <w:marBottom w:val="0"/>
      <w:divBdr>
        <w:top w:val="none" w:sz="0" w:space="0" w:color="auto"/>
        <w:left w:val="none" w:sz="0" w:space="0" w:color="auto"/>
        <w:bottom w:val="none" w:sz="0" w:space="0" w:color="auto"/>
        <w:right w:val="none" w:sz="0" w:space="0" w:color="auto"/>
      </w:divBdr>
    </w:div>
    <w:div w:id="950670086">
      <w:bodyDiv w:val="1"/>
      <w:marLeft w:val="0"/>
      <w:marRight w:val="0"/>
      <w:marTop w:val="0"/>
      <w:marBottom w:val="0"/>
      <w:divBdr>
        <w:top w:val="none" w:sz="0" w:space="0" w:color="auto"/>
        <w:left w:val="none" w:sz="0" w:space="0" w:color="auto"/>
        <w:bottom w:val="none" w:sz="0" w:space="0" w:color="auto"/>
        <w:right w:val="none" w:sz="0" w:space="0" w:color="auto"/>
      </w:divBdr>
    </w:div>
    <w:div w:id="967394022">
      <w:bodyDiv w:val="1"/>
      <w:marLeft w:val="0"/>
      <w:marRight w:val="0"/>
      <w:marTop w:val="0"/>
      <w:marBottom w:val="0"/>
      <w:divBdr>
        <w:top w:val="none" w:sz="0" w:space="0" w:color="auto"/>
        <w:left w:val="none" w:sz="0" w:space="0" w:color="auto"/>
        <w:bottom w:val="none" w:sz="0" w:space="0" w:color="auto"/>
        <w:right w:val="none" w:sz="0" w:space="0" w:color="auto"/>
      </w:divBdr>
    </w:div>
    <w:div w:id="974945483">
      <w:bodyDiv w:val="1"/>
      <w:marLeft w:val="0"/>
      <w:marRight w:val="0"/>
      <w:marTop w:val="0"/>
      <w:marBottom w:val="0"/>
      <w:divBdr>
        <w:top w:val="none" w:sz="0" w:space="0" w:color="auto"/>
        <w:left w:val="none" w:sz="0" w:space="0" w:color="auto"/>
        <w:bottom w:val="none" w:sz="0" w:space="0" w:color="auto"/>
        <w:right w:val="none" w:sz="0" w:space="0" w:color="auto"/>
      </w:divBdr>
    </w:div>
    <w:div w:id="994802541">
      <w:bodyDiv w:val="1"/>
      <w:marLeft w:val="0"/>
      <w:marRight w:val="0"/>
      <w:marTop w:val="0"/>
      <w:marBottom w:val="0"/>
      <w:divBdr>
        <w:top w:val="none" w:sz="0" w:space="0" w:color="auto"/>
        <w:left w:val="none" w:sz="0" w:space="0" w:color="auto"/>
        <w:bottom w:val="none" w:sz="0" w:space="0" w:color="auto"/>
        <w:right w:val="none" w:sz="0" w:space="0" w:color="auto"/>
      </w:divBdr>
    </w:div>
    <w:div w:id="1003164404">
      <w:bodyDiv w:val="1"/>
      <w:marLeft w:val="0"/>
      <w:marRight w:val="0"/>
      <w:marTop w:val="0"/>
      <w:marBottom w:val="0"/>
      <w:divBdr>
        <w:top w:val="none" w:sz="0" w:space="0" w:color="auto"/>
        <w:left w:val="none" w:sz="0" w:space="0" w:color="auto"/>
        <w:bottom w:val="none" w:sz="0" w:space="0" w:color="auto"/>
        <w:right w:val="none" w:sz="0" w:space="0" w:color="auto"/>
      </w:divBdr>
    </w:div>
    <w:div w:id="1007631200">
      <w:bodyDiv w:val="1"/>
      <w:marLeft w:val="0"/>
      <w:marRight w:val="0"/>
      <w:marTop w:val="0"/>
      <w:marBottom w:val="0"/>
      <w:divBdr>
        <w:top w:val="none" w:sz="0" w:space="0" w:color="auto"/>
        <w:left w:val="none" w:sz="0" w:space="0" w:color="auto"/>
        <w:bottom w:val="none" w:sz="0" w:space="0" w:color="auto"/>
        <w:right w:val="none" w:sz="0" w:space="0" w:color="auto"/>
      </w:divBdr>
    </w:div>
    <w:div w:id="1016542187">
      <w:bodyDiv w:val="1"/>
      <w:marLeft w:val="0"/>
      <w:marRight w:val="0"/>
      <w:marTop w:val="0"/>
      <w:marBottom w:val="0"/>
      <w:divBdr>
        <w:top w:val="none" w:sz="0" w:space="0" w:color="auto"/>
        <w:left w:val="none" w:sz="0" w:space="0" w:color="auto"/>
        <w:bottom w:val="none" w:sz="0" w:space="0" w:color="auto"/>
        <w:right w:val="none" w:sz="0" w:space="0" w:color="auto"/>
      </w:divBdr>
    </w:div>
    <w:div w:id="1024357122">
      <w:bodyDiv w:val="1"/>
      <w:marLeft w:val="0"/>
      <w:marRight w:val="0"/>
      <w:marTop w:val="0"/>
      <w:marBottom w:val="0"/>
      <w:divBdr>
        <w:top w:val="none" w:sz="0" w:space="0" w:color="auto"/>
        <w:left w:val="none" w:sz="0" w:space="0" w:color="auto"/>
        <w:bottom w:val="none" w:sz="0" w:space="0" w:color="auto"/>
        <w:right w:val="none" w:sz="0" w:space="0" w:color="auto"/>
      </w:divBdr>
    </w:div>
    <w:div w:id="1044478366">
      <w:bodyDiv w:val="1"/>
      <w:marLeft w:val="0"/>
      <w:marRight w:val="0"/>
      <w:marTop w:val="0"/>
      <w:marBottom w:val="0"/>
      <w:divBdr>
        <w:top w:val="none" w:sz="0" w:space="0" w:color="auto"/>
        <w:left w:val="none" w:sz="0" w:space="0" w:color="auto"/>
        <w:bottom w:val="none" w:sz="0" w:space="0" w:color="auto"/>
        <w:right w:val="none" w:sz="0" w:space="0" w:color="auto"/>
      </w:divBdr>
    </w:div>
    <w:div w:id="1062943331">
      <w:bodyDiv w:val="1"/>
      <w:marLeft w:val="0"/>
      <w:marRight w:val="0"/>
      <w:marTop w:val="0"/>
      <w:marBottom w:val="0"/>
      <w:divBdr>
        <w:top w:val="none" w:sz="0" w:space="0" w:color="auto"/>
        <w:left w:val="none" w:sz="0" w:space="0" w:color="auto"/>
        <w:bottom w:val="none" w:sz="0" w:space="0" w:color="auto"/>
        <w:right w:val="none" w:sz="0" w:space="0" w:color="auto"/>
      </w:divBdr>
    </w:div>
    <w:div w:id="1071540915">
      <w:bodyDiv w:val="1"/>
      <w:marLeft w:val="0"/>
      <w:marRight w:val="0"/>
      <w:marTop w:val="0"/>
      <w:marBottom w:val="0"/>
      <w:divBdr>
        <w:top w:val="none" w:sz="0" w:space="0" w:color="auto"/>
        <w:left w:val="none" w:sz="0" w:space="0" w:color="auto"/>
        <w:bottom w:val="none" w:sz="0" w:space="0" w:color="auto"/>
        <w:right w:val="none" w:sz="0" w:space="0" w:color="auto"/>
      </w:divBdr>
    </w:div>
    <w:div w:id="1097672077">
      <w:bodyDiv w:val="1"/>
      <w:marLeft w:val="0"/>
      <w:marRight w:val="0"/>
      <w:marTop w:val="0"/>
      <w:marBottom w:val="0"/>
      <w:divBdr>
        <w:top w:val="none" w:sz="0" w:space="0" w:color="auto"/>
        <w:left w:val="none" w:sz="0" w:space="0" w:color="auto"/>
        <w:bottom w:val="none" w:sz="0" w:space="0" w:color="auto"/>
        <w:right w:val="none" w:sz="0" w:space="0" w:color="auto"/>
      </w:divBdr>
    </w:div>
    <w:div w:id="1130588565">
      <w:bodyDiv w:val="1"/>
      <w:marLeft w:val="0"/>
      <w:marRight w:val="0"/>
      <w:marTop w:val="0"/>
      <w:marBottom w:val="0"/>
      <w:divBdr>
        <w:top w:val="none" w:sz="0" w:space="0" w:color="auto"/>
        <w:left w:val="none" w:sz="0" w:space="0" w:color="auto"/>
        <w:bottom w:val="none" w:sz="0" w:space="0" w:color="auto"/>
        <w:right w:val="none" w:sz="0" w:space="0" w:color="auto"/>
      </w:divBdr>
    </w:div>
    <w:div w:id="1136753145">
      <w:bodyDiv w:val="1"/>
      <w:marLeft w:val="0"/>
      <w:marRight w:val="0"/>
      <w:marTop w:val="0"/>
      <w:marBottom w:val="0"/>
      <w:divBdr>
        <w:top w:val="none" w:sz="0" w:space="0" w:color="auto"/>
        <w:left w:val="none" w:sz="0" w:space="0" w:color="auto"/>
        <w:bottom w:val="none" w:sz="0" w:space="0" w:color="auto"/>
        <w:right w:val="none" w:sz="0" w:space="0" w:color="auto"/>
      </w:divBdr>
    </w:div>
    <w:div w:id="1143936218">
      <w:bodyDiv w:val="1"/>
      <w:marLeft w:val="0"/>
      <w:marRight w:val="0"/>
      <w:marTop w:val="0"/>
      <w:marBottom w:val="0"/>
      <w:divBdr>
        <w:top w:val="none" w:sz="0" w:space="0" w:color="auto"/>
        <w:left w:val="none" w:sz="0" w:space="0" w:color="auto"/>
        <w:bottom w:val="none" w:sz="0" w:space="0" w:color="auto"/>
        <w:right w:val="none" w:sz="0" w:space="0" w:color="auto"/>
      </w:divBdr>
    </w:div>
    <w:div w:id="1144546795">
      <w:bodyDiv w:val="1"/>
      <w:marLeft w:val="0"/>
      <w:marRight w:val="0"/>
      <w:marTop w:val="0"/>
      <w:marBottom w:val="0"/>
      <w:divBdr>
        <w:top w:val="none" w:sz="0" w:space="0" w:color="auto"/>
        <w:left w:val="none" w:sz="0" w:space="0" w:color="auto"/>
        <w:bottom w:val="none" w:sz="0" w:space="0" w:color="auto"/>
        <w:right w:val="none" w:sz="0" w:space="0" w:color="auto"/>
      </w:divBdr>
    </w:div>
    <w:div w:id="1153570318">
      <w:bodyDiv w:val="1"/>
      <w:marLeft w:val="0"/>
      <w:marRight w:val="0"/>
      <w:marTop w:val="0"/>
      <w:marBottom w:val="0"/>
      <w:divBdr>
        <w:top w:val="none" w:sz="0" w:space="0" w:color="auto"/>
        <w:left w:val="none" w:sz="0" w:space="0" w:color="auto"/>
        <w:bottom w:val="none" w:sz="0" w:space="0" w:color="auto"/>
        <w:right w:val="none" w:sz="0" w:space="0" w:color="auto"/>
      </w:divBdr>
    </w:div>
    <w:div w:id="1155757782">
      <w:bodyDiv w:val="1"/>
      <w:marLeft w:val="0"/>
      <w:marRight w:val="0"/>
      <w:marTop w:val="0"/>
      <w:marBottom w:val="0"/>
      <w:divBdr>
        <w:top w:val="none" w:sz="0" w:space="0" w:color="auto"/>
        <w:left w:val="none" w:sz="0" w:space="0" w:color="auto"/>
        <w:bottom w:val="none" w:sz="0" w:space="0" w:color="auto"/>
        <w:right w:val="none" w:sz="0" w:space="0" w:color="auto"/>
      </w:divBdr>
    </w:div>
    <w:div w:id="1158687120">
      <w:bodyDiv w:val="1"/>
      <w:marLeft w:val="0"/>
      <w:marRight w:val="0"/>
      <w:marTop w:val="0"/>
      <w:marBottom w:val="0"/>
      <w:divBdr>
        <w:top w:val="none" w:sz="0" w:space="0" w:color="auto"/>
        <w:left w:val="none" w:sz="0" w:space="0" w:color="auto"/>
        <w:bottom w:val="none" w:sz="0" w:space="0" w:color="auto"/>
        <w:right w:val="none" w:sz="0" w:space="0" w:color="auto"/>
      </w:divBdr>
    </w:div>
    <w:div w:id="1161309892">
      <w:bodyDiv w:val="1"/>
      <w:marLeft w:val="0"/>
      <w:marRight w:val="0"/>
      <w:marTop w:val="0"/>
      <w:marBottom w:val="0"/>
      <w:divBdr>
        <w:top w:val="none" w:sz="0" w:space="0" w:color="auto"/>
        <w:left w:val="none" w:sz="0" w:space="0" w:color="auto"/>
        <w:bottom w:val="none" w:sz="0" w:space="0" w:color="auto"/>
        <w:right w:val="none" w:sz="0" w:space="0" w:color="auto"/>
      </w:divBdr>
    </w:div>
    <w:div w:id="1170829343">
      <w:bodyDiv w:val="1"/>
      <w:marLeft w:val="0"/>
      <w:marRight w:val="0"/>
      <w:marTop w:val="0"/>
      <w:marBottom w:val="0"/>
      <w:divBdr>
        <w:top w:val="none" w:sz="0" w:space="0" w:color="auto"/>
        <w:left w:val="none" w:sz="0" w:space="0" w:color="auto"/>
        <w:bottom w:val="none" w:sz="0" w:space="0" w:color="auto"/>
        <w:right w:val="none" w:sz="0" w:space="0" w:color="auto"/>
      </w:divBdr>
    </w:div>
    <w:div w:id="1200165147">
      <w:bodyDiv w:val="1"/>
      <w:marLeft w:val="0"/>
      <w:marRight w:val="0"/>
      <w:marTop w:val="0"/>
      <w:marBottom w:val="0"/>
      <w:divBdr>
        <w:top w:val="none" w:sz="0" w:space="0" w:color="auto"/>
        <w:left w:val="none" w:sz="0" w:space="0" w:color="auto"/>
        <w:bottom w:val="none" w:sz="0" w:space="0" w:color="auto"/>
        <w:right w:val="none" w:sz="0" w:space="0" w:color="auto"/>
      </w:divBdr>
    </w:div>
    <w:div w:id="1201554208">
      <w:bodyDiv w:val="1"/>
      <w:marLeft w:val="0"/>
      <w:marRight w:val="0"/>
      <w:marTop w:val="0"/>
      <w:marBottom w:val="0"/>
      <w:divBdr>
        <w:top w:val="none" w:sz="0" w:space="0" w:color="auto"/>
        <w:left w:val="none" w:sz="0" w:space="0" w:color="auto"/>
        <w:bottom w:val="none" w:sz="0" w:space="0" w:color="auto"/>
        <w:right w:val="none" w:sz="0" w:space="0" w:color="auto"/>
      </w:divBdr>
    </w:div>
    <w:div w:id="1202471526">
      <w:bodyDiv w:val="1"/>
      <w:marLeft w:val="0"/>
      <w:marRight w:val="0"/>
      <w:marTop w:val="0"/>
      <w:marBottom w:val="0"/>
      <w:divBdr>
        <w:top w:val="none" w:sz="0" w:space="0" w:color="auto"/>
        <w:left w:val="none" w:sz="0" w:space="0" w:color="auto"/>
        <w:bottom w:val="none" w:sz="0" w:space="0" w:color="auto"/>
        <w:right w:val="none" w:sz="0" w:space="0" w:color="auto"/>
      </w:divBdr>
    </w:div>
    <w:div w:id="1203254419">
      <w:bodyDiv w:val="1"/>
      <w:marLeft w:val="0"/>
      <w:marRight w:val="0"/>
      <w:marTop w:val="0"/>
      <w:marBottom w:val="0"/>
      <w:divBdr>
        <w:top w:val="none" w:sz="0" w:space="0" w:color="auto"/>
        <w:left w:val="none" w:sz="0" w:space="0" w:color="auto"/>
        <w:bottom w:val="none" w:sz="0" w:space="0" w:color="auto"/>
        <w:right w:val="none" w:sz="0" w:space="0" w:color="auto"/>
      </w:divBdr>
    </w:div>
    <w:div w:id="1278366548">
      <w:bodyDiv w:val="1"/>
      <w:marLeft w:val="0"/>
      <w:marRight w:val="0"/>
      <w:marTop w:val="0"/>
      <w:marBottom w:val="0"/>
      <w:divBdr>
        <w:top w:val="none" w:sz="0" w:space="0" w:color="auto"/>
        <w:left w:val="none" w:sz="0" w:space="0" w:color="auto"/>
        <w:bottom w:val="none" w:sz="0" w:space="0" w:color="auto"/>
        <w:right w:val="none" w:sz="0" w:space="0" w:color="auto"/>
      </w:divBdr>
    </w:div>
    <w:div w:id="1294214099">
      <w:bodyDiv w:val="1"/>
      <w:marLeft w:val="0"/>
      <w:marRight w:val="0"/>
      <w:marTop w:val="0"/>
      <w:marBottom w:val="0"/>
      <w:divBdr>
        <w:top w:val="none" w:sz="0" w:space="0" w:color="auto"/>
        <w:left w:val="none" w:sz="0" w:space="0" w:color="auto"/>
        <w:bottom w:val="none" w:sz="0" w:space="0" w:color="auto"/>
        <w:right w:val="none" w:sz="0" w:space="0" w:color="auto"/>
      </w:divBdr>
    </w:div>
    <w:div w:id="1294673241">
      <w:bodyDiv w:val="1"/>
      <w:marLeft w:val="0"/>
      <w:marRight w:val="0"/>
      <w:marTop w:val="0"/>
      <w:marBottom w:val="0"/>
      <w:divBdr>
        <w:top w:val="none" w:sz="0" w:space="0" w:color="auto"/>
        <w:left w:val="none" w:sz="0" w:space="0" w:color="auto"/>
        <w:bottom w:val="none" w:sz="0" w:space="0" w:color="auto"/>
        <w:right w:val="none" w:sz="0" w:space="0" w:color="auto"/>
      </w:divBdr>
    </w:div>
    <w:div w:id="1311905039">
      <w:bodyDiv w:val="1"/>
      <w:marLeft w:val="0"/>
      <w:marRight w:val="0"/>
      <w:marTop w:val="0"/>
      <w:marBottom w:val="0"/>
      <w:divBdr>
        <w:top w:val="none" w:sz="0" w:space="0" w:color="auto"/>
        <w:left w:val="none" w:sz="0" w:space="0" w:color="auto"/>
        <w:bottom w:val="none" w:sz="0" w:space="0" w:color="auto"/>
        <w:right w:val="none" w:sz="0" w:space="0" w:color="auto"/>
      </w:divBdr>
    </w:div>
    <w:div w:id="1322540440">
      <w:bodyDiv w:val="1"/>
      <w:marLeft w:val="0"/>
      <w:marRight w:val="0"/>
      <w:marTop w:val="0"/>
      <w:marBottom w:val="0"/>
      <w:divBdr>
        <w:top w:val="none" w:sz="0" w:space="0" w:color="auto"/>
        <w:left w:val="none" w:sz="0" w:space="0" w:color="auto"/>
        <w:bottom w:val="none" w:sz="0" w:space="0" w:color="auto"/>
        <w:right w:val="none" w:sz="0" w:space="0" w:color="auto"/>
      </w:divBdr>
    </w:div>
    <w:div w:id="1334333697">
      <w:bodyDiv w:val="1"/>
      <w:marLeft w:val="0"/>
      <w:marRight w:val="0"/>
      <w:marTop w:val="0"/>
      <w:marBottom w:val="0"/>
      <w:divBdr>
        <w:top w:val="none" w:sz="0" w:space="0" w:color="auto"/>
        <w:left w:val="none" w:sz="0" w:space="0" w:color="auto"/>
        <w:bottom w:val="none" w:sz="0" w:space="0" w:color="auto"/>
        <w:right w:val="none" w:sz="0" w:space="0" w:color="auto"/>
      </w:divBdr>
    </w:div>
    <w:div w:id="1345355425">
      <w:bodyDiv w:val="1"/>
      <w:marLeft w:val="0"/>
      <w:marRight w:val="0"/>
      <w:marTop w:val="0"/>
      <w:marBottom w:val="0"/>
      <w:divBdr>
        <w:top w:val="none" w:sz="0" w:space="0" w:color="auto"/>
        <w:left w:val="none" w:sz="0" w:space="0" w:color="auto"/>
        <w:bottom w:val="none" w:sz="0" w:space="0" w:color="auto"/>
        <w:right w:val="none" w:sz="0" w:space="0" w:color="auto"/>
      </w:divBdr>
    </w:div>
    <w:div w:id="1346009672">
      <w:bodyDiv w:val="1"/>
      <w:marLeft w:val="0"/>
      <w:marRight w:val="0"/>
      <w:marTop w:val="0"/>
      <w:marBottom w:val="0"/>
      <w:divBdr>
        <w:top w:val="none" w:sz="0" w:space="0" w:color="auto"/>
        <w:left w:val="none" w:sz="0" w:space="0" w:color="auto"/>
        <w:bottom w:val="none" w:sz="0" w:space="0" w:color="auto"/>
        <w:right w:val="none" w:sz="0" w:space="0" w:color="auto"/>
      </w:divBdr>
    </w:div>
    <w:div w:id="1356157233">
      <w:bodyDiv w:val="1"/>
      <w:marLeft w:val="0"/>
      <w:marRight w:val="0"/>
      <w:marTop w:val="0"/>
      <w:marBottom w:val="0"/>
      <w:divBdr>
        <w:top w:val="none" w:sz="0" w:space="0" w:color="auto"/>
        <w:left w:val="none" w:sz="0" w:space="0" w:color="auto"/>
        <w:bottom w:val="none" w:sz="0" w:space="0" w:color="auto"/>
        <w:right w:val="none" w:sz="0" w:space="0" w:color="auto"/>
      </w:divBdr>
    </w:div>
    <w:div w:id="1388601933">
      <w:bodyDiv w:val="1"/>
      <w:marLeft w:val="0"/>
      <w:marRight w:val="0"/>
      <w:marTop w:val="0"/>
      <w:marBottom w:val="0"/>
      <w:divBdr>
        <w:top w:val="none" w:sz="0" w:space="0" w:color="auto"/>
        <w:left w:val="none" w:sz="0" w:space="0" w:color="auto"/>
        <w:bottom w:val="none" w:sz="0" w:space="0" w:color="auto"/>
        <w:right w:val="none" w:sz="0" w:space="0" w:color="auto"/>
      </w:divBdr>
    </w:div>
    <w:div w:id="1400133808">
      <w:bodyDiv w:val="1"/>
      <w:marLeft w:val="0"/>
      <w:marRight w:val="0"/>
      <w:marTop w:val="0"/>
      <w:marBottom w:val="0"/>
      <w:divBdr>
        <w:top w:val="none" w:sz="0" w:space="0" w:color="auto"/>
        <w:left w:val="none" w:sz="0" w:space="0" w:color="auto"/>
        <w:bottom w:val="none" w:sz="0" w:space="0" w:color="auto"/>
        <w:right w:val="none" w:sz="0" w:space="0" w:color="auto"/>
      </w:divBdr>
    </w:div>
    <w:div w:id="1406101996">
      <w:bodyDiv w:val="1"/>
      <w:marLeft w:val="0"/>
      <w:marRight w:val="0"/>
      <w:marTop w:val="0"/>
      <w:marBottom w:val="0"/>
      <w:divBdr>
        <w:top w:val="none" w:sz="0" w:space="0" w:color="auto"/>
        <w:left w:val="none" w:sz="0" w:space="0" w:color="auto"/>
        <w:bottom w:val="none" w:sz="0" w:space="0" w:color="auto"/>
        <w:right w:val="none" w:sz="0" w:space="0" w:color="auto"/>
      </w:divBdr>
    </w:div>
    <w:div w:id="1436364463">
      <w:bodyDiv w:val="1"/>
      <w:marLeft w:val="0"/>
      <w:marRight w:val="0"/>
      <w:marTop w:val="0"/>
      <w:marBottom w:val="0"/>
      <w:divBdr>
        <w:top w:val="none" w:sz="0" w:space="0" w:color="auto"/>
        <w:left w:val="none" w:sz="0" w:space="0" w:color="auto"/>
        <w:bottom w:val="none" w:sz="0" w:space="0" w:color="auto"/>
        <w:right w:val="none" w:sz="0" w:space="0" w:color="auto"/>
      </w:divBdr>
    </w:div>
    <w:div w:id="1446457959">
      <w:bodyDiv w:val="1"/>
      <w:marLeft w:val="0"/>
      <w:marRight w:val="0"/>
      <w:marTop w:val="0"/>
      <w:marBottom w:val="0"/>
      <w:divBdr>
        <w:top w:val="none" w:sz="0" w:space="0" w:color="auto"/>
        <w:left w:val="none" w:sz="0" w:space="0" w:color="auto"/>
        <w:bottom w:val="none" w:sz="0" w:space="0" w:color="auto"/>
        <w:right w:val="none" w:sz="0" w:space="0" w:color="auto"/>
      </w:divBdr>
    </w:div>
    <w:div w:id="1455515559">
      <w:bodyDiv w:val="1"/>
      <w:marLeft w:val="0"/>
      <w:marRight w:val="0"/>
      <w:marTop w:val="0"/>
      <w:marBottom w:val="0"/>
      <w:divBdr>
        <w:top w:val="none" w:sz="0" w:space="0" w:color="auto"/>
        <w:left w:val="none" w:sz="0" w:space="0" w:color="auto"/>
        <w:bottom w:val="none" w:sz="0" w:space="0" w:color="auto"/>
        <w:right w:val="none" w:sz="0" w:space="0" w:color="auto"/>
      </w:divBdr>
    </w:div>
    <w:div w:id="1461145258">
      <w:bodyDiv w:val="1"/>
      <w:marLeft w:val="0"/>
      <w:marRight w:val="0"/>
      <w:marTop w:val="0"/>
      <w:marBottom w:val="0"/>
      <w:divBdr>
        <w:top w:val="none" w:sz="0" w:space="0" w:color="auto"/>
        <w:left w:val="none" w:sz="0" w:space="0" w:color="auto"/>
        <w:bottom w:val="none" w:sz="0" w:space="0" w:color="auto"/>
        <w:right w:val="none" w:sz="0" w:space="0" w:color="auto"/>
      </w:divBdr>
    </w:div>
    <w:div w:id="1490945643">
      <w:bodyDiv w:val="1"/>
      <w:marLeft w:val="0"/>
      <w:marRight w:val="0"/>
      <w:marTop w:val="0"/>
      <w:marBottom w:val="0"/>
      <w:divBdr>
        <w:top w:val="none" w:sz="0" w:space="0" w:color="auto"/>
        <w:left w:val="none" w:sz="0" w:space="0" w:color="auto"/>
        <w:bottom w:val="none" w:sz="0" w:space="0" w:color="auto"/>
        <w:right w:val="none" w:sz="0" w:space="0" w:color="auto"/>
      </w:divBdr>
    </w:div>
    <w:div w:id="1495991982">
      <w:bodyDiv w:val="1"/>
      <w:marLeft w:val="0"/>
      <w:marRight w:val="0"/>
      <w:marTop w:val="0"/>
      <w:marBottom w:val="0"/>
      <w:divBdr>
        <w:top w:val="none" w:sz="0" w:space="0" w:color="auto"/>
        <w:left w:val="none" w:sz="0" w:space="0" w:color="auto"/>
        <w:bottom w:val="none" w:sz="0" w:space="0" w:color="auto"/>
        <w:right w:val="none" w:sz="0" w:space="0" w:color="auto"/>
      </w:divBdr>
    </w:div>
    <w:div w:id="1497842947">
      <w:bodyDiv w:val="1"/>
      <w:marLeft w:val="0"/>
      <w:marRight w:val="0"/>
      <w:marTop w:val="0"/>
      <w:marBottom w:val="0"/>
      <w:divBdr>
        <w:top w:val="none" w:sz="0" w:space="0" w:color="auto"/>
        <w:left w:val="none" w:sz="0" w:space="0" w:color="auto"/>
        <w:bottom w:val="none" w:sz="0" w:space="0" w:color="auto"/>
        <w:right w:val="none" w:sz="0" w:space="0" w:color="auto"/>
      </w:divBdr>
    </w:div>
    <w:div w:id="1498502092">
      <w:bodyDiv w:val="1"/>
      <w:marLeft w:val="0"/>
      <w:marRight w:val="0"/>
      <w:marTop w:val="0"/>
      <w:marBottom w:val="0"/>
      <w:divBdr>
        <w:top w:val="none" w:sz="0" w:space="0" w:color="auto"/>
        <w:left w:val="none" w:sz="0" w:space="0" w:color="auto"/>
        <w:bottom w:val="none" w:sz="0" w:space="0" w:color="auto"/>
        <w:right w:val="none" w:sz="0" w:space="0" w:color="auto"/>
      </w:divBdr>
    </w:div>
    <w:div w:id="1515874616">
      <w:bodyDiv w:val="1"/>
      <w:marLeft w:val="0"/>
      <w:marRight w:val="0"/>
      <w:marTop w:val="0"/>
      <w:marBottom w:val="0"/>
      <w:divBdr>
        <w:top w:val="none" w:sz="0" w:space="0" w:color="auto"/>
        <w:left w:val="none" w:sz="0" w:space="0" w:color="auto"/>
        <w:bottom w:val="none" w:sz="0" w:space="0" w:color="auto"/>
        <w:right w:val="none" w:sz="0" w:space="0" w:color="auto"/>
      </w:divBdr>
    </w:div>
    <w:div w:id="1523392993">
      <w:bodyDiv w:val="1"/>
      <w:marLeft w:val="0"/>
      <w:marRight w:val="0"/>
      <w:marTop w:val="0"/>
      <w:marBottom w:val="0"/>
      <w:divBdr>
        <w:top w:val="none" w:sz="0" w:space="0" w:color="auto"/>
        <w:left w:val="none" w:sz="0" w:space="0" w:color="auto"/>
        <w:bottom w:val="none" w:sz="0" w:space="0" w:color="auto"/>
        <w:right w:val="none" w:sz="0" w:space="0" w:color="auto"/>
      </w:divBdr>
    </w:div>
    <w:div w:id="1531263995">
      <w:bodyDiv w:val="1"/>
      <w:marLeft w:val="0"/>
      <w:marRight w:val="0"/>
      <w:marTop w:val="0"/>
      <w:marBottom w:val="0"/>
      <w:divBdr>
        <w:top w:val="none" w:sz="0" w:space="0" w:color="auto"/>
        <w:left w:val="none" w:sz="0" w:space="0" w:color="auto"/>
        <w:bottom w:val="none" w:sz="0" w:space="0" w:color="auto"/>
        <w:right w:val="none" w:sz="0" w:space="0" w:color="auto"/>
      </w:divBdr>
    </w:div>
    <w:div w:id="1535119530">
      <w:bodyDiv w:val="1"/>
      <w:marLeft w:val="0"/>
      <w:marRight w:val="0"/>
      <w:marTop w:val="0"/>
      <w:marBottom w:val="0"/>
      <w:divBdr>
        <w:top w:val="none" w:sz="0" w:space="0" w:color="auto"/>
        <w:left w:val="none" w:sz="0" w:space="0" w:color="auto"/>
        <w:bottom w:val="none" w:sz="0" w:space="0" w:color="auto"/>
        <w:right w:val="none" w:sz="0" w:space="0" w:color="auto"/>
      </w:divBdr>
    </w:div>
    <w:div w:id="1546405324">
      <w:bodyDiv w:val="1"/>
      <w:marLeft w:val="0"/>
      <w:marRight w:val="0"/>
      <w:marTop w:val="0"/>
      <w:marBottom w:val="0"/>
      <w:divBdr>
        <w:top w:val="none" w:sz="0" w:space="0" w:color="auto"/>
        <w:left w:val="none" w:sz="0" w:space="0" w:color="auto"/>
        <w:bottom w:val="none" w:sz="0" w:space="0" w:color="auto"/>
        <w:right w:val="none" w:sz="0" w:space="0" w:color="auto"/>
      </w:divBdr>
    </w:div>
    <w:div w:id="1554080294">
      <w:bodyDiv w:val="1"/>
      <w:marLeft w:val="0"/>
      <w:marRight w:val="0"/>
      <w:marTop w:val="0"/>
      <w:marBottom w:val="0"/>
      <w:divBdr>
        <w:top w:val="none" w:sz="0" w:space="0" w:color="auto"/>
        <w:left w:val="none" w:sz="0" w:space="0" w:color="auto"/>
        <w:bottom w:val="none" w:sz="0" w:space="0" w:color="auto"/>
        <w:right w:val="none" w:sz="0" w:space="0" w:color="auto"/>
      </w:divBdr>
    </w:div>
    <w:div w:id="1554196177">
      <w:bodyDiv w:val="1"/>
      <w:marLeft w:val="0"/>
      <w:marRight w:val="0"/>
      <w:marTop w:val="0"/>
      <w:marBottom w:val="0"/>
      <w:divBdr>
        <w:top w:val="none" w:sz="0" w:space="0" w:color="auto"/>
        <w:left w:val="none" w:sz="0" w:space="0" w:color="auto"/>
        <w:bottom w:val="none" w:sz="0" w:space="0" w:color="auto"/>
        <w:right w:val="none" w:sz="0" w:space="0" w:color="auto"/>
      </w:divBdr>
    </w:div>
    <w:div w:id="1573080830">
      <w:bodyDiv w:val="1"/>
      <w:marLeft w:val="0"/>
      <w:marRight w:val="0"/>
      <w:marTop w:val="0"/>
      <w:marBottom w:val="0"/>
      <w:divBdr>
        <w:top w:val="none" w:sz="0" w:space="0" w:color="auto"/>
        <w:left w:val="none" w:sz="0" w:space="0" w:color="auto"/>
        <w:bottom w:val="none" w:sz="0" w:space="0" w:color="auto"/>
        <w:right w:val="none" w:sz="0" w:space="0" w:color="auto"/>
      </w:divBdr>
    </w:div>
    <w:div w:id="1578781308">
      <w:bodyDiv w:val="1"/>
      <w:marLeft w:val="0"/>
      <w:marRight w:val="0"/>
      <w:marTop w:val="0"/>
      <w:marBottom w:val="0"/>
      <w:divBdr>
        <w:top w:val="none" w:sz="0" w:space="0" w:color="auto"/>
        <w:left w:val="none" w:sz="0" w:space="0" w:color="auto"/>
        <w:bottom w:val="none" w:sz="0" w:space="0" w:color="auto"/>
        <w:right w:val="none" w:sz="0" w:space="0" w:color="auto"/>
      </w:divBdr>
    </w:div>
    <w:div w:id="1589995783">
      <w:bodyDiv w:val="1"/>
      <w:marLeft w:val="0"/>
      <w:marRight w:val="0"/>
      <w:marTop w:val="0"/>
      <w:marBottom w:val="0"/>
      <w:divBdr>
        <w:top w:val="none" w:sz="0" w:space="0" w:color="auto"/>
        <w:left w:val="none" w:sz="0" w:space="0" w:color="auto"/>
        <w:bottom w:val="none" w:sz="0" w:space="0" w:color="auto"/>
        <w:right w:val="none" w:sz="0" w:space="0" w:color="auto"/>
      </w:divBdr>
    </w:div>
    <w:div w:id="1590502809">
      <w:bodyDiv w:val="1"/>
      <w:marLeft w:val="0"/>
      <w:marRight w:val="0"/>
      <w:marTop w:val="0"/>
      <w:marBottom w:val="0"/>
      <w:divBdr>
        <w:top w:val="none" w:sz="0" w:space="0" w:color="auto"/>
        <w:left w:val="none" w:sz="0" w:space="0" w:color="auto"/>
        <w:bottom w:val="none" w:sz="0" w:space="0" w:color="auto"/>
        <w:right w:val="none" w:sz="0" w:space="0" w:color="auto"/>
      </w:divBdr>
    </w:div>
    <w:div w:id="1593008556">
      <w:bodyDiv w:val="1"/>
      <w:marLeft w:val="0"/>
      <w:marRight w:val="0"/>
      <w:marTop w:val="0"/>
      <w:marBottom w:val="0"/>
      <w:divBdr>
        <w:top w:val="none" w:sz="0" w:space="0" w:color="auto"/>
        <w:left w:val="none" w:sz="0" w:space="0" w:color="auto"/>
        <w:bottom w:val="none" w:sz="0" w:space="0" w:color="auto"/>
        <w:right w:val="none" w:sz="0" w:space="0" w:color="auto"/>
      </w:divBdr>
    </w:div>
    <w:div w:id="1593928187">
      <w:bodyDiv w:val="1"/>
      <w:marLeft w:val="0"/>
      <w:marRight w:val="0"/>
      <w:marTop w:val="0"/>
      <w:marBottom w:val="0"/>
      <w:divBdr>
        <w:top w:val="none" w:sz="0" w:space="0" w:color="auto"/>
        <w:left w:val="none" w:sz="0" w:space="0" w:color="auto"/>
        <w:bottom w:val="none" w:sz="0" w:space="0" w:color="auto"/>
        <w:right w:val="none" w:sz="0" w:space="0" w:color="auto"/>
      </w:divBdr>
    </w:div>
    <w:div w:id="1600289917">
      <w:bodyDiv w:val="1"/>
      <w:marLeft w:val="0"/>
      <w:marRight w:val="0"/>
      <w:marTop w:val="0"/>
      <w:marBottom w:val="0"/>
      <w:divBdr>
        <w:top w:val="none" w:sz="0" w:space="0" w:color="auto"/>
        <w:left w:val="none" w:sz="0" w:space="0" w:color="auto"/>
        <w:bottom w:val="none" w:sz="0" w:space="0" w:color="auto"/>
        <w:right w:val="none" w:sz="0" w:space="0" w:color="auto"/>
      </w:divBdr>
    </w:div>
    <w:div w:id="1601766012">
      <w:bodyDiv w:val="1"/>
      <w:marLeft w:val="0"/>
      <w:marRight w:val="0"/>
      <w:marTop w:val="0"/>
      <w:marBottom w:val="0"/>
      <w:divBdr>
        <w:top w:val="none" w:sz="0" w:space="0" w:color="auto"/>
        <w:left w:val="none" w:sz="0" w:space="0" w:color="auto"/>
        <w:bottom w:val="none" w:sz="0" w:space="0" w:color="auto"/>
        <w:right w:val="none" w:sz="0" w:space="0" w:color="auto"/>
      </w:divBdr>
    </w:div>
    <w:div w:id="1604454000">
      <w:bodyDiv w:val="1"/>
      <w:marLeft w:val="0"/>
      <w:marRight w:val="0"/>
      <w:marTop w:val="0"/>
      <w:marBottom w:val="0"/>
      <w:divBdr>
        <w:top w:val="none" w:sz="0" w:space="0" w:color="auto"/>
        <w:left w:val="none" w:sz="0" w:space="0" w:color="auto"/>
        <w:bottom w:val="none" w:sz="0" w:space="0" w:color="auto"/>
        <w:right w:val="none" w:sz="0" w:space="0" w:color="auto"/>
      </w:divBdr>
    </w:div>
    <w:div w:id="1608002997">
      <w:bodyDiv w:val="1"/>
      <w:marLeft w:val="0"/>
      <w:marRight w:val="0"/>
      <w:marTop w:val="0"/>
      <w:marBottom w:val="0"/>
      <w:divBdr>
        <w:top w:val="none" w:sz="0" w:space="0" w:color="auto"/>
        <w:left w:val="none" w:sz="0" w:space="0" w:color="auto"/>
        <w:bottom w:val="none" w:sz="0" w:space="0" w:color="auto"/>
        <w:right w:val="none" w:sz="0" w:space="0" w:color="auto"/>
      </w:divBdr>
    </w:div>
    <w:div w:id="1621762424">
      <w:bodyDiv w:val="1"/>
      <w:marLeft w:val="0"/>
      <w:marRight w:val="0"/>
      <w:marTop w:val="0"/>
      <w:marBottom w:val="0"/>
      <w:divBdr>
        <w:top w:val="none" w:sz="0" w:space="0" w:color="auto"/>
        <w:left w:val="none" w:sz="0" w:space="0" w:color="auto"/>
        <w:bottom w:val="none" w:sz="0" w:space="0" w:color="auto"/>
        <w:right w:val="none" w:sz="0" w:space="0" w:color="auto"/>
      </w:divBdr>
    </w:div>
    <w:div w:id="1623615231">
      <w:bodyDiv w:val="1"/>
      <w:marLeft w:val="0"/>
      <w:marRight w:val="0"/>
      <w:marTop w:val="0"/>
      <w:marBottom w:val="0"/>
      <w:divBdr>
        <w:top w:val="none" w:sz="0" w:space="0" w:color="auto"/>
        <w:left w:val="none" w:sz="0" w:space="0" w:color="auto"/>
        <w:bottom w:val="none" w:sz="0" w:space="0" w:color="auto"/>
        <w:right w:val="none" w:sz="0" w:space="0" w:color="auto"/>
      </w:divBdr>
    </w:div>
    <w:div w:id="1636787597">
      <w:bodyDiv w:val="1"/>
      <w:marLeft w:val="0"/>
      <w:marRight w:val="0"/>
      <w:marTop w:val="0"/>
      <w:marBottom w:val="0"/>
      <w:divBdr>
        <w:top w:val="none" w:sz="0" w:space="0" w:color="auto"/>
        <w:left w:val="none" w:sz="0" w:space="0" w:color="auto"/>
        <w:bottom w:val="none" w:sz="0" w:space="0" w:color="auto"/>
        <w:right w:val="none" w:sz="0" w:space="0" w:color="auto"/>
      </w:divBdr>
    </w:div>
    <w:div w:id="1705904122">
      <w:bodyDiv w:val="1"/>
      <w:marLeft w:val="0"/>
      <w:marRight w:val="0"/>
      <w:marTop w:val="0"/>
      <w:marBottom w:val="0"/>
      <w:divBdr>
        <w:top w:val="none" w:sz="0" w:space="0" w:color="auto"/>
        <w:left w:val="none" w:sz="0" w:space="0" w:color="auto"/>
        <w:bottom w:val="none" w:sz="0" w:space="0" w:color="auto"/>
        <w:right w:val="none" w:sz="0" w:space="0" w:color="auto"/>
      </w:divBdr>
    </w:div>
    <w:div w:id="1717503773">
      <w:bodyDiv w:val="1"/>
      <w:marLeft w:val="0"/>
      <w:marRight w:val="0"/>
      <w:marTop w:val="0"/>
      <w:marBottom w:val="0"/>
      <w:divBdr>
        <w:top w:val="none" w:sz="0" w:space="0" w:color="auto"/>
        <w:left w:val="none" w:sz="0" w:space="0" w:color="auto"/>
        <w:bottom w:val="none" w:sz="0" w:space="0" w:color="auto"/>
        <w:right w:val="none" w:sz="0" w:space="0" w:color="auto"/>
      </w:divBdr>
    </w:div>
    <w:div w:id="1727797968">
      <w:bodyDiv w:val="1"/>
      <w:marLeft w:val="0"/>
      <w:marRight w:val="0"/>
      <w:marTop w:val="0"/>
      <w:marBottom w:val="0"/>
      <w:divBdr>
        <w:top w:val="none" w:sz="0" w:space="0" w:color="auto"/>
        <w:left w:val="none" w:sz="0" w:space="0" w:color="auto"/>
        <w:bottom w:val="none" w:sz="0" w:space="0" w:color="auto"/>
        <w:right w:val="none" w:sz="0" w:space="0" w:color="auto"/>
      </w:divBdr>
    </w:div>
    <w:div w:id="1728257087">
      <w:bodyDiv w:val="1"/>
      <w:marLeft w:val="0"/>
      <w:marRight w:val="0"/>
      <w:marTop w:val="0"/>
      <w:marBottom w:val="0"/>
      <w:divBdr>
        <w:top w:val="none" w:sz="0" w:space="0" w:color="auto"/>
        <w:left w:val="none" w:sz="0" w:space="0" w:color="auto"/>
        <w:bottom w:val="none" w:sz="0" w:space="0" w:color="auto"/>
        <w:right w:val="none" w:sz="0" w:space="0" w:color="auto"/>
      </w:divBdr>
    </w:div>
    <w:div w:id="1748116447">
      <w:bodyDiv w:val="1"/>
      <w:marLeft w:val="0"/>
      <w:marRight w:val="0"/>
      <w:marTop w:val="0"/>
      <w:marBottom w:val="0"/>
      <w:divBdr>
        <w:top w:val="none" w:sz="0" w:space="0" w:color="auto"/>
        <w:left w:val="none" w:sz="0" w:space="0" w:color="auto"/>
        <w:bottom w:val="none" w:sz="0" w:space="0" w:color="auto"/>
        <w:right w:val="none" w:sz="0" w:space="0" w:color="auto"/>
      </w:divBdr>
    </w:div>
    <w:div w:id="1748650580">
      <w:bodyDiv w:val="1"/>
      <w:marLeft w:val="0"/>
      <w:marRight w:val="0"/>
      <w:marTop w:val="0"/>
      <w:marBottom w:val="0"/>
      <w:divBdr>
        <w:top w:val="none" w:sz="0" w:space="0" w:color="auto"/>
        <w:left w:val="none" w:sz="0" w:space="0" w:color="auto"/>
        <w:bottom w:val="none" w:sz="0" w:space="0" w:color="auto"/>
        <w:right w:val="none" w:sz="0" w:space="0" w:color="auto"/>
      </w:divBdr>
      <w:divsChild>
        <w:div w:id="241523648">
          <w:marLeft w:val="0"/>
          <w:marRight w:val="0"/>
          <w:marTop w:val="300"/>
          <w:marBottom w:val="300"/>
          <w:divBdr>
            <w:top w:val="none" w:sz="0" w:space="0" w:color="auto"/>
            <w:left w:val="none" w:sz="0" w:space="0" w:color="auto"/>
            <w:bottom w:val="none" w:sz="0" w:space="0" w:color="auto"/>
            <w:right w:val="none" w:sz="0" w:space="0" w:color="auto"/>
          </w:divBdr>
        </w:div>
      </w:divsChild>
    </w:div>
    <w:div w:id="1755590416">
      <w:bodyDiv w:val="1"/>
      <w:marLeft w:val="0"/>
      <w:marRight w:val="0"/>
      <w:marTop w:val="0"/>
      <w:marBottom w:val="0"/>
      <w:divBdr>
        <w:top w:val="none" w:sz="0" w:space="0" w:color="auto"/>
        <w:left w:val="none" w:sz="0" w:space="0" w:color="auto"/>
        <w:bottom w:val="none" w:sz="0" w:space="0" w:color="auto"/>
        <w:right w:val="none" w:sz="0" w:space="0" w:color="auto"/>
      </w:divBdr>
    </w:div>
    <w:div w:id="1763792053">
      <w:bodyDiv w:val="1"/>
      <w:marLeft w:val="0"/>
      <w:marRight w:val="0"/>
      <w:marTop w:val="0"/>
      <w:marBottom w:val="0"/>
      <w:divBdr>
        <w:top w:val="none" w:sz="0" w:space="0" w:color="auto"/>
        <w:left w:val="none" w:sz="0" w:space="0" w:color="auto"/>
        <w:bottom w:val="none" w:sz="0" w:space="0" w:color="auto"/>
        <w:right w:val="none" w:sz="0" w:space="0" w:color="auto"/>
      </w:divBdr>
    </w:div>
    <w:div w:id="1768622943">
      <w:bodyDiv w:val="1"/>
      <w:marLeft w:val="0"/>
      <w:marRight w:val="0"/>
      <w:marTop w:val="0"/>
      <w:marBottom w:val="0"/>
      <w:divBdr>
        <w:top w:val="none" w:sz="0" w:space="0" w:color="auto"/>
        <w:left w:val="none" w:sz="0" w:space="0" w:color="auto"/>
        <w:bottom w:val="none" w:sz="0" w:space="0" w:color="auto"/>
        <w:right w:val="none" w:sz="0" w:space="0" w:color="auto"/>
      </w:divBdr>
    </w:div>
    <w:div w:id="1772971020">
      <w:bodyDiv w:val="1"/>
      <w:marLeft w:val="0"/>
      <w:marRight w:val="0"/>
      <w:marTop w:val="0"/>
      <w:marBottom w:val="0"/>
      <w:divBdr>
        <w:top w:val="none" w:sz="0" w:space="0" w:color="auto"/>
        <w:left w:val="none" w:sz="0" w:space="0" w:color="auto"/>
        <w:bottom w:val="none" w:sz="0" w:space="0" w:color="auto"/>
        <w:right w:val="none" w:sz="0" w:space="0" w:color="auto"/>
      </w:divBdr>
    </w:div>
    <w:div w:id="1786919903">
      <w:bodyDiv w:val="1"/>
      <w:marLeft w:val="0"/>
      <w:marRight w:val="0"/>
      <w:marTop w:val="0"/>
      <w:marBottom w:val="0"/>
      <w:divBdr>
        <w:top w:val="none" w:sz="0" w:space="0" w:color="auto"/>
        <w:left w:val="none" w:sz="0" w:space="0" w:color="auto"/>
        <w:bottom w:val="none" w:sz="0" w:space="0" w:color="auto"/>
        <w:right w:val="none" w:sz="0" w:space="0" w:color="auto"/>
      </w:divBdr>
    </w:div>
    <w:div w:id="1788039364">
      <w:bodyDiv w:val="1"/>
      <w:marLeft w:val="0"/>
      <w:marRight w:val="0"/>
      <w:marTop w:val="0"/>
      <w:marBottom w:val="0"/>
      <w:divBdr>
        <w:top w:val="none" w:sz="0" w:space="0" w:color="auto"/>
        <w:left w:val="none" w:sz="0" w:space="0" w:color="auto"/>
        <w:bottom w:val="none" w:sz="0" w:space="0" w:color="auto"/>
        <w:right w:val="none" w:sz="0" w:space="0" w:color="auto"/>
      </w:divBdr>
    </w:div>
    <w:div w:id="1810630079">
      <w:bodyDiv w:val="1"/>
      <w:marLeft w:val="0"/>
      <w:marRight w:val="0"/>
      <w:marTop w:val="0"/>
      <w:marBottom w:val="0"/>
      <w:divBdr>
        <w:top w:val="none" w:sz="0" w:space="0" w:color="auto"/>
        <w:left w:val="none" w:sz="0" w:space="0" w:color="auto"/>
        <w:bottom w:val="none" w:sz="0" w:space="0" w:color="auto"/>
        <w:right w:val="none" w:sz="0" w:space="0" w:color="auto"/>
      </w:divBdr>
    </w:div>
    <w:div w:id="1825318164">
      <w:bodyDiv w:val="1"/>
      <w:marLeft w:val="0"/>
      <w:marRight w:val="0"/>
      <w:marTop w:val="0"/>
      <w:marBottom w:val="0"/>
      <w:divBdr>
        <w:top w:val="none" w:sz="0" w:space="0" w:color="auto"/>
        <w:left w:val="none" w:sz="0" w:space="0" w:color="auto"/>
        <w:bottom w:val="none" w:sz="0" w:space="0" w:color="auto"/>
        <w:right w:val="none" w:sz="0" w:space="0" w:color="auto"/>
      </w:divBdr>
    </w:div>
    <w:div w:id="1840270344">
      <w:bodyDiv w:val="1"/>
      <w:marLeft w:val="0"/>
      <w:marRight w:val="0"/>
      <w:marTop w:val="0"/>
      <w:marBottom w:val="0"/>
      <w:divBdr>
        <w:top w:val="none" w:sz="0" w:space="0" w:color="auto"/>
        <w:left w:val="none" w:sz="0" w:space="0" w:color="auto"/>
        <w:bottom w:val="none" w:sz="0" w:space="0" w:color="auto"/>
        <w:right w:val="none" w:sz="0" w:space="0" w:color="auto"/>
      </w:divBdr>
    </w:div>
    <w:div w:id="1842698160">
      <w:bodyDiv w:val="1"/>
      <w:marLeft w:val="0"/>
      <w:marRight w:val="0"/>
      <w:marTop w:val="0"/>
      <w:marBottom w:val="0"/>
      <w:divBdr>
        <w:top w:val="none" w:sz="0" w:space="0" w:color="auto"/>
        <w:left w:val="none" w:sz="0" w:space="0" w:color="auto"/>
        <w:bottom w:val="none" w:sz="0" w:space="0" w:color="auto"/>
        <w:right w:val="none" w:sz="0" w:space="0" w:color="auto"/>
      </w:divBdr>
    </w:div>
    <w:div w:id="1850441557">
      <w:bodyDiv w:val="1"/>
      <w:marLeft w:val="0"/>
      <w:marRight w:val="0"/>
      <w:marTop w:val="0"/>
      <w:marBottom w:val="0"/>
      <w:divBdr>
        <w:top w:val="none" w:sz="0" w:space="0" w:color="auto"/>
        <w:left w:val="none" w:sz="0" w:space="0" w:color="auto"/>
        <w:bottom w:val="none" w:sz="0" w:space="0" w:color="auto"/>
        <w:right w:val="none" w:sz="0" w:space="0" w:color="auto"/>
      </w:divBdr>
    </w:div>
    <w:div w:id="1852866417">
      <w:bodyDiv w:val="1"/>
      <w:marLeft w:val="0"/>
      <w:marRight w:val="0"/>
      <w:marTop w:val="0"/>
      <w:marBottom w:val="0"/>
      <w:divBdr>
        <w:top w:val="none" w:sz="0" w:space="0" w:color="auto"/>
        <w:left w:val="none" w:sz="0" w:space="0" w:color="auto"/>
        <w:bottom w:val="none" w:sz="0" w:space="0" w:color="auto"/>
        <w:right w:val="none" w:sz="0" w:space="0" w:color="auto"/>
      </w:divBdr>
    </w:div>
    <w:div w:id="1854415219">
      <w:bodyDiv w:val="1"/>
      <w:marLeft w:val="0"/>
      <w:marRight w:val="0"/>
      <w:marTop w:val="0"/>
      <w:marBottom w:val="0"/>
      <w:divBdr>
        <w:top w:val="none" w:sz="0" w:space="0" w:color="auto"/>
        <w:left w:val="none" w:sz="0" w:space="0" w:color="auto"/>
        <w:bottom w:val="none" w:sz="0" w:space="0" w:color="auto"/>
        <w:right w:val="none" w:sz="0" w:space="0" w:color="auto"/>
      </w:divBdr>
    </w:div>
    <w:div w:id="1854420773">
      <w:bodyDiv w:val="1"/>
      <w:marLeft w:val="0"/>
      <w:marRight w:val="0"/>
      <w:marTop w:val="0"/>
      <w:marBottom w:val="0"/>
      <w:divBdr>
        <w:top w:val="none" w:sz="0" w:space="0" w:color="auto"/>
        <w:left w:val="none" w:sz="0" w:space="0" w:color="auto"/>
        <w:bottom w:val="none" w:sz="0" w:space="0" w:color="auto"/>
        <w:right w:val="none" w:sz="0" w:space="0" w:color="auto"/>
      </w:divBdr>
    </w:div>
    <w:div w:id="1869679870">
      <w:bodyDiv w:val="1"/>
      <w:marLeft w:val="0"/>
      <w:marRight w:val="0"/>
      <w:marTop w:val="0"/>
      <w:marBottom w:val="0"/>
      <w:divBdr>
        <w:top w:val="none" w:sz="0" w:space="0" w:color="auto"/>
        <w:left w:val="none" w:sz="0" w:space="0" w:color="auto"/>
        <w:bottom w:val="none" w:sz="0" w:space="0" w:color="auto"/>
        <w:right w:val="none" w:sz="0" w:space="0" w:color="auto"/>
      </w:divBdr>
    </w:div>
    <w:div w:id="1878465370">
      <w:bodyDiv w:val="1"/>
      <w:marLeft w:val="0"/>
      <w:marRight w:val="0"/>
      <w:marTop w:val="0"/>
      <w:marBottom w:val="0"/>
      <w:divBdr>
        <w:top w:val="none" w:sz="0" w:space="0" w:color="auto"/>
        <w:left w:val="none" w:sz="0" w:space="0" w:color="auto"/>
        <w:bottom w:val="none" w:sz="0" w:space="0" w:color="auto"/>
        <w:right w:val="none" w:sz="0" w:space="0" w:color="auto"/>
      </w:divBdr>
    </w:div>
    <w:div w:id="1904679845">
      <w:bodyDiv w:val="1"/>
      <w:marLeft w:val="0"/>
      <w:marRight w:val="0"/>
      <w:marTop w:val="0"/>
      <w:marBottom w:val="0"/>
      <w:divBdr>
        <w:top w:val="none" w:sz="0" w:space="0" w:color="auto"/>
        <w:left w:val="none" w:sz="0" w:space="0" w:color="auto"/>
        <w:bottom w:val="none" w:sz="0" w:space="0" w:color="auto"/>
        <w:right w:val="none" w:sz="0" w:space="0" w:color="auto"/>
      </w:divBdr>
    </w:div>
    <w:div w:id="1919824683">
      <w:bodyDiv w:val="1"/>
      <w:marLeft w:val="0"/>
      <w:marRight w:val="0"/>
      <w:marTop w:val="0"/>
      <w:marBottom w:val="0"/>
      <w:divBdr>
        <w:top w:val="none" w:sz="0" w:space="0" w:color="auto"/>
        <w:left w:val="none" w:sz="0" w:space="0" w:color="auto"/>
        <w:bottom w:val="none" w:sz="0" w:space="0" w:color="auto"/>
        <w:right w:val="none" w:sz="0" w:space="0" w:color="auto"/>
      </w:divBdr>
    </w:div>
    <w:div w:id="1934974514">
      <w:bodyDiv w:val="1"/>
      <w:marLeft w:val="0"/>
      <w:marRight w:val="0"/>
      <w:marTop w:val="0"/>
      <w:marBottom w:val="0"/>
      <w:divBdr>
        <w:top w:val="none" w:sz="0" w:space="0" w:color="auto"/>
        <w:left w:val="none" w:sz="0" w:space="0" w:color="auto"/>
        <w:bottom w:val="none" w:sz="0" w:space="0" w:color="auto"/>
        <w:right w:val="none" w:sz="0" w:space="0" w:color="auto"/>
      </w:divBdr>
    </w:div>
    <w:div w:id="1942106475">
      <w:bodyDiv w:val="1"/>
      <w:marLeft w:val="0"/>
      <w:marRight w:val="0"/>
      <w:marTop w:val="0"/>
      <w:marBottom w:val="0"/>
      <w:divBdr>
        <w:top w:val="none" w:sz="0" w:space="0" w:color="auto"/>
        <w:left w:val="none" w:sz="0" w:space="0" w:color="auto"/>
        <w:bottom w:val="none" w:sz="0" w:space="0" w:color="auto"/>
        <w:right w:val="none" w:sz="0" w:space="0" w:color="auto"/>
      </w:divBdr>
    </w:div>
    <w:div w:id="1946885264">
      <w:bodyDiv w:val="1"/>
      <w:marLeft w:val="0"/>
      <w:marRight w:val="0"/>
      <w:marTop w:val="0"/>
      <w:marBottom w:val="0"/>
      <w:divBdr>
        <w:top w:val="none" w:sz="0" w:space="0" w:color="auto"/>
        <w:left w:val="none" w:sz="0" w:space="0" w:color="auto"/>
        <w:bottom w:val="none" w:sz="0" w:space="0" w:color="auto"/>
        <w:right w:val="none" w:sz="0" w:space="0" w:color="auto"/>
      </w:divBdr>
    </w:div>
    <w:div w:id="1949509733">
      <w:bodyDiv w:val="1"/>
      <w:marLeft w:val="0"/>
      <w:marRight w:val="0"/>
      <w:marTop w:val="0"/>
      <w:marBottom w:val="0"/>
      <w:divBdr>
        <w:top w:val="none" w:sz="0" w:space="0" w:color="auto"/>
        <w:left w:val="none" w:sz="0" w:space="0" w:color="auto"/>
        <w:bottom w:val="none" w:sz="0" w:space="0" w:color="auto"/>
        <w:right w:val="none" w:sz="0" w:space="0" w:color="auto"/>
      </w:divBdr>
    </w:div>
    <w:div w:id="1952588176">
      <w:bodyDiv w:val="1"/>
      <w:marLeft w:val="0"/>
      <w:marRight w:val="0"/>
      <w:marTop w:val="0"/>
      <w:marBottom w:val="0"/>
      <w:divBdr>
        <w:top w:val="none" w:sz="0" w:space="0" w:color="auto"/>
        <w:left w:val="none" w:sz="0" w:space="0" w:color="auto"/>
        <w:bottom w:val="none" w:sz="0" w:space="0" w:color="auto"/>
        <w:right w:val="none" w:sz="0" w:space="0" w:color="auto"/>
      </w:divBdr>
    </w:div>
    <w:div w:id="1958293006">
      <w:bodyDiv w:val="1"/>
      <w:marLeft w:val="0"/>
      <w:marRight w:val="0"/>
      <w:marTop w:val="0"/>
      <w:marBottom w:val="0"/>
      <w:divBdr>
        <w:top w:val="none" w:sz="0" w:space="0" w:color="auto"/>
        <w:left w:val="none" w:sz="0" w:space="0" w:color="auto"/>
        <w:bottom w:val="none" w:sz="0" w:space="0" w:color="auto"/>
        <w:right w:val="none" w:sz="0" w:space="0" w:color="auto"/>
      </w:divBdr>
    </w:div>
    <w:div w:id="1960523970">
      <w:bodyDiv w:val="1"/>
      <w:marLeft w:val="0"/>
      <w:marRight w:val="0"/>
      <w:marTop w:val="0"/>
      <w:marBottom w:val="0"/>
      <w:divBdr>
        <w:top w:val="none" w:sz="0" w:space="0" w:color="auto"/>
        <w:left w:val="none" w:sz="0" w:space="0" w:color="auto"/>
        <w:bottom w:val="none" w:sz="0" w:space="0" w:color="auto"/>
        <w:right w:val="none" w:sz="0" w:space="0" w:color="auto"/>
      </w:divBdr>
    </w:div>
    <w:div w:id="1965967227">
      <w:bodyDiv w:val="1"/>
      <w:marLeft w:val="0"/>
      <w:marRight w:val="0"/>
      <w:marTop w:val="0"/>
      <w:marBottom w:val="0"/>
      <w:divBdr>
        <w:top w:val="none" w:sz="0" w:space="0" w:color="auto"/>
        <w:left w:val="none" w:sz="0" w:space="0" w:color="auto"/>
        <w:bottom w:val="none" w:sz="0" w:space="0" w:color="auto"/>
        <w:right w:val="none" w:sz="0" w:space="0" w:color="auto"/>
      </w:divBdr>
    </w:div>
    <w:div w:id="1966111732">
      <w:bodyDiv w:val="1"/>
      <w:marLeft w:val="0"/>
      <w:marRight w:val="0"/>
      <w:marTop w:val="0"/>
      <w:marBottom w:val="0"/>
      <w:divBdr>
        <w:top w:val="none" w:sz="0" w:space="0" w:color="auto"/>
        <w:left w:val="none" w:sz="0" w:space="0" w:color="auto"/>
        <w:bottom w:val="none" w:sz="0" w:space="0" w:color="auto"/>
        <w:right w:val="none" w:sz="0" w:space="0" w:color="auto"/>
      </w:divBdr>
    </w:div>
    <w:div w:id="1974092402">
      <w:bodyDiv w:val="1"/>
      <w:marLeft w:val="0"/>
      <w:marRight w:val="0"/>
      <w:marTop w:val="0"/>
      <w:marBottom w:val="0"/>
      <w:divBdr>
        <w:top w:val="none" w:sz="0" w:space="0" w:color="auto"/>
        <w:left w:val="none" w:sz="0" w:space="0" w:color="auto"/>
        <w:bottom w:val="none" w:sz="0" w:space="0" w:color="auto"/>
        <w:right w:val="none" w:sz="0" w:space="0" w:color="auto"/>
      </w:divBdr>
    </w:div>
    <w:div w:id="2011760336">
      <w:bodyDiv w:val="1"/>
      <w:marLeft w:val="0"/>
      <w:marRight w:val="0"/>
      <w:marTop w:val="0"/>
      <w:marBottom w:val="0"/>
      <w:divBdr>
        <w:top w:val="none" w:sz="0" w:space="0" w:color="auto"/>
        <w:left w:val="none" w:sz="0" w:space="0" w:color="auto"/>
        <w:bottom w:val="none" w:sz="0" w:space="0" w:color="auto"/>
        <w:right w:val="none" w:sz="0" w:space="0" w:color="auto"/>
      </w:divBdr>
    </w:div>
    <w:div w:id="2023238776">
      <w:bodyDiv w:val="1"/>
      <w:marLeft w:val="0"/>
      <w:marRight w:val="0"/>
      <w:marTop w:val="0"/>
      <w:marBottom w:val="0"/>
      <w:divBdr>
        <w:top w:val="none" w:sz="0" w:space="0" w:color="auto"/>
        <w:left w:val="none" w:sz="0" w:space="0" w:color="auto"/>
        <w:bottom w:val="none" w:sz="0" w:space="0" w:color="auto"/>
        <w:right w:val="none" w:sz="0" w:space="0" w:color="auto"/>
      </w:divBdr>
    </w:div>
    <w:div w:id="2025744884">
      <w:bodyDiv w:val="1"/>
      <w:marLeft w:val="0"/>
      <w:marRight w:val="0"/>
      <w:marTop w:val="0"/>
      <w:marBottom w:val="0"/>
      <w:divBdr>
        <w:top w:val="none" w:sz="0" w:space="0" w:color="auto"/>
        <w:left w:val="none" w:sz="0" w:space="0" w:color="auto"/>
        <w:bottom w:val="none" w:sz="0" w:space="0" w:color="auto"/>
        <w:right w:val="none" w:sz="0" w:space="0" w:color="auto"/>
      </w:divBdr>
    </w:div>
    <w:div w:id="2035232631">
      <w:bodyDiv w:val="1"/>
      <w:marLeft w:val="0"/>
      <w:marRight w:val="0"/>
      <w:marTop w:val="0"/>
      <w:marBottom w:val="0"/>
      <w:divBdr>
        <w:top w:val="none" w:sz="0" w:space="0" w:color="auto"/>
        <w:left w:val="none" w:sz="0" w:space="0" w:color="auto"/>
        <w:bottom w:val="none" w:sz="0" w:space="0" w:color="auto"/>
        <w:right w:val="none" w:sz="0" w:space="0" w:color="auto"/>
      </w:divBdr>
    </w:div>
    <w:div w:id="2086028170">
      <w:bodyDiv w:val="1"/>
      <w:marLeft w:val="0"/>
      <w:marRight w:val="0"/>
      <w:marTop w:val="0"/>
      <w:marBottom w:val="0"/>
      <w:divBdr>
        <w:top w:val="none" w:sz="0" w:space="0" w:color="auto"/>
        <w:left w:val="none" w:sz="0" w:space="0" w:color="auto"/>
        <w:bottom w:val="none" w:sz="0" w:space="0" w:color="auto"/>
        <w:right w:val="none" w:sz="0" w:space="0" w:color="auto"/>
      </w:divBdr>
    </w:div>
    <w:div w:id="213111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nr.org.uk/licensing-nuclear-installations.pdf" TargetMode="External"/><Relationship Id="rId18" Type="http://schemas.openxmlformats.org/officeDocument/2006/relationships/hyperlink" Target="http://www.legislation.gov.uk" TargetMode="External"/><Relationship Id="rId26" Type="http://schemas.openxmlformats.org/officeDocument/2006/relationships/hyperlink" Target="http://www.hse.gov.uk" TargetMode="External"/><Relationship Id="rId39" Type="http://schemas.openxmlformats.org/officeDocument/2006/relationships/hyperlink" Target="http://www.gov.uk" TargetMode="External"/><Relationship Id="rId21" Type="http://schemas.openxmlformats.org/officeDocument/2006/relationships/hyperlink" Target="http://www.onr.org.uk/documents/2017/risk-informed-regulatory-decision-making.pdf" TargetMode="External"/><Relationship Id="rId34" Type="http://schemas.openxmlformats.org/officeDocument/2006/relationships/hyperlink" Target="http://www.legislation.gov.uk" TargetMode="External"/><Relationship Id="rId42" Type="http://schemas.openxmlformats.org/officeDocument/2006/relationships/hyperlink" Target="http://www.onr.org.uk/syaps"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hyperlink" Target="http://www.onr.org.uk/operational/tech_insp_guides/ns-insp-gd-056.pdf" TargetMode="External"/><Relationship Id="rId29" Type="http://schemas.openxmlformats.org/officeDocument/2006/relationships/hyperlink" Target="http://www.hse.gov.uk" TargetMode="External"/><Relationship Id="rId11" Type="http://schemas.openxmlformats.org/officeDocument/2006/relationships/endnotes" Target="endnotes.xml"/><Relationship Id="rId24" Type="http://schemas.openxmlformats.org/officeDocument/2006/relationships/hyperlink" Target="http://www.legislation.gov.uk" TargetMode="External"/><Relationship Id="rId32" Type="http://schemas.openxmlformats.org/officeDocument/2006/relationships/hyperlink" Target="http://www.legislation.gov.uk" TargetMode="External"/><Relationship Id="rId37" Type="http://schemas.openxmlformats.org/officeDocument/2006/relationships/hyperlink" Target="http://www.hse.gov.uk" TargetMode="External"/><Relationship Id="rId40" Type="http://schemas.openxmlformats.org/officeDocument/2006/relationships/hyperlink" Target="http://www.gov.uk" TargetMode="External"/><Relationship Id="rId45" Type="http://schemas.openxmlformats.org/officeDocument/2006/relationships/header" Target="header2.xml"/><Relationship Id="rId5" Type="http://schemas.openxmlformats.org/officeDocument/2006/relationships/customXml" Target="../customXml/item4.xml"/><Relationship Id="rId15" Type="http://schemas.openxmlformats.org/officeDocument/2006/relationships/hyperlink" Target="http://www.iaea.org" TargetMode="External"/><Relationship Id="rId23" Type="http://schemas.openxmlformats.org/officeDocument/2006/relationships/hyperlink" Target="http://www.hse.gov.uk" TargetMode="External"/><Relationship Id="rId28" Type="http://schemas.openxmlformats.org/officeDocument/2006/relationships/hyperlink" Target="http://www.legislation.gov.uk" TargetMode="External"/><Relationship Id="rId36" Type="http://schemas.openxmlformats.org/officeDocument/2006/relationships/hyperlink" Target="http://www.hse.gov.uk" TargetMode="External"/><Relationship Id="rId49"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legislation.gov.uk" TargetMode="External"/><Relationship Id="rId31" Type="http://schemas.openxmlformats.org/officeDocument/2006/relationships/hyperlink" Target="http://www.legislation.gov.uk" TargetMode="External"/><Relationship Id="rId44"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iaea.org" TargetMode="External"/><Relationship Id="rId22" Type="http://schemas.openxmlformats.org/officeDocument/2006/relationships/hyperlink" Target="http://www.hse.gov.uk" TargetMode="External"/><Relationship Id="rId27" Type="http://schemas.openxmlformats.org/officeDocument/2006/relationships/hyperlink" Target="http://www.legislation.gov.uk" TargetMode="External"/><Relationship Id="rId30" Type="http://schemas.openxmlformats.org/officeDocument/2006/relationships/hyperlink" Target="http://www.hse.gov.uk" TargetMode="External"/><Relationship Id="rId35" Type="http://schemas.openxmlformats.org/officeDocument/2006/relationships/hyperlink" Target="http://www.hse.gov.uk" TargetMode="External"/><Relationship Id="rId43" Type="http://schemas.openxmlformats.org/officeDocument/2006/relationships/hyperlink" Target="https://assets.publishing.service.gov.uk/government/uploads/system/uploads/attachment_data/file/42628/3797-guidance-funded-decommissioning-programme-consult.pdf" TargetMode="External"/><Relationship Id="rId48"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2.xml"/><Relationship Id="rId12" Type="http://schemas.openxmlformats.org/officeDocument/2006/relationships/hyperlink" Target="http://www.onr.org.uk/saps/saps2014.pdf" TargetMode="External"/><Relationship Id="rId17" Type="http://schemas.openxmlformats.org/officeDocument/2006/relationships/hyperlink" Target="http://www.hse.gov.uk" TargetMode="External"/><Relationship Id="rId25" Type="http://schemas.openxmlformats.org/officeDocument/2006/relationships/hyperlink" Target="http://www.hse.gov.uk" TargetMode="External"/><Relationship Id="rId33" Type="http://schemas.openxmlformats.org/officeDocument/2006/relationships/hyperlink" Target="http://www.legislation.gov.uk" TargetMode="External"/><Relationship Id="rId38" Type="http://schemas.openxmlformats.org/officeDocument/2006/relationships/hyperlink" Target="http://www.hse.gov.uk" TargetMode="External"/><Relationship Id="rId46" Type="http://schemas.openxmlformats.org/officeDocument/2006/relationships/footer" Target="footer1.xml"/><Relationship Id="rId20" Type="http://schemas.openxmlformats.org/officeDocument/2006/relationships/hyperlink" Target="http://www.legislation.gov.uk" TargetMode="External"/><Relationship Id="rId41" Type="http://schemas.openxmlformats.org/officeDocument/2006/relationships/hyperlink" Target="http://www.onr.org.uk/syaps/" TargetMode="External"/><Relationship Id="rId1" Type="http://schemas.microsoft.com/office/2006/relationships/keyMapCustomizations" Target="customizations.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IEEE2006OfficeOnline.xsl" StyleName="IEEE 2006" Version="2006">
  <b:Source>
    <b:Tag>ONR14</b:Tag>
    <b:SourceType>Report</b:SourceType>
    <b:Guid>{3910358D-872F-4514-9A88-B6A9F6EB18AB}</b:Guid>
    <b:Author>
      <b:Author>
        <b:Corporate>ONR</b:Corporate>
      </b:Author>
    </b:Author>
    <b:Title>Safety Assessment Principles for Nuclear Facilities, 2014 Edition, Rev 0</b:Title>
    <b:Year>November 2014, www.onr.org.uk/saps/saps2014.pdf</b:Year>
    <b:RefOrder>18</b:RefOrder>
  </b:Source>
  <b:Source>
    <b:Tag>ONR172</b:Tag>
    <b:SourceType>Report</b:SourceType>
    <b:Guid>{CC9E299F-9AAB-459E-90B3-6ED809DD0DA0}</b:Guid>
    <b:Author>
      <b:Author>
        <b:Corporate>ONR</b:Corporate>
      </b:Author>
    </b:Author>
    <b:Title>NS-TAST-GD-013 Annex 1, Rev. 1: Seismic Hazards</b:Title>
    <b:Year>2018</b:Year>
    <b:RefOrder>4</b:RefOrder>
  </b:Source>
  <b:Source>
    <b:Tag>ONR183</b:Tag>
    <b:SourceType>Report</b:SourceType>
    <b:Guid>{7D89154C-9D8F-4807-9B7A-4893BEEE36AF}</b:Guid>
    <b:Author>
      <b:Author>
        <b:Corporate>ONR</b:Corporate>
      </b:Author>
    </b:Author>
    <b:Title>NS-TAST-GD-013 Annex 1 Reference Paper: Analysis of Seismic Hazards for Nuclear Sites</b:Title>
    <b:Year>2018</b:Year>
    <b:RefOrder>3</b:RefOrder>
  </b:Source>
  <b:Source>
    <b:Tag>IAEdf</b:Tag>
    <b:SourceType>Report</b:SourceType>
    <b:Guid>{61C429F7-4198-47B4-89FB-45B5235DCE7F}</b:Guid>
    <b:Author>
      <b:Author>
        <b:Corporate>IAEA</b:Corporate>
      </b:Author>
    </b:Author>
    <b:Title>Safety Guide No. NS-G-3.6, Geotechnical Aspects of Site Evaluation and Foundations for Nuclear power Plants</b:Title>
    <b:Year>2004</b:Year>
    <b:RefOrder>5</b:RefOrder>
  </b:Source>
  <b:Source>
    <b:Tag>ONR173</b:Tag>
    <b:SourceType>Report</b:SourceType>
    <b:Guid>{7B938AF0-862E-4E8D-BA33-97D90A31D22F}</b:Guid>
    <b:Author>
      <b:Author>
        <b:Corporate>ONR</b:Corporate>
      </b:Author>
    </b:Author>
    <b:Title>NS-TAST-GD-013 Rev. 7, Nuclear Safety Technical Assessment Guide: External Hazards</b:Title>
    <b:Year>2018</b:Year>
    <b:RefOrder>19</b:RefOrder>
  </b:Source>
  <b:Source>
    <b:Tag>ONRdf</b:Tag>
    <b:SourceType>Report</b:SourceType>
    <b:Guid>{0DD1DC9B-71D6-46ED-A528-C0651C45B279}</b:Guid>
    <b:Author>
      <b:Author>
        <b:Corporate>ONR</b:Corporate>
      </b:Author>
    </b:Author>
    <b:Title>NS-TAST-GD-017, Rev. 4, Nuclear Safety Technical Assessment Guide: Civil Engineering</b:Title>
    <b:Year>MONTH 2020, www.onr.org.uk/operational/tech_asst_guides/ns-tast-gd-017.pdf</b:Year>
    <b:RefOrder>20</b:RefOrder>
  </b:Source>
  <b:Source>
    <b:Tag>IAEv1</b:Tag>
    <b:SourceType>Report</b:SourceType>
    <b:Guid>{BA9041DE-7B7F-468E-AAAA-7A11F99A0ABA}</b:Guid>
    <b:Author>
      <b:Author>
        <b:Corporate>IAEA</b:Corporate>
      </b:Author>
    </b:Author>
    <b:Title>Safety Requirement No. NS-R-3, Site Evaluation for Nuclear Installations</b:Title>
    <b:Year>Rev.1, 2016</b:Year>
    <b:RefOrder>8</b:RefOrder>
  </b:Source>
  <b:Source>
    <b:Tag>ASC17</b:Tag>
    <b:SourceType>Report</b:SourceType>
    <b:Guid>{FBD2FEBD-1FAC-4856-98C1-E48971881571}</b:Guid>
    <b:Author>
      <b:Author>
        <b:Corporate>ASCE</b:Corporate>
      </b:Author>
    </b:Author>
    <b:Title>Seismic Analysis of Safety-Related Nuclear Structures and Commentary</b:Title>
    <b:Year>ASCE/SEI 4-16, 2017</b:Year>
    <b:RefOrder>1</b:RefOrder>
  </b:Source>
  <b:Source>
    <b:Tag>BSI04</b:Tag>
    <b:SourceType>Report</b:SourceType>
    <b:Guid>{292EF9AB-3E25-4AD2-AF19-342AA450A729}</b:Guid>
    <b:Author>
      <b:Author>
        <b:Corporate>BSI</b:Corporate>
      </b:Author>
    </b:Author>
    <b:Title>BS EN 1997-1:2004 Eurocode 7: Geotechnical design, Part 1: General rules</b:Title>
    <b:Year>2004</b:Year>
    <b:RefOrder>11</b:RefOrder>
  </b:Source>
  <b:Source>
    <b:Tag>BSI07</b:Tag>
    <b:SourceType>Report</b:SourceType>
    <b:Guid>{E8A79994-C6D5-4C06-924B-FA43A902AA34}</b:Guid>
    <b:Author>
      <b:Author>
        <b:Corporate>BSI</b:Corporate>
      </b:Author>
    </b:Author>
    <b:Title>BS EN 1997-2:2007 Eurocode 7: Geotechnical design, Part 2: Ground investigation and testing</b:Title>
    <b:Year>2007</b:Year>
    <b:RefOrder>12</b:RefOrder>
  </b:Source>
  <b:Source>
    <b:Tag>BSI15</b:Tag>
    <b:SourceType>Report</b:SourceType>
    <b:Guid>{46B8476F-0064-4868-944D-9BAF1DB44EE5}</b:Guid>
    <b:Author>
      <b:Author>
        <b:Corporate>BSI</b:Corporate>
      </b:Author>
    </b:Author>
    <b:Title>BS 5930:2015 Code of practice for ground investigations</b:Title>
    <b:Year>2015</b:Year>
    <b:RefOrder>15</b:RefOrder>
  </b:Source>
  <b:Source>
    <b:Tag>AFC10</b:Tag>
    <b:SourceType>Report</b:SourceType>
    <b:Guid>{FB5F6182-9DBE-4F2B-989F-54BEDAFC5763}</b:Guid>
    <b:Author>
      <b:Author>
        <b:Corporate>AFCEN</b:Corporate>
      </b:Author>
    </b:Author>
    <b:Title>ETC-C EPR Technical Code for Civil Works with additions and amendments for the United Kingdom</b:Title>
    <b:Year>2010</b:Year>
    <b:RefOrder>2</b:RefOrder>
  </b:Source>
  <b:Source>
    <b:Tag>BSI13</b:Tag>
    <b:SourceType>Report</b:SourceType>
    <b:Guid>{2021BAD5-D327-4898-876C-A10D8D3CCD93}</b:Guid>
    <b:Author>
      <b:Author>
        <b:Corporate>BSI</b:Corporate>
      </b:Author>
    </b:Author>
    <b:Title>BS EN 1997-1:2004 A1:2013 UK National Annex to Eurocode 7: Geotechnical design, Part 1: General rules</b:Title>
    <b:Year>2013</b:Year>
    <b:RefOrder>13</b:RefOrder>
  </b:Source>
  <b:Source>
    <b:Tag>BSI09</b:Tag>
    <b:SourceType>Report</b:SourceType>
    <b:Guid>{56FB3765-1A7D-4D09-A3C1-463CA3A304B3}</b:Guid>
    <b:Author>
      <b:Author>
        <b:Corporate>BSI</b:Corporate>
      </b:Author>
    </b:Author>
    <b:Title>BS EN 1997-2:2007 A2:2009 UK National Annex to Eurocode 7: Geotechnical design, Part 2: Ground investigation and testing</b:Title>
    <b:Year>2009</b:Year>
    <b:RefOrder>14</b:RefOrder>
  </b:Source>
  <b:Source>
    <b:Tag>IAE151</b:Tag>
    <b:SourceType>Report</b:SourceType>
    <b:Guid>{5A69FE9E-486D-4386-ADCC-379BC7737A25}</b:Guid>
    <b:Author>
      <b:Author>
        <b:Corporate>IAEA</b:Corporate>
      </b:Author>
    </b:Author>
    <b:Title>Safety Guide No. SSG-35, Site Survey and Site Selection for Nuclear Installations</b:Title>
    <b:Year>2015</b:Year>
    <b:RefOrder>9</b:RefOrder>
  </b:Source>
  <b:Source>
    <b:Tag>USN17</b:Tag>
    <b:SourceType>Report</b:SourceType>
    <b:Guid>{A44FFD47-CBE1-4B7F-86AC-F0A1709ACBD3}</b:Guid>
    <b:Author>
      <b:Author>
        <b:Corporate>USNRC</b:Corporate>
      </b:Author>
    </b:Author>
    <b:Title>NUREG-0800 Standard Review Plan for the Review of Safety Analysis Reports for Nuclear Power Plants</b:Title>
    <b:Year>2017</b:Year>
    <b:RefOrder>10</b:RefOrder>
  </b:Source>
  <b:Source>
    <b:Tag>ONRdf10</b:Tag>
    <b:SourceType>Report</b:SourceType>
    <b:Guid>{21FEAB87-0613-4393-89B4-F32386F41374}</b:Guid>
    <b:Author>
      <b:Author>
        <b:Corporate>ONR</b:Corporate>
      </b:Author>
    </b:Author>
    <b:Title>Licence condition handbook</b:Title>
    <b:Year>2017. http://www.onr.org.uk/documents/licence-condition-handbook.pdf</b:Year>
    <b:RefOrder>21</b:RefOrder>
  </b:Source>
  <b:Source>
    <b:Tag>NAF13</b:Tag>
    <b:SourceType>Report</b:SourceType>
    <b:Guid>{6AC9ED5B-D186-4683-B444-BDBAFA7C922C}</b:Guid>
    <b:Author>
      <b:Author>
        <b:Corporate>NAFEMS</b:Corporate>
      </b:Author>
    </b:Author>
    <b:Title>Validating Numerical Modelling in Geotechnical Engineering</b:Title>
    <b:Year>Dec 2013</b:Year>
    <b:RefOrder>7</b:RefOrder>
  </b:Source>
  <b:Source>
    <b:Tag>HSE14</b:Tag>
    <b:SourceType>Report</b:SourceType>
    <b:Guid>{7ED50D10-D83D-42C7-A5BB-AC7EF7990C39}</b:Guid>
    <b:Author>
      <b:Author>
        <b:Corporate>HSE</b:Corporate>
      </b:Author>
    </b:Author>
    <b:Title>Avoiding danger from underground services - HSG47</b:Title>
    <b:Year>2014</b:Year>
    <b:RefOrder>17</b:RefOrder>
  </b:Source>
  <b:Source>
    <b:Tag>ONR20</b:Tag>
    <b:SourceType>Report</b:SourceType>
    <b:Guid>{A094640D-BBC9-4041-8C5C-05ED8E0B3285}</b:Guid>
    <b:Author>
      <b:Author>
        <b:Corporate>ONR</b:Corporate>
      </b:Author>
    </b:Author>
    <b:Title>TAG17 Foundation Annex</b:Title>
    <b:Year>2020</b:Year>
    <b:RefOrder>22</b:RefOrder>
  </b:Source>
  <b:Source>
    <b:Tag>ONR201</b:Tag>
    <b:SourceType>Report</b:SourceType>
    <b:Guid>{D42BD088-1E6A-4DFE-B48F-63C977484E23}</b:Guid>
    <b:Author>
      <b:Author>
        <b:Corporate>ONR</b:Corporate>
      </b:Author>
    </b:Author>
    <b:Title>TAG17 Annex Finite Element Methods</b:Title>
    <b:Year>2020</b:Year>
    <b:RefOrder>6</b:RefOrder>
  </b:Source>
  <b:Source>
    <b:Tag>Hig19</b:Tag>
    <b:SourceType>Report</b:SourceType>
    <b:Guid>{89FB7373-1A1B-45C9-98DE-325A1C4E5D5F}</b:Guid>
    <b:Title>Design Manual for Roads and Bridges, CD 622 'Managing geotechnical risk' Rev0</b:Title>
    <b:Year>2019</b:Year>
    <b:Author>
      <b:Author>
        <b:Corporate>Highways England</b:Corporate>
      </b:Author>
    </b:Author>
    <b:RefOrder>16</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F4626176D315544C94C699C7AD409AA1" ma:contentTypeVersion="10" ma:contentTypeDescription="Create a new document." ma:contentTypeScope="" ma:versionID="c940232d995e0787479ac619fe2aba8f">
  <xsd:schema xmlns:xsd="http://www.w3.org/2001/XMLSchema" xmlns:xs="http://www.w3.org/2001/XMLSchema" xmlns:p="http://schemas.microsoft.com/office/2006/metadata/properties" xmlns:ns3="e7136045-8404-4488-8b75-837c2c7b996a" targetNamespace="http://schemas.microsoft.com/office/2006/metadata/properties" ma:root="true" ma:fieldsID="313c5a4aea9c3f7191a44b55f10fe175" ns3:_="">
    <xsd:import namespace="e7136045-8404-4488-8b75-837c2c7b99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136045-8404-4488-8b75-837c2c7b9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CA5BC7-13AA-49BC-AA6D-08D8697F429A}">
  <ds:schemaRefs>
    <ds:schemaRef ds:uri="http://schemas.microsoft.com/sharepoint/v3/contenttype/forms"/>
  </ds:schemaRefs>
</ds:datastoreItem>
</file>

<file path=customXml/itemProps2.xml><?xml version="1.0" encoding="utf-8"?>
<ds:datastoreItem xmlns:ds="http://schemas.openxmlformats.org/officeDocument/2006/customXml" ds:itemID="{78FF5B30-1598-431D-BD34-907D1BA268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5B8B9F-FD5A-41C7-B243-1B64B09CA979}">
  <ds:schemaRefs>
    <ds:schemaRef ds:uri="http://schemas.openxmlformats.org/officeDocument/2006/bibliography"/>
  </ds:schemaRefs>
</ds:datastoreItem>
</file>

<file path=customXml/itemProps4.xml><?xml version="1.0" encoding="utf-8"?>
<ds:datastoreItem xmlns:ds="http://schemas.openxmlformats.org/officeDocument/2006/customXml" ds:itemID="{736110B1-71C4-4D71-82F1-BF4AAE810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136045-8404-4488-8b75-837c2c7b9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33189</Words>
  <Characters>189179</Characters>
  <Application>Microsoft Office Word</Application>
  <DocSecurity>0</DocSecurity>
  <Lines>1576</Lines>
  <Paragraphs>443</Paragraphs>
  <ScaleCrop>false</ScaleCrop>
  <HeadingPairs>
    <vt:vector size="2" baseType="variant">
      <vt:variant>
        <vt:lpstr>Title</vt:lpstr>
      </vt:variant>
      <vt:variant>
        <vt:i4>1</vt:i4>
      </vt:variant>
    </vt:vector>
  </HeadingPairs>
  <TitlesOfParts>
    <vt:vector size="1" baseType="lpstr">
      <vt:lpstr>Document Type:</vt:lpstr>
    </vt:vector>
  </TitlesOfParts>
  <Company>Health and Safety Executive</Company>
  <LinksUpToDate>false</LinksUpToDate>
  <CharactersWithSpaces>221925</CharactersWithSpaces>
  <SharedDoc>false</SharedDoc>
  <HLinks>
    <vt:vector size="150" baseType="variant">
      <vt:variant>
        <vt:i4>5505112</vt:i4>
      </vt:variant>
      <vt:variant>
        <vt:i4>129</vt:i4>
      </vt:variant>
      <vt:variant>
        <vt:i4>0</vt:i4>
      </vt:variant>
      <vt:variant>
        <vt:i4>5</vt:i4>
      </vt:variant>
      <vt:variant>
        <vt:lpwstr>http://www.iaea.org/</vt:lpwstr>
      </vt:variant>
      <vt:variant>
        <vt:lpwstr/>
      </vt:variant>
      <vt:variant>
        <vt:i4>5963803</vt:i4>
      </vt:variant>
      <vt:variant>
        <vt:i4>126</vt:i4>
      </vt:variant>
      <vt:variant>
        <vt:i4>0</vt:i4>
      </vt:variant>
      <vt:variant>
        <vt:i4>5</vt:i4>
      </vt:variant>
      <vt:variant>
        <vt:lpwstr>http://www.wenra.org/</vt:lpwstr>
      </vt:variant>
      <vt:variant>
        <vt:lpwstr/>
      </vt:variant>
      <vt:variant>
        <vt:i4>6357117</vt:i4>
      </vt:variant>
      <vt:variant>
        <vt:i4>123</vt:i4>
      </vt:variant>
      <vt:variant>
        <vt:i4>0</vt:i4>
      </vt:variant>
      <vt:variant>
        <vt:i4>5</vt:i4>
      </vt:variant>
      <vt:variant>
        <vt:lpwstr>http://www.onr.org.uk/operational/tech_asst_guides/index.htm</vt:lpwstr>
      </vt:variant>
      <vt:variant>
        <vt:lpwstr/>
      </vt:variant>
      <vt:variant>
        <vt:i4>3932269</vt:i4>
      </vt:variant>
      <vt:variant>
        <vt:i4>120</vt:i4>
      </vt:variant>
      <vt:variant>
        <vt:i4>0</vt:i4>
      </vt:variant>
      <vt:variant>
        <vt:i4>5</vt:i4>
      </vt:variant>
      <vt:variant>
        <vt:lpwstr>http://www.onr.org.uk/saps/saps2014.pdf</vt:lpwstr>
      </vt:variant>
      <vt:variant>
        <vt:lpwstr/>
      </vt:variant>
      <vt:variant>
        <vt:i4>3604539</vt:i4>
      </vt:variant>
      <vt:variant>
        <vt:i4>117</vt:i4>
      </vt:variant>
      <vt:variant>
        <vt:i4>0</vt:i4>
      </vt:variant>
      <vt:variant>
        <vt:i4>5</vt:i4>
      </vt:variant>
      <vt:variant>
        <vt:lpwstr>http://www.onr.org.uk/operational/assessment/index.htm</vt:lpwstr>
      </vt:variant>
      <vt:variant>
        <vt:lpwstr/>
      </vt:variant>
      <vt:variant>
        <vt:i4>1769530</vt:i4>
      </vt:variant>
      <vt:variant>
        <vt:i4>110</vt:i4>
      </vt:variant>
      <vt:variant>
        <vt:i4>0</vt:i4>
      </vt:variant>
      <vt:variant>
        <vt:i4>5</vt:i4>
      </vt:variant>
      <vt:variant>
        <vt:lpwstr/>
      </vt:variant>
      <vt:variant>
        <vt:lpwstr>_Toc389130357</vt:lpwstr>
      </vt:variant>
      <vt:variant>
        <vt:i4>1769530</vt:i4>
      </vt:variant>
      <vt:variant>
        <vt:i4>104</vt:i4>
      </vt:variant>
      <vt:variant>
        <vt:i4>0</vt:i4>
      </vt:variant>
      <vt:variant>
        <vt:i4>5</vt:i4>
      </vt:variant>
      <vt:variant>
        <vt:lpwstr/>
      </vt:variant>
      <vt:variant>
        <vt:lpwstr>_Toc389130356</vt:lpwstr>
      </vt:variant>
      <vt:variant>
        <vt:i4>1769530</vt:i4>
      </vt:variant>
      <vt:variant>
        <vt:i4>98</vt:i4>
      </vt:variant>
      <vt:variant>
        <vt:i4>0</vt:i4>
      </vt:variant>
      <vt:variant>
        <vt:i4>5</vt:i4>
      </vt:variant>
      <vt:variant>
        <vt:lpwstr/>
      </vt:variant>
      <vt:variant>
        <vt:lpwstr>_Toc389130355</vt:lpwstr>
      </vt:variant>
      <vt:variant>
        <vt:i4>1769530</vt:i4>
      </vt:variant>
      <vt:variant>
        <vt:i4>92</vt:i4>
      </vt:variant>
      <vt:variant>
        <vt:i4>0</vt:i4>
      </vt:variant>
      <vt:variant>
        <vt:i4>5</vt:i4>
      </vt:variant>
      <vt:variant>
        <vt:lpwstr/>
      </vt:variant>
      <vt:variant>
        <vt:lpwstr>_Toc389130354</vt:lpwstr>
      </vt:variant>
      <vt:variant>
        <vt:i4>1769530</vt:i4>
      </vt:variant>
      <vt:variant>
        <vt:i4>86</vt:i4>
      </vt:variant>
      <vt:variant>
        <vt:i4>0</vt:i4>
      </vt:variant>
      <vt:variant>
        <vt:i4>5</vt:i4>
      </vt:variant>
      <vt:variant>
        <vt:lpwstr/>
      </vt:variant>
      <vt:variant>
        <vt:lpwstr>_Toc389130353</vt:lpwstr>
      </vt:variant>
      <vt:variant>
        <vt:i4>1769530</vt:i4>
      </vt:variant>
      <vt:variant>
        <vt:i4>80</vt:i4>
      </vt:variant>
      <vt:variant>
        <vt:i4>0</vt:i4>
      </vt:variant>
      <vt:variant>
        <vt:i4>5</vt:i4>
      </vt:variant>
      <vt:variant>
        <vt:lpwstr/>
      </vt:variant>
      <vt:variant>
        <vt:lpwstr>_Toc389130352</vt:lpwstr>
      </vt:variant>
      <vt:variant>
        <vt:i4>1769530</vt:i4>
      </vt:variant>
      <vt:variant>
        <vt:i4>74</vt:i4>
      </vt:variant>
      <vt:variant>
        <vt:i4>0</vt:i4>
      </vt:variant>
      <vt:variant>
        <vt:i4>5</vt:i4>
      </vt:variant>
      <vt:variant>
        <vt:lpwstr/>
      </vt:variant>
      <vt:variant>
        <vt:lpwstr>_Toc389130351</vt:lpwstr>
      </vt:variant>
      <vt:variant>
        <vt:i4>1769530</vt:i4>
      </vt:variant>
      <vt:variant>
        <vt:i4>68</vt:i4>
      </vt:variant>
      <vt:variant>
        <vt:i4>0</vt:i4>
      </vt:variant>
      <vt:variant>
        <vt:i4>5</vt:i4>
      </vt:variant>
      <vt:variant>
        <vt:lpwstr/>
      </vt:variant>
      <vt:variant>
        <vt:lpwstr>_Toc389130350</vt:lpwstr>
      </vt:variant>
      <vt:variant>
        <vt:i4>1703994</vt:i4>
      </vt:variant>
      <vt:variant>
        <vt:i4>62</vt:i4>
      </vt:variant>
      <vt:variant>
        <vt:i4>0</vt:i4>
      </vt:variant>
      <vt:variant>
        <vt:i4>5</vt:i4>
      </vt:variant>
      <vt:variant>
        <vt:lpwstr/>
      </vt:variant>
      <vt:variant>
        <vt:lpwstr>_Toc389130349</vt:lpwstr>
      </vt:variant>
      <vt:variant>
        <vt:i4>1703994</vt:i4>
      </vt:variant>
      <vt:variant>
        <vt:i4>56</vt:i4>
      </vt:variant>
      <vt:variant>
        <vt:i4>0</vt:i4>
      </vt:variant>
      <vt:variant>
        <vt:i4>5</vt:i4>
      </vt:variant>
      <vt:variant>
        <vt:lpwstr/>
      </vt:variant>
      <vt:variant>
        <vt:lpwstr>_Toc389130348</vt:lpwstr>
      </vt:variant>
      <vt:variant>
        <vt:i4>1703994</vt:i4>
      </vt:variant>
      <vt:variant>
        <vt:i4>50</vt:i4>
      </vt:variant>
      <vt:variant>
        <vt:i4>0</vt:i4>
      </vt:variant>
      <vt:variant>
        <vt:i4>5</vt:i4>
      </vt:variant>
      <vt:variant>
        <vt:lpwstr/>
      </vt:variant>
      <vt:variant>
        <vt:lpwstr>_Toc389130347</vt:lpwstr>
      </vt:variant>
      <vt:variant>
        <vt:i4>1703994</vt:i4>
      </vt:variant>
      <vt:variant>
        <vt:i4>44</vt:i4>
      </vt:variant>
      <vt:variant>
        <vt:i4>0</vt:i4>
      </vt:variant>
      <vt:variant>
        <vt:i4>5</vt:i4>
      </vt:variant>
      <vt:variant>
        <vt:lpwstr/>
      </vt:variant>
      <vt:variant>
        <vt:lpwstr>_Toc389130346</vt:lpwstr>
      </vt:variant>
      <vt:variant>
        <vt:i4>1703994</vt:i4>
      </vt:variant>
      <vt:variant>
        <vt:i4>38</vt:i4>
      </vt:variant>
      <vt:variant>
        <vt:i4>0</vt:i4>
      </vt:variant>
      <vt:variant>
        <vt:i4>5</vt:i4>
      </vt:variant>
      <vt:variant>
        <vt:lpwstr/>
      </vt:variant>
      <vt:variant>
        <vt:lpwstr>_Toc389130345</vt:lpwstr>
      </vt:variant>
      <vt:variant>
        <vt:i4>1703994</vt:i4>
      </vt:variant>
      <vt:variant>
        <vt:i4>32</vt:i4>
      </vt:variant>
      <vt:variant>
        <vt:i4>0</vt:i4>
      </vt:variant>
      <vt:variant>
        <vt:i4>5</vt:i4>
      </vt:variant>
      <vt:variant>
        <vt:lpwstr/>
      </vt:variant>
      <vt:variant>
        <vt:lpwstr>_Toc389130344</vt:lpwstr>
      </vt:variant>
      <vt:variant>
        <vt:i4>1703994</vt:i4>
      </vt:variant>
      <vt:variant>
        <vt:i4>26</vt:i4>
      </vt:variant>
      <vt:variant>
        <vt:i4>0</vt:i4>
      </vt:variant>
      <vt:variant>
        <vt:i4>5</vt:i4>
      </vt:variant>
      <vt:variant>
        <vt:lpwstr/>
      </vt:variant>
      <vt:variant>
        <vt:lpwstr>_Toc389130343</vt:lpwstr>
      </vt:variant>
      <vt:variant>
        <vt:i4>1703994</vt:i4>
      </vt:variant>
      <vt:variant>
        <vt:i4>20</vt:i4>
      </vt:variant>
      <vt:variant>
        <vt:i4>0</vt:i4>
      </vt:variant>
      <vt:variant>
        <vt:i4>5</vt:i4>
      </vt:variant>
      <vt:variant>
        <vt:lpwstr/>
      </vt:variant>
      <vt:variant>
        <vt:lpwstr>_Toc389130342</vt:lpwstr>
      </vt:variant>
      <vt:variant>
        <vt:i4>1703994</vt:i4>
      </vt:variant>
      <vt:variant>
        <vt:i4>14</vt:i4>
      </vt:variant>
      <vt:variant>
        <vt:i4>0</vt:i4>
      </vt:variant>
      <vt:variant>
        <vt:i4>5</vt:i4>
      </vt:variant>
      <vt:variant>
        <vt:lpwstr/>
      </vt:variant>
      <vt:variant>
        <vt:lpwstr>_Toc389130341</vt:lpwstr>
      </vt:variant>
      <vt:variant>
        <vt:i4>1703994</vt:i4>
      </vt:variant>
      <vt:variant>
        <vt:i4>8</vt:i4>
      </vt:variant>
      <vt:variant>
        <vt:i4>0</vt:i4>
      </vt:variant>
      <vt:variant>
        <vt:i4>5</vt:i4>
      </vt:variant>
      <vt:variant>
        <vt:lpwstr/>
      </vt:variant>
      <vt:variant>
        <vt:lpwstr>_Toc389130340</vt:lpwstr>
      </vt:variant>
      <vt:variant>
        <vt:i4>7536673</vt:i4>
      </vt:variant>
      <vt:variant>
        <vt:i4>3</vt:i4>
      </vt:variant>
      <vt:variant>
        <vt:i4>0</vt:i4>
      </vt:variant>
      <vt:variant>
        <vt:i4>5</vt:i4>
      </vt:variant>
      <vt:variant>
        <vt:lpwstr>http://www.onr.org.uk/copyright</vt:lpwstr>
      </vt:variant>
      <vt:variant>
        <vt:lpwstr/>
      </vt:variant>
      <vt:variant>
        <vt:i4>7143466</vt:i4>
      </vt:variant>
      <vt:variant>
        <vt:i4>0</vt:i4>
      </vt:variant>
      <vt:variant>
        <vt:i4>0</vt:i4>
      </vt:variant>
      <vt:variant>
        <vt:i4>5</vt:i4>
      </vt:variant>
      <vt:variant>
        <vt:lpwstr>blocked::blocked::BLOCKED::http://www.hse.gov.uk/copyright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Type:</dc:title>
  <cp:revision>2</cp:revision>
  <cp:lastPrinted>2020-06-22T11:33:00Z</cp:lastPrinted>
  <dcterms:created xsi:type="dcterms:W3CDTF">2023-10-31T12:21:00Z</dcterms:created>
  <dcterms:modified xsi:type="dcterms:W3CDTF">2023-10-31T12:21:00Z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0x010100F4626176D315544C94C699C7AD409AA1</vt:lpwstr>
  </property>
  <property fmtid="{D5CDD505-2E9C-101B-9397-08002B2CF9AE}" pid="4" name="MSIP_Label_9e5e003a-90eb-47c9-a506-ad47e7a0b281_Enabled">
    <vt:lpwstr>true</vt:lpwstr>
  </property>
  <property fmtid="{D5CDD505-2E9C-101B-9397-08002B2CF9AE}" pid="5" name="MSIP_Label_9e5e003a-90eb-47c9-a506-ad47e7a0b281_SetDate">
    <vt:lpwstr>2022-12-02T11:17:12Z</vt:lpwstr>
  </property>
  <property fmtid="{D5CDD505-2E9C-101B-9397-08002B2CF9AE}" pid="6" name="MSIP_Label_9e5e003a-90eb-47c9-a506-ad47e7a0b281_Method">
    <vt:lpwstr>Privileged</vt:lpwstr>
  </property>
  <property fmtid="{D5CDD505-2E9C-101B-9397-08002B2CF9AE}" pid="7" name="MSIP_Label_9e5e003a-90eb-47c9-a506-ad47e7a0b281_Name">
    <vt:lpwstr>OFFICIAL</vt:lpwstr>
  </property>
  <property fmtid="{D5CDD505-2E9C-101B-9397-08002B2CF9AE}" pid="8" name="MSIP_Label_9e5e003a-90eb-47c9-a506-ad47e7a0b281_SiteId">
    <vt:lpwstr>742775df-8077-48d6-81d0-1e82a1f52cb8</vt:lpwstr>
  </property>
  <property fmtid="{D5CDD505-2E9C-101B-9397-08002B2CF9AE}" pid="9" name="MSIP_Label_9e5e003a-90eb-47c9-a506-ad47e7a0b281_ActionId">
    <vt:lpwstr>faa2c4da-f29c-4c84-8005-b79882174dfe</vt:lpwstr>
  </property>
  <property fmtid="{D5CDD505-2E9C-101B-9397-08002B2CF9AE}" pid="10" name="MSIP_Label_9e5e003a-90eb-47c9-a506-ad47e7a0b281_ContentBits">
    <vt:lpwstr>0</vt:lpwstr>
  </property>
</Properties>
</file>