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604F23" w:rsidRPr="00AB5218" w14:paraId="23FD1B14" w14:textId="77777777" w:rsidTr="00B12DE2">
        <w:trPr>
          <w:trHeight w:val="567"/>
        </w:trPr>
        <w:tc>
          <w:tcPr>
            <w:tcW w:w="9300" w:type="dxa"/>
            <w:gridSpan w:val="4"/>
            <w:shd w:val="clear" w:color="auto" w:fill="auto"/>
            <w:vAlign w:val="center"/>
          </w:tcPr>
          <w:p w14:paraId="1DA026CC" w14:textId="77777777" w:rsidR="00604F23" w:rsidRPr="00AB5218" w:rsidRDefault="00604F23" w:rsidP="00B12DE2">
            <w:pPr>
              <w:jc w:val="center"/>
              <w:rPr>
                <w:rFonts w:cs="Arial"/>
                <w:szCs w:val="22"/>
              </w:rPr>
            </w:pPr>
            <w:r w:rsidRPr="00AB5218">
              <w:rPr>
                <w:rFonts w:cs="Arial"/>
                <w:szCs w:val="22"/>
              </w:rPr>
              <w:t>ONR GUIDE</w:t>
            </w:r>
          </w:p>
        </w:tc>
      </w:tr>
      <w:tr w:rsidR="00604F23" w:rsidRPr="00AB5218" w14:paraId="0D6A08B8" w14:textId="77777777" w:rsidTr="00B12DE2">
        <w:trPr>
          <w:trHeight w:val="567"/>
        </w:trPr>
        <w:tc>
          <w:tcPr>
            <w:tcW w:w="9300" w:type="dxa"/>
            <w:gridSpan w:val="4"/>
            <w:shd w:val="clear" w:color="auto" w:fill="auto"/>
            <w:vAlign w:val="center"/>
          </w:tcPr>
          <w:p w14:paraId="4004A63B" w14:textId="77777777" w:rsidR="00604F23" w:rsidRPr="00AB5218" w:rsidRDefault="00830382" w:rsidP="002A550D">
            <w:pPr>
              <w:jc w:val="center"/>
              <w:rPr>
                <w:rFonts w:cs="Arial"/>
                <w:b/>
                <w:szCs w:val="22"/>
              </w:rPr>
            </w:pPr>
            <w:r w:rsidRPr="00AB5218">
              <w:rPr>
                <w:rFonts w:cs="Arial"/>
                <w:b/>
                <w:szCs w:val="22"/>
              </w:rPr>
              <w:t xml:space="preserve">Electromagnetic </w:t>
            </w:r>
            <w:r w:rsidR="002A550D" w:rsidRPr="00AB5218">
              <w:rPr>
                <w:rFonts w:cs="Arial"/>
                <w:b/>
                <w:szCs w:val="22"/>
              </w:rPr>
              <w:t>Interference</w:t>
            </w:r>
          </w:p>
        </w:tc>
      </w:tr>
      <w:tr w:rsidR="00612DF0" w:rsidRPr="00AB5218" w14:paraId="36EF6184" w14:textId="77777777" w:rsidTr="00B12DE2">
        <w:trPr>
          <w:trHeight w:val="454"/>
        </w:trPr>
        <w:tc>
          <w:tcPr>
            <w:tcW w:w="2938" w:type="dxa"/>
            <w:shd w:val="clear" w:color="auto" w:fill="auto"/>
            <w:vAlign w:val="center"/>
          </w:tcPr>
          <w:p w14:paraId="37DD21CF" w14:textId="77777777" w:rsidR="00612DF0" w:rsidRPr="00AB5218" w:rsidRDefault="00612DF0" w:rsidP="00604F23">
            <w:pPr>
              <w:rPr>
                <w:rFonts w:cs="Arial"/>
                <w:b/>
                <w:szCs w:val="22"/>
              </w:rPr>
            </w:pPr>
            <w:r w:rsidRPr="00AB5218">
              <w:rPr>
                <w:rFonts w:cs="Arial"/>
                <w:b/>
                <w:szCs w:val="22"/>
              </w:rPr>
              <w:t>Document Type:</w:t>
            </w:r>
          </w:p>
        </w:tc>
        <w:tc>
          <w:tcPr>
            <w:tcW w:w="6362" w:type="dxa"/>
            <w:gridSpan w:val="3"/>
            <w:shd w:val="clear" w:color="auto" w:fill="auto"/>
            <w:vAlign w:val="center"/>
          </w:tcPr>
          <w:p w14:paraId="3966C70F" w14:textId="77777777" w:rsidR="00612DF0" w:rsidRPr="00AB5218" w:rsidRDefault="00532D01" w:rsidP="00604F23">
            <w:pPr>
              <w:rPr>
                <w:rFonts w:cs="Arial"/>
                <w:szCs w:val="22"/>
              </w:rPr>
            </w:pPr>
            <w:r w:rsidRPr="00AB5218">
              <w:rPr>
                <w:rFonts w:cs="Arial"/>
                <w:szCs w:val="22"/>
              </w:rPr>
              <w:t>Nuclear Safety Technical Assessment Guide</w:t>
            </w:r>
          </w:p>
        </w:tc>
      </w:tr>
      <w:tr w:rsidR="00612DF0" w:rsidRPr="00AB5218" w14:paraId="162A698C" w14:textId="77777777" w:rsidTr="00B12DE2">
        <w:trPr>
          <w:trHeight w:val="454"/>
        </w:trPr>
        <w:tc>
          <w:tcPr>
            <w:tcW w:w="2938" w:type="dxa"/>
            <w:shd w:val="clear" w:color="auto" w:fill="auto"/>
            <w:vAlign w:val="center"/>
          </w:tcPr>
          <w:p w14:paraId="187CE158" w14:textId="77777777" w:rsidR="00612DF0" w:rsidRPr="00AB5218" w:rsidRDefault="00612DF0" w:rsidP="00604F23">
            <w:pPr>
              <w:rPr>
                <w:rFonts w:cs="Arial"/>
                <w:b/>
                <w:szCs w:val="22"/>
              </w:rPr>
            </w:pPr>
            <w:r w:rsidRPr="00AB5218">
              <w:rPr>
                <w:rFonts w:cs="Arial"/>
                <w:b/>
                <w:szCs w:val="22"/>
              </w:rPr>
              <w:t>Unique Document ID and Revision No:</w:t>
            </w:r>
          </w:p>
        </w:tc>
        <w:tc>
          <w:tcPr>
            <w:tcW w:w="6362" w:type="dxa"/>
            <w:gridSpan w:val="3"/>
            <w:shd w:val="clear" w:color="auto" w:fill="auto"/>
            <w:vAlign w:val="center"/>
          </w:tcPr>
          <w:p w14:paraId="09DD9F06" w14:textId="77777777" w:rsidR="00612DF0" w:rsidRPr="00AB5218" w:rsidRDefault="00532D01" w:rsidP="00830382">
            <w:pPr>
              <w:rPr>
                <w:rFonts w:cs="Arial"/>
                <w:szCs w:val="22"/>
              </w:rPr>
            </w:pPr>
            <w:r w:rsidRPr="00AB5218">
              <w:rPr>
                <w:rFonts w:cs="Arial"/>
                <w:szCs w:val="22"/>
              </w:rPr>
              <w:t>NS-TAST-GD-</w:t>
            </w:r>
            <w:r w:rsidR="00830382" w:rsidRPr="00AB5218">
              <w:rPr>
                <w:rFonts w:cs="Arial"/>
                <w:szCs w:val="22"/>
              </w:rPr>
              <w:t>015</w:t>
            </w:r>
            <w:r w:rsidRPr="00AB5218">
              <w:rPr>
                <w:rFonts w:cs="Arial"/>
                <w:szCs w:val="22"/>
              </w:rPr>
              <w:t xml:space="preserve"> </w:t>
            </w:r>
            <w:r w:rsidR="00E14373">
              <w:rPr>
                <w:rFonts w:cs="Arial"/>
                <w:szCs w:val="22"/>
              </w:rPr>
              <w:t>Issue</w:t>
            </w:r>
            <w:r w:rsidRPr="00AB5218">
              <w:rPr>
                <w:rFonts w:cs="Arial"/>
                <w:szCs w:val="22"/>
              </w:rPr>
              <w:t xml:space="preserve"> </w:t>
            </w:r>
            <w:r w:rsidR="00830382" w:rsidRPr="00AB5218">
              <w:rPr>
                <w:rFonts w:cs="Arial"/>
                <w:szCs w:val="22"/>
              </w:rPr>
              <w:t>3</w:t>
            </w:r>
            <w:r w:rsidR="00E14373">
              <w:rPr>
                <w:rFonts w:cs="Arial"/>
                <w:szCs w:val="22"/>
              </w:rPr>
              <w:t>.1</w:t>
            </w:r>
          </w:p>
        </w:tc>
      </w:tr>
      <w:tr w:rsidR="008E67CB" w:rsidRPr="00AB5218" w14:paraId="33CA7A56" w14:textId="77777777" w:rsidTr="00B12DE2">
        <w:trPr>
          <w:trHeight w:val="340"/>
        </w:trPr>
        <w:tc>
          <w:tcPr>
            <w:tcW w:w="2938" w:type="dxa"/>
            <w:shd w:val="clear" w:color="auto" w:fill="auto"/>
            <w:vAlign w:val="center"/>
          </w:tcPr>
          <w:p w14:paraId="741FD475" w14:textId="77777777" w:rsidR="008E67CB" w:rsidRPr="00AB5218" w:rsidRDefault="008E67CB" w:rsidP="00604F23">
            <w:pPr>
              <w:rPr>
                <w:rFonts w:cs="Arial"/>
                <w:b/>
                <w:szCs w:val="22"/>
              </w:rPr>
            </w:pPr>
            <w:r w:rsidRPr="00AB5218">
              <w:rPr>
                <w:rFonts w:cs="Arial"/>
                <w:b/>
                <w:szCs w:val="22"/>
              </w:rPr>
              <w:t>Date Issued:</w:t>
            </w:r>
          </w:p>
        </w:tc>
        <w:tc>
          <w:tcPr>
            <w:tcW w:w="2160" w:type="dxa"/>
            <w:shd w:val="clear" w:color="auto" w:fill="auto"/>
            <w:vAlign w:val="center"/>
          </w:tcPr>
          <w:p w14:paraId="042679FA" w14:textId="77777777" w:rsidR="008E67CB" w:rsidRPr="00AB5218" w:rsidRDefault="00E14373" w:rsidP="00EE420E">
            <w:pPr>
              <w:rPr>
                <w:rFonts w:cs="Arial"/>
                <w:szCs w:val="22"/>
              </w:rPr>
            </w:pPr>
            <w:r>
              <w:rPr>
                <w:rFonts w:cs="Arial"/>
                <w:szCs w:val="22"/>
              </w:rPr>
              <w:t>December 2022</w:t>
            </w:r>
          </w:p>
        </w:tc>
        <w:tc>
          <w:tcPr>
            <w:tcW w:w="2160" w:type="dxa"/>
            <w:shd w:val="clear" w:color="auto" w:fill="auto"/>
            <w:vAlign w:val="center"/>
          </w:tcPr>
          <w:p w14:paraId="53222DD5" w14:textId="77777777" w:rsidR="008E67CB" w:rsidRPr="00AB5218" w:rsidRDefault="008E67CB" w:rsidP="00604F23">
            <w:pPr>
              <w:rPr>
                <w:rFonts w:cs="Arial"/>
                <w:b/>
                <w:szCs w:val="22"/>
              </w:rPr>
            </w:pPr>
            <w:r w:rsidRPr="00AB5218">
              <w:rPr>
                <w:rFonts w:cs="Arial"/>
                <w:b/>
                <w:szCs w:val="22"/>
              </w:rPr>
              <w:t>Review Date:</w:t>
            </w:r>
          </w:p>
        </w:tc>
        <w:tc>
          <w:tcPr>
            <w:tcW w:w="2042" w:type="dxa"/>
            <w:shd w:val="clear" w:color="auto" w:fill="auto"/>
            <w:vAlign w:val="center"/>
          </w:tcPr>
          <w:p w14:paraId="61451F31" w14:textId="77777777" w:rsidR="008E67CB" w:rsidRPr="00AB5218" w:rsidRDefault="00EE420E" w:rsidP="00EE420E">
            <w:pPr>
              <w:rPr>
                <w:rFonts w:cs="Arial"/>
                <w:szCs w:val="22"/>
              </w:rPr>
            </w:pPr>
            <w:r w:rsidRPr="0099322C">
              <w:rPr>
                <w:rFonts w:cs="Arial"/>
                <w:szCs w:val="22"/>
              </w:rPr>
              <w:t>May 202</w:t>
            </w:r>
            <w:r>
              <w:rPr>
                <w:rFonts w:cs="Arial"/>
                <w:szCs w:val="22"/>
              </w:rPr>
              <w:t>5</w:t>
            </w:r>
          </w:p>
        </w:tc>
      </w:tr>
      <w:tr w:rsidR="008E67CB" w:rsidRPr="00AB5218" w14:paraId="1BCE5495" w14:textId="77777777" w:rsidTr="00B12DE2">
        <w:trPr>
          <w:trHeight w:val="340"/>
        </w:trPr>
        <w:tc>
          <w:tcPr>
            <w:tcW w:w="2938" w:type="dxa"/>
            <w:shd w:val="clear" w:color="auto" w:fill="auto"/>
            <w:vAlign w:val="center"/>
          </w:tcPr>
          <w:p w14:paraId="79C3FF6B" w14:textId="77777777" w:rsidR="008E67CB" w:rsidRPr="00AB5218" w:rsidRDefault="008E67CB" w:rsidP="00604F23">
            <w:pPr>
              <w:rPr>
                <w:rFonts w:cs="Arial"/>
                <w:b/>
                <w:szCs w:val="22"/>
              </w:rPr>
            </w:pPr>
            <w:r w:rsidRPr="00AB5218">
              <w:rPr>
                <w:rFonts w:cs="Arial"/>
                <w:b/>
                <w:szCs w:val="22"/>
              </w:rPr>
              <w:t>Approved by:</w:t>
            </w:r>
          </w:p>
        </w:tc>
        <w:tc>
          <w:tcPr>
            <w:tcW w:w="2160" w:type="dxa"/>
            <w:shd w:val="clear" w:color="auto" w:fill="auto"/>
            <w:vAlign w:val="center"/>
          </w:tcPr>
          <w:p w14:paraId="6F2AA554" w14:textId="77777777" w:rsidR="008E67CB" w:rsidRPr="00AB5218" w:rsidRDefault="008E67CB" w:rsidP="00A248A5">
            <w:pPr>
              <w:rPr>
                <w:rFonts w:cs="Arial"/>
                <w:szCs w:val="22"/>
              </w:rPr>
            </w:pPr>
          </w:p>
        </w:tc>
        <w:tc>
          <w:tcPr>
            <w:tcW w:w="4202" w:type="dxa"/>
            <w:gridSpan w:val="2"/>
            <w:shd w:val="clear" w:color="auto" w:fill="auto"/>
            <w:vAlign w:val="center"/>
          </w:tcPr>
          <w:p w14:paraId="5215724A" w14:textId="77777777" w:rsidR="008E67CB" w:rsidRPr="00AB5218" w:rsidRDefault="00860D44" w:rsidP="00604F23">
            <w:pPr>
              <w:rPr>
                <w:rFonts w:cs="Arial"/>
                <w:szCs w:val="22"/>
              </w:rPr>
            </w:pPr>
            <w:r>
              <w:rPr>
                <w:rFonts w:cs="Arial"/>
                <w:szCs w:val="22"/>
              </w:rPr>
              <w:t>Professional Lead</w:t>
            </w:r>
          </w:p>
        </w:tc>
      </w:tr>
      <w:tr w:rsidR="008E67CB" w:rsidRPr="00AB5218" w14:paraId="7C1ED895" w14:textId="77777777" w:rsidTr="00B12DE2">
        <w:trPr>
          <w:trHeight w:val="288"/>
        </w:trPr>
        <w:tc>
          <w:tcPr>
            <w:tcW w:w="2938" w:type="dxa"/>
            <w:shd w:val="clear" w:color="auto" w:fill="auto"/>
            <w:vAlign w:val="center"/>
          </w:tcPr>
          <w:p w14:paraId="558F877C" w14:textId="77777777" w:rsidR="008E67CB" w:rsidRPr="00AB5218" w:rsidRDefault="008E67CB" w:rsidP="00604F23">
            <w:pPr>
              <w:rPr>
                <w:rFonts w:cs="Arial"/>
                <w:b/>
                <w:szCs w:val="22"/>
              </w:rPr>
            </w:pPr>
            <w:r w:rsidRPr="00AB5218">
              <w:rPr>
                <w:rFonts w:cs="Arial"/>
                <w:b/>
                <w:szCs w:val="22"/>
              </w:rPr>
              <w:t>Record Reference:</w:t>
            </w:r>
          </w:p>
        </w:tc>
        <w:tc>
          <w:tcPr>
            <w:tcW w:w="6362" w:type="dxa"/>
            <w:gridSpan w:val="3"/>
            <w:shd w:val="clear" w:color="auto" w:fill="auto"/>
            <w:vAlign w:val="center"/>
          </w:tcPr>
          <w:p w14:paraId="7E4D7217" w14:textId="77777777" w:rsidR="008E67CB" w:rsidRPr="006D1CA2" w:rsidRDefault="00727E84" w:rsidP="00D80541">
            <w:pPr>
              <w:rPr>
                <w:rFonts w:cs="Arial"/>
                <w:szCs w:val="22"/>
              </w:rPr>
            </w:pPr>
            <w:r w:rsidRPr="006D1CA2">
              <w:rPr>
                <w:rFonts w:cs="Arial"/>
                <w:szCs w:val="22"/>
              </w:rPr>
              <w:t xml:space="preserve">CM Folder </w:t>
            </w:r>
            <w:r w:rsidR="00D80541" w:rsidRPr="006D1CA2">
              <w:rPr>
                <w:rFonts w:cs="Arial"/>
                <w:szCs w:val="22"/>
              </w:rPr>
              <w:t>1.1.3.978.</w:t>
            </w:r>
            <w:r w:rsidRPr="006D1CA2">
              <w:rPr>
                <w:rFonts w:cs="Arial"/>
                <w:szCs w:val="22"/>
              </w:rPr>
              <w:t>(</w:t>
            </w:r>
            <w:r w:rsidR="002A2CEB" w:rsidRPr="006D1CA2">
              <w:rPr>
                <w:rFonts w:cs="Arial"/>
                <w:szCs w:val="22"/>
              </w:rPr>
              <w:t xml:space="preserve">CM </w:t>
            </w:r>
            <w:r w:rsidR="00D80541" w:rsidRPr="006D1CA2">
              <w:rPr>
                <w:rFonts w:cs="Arial"/>
                <w:szCs w:val="22"/>
              </w:rPr>
              <w:t>2020</w:t>
            </w:r>
            <w:r w:rsidRPr="006D1CA2">
              <w:rPr>
                <w:rFonts w:cs="Arial"/>
                <w:szCs w:val="22"/>
              </w:rPr>
              <w:t>/</w:t>
            </w:r>
            <w:r w:rsidR="00D80541" w:rsidRPr="006D1CA2">
              <w:rPr>
                <w:rFonts w:cs="Arial"/>
                <w:szCs w:val="22"/>
              </w:rPr>
              <w:t>51682</w:t>
            </w:r>
            <w:r w:rsidRPr="006D1CA2">
              <w:rPr>
                <w:rFonts w:cs="Arial"/>
                <w:szCs w:val="22"/>
              </w:rPr>
              <w:t>)</w:t>
            </w:r>
          </w:p>
        </w:tc>
      </w:tr>
      <w:tr w:rsidR="008E67CB" w:rsidRPr="00AB5218" w14:paraId="3B7B4E4B" w14:textId="77777777" w:rsidTr="00B12DE2">
        <w:trPr>
          <w:trHeight w:val="288"/>
        </w:trPr>
        <w:tc>
          <w:tcPr>
            <w:tcW w:w="2938" w:type="dxa"/>
            <w:shd w:val="clear" w:color="auto" w:fill="auto"/>
            <w:vAlign w:val="center"/>
          </w:tcPr>
          <w:p w14:paraId="4667D2A0" w14:textId="77777777" w:rsidR="008E67CB" w:rsidRPr="00AB5218" w:rsidRDefault="008E67CB" w:rsidP="00604F23">
            <w:pPr>
              <w:rPr>
                <w:rFonts w:cs="Arial"/>
                <w:b/>
                <w:szCs w:val="22"/>
              </w:rPr>
            </w:pPr>
            <w:r w:rsidRPr="00AB5218">
              <w:rPr>
                <w:rFonts w:cs="Arial"/>
                <w:b/>
                <w:szCs w:val="22"/>
              </w:rPr>
              <w:t>Revision commentary:</w:t>
            </w:r>
          </w:p>
        </w:tc>
        <w:tc>
          <w:tcPr>
            <w:tcW w:w="6362" w:type="dxa"/>
            <w:gridSpan w:val="3"/>
            <w:shd w:val="clear" w:color="auto" w:fill="auto"/>
            <w:vAlign w:val="center"/>
          </w:tcPr>
          <w:p w14:paraId="18081FC4" w14:textId="77777777" w:rsidR="008E67CB" w:rsidRDefault="00FB4B0C" w:rsidP="00E52766">
            <w:pPr>
              <w:rPr>
                <w:rFonts w:cs="Arial"/>
                <w:szCs w:val="22"/>
              </w:rPr>
            </w:pPr>
            <w:r w:rsidRPr="00AB5218">
              <w:rPr>
                <w:rFonts w:cs="Arial"/>
                <w:szCs w:val="22"/>
              </w:rPr>
              <w:t>Full review</w:t>
            </w:r>
          </w:p>
          <w:p w14:paraId="0AB75B4D" w14:textId="77777777" w:rsidR="00E14373" w:rsidRDefault="00E14373" w:rsidP="00E52766">
            <w:pPr>
              <w:rPr>
                <w:rFonts w:cs="Arial"/>
                <w:szCs w:val="22"/>
              </w:rPr>
            </w:pPr>
          </w:p>
          <w:p w14:paraId="37365C2F" w14:textId="77777777" w:rsidR="00E14373" w:rsidRPr="00AB5218" w:rsidRDefault="00E14373" w:rsidP="00E52766">
            <w:pPr>
              <w:rPr>
                <w:rFonts w:cs="Arial"/>
                <w:szCs w:val="22"/>
              </w:rPr>
            </w:pPr>
            <w:r>
              <w:rPr>
                <w:rFonts w:cs="Arial"/>
                <w:szCs w:val="22"/>
              </w:rPr>
              <w:t xml:space="preserve">Issue 3.1: </w:t>
            </w:r>
            <w:r>
              <w:rPr>
                <w:sz w:val="24"/>
              </w:rPr>
              <w:t>Minor update to remove extant URLs from the document to mitigate potential configuration control issues arising because of changes to third-party web domains.</w:t>
            </w:r>
          </w:p>
        </w:tc>
      </w:tr>
    </w:tbl>
    <w:p w14:paraId="04775736" w14:textId="77777777" w:rsidR="00D55197" w:rsidRPr="00AB5218" w:rsidRDefault="00D55197" w:rsidP="008E67CB">
      <w:pPr>
        <w:rPr>
          <w:rFonts w:cs="Arial"/>
          <w:szCs w:val="22"/>
        </w:rPr>
      </w:pPr>
    </w:p>
    <w:p w14:paraId="71595C6D" w14:textId="77777777" w:rsidR="008E67CB" w:rsidRPr="00AB5218" w:rsidRDefault="008E67CB" w:rsidP="008E67CB">
      <w:pPr>
        <w:jc w:val="center"/>
        <w:rPr>
          <w:rFonts w:cs="Arial"/>
          <w:b/>
          <w:szCs w:val="22"/>
        </w:rPr>
      </w:pPr>
      <w:r w:rsidRPr="00AB5218">
        <w:rPr>
          <w:rFonts w:cs="Arial"/>
          <w:b/>
          <w:szCs w:val="22"/>
        </w:rPr>
        <w:t>TABLE OF CONTENTS</w:t>
      </w:r>
    </w:p>
    <w:p w14:paraId="0C3BA914" w14:textId="77777777" w:rsidR="008E67CB" w:rsidRPr="00AB5218" w:rsidRDefault="008E67CB" w:rsidP="008E67CB">
      <w:pPr>
        <w:rPr>
          <w:rFonts w:cs="Arial"/>
          <w:szCs w:val="22"/>
        </w:rPr>
      </w:pPr>
    </w:p>
    <w:p w14:paraId="67D211E5" w14:textId="77777777" w:rsidR="00E06C99" w:rsidRPr="002230ED" w:rsidRDefault="004750A2">
      <w:pPr>
        <w:pStyle w:val="TOC1"/>
        <w:rPr>
          <w:rFonts w:ascii="Calibri" w:hAnsi="Calibri"/>
          <w:caps w:val="0"/>
          <w:noProof/>
          <w:szCs w:val="22"/>
          <w:lang w:eastAsia="en-GB"/>
        </w:rPr>
      </w:pPr>
      <w:r w:rsidRPr="00AB5218">
        <w:rPr>
          <w:rFonts w:cs="Arial"/>
          <w:szCs w:val="22"/>
        </w:rPr>
        <w:fldChar w:fldCharType="begin"/>
      </w:r>
      <w:r w:rsidRPr="00AB5218">
        <w:rPr>
          <w:rFonts w:cs="Arial"/>
          <w:szCs w:val="22"/>
        </w:rPr>
        <w:instrText xml:space="preserve"> TOC \h \z \t "TS Heading Numbered 1,1" </w:instrText>
      </w:r>
      <w:r w:rsidRPr="00AB5218">
        <w:rPr>
          <w:rFonts w:cs="Arial"/>
          <w:szCs w:val="22"/>
        </w:rPr>
        <w:fldChar w:fldCharType="separate"/>
      </w:r>
      <w:hyperlink w:anchor="_Toc41564450" w:history="1">
        <w:r w:rsidR="00E06C99" w:rsidRPr="00C221F8">
          <w:rPr>
            <w:rStyle w:val="Hyperlink"/>
            <w:rFonts w:cs="Arial"/>
            <w:noProof/>
          </w:rPr>
          <w:t>List OF ABBREVIATIONS</w:t>
        </w:r>
        <w:r w:rsidR="00E06C99">
          <w:rPr>
            <w:noProof/>
            <w:webHidden/>
          </w:rPr>
          <w:tab/>
        </w:r>
        <w:r w:rsidR="00E06C99">
          <w:rPr>
            <w:noProof/>
            <w:webHidden/>
          </w:rPr>
          <w:fldChar w:fldCharType="begin"/>
        </w:r>
        <w:r w:rsidR="00E06C99">
          <w:rPr>
            <w:noProof/>
            <w:webHidden/>
          </w:rPr>
          <w:instrText xml:space="preserve"> PAGEREF _Toc41564450 \h </w:instrText>
        </w:r>
        <w:r w:rsidR="00E06C99">
          <w:rPr>
            <w:noProof/>
            <w:webHidden/>
          </w:rPr>
        </w:r>
        <w:r w:rsidR="00E06C99">
          <w:rPr>
            <w:noProof/>
            <w:webHidden/>
          </w:rPr>
          <w:fldChar w:fldCharType="separate"/>
        </w:r>
        <w:r w:rsidR="00E06C99">
          <w:rPr>
            <w:noProof/>
            <w:webHidden/>
          </w:rPr>
          <w:t>2</w:t>
        </w:r>
        <w:r w:rsidR="00E06C99">
          <w:rPr>
            <w:noProof/>
            <w:webHidden/>
          </w:rPr>
          <w:fldChar w:fldCharType="end"/>
        </w:r>
      </w:hyperlink>
    </w:p>
    <w:p w14:paraId="01056FC9" w14:textId="77777777" w:rsidR="00E06C99" w:rsidRPr="002230ED" w:rsidRDefault="00E06C99">
      <w:pPr>
        <w:pStyle w:val="TOC1"/>
        <w:rPr>
          <w:rFonts w:ascii="Calibri" w:hAnsi="Calibri"/>
          <w:caps w:val="0"/>
          <w:noProof/>
          <w:szCs w:val="22"/>
          <w:lang w:eastAsia="en-GB"/>
        </w:rPr>
      </w:pPr>
      <w:hyperlink w:anchor="_Toc41564451" w:history="1">
        <w:r w:rsidRPr="00C221F8">
          <w:rPr>
            <w:rStyle w:val="Hyperlink"/>
            <w:rFonts w:cs="Arial"/>
            <w:noProof/>
          </w:rPr>
          <w:t>1.</w:t>
        </w:r>
        <w:r w:rsidRPr="002230ED">
          <w:rPr>
            <w:rFonts w:ascii="Calibri" w:hAnsi="Calibri"/>
            <w:caps w:val="0"/>
            <w:noProof/>
            <w:szCs w:val="22"/>
            <w:lang w:eastAsia="en-GB"/>
          </w:rPr>
          <w:tab/>
        </w:r>
        <w:r w:rsidRPr="00C221F8">
          <w:rPr>
            <w:rStyle w:val="Hyperlink"/>
            <w:rFonts w:cs="Arial"/>
            <w:noProof/>
          </w:rPr>
          <w:t>INTRODUCTION</w:t>
        </w:r>
        <w:r>
          <w:rPr>
            <w:noProof/>
            <w:webHidden/>
          </w:rPr>
          <w:tab/>
        </w:r>
        <w:r>
          <w:rPr>
            <w:noProof/>
            <w:webHidden/>
          </w:rPr>
          <w:fldChar w:fldCharType="begin"/>
        </w:r>
        <w:r>
          <w:rPr>
            <w:noProof/>
            <w:webHidden/>
          </w:rPr>
          <w:instrText xml:space="preserve"> PAGEREF _Toc41564451 \h </w:instrText>
        </w:r>
        <w:r>
          <w:rPr>
            <w:noProof/>
            <w:webHidden/>
          </w:rPr>
        </w:r>
        <w:r>
          <w:rPr>
            <w:noProof/>
            <w:webHidden/>
          </w:rPr>
          <w:fldChar w:fldCharType="separate"/>
        </w:r>
        <w:r>
          <w:rPr>
            <w:noProof/>
            <w:webHidden/>
          </w:rPr>
          <w:t>3</w:t>
        </w:r>
        <w:r>
          <w:rPr>
            <w:noProof/>
            <w:webHidden/>
          </w:rPr>
          <w:fldChar w:fldCharType="end"/>
        </w:r>
      </w:hyperlink>
    </w:p>
    <w:p w14:paraId="489E3395" w14:textId="77777777" w:rsidR="00E06C99" w:rsidRPr="002230ED" w:rsidRDefault="00E06C99">
      <w:pPr>
        <w:pStyle w:val="TOC1"/>
        <w:rPr>
          <w:rFonts w:ascii="Calibri" w:hAnsi="Calibri"/>
          <w:caps w:val="0"/>
          <w:noProof/>
          <w:szCs w:val="22"/>
          <w:lang w:eastAsia="en-GB"/>
        </w:rPr>
      </w:pPr>
      <w:hyperlink w:anchor="_Toc41564452" w:history="1">
        <w:r w:rsidRPr="00C221F8">
          <w:rPr>
            <w:rStyle w:val="Hyperlink"/>
            <w:noProof/>
          </w:rPr>
          <w:t>2.</w:t>
        </w:r>
        <w:r w:rsidRPr="002230ED">
          <w:rPr>
            <w:rFonts w:ascii="Calibri" w:hAnsi="Calibri"/>
            <w:caps w:val="0"/>
            <w:noProof/>
            <w:szCs w:val="22"/>
            <w:lang w:eastAsia="en-GB"/>
          </w:rPr>
          <w:tab/>
        </w:r>
        <w:r w:rsidRPr="00C221F8">
          <w:rPr>
            <w:rStyle w:val="Hyperlink"/>
            <w:noProof/>
          </w:rPr>
          <w:t>PURPOSE AND SCOPE</w:t>
        </w:r>
        <w:r>
          <w:rPr>
            <w:noProof/>
            <w:webHidden/>
          </w:rPr>
          <w:tab/>
        </w:r>
        <w:r>
          <w:rPr>
            <w:noProof/>
            <w:webHidden/>
          </w:rPr>
          <w:fldChar w:fldCharType="begin"/>
        </w:r>
        <w:r>
          <w:rPr>
            <w:noProof/>
            <w:webHidden/>
          </w:rPr>
          <w:instrText xml:space="preserve"> PAGEREF _Toc41564452 \h </w:instrText>
        </w:r>
        <w:r>
          <w:rPr>
            <w:noProof/>
            <w:webHidden/>
          </w:rPr>
        </w:r>
        <w:r>
          <w:rPr>
            <w:noProof/>
            <w:webHidden/>
          </w:rPr>
          <w:fldChar w:fldCharType="separate"/>
        </w:r>
        <w:r>
          <w:rPr>
            <w:noProof/>
            <w:webHidden/>
          </w:rPr>
          <w:t>3</w:t>
        </w:r>
        <w:r>
          <w:rPr>
            <w:noProof/>
            <w:webHidden/>
          </w:rPr>
          <w:fldChar w:fldCharType="end"/>
        </w:r>
      </w:hyperlink>
    </w:p>
    <w:p w14:paraId="782DB27E" w14:textId="77777777" w:rsidR="00E06C99" w:rsidRPr="002230ED" w:rsidRDefault="00E06C99">
      <w:pPr>
        <w:pStyle w:val="TOC1"/>
        <w:rPr>
          <w:rFonts w:ascii="Calibri" w:hAnsi="Calibri"/>
          <w:caps w:val="0"/>
          <w:noProof/>
          <w:szCs w:val="22"/>
          <w:lang w:eastAsia="en-GB"/>
        </w:rPr>
      </w:pPr>
      <w:hyperlink w:anchor="_Toc41564453" w:history="1">
        <w:r w:rsidRPr="00C221F8">
          <w:rPr>
            <w:rStyle w:val="Hyperlink"/>
            <w:rFonts w:cs="Arial"/>
            <w:noProof/>
          </w:rPr>
          <w:t>3.</w:t>
        </w:r>
        <w:r w:rsidRPr="002230ED">
          <w:rPr>
            <w:rFonts w:ascii="Calibri" w:hAnsi="Calibri"/>
            <w:caps w:val="0"/>
            <w:noProof/>
            <w:szCs w:val="22"/>
            <w:lang w:eastAsia="en-GB"/>
          </w:rPr>
          <w:tab/>
        </w:r>
        <w:r w:rsidRPr="00C221F8">
          <w:rPr>
            <w:rStyle w:val="Hyperlink"/>
            <w:rFonts w:cs="Arial"/>
            <w:noProof/>
          </w:rPr>
          <w:t>RELATIONSHIP TO LICENCE AND OTHER RELEVANT LEGISLATION</w:t>
        </w:r>
        <w:r>
          <w:rPr>
            <w:noProof/>
            <w:webHidden/>
          </w:rPr>
          <w:tab/>
        </w:r>
        <w:r>
          <w:rPr>
            <w:noProof/>
            <w:webHidden/>
          </w:rPr>
          <w:fldChar w:fldCharType="begin"/>
        </w:r>
        <w:r>
          <w:rPr>
            <w:noProof/>
            <w:webHidden/>
          </w:rPr>
          <w:instrText xml:space="preserve"> PAGEREF _Toc41564453 \h </w:instrText>
        </w:r>
        <w:r>
          <w:rPr>
            <w:noProof/>
            <w:webHidden/>
          </w:rPr>
        </w:r>
        <w:r>
          <w:rPr>
            <w:noProof/>
            <w:webHidden/>
          </w:rPr>
          <w:fldChar w:fldCharType="separate"/>
        </w:r>
        <w:r>
          <w:rPr>
            <w:noProof/>
            <w:webHidden/>
          </w:rPr>
          <w:t>3</w:t>
        </w:r>
        <w:r>
          <w:rPr>
            <w:noProof/>
            <w:webHidden/>
          </w:rPr>
          <w:fldChar w:fldCharType="end"/>
        </w:r>
      </w:hyperlink>
    </w:p>
    <w:p w14:paraId="0C258F80" w14:textId="77777777" w:rsidR="00E06C99" w:rsidRPr="002230ED" w:rsidRDefault="00E06C99">
      <w:pPr>
        <w:pStyle w:val="TOC1"/>
        <w:rPr>
          <w:rFonts w:ascii="Calibri" w:hAnsi="Calibri"/>
          <w:caps w:val="0"/>
          <w:noProof/>
          <w:szCs w:val="22"/>
          <w:lang w:eastAsia="en-GB"/>
        </w:rPr>
      </w:pPr>
      <w:hyperlink w:anchor="_Toc41564454" w:history="1">
        <w:r w:rsidRPr="00C221F8">
          <w:rPr>
            <w:rStyle w:val="Hyperlink"/>
            <w:rFonts w:cs="Arial"/>
            <w:noProof/>
          </w:rPr>
          <w:t>4.</w:t>
        </w:r>
        <w:r w:rsidRPr="002230ED">
          <w:rPr>
            <w:rFonts w:ascii="Calibri" w:hAnsi="Calibri"/>
            <w:caps w:val="0"/>
            <w:noProof/>
            <w:szCs w:val="22"/>
            <w:lang w:eastAsia="en-GB"/>
          </w:rPr>
          <w:tab/>
        </w:r>
        <w:r w:rsidRPr="00C221F8">
          <w:rPr>
            <w:rStyle w:val="Hyperlink"/>
            <w:rFonts w:cs="Arial"/>
            <w:noProof/>
          </w:rPr>
          <w:t>RELATIONSHIP TO SAPS, WENRA REFERENCE LEVELS AND IAEA SAFETY STANDARDS ADDRESSED</w:t>
        </w:r>
        <w:r>
          <w:rPr>
            <w:noProof/>
            <w:webHidden/>
          </w:rPr>
          <w:tab/>
        </w:r>
        <w:r>
          <w:rPr>
            <w:noProof/>
            <w:webHidden/>
          </w:rPr>
          <w:fldChar w:fldCharType="begin"/>
        </w:r>
        <w:r>
          <w:rPr>
            <w:noProof/>
            <w:webHidden/>
          </w:rPr>
          <w:instrText xml:space="preserve"> PAGEREF _Toc41564454 \h </w:instrText>
        </w:r>
        <w:r>
          <w:rPr>
            <w:noProof/>
            <w:webHidden/>
          </w:rPr>
        </w:r>
        <w:r>
          <w:rPr>
            <w:noProof/>
            <w:webHidden/>
          </w:rPr>
          <w:fldChar w:fldCharType="separate"/>
        </w:r>
        <w:r>
          <w:rPr>
            <w:noProof/>
            <w:webHidden/>
          </w:rPr>
          <w:t>4</w:t>
        </w:r>
        <w:r>
          <w:rPr>
            <w:noProof/>
            <w:webHidden/>
          </w:rPr>
          <w:fldChar w:fldCharType="end"/>
        </w:r>
      </w:hyperlink>
    </w:p>
    <w:p w14:paraId="17FEE191" w14:textId="77777777" w:rsidR="00E06C99" w:rsidRPr="002230ED" w:rsidRDefault="00E06C99">
      <w:pPr>
        <w:pStyle w:val="TOC1"/>
        <w:rPr>
          <w:rFonts w:ascii="Calibri" w:hAnsi="Calibri"/>
          <w:caps w:val="0"/>
          <w:noProof/>
          <w:szCs w:val="22"/>
          <w:lang w:eastAsia="en-GB"/>
        </w:rPr>
      </w:pPr>
      <w:hyperlink w:anchor="_Toc41564455" w:history="1">
        <w:r w:rsidRPr="00C221F8">
          <w:rPr>
            <w:rStyle w:val="Hyperlink"/>
            <w:rFonts w:cs="Arial"/>
            <w:noProof/>
          </w:rPr>
          <w:t>5.</w:t>
        </w:r>
        <w:r w:rsidRPr="002230ED">
          <w:rPr>
            <w:rFonts w:ascii="Calibri" w:hAnsi="Calibri"/>
            <w:caps w:val="0"/>
            <w:noProof/>
            <w:szCs w:val="22"/>
            <w:lang w:eastAsia="en-GB"/>
          </w:rPr>
          <w:tab/>
        </w:r>
        <w:r w:rsidRPr="00C221F8">
          <w:rPr>
            <w:rStyle w:val="Hyperlink"/>
            <w:rFonts w:cs="Arial"/>
            <w:noProof/>
          </w:rPr>
          <w:t>ADVICE TO INSPECTORS</w:t>
        </w:r>
        <w:r>
          <w:rPr>
            <w:noProof/>
            <w:webHidden/>
          </w:rPr>
          <w:tab/>
        </w:r>
        <w:r>
          <w:rPr>
            <w:noProof/>
            <w:webHidden/>
          </w:rPr>
          <w:fldChar w:fldCharType="begin"/>
        </w:r>
        <w:r>
          <w:rPr>
            <w:noProof/>
            <w:webHidden/>
          </w:rPr>
          <w:instrText xml:space="preserve"> PAGEREF _Toc41564455 \h </w:instrText>
        </w:r>
        <w:r>
          <w:rPr>
            <w:noProof/>
            <w:webHidden/>
          </w:rPr>
        </w:r>
        <w:r>
          <w:rPr>
            <w:noProof/>
            <w:webHidden/>
          </w:rPr>
          <w:fldChar w:fldCharType="separate"/>
        </w:r>
        <w:r>
          <w:rPr>
            <w:noProof/>
            <w:webHidden/>
          </w:rPr>
          <w:t>5</w:t>
        </w:r>
        <w:r>
          <w:rPr>
            <w:noProof/>
            <w:webHidden/>
          </w:rPr>
          <w:fldChar w:fldCharType="end"/>
        </w:r>
      </w:hyperlink>
    </w:p>
    <w:p w14:paraId="282036C4" w14:textId="77777777" w:rsidR="00E06C99" w:rsidRPr="002230ED" w:rsidRDefault="00E06C99">
      <w:pPr>
        <w:pStyle w:val="TOC1"/>
        <w:rPr>
          <w:rFonts w:ascii="Calibri" w:hAnsi="Calibri"/>
          <w:caps w:val="0"/>
          <w:noProof/>
          <w:szCs w:val="22"/>
          <w:lang w:eastAsia="en-GB"/>
        </w:rPr>
      </w:pPr>
      <w:hyperlink w:anchor="_Toc41564456" w:history="1">
        <w:r w:rsidRPr="00C221F8">
          <w:rPr>
            <w:rStyle w:val="Hyperlink"/>
            <w:rFonts w:cs="Arial"/>
            <w:noProof/>
          </w:rPr>
          <w:t>6.</w:t>
        </w:r>
        <w:r w:rsidRPr="002230ED">
          <w:rPr>
            <w:rFonts w:ascii="Calibri" w:hAnsi="Calibri"/>
            <w:caps w:val="0"/>
            <w:noProof/>
            <w:szCs w:val="22"/>
            <w:lang w:eastAsia="en-GB"/>
          </w:rPr>
          <w:tab/>
        </w:r>
        <w:r w:rsidRPr="00C221F8">
          <w:rPr>
            <w:rStyle w:val="Hyperlink"/>
            <w:rFonts w:cs="Arial"/>
            <w:noProof/>
          </w:rPr>
          <w:t>REFERENCES</w:t>
        </w:r>
        <w:r>
          <w:rPr>
            <w:noProof/>
            <w:webHidden/>
          </w:rPr>
          <w:tab/>
        </w:r>
        <w:r>
          <w:rPr>
            <w:noProof/>
            <w:webHidden/>
          </w:rPr>
          <w:fldChar w:fldCharType="begin"/>
        </w:r>
        <w:r>
          <w:rPr>
            <w:noProof/>
            <w:webHidden/>
          </w:rPr>
          <w:instrText xml:space="preserve"> PAGEREF _Toc41564456 \h </w:instrText>
        </w:r>
        <w:r>
          <w:rPr>
            <w:noProof/>
            <w:webHidden/>
          </w:rPr>
        </w:r>
        <w:r>
          <w:rPr>
            <w:noProof/>
            <w:webHidden/>
          </w:rPr>
          <w:fldChar w:fldCharType="separate"/>
        </w:r>
        <w:r>
          <w:rPr>
            <w:noProof/>
            <w:webHidden/>
          </w:rPr>
          <w:t>13</w:t>
        </w:r>
        <w:r>
          <w:rPr>
            <w:noProof/>
            <w:webHidden/>
          </w:rPr>
          <w:fldChar w:fldCharType="end"/>
        </w:r>
      </w:hyperlink>
    </w:p>
    <w:p w14:paraId="76E1D4CB" w14:textId="77777777" w:rsidR="008E67CB" w:rsidRPr="00AB5218" w:rsidRDefault="004750A2" w:rsidP="008E67CB">
      <w:pPr>
        <w:rPr>
          <w:rFonts w:cs="Arial"/>
          <w:szCs w:val="22"/>
        </w:rPr>
      </w:pPr>
      <w:r w:rsidRPr="00AB5218">
        <w:rPr>
          <w:rFonts w:cs="Arial"/>
          <w:szCs w:val="22"/>
        </w:rPr>
        <w:fldChar w:fldCharType="end"/>
      </w:r>
    </w:p>
    <w:p w14:paraId="50AD568C" w14:textId="77777777" w:rsidR="00604F23" w:rsidRPr="00AB5218" w:rsidRDefault="00604F23" w:rsidP="008E67CB">
      <w:pPr>
        <w:rPr>
          <w:rFonts w:cs="Arial"/>
          <w:szCs w:val="22"/>
        </w:rPr>
      </w:pPr>
    </w:p>
    <w:p w14:paraId="24DE1ACB" w14:textId="77777777" w:rsidR="00F96DFE" w:rsidRPr="00AB5218" w:rsidRDefault="00F96DFE" w:rsidP="00F96DFE">
      <w:pPr>
        <w:outlineLvl w:val="1"/>
        <w:rPr>
          <w:rFonts w:cs="Arial"/>
          <w:bCs/>
          <w:i/>
          <w:kern w:val="36"/>
          <w:szCs w:val="22"/>
        </w:rPr>
      </w:pPr>
    </w:p>
    <w:p w14:paraId="77B6A0BB" w14:textId="77777777" w:rsidR="00F96DFE" w:rsidRPr="00AB5218" w:rsidRDefault="00F96DFE" w:rsidP="00F96DFE">
      <w:pPr>
        <w:outlineLvl w:val="1"/>
        <w:rPr>
          <w:rFonts w:cs="Arial"/>
          <w:bCs/>
          <w:kern w:val="36"/>
          <w:szCs w:val="22"/>
        </w:rPr>
      </w:pPr>
    </w:p>
    <w:p w14:paraId="34410E9C" w14:textId="77777777" w:rsidR="00F96DFE" w:rsidRPr="00AB5218" w:rsidRDefault="00F96DFE" w:rsidP="00F96DFE">
      <w:pPr>
        <w:outlineLvl w:val="1"/>
        <w:rPr>
          <w:rFonts w:cs="Arial"/>
          <w:bCs/>
          <w:kern w:val="36"/>
          <w:szCs w:val="22"/>
        </w:rPr>
      </w:pPr>
    </w:p>
    <w:p w14:paraId="3EDA4712" w14:textId="77777777" w:rsidR="00F96DFE" w:rsidRPr="00AB5218" w:rsidRDefault="00F96DFE" w:rsidP="00F96DFE">
      <w:pPr>
        <w:outlineLvl w:val="1"/>
        <w:rPr>
          <w:rFonts w:cs="Arial"/>
          <w:bCs/>
          <w:kern w:val="36"/>
          <w:szCs w:val="22"/>
        </w:rPr>
      </w:pPr>
    </w:p>
    <w:p w14:paraId="56E5538E" w14:textId="77777777" w:rsidR="00F96DFE" w:rsidRPr="00AB5218" w:rsidRDefault="00F96DFE" w:rsidP="00F96DFE">
      <w:pPr>
        <w:outlineLvl w:val="1"/>
        <w:rPr>
          <w:rFonts w:cs="Arial"/>
          <w:bCs/>
          <w:kern w:val="36"/>
          <w:szCs w:val="22"/>
        </w:rPr>
      </w:pPr>
    </w:p>
    <w:p w14:paraId="36C35C82" w14:textId="77777777" w:rsidR="00F96DFE" w:rsidRPr="00AB5218" w:rsidRDefault="00F96DFE" w:rsidP="00F96DFE">
      <w:pPr>
        <w:outlineLvl w:val="1"/>
        <w:rPr>
          <w:rFonts w:cs="Arial"/>
          <w:bCs/>
          <w:kern w:val="36"/>
          <w:szCs w:val="22"/>
        </w:rPr>
      </w:pPr>
    </w:p>
    <w:p w14:paraId="7FC0AC9B" w14:textId="77777777" w:rsidR="00F96DFE" w:rsidRPr="00AB5218" w:rsidRDefault="00F96DFE" w:rsidP="00F96DFE">
      <w:pPr>
        <w:outlineLvl w:val="1"/>
        <w:rPr>
          <w:rFonts w:cs="Arial"/>
          <w:bCs/>
          <w:kern w:val="36"/>
          <w:szCs w:val="22"/>
        </w:rPr>
      </w:pPr>
    </w:p>
    <w:p w14:paraId="1DAABE28" w14:textId="77777777" w:rsidR="00F96DFE" w:rsidRPr="00AB5218" w:rsidRDefault="00F96DFE" w:rsidP="00F96DFE">
      <w:pPr>
        <w:outlineLvl w:val="1"/>
        <w:rPr>
          <w:rFonts w:cs="Arial"/>
          <w:bCs/>
          <w:kern w:val="36"/>
          <w:szCs w:val="22"/>
        </w:rPr>
      </w:pPr>
    </w:p>
    <w:p w14:paraId="3A4DC425" w14:textId="77777777" w:rsidR="001548F7" w:rsidRPr="00AB5218" w:rsidRDefault="001548F7" w:rsidP="00F96DFE">
      <w:pPr>
        <w:outlineLvl w:val="1"/>
        <w:rPr>
          <w:rFonts w:cs="Arial"/>
          <w:bCs/>
          <w:kern w:val="36"/>
          <w:szCs w:val="22"/>
        </w:rPr>
      </w:pPr>
    </w:p>
    <w:p w14:paraId="546AA172" w14:textId="77777777" w:rsidR="001548F7" w:rsidRPr="00AB5218" w:rsidRDefault="001548F7" w:rsidP="00F96DFE">
      <w:pPr>
        <w:outlineLvl w:val="1"/>
        <w:rPr>
          <w:rFonts w:cs="Arial"/>
          <w:bCs/>
          <w:kern w:val="36"/>
          <w:szCs w:val="22"/>
        </w:rPr>
      </w:pPr>
    </w:p>
    <w:p w14:paraId="19C082BC" w14:textId="77777777" w:rsidR="00F96DFE" w:rsidRPr="00AB5218" w:rsidRDefault="00F96DFE" w:rsidP="00F96DFE">
      <w:pPr>
        <w:outlineLvl w:val="1"/>
        <w:rPr>
          <w:rFonts w:cs="Arial"/>
          <w:bCs/>
          <w:kern w:val="36"/>
          <w:szCs w:val="22"/>
        </w:rPr>
      </w:pPr>
    </w:p>
    <w:p w14:paraId="0964247E" w14:textId="77777777" w:rsidR="00F96DFE" w:rsidRPr="00AB5218" w:rsidRDefault="00F96DFE" w:rsidP="00F96DFE">
      <w:pPr>
        <w:outlineLvl w:val="1"/>
        <w:rPr>
          <w:rFonts w:cs="Arial"/>
          <w:bCs/>
          <w:i/>
          <w:kern w:val="36"/>
          <w:szCs w:val="22"/>
        </w:rPr>
      </w:pPr>
    </w:p>
    <w:p w14:paraId="61D8A01B" w14:textId="77777777" w:rsidR="00F96DFE" w:rsidRPr="00E14373" w:rsidRDefault="00F96DFE" w:rsidP="00F96DFE">
      <w:pPr>
        <w:outlineLvl w:val="1"/>
        <w:rPr>
          <w:rFonts w:cs="Arial"/>
          <w:bCs/>
          <w:i/>
          <w:kern w:val="36"/>
          <w:sz w:val="16"/>
          <w:szCs w:val="16"/>
        </w:rPr>
      </w:pPr>
      <w:r w:rsidRPr="00E14373">
        <w:rPr>
          <w:rFonts w:cs="Arial"/>
          <w:bCs/>
          <w:i/>
          <w:kern w:val="36"/>
          <w:sz w:val="16"/>
          <w:szCs w:val="16"/>
        </w:rPr>
        <w:t xml:space="preserve">© </w:t>
      </w:r>
      <w:r w:rsidR="00532D01" w:rsidRPr="00E14373">
        <w:rPr>
          <w:rFonts w:cs="Arial"/>
          <w:bCs/>
          <w:i/>
          <w:kern w:val="36"/>
          <w:sz w:val="16"/>
          <w:szCs w:val="16"/>
        </w:rPr>
        <w:t>Off</w:t>
      </w:r>
      <w:r w:rsidR="003E7B09" w:rsidRPr="00E14373">
        <w:rPr>
          <w:rFonts w:cs="Arial"/>
          <w:bCs/>
          <w:i/>
          <w:kern w:val="36"/>
          <w:sz w:val="16"/>
          <w:szCs w:val="16"/>
        </w:rPr>
        <w:t>ice for Nuclear Regulation, 20</w:t>
      </w:r>
      <w:r w:rsidR="00CA7C45" w:rsidRPr="00E14373">
        <w:rPr>
          <w:rFonts w:cs="Arial"/>
          <w:bCs/>
          <w:i/>
          <w:kern w:val="36"/>
          <w:sz w:val="16"/>
          <w:szCs w:val="16"/>
        </w:rPr>
        <w:t>2</w:t>
      </w:r>
      <w:r w:rsidR="00E14373">
        <w:rPr>
          <w:rFonts w:cs="Arial"/>
          <w:bCs/>
          <w:i/>
          <w:kern w:val="36"/>
          <w:sz w:val="16"/>
          <w:szCs w:val="16"/>
        </w:rPr>
        <w:t>2</w:t>
      </w:r>
    </w:p>
    <w:p w14:paraId="4E831DB3" w14:textId="77777777" w:rsidR="00F96DFE" w:rsidRPr="00E14373" w:rsidRDefault="00F96DFE" w:rsidP="00F96DFE">
      <w:pPr>
        <w:outlineLvl w:val="1"/>
        <w:rPr>
          <w:rFonts w:cs="Arial"/>
          <w:bCs/>
          <w:kern w:val="36"/>
          <w:sz w:val="16"/>
          <w:szCs w:val="16"/>
        </w:rPr>
      </w:pPr>
      <w:r w:rsidRPr="00E14373">
        <w:rPr>
          <w:rFonts w:cs="Arial"/>
          <w:bCs/>
          <w:kern w:val="36"/>
          <w:sz w:val="16"/>
          <w:szCs w:val="16"/>
        </w:rPr>
        <w:t xml:space="preserve">If you wish to reuse this information visit </w:t>
      </w:r>
      <w:hyperlink r:id="rId9" w:tooltip="blocked::blocked::BLOCKED::http://www.hse.gov.uk/copyright&#10;blocked::BLOCKED::http://www.hse.gov.uk/copyright&#10;http://www.hse.gov.uk/copyright" w:history="1"/>
      <w:hyperlink r:id="rId10" w:tooltip="http://www.onr.org.uk/copyright" w:history="1">
        <w:r w:rsidRPr="00E14373">
          <w:rPr>
            <w:rStyle w:val="Hyperlink"/>
            <w:rFonts w:cs="Arial"/>
            <w:bCs/>
            <w:kern w:val="36"/>
            <w:sz w:val="16"/>
            <w:szCs w:val="16"/>
          </w:rPr>
          <w:t>www.onr.org.uk/copyright</w:t>
        </w:r>
      </w:hyperlink>
      <w:r w:rsidRPr="00E14373">
        <w:rPr>
          <w:rFonts w:cs="Arial"/>
          <w:bCs/>
          <w:kern w:val="36"/>
          <w:sz w:val="16"/>
          <w:szCs w:val="16"/>
        </w:rPr>
        <w:t xml:space="preserve"> for details. </w:t>
      </w:r>
    </w:p>
    <w:p w14:paraId="17173977" w14:textId="77777777" w:rsidR="00F96DFE" w:rsidRPr="00E14373" w:rsidRDefault="00F96DFE" w:rsidP="00F96DFE">
      <w:pPr>
        <w:outlineLvl w:val="1"/>
        <w:rPr>
          <w:rFonts w:cs="Arial"/>
          <w:bCs/>
          <w:kern w:val="36"/>
          <w:sz w:val="16"/>
          <w:szCs w:val="16"/>
        </w:rPr>
      </w:pPr>
      <w:r w:rsidRPr="00E14373">
        <w:rPr>
          <w:rFonts w:cs="Arial"/>
          <w:bCs/>
          <w:kern w:val="36"/>
          <w:sz w:val="16"/>
          <w:szCs w:val="16"/>
        </w:rPr>
        <w:t xml:space="preserve">Published </w:t>
      </w:r>
      <w:r w:rsidR="00E14373">
        <w:rPr>
          <w:rFonts w:cs="Arial"/>
          <w:bCs/>
          <w:kern w:val="36"/>
          <w:sz w:val="16"/>
          <w:szCs w:val="16"/>
        </w:rPr>
        <w:t>12/22</w:t>
      </w:r>
    </w:p>
    <w:p w14:paraId="7104511C" w14:textId="77777777" w:rsidR="009B5159" w:rsidRPr="00AB5218" w:rsidRDefault="009B5159" w:rsidP="009B5159">
      <w:pPr>
        <w:rPr>
          <w:rFonts w:cs="Arial"/>
          <w:szCs w:val="22"/>
        </w:rPr>
      </w:pPr>
    </w:p>
    <w:p w14:paraId="4DA898EE" w14:textId="77777777" w:rsidR="00CC5102" w:rsidRPr="00AB5218" w:rsidRDefault="00CC5102" w:rsidP="00CC5102">
      <w:pPr>
        <w:pStyle w:val="TSHeadingNumbered1"/>
        <w:numPr>
          <w:ilvl w:val="0"/>
          <w:numId w:val="0"/>
        </w:numPr>
        <w:ind w:left="720" w:hanging="720"/>
        <w:rPr>
          <w:rFonts w:ascii="Arial" w:hAnsi="Arial" w:cs="Arial"/>
          <w:szCs w:val="22"/>
        </w:rPr>
      </w:pPr>
      <w:r>
        <w:rPr>
          <w:rFonts w:ascii="Arial" w:hAnsi="Arial" w:cs="Arial"/>
          <w:szCs w:val="22"/>
        </w:rPr>
        <w:br w:type="page"/>
      </w:r>
      <w:bookmarkStart w:id="0" w:name="_Toc41564450"/>
      <w:r>
        <w:rPr>
          <w:rFonts w:ascii="Arial" w:hAnsi="Arial" w:cs="Arial"/>
          <w:szCs w:val="22"/>
        </w:rPr>
        <w:lastRenderedPageBreak/>
        <w:t xml:space="preserve">List OF </w:t>
      </w:r>
      <w:r w:rsidRPr="00AB5218">
        <w:rPr>
          <w:rFonts w:ascii="Arial" w:hAnsi="Arial" w:cs="Arial"/>
          <w:szCs w:val="22"/>
        </w:rPr>
        <w:t>ABBREVIATIONS</w:t>
      </w:r>
      <w:bookmarkEnd w:id="0"/>
      <w:r w:rsidRPr="00AB5218">
        <w:rPr>
          <w:rFonts w:ascii="Arial" w:hAnsi="Arial" w:cs="Arial"/>
          <w:szCs w:val="22"/>
        </w:rPr>
        <w:t xml:space="preserve"> </w:t>
      </w:r>
    </w:p>
    <w:p w14:paraId="57FFC2BE" w14:textId="77777777" w:rsidR="00C72CD4" w:rsidRDefault="00C72CD4" w:rsidP="00C72CD4">
      <w:pPr>
        <w:tabs>
          <w:tab w:val="left" w:pos="1440"/>
        </w:tabs>
        <w:spacing w:after="120"/>
        <w:rPr>
          <w:rFonts w:cs="Arial"/>
          <w:szCs w:val="22"/>
        </w:rPr>
      </w:pPr>
      <w:r>
        <w:rPr>
          <w:rFonts w:cs="Arial"/>
          <w:szCs w:val="22"/>
        </w:rPr>
        <w:t>ALARP</w:t>
      </w:r>
      <w:r>
        <w:rPr>
          <w:rFonts w:cs="Arial"/>
          <w:szCs w:val="22"/>
        </w:rPr>
        <w:tab/>
        <w:t xml:space="preserve">As Low </w:t>
      </w:r>
      <w:proofErr w:type="gramStart"/>
      <w:r>
        <w:rPr>
          <w:rFonts w:cs="Arial"/>
          <w:szCs w:val="22"/>
        </w:rPr>
        <w:t>As</w:t>
      </w:r>
      <w:proofErr w:type="gramEnd"/>
      <w:r>
        <w:rPr>
          <w:rFonts w:cs="Arial"/>
          <w:szCs w:val="22"/>
        </w:rPr>
        <w:t xml:space="preserve"> Reasonably Practicable</w:t>
      </w:r>
    </w:p>
    <w:p w14:paraId="09DEDC87" w14:textId="77777777" w:rsidR="00C72CD4" w:rsidRDefault="00C72CD4" w:rsidP="00C72CD4">
      <w:pPr>
        <w:tabs>
          <w:tab w:val="left" w:pos="1440"/>
        </w:tabs>
        <w:spacing w:after="120"/>
        <w:rPr>
          <w:rFonts w:cs="Arial"/>
          <w:szCs w:val="22"/>
        </w:rPr>
      </w:pPr>
      <w:r>
        <w:rPr>
          <w:rFonts w:cs="Arial"/>
          <w:szCs w:val="22"/>
        </w:rPr>
        <w:t>CoP</w:t>
      </w:r>
      <w:r>
        <w:rPr>
          <w:rFonts w:cs="Arial"/>
          <w:szCs w:val="22"/>
        </w:rPr>
        <w:tab/>
        <w:t>Code of Practice</w:t>
      </w:r>
    </w:p>
    <w:p w14:paraId="45BED0EE" w14:textId="77777777" w:rsidR="00C72CD4" w:rsidRPr="00AB5218" w:rsidRDefault="00C72CD4" w:rsidP="00C72CD4">
      <w:pPr>
        <w:tabs>
          <w:tab w:val="left" w:pos="1440"/>
        </w:tabs>
        <w:spacing w:after="120"/>
        <w:rPr>
          <w:rFonts w:cs="Arial"/>
          <w:szCs w:val="22"/>
        </w:rPr>
      </w:pPr>
      <w:r w:rsidRPr="00AB5218">
        <w:rPr>
          <w:rFonts w:cs="Arial"/>
          <w:szCs w:val="22"/>
        </w:rPr>
        <w:t xml:space="preserve">EDR </w:t>
      </w:r>
      <w:r w:rsidRPr="00AB5218">
        <w:rPr>
          <w:rFonts w:cs="Arial"/>
          <w:szCs w:val="22"/>
        </w:rPr>
        <w:tab/>
        <w:t>Engineering Design for Reliability</w:t>
      </w:r>
    </w:p>
    <w:p w14:paraId="4462028B" w14:textId="77777777" w:rsidR="00C72CD4" w:rsidRDefault="00C72CD4" w:rsidP="00C72CD4">
      <w:pPr>
        <w:tabs>
          <w:tab w:val="left" w:pos="1440"/>
        </w:tabs>
        <w:spacing w:after="120"/>
        <w:rPr>
          <w:rFonts w:cs="Arial"/>
          <w:szCs w:val="22"/>
        </w:rPr>
      </w:pPr>
      <w:r>
        <w:rPr>
          <w:rFonts w:cs="Arial"/>
          <w:szCs w:val="22"/>
        </w:rPr>
        <w:t>E/E/PE</w:t>
      </w:r>
      <w:r>
        <w:rPr>
          <w:rFonts w:cs="Arial"/>
          <w:szCs w:val="22"/>
        </w:rPr>
        <w:tab/>
        <w:t>E</w:t>
      </w:r>
      <w:r w:rsidRPr="00252803">
        <w:rPr>
          <w:rFonts w:cs="Arial"/>
          <w:szCs w:val="22"/>
        </w:rPr>
        <w:t xml:space="preserve">lectrical, </w:t>
      </w:r>
      <w:r>
        <w:rPr>
          <w:rFonts w:cs="Arial"/>
          <w:szCs w:val="22"/>
        </w:rPr>
        <w:t>E</w:t>
      </w:r>
      <w:r w:rsidRPr="00252803">
        <w:rPr>
          <w:rFonts w:cs="Arial"/>
          <w:szCs w:val="22"/>
        </w:rPr>
        <w:t xml:space="preserve">lectronic, and </w:t>
      </w:r>
      <w:r>
        <w:rPr>
          <w:rFonts w:cs="Arial"/>
          <w:szCs w:val="22"/>
        </w:rPr>
        <w:t>P</w:t>
      </w:r>
      <w:r w:rsidRPr="00252803">
        <w:rPr>
          <w:rFonts w:cs="Arial"/>
          <w:szCs w:val="22"/>
        </w:rPr>
        <w:t xml:space="preserve">rogrammable </w:t>
      </w:r>
      <w:r>
        <w:rPr>
          <w:rFonts w:cs="Arial"/>
          <w:szCs w:val="22"/>
        </w:rPr>
        <w:t>E</w:t>
      </w:r>
      <w:r w:rsidRPr="00252803">
        <w:rPr>
          <w:rFonts w:cs="Arial"/>
          <w:szCs w:val="22"/>
        </w:rPr>
        <w:t>lectronic</w:t>
      </w:r>
    </w:p>
    <w:p w14:paraId="7F085E4B" w14:textId="77777777" w:rsidR="00C72CD4" w:rsidRPr="00AB5218" w:rsidRDefault="00C72CD4" w:rsidP="00C72CD4">
      <w:pPr>
        <w:tabs>
          <w:tab w:val="left" w:pos="1440"/>
        </w:tabs>
        <w:spacing w:after="120"/>
        <w:rPr>
          <w:rFonts w:cs="Arial"/>
          <w:szCs w:val="22"/>
        </w:rPr>
      </w:pPr>
      <w:r w:rsidRPr="00AB5218">
        <w:rPr>
          <w:rFonts w:cs="Arial"/>
          <w:szCs w:val="22"/>
        </w:rPr>
        <w:t>EHA</w:t>
      </w:r>
      <w:r w:rsidRPr="00AB5218">
        <w:rPr>
          <w:rFonts w:cs="Arial"/>
          <w:szCs w:val="22"/>
        </w:rPr>
        <w:tab/>
        <w:t>Engineering External and Internal Hazards</w:t>
      </w:r>
    </w:p>
    <w:p w14:paraId="7F164E3D" w14:textId="77777777" w:rsidR="00C72CD4" w:rsidRDefault="00C72CD4" w:rsidP="00C72CD4">
      <w:pPr>
        <w:tabs>
          <w:tab w:val="left" w:pos="1440"/>
        </w:tabs>
        <w:spacing w:after="120"/>
        <w:rPr>
          <w:rFonts w:cs="Arial"/>
          <w:szCs w:val="22"/>
        </w:rPr>
      </w:pPr>
      <w:r>
        <w:rPr>
          <w:rFonts w:cs="Arial"/>
          <w:szCs w:val="22"/>
        </w:rPr>
        <w:t>EMC</w:t>
      </w:r>
      <w:r>
        <w:rPr>
          <w:rFonts w:cs="Arial"/>
          <w:szCs w:val="22"/>
        </w:rPr>
        <w:tab/>
        <w:t>Electromagnetic Compatibility</w:t>
      </w:r>
    </w:p>
    <w:p w14:paraId="15C4890D" w14:textId="77777777" w:rsidR="00C72CD4" w:rsidRDefault="00C72CD4" w:rsidP="00C72CD4">
      <w:pPr>
        <w:tabs>
          <w:tab w:val="left" w:pos="1440"/>
        </w:tabs>
        <w:spacing w:after="120"/>
        <w:rPr>
          <w:rFonts w:cs="Arial"/>
          <w:szCs w:val="22"/>
        </w:rPr>
      </w:pPr>
      <w:r w:rsidRPr="00AB5218">
        <w:rPr>
          <w:rFonts w:cs="Arial"/>
          <w:szCs w:val="22"/>
        </w:rPr>
        <w:t>EMI</w:t>
      </w:r>
      <w:r w:rsidRPr="00AB5218">
        <w:rPr>
          <w:rFonts w:cs="Arial"/>
          <w:szCs w:val="22"/>
        </w:rPr>
        <w:tab/>
        <w:t>Electromagnetic Interference</w:t>
      </w:r>
    </w:p>
    <w:p w14:paraId="2FCA7A2F" w14:textId="77777777" w:rsidR="002B3474" w:rsidRPr="00AB5218" w:rsidRDefault="002B3474" w:rsidP="00C72CD4">
      <w:pPr>
        <w:tabs>
          <w:tab w:val="left" w:pos="1440"/>
        </w:tabs>
        <w:spacing w:after="120"/>
        <w:rPr>
          <w:rFonts w:cs="Arial"/>
          <w:szCs w:val="22"/>
        </w:rPr>
      </w:pPr>
      <w:r>
        <w:rPr>
          <w:rFonts w:cs="Arial"/>
          <w:szCs w:val="22"/>
        </w:rPr>
        <w:t>ER</w:t>
      </w:r>
      <w:r>
        <w:rPr>
          <w:rFonts w:cs="Arial"/>
          <w:szCs w:val="22"/>
        </w:rPr>
        <w:tab/>
        <w:t>Electromagnetic Resilience</w:t>
      </w:r>
    </w:p>
    <w:p w14:paraId="05BE3B57" w14:textId="77777777" w:rsidR="00C72CD4" w:rsidRPr="00AB5218" w:rsidRDefault="00C72CD4" w:rsidP="00C72CD4">
      <w:pPr>
        <w:tabs>
          <w:tab w:val="left" w:pos="1440"/>
        </w:tabs>
        <w:spacing w:after="120"/>
        <w:rPr>
          <w:rFonts w:cs="Arial"/>
          <w:szCs w:val="22"/>
        </w:rPr>
      </w:pPr>
      <w:r w:rsidRPr="00AB5218">
        <w:rPr>
          <w:rFonts w:cs="Arial"/>
          <w:szCs w:val="22"/>
        </w:rPr>
        <w:t>ESS</w:t>
      </w:r>
      <w:r w:rsidRPr="00AB5218">
        <w:rPr>
          <w:rFonts w:cs="Arial"/>
          <w:szCs w:val="22"/>
        </w:rPr>
        <w:tab/>
        <w:t>Engineering Principles: Safety Systems</w:t>
      </w:r>
    </w:p>
    <w:p w14:paraId="6DF7190C" w14:textId="77777777" w:rsidR="00C72CD4" w:rsidRDefault="00C72CD4" w:rsidP="00C72CD4">
      <w:pPr>
        <w:tabs>
          <w:tab w:val="left" w:pos="1440"/>
        </w:tabs>
        <w:spacing w:after="120"/>
        <w:rPr>
          <w:rFonts w:cs="Arial"/>
          <w:szCs w:val="22"/>
        </w:rPr>
      </w:pPr>
      <w:r>
        <w:rPr>
          <w:rFonts w:cs="Arial"/>
          <w:szCs w:val="22"/>
        </w:rPr>
        <w:t>GDA</w:t>
      </w:r>
      <w:r>
        <w:rPr>
          <w:rFonts w:cs="Arial"/>
          <w:szCs w:val="22"/>
        </w:rPr>
        <w:tab/>
        <w:t>Generic Design Assessment</w:t>
      </w:r>
    </w:p>
    <w:p w14:paraId="3B88D426" w14:textId="77777777" w:rsidR="00C72CD4" w:rsidRDefault="00C72CD4" w:rsidP="00C72CD4">
      <w:pPr>
        <w:tabs>
          <w:tab w:val="left" w:pos="1440"/>
        </w:tabs>
        <w:spacing w:after="120"/>
        <w:rPr>
          <w:rFonts w:cs="Arial"/>
          <w:szCs w:val="22"/>
        </w:rPr>
      </w:pPr>
      <w:r w:rsidRPr="00AB5218">
        <w:rPr>
          <w:rFonts w:cs="Arial"/>
          <w:szCs w:val="22"/>
        </w:rPr>
        <w:t>IAEA</w:t>
      </w:r>
      <w:r w:rsidRPr="00AB5218">
        <w:rPr>
          <w:rFonts w:cs="Arial"/>
          <w:szCs w:val="22"/>
        </w:rPr>
        <w:tab/>
        <w:t>International Atomic Energy Agency</w:t>
      </w:r>
    </w:p>
    <w:p w14:paraId="0B3F9A23" w14:textId="77777777" w:rsidR="00C72CD4" w:rsidRDefault="00C72CD4" w:rsidP="00C72CD4">
      <w:pPr>
        <w:tabs>
          <w:tab w:val="left" w:pos="1440"/>
        </w:tabs>
        <w:spacing w:after="120"/>
        <w:rPr>
          <w:rFonts w:cs="Arial"/>
          <w:szCs w:val="22"/>
        </w:rPr>
      </w:pPr>
      <w:r>
        <w:rPr>
          <w:rFonts w:cs="Arial"/>
          <w:szCs w:val="22"/>
        </w:rPr>
        <w:t>IEC</w:t>
      </w:r>
      <w:r>
        <w:rPr>
          <w:rFonts w:cs="Arial"/>
          <w:szCs w:val="22"/>
        </w:rPr>
        <w:tab/>
      </w:r>
      <w:r w:rsidRPr="00252803">
        <w:rPr>
          <w:rFonts w:cs="Arial"/>
          <w:szCs w:val="22"/>
        </w:rPr>
        <w:t>International Electrotechnical Commission</w:t>
      </w:r>
    </w:p>
    <w:p w14:paraId="2208EC83" w14:textId="77777777" w:rsidR="00C72CD4" w:rsidRDefault="00C72CD4" w:rsidP="00C72CD4">
      <w:pPr>
        <w:tabs>
          <w:tab w:val="left" w:pos="1440"/>
        </w:tabs>
        <w:spacing w:after="120"/>
        <w:rPr>
          <w:rFonts w:cs="Arial"/>
          <w:szCs w:val="22"/>
        </w:rPr>
      </w:pPr>
      <w:r>
        <w:rPr>
          <w:rFonts w:cs="Arial"/>
          <w:szCs w:val="22"/>
        </w:rPr>
        <w:t>IET</w:t>
      </w:r>
      <w:r>
        <w:rPr>
          <w:rFonts w:cs="Arial"/>
          <w:szCs w:val="22"/>
        </w:rPr>
        <w:tab/>
        <w:t>Institution of Engineering and Technology</w:t>
      </w:r>
    </w:p>
    <w:p w14:paraId="4B660F1E" w14:textId="77777777" w:rsidR="00C72CD4" w:rsidRDefault="00C72CD4" w:rsidP="00C72CD4">
      <w:pPr>
        <w:tabs>
          <w:tab w:val="left" w:pos="1440"/>
        </w:tabs>
        <w:spacing w:after="120"/>
        <w:rPr>
          <w:rFonts w:cs="Arial"/>
          <w:szCs w:val="22"/>
        </w:rPr>
      </w:pPr>
      <w:r>
        <w:rPr>
          <w:rFonts w:cs="Arial"/>
          <w:szCs w:val="22"/>
        </w:rPr>
        <w:t>ONR</w:t>
      </w:r>
      <w:r>
        <w:rPr>
          <w:rFonts w:cs="Arial"/>
          <w:szCs w:val="22"/>
        </w:rPr>
        <w:tab/>
        <w:t>Office for Nuclear Regulation</w:t>
      </w:r>
    </w:p>
    <w:p w14:paraId="255ECE36" w14:textId="77777777" w:rsidR="00C72CD4" w:rsidRPr="00AB5218" w:rsidRDefault="00C72CD4" w:rsidP="00C72CD4">
      <w:pPr>
        <w:tabs>
          <w:tab w:val="left" w:pos="1440"/>
        </w:tabs>
        <w:spacing w:after="120"/>
        <w:rPr>
          <w:rFonts w:cs="Arial"/>
          <w:szCs w:val="22"/>
        </w:rPr>
      </w:pPr>
      <w:r w:rsidRPr="00AB5218">
        <w:rPr>
          <w:rFonts w:cs="Arial"/>
          <w:szCs w:val="22"/>
        </w:rPr>
        <w:t>SAP</w:t>
      </w:r>
      <w:r w:rsidRPr="00AB5218">
        <w:rPr>
          <w:rFonts w:cs="Arial"/>
          <w:szCs w:val="22"/>
        </w:rPr>
        <w:tab/>
        <w:t>Safety Assessment Principle(s)</w:t>
      </w:r>
    </w:p>
    <w:p w14:paraId="4119BF11" w14:textId="77777777" w:rsidR="00C72CD4" w:rsidRPr="00AB5218" w:rsidRDefault="00C72CD4" w:rsidP="00C72CD4">
      <w:pPr>
        <w:tabs>
          <w:tab w:val="left" w:pos="1440"/>
        </w:tabs>
        <w:spacing w:after="120"/>
        <w:rPr>
          <w:rFonts w:cs="Arial"/>
          <w:szCs w:val="22"/>
        </w:rPr>
      </w:pPr>
      <w:proofErr w:type="spellStart"/>
      <w:r w:rsidRPr="00AB5218">
        <w:rPr>
          <w:rFonts w:cs="Arial"/>
          <w:szCs w:val="22"/>
        </w:rPr>
        <w:t>SyAP</w:t>
      </w:r>
      <w:proofErr w:type="spellEnd"/>
      <w:r w:rsidRPr="00AB5218">
        <w:rPr>
          <w:rFonts w:cs="Arial"/>
          <w:szCs w:val="22"/>
        </w:rPr>
        <w:tab/>
      </w:r>
      <w:r w:rsidRPr="00AB5218">
        <w:rPr>
          <w:rFonts w:cs="Arial"/>
          <w:iCs/>
          <w:szCs w:val="22"/>
        </w:rPr>
        <w:t>Security Assessment Principle</w:t>
      </w:r>
      <w:r w:rsidR="00B22051">
        <w:rPr>
          <w:rFonts w:cs="Arial"/>
          <w:iCs/>
          <w:szCs w:val="22"/>
        </w:rPr>
        <w:t>(</w:t>
      </w:r>
      <w:r w:rsidRPr="00AB5218">
        <w:rPr>
          <w:rFonts w:cs="Arial"/>
          <w:iCs/>
          <w:szCs w:val="22"/>
        </w:rPr>
        <w:t>s</w:t>
      </w:r>
      <w:r w:rsidR="00B22051">
        <w:rPr>
          <w:rFonts w:cs="Arial"/>
          <w:iCs/>
          <w:szCs w:val="22"/>
        </w:rPr>
        <w:t>)</w:t>
      </w:r>
    </w:p>
    <w:p w14:paraId="13C3B3AA" w14:textId="77777777" w:rsidR="00C72CD4" w:rsidRDefault="00C72CD4" w:rsidP="00C72CD4">
      <w:pPr>
        <w:tabs>
          <w:tab w:val="left" w:pos="1440"/>
        </w:tabs>
        <w:spacing w:after="120"/>
        <w:rPr>
          <w:rFonts w:cs="Arial"/>
          <w:szCs w:val="22"/>
        </w:rPr>
      </w:pPr>
      <w:r w:rsidRPr="00AB5218">
        <w:rPr>
          <w:rFonts w:cs="Arial"/>
          <w:szCs w:val="22"/>
        </w:rPr>
        <w:t>SFAIRP</w:t>
      </w:r>
      <w:r w:rsidRPr="00AB5218">
        <w:rPr>
          <w:rFonts w:cs="Arial"/>
          <w:szCs w:val="22"/>
        </w:rPr>
        <w:tab/>
        <w:t>So far as is reasonably practicable</w:t>
      </w:r>
    </w:p>
    <w:p w14:paraId="55D034FB" w14:textId="77777777" w:rsidR="00C72CD4" w:rsidRPr="00AB5218" w:rsidRDefault="00C72CD4" w:rsidP="00C72CD4">
      <w:pPr>
        <w:tabs>
          <w:tab w:val="left" w:pos="1440"/>
        </w:tabs>
        <w:spacing w:after="120"/>
        <w:rPr>
          <w:rFonts w:cs="Arial"/>
          <w:szCs w:val="22"/>
        </w:rPr>
      </w:pPr>
      <w:r w:rsidRPr="00AB5218">
        <w:rPr>
          <w:rFonts w:cs="Arial"/>
          <w:szCs w:val="22"/>
        </w:rPr>
        <w:t>SSC</w:t>
      </w:r>
      <w:r w:rsidRPr="00AB5218">
        <w:rPr>
          <w:rFonts w:cs="Arial"/>
          <w:szCs w:val="22"/>
        </w:rPr>
        <w:tab/>
        <w:t>Structure, System and Component</w:t>
      </w:r>
    </w:p>
    <w:p w14:paraId="2F8D722D" w14:textId="77777777" w:rsidR="00C72CD4" w:rsidRPr="00AB5218" w:rsidRDefault="00C72CD4" w:rsidP="00C72CD4">
      <w:pPr>
        <w:tabs>
          <w:tab w:val="left" w:pos="1440"/>
        </w:tabs>
        <w:spacing w:after="120"/>
        <w:rPr>
          <w:rFonts w:cs="Arial"/>
          <w:szCs w:val="22"/>
        </w:rPr>
      </w:pPr>
      <w:r w:rsidRPr="00AB5218">
        <w:rPr>
          <w:rFonts w:cs="Arial"/>
          <w:szCs w:val="22"/>
        </w:rPr>
        <w:t>TAG</w:t>
      </w:r>
      <w:r w:rsidRPr="00AB5218">
        <w:rPr>
          <w:rFonts w:cs="Arial"/>
          <w:szCs w:val="22"/>
        </w:rPr>
        <w:tab/>
        <w:t>Technical Assessment Guide(s)</w:t>
      </w:r>
    </w:p>
    <w:p w14:paraId="6061FEE3" w14:textId="77777777" w:rsidR="009B5159" w:rsidRPr="00AB5218" w:rsidRDefault="00C72CD4" w:rsidP="00C72CD4">
      <w:pPr>
        <w:rPr>
          <w:rFonts w:cs="Arial"/>
          <w:szCs w:val="22"/>
        </w:rPr>
      </w:pPr>
      <w:r w:rsidRPr="00AB5218">
        <w:rPr>
          <w:rFonts w:cs="Arial"/>
          <w:szCs w:val="22"/>
        </w:rPr>
        <w:t>WENRA</w:t>
      </w:r>
      <w:r w:rsidRPr="00AB5218">
        <w:rPr>
          <w:rFonts w:cs="Arial"/>
          <w:szCs w:val="22"/>
        </w:rPr>
        <w:tab/>
        <w:t>Western European Nuclear Regulators’ Association</w:t>
      </w:r>
    </w:p>
    <w:p w14:paraId="2A7C42CD" w14:textId="77777777" w:rsidR="005E13C2" w:rsidRPr="00AB5218" w:rsidRDefault="008C6C77" w:rsidP="005E13C2">
      <w:pPr>
        <w:pStyle w:val="TSHeadingNumbered1"/>
        <w:rPr>
          <w:rFonts w:ascii="Arial" w:hAnsi="Arial" w:cs="Arial"/>
          <w:szCs w:val="22"/>
        </w:rPr>
      </w:pPr>
      <w:r w:rsidRPr="00AB5218">
        <w:rPr>
          <w:rFonts w:ascii="Arial" w:hAnsi="Arial" w:cs="Arial"/>
          <w:szCs w:val="22"/>
        </w:rPr>
        <w:br w:type="page"/>
      </w:r>
      <w:bookmarkStart w:id="1" w:name="_Toc41564451"/>
      <w:r w:rsidR="009B5159" w:rsidRPr="00AB5218">
        <w:rPr>
          <w:rFonts w:ascii="Arial" w:hAnsi="Arial" w:cs="Arial"/>
          <w:szCs w:val="22"/>
        </w:rPr>
        <w:lastRenderedPageBreak/>
        <w:t>INTRODUCTION</w:t>
      </w:r>
      <w:bookmarkEnd w:id="1"/>
    </w:p>
    <w:p w14:paraId="7C1B815E" w14:textId="77777777" w:rsidR="009B5159" w:rsidRPr="00AB5218" w:rsidRDefault="002365F6" w:rsidP="00BF2E30">
      <w:pPr>
        <w:numPr>
          <w:ilvl w:val="0"/>
          <w:numId w:val="37"/>
        </w:numPr>
        <w:autoSpaceDE w:val="0"/>
        <w:autoSpaceDN w:val="0"/>
        <w:adjustRightInd w:val="0"/>
        <w:rPr>
          <w:rFonts w:cs="Arial"/>
          <w:szCs w:val="22"/>
        </w:rPr>
      </w:pPr>
      <w:r w:rsidRPr="00AB5218">
        <w:rPr>
          <w:rFonts w:cs="Arial"/>
          <w:szCs w:val="22"/>
          <w:lang w:eastAsia="en-GB"/>
        </w:rPr>
        <w:t xml:space="preserve">The Office for Nuclear Regulation (ONR) has established </w:t>
      </w:r>
      <w:r w:rsidR="009210B0" w:rsidRPr="00AB5218">
        <w:rPr>
          <w:rFonts w:cs="Arial"/>
          <w:szCs w:val="22"/>
          <w:lang w:eastAsia="en-GB"/>
        </w:rPr>
        <w:t>its</w:t>
      </w:r>
      <w:r w:rsidRPr="00AB5218">
        <w:rPr>
          <w:rFonts w:cs="Arial"/>
          <w:szCs w:val="22"/>
          <w:lang w:eastAsia="en-GB"/>
        </w:rPr>
        <w:t xml:space="preserve"> Safety Assessment Principles (</w:t>
      </w:r>
      <w:r w:rsidR="001C0DF6">
        <w:rPr>
          <w:rFonts w:cs="Arial"/>
          <w:szCs w:val="22"/>
          <w:lang w:eastAsia="en-GB"/>
        </w:rPr>
        <w:t>SAP</w:t>
      </w:r>
      <w:r w:rsidR="001F0697">
        <w:rPr>
          <w:rFonts w:cs="Arial"/>
          <w:szCs w:val="22"/>
          <w:lang w:eastAsia="en-GB"/>
        </w:rPr>
        <w:t>s</w:t>
      </w:r>
      <w:r w:rsidRPr="00BA453C">
        <w:rPr>
          <w:rFonts w:cs="Arial"/>
          <w:szCs w:val="22"/>
          <w:lang w:eastAsia="en-GB"/>
        </w:rPr>
        <w:t>) [</w:t>
      </w:r>
      <w:r w:rsidR="00B33119" w:rsidRPr="00BA453C">
        <w:rPr>
          <w:rFonts w:cs="Arial"/>
          <w:szCs w:val="22"/>
          <w:lang w:eastAsia="en-GB"/>
        </w:rPr>
        <w:t>1</w:t>
      </w:r>
      <w:r w:rsidRPr="00BA453C">
        <w:rPr>
          <w:rFonts w:cs="Arial"/>
          <w:szCs w:val="22"/>
          <w:lang w:eastAsia="en-GB"/>
        </w:rPr>
        <w:t>],</w:t>
      </w:r>
      <w:r w:rsidRPr="00AB5218">
        <w:rPr>
          <w:rFonts w:cs="Arial"/>
          <w:szCs w:val="22"/>
          <w:lang w:eastAsia="en-GB"/>
        </w:rPr>
        <w:t xml:space="preserve"> which apply to the assessment by ONR inspectors of safety cases produced for nuclear facilities by Licensees</w:t>
      </w:r>
      <w:r w:rsidR="00362D57" w:rsidRPr="00AB5218">
        <w:rPr>
          <w:rStyle w:val="FootnoteReference"/>
          <w:rFonts w:cs="Arial"/>
          <w:szCs w:val="22"/>
          <w:lang w:eastAsia="en-GB"/>
        </w:rPr>
        <w:footnoteReference w:id="1"/>
      </w:r>
      <w:r w:rsidRPr="00AB5218">
        <w:rPr>
          <w:rFonts w:cs="Arial"/>
          <w:szCs w:val="22"/>
          <w:lang w:eastAsia="en-GB"/>
        </w:rPr>
        <w:t xml:space="preserve">. The principles presented in the </w:t>
      </w:r>
      <w:r w:rsidR="001C0DF6">
        <w:rPr>
          <w:rFonts w:cs="Arial"/>
          <w:szCs w:val="22"/>
          <w:lang w:eastAsia="en-GB"/>
        </w:rPr>
        <w:t>SAP</w:t>
      </w:r>
      <w:r w:rsidR="001F0697">
        <w:rPr>
          <w:rFonts w:cs="Arial"/>
          <w:szCs w:val="22"/>
          <w:lang w:eastAsia="en-GB"/>
        </w:rPr>
        <w:t>s</w:t>
      </w:r>
      <w:r w:rsidRPr="00AB5218">
        <w:rPr>
          <w:rFonts w:cs="Arial"/>
          <w:szCs w:val="22"/>
          <w:lang w:eastAsia="en-GB"/>
        </w:rPr>
        <w:t xml:space="preserve"> are supported by a suite of guides to further assist ONR inspectors make regulatory judgements and decisions. This Technical Assessment Guide (TAG) is one of these guides.</w:t>
      </w:r>
    </w:p>
    <w:p w14:paraId="463EFD9E" w14:textId="77777777" w:rsidR="001F0697" w:rsidRDefault="001F0697" w:rsidP="0027599D">
      <w:pPr>
        <w:pStyle w:val="TSHeadingNumbered1"/>
        <w:numPr>
          <w:ilvl w:val="0"/>
          <w:numId w:val="0"/>
        </w:numPr>
        <w:spacing w:after="0"/>
        <w:ind w:left="720"/>
        <w:rPr>
          <w:rFonts w:ascii="Arial" w:hAnsi="Arial" w:cs="Arial"/>
          <w:szCs w:val="22"/>
        </w:rPr>
      </w:pPr>
      <w:bookmarkStart w:id="2" w:name="_Toc38353562"/>
      <w:bookmarkStart w:id="3" w:name="_Toc38355055"/>
      <w:bookmarkEnd w:id="2"/>
      <w:bookmarkEnd w:id="3"/>
    </w:p>
    <w:p w14:paraId="799463A5" w14:textId="77777777" w:rsidR="009B5159" w:rsidRPr="00AB5218" w:rsidRDefault="009B5159" w:rsidP="00F115E1">
      <w:pPr>
        <w:pStyle w:val="TSHeadingNumbered1"/>
        <w:numPr>
          <w:ilvl w:val="0"/>
          <w:numId w:val="40"/>
        </w:numPr>
      </w:pPr>
      <w:bookmarkStart w:id="4" w:name="_Toc41564452"/>
      <w:r w:rsidRPr="00AB5218">
        <w:t>PURPOSE AND SCOPE</w:t>
      </w:r>
      <w:bookmarkEnd w:id="4"/>
    </w:p>
    <w:p w14:paraId="4CBFBB8F" w14:textId="77777777" w:rsidR="00913AC9" w:rsidRPr="00AB5218" w:rsidRDefault="00913AC9" w:rsidP="002365F6">
      <w:pPr>
        <w:numPr>
          <w:ilvl w:val="0"/>
          <w:numId w:val="37"/>
        </w:numPr>
        <w:autoSpaceDE w:val="0"/>
        <w:autoSpaceDN w:val="0"/>
        <w:adjustRightInd w:val="0"/>
        <w:rPr>
          <w:rFonts w:cs="Arial"/>
          <w:szCs w:val="22"/>
          <w:lang w:eastAsia="en-GB"/>
        </w:rPr>
      </w:pPr>
      <w:r w:rsidRPr="00AB5218">
        <w:rPr>
          <w:rFonts w:cs="Arial"/>
          <w:szCs w:val="22"/>
          <w:lang w:eastAsia="en-GB"/>
        </w:rPr>
        <w:t>The purpose of this TAG is to provide additional guidance for applying safety assessment principles (SAP</w:t>
      </w:r>
      <w:r w:rsidR="0030359B">
        <w:rPr>
          <w:rFonts w:cs="Arial"/>
          <w:szCs w:val="22"/>
          <w:lang w:eastAsia="en-GB"/>
        </w:rPr>
        <w:t>s</w:t>
      </w:r>
      <w:r w:rsidRPr="00BA453C">
        <w:rPr>
          <w:rFonts w:cs="Arial"/>
          <w:szCs w:val="22"/>
          <w:lang w:eastAsia="en-GB"/>
        </w:rPr>
        <w:t xml:space="preserve">) </w:t>
      </w:r>
      <w:r w:rsidR="00B33119" w:rsidRPr="00BA453C">
        <w:rPr>
          <w:rFonts w:cs="Arial"/>
          <w:szCs w:val="22"/>
          <w:lang w:eastAsia="en-GB"/>
        </w:rPr>
        <w:t>[1]</w:t>
      </w:r>
      <w:r w:rsidRPr="00AB5218">
        <w:rPr>
          <w:rFonts w:cs="Arial"/>
          <w:szCs w:val="22"/>
          <w:lang w:eastAsia="en-GB"/>
        </w:rPr>
        <w:t xml:space="preserve">, with </w:t>
      </w:r>
      <w:proofErr w:type="gramStart"/>
      <w:r w:rsidRPr="00AB5218">
        <w:rPr>
          <w:rFonts w:cs="Arial"/>
          <w:szCs w:val="22"/>
          <w:lang w:eastAsia="en-GB"/>
        </w:rPr>
        <w:t>particular reference</w:t>
      </w:r>
      <w:proofErr w:type="gramEnd"/>
      <w:r w:rsidRPr="00AB5218">
        <w:rPr>
          <w:rFonts w:cs="Arial"/>
          <w:szCs w:val="22"/>
          <w:lang w:eastAsia="en-GB"/>
        </w:rPr>
        <w:t xml:space="preserve"> to </w:t>
      </w:r>
      <w:r w:rsidR="00860D44">
        <w:rPr>
          <w:rFonts w:cs="Arial"/>
          <w:szCs w:val="22"/>
          <w:lang w:eastAsia="en-GB"/>
        </w:rPr>
        <w:t xml:space="preserve">the resilience of </w:t>
      </w:r>
      <w:r w:rsidRPr="00AB5218">
        <w:rPr>
          <w:rFonts w:cs="Arial"/>
          <w:szCs w:val="22"/>
          <w:lang w:eastAsia="en-GB"/>
        </w:rPr>
        <w:t>electrical, electronic, and programmable electronic (E/E/PE) systems</w:t>
      </w:r>
      <w:r w:rsidR="00860D44">
        <w:rPr>
          <w:rFonts w:cs="Arial"/>
          <w:szCs w:val="22"/>
          <w:lang w:eastAsia="en-GB"/>
        </w:rPr>
        <w:t>, including safety systems, to</w:t>
      </w:r>
      <w:r w:rsidR="00A02179">
        <w:rPr>
          <w:rFonts w:cs="Arial"/>
          <w:szCs w:val="22"/>
          <w:lang w:eastAsia="en-GB"/>
        </w:rPr>
        <w:t xml:space="preserve"> </w:t>
      </w:r>
      <w:r w:rsidR="00AE1FDA">
        <w:rPr>
          <w:rFonts w:cs="Arial"/>
          <w:szCs w:val="22"/>
          <w:lang w:eastAsia="en-GB"/>
        </w:rPr>
        <w:t>electromagnetic interference</w:t>
      </w:r>
      <w:r w:rsidR="00440AF2">
        <w:rPr>
          <w:rFonts w:cs="Arial"/>
          <w:szCs w:val="22"/>
          <w:lang w:eastAsia="en-GB"/>
        </w:rPr>
        <w:t xml:space="preserve"> (EMI)</w:t>
      </w:r>
      <w:r w:rsidRPr="00AB5218">
        <w:rPr>
          <w:rFonts w:cs="Arial"/>
          <w:szCs w:val="22"/>
          <w:lang w:eastAsia="en-GB"/>
        </w:rPr>
        <w:t>.</w:t>
      </w:r>
    </w:p>
    <w:p w14:paraId="728B3849" w14:textId="77777777" w:rsidR="002365F6" w:rsidRPr="00AB5218" w:rsidRDefault="002365F6" w:rsidP="002365F6">
      <w:pPr>
        <w:autoSpaceDE w:val="0"/>
        <w:autoSpaceDN w:val="0"/>
        <w:adjustRightInd w:val="0"/>
        <w:ind w:left="720"/>
        <w:rPr>
          <w:rFonts w:cs="Arial"/>
          <w:szCs w:val="22"/>
          <w:lang w:eastAsia="en-GB"/>
        </w:rPr>
      </w:pPr>
    </w:p>
    <w:p w14:paraId="61FB3277" w14:textId="77777777" w:rsidR="005E5B5B" w:rsidRDefault="001F0697" w:rsidP="00F115E1">
      <w:pPr>
        <w:autoSpaceDE w:val="0"/>
        <w:autoSpaceDN w:val="0"/>
        <w:adjustRightInd w:val="0"/>
        <w:ind w:left="709" w:hanging="709"/>
        <w:rPr>
          <w:rFonts w:cs="Arial"/>
          <w:szCs w:val="22"/>
          <w:lang w:eastAsia="en-GB"/>
        </w:rPr>
      </w:pPr>
      <w:r>
        <w:rPr>
          <w:rFonts w:cs="Arial"/>
          <w:szCs w:val="22"/>
          <w:lang w:eastAsia="en-GB"/>
        </w:rPr>
        <w:t xml:space="preserve">2.2 </w:t>
      </w:r>
      <w:r>
        <w:rPr>
          <w:rFonts w:cs="Arial"/>
          <w:szCs w:val="22"/>
          <w:lang w:eastAsia="en-GB"/>
        </w:rPr>
        <w:tab/>
      </w:r>
      <w:r w:rsidR="00913AC9" w:rsidRPr="00AB5218">
        <w:rPr>
          <w:rFonts w:cs="Arial"/>
          <w:szCs w:val="22"/>
          <w:lang w:eastAsia="en-GB"/>
        </w:rPr>
        <w:t xml:space="preserve">This TAG expands upon the guidance provided by </w:t>
      </w:r>
      <w:r w:rsidR="001C0DF6">
        <w:rPr>
          <w:rFonts w:cs="Arial"/>
          <w:szCs w:val="22"/>
          <w:lang w:eastAsia="en-GB"/>
        </w:rPr>
        <w:t>SAP</w:t>
      </w:r>
      <w:r w:rsidR="0030359B">
        <w:rPr>
          <w:rFonts w:cs="Arial"/>
          <w:szCs w:val="22"/>
          <w:lang w:eastAsia="en-GB"/>
        </w:rPr>
        <w:t>s</w:t>
      </w:r>
      <w:r w:rsidR="00921922">
        <w:rPr>
          <w:rFonts w:cs="Arial"/>
          <w:szCs w:val="22"/>
          <w:lang w:eastAsia="en-GB"/>
        </w:rPr>
        <w:t xml:space="preserve"> </w:t>
      </w:r>
      <w:r w:rsidR="00136C68">
        <w:rPr>
          <w:rFonts w:cs="Arial"/>
          <w:szCs w:val="22"/>
          <w:lang w:eastAsia="en-GB"/>
        </w:rPr>
        <w:t>(</w:t>
      </w:r>
      <w:proofErr w:type="gramStart"/>
      <w:r w:rsidR="00BC152E">
        <w:rPr>
          <w:rFonts w:cs="Arial"/>
          <w:szCs w:val="22"/>
          <w:lang w:eastAsia="en-GB"/>
        </w:rPr>
        <w:t>e.g.</w:t>
      </w:r>
      <w:proofErr w:type="gramEnd"/>
      <w:r w:rsidR="00136C68">
        <w:rPr>
          <w:rFonts w:cs="Arial"/>
          <w:szCs w:val="22"/>
          <w:lang w:eastAsia="en-GB"/>
        </w:rPr>
        <w:t xml:space="preserve"> </w:t>
      </w:r>
      <w:r w:rsidR="00913AC9" w:rsidRPr="00AB5218">
        <w:rPr>
          <w:rFonts w:cs="Arial"/>
          <w:szCs w:val="22"/>
          <w:lang w:eastAsia="en-GB"/>
        </w:rPr>
        <w:t>EHA.10 and ESS.11</w:t>
      </w:r>
      <w:r w:rsidR="00136C68">
        <w:rPr>
          <w:rFonts w:cs="Arial"/>
          <w:szCs w:val="22"/>
          <w:lang w:eastAsia="en-GB"/>
        </w:rPr>
        <w:t>)</w:t>
      </w:r>
      <w:r w:rsidR="00913AC9" w:rsidRPr="00AB5218">
        <w:rPr>
          <w:rFonts w:cs="Arial"/>
          <w:szCs w:val="22"/>
          <w:lang w:eastAsia="en-GB"/>
        </w:rPr>
        <w:t xml:space="preserve"> to assist ONR inspectors in applying judgement when assessing the adequacy of safety cases with respect to </w:t>
      </w:r>
      <w:r w:rsidR="00440AF2">
        <w:rPr>
          <w:rFonts w:cs="Arial"/>
          <w:szCs w:val="22"/>
          <w:lang w:eastAsia="en-GB"/>
        </w:rPr>
        <w:t>EMI</w:t>
      </w:r>
      <w:r w:rsidR="00913AC9" w:rsidRPr="00AB5218">
        <w:rPr>
          <w:rFonts w:cs="Arial"/>
          <w:szCs w:val="22"/>
          <w:lang w:eastAsia="en-GB"/>
        </w:rPr>
        <w:t>. Th</w:t>
      </w:r>
      <w:r w:rsidR="00921922">
        <w:rPr>
          <w:rFonts w:cs="Arial"/>
          <w:szCs w:val="22"/>
          <w:lang w:eastAsia="en-GB"/>
        </w:rPr>
        <w:t>ese</w:t>
      </w:r>
      <w:r w:rsidR="00913AC9" w:rsidRPr="00AB5218">
        <w:rPr>
          <w:rFonts w:cs="Arial"/>
          <w:szCs w:val="22"/>
          <w:lang w:eastAsia="en-GB"/>
        </w:rPr>
        <w:t xml:space="preserve"> </w:t>
      </w:r>
      <w:r w:rsidR="00913AC9" w:rsidRPr="00370F17">
        <w:rPr>
          <w:rFonts w:cs="Arial"/>
          <w:szCs w:val="22"/>
          <w:lang w:eastAsia="en-GB"/>
        </w:rPr>
        <w:t>SAP</w:t>
      </w:r>
      <w:r w:rsidR="005E5B5B" w:rsidRPr="00370F17">
        <w:rPr>
          <w:rFonts w:cs="Arial"/>
          <w:szCs w:val="22"/>
          <w:lang w:eastAsia="en-GB"/>
        </w:rPr>
        <w:t>s are</w:t>
      </w:r>
      <w:r w:rsidR="00913AC9" w:rsidRPr="00370F17">
        <w:rPr>
          <w:rFonts w:cs="Arial"/>
          <w:szCs w:val="22"/>
          <w:lang w:eastAsia="en-GB"/>
        </w:rPr>
        <w:t xml:space="preserve"> supported by other general and plant specific SAPs</w:t>
      </w:r>
      <w:r w:rsidR="00362D57" w:rsidRPr="00370F17">
        <w:rPr>
          <w:rFonts w:cs="Arial"/>
          <w:szCs w:val="22"/>
          <w:lang w:eastAsia="en-GB"/>
        </w:rPr>
        <w:t>.</w:t>
      </w:r>
      <w:r w:rsidR="005E5B5B">
        <w:rPr>
          <w:rFonts w:cs="Arial"/>
          <w:szCs w:val="22"/>
          <w:lang w:eastAsia="en-GB"/>
        </w:rPr>
        <w:t xml:space="preserve">  </w:t>
      </w:r>
      <w:r w:rsidR="005E5B5B" w:rsidRPr="005E5B5B">
        <w:rPr>
          <w:rFonts w:cs="Arial"/>
          <w:szCs w:val="22"/>
          <w:lang w:eastAsia="en-GB"/>
        </w:rPr>
        <w:t>Other relevant technical</w:t>
      </w:r>
      <w:r w:rsidR="005E5B5B" w:rsidRPr="00DB1C33">
        <w:rPr>
          <w:rFonts w:cs="Arial"/>
          <w:szCs w:val="22"/>
          <w:lang w:eastAsia="en-GB"/>
        </w:rPr>
        <w:t xml:space="preserve"> assessment guide</w:t>
      </w:r>
      <w:r w:rsidR="005E5B5B">
        <w:rPr>
          <w:rFonts w:cs="Arial"/>
          <w:szCs w:val="22"/>
          <w:lang w:eastAsia="en-GB"/>
        </w:rPr>
        <w:t>s include:</w:t>
      </w:r>
    </w:p>
    <w:p w14:paraId="7CCBF96F" w14:textId="77777777" w:rsidR="005E5B5B" w:rsidRDefault="005E5B5B" w:rsidP="005E5B5B">
      <w:pPr>
        <w:pStyle w:val="ListParagraph"/>
        <w:rPr>
          <w:rFonts w:cs="Arial"/>
          <w:szCs w:val="22"/>
          <w:lang w:eastAsia="en-GB"/>
        </w:rPr>
      </w:pPr>
    </w:p>
    <w:p w14:paraId="382D2158" w14:textId="77777777" w:rsidR="005E5B5B" w:rsidRDefault="005E5B5B" w:rsidP="005E5B5B">
      <w:pPr>
        <w:pStyle w:val="TSBullet1Square"/>
        <w:rPr>
          <w:lang w:eastAsia="en-GB"/>
        </w:rPr>
      </w:pPr>
      <w:r w:rsidRPr="00DB1C33">
        <w:rPr>
          <w:lang w:eastAsia="en-GB"/>
        </w:rPr>
        <w:t xml:space="preserve">NS-TAST-GD-003 </w:t>
      </w:r>
      <w:r>
        <w:rPr>
          <w:lang w:eastAsia="en-GB"/>
        </w:rPr>
        <w:t xml:space="preserve">[3] </w:t>
      </w:r>
      <w:r w:rsidRPr="00DB1C33">
        <w:rPr>
          <w:lang w:eastAsia="en-GB"/>
        </w:rPr>
        <w:t xml:space="preserve">addresses safety systems in general. </w:t>
      </w:r>
    </w:p>
    <w:p w14:paraId="3664F6ED" w14:textId="77777777" w:rsidR="005E5B5B" w:rsidRPr="00A9227A" w:rsidRDefault="005E5B5B" w:rsidP="005E5B5B">
      <w:pPr>
        <w:pStyle w:val="TSBullet1Square"/>
        <w:rPr>
          <w:lang w:eastAsia="en-GB"/>
        </w:rPr>
      </w:pPr>
      <w:r w:rsidRPr="00A9227A">
        <w:rPr>
          <w:lang w:eastAsia="en-GB"/>
        </w:rPr>
        <w:t>NS-TAST-GD-01</w:t>
      </w:r>
      <w:r>
        <w:rPr>
          <w:lang w:eastAsia="en-GB"/>
        </w:rPr>
        <w:t>3</w:t>
      </w:r>
      <w:r w:rsidRPr="00A9227A">
        <w:rPr>
          <w:lang w:eastAsia="en-GB"/>
        </w:rPr>
        <w:t xml:space="preserve"> </w:t>
      </w:r>
      <w:r>
        <w:rPr>
          <w:lang w:eastAsia="en-GB"/>
        </w:rPr>
        <w:t xml:space="preserve">[6] </w:t>
      </w:r>
      <w:r w:rsidRPr="00A9227A">
        <w:rPr>
          <w:lang w:eastAsia="en-GB"/>
        </w:rPr>
        <w:t xml:space="preserve">address matters relevant to </w:t>
      </w:r>
      <w:r>
        <w:rPr>
          <w:lang w:eastAsia="en-GB"/>
        </w:rPr>
        <w:t>Ex</w:t>
      </w:r>
      <w:r w:rsidRPr="00A9227A">
        <w:rPr>
          <w:lang w:eastAsia="en-GB"/>
        </w:rPr>
        <w:t>ternal Hazards, including EMI.</w:t>
      </w:r>
    </w:p>
    <w:p w14:paraId="5A61A049" w14:textId="77777777" w:rsidR="005E5B5B" w:rsidRDefault="005E5B5B" w:rsidP="005E5B5B">
      <w:pPr>
        <w:pStyle w:val="TSBullet1Square"/>
        <w:rPr>
          <w:lang w:eastAsia="en-GB"/>
        </w:rPr>
      </w:pPr>
      <w:r w:rsidRPr="00DB1C33">
        <w:rPr>
          <w:lang w:eastAsia="en-GB"/>
        </w:rPr>
        <w:t>NS-TAST-GD-0</w:t>
      </w:r>
      <w:r>
        <w:rPr>
          <w:lang w:eastAsia="en-GB"/>
        </w:rPr>
        <w:t>14</w:t>
      </w:r>
      <w:r w:rsidRPr="00DB1C33">
        <w:rPr>
          <w:lang w:eastAsia="en-GB"/>
        </w:rPr>
        <w:t xml:space="preserve"> </w:t>
      </w:r>
      <w:r>
        <w:rPr>
          <w:lang w:eastAsia="en-GB"/>
        </w:rPr>
        <w:t>[20] address matters relevant to Internal Hazards, including EMI.</w:t>
      </w:r>
    </w:p>
    <w:p w14:paraId="6E4F0794" w14:textId="77777777" w:rsidR="003D4DE5" w:rsidRPr="00AB5218" w:rsidRDefault="001F0697" w:rsidP="00F115E1">
      <w:pPr>
        <w:autoSpaceDE w:val="0"/>
        <w:autoSpaceDN w:val="0"/>
        <w:adjustRightInd w:val="0"/>
        <w:ind w:left="709" w:hanging="709"/>
        <w:rPr>
          <w:rFonts w:cs="Arial"/>
          <w:szCs w:val="22"/>
          <w:lang w:eastAsia="en-GB"/>
        </w:rPr>
      </w:pPr>
      <w:r>
        <w:rPr>
          <w:rFonts w:cs="Arial"/>
          <w:szCs w:val="22"/>
          <w:lang w:eastAsia="en-GB"/>
        </w:rPr>
        <w:t xml:space="preserve">2.3 </w:t>
      </w:r>
      <w:r>
        <w:rPr>
          <w:rFonts w:cs="Arial"/>
          <w:szCs w:val="22"/>
          <w:lang w:eastAsia="en-GB"/>
        </w:rPr>
        <w:tab/>
      </w:r>
      <w:r w:rsidR="00913AC9" w:rsidRPr="007610E5">
        <w:rPr>
          <w:rFonts w:cs="Arial"/>
          <w:szCs w:val="22"/>
          <w:lang w:eastAsia="en-GB"/>
        </w:rPr>
        <w:t xml:space="preserve">The focus of this TAG is EMI and its potential impact on the performance of </w:t>
      </w:r>
      <w:r w:rsidR="00440AF2" w:rsidRPr="007610E5">
        <w:rPr>
          <w:rFonts w:cs="Arial"/>
          <w:szCs w:val="22"/>
          <w:lang w:eastAsia="en-GB"/>
        </w:rPr>
        <w:t>E/E/PE</w:t>
      </w:r>
      <w:r w:rsidR="00913AC9" w:rsidRPr="007610E5">
        <w:rPr>
          <w:rFonts w:cs="Arial"/>
          <w:szCs w:val="22"/>
          <w:lang w:eastAsia="en-GB"/>
        </w:rPr>
        <w:t xml:space="preserve"> systems</w:t>
      </w:r>
      <w:r w:rsidR="00136C68" w:rsidRPr="007610E5">
        <w:rPr>
          <w:rFonts w:cs="Arial"/>
          <w:szCs w:val="22"/>
          <w:lang w:eastAsia="en-GB"/>
        </w:rPr>
        <w:t xml:space="preserve"> (including safety systems)</w:t>
      </w:r>
      <w:r w:rsidR="00913AC9" w:rsidRPr="007610E5">
        <w:rPr>
          <w:rFonts w:cs="Arial"/>
          <w:szCs w:val="22"/>
          <w:lang w:eastAsia="en-GB"/>
        </w:rPr>
        <w:t xml:space="preserve"> within nuclear </w:t>
      </w:r>
      <w:r w:rsidR="00362D57" w:rsidRPr="007610E5">
        <w:rPr>
          <w:rFonts w:cs="Arial"/>
          <w:szCs w:val="22"/>
          <w:lang w:eastAsia="en-GB"/>
        </w:rPr>
        <w:t xml:space="preserve">facilities. </w:t>
      </w:r>
      <w:r w:rsidR="00913AC9" w:rsidRPr="007610E5">
        <w:rPr>
          <w:rFonts w:cs="Arial"/>
          <w:szCs w:val="22"/>
          <w:lang w:eastAsia="en-GB"/>
        </w:rPr>
        <w:t>Other aspects of facility design relating to natural phenomena (</w:t>
      </w:r>
      <w:proofErr w:type="gramStart"/>
      <w:r w:rsidR="00913AC9" w:rsidRPr="007610E5">
        <w:rPr>
          <w:rFonts w:cs="Arial"/>
          <w:szCs w:val="22"/>
          <w:lang w:eastAsia="en-GB"/>
        </w:rPr>
        <w:t>e.g.</w:t>
      </w:r>
      <w:proofErr w:type="gramEnd"/>
      <w:r w:rsidR="00913AC9" w:rsidRPr="007610E5">
        <w:rPr>
          <w:rFonts w:cs="Arial"/>
          <w:szCs w:val="22"/>
          <w:lang w:eastAsia="en-GB"/>
        </w:rPr>
        <w:t xml:space="preserve"> the role of lightning protection systems in preventing fire and other </w:t>
      </w:r>
      <w:r w:rsidR="00606474" w:rsidRPr="007610E5">
        <w:rPr>
          <w:rFonts w:cs="Arial"/>
          <w:szCs w:val="22"/>
          <w:lang w:eastAsia="en-GB"/>
        </w:rPr>
        <w:t xml:space="preserve">direct </w:t>
      </w:r>
      <w:r w:rsidR="00913AC9" w:rsidRPr="007610E5">
        <w:rPr>
          <w:rFonts w:cs="Arial"/>
          <w:szCs w:val="22"/>
          <w:lang w:eastAsia="en-GB"/>
        </w:rPr>
        <w:t>facility damage</w:t>
      </w:r>
      <w:r w:rsidR="00606474" w:rsidRPr="007610E5">
        <w:rPr>
          <w:rFonts w:cs="Arial"/>
          <w:szCs w:val="22"/>
          <w:lang w:eastAsia="en-GB"/>
        </w:rPr>
        <w:t xml:space="preserve"> from lightning</w:t>
      </w:r>
      <w:r w:rsidR="00913AC9" w:rsidRPr="007610E5">
        <w:rPr>
          <w:rFonts w:cs="Arial"/>
          <w:szCs w:val="22"/>
          <w:lang w:eastAsia="en-GB"/>
        </w:rPr>
        <w:t>) are outside the scope of this guidance</w:t>
      </w:r>
      <w:r w:rsidR="006C08FB" w:rsidRPr="007610E5">
        <w:rPr>
          <w:rFonts w:cs="Arial"/>
          <w:szCs w:val="22"/>
          <w:lang w:eastAsia="en-GB"/>
        </w:rPr>
        <w:t>.</w:t>
      </w:r>
      <w:r w:rsidR="00896943" w:rsidRPr="00AB5218">
        <w:rPr>
          <w:rFonts w:cs="Arial"/>
          <w:szCs w:val="22"/>
          <w:lang w:eastAsia="en-GB"/>
        </w:rPr>
        <w:t xml:space="preserve">  </w:t>
      </w:r>
    </w:p>
    <w:p w14:paraId="68E2AAA8" w14:textId="77777777" w:rsidR="00362D57" w:rsidRPr="00AB5218" w:rsidRDefault="00362D57" w:rsidP="00362D57">
      <w:pPr>
        <w:pStyle w:val="ListParagraph"/>
        <w:rPr>
          <w:rFonts w:cs="Arial"/>
          <w:szCs w:val="22"/>
          <w:lang w:eastAsia="en-GB"/>
        </w:rPr>
      </w:pPr>
    </w:p>
    <w:p w14:paraId="5AB9CC77" w14:textId="77777777" w:rsidR="009B5159" w:rsidRPr="00AB5218" w:rsidRDefault="009B5159" w:rsidP="009B5159">
      <w:pPr>
        <w:pStyle w:val="TSHeadingNumbered1"/>
        <w:rPr>
          <w:rFonts w:ascii="Arial" w:hAnsi="Arial" w:cs="Arial"/>
          <w:szCs w:val="22"/>
        </w:rPr>
      </w:pPr>
      <w:bookmarkStart w:id="5" w:name="_Toc41564453"/>
      <w:r w:rsidRPr="00AB5218">
        <w:rPr>
          <w:rFonts w:ascii="Arial" w:hAnsi="Arial" w:cs="Arial"/>
          <w:szCs w:val="22"/>
        </w:rPr>
        <w:t>RELATIONSHIP TO LICENCE AND OTHER RELEVANT LEGISLATION</w:t>
      </w:r>
      <w:bookmarkEnd w:id="5"/>
    </w:p>
    <w:p w14:paraId="24E5DE7A" w14:textId="77777777" w:rsidR="00611FD8" w:rsidRPr="00AB5218" w:rsidRDefault="0016086B" w:rsidP="00362D57">
      <w:pPr>
        <w:numPr>
          <w:ilvl w:val="0"/>
          <w:numId w:val="37"/>
        </w:numPr>
        <w:autoSpaceDE w:val="0"/>
        <w:autoSpaceDN w:val="0"/>
        <w:adjustRightInd w:val="0"/>
        <w:rPr>
          <w:rFonts w:cs="Arial"/>
          <w:szCs w:val="22"/>
        </w:rPr>
      </w:pPr>
      <w:r w:rsidRPr="00AB5218">
        <w:rPr>
          <w:rFonts w:cs="Arial"/>
          <w:szCs w:val="22"/>
          <w:lang w:eastAsia="en-GB"/>
        </w:rPr>
        <w:t xml:space="preserve">Licence Condition (LC) 14 (safety documentation), LC15 (periodic review), LC17 (management systems), LC20 (modification to design of plant under construction), LC22 (modification or experiment on existing plant), LC27 (safety mechanisms, </w:t>
      </w:r>
      <w:proofErr w:type="gramStart"/>
      <w:r w:rsidRPr="00AB5218">
        <w:rPr>
          <w:rFonts w:cs="Arial"/>
          <w:szCs w:val="22"/>
          <w:lang w:eastAsia="en-GB"/>
        </w:rPr>
        <w:t>devices</w:t>
      </w:r>
      <w:proofErr w:type="gramEnd"/>
      <w:r w:rsidRPr="00AB5218">
        <w:rPr>
          <w:rFonts w:cs="Arial"/>
          <w:szCs w:val="22"/>
          <w:lang w:eastAsia="en-GB"/>
        </w:rPr>
        <w:t xml:space="preserve"> and circuits) and LC28 (examination, inspection maintenance and testing) are all relevant.</w:t>
      </w:r>
    </w:p>
    <w:p w14:paraId="2194C1B8" w14:textId="77777777" w:rsidR="00362D57" w:rsidRDefault="00362D57" w:rsidP="00362D57">
      <w:pPr>
        <w:autoSpaceDE w:val="0"/>
        <w:autoSpaceDN w:val="0"/>
        <w:adjustRightInd w:val="0"/>
        <w:ind w:left="720"/>
        <w:rPr>
          <w:rFonts w:cs="Arial"/>
          <w:szCs w:val="22"/>
        </w:rPr>
      </w:pPr>
    </w:p>
    <w:p w14:paraId="62D869B0" w14:textId="77777777" w:rsidR="00F115E1" w:rsidRDefault="00F115E1" w:rsidP="00362D57">
      <w:pPr>
        <w:autoSpaceDE w:val="0"/>
        <w:autoSpaceDN w:val="0"/>
        <w:adjustRightInd w:val="0"/>
        <w:ind w:left="720"/>
        <w:rPr>
          <w:rFonts w:cs="Arial"/>
          <w:szCs w:val="22"/>
        </w:rPr>
      </w:pPr>
    </w:p>
    <w:p w14:paraId="235B6778" w14:textId="77777777" w:rsidR="00F115E1" w:rsidRDefault="00F115E1" w:rsidP="00362D57">
      <w:pPr>
        <w:autoSpaceDE w:val="0"/>
        <w:autoSpaceDN w:val="0"/>
        <w:adjustRightInd w:val="0"/>
        <w:ind w:left="720"/>
        <w:rPr>
          <w:rFonts w:cs="Arial"/>
          <w:szCs w:val="22"/>
        </w:rPr>
      </w:pPr>
    </w:p>
    <w:p w14:paraId="049D3AF8" w14:textId="77777777" w:rsidR="00F115E1" w:rsidRDefault="00F115E1" w:rsidP="00362D57">
      <w:pPr>
        <w:autoSpaceDE w:val="0"/>
        <w:autoSpaceDN w:val="0"/>
        <w:adjustRightInd w:val="0"/>
        <w:ind w:left="720"/>
        <w:rPr>
          <w:rFonts w:cs="Arial"/>
          <w:szCs w:val="22"/>
        </w:rPr>
      </w:pPr>
    </w:p>
    <w:p w14:paraId="1EEBDD70" w14:textId="77777777" w:rsidR="00F115E1" w:rsidRDefault="00F115E1" w:rsidP="00362D57">
      <w:pPr>
        <w:autoSpaceDE w:val="0"/>
        <w:autoSpaceDN w:val="0"/>
        <w:adjustRightInd w:val="0"/>
        <w:ind w:left="720"/>
        <w:rPr>
          <w:rFonts w:cs="Arial"/>
          <w:szCs w:val="22"/>
        </w:rPr>
      </w:pPr>
    </w:p>
    <w:p w14:paraId="599AE502" w14:textId="77777777" w:rsidR="00F115E1" w:rsidRDefault="00F115E1" w:rsidP="00362D57">
      <w:pPr>
        <w:autoSpaceDE w:val="0"/>
        <w:autoSpaceDN w:val="0"/>
        <w:adjustRightInd w:val="0"/>
        <w:ind w:left="720"/>
        <w:rPr>
          <w:rFonts w:cs="Arial"/>
          <w:szCs w:val="22"/>
        </w:rPr>
      </w:pPr>
    </w:p>
    <w:p w14:paraId="265056F8" w14:textId="77777777" w:rsidR="00F115E1" w:rsidRDefault="00F115E1" w:rsidP="00362D57">
      <w:pPr>
        <w:autoSpaceDE w:val="0"/>
        <w:autoSpaceDN w:val="0"/>
        <w:adjustRightInd w:val="0"/>
        <w:ind w:left="720"/>
        <w:rPr>
          <w:rFonts w:cs="Arial"/>
          <w:szCs w:val="22"/>
        </w:rPr>
      </w:pPr>
    </w:p>
    <w:p w14:paraId="73252861" w14:textId="77777777" w:rsidR="00F115E1" w:rsidRDefault="00F115E1" w:rsidP="00362D57">
      <w:pPr>
        <w:autoSpaceDE w:val="0"/>
        <w:autoSpaceDN w:val="0"/>
        <w:adjustRightInd w:val="0"/>
        <w:ind w:left="720"/>
        <w:rPr>
          <w:rFonts w:cs="Arial"/>
          <w:szCs w:val="22"/>
        </w:rPr>
      </w:pPr>
    </w:p>
    <w:p w14:paraId="738B0B98" w14:textId="77777777" w:rsidR="00F115E1" w:rsidRPr="00AB5218" w:rsidRDefault="00F115E1" w:rsidP="00362D57">
      <w:pPr>
        <w:autoSpaceDE w:val="0"/>
        <w:autoSpaceDN w:val="0"/>
        <w:adjustRightInd w:val="0"/>
        <w:ind w:left="720"/>
        <w:rPr>
          <w:rFonts w:cs="Arial"/>
          <w:szCs w:val="22"/>
        </w:rPr>
      </w:pPr>
    </w:p>
    <w:p w14:paraId="3848B7E3" w14:textId="77777777" w:rsidR="009B5159" w:rsidRPr="00AB5218" w:rsidRDefault="009B5159" w:rsidP="00532D01">
      <w:pPr>
        <w:pStyle w:val="TSHeadingNumbered1"/>
        <w:rPr>
          <w:rFonts w:ascii="Arial" w:hAnsi="Arial" w:cs="Arial"/>
          <w:szCs w:val="22"/>
        </w:rPr>
      </w:pPr>
      <w:bookmarkStart w:id="6" w:name="_Toc41564454"/>
      <w:r w:rsidRPr="00AB5218">
        <w:rPr>
          <w:rFonts w:ascii="Arial" w:hAnsi="Arial" w:cs="Arial"/>
          <w:szCs w:val="22"/>
        </w:rPr>
        <w:lastRenderedPageBreak/>
        <w:t>RELATIONSHIP TO SAPS, WENRA REFERENCE LEVELS AND IAEA SAFETY STANDARDS ADDRESSED</w:t>
      </w:r>
      <w:bookmarkEnd w:id="6"/>
    </w:p>
    <w:p w14:paraId="58C34812" w14:textId="77777777" w:rsidR="0016086B" w:rsidRPr="00AB5218" w:rsidRDefault="0016086B" w:rsidP="0016086B">
      <w:pPr>
        <w:pStyle w:val="TSNumberedParagraph11"/>
        <w:ind w:left="720"/>
        <w:rPr>
          <w:rFonts w:cs="Arial"/>
          <w:b/>
          <w:szCs w:val="22"/>
          <w:u w:val="single"/>
        </w:rPr>
      </w:pPr>
      <w:r w:rsidRPr="00AB5218">
        <w:rPr>
          <w:rFonts w:cs="Arial"/>
          <w:b/>
          <w:szCs w:val="22"/>
          <w:u w:val="single"/>
        </w:rPr>
        <w:t>KEY SAFETY ASSESSMENT PRINCIPLES</w:t>
      </w:r>
    </w:p>
    <w:p w14:paraId="56B0B4C0" w14:textId="77777777" w:rsidR="008846F8" w:rsidRPr="00AB5218" w:rsidRDefault="002F45EE" w:rsidP="00362D57">
      <w:pPr>
        <w:numPr>
          <w:ilvl w:val="0"/>
          <w:numId w:val="37"/>
        </w:numPr>
        <w:autoSpaceDE w:val="0"/>
        <w:autoSpaceDN w:val="0"/>
        <w:adjustRightInd w:val="0"/>
        <w:rPr>
          <w:rFonts w:cs="Arial"/>
          <w:szCs w:val="22"/>
        </w:rPr>
      </w:pPr>
      <w:r w:rsidRPr="00AB5218">
        <w:rPr>
          <w:rFonts w:cs="Arial"/>
          <w:szCs w:val="22"/>
          <w:lang w:eastAsia="en-GB"/>
        </w:rPr>
        <w:t xml:space="preserve">SAP </w:t>
      </w:r>
      <w:r w:rsidR="006265AF" w:rsidRPr="00AB5218">
        <w:rPr>
          <w:rFonts w:cs="Arial"/>
          <w:szCs w:val="22"/>
          <w:lang w:eastAsia="en-GB"/>
        </w:rPr>
        <w:t xml:space="preserve">EHA.10 </w:t>
      </w:r>
      <w:r w:rsidR="0016086B" w:rsidRPr="00AB5218">
        <w:rPr>
          <w:rFonts w:cs="Arial"/>
          <w:szCs w:val="22"/>
          <w:lang w:eastAsia="en-GB"/>
        </w:rPr>
        <w:t xml:space="preserve">specially </w:t>
      </w:r>
      <w:r w:rsidR="0079682E" w:rsidRPr="00AB5218">
        <w:rPr>
          <w:rFonts w:cs="Arial"/>
          <w:szCs w:val="22"/>
          <w:lang w:eastAsia="en-GB"/>
        </w:rPr>
        <w:t>addresses</w:t>
      </w:r>
      <w:r w:rsidR="008846F8" w:rsidRPr="00AB5218">
        <w:rPr>
          <w:rFonts w:cs="Arial"/>
          <w:szCs w:val="22"/>
          <w:lang w:eastAsia="en-GB"/>
        </w:rPr>
        <w:t xml:space="preserve"> EMI.</w:t>
      </w:r>
      <w:r w:rsidR="008846F8" w:rsidRPr="00AB5218">
        <w:rPr>
          <w:rFonts w:cs="Arial"/>
          <w:szCs w:val="22"/>
        </w:rPr>
        <w:t xml:space="preserve">  </w:t>
      </w:r>
    </w:p>
    <w:p w14:paraId="54131E43" w14:textId="77777777" w:rsidR="00362D57" w:rsidRPr="00AB5218" w:rsidRDefault="00362D57" w:rsidP="00362D57">
      <w:pPr>
        <w:autoSpaceDE w:val="0"/>
        <w:autoSpaceDN w:val="0"/>
        <w:adjustRightInd w:val="0"/>
        <w:ind w:left="720"/>
        <w:rPr>
          <w:rFonts w:cs="Arial"/>
          <w:szCs w:val="22"/>
        </w:rPr>
      </w:pPr>
    </w:p>
    <w:tbl>
      <w:tblPr>
        <w:tblW w:w="461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167"/>
        <w:gridCol w:w="3972"/>
        <w:gridCol w:w="1443"/>
      </w:tblGrid>
      <w:tr w:rsidR="00B2683E" w:rsidRPr="00AB5218" w14:paraId="085A5D36" w14:textId="77777777" w:rsidTr="002F799F">
        <w:tc>
          <w:tcPr>
            <w:tcW w:w="1845" w:type="pct"/>
            <w:shd w:val="clear" w:color="auto" w:fill="FABF8F"/>
            <w:vAlign w:val="center"/>
          </w:tcPr>
          <w:p w14:paraId="7C7CDB7C" w14:textId="77777777" w:rsidR="00B2683E" w:rsidRPr="00AB5218" w:rsidRDefault="00B2683E" w:rsidP="00CD05BD">
            <w:pPr>
              <w:pStyle w:val="Heading9"/>
              <w:numPr>
                <w:ilvl w:val="0"/>
                <w:numId w:val="0"/>
              </w:numPr>
              <w:spacing w:before="0" w:after="0"/>
            </w:pPr>
            <w:r w:rsidRPr="00AB5218">
              <w:t>Engineering principles: external and internal hazards</w:t>
            </w:r>
          </w:p>
        </w:tc>
        <w:tc>
          <w:tcPr>
            <w:tcW w:w="2314" w:type="pct"/>
            <w:shd w:val="clear" w:color="auto" w:fill="FABF8F"/>
            <w:vAlign w:val="center"/>
          </w:tcPr>
          <w:p w14:paraId="5CFD1A82" w14:textId="77777777" w:rsidR="00B2683E" w:rsidRPr="00AB5218" w:rsidRDefault="00B2683E" w:rsidP="00CD05BD">
            <w:pPr>
              <w:pStyle w:val="Heading9"/>
              <w:numPr>
                <w:ilvl w:val="0"/>
                <w:numId w:val="0"/>
              </w:numPr>
              <w:spacing w:before="0" w:after="0"/>
            </w:pPr>
            <w:r w:rsidRPr="00AB5218">
              <w:t>Electromagnetic interference</w:t>
            </w:r>
          </w:p>
        </w:tc>
        <w:tc>
          <w:tcPr>
            <w:tcW w:w="842" w:type="pct"/>
            <w:shd w:val="clear" w:color="auto" w:fill="FABF8F"/>
            <w:vAlign w:val="center"/>
          </w:tcPr>
          <w:p w14:paraId="74EECDCE" w14:textId="77777777" w:rsidR="00B2683E" w:rsidRPr="00AB5218" w:rsidRDefault="00B2683E" w:rsidP="00CD05BD">
            <w:pPr>
              <w:pStyle w:val="Heading9"/>
              <w:numPr>
                <w:ilvl w:val="0"/>
                <w:numId w:val="0"/>
              </w:numPr>
              <w:spacing w:before="0" w:after="0"/>
            </w:pPr>
            <w:r w:rsidRPr="00AB5218">
              <w:t>EHA.10</w:t>
            </w:r>
          </w:p>
        </w:tc>
      </w:tr>
      <w:tr w:rsidR="00B2683E" w:rsidRPr="00AB5218" w14:paraId="3233992F" w14:textId="77777777" w:rsidTr="00B2683E">
        <w:trPr>
          <w:trHeight w:val="573"/>
        </w:trPr>
        <w:tc>
          <w:tcPr>
            <w:tcW w:w="5000" w:type="pct"/>
            <w:gridSpan w:val="3"/>
            <w:shd w:val="clear" w:color="auto" w:fill="auto"/>
          </w:tcPr>
          <w:p w14:paraId="0DB6A062" w14:textId="77777777" w:rsidR="00B2683E" w:rsidRPr="00AB5218" w:rsidRDefault="00B2683E" w:rsidP="00B2683E">
            <w:pPr>
              <w:pStyle w:val="Default"/>
              <w:rPr>
                <w:sz w:val="22"/>
                <w:szCs w:val="22"/>
              </w:rPr>
            </w:pPr>
            <w:r w:rsidRPr="00AB5218">
              <w:rPr>
                <w:sz w:val="22"/>
                <w:szCs w:val="22"/>
              </w:rPr>
              <w:t>The facility design should include preventative and/or protective measures against the effects of electromagnetic interference.</w:t>
            </w:r>
          </w:p>
        </w:tc>
      </w:tr>
    </w:tbl>
    <w:p w14:paraId="008861CA" w14:textId="77777777" w:rsidR="00FF3236" w:rsidRPr="00AB5218" w:rsidRDefault="00FF3236" w:rsidP="003B68E7">
      <w:pPr>
        <w:pStyle w:val="TSNumberedParagraph11"/>
        <w:spacing w:after="0"/>
        <w:ind w:left="720"/>
        <w:rPr>
          <w:rFonts w:cs="Arial"/>
          <w:szCs w:val="22"/>
        </w:rPr>
      </w:pPr>
    </w:p>
    <w:p w14:paraId="0B1C4153" w14:textId="77777777" w:rsidR="002F45EE" w:rsidRPr="00AB5218" w:rsidRDefault="001F0697" w:rsidP="00F115E1">
      <w:pPr>
        <w:autoSpaceDE w:val="0"/>
        <w:autoSpaceDN w:val="0"/>
        <w:adjustRightInd w:val="0"/>
        <w:ind w:left="709" w:hanging="709"/>
        <w:rPr>
          <w:rFonts w:cs="Arial"/>
          <w:szCs w:val="22"/>
          <w:lang w:eastAsia="en-GB"/>
        </w:rPr>
      </w:pPr>
      <w:r>
        <w:rPr>
          <w:rFonts w:cs="Arial"/>
          <w:szCs w:val="22"/>
          <w:lang w:eastAsia="en-GB"/>
        </w:rPr>
        <w:t>4.2</w:t>
      </w:r>
      <w:r>
        <w:rPr>
          <w:rFonts w:cs="Arial"/>
          <w:szCs w:val="22"/>
          <w:lang w:eastAsia="en-GB"/>
        </w:rPr>
        <w:tab/>
      </w:r>
      <w:r w:rsidR="0069637B" w:rsidRPr="00AB5218">
        <w:rPr>
          <w:rFonts w:cs="Arial"/>
          <w:szCs w:val="22"/>
          <w:lang w:eastAsia="en-GB"/>
        </w:rPr>
        <w:t>T</w:t>
      </w:r>
      <w:r w:rsidR="008846F8" w:rsidRPr="00AB5218">
        <w:rPr>
          <w:rFonts w:cs="Arial"/>
          <w:szCs w:val="22"/>
          <w:lang w:eastAsia="en-GB"/>
        </w:rPr>
        <w:t xml:space="preserve">here are </w:t>
      </w:r>
      <w:proofErr w:type="gramStart"/>
      <w:r w:rsidR="008846F8" w:rsidRPr="00AB5218">
        <w:rPr>
          <w:rFonts w:cs="Arial"/>
          <w:szCs w:val="22"/>
          <w:lang w:eastAsia="en-GB"/>
        </w:rPr>
        <w:t xml:space="preserve">a number </w:t>
      </w:r>
      <w:r w:rsidR="0016086B" w:rsidRPr="00AB5218">
        <w:rPr>
          <w:rFonts w:cs="Arial"/>
          <w:szCs w:val="22"/>
          <w:lang w:eastAsia="en-GB"/>
        </w:rPr>
        <w:t>of</w:t>
      </w:r>
      <w:proofErr w:type="gramEnd"/>
      <w:r w:rsidR="0016086B" w:rsidRPr="00AB5218">
        <w:rPr>
          <w:rFonts w:cs="Arial"/>
          <w:szCs w:val="22"/>
          <w:lang w:eastAsia="en-GB"/>
        </w:rPr>
        <w:t xml:space="preserve"> further </w:t>
      </w:r>
      <w:r w:rsidR="001C0DF6">
        <w:rPr>
          <w:rFonts w:cs="Arial"/>
          <w:szCs w:val="22"/>
          <w:lang w:eastAsia="en-GB"/>
        </w:rPr>
        <w:t>SAP</w:t>
      </w:r>
      <w:r w:rsidR="0016086B" w:rsidRPr="00AB5218">
        <w:rPr>
          <w:rFonts w:cs="Arial"/>
          <w:szCs w:val="22"/>
          <w:lang w:eastAsia="en-GB"/>
        </w:rPr>
        <w:t xml:space="preserve"> </w:t>
      </w:r>
      <w:r w:rsidR="003C06D0">
        <w:rPr>
          <w:rFonts w:cs="Arial"/>
          <w:szCs w:val="22"/>
          <w:lang w:eastAsia="en-GB"/>
        </w:rPr>
        <w:t xml:space="preserve">[1] </w:t>
      </w:r>
      <w:r w:rsidR="0016086B" w:rsidRPr="00AB5218">
        <w:rPr>
          <w:rFonts w:cs="Arial"/>
          <w:szCs w:val="22"/>
          <w:lang w:eastAsia="en-GB"/>
        </w:rPr>
        <w:t>that are relevant to the management and control of E</w:t>
      </w:r>
      <w:r w:rsidR="003C06D0">
        <w:rPr>
          <w:rFonts w:cs="Arial"/>
          <w:szCs w:val="22"/>
          <w:lang w:eastAsia="en-GB"/>
        </w:rPr>
        <w:t>M</w:t>
      </w:r>
      <w:r w:rsidR="0016086B" w:rsidRPr="00AB5218">
        <w:rPr>
          <w:rFonts w:cs="Arial"/>
          <w:szCs w:val="22"/>
          <w:lang w:eastAsia="en-GB"/>
        </w:rPr>
        <w:t xml:space="preserve">I hazards at nuclear licensed sites, </w:t>
      </w:r>
      <w:r w:rsidR="003C06D0" w:rsidRPr="00AB5218">
        <w:rPr>
          <w:rFonts w:cs="Arial"/>
          <w:szCs w:val="22"/>
          <w:lang w:eastAsia="en-GB"/>
        </w:rPr>
        <w:t>including</w:t>
      </w:r>
      <w:r w:rsidR="0016086B" w:rsidRPr="00AB5218">
        <w:rPr>
          <w:rFonts w:cs="Arial"/>
          <w:szCs w:val="22"/>
          <w:lang w:eastAsia="en-GB"/>
        </w:rPr>
        <w:t>:</w:t>
      </w:r>
      <w:r w:rsidR="003C06D0">
        <w:rPr>
          <w:rFonts w:cs="Arial"/>
          <w:szCs w:val="22"/>
          <w:lang w:eastAsia="en-GB"/>
        </w:rPr>
        <w:t xml:space="preserve"> </w:t>
      </w:r>
    </w:p>
    <w:p w14:paraId="5602D6CF" w14:textId="77777777" w:rsidR="00362D57" w:rsidRPr="00AB5218" w:rsidRDefault="00362D57" w:rsidP="00362D57">
      <w:pPr>
        <w:autoSpaceDE w:val="0"/>
        <w:autoSpaceDN w:val="0"/>
        <w:adjustRightInd w:val="0"/>
        <w:ind w:left="720"/>
        <w:rPr>
          <w:rFonts w:cs="Arial"/>
          <w:szCs w:val="22"/>
          <w:lang w:eastAsia="en-GB"/>
        </w:rPr>
      </w:pPr>
    </w:p>
    <w:p w14:paraId="45F79762" w14:textId="77777777" w:rsidR="00AC322D" w:rsidRPr="00AB5218" w:rsidRDefault="00AC322D" w:rsidP="004D602C">
      <w:pPr>
        <w:pStyle w:val="TSNumberedParagraph11"/>
        <w:numPr>
          <w:ilvl w:val="0"/>
          <w:numId w:val="4"/>
        </w:numPr>
        <w:spacing w:after="0"/>
        <w:rPr>
          <w:rFonts w:cs="Arial"/>
          <w:szCs w:val="22"/>
        </w:rPr>
      </w:pPr>
      <w:r w:rsidRPr="00AB5218">
        <w:rPr>
          <w:rFonts w:cs="Arial"/>
          <w:szCs w:val="22"/>
        </w:rPr>
        <w:t>FA.2</w:t>
      </w:r>
      <w:r w:rsidR="0099322C">
        <w:rPr>
          <w:rFonts w:cs="Arial"/>
          <w:szCs w:val="22"/>
        </w:rPr>
        <w:t xml:space="preserve"> - </w:t>
      </w:r>
      <w:r w:rsidR="00BA712D" w:rsidRPr="00AB5218">
        <w:rPr>
          <w:rFonts w:cs="Arial"/>
          <w:szCs w:val="22"/>
        </w:rPr>
        <w:t xml:space="preserve">Fault analysis: general - </w:t>
      </w:r>
      <w:r w:rsidR="00900300" w:rsidRPr="00AB5218">
        <w:rPr>
          <w:rFonts w:cs="Arial"/>
          <w:szCs w:val="22"/>
        </w:rPr>
        <w:t>Identification of initiating faults</w:t>
      </w:r>
      <w:r w:rsidR="0099322C">
        <w:rPr>
          <w:rFonts w:cs="Arial"/>
          <w:szCs w:val="22"/>
        </w:rPr>
        <w:t>.</w:t>
      </w:r>
    </w:p>
    <w:p w14:paraId="46775408" w14:textId="77777777" w:rsidR="00AC322D" w:rsidRPr="00AB5218" w:rsidRDefault="00AC322D" w:rsidP="004D602C">
      <w:pPr>
        <w:pStyle w:val="TSNumberedParagraph11"/>
        <w:numPr>
          <w:ilvl w:val="0"/>
          <w:numId w:val="4"/>
        </w:numPr>
        <w:spacing w:after="0"/>
        <w:rPr>
          <w:rFonts w:cs="Arial"/>
          <w:szCs w:val="22"/>
        </w:rPr>
      </w:pPr>
      <w:r w:rsidRPr="00AB5218">
        <w:rPr>
          <w:rFonts w:cs="Arial"/>
          <w:szCs w:val="22"/>
        </w:rPr>
        <w:t>EHA.1</w:t>
      </w:r>
      <w:r w:rsidR="0099322C">
        <w:rPr>
          <w:rFonts w:cs="Arial"/>
          <w:szCs w:val="22"/>
        </w:rPr>
        <w:t xml:space="preserve"> - </w:t>
      </w:r>
      <w:r w:rsidR="00BA712D" w:rsidRPr="00AB5218">
        <w:rPr>
          <w:rFonts w:cs="Arial"/>
          <w:szCs w:val="22"/>
        </w:rPr>
        <w:t>Engineering principles: external and internal hazards -</w:t>
      </w:r>
      <w:r w:rsidR="00900300" w:rsidRPr="00AB5218">
        <w:rPr>
          <w:rFonts w:cs="Arial"/>
          <w:szCs w:val="22"/>
        </w:rPr>
        <w:t xml:space="preserve"> Identification and characterisation</w:t>
      </w:r>
      <w:r w:rsidR="0099322C">
        <w:rPr>
          <w:rFonts w:cs="Arial"/>
          <w:szCs w:val="22"/>
        </w:rPr>
        <w:t>.</w:t>
      </w:r>
    </w:p>
    <w:p w14:paraId="6ADF910B" w14:textId="77777777" w:rsidR="0016086B" w:rsidRDefault="0016086B" w:rsidP="004D602C">
      <w:pPr>
        <w:pStyle w:val="TSNumberedParagraph11"/>
        <w:numPr>
          <w:ilvl w:val="0"/>
          <w:numId w:val="4"/>
        </w:numPr>
        <w:spacing w:after="0"/>
        <w:rPr>
          <w:rFonts w:cs="Arial"/>
          <w:szCs w:val="22"/>
        </w:rPr>
      </w:pPr>
      <w:r w:rsidRPr="00AB5218">
        <w:rPr>
          <w:rFonts w:cs="Arial"/>
          <w:szCs w:val="22"/>
        </w:rPr>
        <w:t>EHA.6</w:t>
      </w:r>
      <w:r w:rsidR="0099322C">
        <w:rPr>
          <w:rFonts w:cs="Arial"/>
          <w:szCs w:val="22"/>
        </w:rPr>
        <w:t xml:space="preserve"> - </w:t>
      </w:r>
      <w:r w:rsidRPr="00AB5218">
        <w:rPr>
          <w:rFonts w:cs="Arial"/>
          <w:szCs w:val="22"/>
        </w:rPr>
        <w:t xml:space="preserve">Engineering principles: external and internal hazards </w:t>
      </w:r>
      <w:r w:rsidR="00EE420E">
        <w:rPr>
          <w:rFonts w:cs="Arial"/>
          <w:szCs w:val="22"/>
        </w:rPr>
        <w:t>–</w:t>
      </w:r>
      <w:r w:rsidRPr="00AB5218">
        <w:rPr>
          <w:rFonts w:cs="Arial"/>
          <w:szCs w:val="22"/>
        </w:rPr>
        <w:t xml:space="preserve"> Analysis</w:t>
      </w:r>
      <w:r w:rsidR="0099322C">
        <w:rPr>
          <w:rFonts w:cs="Arial"/>
          <w:szCs w:val="22"/>
        </w:rPr>
        <w:t>.</w:t>
      </w:r>
    </w:p>
    <w:p w14:paraId="1DCC408B" w14:textId="77777777" w:rsidR="004C1446" w:rsidRPr="00AB5218" w:rsidRDefault="00276F2C" w:rsidP="004D602C">
      <w:pPr>
        <w:pStyle w:val="TSNumberedParagraph11"/>
        <w:numPr>
          <w:ilvl w:val="0"/>
          <w:numId w:val="4"/>
        </w:numPr>
        <w:spacing w:after="0"/>
        <w:rPr>
          <w:rFonts w:cs="Arial"/>
          <w:szCs w:val="22"/>
        </w:rPr>
      </w:pPr>
      <w:r>
        <w:rPr>
          <w:rFonts w:cs="Arial"/>
          <w:szCs w:val="22"/>
        </w:rPr>
        <w:t xml:space="preserve">EHA.11 - </w:t>
      </w:r>
      <w:r w:rsidR="0099322C" w:rsidRPr="0099322C">
        <w:rPr>
          <w:rFonts w:cs="Arial"/>
          <w:szCs w:val="22"/>
        </w:rPr>
        <w:t xml:space="preserve">Engineering principles: external and internal hazards – </w:t>
      </w:r>
      <w:r w:rsidR="0099322C">
        <w:rPr>
          <w:rFonts w:cs="Arial"/>
          <w:szCs w:val="22"/>
        </w:rPr>
        <w:t>Weather conditions.</w:t>
      </w:r>
    </w:p>
    <w:p w14:paraId="3FD4DD8D" w14:textId="77777777" w:rsidR="00AC322D" w:rsidRPr="00AB5218" w:rsidRDefault="00AC322D" w:rsidP="004D602C">
      <w:pPr>
        <w:pStyle w:val="TSNumberedParagraph11"/>
        <w:numPr>
          <w:ilvl w:val="0"/>
          <w:numId w:val="4"/>
        </w:numPr>
        <w:spacing w:after="0"/>
        <w:rPr>
          <w:rFonts w:cs="Arial"/>
          <w:szCs w:val="22"/>
        </w:rPr>
      </w:pPr>
      <w:r w:rsidRPr="00AB5218">
        <w:rPr>
          <w:rFonts w:cs="Arial"/>
          <w:szCs w:val="22"/>
        </w:rPr>
        <w:t>ESS.11</w:t>
      </w:r>
      <w:r w:rsidR="00900300" w:rsidRPr="00AB5218">
        <w:rPr>
          <w:rFonts w:cs="Arial"/>
          <w:szCs w:val="22"/>
        </w:rPr>
        <w:t xml:space="preserve"> - </w:t>
      </w:r>
      <w:r w:rsidR="00BA712D" w:rsidRPr="00AB5218">
        <w:rPr>
          <w:rFonts w:cs="Arial"/>
          <w:szCs w:val="22"/>
        </w:rPr>
        <w:t xml:space="preserve">Engineering principles: safety systems - </w:t>
      </w:r>
      <w:r w:rsidR="00900300" w:rsidRPr="00AB5218">
        <w:rPr>
          <w:rFonts w:cs="Arial"/>
          <w:szCs w:val="22"/>
        </w:rPr>
        <w:t>Demonstration of adequacy</w:t>
      </w:r>
      <w:r w:rsidR="0099322C">
        <w:rPr>
          <w:rFonts w:cs="Arial"/>
          <w:szCs w:val="22"/>
        </w:rPr>
        <w:t>.</w:t>
      </w:r>
    </w:p>
    <w:p w14:paraId="644447E2" w14:textId="77777777" w:rsidR="0016086B" w:rsidRPr="00AB5218" w:rsidRDefault="0016086B" w:rsidP="004D602C">
      <w:pPr>
        <w:pStyle w:val="TSNumberedParagraph11"/>
        <w:numPr>
          <w:ilvl w:val="0"/>
          <w:numId w:val="4"/>
        </w:numPr>
        <w:spacing w:after="0"/>
        <w:rPr>
          <w:rFonts w:cs="Arial"/>
          <w:szCs w:val="22"/>
        </w:rPr>
      </w:pPr>
      <w:r w:rsidRPr="00AB5218">
        <w:rPr>
          <w:rFonts w:cs="Arial"/>
          <w:szCs w:val="22"/>
        </w:rPr>
        <w:t>ESS.12</w:t>
      </w:r>
      <w:r w:rsidR="0099322C">
        <w:rPr>
          <w:rFonts w:cs="Arial"/>
          <w:szCs w:val="22"/>
        </w:rPr>
        <w:t xml:space="preserve"> - </w:t>
      </w:r>
      <w:r w:rsidR="00DC3245" w:rsidRPr="00AB5218">
        <w:rPr>
          <w:rFonts w:cs="Arial"/>
          <w:szCs w:val="22"/>
        </w:rPr>
        <w:t>Engineering principles: safety systems – Prevention of services infringement</w:t>
      </w:r>
      <w:r w:rsidR="0099322C">
        <w:rPr>
          <w:rFonts w:cs="Arial"/>
          <w:szCs w:val="22"/>
        </w:rPr>
        <w:t>.</w:t>
      </w:r>
    </w:p>
    <w:p w14:paraId="2A8684E4" w14:textId="77777777" w:rsidR="00AC322D" w:rsidRPr="00AB5218" w:rsidRDefault="00AC322D" w:rsidP="004D602C">
      <w:pPr>
        <w:pStyle w:val="TSNumberedParagraph11"/>
        <w:numPr>
          <w:ilvl w:val="0"/>
          <w:numId w:val="4"/>
        </w:numPr>
        <w:spacing w:after="0"/>
        <w:rPr>
          <w:rFonts w:cs="Arial"/>
          <w:szCs w:val="22"/>
        </w:rPr>
      </w:pPr>
      <w:r w:rsidRPr="00AB5218">
        <w:rPr>
          <w:rFonts w:cs="Arial"/>
          <w:szCs w:val="22"/>
        </w:rPr>
        <w:t>ESS.18</w:t>
      </w:r>
      <w:r w:rsidR="00900300" w:rsidRPr="00AB5218">
        <w:rPr>
          <w:rFonts w:cs="Arial"/>
          <w:szCs w:val="22"/>
        </w:rPr>
        <w:t xml:space="preserve"> - </w:t>
      </w:r>
      <w:r w:rsidR="00BA712D" w:rsidRPr="00AB5218">
        <w:rPr>
          <w:rFonts w:cs="Arial"/>
          <w:szCs w:val="22"/>
        </w:rPr>
        <w:t xml:space="preserve">Engineering principles: safety systems - </w:t>
      </w:r>
      <w:r w:rsidR="00900300" w:rsidRPr="00AB5218">
        <w:rPr>
          <w:rFonts w:cs="Arial"/>
          <w:szCs w:val="22"/>
        </w:rPr>
        <w:t>Failure independence</w:t>
      </w:r>
      <w:r w:rsidR="0099322C">
        <w:rPr>
          <w:rFonts w:cs="Arial"/>
          <w:szCs w:val="22"/>
        </w:rPr>
        <w:t>.</w:t>
      </w:r>
    </w:p>
    <w:p w14:paraId="05A4E5DD" w14:textId="77777777" w:rsidR="00AC322D" w:rsidRPr="00AB5218" w:rsidRDefault="00AC322D" w:rsidP="004D602C">
      <w:pPr>
        <w:pStyle w:val="TSNumberedParagraph11"/>
        <w:numPr>
          <w:ilvl w:val="0"/>
          <w:numId w:val="4"/>
        </w:numPr>
        <w:spacing w:after="0"/>
        <w:rPr>
          <w:rFonts w:cs="Arial"/>
          <w:szCs w:val="22"/>
        </w:rPr>
      </w:pPr>
      <w:r w:rsidRPr="00AB5218">
        <w:rPr>
          <w:rFonts w:cs="Arial"/>
          <w:szCs w:val="22"/>
        </w:rPr>
        <w:t>ESS.22</w:t>
      </w:r>
      <w:r w:rsidR="00900300" w:rsidRPr="00AB5218">
        <w:rPr>
          <w:rFonts w:cs="Arial"/>
          <w:szCs w:val="22"/>
        </w:rPr>
        <w:t xml:space="preserve"> - </w:t>
      </w:r>
      <w:r w:rsidR="00BA712D" w:rsidRPr="00AB5218">
        <w:rPr>
          <w:rFonts w:cs="Arial"/>
          <w:szCs w:val="22"/>
        </w:rPr>
        <w:t xml:space="preserve">Engineering principles: safety systems - </w:t>
      </w:r>
      <w:r w:rsidR="00900300" w:rsidRPr="00AB5218">
        <w:rPr>
          <w:rFonts w:cs="Arial"/>
          <w:szCs w:val="22"/>
        </w:rPr>
        <w:t>Avoidance of spurious actuation</w:t>
      </w:r>
      <w:r w:rsidR="0099322C">
        <w:rPr>
          <w:rFonts w:cs="Arial"/>
          <w:szCs w:val="22"/>
        </w:rPr>
        <w:t>.</w:t>
      </w:r>
    </w:p>
    <w:p w14:paraId="22130A42" w14:textId="77777777" w:rsidR="00AC322D" w:rsidRPr="00AB5218" w:rsidRDefault="00AC322D" w:rsidP="004D602C">
      <w:pPr>
        <w:pStyle w:val="TSNumberedParagraph11"/>
        <w:numPr>
          <w:ilvl w:val="0"/>
          <w:numId w:val="4"/>
        </w:numPr>
        <w:spacing w:after="0"/>
        <w:rPr>
          <w:rFonts w:cs="Arial"/>
          <w:szCs w:val="22"/>
        </w:rPr>
      </w:pPr>
      <w:r w:rsidRPr="00AB5218">
        <w:rPr>
          <w:rFonts w:cs="Arial"/>
          <w:szCs w:val="22"/>
        </w:rPr>
        <w:t>EMT.1</w:t>
      </w:r>
      <w:r w:rsidR="00900300" w:rsidRPr="00AB5218">
        <w:rPr>
          <w:rFonts w:cs="Arial"/>
          <w:szCs w:val="22"/>
        </w:rPr>
        <w:t xml:space="preserve"> - </w:t>
      </w:r>
      <w:r w:rsidR="00BA712D" w:rsidRPr="00AB5218">
        <w:rPr>
          <w:rFonts w:cs="Arial"/>
          <w:szCs w:val="22"/>
        </w:rPr>
        <w:t xml:space="preserve">Engineering principles: maintenance, </w:t>
      </w:r>
      <w:proofErr w:type="gramStart"/>
      <w:r w:rsidR="00BA712D" w:rsidRPr="00AB5218">
        <w:rPr>
          <w:rFonts w:cs="Arial"/>
          <w:szCs w:val="22"/>
        </w:rPr>
        <w:t>inspection</w:t>
      </w:r>
      <w:proofErr w:type="gramEnd"/>
      <w:r w:rsidR="00BA712D" w:rsidRPr="00AB5218">
        <w:rPr>
          <w:rFonts w:cs="Arial"/>
          <w:szCs w:val="22"/>
        </w:rPr>
        <w:t xml:space="preserve"> and testing - </w:t>
      </w:r>
      <w:r w:rsidR="00900300" w:rsidRPr="00AB5218">
        <w:rPr>
          <w:rFonts w:cs="Arial"/>
          <w:szCs w:val="22"/>
        </w:rPr>
        <w:t>Identification of requirements</w:t>
      </w:r>
      <w:r w:rsidR="0099322C">
        <w:rPr>
          <w:rFonts w:cs="Arial"/>
          <w:szCs w:val="22"/>
        </w:rPr>
        <w:t>.</w:t>
      </w:r>
    </w:p>
    <w:p w14:paraId="4F7D3794" w14:textId="77777777" w:rsidR="00AC322D" w:rsidRPr="00AB5218" w:rsidRDefault="00AC322D" w:rsidP="00AC322D">
      <w:pPr>
        <w:pStyle w:val="TSNumberedParagraph11"/>
        <w:spacing w:after="0"/>
        <w:ind w:left="1080"/>
        <w:rPr>
          <w:rFonts w:cs="Arial"/>
          <w:szCs w:val="22"/>
        </w:rPr>
      </w:pPr>
    </w:p>
    <w:p w14:paraId="11CA0C0C" w14:textId="77777777" w:rsidR="00D73C66" w:rsidRPr="00AB5218" w:rsidRDefault="001F0697" w:rsidP="00F115E1">
      <w:pPr>
        <w:autoSpaceDE w:val="0"/>
        <w:autoSpaceDN w:val="0"/>
        <w:adjustRightInd w:val="0"/>
        <w:ind w:left="709" w:hanging="709"/>
        <w:rPr>
          <w:rFonts w:cs="Arial"/>
          <w:szCs w:val="22"/>
          <w:lang w:eastAsia="en-GB"/>
        </w:rPr>
      </w:pPr>
      <w:r>
        <w:rPr>
          <w:rFonts w:cs="Arial"/>
          <w:szCs w:val="22"/>
          <w:lang w:eastAsia="en-GB"/>
        </w:rPr>
        <w:t>4.3</w:t>
      </w:r>
      <w:r>
        <w:rPr>
          <w:rFonts w:cs="Arial"/>
          <w:szCs w:val="22"/>
          <w:lang w:eastAsia="en-GB"/>
        </w:rPr>
        <w:tab/>
      </w:r>
      <w:r w:rsidR="00DC3245" w:rsidRPr="00AB5218">
        <w:rPr>
          <w:rFonts w:cs="Arial"/>
          <w:szCs w:val="22"/>
          <w:lang w:eastAsia="en-GB"/>
        </w:rPr>
        <w:t>IAEA Safety Guides that are most relevant are SSG-34</w:t>
      </w:r>
      <w:r w:rsidR="007303B2">
        <w:rPr>
          <w:rFonts w:cs="Arial"/>
          <w:szCs w:val="22"/>
          <w:lang w:eastAsia="en-GB"/>
        </w:rPr>
        <w:t xml:space="preserve"> [</w:t>
      </w:r>
      <w:r w:rsidR="00B3126D">
        <w:rPr>
          <w:rFonts w:cs="Arial"/>
          <w:szCs w:val="22"/>
          <w:lang w:eastAsia="en-GB"/>
        </w:rPr>
        <w:t>18</w:t>
      </w:r>
      <w:r w:rsidR="007303B2">
        <w:rPr>
          <w:rFonts w:cs="Arial"/>
          <w:szCs w:val="22"/>
          <w:lang w:eastAsia="en-GB"/>
        </w:rPr>
        <w:t>]</w:t>
      </w:r>
      <w:r w:rsidR="00DC3245" w:rsidRPr="00AB5218">
        <w:rPr>
          <w:rFonts w:cs="Arial"/>
          <w:szCs w:val="22"/>
          <w:lang w:eastAsia="en-GB"/>
        </w:rPr>
        <w:t xml:space="preserve"> and SSG-39</w:t>
      </w:r>
      <w:r w:rsidR="007303B2">
        <w:rPr>
          <w:rFonts w:cs="Arial"/>
          <w:szCs w:val="22"/>
          <w:lang w:eastAsia="en-GB"/>
        </w:rPr>
        <w:t xml:space="preserve"> [</w:t>
      </w:r>
      <w:r w:rsidR="00B3126D">
        <w:rPr>
          <w:rFonts w:cs="Arial"/>
          <w:szCs w:val="22"/>
          <w:lang w:eastAsia="en-GB"/>
        </w:rPr>
        <w:t>19</w:t>
      </w:r>
      <w:r w:rsidR="007303B2">
        <w:rPr>
          <w:rFonts w:cs="Arial"/>
          <w:szCs w:val="22"/>
          <w:lang w:eastAsia="en-GB"/>
        </w:rPr>
        <w:t>]</w:t>
      </w:r>
      <w:r w:rsidR="00DC3245" w:rsidRPr="00AB5218">
        <w:rPr>
          <w:rFonts w:cs="Arial"/>
          <w:szCs w:val="22"/>
          <w:lang w:eastAsia="en-GB"/>
        </w:rPr>
        <w:t>. These documents provide general guidance on the electromagnetic qualification of systems and components, including safety classified control and instrumentation components.</w:t>
      </w:r>
    </w:p>
    <w:p w14:paraId="0F3CF5B0" w14:textId="77777777" w:rsidR="00362D57" w:rsidRPr="00AB5218" w:rsidRDefault="00362D57" w:rsidP="00362D57">
      <w:pPr>
        <w:autoSpaceDE w:val="0"/>
        <w:autoSpaceDN w:val="0"/>
        <w:adjustRightInd w:val="0"/>
        <w:ind w:left="720"/>
        <w:rPr>
          <w:rFonts w:cs="Arial"/>
          <w:szCs w:val="22"/>
          <w:lang w:eastAsia="en-GB"/>
        </w:rPr>
      </w:pPr>
    </w:p>
    <w:p w14:paraId="30AA25CC" w14:textId="77777777" w:rsidR="00DC3245" w:rsidRPr="00AB5218" w:rsidRDefault="001F0697" w:rsidP="00F115E1">
      <w:pPr>
        <w:autoSpaceDE w:val="0"/>
        <w:autoSpaceDN w:val="0"/>
        <w:adjustRightInd w:val="0"/>
        <w:ind w:left="709" w:hanging="709"/>
        <w:rPr>
          <w:rFonts w:cs="Arial"/>
          <w:szCs w:val="22"/>
          <w:lang w:eastAsia="en-GB"/>
        </w:rPr>
      </w:pPr>
      <w:r>
        <w:rPr>
          <w:rFonts w:cs="Arial"/>
          <w:szCs w:val="22"/>
          <w:lang w:eastAsia="en-GB"/>
        </w:rPr>
        <w:t>4.4</w:t>
      </w:r>
      <w:r>
        <w:rPr>
          <w:rFonts w:cs="Arial"/>
          <w:szCs w:val="22"/>
          <w:lang w:eastAsia="en-GB"/>
        </w:rPr>
        <w:tab/>
      </w:r>
      <w:r w:rsidR="00DC3245" w:rsidRPr="00AB5218">
        <w:rPr>
          <w:rFonts w:cs="Arial"/>
          <w:szCs w:val="22"/>
          <w:lang w:eastAsia="en-GB"/>
        </w:rPr>
        <w:t xml:space="preserve">WENRA </w:t>
      </w:r>
      <w:r w:rsidR="005259FE">
        <w:rPr>
          <w:rFonts w:cs="Arial"/>
          <w:szCs w:val="22"/>
          <w:lang w:eastAsia="en-GB"/>
        </w:rPr>
        <w:t xml:space="preserve">[7] </w:t>
      </w:r>
      <w:r w:rsidR="00DC3245" w:rsidRPr="00AB5218">
        <w:rPr>
          <w:rFonts w:cs="Arial"/>
          <w:szCs w:val="22"/>
          <w:lang w:eastAsia="en-GB"/>
        </w:rPr>
        <w:t>safety reference levels are primarily based on IAEA safety standards, which also represent a consensus view of the main requirements to be applied to ensure nuclear safety in operating facilities.</w:t>
      </w:r>
      <w:r w:rsidR="005E5B5B">
        <w:rPr>
          <w:rFonts w:cs="Arial"/>
          <w:szCs w:val="22"/>
          <w:lang w:eastAsia="en-GB"/>
        </w:rPr>
        <w:t xml:space="preserve">  </w:t>
      </w:r>
      <w:r w:rsidR="005E5B5B" w:rsidRPr="005E5B5B">
        <w:rPr>
          <w:rFonts w:cs="Arial"/>
          <w:szCs w:val="22"/>
          <w:lang w:eastAsia="en-GB"/>
        </w:rPr>
        <w:t>NS-TAST-GD-013 table 4 [6] provides WENRA reference about natural hazards.</w:t>
      </w:r>
    </w:p>
    <w:p w14:paraId="0A78DA2E" w14:textId="77777777" w:rsidR="00362D57" w:rsidRPr="00AB5218" w:rsidRDefault="00362D57" w:rsidP="00362D57">
      <w:pPr>
        <w:autoSpaceDE w:val="0"/>
        <w:autoSpaceDN w:val="0"/>
        <w:adjustRightInd w:val="0"/>
        <w:rPr>
          <w:rFonts w:cs="Arial"/>
          <w:szCs w:val="22"/>
          <w:lang w:eastAsia="en-GB"/>
        </w:rPr>
      </w:pPr>
    </w:p>
    <w:p w14:paraId="5956CCBC" w14:textId="77777777" w:rsidR="00477ACD" w:rsidRPr="00AB5218" w:rsidRDefault="001F0697" w:rsidP="00F115E1">
      <w:pPr>
        <w:autoSpaceDE w:val="0"/>
        <w:autoSpaceDN w:val="0"/>
        <w:adjustRightInd w:val="0"/>
        <w:ind w:left="709" w:hanging="709"/>
        <w:rPr>
          <w:rFonts w:cs="Arial"/>
          <w:szCs w:val="22"/>
          <w:lang w:eastAsia="en-GB"/>
        </w:rPr>
      </w:pPr>
      <w:r>
        <w:rPr>
          <w:rFonts w:cs="Arial"/>
          <w:szCs w:val="22"/>
          <w:lang w:eastAsia="en-GB"/>
        </w:rPr>
        <w:t>4.5</w:t>
      </w:r>
      <w:r>
        <w:rPr>
          <w:rFonts w:cs="Arial"/>
          <w:szCs w:val="22"/>
          <w:lang w:eastAsia="en-GB"/>
        </w:rPr>
        <w:tab/>
      </w:r>
      <w:proofErr w:type="gramStart"/>
      <w:r w:rsidR="00477ACD" w:rsidRPr="00AB5218">
        <w:rPr>
          <w:rFonts w:cs="Arial"/>
          <w:szCs w:val="22"/>
          <w:lang w:eastAsia="en-GB"/>
        </w:rPr>
        <w:t>A number of</w:t>
      </w:r>
      <w:proofErr w:type="gramEnd"/>
      <w:r w:rsidR="00477ACD" w:rsidRPr="00AB5218">
        <w:rPr>
          <w:rFonts w:cs="Arial"/>
          <w:szCs w:val="22"/>
          <w:lang w:eastAsia="en-GB"/>
        </w:rPr>
        <w:t xml:space="preserve"> international standards provide guidance on functional safety, EMC engineering and managing risks from EMI. These include:</w:t>
      </w:r>
    </w:p>
    <w:p w14:paraId="71F920B6" w14:textId="77777777" w:rsidR="00362D57" w:rsidRPr="00AB5218" w:rsidRDefault="00362D57" w:rsidP="00362D57">
      <w:pPr>
        <w:autoSpaceDE w:val="0"/>
        <w:autoSpaceDN w:val="0"/>
        <w:adjustRightInd w:val="0"/>
        <w:rPr>
          <w:rFonts w:cs="Arial"/>
          <w:szCs w:val="22"/>
          <w:lang w:eastAsia="en-GB"/>
        </w:rPr>
      </w:pPr>
    </w:p>
    <w:p w14:paraId="7D68CCD7" w14:textId="77777777" w:rsidR="00D73C66" w:rsidRPr="00AB5218" w:rsidRDefault="00691B0F" w:rsidP="004D602C">
      <w:pPr>
        <w:pStyle w:val="TSNumberedParagraph11"/>
        <w:numPr>
          <w:ilvl w:val="0"/>
          <w:numId w:val="4"/>
        </w:numPr>
        <w:tabs>
          <w:tab w:val="clear" w:pos="1077"/>
          <w:tab w:val="num" w:pos="1134"/>
        </w:tabs>
        <w:spacing w:after="0"/>
        <w:ind w:left="1134" w:hanging="425"/>
        <w:rPr>
          <w:rFonts w:cs="Arial"/>
          <w:szCs w:val="22"/>
        </w:rPr>
      </w:pPr>
      <w:r w:rsidRPr="00AB5218">
        <w:rPr>
          <w:rFonts w:cs="Arial"/>
          <w:szCs w:val="22"/>
        </w:rPr>
        <w:t>IEC</w:t>
      </w:r>
      <w:r w:rsidR="00694E47">
        <w:rPr>
          <w:rFonts w:cs="Arial"/>
          <w:szCs w:val="22"/>
        </w:rPr>
        <w:t xml:space="preserve"> </w:t>
      </w:r>
      <w:r w:rsidR="00EC0C81" w:rsidRPr="00AB5218">
        <w:rPr>
          <w:rFonts w:cs="Arial"/>
          <w:szCs w:val="22"/>
        </w:rPr>
        <w:t>61508:</w:t>
      </w:r>
      <w:r w:rsidR="007E6B7E" w:rsidRPr="00AB5218">
        <w:rPr>
          <w:rFonts w:cs="Arial"/>
          <w:szCs w:val="22"/>
        </w:rPr>
        <w:t xml:space="preserve"> 2010</w:t>
      </w:r>
      <w:r w:rsidRPr="00AB5218">
        <w:rPr>
          <w:rFonts w:cs="Arial"/>
          <w:szCs w:val="22"/>
        </w:rPr>
        <w:t xml:space="preserve"> </w:t>
      </w:r>
      <w:r w:rsidR="004A7B2D" w:rsidRPr="00AB5218">
        <w:rPr>
          <w:rFonts w:cs="Arial"/>
          <w:szCs w:val="22"/>
        </w:rPr>
        <w:t>Functional safety of electrical/electronic/programmable electronic safety-related systems</w:t>
      </w:r>
      <w:r w:rsidR="005259FE">
        <w:rPr>
          <w:rFonts w:cs="Arial"/>
          <w:szCs w:val="22"/>
        </w:rPr>
        <w:t xml:space="preserve"> [8]</w:t>
      </w:r>
      <w:r w:rsidR="00F157D0" w:rsidRPr="00AB5218">
        <w:rPr>
          <w:rFonts w:cs="Arial"/>
          <w:szCs w:val="22"/>
        </w:rPr>
        <w:t>.</w:t>
      </w:r>
    </w:p>
    <w:p w14:paraId="38875582" w14:textId="77777777" w:rsidR="00BF066B" w:rsidRPr="00AB5218" w:rsidRDefault="00BF066B" w:rsidP="004D602C">
      <w:pPr>
        <w:pStyle w:val="TSNumberedParagraph11"/>
        <w:numPr>
          <w:ilvl w:val="0"/>
          <w:numId w:val="4"/>
        </w:numPr>
        <w:tabs>
          <w:tab w:val="clear" w:pos="1077"/>
          <w:tab w:val="num" w:pos="1134"/>
        </w:tabs>
        <w:spacing w:after="0"/>
        <w:ind w:left="1134" w:hanging="425"/>
        <w:rPr>
          <w:rFonts w:cs="Arial"/>
          <w:szCs w:val="22"/>
        </w:rPr>
      </w:pPr>
      <w:r w:rsidRPr="00AB5218">
        <w:rPr>
          <w:rFonts w:cs="Arial"/>
          <w:szCs w:val="22"/>
        </w:rPr>
        <w:t>IEC 61513 Nuclear power plants. Instrumentation and control important to safety. General requirements for systems</w:t>
      </w:r>
      <w:r w:rsidR="005259FE">
        <w:rPr>
          <w:rFonts w:cs="Arial"/>
          <w:szCs w:val="22"/>
        </w:rPr>
        <w:t xml:space="preserve"> [9]</w:t>
      </w:r>
      <w:r w:rsidRPr="00AB5218">
        <w:rPr>
          <w:rFonts w:cs="Arial"/>
          <w:szCs w:val="22"/>
        </w:rPr>
        <w:t>.</w:t>
      </w:r>
    </w:p>
    <w:p w14:paraId="3AE82A61" w14:textId="77777777" w:rsidR="00E235F2" w:rsidRPr="00AB5218" w:rsidRDefault="00C27914" w:rsidP="004D602C">
      <w:pPr>
        <w:pStyle w:val="TSNumberedParagraph11"/>
        <w:numPr>
          <w:ilvl w:val="0"/>
          <w:numId w:val="4"/>
        </w:numPr>
        <w:tabs>
          <w:tab w:val="clear" w:pos="1077"/>
          <w:tab w:val="num" w:pos="1134"/>
        </w:tabs>
        <w:spacing w:after="0"/>
        <w:ind w:left="1134" w:hanging="425"/>
        <w:rPr>
          <w:rFonts w:cs="Arial"/>
          <w:szCs w:val="22"/>
        </w:rPr>
      </w:pPr>
      <w:r w:rsidRPr="00AB5218">
        <w:rPr>
          <w:rFonts w:cs="Arial"/>
          <w:szCs w:val="22"/>
        </w:rPr>
        <w:t>IEC 61000-1-2</w:t>
      </w:r>
      <w:r w:rsidR="00F971CA" w:rsidRPr="00AB5218">
        <w:rPr>
          <w:rFonts w:cs="Arial"/>
          <w:szCs w:val="22"/>
        </w:rPr>
        <w:t>:2016</w:t>
      </w:r>
      <w:r w:rsidRPr="00AB5218">
        <w:rPr>
          <w:rFonts w:cs="Arial"/>
          <w:szCs w:val="22"/>
        </w:rPr>
        <w:t xml:space="preserve"> Electromagnetic Compatibility (EMC) – General. Methodology for the achievement of functional safety of electrical and electronic systems including equipment </w:t>
      </w:r>
      <w:proofErr w:type="gramStart"/>
      <w:r w:rsidRPr="00AB5218">
        <w:rPr>
          <w:rFonts w:cs="Arial"/>
          <w:szCs w:val="22"/>
        </w:rPr>
        <w:t>with regard to</w:t>
      </w:r>
      <w:proofErr w:type="gramEnd"/>
      <w:r w:rsidRPr="00AB5218">
        <w:rPr>
          <w:rFonts w:cs="Arial"/>
          <w:szCs w:val="22"/>
        </w:rPr>
        <w:t xml:space="preserve"> electromagnetic phenomena</w:t>
      </w:r>
      <w:r w:rsidR="005259FE">
        <w:rPr>
          <w:rFonts w:cs="Arial"/>
          <w:szCs w:val="22"/>
        </w:rPr>
        <w:t xml:space="preserve"> [10]</w:t>
      </w:r>
      <w:r w:rsidRPr="00AB5218">
        <w:rPr>
          <w:rFonts w:cs="Arial"/>
          <w:szCs w:val="22"/>
        </w:rPr>
        <w:t>.</w:t>
      </w:r>
    </w:p>
    <w:p w14:paraId="77AE9005" w14:textId="77777777" w:rsidR="00BF066B" w:rsidRPr="00AB5218" w:rsidRDefault="00BF066B" w:rsidP="004D602C">
      <w:pPr>
        <w:pStyle w:val="TSNumberedParagraph11"/>
        <w:numPr>
          <w:ilvl w:val="0"/>
          <w:numId w:val="4"/>
        </w:numPr>
        <w:tabs>
          <w:tab w:val="clear" w:pos="1077"/>
          <w:tab w:val="num" w:pos="1134"/>
        </w:tabs>
        <w:spacing w:after="0"/>
        <w:ind w:left="1134" w:hanging="425"/>
        <w:rPr>
          <w:rFonts w:cs="Arial"/>
          <w:szCs w:val="22"/>
        </w:rPr>
      </w:pPr>
      <w:r w:rsidRPr="00AB5218">
        <w:rPr>
          <w:rFonts w:cs="Arial"/>
          <w:szCs w:val="22"/>
        </w:rPr>
        <w:t xml:space="preserve">IEC 61000-1 Electromagnetic compatibility (EMC) - Part 1: General </w:t>
      </w:r>
      <w:r w:rsidR="005259FE">
        <w:rPr>
          <w:rFonts w:cs="Arial"/>
          <w:szCs w:val="22"/>
        </w:rPr>
        <w:t>[11].</w:t>
      </w:r>
    </w:p>
    <w:p w14:paraId="7ED80646" w14:textId="77777777" w:rsidR="00BF066B" w:rsidRPr="00AB5218" w:rsidRDefault="00BF066B" w:rsidP="004D602C">
      <w:pPr>
        <w:pStyle w:val="TSNumberedParagraph11"/>
        <w:numPr>
          <w:ilvl w:val="0"/>
          <w:numId w:val="4"/>
        </w:numPr>
        <w:tabs>
          <w:tab w:val="clear" w:pos="1077"/>
          <w:tab w:val="num" w:pos="1134"/>
        </w:tabs>
        <w:spacing w:after="0"/>
        <w:ind w:left="1134" w:hanging="425"/>
        <w:rPr>
          <w:rFonts w:cs="Arial"/>
          <w:szCs w:val="22"/>
        </w:rPr>
      </w:pPr>
      <w:r w:rsidRPr="00AB5218">
        <w:rPr>
          <w:rFonts w:cs="Arial"/>
          <w:szCs w:val="22"/>
        </w:rPr>
        <w:t>IEC 61000-2 Electromagnetic compatibility (EMC) - Part 2: Environment</w:t>
      </w:r>
      <w:r w:rsidR="005259FE">
        <w:rPr>
          <w:rFonts w:cs="Arial"/>
          <w:szCs w:val="22"/>
        </w:rPr>
        <w:t xml:space="preserve"> [12].</w:t>
      </w:r>
    </w:p>
    <w:p w14:paraId="4075B260" w14:textId="77777777" w:rsidR="00BF066B" w:rsidRPr="00BB11BB" w:rsidRDefault="00BF066B" w:rsidP="00BB11BB">
      <w:pPr>
        <w:pStyle w:val="TSNumberedParagraph11"/>
        <w:numPr>
          <w:ilvl w:val="0"/>
          <w:numId w:val="4"/>
        </w:numPr>
        <w:tabs>
          <w:tab w:val="clear" w:pos="1077"/>
          <w:tab w:val="num" w:pos="1134"/>
        </w:tabs>
        <w:spacing w:after="0"/>
        <w:ind w:left="1134" w:hanging="425"/>
        <w:rPr>
          <w:rFonts w:cs="Arial"/>
          <w:szCs w:val="22"/>
        </w:rPr>
      </w:pPr>
      <w:r w:rsidRPr="00BB11BB">
        <w:rPr>
          <w:rFonts w:cs="Arial"/>
          <w:szCs w:val="22"/>
        </w:rPr>
        <w:t>IEC 61000-5 Electromagnetic compatibility (EMC) - Part 5: Installation and mitigation guidelines</w:t>
      </w:r>
      <w:r w:rsidR="005259FE" w:rsidRPr="00BB11BB">
        <w:rPr>
          <w:rFonts w:cs="Arial"/>
          <w:szCs w:val="22"/>
        </w:rPr>
        <w:t xml:space="preserve"> [15]</w:t>
      </w:r>
      <w:r w:rsidRPr="00BB11BB">
        <w:rPr>
          <w:rFonts w:cs="Arial"/>
          <w:szCs w:val="22"/>
        </w:rPr>
        <w:t>.</w:t>
      </w:r>
    </w:p>
    <w:p w14:paraId="7E48EBF5" w14:textId="77777777" w:rsidR="007E6B7E" w:rsidRPr="00AB5218" w:rsidRDefault="007E6B7E" w:rsidP="00F971CA">
      <w:pPr>
        <w:pStyle w:val="TSNumberedParagraph11"/>
        <w:spacing w:after="0"/>
        <w:ind w:left="1134"/>
        <w:rPr>
          <w:rFonts w:cs="Arial"/>
          <w:szCs w:val="22"/>
        </w:rPr>
      </w:pPr>
    </w:p>
    <w:p w14:paraId="4E910319" w14:textId="77777777" w:rsidR="00477ACD" w:rsidRPr="00AB5218" w:rsidRDefault="001F0697" w:rsidP="00F115E1">
      <w:pPr>
        <w:autoSpaceDE w:val="0"/>
        <w:autoSpaceDN w:val="0"/>
        <w:adjustRightInd w:val="0"/>
        <w:ind w:left="709" w:hanging="709"/>
        <w:rPr>
          <w:rFonts w:cs="Arial"/>
          <w:szCs w:val="22"/>
          <w:lang w:eastAsia="en-GB"/>
        </w:rPr>
      </w:pPr>
      <w:r>
        <w:rPr>
          <w:rFonts w:cs="Arial"/>
          <w:szCs w:val="22"/>
          <w:lang w:eastAsia="en-GB"/>
        </w:rPr>
        <w:t xml:space="preserve">4.6 </w:t>
      </w:r>
      <w:r>
        <w:rPr>
          <w:rFonts w:cs="Arial"/>
          <w:szCs w:val="22"/>
          <w:lang w:eastAsia="en-GB"/>
        </w:rPr>
        <w:tab/>
      </w:r>
      <w:r w:rsidR="00477ACD" w:rsidRPr="00AB5218">
        <w:rPr>
          <w:rFonts w:cs="Arial"/>
          <w:szCs w:val="22"/>
          <w:lang w:eastAsia="en-GB"/>
        </w:rPr>
        <w:t xml:space="preserve">International standards </w:t>
      </w:r>
      <w:proofErr w:type="gramStart"/>
      <w:r w:rsidR="00477ACD" w:rsidRPr="00AB5218">
        <w:rPr>
          <w:rFonts w:cs="Arial"/>
          <w:szCs w:val="22"/>
          <w:lang w:eastAsia="en-GB"/>
        </w:rPr>
        <w:t>in the area of</w:t>
      </w:r>
      <w:proofErr w:type="gramEnd"/>
      <w:r w:rsidR="00477ACD" w:rsidRPr="00AB5218">
        <w:rPr>
          <w:rFonts w:cs="Arial"/>
          <w:szCs w:val="22"/>
          <w:lang w:eastAsia="en-GB"/>
        </w:rPr>
        <w:t xml:space="preserve"> managing EMI for functional safety are not considered to be fully mature and, in this context, existing standards are </w:t>
      </w:r>
      <w:r w:rsidR="00477ACD" w:rsidRPr="00AB5218">
        <w:rPr>
          <w:rFonts w:cs="Arial"/>
          <w:szCs w:val="22"/>
          <w:lang w:eastAsia="en-GB"/>
        </w:rPr>
        <w:lastRenderedPageBreak/>
        <w:t xml:space="preserve">complemented by the </w:t>
      </w:r>
      <w:r w:rsidR="00477ACD" w:rsidRPr="00CC2CCC">
        <w:rPr>
          <w:rFonts w:cs="Arial"/>
          <w:szCs w:val="22"/>
          <w:lang w:eastAsia="en-GB"/>
        </w:rPr>
        <w:t xml:space="preserve">IET Code of Practice </w:t>
      </w:r>
      <w:r w:rsidR="00CB2222">
        <w:rPr>
          <w:rFonts w:cs="Arial"/>
          <w:szCs w:val="22"/>
          <w:lang w:eastAsia="en-GB"/>
        </w:rPr>
        <w:t xml:space="preserve">(CoP) </w:t>
      </w:r>
      <w:r w:rsidR="00477ACD" w:rsidRPr="00CC2CCC">
        <w:rPr>
          <w:rFonts w:cs="Arial"/>
          <w:szCs w:val="22"/>
          <w:lang w:eastAsia="en-GB"/>
        </w:rPr>
        <w:t xml:space="preserve">for </w:t>
      </w:r>
      <w:r w:rsidR="0008505A">
        <w:rPr>
          <w:rFonts w:cs="Arial"/>
          <w:szCs w:val="22"/>
          <w:lang w:eastAsia="en-GB"/>
        </w:rPr>
        <w:t>e</w:t>
      </w:r>
      <w:r w:rsidR="00477ACD" w:rsidRPr="00CC2CCC">
        <w:rPr>
          <w:rFonts w:cs="Arial"/>
          <w:szCs w:val="22"/>
          <w:lang w:eastAsia="en-GB"/>
        </w:rPr>
        <w:t xml:space="preserve">lectromagnetic </w:t>
      </w:r>
      <w:r w:rsidR="0008505A">
        <w:rPr>
          <w:rFonts w:cs="Arial"/>
          <w:szCs w:val="22"/>
          <w:lang w:eastAsia="en-GB"/>
        </w:rPr>
        <w:t>r</w:t>
      </w:r>
      <w:r w:rsidR="00477ACD" w:rsidRPr="00CC2CCC">
        <w:rPr>
          <w:rFonts w:cs="Arial"/>
          <w:szCs w:val="22"/>
          <w:lang w:eastAsia="en-GB"/>
        </w:rPr>
        <w:t>esilience</w:t>
      </w:r>
      <w:r w:rsidR="00477ACD" w:rsidRPr="00AB5218">
        <w:rPr>
          <w:rFonts w:cs="Arial"/>
          <w:b/>
          <w:szCs w:val="22"/>
          <w:lang w:eastAsia="en-GB"/>
        </w:rPr>
        <w:t xml:space="preserve"> </w:t>
      </w:r>
      <w:r w:rsidR="00477ACD" w:rsidRPr="00AB5218">
        <w:rPr>
          <w:rFonts w:cs="Arial"/>
          <w:szCs w:val="22"/>
          <w:lang w:eastAsia="en-GB"/>
        </w:rPr>
        <w:t>(2017)</w:t>
      </w:r>
      <w:r w:rsidR="005259FE">
        <w:rPr>
          <w:rFonts w:cs="Arial"/>
          <w:szCs w:val="22"/>
          <w:lang w:eastAsia="en-GB"/>
        </w:rPr>
        <w:t xml:space="preserve"> [17]</w:t>
      </w:r>
      <w:r w:rsidR="00477ACD" w:rsidRPr="00AB5218">
        <w:rPr>
          <w:rFonts w:cs="Arial"/>
          <w:szCs w:val="22"/>
          <w:lang w:eastAsia="en-GB"/>
        </w:rPr>
        <w:t xml:space="preserve">. </w:t>
      </w:r>
      <w:r w:rsidR="00477ACD" w:rsidRPr="0070325A">
        <w:rPr>
          <w:rFonts w:cs="Arial"/>
          <w:szCs w:val="22"/>
          <w:lang w:eastAsia="en-GB"/>
        </w:rPr>
        <w:t xml:space="preserve">This guidance document was written with contributions from ONR to provide a practical approach to managing risks related to EMI in </w:t>
      </w:r>
      <w:r w:rsidR="0070325A" w:rsidRPr="0070325A">
        <w:rPr>
          <w:rFonts w:cs="Arial"/>
          <w:szCs w:val="22"/>
          <w:lang w:eastAsia="en-GB"/>
        </w:rPr>
        <w:t xml:space="preserve">the overall safety lifecycle of the </w:t>
      </w:r>
      <w:r w:rsidR="00477ACD" w:rsidRPr="0070325A">
        <w:rPr>
          <w:rFonts w:cs="Arial"/>
          <w:szCs w:val="22"/>
          <w:lang w:eastAsia="en-GB"/>
        </w:rPr>
        <w:t>safety systems. As such</w:t>
      </w:r>
      <w:r w:rsidR="00477ACD" w:rsidRPr="00AB5218">
        <w:rPr>
          <w:rFonts w:cs="Arial"/>
          <w:szCs w:val="22"/>
          <w:lang w:eastAsia="en-GB"/>
        </w:rPr>
        <w:t xml:space="preserve">, this guidance shows how existing lifecycle activities related to functional safety can </w:t>
      </w:r>
      <w:proofErr w:type="gramStart"/>
      <w:r w:rsidR="00477ACD" w:rsidRPr="00AB5218">
        <w:rPr>
          <w:rFonts w:cs="Arial"/>
          <w:szCs w:val="22"/>
          <w:lang w:eastAsia="en-GB"/>
        </w:rPr>
        <w:t>take into account</w:t>
      </w:r>
      <w:proofErr w:type="gramEnd"/>
      <w:r w:rsidR="00477ACD" w:rsidRPr="00AB5218">
        <w:rPr>
          <w:rFonts w:cs="Arial"/>
          <w:szCs w:val="22"/>
          <w:lang w:eastAsia="en-GB"/>
        </w:rPr>
        <w:t xml:space="preserve"> EMI </w:t>
      </w:r>
      <w:r w:rsidR="00606474">
        <w:rPr>
          <w:rFonts w:cs="Arial"/>
          <w:szCs w:val="22"/>
          <w:lang w:eastAsia="en-GB"/>
        </w:rPr>
        <w:t xml:space="preserve">in order </w:t>
      </w:r>
      <w:r w:rsidR="00477ACD" w:rsidRPr="00AB5218">
        <w:rPr>
          <w:rFonts w:cs="Arial"/>
          <w:szCs w:val="22"/>
          <w:lang w:eastAsia="en-GB"/>
        </w:rPr>
        <w:t xml:space="preserve">to demonstrate a structured approach to the management of </w:t>
      </w:r>
      <w:r w:rsidR="00043406">
        <w:rPr>
          <w:rFonts w:cs="Arial"/>
          <w:szCs w:val="22"/>
          <w:lang w:eastAsia="en-GB"/>
        </w:rPr>
        <w:t xml:space="preserve">the functional safety risks </w:t>
      </w:r>
      <w:r w:rsidR="00606474">
        <w:rPr>
          <w:rFonts w:cs="Arial"/>
          <w:szCs w:val="22"/>
          <w:lang w:eastAsia="en-GB"/>
        </w:rPr>
        <w:t>that arise from</w:t>
      </w:r>
      <w:r w:rsidR="00043406">
        <w:rPr>
          <w:rFonts w:cs="Arial"/>
          <w:szCs w:val="22"/>
          <w:lang w:eastAsia="en-GB"/>
        </w:rPr>
        <w:t xml:space="preserve"> electromagnetic disturbances</w:t>
      </w:r>
      <w:r w:rsidR="00477ACD" w:rsidRPr="00AB5218">
        <w:rPr>
          <w:rFonts w:cs="Arial"/>
          <w:szCs w:val="22"/>
          <w:lang w:eastAsia="en-GB"/>
        </w:rPr>
        <w:t>.</w:t>
      </w:r>
    </w:p>
    <w:p w14:paraId="2C30C1E8" w14:textId="77777777" w:rsidR="0034416F" w:rsidRDefault="0034416F" w:rsidP="0034416F">
      <w:pPr>
        <w:autoSpaceDE w:val="0"/>
        <w:autoSpaceDN w:val="0"/>
        <w:adjustRightInd w:val="0"/>
        <w:ind w:left="720"/>
        <w:rPr>
          <w:rFonts w:cs="Arial"/>
          <w:szCs w:val="22"/>
          <w:lang w:eastAsia="en-GB"/>
        </w:rPr>
      </w:pPr>
    </w:p>
    <w:p w14:paraId="658BA35E" w14:textId="77777777" w:rsidR="009B5159" w:rsidRPr="00AB5218" w:rsidRDefault="009B5159" w:rsidP="009B5159">
      <w:pPr>
        <w:pStyle w:val="TSHeadingNumbered1"/>
        <w:rPr>
          <w:rFonts w:ascii="Arial" w:hAnsi="Arial" w:cs="Arial"/>
          <w:szCs w:val="22"/>
        </w:rPr>
      </w:pPr>
      <w:bookmarkStart w:id="7" w:name="_Toc38355059"/>
      <w:bookmarkStart w:id="8" w:name="_Toc38355060"/>
      <w:bookmarkStart w:id="9" w:name="_Toc38355061"/>
      <w:bookmarkStart w:id="10" w:name="_Toc41564455"/>
      <w:bookmarkEnd w:id="7"/>
      <w:bookmarkEnd w:id="8"/>
      <w:bookmarkEnd w:id="9"/>
      <w:r w:rsidRPr="00AB5218">
        <w:rPr>
          <w:rFonts w:ascii="Arial" w:hAnsi="Arial" w:cs="Arial"/>
          <w:szCs w:val="22"/>
        </w:rPr>
        <w:t>ADVICE TO INSPECTORS</w:t>
      </w:r>
      <w:bookmarkEnd w:id="10"/>
    </w:p>
    <w:p w14:paraId="39072EEE" w14:textId="77777777" w:rsidR="00523C58" w:rsidRPr="00AB5218" w:rsidRDefault="006A15CC" w:rsidP="00471B2F">
      <w:pPr>
        <w:pStyle w:val="TSNumberedParagraph11"/>
        <w:ind w:left="720"/>
        <w:rPr>
          <w:rFonts w:cs="Arial"/>
          <w:b/>
          <w:szCs w:val="22"/>
          <w:u w:val="single"/>
        </w:rPr>
      </w:pPr>
      <w:r w:rsidRPr="00AB5218">
        <w:rPr>
          <w:rFonts w:cs="Arial"/>
          <w:b/>
          <w:szCs w:val="22"/>
          <w:u w:val="single"/>
        </w:rPr>
        <w:t>Definition</w:t>
      </w:r>
      <w:r w:rsidR="002E3F32" w:rsidRPr="00AB5218">
        <w:rPr>
          <w:rFonts w:cs="Arial"/>
          <w:b/>
          <w:szCs w:val="22"/>
          <w:u w:val="single"/>
        </w:rPr>
        <w:t>s</w:t>
      </w:r>
    </w:p>
    <w:p w14:paraId="63A03BDF" w14:textId="77777777" w:rsidR="00A01F3E" w:rsidRDefault="00E55F5D" w:rsidP="00A01F3E">
      <w:pPr>
        <w:numPr>
          <w:ilvl w:val="0"/>
          <w:numId w:val="37"/>
        </w:numPr>
        <w:autoSpaceDE w:val="0"/>
        <w:autoSpaceDN w:val="0"/>
        <w:adjustRightInd w:val="0"/>
        <w:rPr>
          <w:rFonts w:cs="Arial"/>
          <w:szCs w:val="22"/>
          <w:lang w:eastAsia="en-GB"/>
        </w:rPr>
      </w:pPr>
      <w:r w:rsidRPr="00AB5218">
        <w:rPr>
          <w:rFonts w:cs="Arial"/>
          <w:b/>
          <w:szCs w:val="22"/>
          <w:lang w:eastAsia="en-GB"/>
        </w:rPr>
        <w:t>E</w:t>
      </w:r>
      <w:r w:rsidR="00BE0E59" w:rsidRPr="00AB5218">
        <w:rPr>
          <w:rFonts w:cs="Arial"/>
          <w:b/>
          <w:szCs w:val="22"/>
          <w:lang w:eastAsia="en-GB"/>
        </w:rPr>
        <w:t xml:space="preserve">lectromagnetic </w:t>
      </w:r>
      <w:r w:rsidRPr="00AB5218">
        <w:rPr>
          <w:rFonts w:cs="Arial"/>
          <w:b/>
          <w:szCs w:val="22"/>
          <w:lang w:eastAsia="en-GB"/>
        </w:rPr>
        <w:t>disturbances</w:t>
      </w:r>
      <w:r w:rsidRPr="00AB5218">
        <w:rPr>
          <w:rFonts w:cs="Arial"/>
          <w:szCs w:val="22"/>
          <w:lang w:eastAsia="en-GB"/>
        </w:rPr>
        <w:t xml:space="preserve"> can result from a range of sources including </w:t>
      </w:r>
      <w:r w:rsidR="00BE0E59" w:rsidRPr="00AB5218">
        <w:rPr>
          <w:rFonts w:cs="Arial"/>
          <w:szCs w:val="22"/>
          <w:lang w:eastAsia="en-GB"/>
        </w:rPr>
        <w:t xml:space="preserve">natural </w:t>
      </w:r>
      <w:r w:rsidR="006F33D4" w:rsidRPr="00AB5218">
        <w:rPr>
          <w:rFonts w:cs="Arial"/>
          <w:szCs w:val="22"/>
          <w:lang w:eastAsia="en-GB"/>
        </w:rPr>
        <w:t xml:space="preserve">environmental </w:t>
      </w:r>
      <w:r w:rsidR="00BE0E59" w:rsidRPr="00AB5218">
        <w:rPr>
          <w:rFonts w:cs="Arial"/>
          <w:szCs w:val="22"/>
          <w:lang w:eastAsia="en-GB"/>
        </w:rPr>
        <w:t>phenomena (</w:t>
      </w:r>
      <w:proofErr w:type="gramStart"/>
      <w:r w:rsidR="00BE0E59" w:rsidRPr="00AB5218">
        <w:rPr>
          <w:rFonts w:cs="Arial"/>
          <w:szCs w:val="22"/>
          <w:lang w:eastAsia="en-GB"/>
        </w:rPr>
        <w:t>e.g.</w:t>
      </w:r>
      <w:proofErr w:type="gramEnd"/>
      <w:r w:rsidR="00BE0E59" w:rsidRPr="00AB5218">
        <w:rPr>
          <w:rFonts w:cs="Arial"/>
          <w:szCs w:val="22"/>
          <w:lang w:eastAsia="en-GB"/>
        </w:rPr>
        <w:t xml:space="preserve"> </w:t>
      </w:r>
      <w:r w:rsidR="006F33D4" w:rsidRPr="00AB5218">
        <w:rPr>
          <w:rFonts w:cs="Arial"/>
          <w:szCs w:val="22"/>
          <w:lang w:eastAsia="en-GB"/>
        </w:rPr>
        <w:t xml:space="preserve">electrical storms, </w:t>
      </w:r>
      <w:r w:rsidR="00BE0E59" w:rsidRPr="00AB5218">
        <w:rPr>
          <w:rFonts w:cs="Arial"/>
          <w:szCs w:val="22"/>
          <w:lang w:eastAsia="en-GB"/>
        </w:rPr>
        <w:t>lightning</w:t>
      </w:r>
      <w:r w:rsidR="00FE1FA6" w:rsidRPr="00AB5218">
        <w:rPr>
          <w:rFonts w:cs="Arial"/>
          <w:szCs w:val="22"/>
          <w:lang w:eastAsia="en-GB"/>
        </w:rPr>
        <w:t>, static discharge</w:t>
      </w:r>
      <w:r w:rsidR="00BE0E59" w:rsidRPr="00AB5218">
        <w:rPr>
          <w:rFonts w:cs="Arial"/>
          <w:szCs w:val="22"/>
          <w:lang w:eastAsia="en-GB"/>
        </w:rPr>
        <w:t>)</w:t>
      </w:r>
      <w:r w:rsidR="006F33D4" w:rsidRPr="00AB5218">
        <w:rPr>
          <w:rFonts w:cs="Arial"/>
          <w:szCs w:val="22"/>
          <w:lang w:eastAsia="en-GB"/>
        </w:rPr>
        <w:t xml:space="preserve">, </w:t>
      </w:r>
      <w:r w:rsidRPr="00AB5218">
        <w:rPr>
          <w:rFonts w:cs="Arial"/>
          <w:szCs w:val="22"/>
          <w:lang w:eastAsia="en-GB"/>
        </w:rPr>
        <w:t>and electronic/electrical/programmable electronic</w:t>
      </w:r>
      <w:r w:rsidR="006F33D4" w:rsidRPr="00AB5218">
        <w:rPr>
          <w:rFonts w:cs="Arial"/>
          <w:szCs w:val="22"/>
          <w:lang w:eastAsia="en-GB"/>
        </w:rPr>
        <w:t xml:space="preserve"> </w:t>
      </w:r>
      <w:r w:rsidR="001B6E7B" w:rsidRPr="00AB5218">
        <w:rPr>
          <w:rFonts w:cs="Arial"/>
          <w:szCs w:val="22"/>
          <w:lang w:eastAsia="en-GB"/>
        </w:rPr>
        <w:t xml:space="preserve">(E/E/PE) </w:t>
      </w:r>
      <w:r w:rsidR="00B24673" w:rsidRPr="00AB5218">
        <w:rPr>
          <w:rFonts w:cs="Arial"/>
          <w:szCs w:val="22"/>
          <w:lang w:eastAsia="en-GB"/>
        </w:rPr>
        <w:t xml:space="preserve">equipment operations and/or faults </w:t>
      </w:r>
      <w:r w:rsidR="00836AAE">
        <w:rPr>
          <w:rFonts w:cs="Arial"/>
          <w:szCs w:val="22"/>
          <w:lang w:eastAsia="en-GB"/>
        </w:rPr>
        <w:t>(</w:t>
      </w:r>
      <w:r w:rsidR="00D1217A">
        <w:rPr>
          <w:rFonts w:cs="Arial"/>
          <w:szCs w:val="22"/>
          <w:lang w:eastAsia="en-GB"/>
        </w:rPr>
        <w:t xml:space="preserve">modified </w:t>
      </w:r>
      <w:r w:rsidR="00836AAE">
        <w:rPr>
          <w:rFonts w:cs="Arial"/>
          <w:szCs w:val="22"/>
          <w:lang w:eastAsia="en-GB"/>
        </w:rPr>
        <w:t>from [10]).</w:t>
      </w:r>
      <w:r w:rsidR="00806A8B">
        <w:rPr>
          <w:rFonts w:cs="Arial"/>
          <w:szCs w:val="22"/>
          <w:lang w:eastAsia="en-GB"/>
        </w:rPr>
        <w:t xml:space="preserve"> </w:t>
      </w:r>
      <w:r w:rsidR="00806A8B" w:rsidRPr="00806A8B">
        <w:rPr>
          <w:rFonts w:cs="Arial"/>
          <w:szCs w:val="22"/>
          <w:lang w:eastAsia="en-GB"/>
        </w:rPr>
        <w:t xml:space="preserve">These may propagate from a source by </w:t>
      </w:r>
      <w:r w:rsidR="00A01F3E">
        <w:rPr>
          <w:rFonts w:cs="Arial"/>
          <w:szCs w:val="22"/>
          <w:lang w:eastAsia="en-GB"/>
        </w:rPr>
        <w:t xml:space="preserve">a range of mechanisms, </w:t>
      </w:r>
      <w:proofErr w:type="gramStart"/>
      <w:r w:rsidR="00A01F3E">
        <w:rPr>
          <w:rFonts w:cs="Arial"/>
          <w:szCs w:val="22"/>
          <w:lang w:eastAsia="en-GB"/>
        </w:rPr>
        <w:t>e.g.</w:t>
      </w:r>
      <w:proofErr w:type="gramEnd"/>
      <w:r w:rsidR="007613E3">
        <w:rPr>
          <w:rFonts w:cs="Arial"/>
          <w:szCs w:val="22"/>
          <w:lang w:eastAsia="en-GB"/>
        </w:rPr>
        <w:t xml:space="preserve"> by</w:t>
      </w:r>
      <w:r w:rsidR="00A01F3E">
        <w:rPr>
          <w:rFonts w:cs="Arial"/>
          <w:szCs w:val="22"/>
          <w:lang w:eastAsia="en-GB"/>
        </w:rPr>
        <w:t xml:space="preserve">: </w:t>
      </w:r>
    </w:p>
    <w:p w14:paraId="1525CAEE" w14:textId="77777777" w:rsidR="00A01F3E" w:rsidRDefault="007613E3" w:rsidP="00606474">
      <w:pPr>
        <w:pStyle w:val="TSBullet1Square"/>
        <w:rPr>
          <w:lang w:eastAsia="en-GB"/>
        </w:rPr>
      </w:pPr>
      <w:r>
        <w:rPr>
          <w:lang w:eastAsia="en-GB"/>
        </w:rPr>
        <w:t>electrical conduction</w:t>
      </w:r>
      <w:r w:rsidR="00B22051">
        <w:rPr>
          <w:lang w:eastAsia="en-GB"/>
        </w:rPr>
        <w:t xml:space="preserve"> </w:t>
      </w:r>
      <w:r w:rsidR="00A01F3E">
        <w:rPr>
          <w:lang w:eastAsia="en-GB"/>
        </w:rPr>
        <w:t xml:space="preserve">through </w:t>
      </w:r>
      <w:r w:rsidR="00806A8B" w:rsidRPr="00A01F3E">
        <w:rPr>
          <w:lang w:eastAsia="en-GB"/>
        </w:rPr>
        <w:t xml:space="preserve">equipment and installations such as electrical wiring, metal work, etc., </w:t>
      </w:r>
    </w:p>
    <w:p w14:paraId="65E6DC08" w14:textId="77777777" w:rsidR="00A01F3E" w:rsidRDefault="00806A8B" w:rsidP="00606474">
      <w:pPr>
        <w:pStyle w:val="TSBullet1Square"/>
        <w:rPr>
          <w:lang w:eastAsia="en-GB"/>
        </w:rPr>
      </w:pPr>
      <w:r w:rsidRPr="00A01F3E">
        <w:rPr>
          <w:lang w:eastAsia="en-GB"/>
        </w:rPr>
        <w:t>electromagnetic induc</w:t>
      </w:r>
      <w:r w:rsidR="00A01F3E">
        <w:rPr>
          <w:lang w:eastAsia="en-GB"/>
        </w:rPr>
        <w:t>tion</w:t>
      </w:r>
      <w:r w:rsidRPr="00A01F3E">
        <w:rPr>
          <w:lang w:eastAsia="en-GB"/>
        </w:rPr>
        <w:t xml:space="preserve"> between conducting items,</w:t>
      </w:r>
      <w:r w:rsidR="0082446D">
        <w:rPr>
          <w:lang w:eastAsia="en-GB"/>
        </w:rPr>
        <w:t xml:space="preserve"> </w:t>
      </w:r>
    </w:p>
    <w:p w14:paraId="64941B5C" w14:textId="77777777" w:rsidR="00D26166" w:rsidRPr="00A01F3E" w:rsidRDefault="00860D44" w:rsidP="00606474">
      <w:pPr>
        <w:pStyle w:val="TSBullet1Square"/>
        <w:rPr>
          <w:lang w:eastAsia="en-GB"/>
        </w:rPr>
      </w:pPr>
      <w:r>
        <w:rPr>
          <w:lang w:eastAsia="en-GB"/>
        </w:rPr>
        <w:t xml:space="preserve">electromagnetic radiation </w:t>
      </w:r>
      <w:r w:rsidR="007613E3">
        <w:rPr>
          <w:lang w:eastAsia="en-GB"/>
        </w:rPr>
        <w:t>(</w:t>
      </w:r>
      <w:proofErr w:type="gramStart"/>
      <w:r w:rsidR="007613E3">
        <w:rPr>
          <w:lang w:eastAsia="en-GB"/>
        </w:rPr>
        <w:t>e.g.</w:t>
      </w:r>
      <w:proofErr w:type="gramEnd"/>
      <w:r w:rsidR="007613E3">
        <w:rPr>
          <w:lang w:eastAsia="en-GB"/>
        </w:rPr>
        <w:t xml:space="preserve"> from mobile phones)</w:t>
      </w:r>
      <w:r w:rsidR="00806A8B" w:rsidRPr="00A01F3E">
        <w:rPr>
          <w:lang w:eastAsia="en-GB"/>
        </w:rPr>
        <w:t>.</w:t>
      </w:r>
    </w:p>
    <w:p w14:paraId="20EA8D50" w14:textId="77777777" w:rsidR="0079632B" w:rsidRDefault="001F0697" w:rsidP="00F115E1">
      <w:pPr>
        <w:autoSpaceDE w:val="0"/>
        <w:autoSpaceDN w:val="0"/>
        <w:adjustRightInd w:val="0"/>
        <w:ind w:left="709" w:hanging="709"/>
        <w:rPr>
          <w:rFonts w:cs="Arial"/>
          <w:szCs w:val="22"/>
          <w:lang w:eastAsia="en-GB"/>
        </w:rPr>
      </w:pPr>
      <w:r>
        <w:rPr>
          <w:rFonts w:cs="Arial"/>
          <w:szCs w:val="22"/>
          <w:lang w:eastAsia="en-GB"/>
        </w:rPr>
        <w:t>5.2</w:t>
      </w:r>
      <w:r>
        <w:rPr>
          <w:rFonts w:cs="Arial"/>
          <w:szCs w:val="22"/>
          <w:lang w:eastAsia="en-GB"/>
        </w:rPr>
        <w:tab/>
      </w:r>
      <w:r w:rsidR="00471B2F" w:rsidRPr="00B3126D">
        <w:rPr>
          <w:rFonts w:cs="Arial"/>
          <w:szCs w:val="22"/>
          <w:lang w:eastAsia="en-GB"/>
        </w:rPr>
        <w:t xml:space="preserve">As a result of exposure to electromagnetic disturbances, E/E/PE systems and/or components can suffer degradation in performance. This effect is known as </w:t>
      </w:r>
      <w:r w:rsidR="00471B2F" w:rsidRPr="00B3126D">
        <w:rPr>
          <w:rFonts w:cs="Arial"/>
          <w:b/>
          <w:szCs w:val="22"/>
          <w:lang w:eastAsia="en-GB"/>
        </w:rPr>
        <w:t>Electromagnetic Interference</w:t>
      </w:r>
      <w:r w:rsidR="00471B2F" w:rsidRPr="00B3126D">
        <w:rPr>
          <w:rFonts w:cs="Arial"/>
          <w:szCs w:val="22"/>
          <w:lang w:eastAsia="en-GB"/>
        </w:rPr>
        <w:t xml:space="preserve"> (EMI)</w:t>
      </w:r>
      <w:r w:rsidR="00836AAE">
        <w:rPr>
          <w:rFonts w:cs="Arial"/>
          <w:szCs w:val="22"/>
          <w:lang w:eastAsia="en-GB"/>
        </w:rPr>
        <w:t xml:space="preserve"> (</w:t>
      </w:r>
      <w:r w:rsidR="00D1217A">
        <w:rPr>
          <w:rFonts w:cs="Arial"/>
          <w:szCs w:val="22"/>
          <w:lang w:eastAsia="en-GB"/>
        </w:rPr>
        <w:t xml:space="preserve">modified </w:t>
      </w:r>
      <w:r w:rsidR="00836AAE">
        <w:rPr>
          <w:rFonts w:cs="Arial"/>
          <w:szCs w:val="22"/>
          <w:lang w:eastAsia="en-GB"/>
        </w:rPr>
        <w:t>from [10])</w:t>
      </w:r>
      <w:r w:rsidR="00471B2F" w:rsidRPr="00B3126D">
        <w:rPr>
          <w:rFonts w:cs="Arial"/>
          <w:szCs w:val="22"/>
          <w:lang w:eastAsia="en-GB"/>
        </w:rPr>
        <w:t xml:space="preserve">. </w:t>
      </w:r>
      <w:r w:rsidR="009E5F80">
        <w:rPr>
          <w:rFonts w:cs="Arial"/>
          <w:szCs w:val="22"/>
          <w:lang w:eastAsia="en-GB"/>
        </w:rPr>
        <w:t xml:space="preserve"> </w:t>
      </w:r>
      <w:r w:rsidR="00471B2F" w:rsidRPr="00B3126D">
        <w:rPr>
          <w:rFonts w:cs="Arial"/>
          <w:szCs w:val="22"/>
          <w:lang w:eastAsia="en-GB"/>
        </w:rPr>
        <w:t>EMI may give rise to errors, malfunction or failures of plant systems including plant utilities, communication systems, control systems, and safety systems</w:t>
      </w:r>
      <w:r w:rsidR="0079632B" w:rsidRPr="00B3126D">
        <w:rPr>
          <w:rFonts w:cs="Arial"/>
          <w:szCs w:val="22"/>
          <w:lang w:eastAsia="en-GB"/>
        </w:rPr>
        <w:t xml:space="preserve">.  </w:t>
      </w:r>
      <w:r w:rsidR="00471B2F" w:rsidRPr="00B3126D">
        <w:rPr>
          <w:rFonts w:cs="Arial"/>
          <w:szCs w:val="22"/>
          <w:lang w:eastAsia="en-GB"/>
        </w:rPr>
        <w:t>EMI can therefore result in loss or degradation of safety functionality</w:t>
      </w:r>
      <w:r w:rsidR="00214768" w:rsidRPr="00B3126D">
        <w:rPr>
          <w:rFonts w:cs="Arial"/>
          <w:szCs w:val="22"/>
          <w:lang w:eastAsia="en-GB"/>
        </w:rPr>
        <w:t>.</w:t>
      </w:r>
    </w:p>
    <w:p w14:paraId="613BF753" w14:textId="77777777" w:rsidR="00B3126D" w:rsidRPr="00B3126D" w:rsidRDefault="00B3126D" w:rsidP="00B3126D">
      <w:pPr>
        <w:autoSpaceDE w:val="0"/>
        <w:autoSpaceDN w:val="0"/>
        <w:adjustRightInd w:val="0"/>
        <w:ind w:left="720"/>
        <w:rPr>
          <w:rFonts w:cs="Arial"/>
          <w:szCs w:val="22"/>
          <w:lang w:eastAsia="en-GB"/>
        </w:rPr>
      </w:pPr>
    </w:p>
    <w:p w14:paraId="548C0D02" w14:textId="77777777" w:rsidR="00471B2F" w:rsidRPr="00AB5218" w:rsidRDefault="001F0697" w:rsidP="00F115E1">
      <w:pPr>
        <w:autoSpaceDE w:val="0"/>
        <w:autoSpaceDN w:val="0"/>
        <w:adjustRightInd w:val="0"/>
        <w:ind w:left="709" w:hanging="709"/>
        <w:rPr>
          <w:rFonts w:cs="Arial"/>
          <w:szCs w:val="22"/>
          <w:lang w:eastAsia="en-GB"/>
        </w:rPr>
      </w:pPr>
      <w:r w:rsidRPr="00F115E1">
        <w:rPr>
          <w:rFonts w:cs="Arial"/>
          <w:szCs w:val="22"/>
          <w:lang w:eastAsia="en-GB"/>
        </w:rPr>
        <w:t>5.3</w:t>
      </w:r>
      <w:r w:rsidRPr="00F115E1">
        <w:rPr>
          <w:rFonts w:cs="Arial"/>
          <w:szCs w:val="22"/>
          <w:lang w:eastAsia="en-GB"/>
        </w:rPr>
        <w:tab/>
      </w:r>
      <w:r w:rsidR="00471B2F" w:rsidRPr="00AB5218">
        <w:rPr>
          <w:rFonts w:cs="Arial"/>
          <w:b/>
          <w:szCs w:val="22"/>
          <w:lang w:eastAsia="en-GB"/>
        </w:rPr>
        <w:t>Electromagnetic compatibility</w:t>
      </w:r>
      <w:r w:rsidR="00471B2F" w:rsidRPr="00AB5218">
        <w:rPr>
          <w:rFonts w:cs="Arial"/>
          <w:szCs w:val="22"/>
          <w:lang w:eastAsia="en-GB"/>
        </w:rPr>
        <w:t xml:space="preserve"> (EMC) is the ability of a system and/or components to function satisfactorily in its intended operating environment without introducing intolerable EMI to other equipment in that environment</w:t>
      </w:r>
      <w:r w:rsidR="00836AAE">
        <w:rPr>
          <w:rFonts w:cs="Arial"/>
          <w:szCs w:val="22"/>
          <w:lang w:eastAsia="en-GB"/>
        </w:rPr>
        <w:t xml:space="preserve"> (</w:t>
      </w:r>
      <w:r w:rsidR="00D1217A">
        <w:rPr>
          <w:rFonts w:cs="Arial"/>
          <w:szCs w:val="22"/>
          <w:lang w:eastAsia="en-GB"/>
        </w:rPr>
        <w:t xml:space="preserve">modified </w:t>
      </w:r>
      <w:r w:rsidR="00836AAE">
        <w:rPr>
          <w:rFonts w:cs="Arial"/>
          <w:szCs w:val="22"/>
          <w:lang w:eastAsia="en-GB"/>
        </w:rPr>
        <w:t xml:space="preserve">from [10] </w:t>
      </w:r>
      <w:r w:rsidR="00D1217A">
        <w:rPr>
          <w:rFonts w:cs="Arial"/>
          <w:szCs w:val="22"/>
          <w:lang w:eastAsia="en-GB"/>
        </w:rPr>
        <w:t xml:space="preserve">and </w:t>
      </w:r>
      <w:r w:rsidR="00836AAE">
        <w:rPr>
          <w:rFonts w:cs="Arial"/>
          <w:szCs w:val="22"/>
          <w:lang w:eastAsia="en-GB"/>
        </w:rPr>
        <w:t>[17])</w:t>
      </w:r>
      <w:r w:rsidR="00093271" w:rsidRPr="00AB5218">
        <w:rPr>
          <w:rFonts w:cs="Arial"/>
          <w:szCs w:val="22"/>
          <w:lang w:eastAsia="en-GB"/>
        </w:rPr>
        <w:t>.</w:t>
      </w:r>
    </w:p>
    <w:p w14:paraId="1BDBE81C" w14:textId="77777777" w:rsidR="00093271" w:rsidRPr="00AB5218" w:rsidRDefault="00093271" w:rsidP="00093271">
      <w:pPr>
        <w:autoSpaceDE w:val="0"/>
        <w:autoSpaceDN w:val="0"/>
        <w:adjustRightInd w:val="0"/>
        <w:rPr>
          <w:rFonts w:cs="Arial"/>
          <w:szCs w:val="22"/>
          <w:lang w:eastAsia="en-GB"/>
        </w:rPr>
      </w:pPr>
    </w:p>
    <w:p w14:paraId="5E64409A" w14:textId="77777777" w:rsidR="00BC5139" w:rsidRPr="00AB5218" w:rsidRDefault="001F0697" w:rsidP="00F115E1">
      <w:pPr>
        <w:autoSpaceDE w:val="0"/>
        <w:autoSpaceDN w:val="0"/>
        <w:adjustRightInd w:val="0"/>
        <w:ind w:left="709" w:hanging="709"/>
        <w:rPr>
          <w:rFonts w:cs="Arial"/>
          <w:szCs w:val="22"/>
        </w:rPr>
      </w:pPr>
      <w:r>
        <w:rPr>
          <w:rFonts w:cs="Arial"/>
          <w:szCs w:val="22"/>
          <w:lang w:eastAsia="en-GB"/>
        </w:rPr>
        <w:t>5.4</w:t>
      </w:r>
      <w:r>
        <w:rPr>
          <w:rFonts w:cs="Arial"/>
          <w:szCs w:val="22"/>
          <w:lang w:eastAsia="en-GB"/>
        </w:rPr>
        <w:tab/>
      </w:r>
      <w:r w:rsidR="00BC5139" w:rsidRPr="00AB5218">
        <w:rPr>
          <w:rFonts w:cs="Arial"/>
          <w:szCs w:val="22"/>
          <w:lang w:eastAsia="en-GB"/>
        </w:rPr>
        <w:t>ONR inspectors should note that, in general, compliance with conventional EMC engineering requirements (</w:t>
      </w:r>
      <w:proofErr w:type="gramStart"/>
      <w:r w:rsidR="00BC5139" w:rsidRPr="00AB5218">
        <w:rPr>
          <w:rFonts w:cs="Arial"/>
          <w:szCs w:val="22"/>
          <w:lang w:eastAsia="en-GB"/>
        </w:rPr>
        <w:t>i.e.</w:t>
      </w:r>
      <w:proofErr w:type="gramEnd"/>
      <w:r w:rsidR="00BC5139" w:rsidRPr="00AB5218">
        <w:rPr>
          <w:rFonts w:cs="Arial"/>
          <w:szCs w:val="22"/>
          <w:lang w:eastAsia="en-GB"/>
        </w:rPr>
        <w:t xml:space="preserve"> EMC approaches aimed at electrical and electronic equipment intended for non-safety applications</w:t>
      </w:r>
      <w:r w:rsidR="00BC5139" w:rsidRPr="0016394F">
        <w:rPr>
          <w:rFonts w:cs="Arial"/>
          <w:szCs w:val="22"/>
          <w:lang w:eastAsia="en-GB"/>
        </w:rPr>
        <w:t xml:space="preserve">) </w:t>
      </w:r>
      <w:r w:rsidR="00D1217A">
        <w:rPr>
          <w:rFonts w:cs="Arial"/>
          <w:szCs w:val="22"/>
          <w:lang w:eastAsia="en-GB"/>
        </w:rPr>
        <w:t>is unlikely to</w:t>
      </w:r>
      <w:r w:rsidR="00BC5139" w:rsidRPr="00AB5218">
        <w:rPr>
          <w:rFonts w:cs="Arial"/>
          <w:szCs w:val="22"/>
          <w:lang w:eastAsia="en-GB"/>
        </w:rPr>
        <w:t xml:space="preserve"> be sufficient to demonstrate adequate performance of a safety system throughout its lifecycle with respect to EMI. </w:t>
      </w:r>
    </w:p>
    <w:p w14:paraId="470F4A42" w14:textId="77777777" w:rsidR="00093271" w:rsidRPr="00AB5218" w:rsidRDefault="00093271" w:rsidP="00093271">
      <w:pPr>
        <w:autoSpaceDE w:val="0"/>
        <w:autoSpaceDN w:val="0"/>
        <w:adjustRightInd w:val="0"/>
        <w:rPr>
          <w:rFonts w:cs="Arial"/>
          <w:szCs w:val="22"/>
        </w:rPr>
      </w:pPr>
    </w:p>
    <w:p w14:paraId="30A0988C" w14:textId="77777777" w:rsidR="00BC5139" w:rsidRPr="00AB5218" w:rsidRDefault="001F0697" w:rsidP="00F115E1">
      <w:pPr>
        <w:autoSpaceDE w:val="0"/>
        <w:autoSpaceDN w:val="0"/>
        <w:adjustRightInd w:val="0"/>
        <w:ind w:left="709" w:hanging="709"/>
        <w:rPr>
          <w:rFonts w:cs="Arial"/>
          <w:szCs w:val="22"/>
          <w:lang w:eastAsia="en-GB"/>
        </w:rPr>
      </w:pPr>
      <w:r>
        <w:rPr>
          <w:rFonts w:cs="Arial"/>
          <w:szCs w:val="22"/>
          <w:lang w:eastAsia="en-GB"/>
        </w:rPr>
        <w:t>5.5</w:t>
      </w:r>
      <w:r>
        <w:rPr>
          <w:rFonts w:cs="Arial"/>
          <w:szCs w:val="22"/>
          <w:lang w:eastAsia="en-GB"/>
        </w:rPr>
        <w:tab/>
      </w:r>
      <w:r w:rsidR="00BC5139" w:rsidRPr="00AB5218">
        <w:rPr>
          <w:rFonts w:cs="Arial"/>
          <w:szCs w:val="22"/>
          <w:lang w:eastAsia="en-GB"/>
        </w:rPr>
        <w:t>In order to directly address the area of functional safety performance of safety systems with respect to electromagnetic disturbances, the concept of ‘electromagnetic resilience’ (ER) is used in this guide, as distinct to ‘electromagnetic compatibility’ (EMC).</w:t>
      </w:r>
    </w:p>
    <w:p w14:paraId="1C091325" w14:textId="77777777" w:rsidR="00093271" w:rsidRPr="00AB5218" w:rsidRDefault="00093271" w:rsidP="00093271">
      <w:pPr>
        <w:pStyle w:val="ListParagraph"/>
        <w:rPr>
          <w:rFonts w:cs="Arial"/>
          <w:szCs w:val="22"/>
          <w:lang w:eastAsia="en-GB"/>
        </w:rPr>
      </w:pPr>
    </w:p>
    <w:p w14:paraId="23303594" w14:textId="77777777" w:rsidR="00582E72" w:rsidRPr="00AB5218" w:rsidRDefault="001F0697" w:rsidP="00F115E1">
      <w:pPr>
        <w:autoSpaceDE w:val="0"/>
        <w:autoSpaceDN w:val="0"/>
        <w:adjustRightInd w:val="0"/>
        <w:ind w:left="709" w:hanging="709"/>
        <w:rPr>
          <w:rFonts w:cs="Arial"/>
          <w:szCs w:val="22"/>
          <w:lang w:eastAsia="en-GB"/>
        </w:rPr>
      </w:pPr>
      <w:r w:rsidRPr="00F115E1">
        <w:rPr>
          <w:rFonts w:cs="Arial"/>
          <w:szCs w:val="22"/>
          <w:lang w:eastAsia="en-GB"/>
        </w:rPr>
        <w:t>5.6</w:t>
      </w:r>
      <w:r w:rsidRPr="00F115E1">
        <w:rPr>
          <w:rFonts w:cs="Arial"/>
          <w:szCs w:val="22"/>
          <w:lang w:eastAsia="en-GB"/>
        </w:rPr>
        <w:tab/>
      </w:r>
      <w:r w:rsidR="00582E72" w:rsidRPr="00AB5218">
        <w:rPr>
          <w:rFonts w:cs="Arial"/>
          <w:b/>
          <w:szCs w:val="22"/>
          <w:lang w:eastAsia="en-GB"/>
        </w:rPr>
        <w:t>Electromagnetic resilience</w:t>
      </w:r>
      <w:r w:rsidR="00582E72" w:rsidRPr="00AB5218">
        <w:rPr>
          <w:rFonts w:cs="Arial"/>
          <w:szCs w:val="22"/>
          <w:lang w:eastAsia="en-GB"/>
        </w:rPr>
        <w:t xml:space="preserve"> is the capability of a safety system to maintain adequate performance of its safety functions, with respect to electromagnetic disturbances, as necessary throughout its lifecycle.</w:t>
      </w:r>
      <w:r w:rsidR="00836AAE">
        <w:rPr>
          <w:rFonts w:cs="Arial"/>
          <w:szCs w:val="22"/>
          <w:lang w:eastAsia="en-GB"/>
        </w:rPr>
        <w:t xml:space="preserve"> (</w:t>
      </w:r>
      <w:proofErr w:type="gramStart"/>
      <w:r w:rsidR="00D1217A">
        <w:rPr>
          <w:rFonts w:cs="Arial"/>
          <w:szCs w:val="22"/>
          <w:lang w:eastAsia="en-GB"/>
        </w:rPr>
        <w:t>modified</w:t>
      </w:r>
      <w:proofErr w:type="gramEnd"/>
      <w:r w:rsidR="00D1217A">
        <w:rPr>
          <w:rFonts w:cs="Arial"/>
          <w:szCs w:val="22"/>
          <w:lang w:eastAsia="en-GB"/>
        </w:rPr>
        <w:t xml:space="preserve"> </w:t>
      </w:r>
      <w:r w:rsidR="00836AAE">
        <w:rPr>
          <w:rFonts w:cs="Arial"/>
          <w:szCs w:val="22"/>
          <w:lang w:eastAsia="en-GB"/>
        </w:rPr>
        <w:t>from [17]).</w:t>
      </w:r>
    </w:p>
    <w:p w14:paraId="0B843F04" w14:textId="77777777" w:rsidR="00093271" w:rsidRPr="00AB5218" w:rsidRDefault="00093271" w:rsidP="00093271">
      <w:pPr>
        <w:pStyle w:val="ListParagraph"/>
        <w:rPr>
          <w:rFonts w:cs="Arial"/>
          <w:szCs w:val="22"/>
          <w:lang w:eastAsia="en-GB"/>
        </w:rPr>
      </w:pPr>
    </w:p>
    <w:p w14:paraId="6B724488" w14:textId="77777777" w:rsidR="00FA52FC" w:rsidRPr="00AB5218" w:rsidRDefault="00694F72" w:rsidP="00FA52FC">
      <w:pPr>
        <w:pStyle w:val="TSNumberedParagraph11"/>
        <w:ind w:left="720"/>
        <w:rPr>
          <w:rFonts w:cs="Arial"/>
          <w:b/>
          <w:szCs w:val="22"/>
          <w:u w:val="single"/>
        </w:rPr>
      </w:pPr>
      <w:r w:rsidRPr="00AB5218">
        <w:rPr>
          <w:rFonts w:cs="Arial"/>
          <w:b/>
          <w:szCs w:val="22"/>
          <w:u w:val="single"/>
        </w:rPr>
        <w:t>General Requirements</w:t>
      </w:r>
    </w:p>
    <w:p w14:paraId="19BC0B92" w14:textId="77777777" w:rsidR="00694F72" w:rsidRPr="00AB5218" w:rsidRDefault="001F0697" w:rsidP="00F115E1">
      <w:pPr>
        <w:autoSpaceDE w:val="0"/>
        <w:autoSpaceDN w:val="0"/>
        <w:adjustRightInd w:val="0"/>
        <w:ind w:left="709" w:hanging="709"/>
        <w:rPr>
          <w:rFonts w:cs="Arial"/>
          <w:szCs w:val="22"/>
          <w:lang w:eastAsia="en-GB"/>
        </w:rPr>
      </w:pPr>
      <w:r>
        <w:rPr>
          <w:rFonts w:cs="Arial"/>
          <w:szCs w:val="22"/>
          <w:lang w:eastAsia="en-GB"/>
        </w:rPr>
        <w:t>5.7</w:t>
      </w:r>
      <w:r>
        <w:rPr>
          <w:rFonts w:cs="Arial"/>
          <w:szCs w:val="22"/>
          <w:lang w:eastAsia="en-GB"/>
        </w:rPr>
        <w:tab/>
      </w:r>
      <w:r w:rsidR="00694F72" w:rsidRPr="00CA3943">
        <w:rPr>
          <w:rFonts w:cs="Arial"/>
          <w:szCs w:val="22"/>
          <w:lang w:eastAsia="en-GB"/>
        </w:rPr>
        <w:t>ONR</w:t>
      </w:r>
      <w:r w:rsidR="00694F72" w:rsidRPr="00AB5218">
        <w:rPr>
          <w:rFonts w:cs="Arial"/>
          <w:szCs w:val="22"/>
          <w:lang w:eastAsia="en-GB"/>
        </w:rPr>
        <w:t xml:space="preserve"> inspectors should consider how nuclear licensee’s safety cases adequately address how hazards from electromagnetic disturbances are identified</w:t>
      </w:r>
      <w:r w:rsidR="00043406">
        <w:rPr>
          <w:rFonts w:cs="Arial"/>
          <w:szCs w:val="22"/>
          <w:lang w:eastAsia="en-GB"/>
        </w:rPr>
        <w:t xml:space="preserve"> and </w:t>
      </w:r>
      <w:r w:rsidR="00694F72" w:rsidRPr="00AB5218">
        <w:rPr>
          <w:rFonts w:cs="Arial"/>
          <w:szCs w:val="22"/>
          <w:lang w:eastAsia="en-GB"/>
        </w:rPr>
        <w:t>managed to ensure that risks are as low as reasonably practicable (ALARP).</w:t>
      </w:r>
    </w:p>
    <w:p w14:paraId="5E14A4BF" w14:textId="77777777" w:rsidR="00694F72" w:rsidRPr="00AB5218" w:rsidRDefault="00694F72" w:rsidP="005D308C">
      <w:pPr>
        <w:autoSpaceDE w:val="0"/>
        <w:autoSpaceDN w:val="0"/>
        <w:adjustRightInd w:val="0"/>
        <w:ind w:left="720"/>
        <w:rPr>
          <w:rFonts w:cs="Arial"/>
          <w:szCs w:val="22"/>
          <w:lang w:eastAsia="en-GB"/>
        </w:rPr>
      </w:pPr>
    </w:p>
    <w:p w14:paraId="590122E1" w14:textId="77777777" w:rsidR="00694F72" w:rsidRPr="00AB5218" w:rsidRDefault="000B0E69" w:rsidP="00F115E1">
      <w:pPr>
        <w:autoSpaceDE w:val="0"/>
        <w:autoSpaceDN w:val="0"/>
        <w:adjustRightInd w:val="0"/>
        <w:rPr>
          <w:rFonts w:cs="Arial"/>
          <w:szCs w:val="22"/>
          <w:lang w:eastAsia="en-GB"/>
        </w:rPr>
      </w:pPr>
      <w:r>
        <w:rPr>
          <w:rFonts w:cs="Arial"/>
          <w:szCs w:val="22"/>
          <w:lang w:eastAsia="en-GB"/>
        </w:rPr>
        <w:t>5.8</w:t>
      </w:r>
      <w:r>
        <w:rPr>
          <w:rFonts w:cs="Arial"/>
          <w:szCs w:val="22"/>
          <w:lang w:eastAsia="en-GB"/>
        </w:rPr>
        <w:tab/>
      </w:r>
      <w:r w:rsidR="00694F72" w:rsidRPr="00AB5218">
        <w:rPr>
          <w:rFonts w:cs="Arial"/>
          <w:szCs w:val="22"/>
          <w:lang w:eastAsia="en-GB"/>
        </w:rPr>
        <w:t>Therefore, licensee’s safety cases should demonstrate that:</w:t>
      </w:r>
    </w:p>
    <w:p w14:paraId="1BA3F65F" w14:textId="77777777" w:rsidR="005D308C" w:rsidRPr="00AB5218" w:rsidRDefault="005D308C" w:rsidP="005D308C">
      <w:pPr>
        <w:autoSpaceDE w:val="0"/>
        <w:autoSpaceDN w:val="0"/>
        <w:adjustRightInd w:val="0"/>
        <w:rPr>
          <w:rFonts w:cs="Arial"/>
          <w:szCs w:val="22"/>
          <w:lang w:eastAsia="en-GB"/>
        </w:rPr>
      </w:pPr>
    </w:p>
    <w:p w14:paraId="7C2F4BD0" w14:textId="77777777" w:rsidR="00694F72" w:rsidRPr="00AB5218" w:rsidRDefault="00694F72" w:rsidP="005D308C">
      <w:pPr>
        <w:pStyle w:val="TSBullet1Square"/>
        <w:rPr>
          <w:rFonts w:cs="Arial"/>
          <w:szCs w:val="22"/>
        </w:rPr>
      </w:pPr>
      <w:r w:rsidRPr="00AB5218">
        <w:rPr>
          <w:rFonts w:cs="Arial"/>
          <w:szCs w:val="22"/>
        </w:rPr>
        <w:lastRenderedPageBreak/>
        <w:t xml:space="preserve">The potential for electromagnetic </w:t>
      </w:r>
      <w:r w:rsidR="00973B58">
        <w:rPr>
          <w:rFonts w:cs="Arial"/>
          <w:szCs w:val="22"/>
        </w:rPr>
        <w:t>disturbances</w:t>
      </w:r>
      <w:r w:rsidR="00973B58" w:rsidRPr="00AB5218">
        <w:rPr>
          <w:rFonts w:cs="Arial"/>
          <w:szCs w:val="22"/>
        </w:rPr>
        <w:t xml:space="preserve"> </w:t>
      </w:r>
      <w:r w:rsidRPr="00AB5218">
        <w:rPr>
          <w:rFonts w:cs="Arial"/>
          <w:szCs w:val="22"/>
        </w:rPr>
        <w:t>to initiate faults has been adequately considered</w:t>
      </w:r>
      <w:r w:rsidR="005D308C" w:rsidRPr="00AB5218">
        <w:rPr>
          <w:rFonts w:cs="Arial"/>
          <w:szCs w:val="22"/>
        </w:rPr>
        <w:t>.</w:t>
      </w:r>
    </w:p>
    <w:p w14:paraId="3D7C5855" w14:textId="77777777" w:rsidR="005D308C" w:rsidRPr="00AB5218" w:rsidRDefault="005D308C" w:rsidP="005D308C">
      <w:pPr>
        <w:pStyle w:val="TSBullet1Square"/>
        <w:numPr>
          <w:ilvl w:val="0"/>
          <w:numId w:val="0"/>
        </w:numPr>
        <w:ind w:left="1440"/>
        <w:rPr>
          <w:rFonts w:cs="Arial"/>
          <w:szCs w:val="22"/>
        </w:rPr>
      </w:pPr>
    </w:p>
    <w:p w14:paraId="665592C3" w14:textId="77777777" w:rsidR="005D308C" w:rsidRPr="00AB5218" w:rsidRDefault="00694F72" w:rsidP="005D308C">
      <w:pPr>
        <w:pStyle w:val="TSBullet1Square"/>
        <w:rPr>
          <w:rFonts w:cs="Arial"/>
          <w:szCs w:val="22"/>
        </w:rPr>
      </w:pPr>
      <w:r w:rsidRPr="00AB5218">
        <w:rPr>
          <w:rFonts w:cs="Arial"/>
          <w:szCs w:val="22"/>
        </w:rPr>
        <w:t xml:space="preserve">The potential for EMI to </w:t>
      </w:r>
      <w:r w:rsidR="007B3811">
        <w:rPr>
          <w:rFonts w:cs="Arial"/>
          <w:szCs w:val="22"/>
        </w:rPr>
        <w:t xml:space="preserve">affect </w:t>
      </w:r>
      <w:r w:rsidRPr="00AB5218">
        <w:rPr>
          <w:rFonts w:cs="Arial"/>
          <w:szCs w:val="22"/>
        </w:rPr>
        <w:t xml:space="preserve">the safety performance of structures, </w:t>
      </w:r>
      <w:proofErr w:type="gramStart"/>
      <w:r w:rsidRPr="00AB5218">
        <w:rPr>
          <w:rFonts w:cs="Arial"/>
          <w:szCs w:val="22"/>
        </w:rPr>
        <w:t>systems</w:t>
      </w:r>
      <w:proofErr w:type="gramEnd"/>
      <w:r w:rsidRPr="00AB5218">
        <w:rPr>
          <w:rFonts w:cs="Arial"/>
          <w:szCs w:val="22"/>
        </w:rPr>
        <w:t xml:space="preserve"> and components (SSCs) has been considered in order to identify SSCs where electromagnetic disturbance could degrade safety performance</w:t>
      </w:r>
      <w:r w:rsidR="005D308C" w:rsidRPr="00AB5218">
        <w:rPr>
          <w:rFonts w:cs="Arial"/>
          <w:szCs w:val="22"/>
        </w:rPr>
        <w:t>.</w:t>
      </w:r>
    </w:p>
    <w:p w14:paraId="7BEC3387" w14:textId="77777777" w:rsidR="00694F72" w:rsidRPr="00AB5218" w:rsidRDefault="007B3811" w:rsidP="005D308C">
      <w:pPr>
        <w:pStyle w:val="TSBullet1Square"/>
        <w:rPr>
          <w:rFonts w:cs="Arial"/>
          <w:szCs w:val="22"/>
        </w:rPr>
      </w:pPr>
      <w:r>
        <w:rPr>
          <w:rFonts w:cs="Arial"/>
          <w:szCs w:val="22"/>
        </w:rPr>
        <w:t>Adequate</w:t>
      </w:r>
      <w:r w:rsidR="00694F72" w:rsidRPr="00AB5218">
        <w:rPr>
          <w:rFonts w:cs="Arial"/>
          <w:szCs w:val="22"/>
        </w:rPr>
        <w:t xml:space="preserve"> measures are in place to control and manage safety risks arising from electromagnetic disturbance</w:t>
      </w:r>
      <w:r w:rsidR="00973B58">
        <w:rPr>
          <w:rFonts w:cs="Arial"/>
          <w:szCs w:val="22"/>
        </w:rPr>
        <w:t>s</w:t>
      </w:r>
      <w:r w:rsidR="00694F72" w:rsidRPr="00AB5218">
        <w:rPr>
          <w:rFonts w:cs="Arial"/>
          <w:szCs w:val="22"/>
        </w:rPr>
        <w:t>.</w:t>
      </w:r>
    </w:p>
    <w:p w14:paraId="2F81C971" w14:textId="77777777" w:rsidR="00694F72" w:rsidRPr="00AB5218" w:rsidRDefault="000B0E69" w:rsidP="00F115E1">
      <w:pPr>
        <w:autoSpaceDE w:val="0"/>
        <w:autoSpaceDN w:val="0"/>
        <w:adjustRightInd w:val="0"/>
        <w:ind w:left="709" w:hanging="709"/>
        <w:rPr>
          <w:rFonts w:cs="Arial"/>
          <w:szCs w:val="22"/>
        </w:rPr>
      </w:pPr>
      <w:r>
        <w:rPr>
          <w:rFonts w:cs="Arial"/>
          <w:szCs w:val="22"/>
          <w:lang w:eastAsia="en-GB"/>
        </w:rPr>
        <w:t>5.9</w:t>
      </w:r>
      <w:r>
        <w:rPr>
          <w:rFonts w:cs="Arial"/>
          <w:szCs w:val="22"/>
          <w:lang w:eastAsia="en-GB"/>
        </w:rPr>
        <w:tab/>
      </w:r>
      <w:r w:rsidR="00694F72" w:rsidRPr="00AB5218">
        <w:rPr>
          <w:rFonts w:cs="Arial"/>
          <w:szCs w:val="22"/>
          <w:lang w:eastAsia="en-GB"/>
        </w:rPr>
        <w:t xml:space="preserve">In forming a judgement as to the adequacy of a licensee’s approach, ONR inspectors should </w:t>
      </w:r>
      <w:r w:rsidR="007B3811">
        <w:rPr>
          <w:rFonts w:cs="Arial"/>
          <w:szCs w:val="22"/>
          <w:lang w:eastAsia="en-GB"/>
        </w:rPr>
        <w:t xml:space="preserve">consider the extent to which </w:t>
      </w:r>
      <w:r w:rsidR="00694F72" w:rsidRPr="00AB5218">
        <w:rPr>
          <w:rFonts w:cs="Arial"/>
          <w:szCs w:val="22"/>
          <w:lang w:eastAsia="en-GB"/>
        </w:rPr>
        <w:t xml:space="preserve">the licensee’s safety case </w:t>
      </w:r>
      <w:r w:rsidR="007B3811">
        <w:rPr>
          <w:rFonts w:cs="Arial"/>
          <w:szCs w:val="22"/>
          <w:lang w:eastAsia="en-GB"/>
        </w:rPr>
        <w:t xml:space="preserve">demonstrates that risks are reduced to ALARP.  This will generally involve </w:t>
      </w:r>
      <w:r w:rsidR="000F0CCC" w:rsidRPr="006D1CA2">
        <w:rPr>
          <w:rFonts w:cs="Arial"/>
          <w:szCs w:val="22"/>
          <w:lang w:eastAsia="en-GB"/>
        </w:rPr>
        <w:t>referenc</w:t>
      </w:r>
      <w:r w:rsidR="0016394F" w:rsidRPr="006D1CA2">
        <w:rPr>
          <w:rFonts w:cs="Arial"/>
          <w:szCs w:val="22"/>
          <w:lang w:eastAsia="en-GB"/>
        </w:rPr>
        <w:t>ing</w:t>
      </w:r>
      <w:r w:rsidR="000F0CCC">
        <w:rPr>
          <w:rFonts w:cs="Arial"/>
          <w:szCs w:val="22"/>
          <w:lang w:eastAsia="en-GB"/>
        </w:rPr>
        <w:t xml:space="preserve"> to </w:t>
      </w:r>
      <w:r w:rsidR="00694F72" w:rsidRPr="00AB5218">
        <w:rPr>
          <w:rFonts w:cs="Arial"/>
          <w:szCs w:val="22"/>
          <w:lang w:eastAsia="en-GB"/>
        </w:rPr>
        <w:t>relevant good practice</w:t>
      </w:r>
      <w:r w:rsidR="007B3811">
        <w:rPr>
          <w:rFonts w:cs="Arial"/>
          <w:szCs w:val="22"/>
          <w:lang w:eastAsia="en-GB"/>
        </w:rPr>
        <w:t xml:space="preserve"> as appropriate</w:t>
      </w:r>
      <w:r w:rsidR="00694F72" w:rsidRPr="00AB5218">
        <w:rPr>
          <w:rFonts w:cs="Arial"/>
          <w:szCs w:val="22"/>
          <w:lang w:eastAsia="en-GB"/>
        </w:rPr>
        <w:t xml:space="preserve"> (see section 4).</w:t>
      </w:r>
    </w:p>
    <w:p w14:paraId="2119B038" w14:textId="77777777" w:rsidR="002730D7" w:rsidRPr="00AB5218" w:rsidRDefault="002730D7" w:rsidP="001426D0">
      <w:pPr>
        <w:pStyle w:val="TSBullet2Circle"/>
        <w:numPr>
          <w:ilvl w:val="0"/>
          <w:numId w:val="0"/>
        </w:numPr>
        <w:spacing w:after="0"/>
        <w:ind w:left="2160"/>
        <w:rPr>
          <w:rFonts w:cs="Arial"/>
          <w:szCs w:val="22"/>
        </w:rPr>
      </w:pPr>
    </w:p>
    <w:p w14:paraId="718A28B6" w14:textId="77777777" w:rsidR="002730D7" w:rsidRPr="00AB5218" w:rsidRDefault="00D5645F" w:rsidP="00694F72">
      <w:pPr>
        <w:pStyle w:val="TSHeadingNumbered111"/>
        <w:numPr>
          <w:ilvl w:val="0"/>
          <w:numId w:val="0"/>
        </w:numPr>
        <w:spacing w:after="0"/>
        <w:ind w:left="720"/>
        <w:rPr>
          <w:rFonts w:ascii="Arial" w:hAnsi="Arial" w:cs="Arial"/>
          <w:szCs w:val="22"/>
          <w:u w:val="single"/>
        </w:rPr>
      </w:pPr>
      <w:r w:rsidRPr="00AB5218">
        <w:rPr>
          <w:rFonts w:ascii="Arial" w:hAnsi="Arial" w:cs="Arial"/>
          <w:caps w:val="0"/>
          <w:szCs w:val="22"/>
          <w:u w:val="single"/>
        </w:rPr>
        <w:t>Relevant Codes and Standards</w:t>
      </w:r>
    </w:p>
    <w:p w14:paraId="5C48BC2F" w14:textId="77777777" w:rsidR="00652915" w:rsidRPr="00AB5218" w:rsidRDefault="00652915" w:rsidP="00652915">
      <w:pPr>
        <w:pStyle w:val="TSHeadingNumbered111"/>
        <w:numPr>
          <w:ilvl w:val="0"/>
          <w:numId w:val="0"/>
        </w:numPr>
        <w:spacing w:after="0"/>
        <w:ind w:left="720"/>
        <w:rPr>
          <w:rFonts w:ascii="Arial" w:hAnsi="Arial" w:cs="Arial"/>
          <w:szCs w:val="22"/>
        </w:rPr>
      </w:pPr>
    </w:p>
    <w:p w14:paraId="6D6850D5" w14:textId="77777777" w:rsidR="00694F72" w:rsidRPr="00AB5218" w:rsidRDefault="000B0E69" w:rsidP="00F115E1">
      <w:pPr>
        <w:autoSpaceDE w:val="0"/>
        <w:autoSpaceDN w:val="0"/>
        <w:adjustRightInd w:val="0"/>
        <w:ind w:left="709" w:hanging="709"/>
        <w:rPr>
          <w:rFonts w:cs="Arial"/>
          <w:szCs w:val="22"/>
          <w:lang w:eastAsia="en-GB"/>
        </w:rPr>
      </w:pPr>
      <w:r>
        <w:rPr>
          <w:rFonts w:cs="Arial"/>
          <w:szCs w:val="22"/>
          <w:lang w:eastAsia="en-GB"/>
        </w:rPr>
        <w:t>5.10</w:t>
      </w:r>
      <w:r>
        <w:rPr>
          <w:rFonts w:cs="Arial"/>
          <w:szCs w:val="22"/>
          <w:lang w:eastAsia="en-GB"/>
        </w:rPr>
        <w:tab/>
      </w:r>
      <w:r w:rsidR="00694F72" w:rsidRPr="00AB5218">
        <w:rPr>
          <w:rFonts w:cs="Arial"/>
          <w:szCs w:val="22"/>
          <w:lang w:eastAsia="en-GB"/>
        </w:rPr>
        <w:t>The intent of SAP ECS.3 and</w:t>
      </w:r>
      <w:r w:rsidR="004C2943">
        <w:rPr>
          <w:rFonts w:cs="Arial"/>
          <w:szCs w:val="22"/>
          <w:lang w:eastAsia="en-GB"/>
        </w:rPr>
        <w:t xml:space="preserve"> its supporting paragraphs </w:t>
      </w:r>
      <w:r w:rsidR="00694F72" w:rsidRPr="00AB5218">
        <w:rPr>
          <w:rFonts w:cs="Arial"/>
          <w:szCs w:val="22"/>
          <w:lang w:eastAsia="en-GB"/>
        </w:rPr>
        <w:t xml:space="preserve">is that a suitable range of lifecycle activities associated with </w:t>
      </w:r>
      <w:r w:rsidR="00973B58">
        <w:rPr>
          <w:rFonts w:cs="Arial"/>
          <w:szCs w:val="22"/>
          <w:lang w:eastAsia="en-GB"/>
        </w:rPr>
        <w:t xml:space="preserve">the susceptibility of </w:t>
      </w:r>
      <w:r w:rsidR="00694F72" w:rsidRPr="00AB5218">
        <w:rPr>
          <w:rFonts w:cs="Arial"/>
          <w:szCs w:val="22"/>
          <w:lang w:eastAsia="en-GB"/>
        </w:rPr>
        <w:t>an SSC (</w:t>
      </w:r>
      <w:proofErr w:type="gramStart"/>
      <w:r w:rsidR="00694F72" w:rsidRPr="00AB5218">
        <w:rPr>
          <w:rFonts w:cs="Arial"/>
          <w:szCs w:val="22"/>
          <w:lang w:eastAsia="en-GB"/>
        </w:rPr>
        <w:t>i.e.</w:t>
      </w:r>
      <w:proofErr w:type="gramEnd"/>
      <w:r w:rsidR="00694F72" w:rsidRPr="00AB5218">
        <w:rPr>
          <w:rFonts w:cs="Arial"/>
          <w:szCs w:val="22"/>
          <w:lang w:eastAsia="en-GB"/>
        </w:rPr>
        <w:t xml:space="preserve"> a safety system) </w:t>
      </w:r>
      <w:r w:rsidR="00973B58">
        <w:rPr>
          <w:rFonts w:cs="Arial"/>
          <w:szCs w:val="22"/>
          <w:lang w:eastAsia="en-GB"/>
        </w:rPr>
        <w:t xml:space="preserve">to EMI </w:t>
      </w:r>
      <w:r w:rsidR="00694F72" w:rsidRPr="00AB5218">
        <w:rPr>
          <w:rFonts w:cs="Arial"/>
          <w:szCs w:val="22"/>
          <w:lang w:eastAsia="en-GB"/>
        </w:rPr>
        <w:t xml:space="preserve">are </w:t>
      </w:r>
      <w:r w:rsidR="00E05360">
        <w:rPr>
          <w:rFonts w:cs="Arial"/>
          <w:szCs w:val="22"/>
          <w:lang w:eastAsia="en-GB"/>
        </w:rPr>
        <w:t>conducted to appropriate</w:t>
      </w:r>
      <w:r w:rsidR="00694F72" w:rsidRPr="00AB5218">
        <w:rPr>
          <w:rFonts w:cs="Arial"/>
          <w:szCs w:val="22"/>
          <w:lang w:eastAsia="en-GB"/>
        </w:rPr>
        <w:t xml:space="preserve"> codes and </w:t>
      </w:r>
      <w:r w:rsidR="00694F72" w:rsidRPr="0070325A">
        <w:rPr>
          <w:rFonts w:cs="Arial"/>
          <w:szCs w:val="22"/>
          <w:lang w:eastAsia="en-GB"/>
        </w:rPr>
        <w:t>standards</w:t>
      </w:r>
      <w:r w:rsidR="00694F72" w:rsidRPr="00AB5218">
        <w:rPr>
          <w:rFonts w:cs="Arial"/>
          <w:szCs w:val="22"/>
          <w:lang w:eastAsia="en-GB"/>
        </w:rPr>
        <w:t>.</w:t>
      </w:r>
    </w:p>
    <w:p w14:paraId="55F1DB96" w14:textId="77777777" w:rsidR="00AC4EF2" w:rsidRPr="00AB5218" w:rsidRDefault="00AC4EF2" w:rsidP="00AC4EF2">
      <w:pPr>
        <w:autoSpaceDE w:val="0"/>
        <w:autoSpaceDN w:val="0"/>
        <w:adjustRightInd w:val="0"/>
        <w:ind w:left="720"/>
        <w:rPr>
          <w:rFonts w:cs="Arial"/>
          <w:szCs w:val="22"/>
          <w:lang w:eastAsia="en-GB"/>
        </w:rPr>
      </w:pPr>
    </w:p>
    <w:p w14:paraId="3A81EC06" w14:textId="77777777" w:rsidR="00694F72" w:rsidRPr="00AB5218" w:rsidRDefault="000B0E69" w:rsidP="00F115E1">
      <w:pPr>
        <w:autoSpaceDE w:val="0"/>
        <w:autoSpaceDN w:val="0"/>
        <w:adjustRightInd w:val="0"/>
        <w:ind w:left="709" w:hanging="709"/>
        <w:rPr>
          <w:rFonts w:cs="Arial"/>
          <w:szCs w:val="22"/>
          <w:lang w:eastAsia="en-GB"/>
        </w:rPr>
      </w:pPr>
      <w:r>
        <w:rPr>
          <w:rFonts w:cs="Arial"/>
          <w:szCs w:val="22"/>
        </w:rPr>
        <w:t>5.11</w:t>
      </w:r>
      <w:r>
        <w:rPr>
          <w:rFonts w:cs="Arial"/>
          <w:szCs w:val="22"/>
        </w:rPr>
        <w:tab/>
      </w:r>
      <w:r w:rsidR="00694F72" w:rsidRPr="00AB5218">
        <w:rPr>
          <w:rFonts w:cs="Arial"/>
          <w:szCs w:val="22"/>
        </w:rPr>
        <w:t xml:space="preserve">The licensee’s safety case should therefore identify appropriate codes and standards </w:t>
      </w:r>
      <w:r w:rsidR="00375864">
        <w:rPr>
          <w:rFonts w:cs="Arial"/>
          <w:szCs w:val="22"/>
        </w:rPr>
        <w:t>as necessary for these activities</w:t>
      </w:r>
      <w:r w:rsidR="00694F72" w:rsidRPr="00AB5218">
        <w:rPr>
          <w:rFonts w:cs="Arial"/>
          <w:szCs w:val="22"/>
        </w:rPr>
        <w:t>.</w:t>
      </w:r>
      <w:r w:rsidR="00823B9C" w:rsidRPr="00AB5218">
        <w:rPr>
          <w:rFonts w:cs="Arial"/>
          <w:szCs w:val="22"/>
        </w:rPr>
        <w:t xml:space="preserve"> Where a licensee’s internal guidance is used, the safety case should demonstrate that it is adequately</w:t>
      </w:r>
      <w:r w:rsidR="00823B9C" w:rsidRPr="00AB5218">
        <w:rPr>
          <w:rFonts w:cs="Arial"/>
          <w:b/>
          <w:szCs w:val="22"/>
        </w:rPr>
        <w:t xml:space="preserve"> </w:t>
      </w:r>
      <w:r w:rsidR="00823B9C" w:rsidRPr="00AB5218">
        <w:rPr>
          <w:rFonts w:cs="Arial"/>
          <w:szCs w:val="22"/>
        </w:rPr>
        <w:t>consistent with SAP</w:t>
      </w:r>
      <w:r w:rsidR="00823B9C" w:rsidRPr="00AB5218">
        <w:rPr>
          <w:rFonts w:cs="Arial"/>
          <w:b/>
          <w:szCs w:val="22"/>
        </w:rPr>
        <w:t xml:space="preserve"> </w:t>
      </w:r>
      <w:r w:rsidR="00823B9C" w:rsidRPr="00AB5218">
        <w:rPr>
          <w:rFonts w:cs="Arial"/>
          <w:szCs w:val="22"/>
        </w:rPr>
        <w:t xml:space="preserve">expectations </w:t>
      </w:r>
      <w:r w:rsidR="003528DB">
        <w:rPr>
          <w:rFonts w:cs="Arial"/>
          <w:szCs w:val="22"/>
        </w:rPr>
        <w:t>[1]</w:t>
      </w:r>
      <w:r w:rsidR="00823B9C" w:rsidRPr="00AB5218">
        <w:rPr>
          <w:rFonts w:cs="Arial"/>
          <w:szCs w:val="22"/>
        </w:rPr>
        <w:t xml:space="preserve">, </w:t>
      </w:r>
      <w:proofErr w:type="spellStart"/>
      <w:r w:rsidR="00823B9C" w:rsidRPr="00AB5218">
        <w:rPr>
          <w:rFonts w:cs="Arial"/>
          <w:szCs w:val="22"/>
        </w:rPr>
        <w:t>SyAP</w:t>
      </w:r>
      <w:r w:rsidR="00456559">
        <w:rPr>
          <w:rFonts w:cs="Arial"/>
          <w:szCs w:val="22"/>
        </w:rPr>
        <w:t>s</w:t>
      </w:r>
      <w:proofErr w:type="spellEnd"/>
      <w:r w:rsidR="00823B9C" w:rsidRPr="00AB5218">
        <w:rPr>
          <w:rFonts w:cs="Arial"/>
          <w:szCs w:val="22"/>
        </w:rPr>
        <w:t xml:space="preserve"> </w:t>
      </w:r>
      <w:r w:rsidR="004C2943">
        <w:rPr>
          <w:rFonts w:cs="Arial"/>
          <w:szCs w:val="22"/>
        </w:rPr>
        <w:t>[3]</w:t>
      </w:r>
      <w:r w:rsidR="00823B9C" w:rsidRPr="00AB5218">
        <w:rPr>
          <w:rFonts w:cs="Arial"/>
          <w:szCs w:val="22"/>
        </w:rPr>
        <w:t xml:space="preserve"> and other</w:t>
      </w:r>
      <w:r w:rsidR="00823B9C" w:rsidRPr="00AB5218">
        <w:rPr>
          <w:rFonts w:cs="Arial"/>
          <w:b/>
          <w:szCs w:val="22"/>
        </w:rPr>
        <w:t xml:space="preserve"> </w:t>
      </w:r>
      <w:r w:rsidR="00823B9C" w:rsidRPr="00AB5218">
        <w:rPr>
          <w:rFonts w:cs="Arial"/>
          <w:szCs w:val="22"/>
        </w:rPr>
        <w:t xml:space="preserve">appropriate sources of </w:t>
      </w:r>
      <w:r w:rsidR="00B22051">
        <w:rPr>
          <w:rFonts w:cs="Arial"/>
          <w:szCs w:val="22"/>
        </w:rPr>
        <w:t>relevant good practice</w:t>
      </w:r>
      <w:r w:rsidR="00823B9C" w:rsidRPr="00AB5218">
        <w:rPr>
          <w:rFonts w:cs="Arial"/>
          <w:szCs w:val="22"/>
        </w:rPr>
        <w:t>.</w:t>
      </w:r>
    </w:p>
    <w:p w14:paraId="2548768D" w14:textId="77777777" w:rsidR="00AC4EF2" w:rsidRPr="00AB5218" w:rsidRDefault="00AC4EF2" w:rsidP="00AC4EF2">
      <w:pPr>
        <w:pStyle w:val="ListParagraph"/>
        <w:rPr>
          <w:rFonts w:cs="Arial"/>
          <w:szCs w:val="22"/>
          <w:lang w:eastAsia="en-GB"/>
        </w:rPr>
      </w:pPr>
    </w:p>
    <w:p w14:paraId="67F8C6ED" w14:textId="77777777" w:rsidR="00823B9C" w:rsidRPr="00AB5218" w:rsidRDefault="000B0E69" w:rsidP="00F115E1">
      <w:pPr>
        <w:autoSpaceDE w:val="0"/>
        <w:autoSpaceDN w:val="0"/>
        <w:adjustRightInd w:val="0"/>
        <w:ind w:left="709" w:hanging="709"/>
        <w:rPr>
          <w:rFonts w:cs="Arial"/>
          <w:szCs w:val="22"/>
          <w:lang w:eastAsia="en-GB"/>
        </w:rPr>
      </w:pPr>
      <w:r>
        <w:rPr>
          <w:rFonts w:cs="Arial"/>
          <w:szCs w:val="22"/>
        </w:rPr>
        <w:t>5.12</w:t>
      </w:r>
      <w:r>
        <w:rPr>
          <w:rFonts w:cs="Arial"/>
          <w:szCs w:val="22"/>
        </w:rPr>
        <w:tab/>
        <w:t>Paragraph</w:t>
      </w:r>
      <w:r w:rsidRPr="009E5F80">
        <w:rPr>
          <w:rFonts w:cs="Arial"/>
          <w:szCs w:val="22"/>
        </w:rPr>
        <w:t xml:space="preserve"> </w:t>
      </w:r>
      <w:r w:rsidR="00823B9C" w:rsidRPr="009E5F80">
        <w:rPr>
          <w:rFonts w:cs="Arial"/>
          <w:szCs w:val="22"/>
        </w:rPr>
        <w:t>4</w:t>
      </w:r>
      <w:r>
        <w:rPr>
          <w:rFonts w:cs="Arial"/>
          <w:szCs w:val="22"/>
        </w:rPr>
        <w:t>.5</w:t>
      </w:r>
      <w:r w:rsidR="00823B9C" w:rsidRPr="00AB5218">
        <w:rPr>
          <w:rFonts w:cs="Arial"/>
          <w:szCs w:val="22"/>
        </w:rPr>
        <w:t xml:space="preserve"> </w:t>
      </w:r>
      <w:r w:rsidR="00F115E1">
        <w:rPr>
          <w:rFonts w:cs="Arial"/>
          <w:szCs w:val="22"/>
        </w:rPr>
        <w:t xml:space="preserve">above </w:t>
      </w:r>
      <w:r w:rsidR="00823B9C" w:rsidRPr="00AB5218">
        <w:rPr>
          <w:rFonts w:cs="Arial"/>
          <w:szCs w:val="22"/>
        </w:rPr>
        <w:t>shows a non-exhaustive list of codes and standards that are relevant to electromagnetic compatibility and resilience. ONR inspectors should recognise that IEC</w:t>
      </w:r>
      <w:r w:rsidR="00694E47">
        <w:rPr>
          <w:rFonts w:cs="Arial"/>
          <w:szCs w:val="22"/>
        </w:rPr>
        <w:t xml:space="preserve"> </w:t>
      </w:r>
      <w:r w:rsidR="00823B9C" w:rsidRPr="00AB5218">
        <w:rPr>
          <w:rFonts w:cs="Arial"/>
          <w:szCs w:val="22"/>
        </w:rPr>
        <w:t xml:space="preserve">61000-1-2 </w:t>
      </w:r>
      <w:r w:rsidR="004C2943">
        <w:rPr>
          <w:rFonts w:cs="Arial"/>
          <w:szCs w:val="22"/>
        </w:rPr>
        <w:t>[10]</w:t>
      </w:r>
      <w:r w:rsidR="00823B9C" w:rsidRPr="00AB5218">
        <w:rPr>
          <w:rFonts w:cs="Arial"/>
          <w:szCs w:val="22"/>
        </w:rPr>
        <w:t xml:space="preserve"> and the </w:t>
      </w:r>
      <w:r w:rsidR="001C0DF6">
        <w:rPr>
          <w:rFonts w:cs="Arial"/>
          <w:szCs w:val="22"/>
        </w:rPr>
        <w:t>IET CoP for electromagnetic resilience</w:t>
      </w:r>
      <w:r w:rsidR="000E409A" w:rsidRPr="00AB5218">
        <w:rPr>
          <w:rFonts w:cs="Arial"/>
          <w:b/>
          <w:szCs w:val="22"/>
          <w:lang w:eastAsia="en-GB"/>
        </w:rPr>
        <w:t xml:space="preserve"> </w:t>
      </w:r>
      <w:r w:rsidR="004C2943">
        <w:rPr>
          <w:rFonts w:cs="Arial"/>
          <w:szCs w:val="22"/>
        </w:rPr>
        <w:t>[17]</w:t>
      </w:r>
      <w:r w:rsidR="00823B9C" w:rsidRPr="00AB5218">
        <w:rPr>
          <w:rFonts w:cs="Arial"/>
          <w:szCs w:val="22"/>
        </w:rPr>
        <w:t xml:space="preserve"> are two key sources of information for managing the risk of EMI in a functional safety context.</w:t>
      </w:r>
    </w:p>
    <w:p w14:paraId="4DF46BC8" w14:textId="77777777" w:rsidR="00AC4EF2" w:rsidRPr="00AB5218" w:rsidRDefault="00AC4EF2" w:rsidP="00AC4EF2">
      <w:pPr>
        <w:pStyle w:val="ListParagraph"/>
        <w:rPr>
          <w:rFonts w:cs="Arial"/>
          <w:szCs w:val="22"/>
          <w:lang w:eastAsia="en-GB"/>
        </w:rPr>
      </w:pPr>
    </w:p>
    <w:p w14:paraId="34D7B0E6" w14:textId="77777777" w:rsidR="005F745A" w:rsidRPr="00AB5218" w:rsidRDefault="005F745A" w:rsidP="00823B9C">
      <w:pPr>
        <w:pStyle w:val="TSHeadingNumbered111"/>
        <w:numPr>
          <w:ilvl w:val="0"/>
          <w:numId w:val="0"/>
        </w:numPr>
        <w:ind w:left="720"/>
        <w:rPr>
          <w:rFonts w:ascii="Arial" w:hAnsi="Arial" w:cs="Arial"/>
          <w:szCs w:val="22"/>
          <w:u w:val="single"/>
        </w:rPr>
      </w:pPr>
      <w:r w:rsidRPr="00AB5218">
        <w:rPr>
          <w:rFonts w:ascii="Arial" w:hAnsi="Arial" w:cs="Arial"/>
          <w:caps w:val="0"/>
          <w:szCs w:val="22"/>
          <w:u w:val="single"/>
        </w:rPr>
        <w:t>Safety Assessment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166"/>
        <w:gridCol w:w="3969"/>
        <w:gridCol w:w="1445"/>
      </w:tblGrid>
      <w:tr w:rsidR="00267561" w:rsidRPr="00AB5218" w14:paraId="2F2F956E" w14:textId="77777777" w:rsidTr="006D596B">
        <w:tc>
          <w:tcPr>
            <w:tcW w:w="3166" w:type="dxa"/>
            <w:shd w:val="clear" w:color="auto" w:fill="FABF8F"/>
            <w:vAlign w:val="center"/>
          </w:tcPr>
          <w:p w14:paraId="51AA27D8" w14:textId="77777777" w:rsidR="00267561" w:rsidRPr="00AB5218" w:rsidRDefault="00267561" w:rsidP="006D596B">
            <w:pPr>
              <w:pStyle w:val="Heading9"/>
              <w:numPr>
                <w:ilvl w:val="0"/>
                <w:numId w:val="0"/>
              </w:numPr>
              <w:spacing w:before="0" w:after="0"/>
            </w:pPr>
            <w:r w:rsidRPr="00AB5218">
              <w:t>Fundamental principles</w:t>
            </w:r>
          </w:p>
        </w:tc>
        <w:tc>
          <w:tcPr>
            <w:tcW w:w="3969" w:type="dxa"/>
            <w:shd w:val="clear" w:color="auto" w:fill="FABF8F"/>
            <w:vAlign w:val="center"/>
          </w:tcPr>
          <w:p w14:paraId="07C75D78" w14:textId="77777777" w:rsidR="00267561" w:rsidRPr="00AB5218" w:rsidRDefault="00267561" w:rsidP="006D596B">
            <w:pPr>
              <w:pStyle w:val="Heading9"/>
              <w:numPr>
                <w:ilvl w:val="0"/>
                <w:numId w:val="0"/>
              </w:numPr>
              <w:spacing w:before="0" w:after="0"/>
            </w:pPr>
            <w:r w:rsidRPr="00AB5218">
              <w:t>Safety Assessment</w:t>
            </w:r>
          </w:p>
        </w:tc>
        <w:tc>
          <w:tcPr>
            <w:tcW w:w="1445" w:type="dxa"/>
            <w:shd w:val="clear" w:color="auto" w:fill="FABF8F"/>
            <w:vAlign w:val="center"/>
          </w:tcPr>
          <w:p w14:paraId="06596976" w14:textId="77777777" w:rsidR="00267561" w:rsidRPr="00AB5218" w:rsidRDefault="00267561" w:rsidP="006D596B">
            <w:pPr>
              <w:pStyle w:val="Heading9"/>
              <w:numPr>
                <w:ilvl w:val="0"/>
                <w:numId w:val="0"/>
              </w:numPr>
              <w:spacing w:before="0" w:after="0"/>
            </w:pPr>
            <w:r w:rsidRPr="00AB5218">
              <w:t>FP.4</w:t>
            </w:r>
          </w:p>
        </w:tc>
      </w:tr>
      <w:tr w:rsidR="00267561" w:rsidRPr="00AB5218" w14:paraId="276F8C6A" w14:textId="77777777" w:rsidTr="006D596B">
        <w:trPr>
          <w:trHeight w:val="858"/>
        </w:trPr>
        <w:tc>
          <w:tcPr>
            <w:tcW w:w="8580" w:type="dxa"/>
            <w:gridSpan w:val="3"/>
            <w:shd w:val="clear" w:color="auto" w:fill="auto"/>
            <w:vAlign w:val="center"/>
          </w:tcPr>
          <w:p w14:paraId="4F847454" w14:textId="77777777" w:rsidR="00267561" w:rsidRPr="00AB5218" w:rsidRDefault="00267561" w:rsidP="006D596B">
            <w:pPr>
              <w:pStyle w:val="Heading9"/>
              <w:numPr>
                <w:ilvl w:val="0"/>
                <w:numId w:val="0"/>
              </w:numPr>
              <w:spacing w:before="0" w:after="0"/>
            </w:pPr>
            <w:proofErr w:type="spellStart"/>
            <w:r w:rsidRPr="00AB5218">
              <w:t>Dutyholders</w:t>
            </w:r>
            <w:proofErr w:type="spellEnd"/>
            <w:r w:rsidRPr="00AB5218">
              <w:t xml:space="preserve"> must demonstrate effective understanding and control of the hazards posed by a site or facility through a comprehensive and systematic process of safety assessment.</w:t>
            </w:r>
          </w:p>
        </w:tc>
      </w:tr>
    </w:tbl>
    <w:p w14:paraId="7D6A8670" w14:textId="77777777" w:rsidR="00267561" w:rsidRPr="00AB5218" w:rsidRDefault="00267561" w:rsidP="00D9225E">
      <w:pPr>
        <w:pStyle w:val="TSHeadingNumbered1111"/>
        <w:numPr>
          <w:ilvl w:val="0"/>
          <w:numId w:val="0"/>
        </w:numPr>
        <w:spacing w:after="0"/>
        <w:ind w:left="720"/>
        <w:rPr>
          <w:rFonts w:ascii="Arial" w:hAnsi="Arial" w:cs="Arial"/>
          <w:b w:val="0"/>
          <w:caps w:val="0"/>
          <w:szCs w:val="22"/>
        </w:rPr>
      </w:pPr>
    </w:p>
    <w:p w14:paraId="7AB45EE9" w14:textId="77777777" w:rsidR="00AC4EF2" w:rsidRPr="00AB5218" w:rsidRDefault="000B0E69" w:rsidP="00F115E1">
      <w:pPr>
        <w:autoSpaceDE w:val="0"/>
        <w:autoSpaceDN w:val="0"/>
        <w:adjustRightInd w:val="0"/>
        <w:ind w:left="709" w:hanging="709"/>
        <w:rPr>
          <w:rFonts w:cs="Arial"/>
          <w:szCs w:val="22"/>
        </w:rPr>
      </w:pPr>
      <w:r>
        <w:rPr>
          <w:rFonts w:cs="Arial"/>
          <w:szCs w:val="22"/>
        </w:rPr>
        <w:t>5.13</w:t>
      </w:r>
      <w:r>
        <w:rPr>
          <w:rFonts w:cs="Arial"/>
          <w:szCs w:val="22"/>
        </w:rPr>
        <w:tab/>
      </w:r>
      <w:r w:rsidR="00D9225E" w:rsidRPr="00AB5218">
        <w:rPr>
          <w:rFonts w:cs="Arial"/>
          <w:szCs w:val="22"/>
        </w:rPr>
        <w:t>Inspectors should consider how safety submissions demonstrate that risks from electromagnetic disturbance have been reduced to ALARP</w:t>
      </w:r>
      <w:r w:rsidR="00AB6B39" w:rsidRPr="00AB5218">
        <w:rPr>
          <w:rFonts w:cs="Arial"/>
          <w:szCs w:val="22"/>
        </w:rPr>
        <w:t>.</w:t>
      </w:r>
      <w:r w:rsidR="003528DB">
        <w:rPr>
          <w:rFonts w:cs="Arial"/>
          <w:szCs w:val="22"/>
        </w:rPr>
        <w:t xml:space="preserve">  </w:t>
      </w:r>
      <w:r w:rsidR="009E5F80">
        <w:rPr>
          <w:rFonts w:cs="Arial"/>
          <w:szCs w:val="22"/>
        </w:rPr>
        <w:t>(</w:t>
      </w:r>
      <w:r w:rsidR="003528DB">
        <w:rPr>
          <w:rFonts w:cs="Arial"/>
          <w:szCs w:val="22"/>
        </w:rPr>
        <w:t xml:space="preserve">See </w:t>
      </w:r>
      <w:r w:rsidR="003528DB" w:rsidRPr="003528DB">
        <w:rPr>
          <w:rFonts w:cs="Arial"/>
          <w:szCs w:val="22"/>
        </w:rPr>
        <w:t>NS-TAST-GD-005</w:t>
      </w:r>
      <w:r w:rsidR="003528DB">
        <w:rPr>
          <w:rFonts w:cs="Arial"/>
          <w:szCs w:val="22"/>
        </w:rPr>
        <w:t xml:space="preserve"> for a further guidance on the demonstration of </w:t>
      </w:r>
      <w:r w:rsidR="003528DB" w:rsidRPr="00EA4EC1">
        <w:rPr>
          <w:rFonts w:cs="Arial"/>
          <w:szCs w:val="22"/>
        </w:rPr>
        <w:t>ALARP</w:t>
      </w:r>
      <w:r w:rsidR="003528DB">
        <w:rPr>
          <w:rFonts w:cs="Arial"/>
          <w:szCs w:val="22"/>
        </w:rPr>
        <w:t xml:space="preserve"> [4]</w:t>
      </w:r>
      <w:r w:rsidR="009E5F80">
        <w:rPr>
          <w:rFonts w:cs="Arial"/>
          <w:szCs w:val="22"/>
        </w:rPr>
        <w:t>)</w:t>
      </w:r>
      <w:r w:rsidR="003528DB">
        <w:rPr>
          <w:rFonts w:cs="Arial"/>
          <w:szCs w:val="22"/>
        </w:rPr>
        <w:t>.</w:t>
      </w:r>
    </w:p>
    <w:p w14:paraId="74AA03F5" w14:textId="77777777" w:rsidR="009C619D" w:rsidRPr="00AB5218" w:rsidRDefault="00AB6B39" w:rsidP="00AC4EF2">
      <w:pPr>
        <w:autoSpaceDE w:val="0"/>
        <w:autoSpaceDN w:val="0"/>
        <w:adjustRightInd w:val="0"/>
        <w:ind w:left="720"/>
        <w:rPr>
          <w:rFonts w:cs="Arial"/>
          <w:szCs w:val="22"/>
        </w:rPr>
      </w:pPr>
      <w:r w:rsidRPr="00AB5218">
        <w:rPr>
          <w:rFonts w:cs="Arial"/>
          <w:szCs w:val="22"/>
        </w:rPr>
        <w:t xml:space="preserve">  </w:t>
      </w:r>
      <w:r w:rsidR="006850A4" w:rsidRPr="00AB5218">
        <w:rPr>
          <w:rFonts w:cs="Arial"/>
          <w:szCs w:val="22"/>
        </w:rPr>
        <w:t xml:space="preserve"> </w:t>
      </w:r>
    </w:p>
    <w:p w14:paraId="3966BCD3" w14:textId="77777777" w:rsidR="00DD1994" w:rsidRDefault="000B0E69" w:rsidP="00F115E1">
      <w:pPr>
        <w:autoSpaceDE w:val="0"/>
        <w:autoSpaceDN w:val="0"/>
        <w:adjustRightInd w:val="0"/>
        <w:ind w:left="709" w:hanging="709"/>
        <w:rPr>
          <w:rFonts w:cs="Arial"/>
          <w:szCs w:val="22"/>
        </w:rPr>
      </w:pPr>
      <w:r>
        <w:rPr>
          <w:rFonts w:cs="Arial"/>
          <w:szCs w:val="22"/>
        </w:rPr>
        <w:t>5.14</w:t>
      </w:r>
      <w:r>
        <w:rPr>
          <w:rFonts w:cs="Arial"/>
          <w:szCs w:val="22"/>
        </w:rPr>
        <w:tab/>
      </w:r>
      <w:r w:rsidR="00D9225E" w:rsidRPr="00AB5218">
        <w:rPr>
          <w:rFonts w:cs="Arial"/>
          <w:szCs w:val="22"/>
        </w:rPr>
        <w:t xml:space="preserve">ONR inspectors may consider whether safety cases adequately demonstrate that a structured and systematic approach and appropriate methodology has been used to identify and control electromagnetic interference risks </w:t>
      </w:r>
      <w:r w:rsidR="00973B58">
        <w:rPr>
          <w:rFonts w:cs="Arial"/>
          <w:szCs w:val="22"/>
        </w:rPr>
        <w:t>that may occur at a</w:t>
      </w:r>
      <w:r w:rsidR="00D9225E" w:rsidRPr="00AB5218">
        <w:rPr>
          <w:rFonts w:cs="Arial"/>
          <w:szCs w:val="22"/>
        </w:rPr>
        <w:t xml:space="preserve"> facility. </w:t>
      </w:r>
    </w:p>
    <w:p w14:paraId="3566B701" w14:textId="77777777" w:rsidR="00DD1994" w:rsidRDefault="00DD1994" w:rsidP="006D1CA2">
      <w:pPr>
        <w:pStyle w:val="ListParagraph"/>
        <w:rPr>
          <w:rFonts w:cs="Arial"/>
          <w:szCs w:val="22"/>
        </w:rPr>
      </w:pPr>
    </w:p>
    <w:p w14:paraId="40877EB9" w14:textId="77777777" w:rsidR="00D9225E" w:rsidRDefault="000B0E69" w:rsidP="00F115E1">
      <w:pPr>
        <w:autoSpaceDE w:val="0"/>
        <w:autoSpaceDN w:val="0"/>
        <w:adjustRightInd w:val="0"/>
        <w:ind w:left="709" w:hanging="709"/>
        <w:rPr>
          <w:rFonts w:cs="Arial"/>
          <w:szCs w:val="22"/>
        </w:rPr>
      </w:pPr>
      <w:r>
        <w:rPr>
          <w:rFonts w:cs="Arial"/>
          <w:szCs w:val="22"/>
        </w:rPr>
        <w:t>5.15</w:t>
      </w:r>
      <w:r>
        <w:rPr>
          <w:rFonts w:cs="Arial"/>
          <w:szCs w:val="22"/>
        </w:rPr>
        <w:tab/>
      </w:r>
      <w:r w:rsidR="00DD1994">
        <w:rPr>
          <w:rFonts w:cs="Arial"/>
          <w:szCs w:val="22"/>
        </w:rPr>
        <w:t>Where appropriate, s</w:t>
      </w:r>
      <w:r w:rsidR="00D9225E" w:rsidRPr="00AB5218">
        <w:rPr>
          <w:rFonts w:cs="Arial"/>
          <w:szCs w:val="22"/>
        </w:rPr>
        <w:t>afety cases should include adequate information to show how the risk of EMI affecting the performance of E/E/PE utilities, communication systems, control systems and safety systems has been assessed. An appropriate range of electromagnetic hazards arising from a range of phenomena associated with operational environment should be identified and assessed</w:t>
      </w:r>
      <w:r w:rsidR="00DD1994">
        <w:rPr>
          <w:rFonts w:cs="Arial"/>
          <w:szCs w:val="22"/>
        </w:rPr>
        <w:t xml:space="preserve"> as </w:t>
      </w:r>
      <w:r w:rsidR="00375864">
        <w:rPr>
          <w:rFonts w:cs="Arial"/>
          <w:szCs w:val="22"/>
        </w:rPr>
        <w:t>necessary</w:t>
      </w:r>
      <w:r w:rsidR="00D9225E" w:rsidRPr="00AB5218">
        <w:rPr>
          <w:rFonts w:cs="Arial"/>
          <w:szCs w:val="22"/>
        </w:rPr>
        <w:t>.</w:t>
      </w:r>
    </w:p>
    <w:p w14:paraId="2915657C" w14:textId="77777777" w:rsidR="00492DC7" w:rsidRDefault="00492DC7" w:rsidP="00F115E1">
      <w:pPr>
        <w:autoSpaceDE w:val="0"/>
        <w:autoSpaceDN w:val="0"/>
        <w:adjustRightInd w:val="0"/>
        <w:ind w:left="709" w:hanging="709"/>
        <w:rPr>
          <w:rFonts w:cs="Arial"/>
          <w:szCs w:val="22"/>
        </w:rPr>
      </w:pPr>
    </w:p>
    <w:p w14:paraId="34E31D90" w14:textId="77777777" w:rsidR="00902721" w:rsidRDefault="00902721" w:rsidP="00F115E1">
      <w:pPr>
        <w:autoSpaceDE w:val="0"/>
        <w:autoSpaceDN w:val="0"/>
        <w:adjustRightInd w:val="0"/>
        <w:ind w:left="709" w:hanging="709"/>
        <w:rPr>
          <w:rFonts w:cs="Arial"/>
          <w:szCs w:val="22"/>
        </w:rPr>
      </w:pPr>
    </w:p>
    <w:p w14:paraId="07F1FD26" w14:textId="77777777" w:rsidR="00902721" w:rsidRDefault="00902721" w:rsidP="00F115E1">
      <w:pPr>
        <w:autoSpaceDE w:val="0"/>
        <w:autoSpaceDN w:val="0"/>
        <w:adjustRightInd w:val="0"/>
        <w:ind w:left="709" w:hanging="709"/>
        <w:rPr>
          <w:rFonts w:cs="Arial"/>
          <w:szCs w:val="22"/>
        </w:rPr>
      </w:pPr>
    </w:p>
    <w:p w14:paraId="69895A7E" w14:textId="77777777" w:rsidR="007B6A5B" w:rsidRPr="00AB5218" w:rsidRDefault="007B6A5B" w:rsidP="00F115E1">
      <w:pPr>
        <w:autoSpaceDE w:val="0"/>
        <w:autoSpaceDN w:val="0"/>
        <w:adjustRightInd w:val="0"/>
        <w:ind w:left="709" w:hanging="709"/>
        <w:rPr>
          <w:rFonts w:cs="Arial"/>
          <w:szCs w:val="22"/>
        </w:rPr>
      </w:pPr>
    </w:p>
    <w:p w14:paraId="55617CBF" w14:textId="77777777" w:rsidR="00AC4EF2" w:rsidRPr="00AB5218" w:rsidRDefault="00AC4EF2" w:rsidP="00AC4EF2">
      <w:pPr>
        <w:pStyle w:val="ListParagraph"/>
        <w:rPr>
          <w:rFonts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166"/>
        <w:gridCol w:w="3969"/>
        <w:gridCol w:w="1445"/>
      </w:tblGrid>
      <w:tr w:rsidR="00D9225E" w:rsidRPr="00AB5218" w14:paraId="7D02E768" w14:textId="77777777" w:rsidTr="00772B38">
        <w:tc>
          <w:tcPr>
            <w:tcW w:w="3166" w:type="dxa"/>
            <w:shd w:val="clear" w:color="auto" w:fill="FABF8F"/>
            <w:vAlign w:val="center"/>
          </w:tcPr>
          <w:p w14:paraId="17FB9796" w14:textId="77777777" w:rsidR="00D9225E" w:rsidRPr="00AB5218" w:rsidRDefault="00D9225E" w:rsidP="00772B38">
            <w:pPr>
              <w:pStyle w:val="Heading9"/>
              <w:numPr>
                <w:ilvl w:val="0"/>
                <w:numId w:val="0"/>
              </w:numPr>
              <w:spacing w:before="0" w:after="0"/>
            </w:pPr>
            <w:r w:rsidRPr="00AB5218">
              <w:t>Engineering principles: external and internal hazards</w:t>
            </w:r>
          </w:p>
        </w:tc>
        <w:tc>
          <w:tcPr>
            <w:tcW w:w="3969" w:type="dxa"/>
            <w:shd w:val="clear" w:color="auto" w:fill="FABF8F"/>
            <w:vAlign w:val="center"/>
          </w:tcPr>
          <w:p w14:paraId="29F3140F" w14:textId="77777777" w:rsidR="00D9225E" w:rsidRPr="00AB5218" w:rsidRDefault="00D9225E" w:rsidP="00772B38">
            <w:pPr>
              <w:pStyle w:val="Heading9"/>
              <w:numPr>
                <w:ilvl w:val="0"/>
                <w:numId w:val="0"/>
              </w:numPr>
              <w:spacing w:before="0" w:after="0"/>
            </w:pPr>
            <w:r w:rsidRPr="00AB5218">
              <w:t>Identification and characterisation</w:t>
            </w:r>
          </w:p>
        </w:tc>
        <w:tc>
          <w:tcPr>
            <w:tcW w:w="1445" w:type="dxa"/>
            <w:shd w:val="clear" w:color="auto" w:fill="FABF8F"/>
            <w:vAlign w:val="center"/>
          </w:tcPr>
          <w:p w14:paraId="6D55509F" w14:textId="77777777" w:rsidR="00D9225E" w:rsidRPr="00AB5218" w:rsidRDefault="00D9225E" w:rsidP="00772B38">
            <w:pPr>
              <w:pStyle w:val="Heading9"/>
              <w:numPr>
                <w:ilvl w:val="0"/>
                <w:numId w:val="0"/>
              </w:numPr>
              <w:spacing w:before="0" w:after="0"/>
            </w:pPr>
            <w:r w:rsidRPr="00AB5218">
              <w:t>EHA.1</w:t>
            </w:r>
          </w:p>
        </w:tc>
      </w:tr>
      <w:tr w:rsidR="00D9225E" w:rsidRPr="00AB5218" w14:paraId="5859CBB9" w14:textId="77777777" w:rsidTr="00772B38">
        <w:trPr>
          <w:trHeight w:val="632"/>
        </w:trPr>
        <w:tc>
          <w:tcPr>
            <w:tcW w:w="8580" w:type="dxa"/>
            <w:gridSpan w:val="3"/>
            <w:shd w:val="clear" w:color="auto" w:fill="auto"/>
            <w:vAlign w:val="center"/>
          </w:tcPr>
          <w:p w14:paraId="73748687" w14:textId="77777777" w:rsidR="00D9225E" w:rsidRPr="00AB5218" w:rsidRDefault="00D9225E" w:rsidP="00772B38">
            <w:pPr>
              <w:pStyle w:val="Heading9"/>
              <w:numPr>
                <w:ilvl w:val="0"/>
                <w:numId w:val="0"/>
              </w:numPr>
              <w:spacing w:before="0" w:after="0"/>
            </w:pPr>
            <w:r w:rsidRPr="00AB5218">
              <w:t>An effective process should be applied to identify and characterise all external and internal hazards that could affect the safety of the facility.</w:t>
            </w:r>
          </w:p>
        </w:tc>
      </w:tr>
    </w:tbl>
    <w:p w14:paraId="07E95A97" w14:textId="77777777" w:rsidR="00D9225E" w:rsidRPr="00AB5218" w:rsidRDefault="00D9225E" w:rsidP="00D9225E">
      <w:pPr>
        <w:pStyle w:val="TSNumberedParagraph11"/>
        <w:spacing w:after="0"/>
        <w:ind w:left="720"/>
        <w:rPr>
          <w:rFonts w:cs="Arial"/>
          <w:szCs w:val="22"/>
        </w:rPr>
      </w:pPr>
    </w:p>
    <w:p w14:paraId="1E45194A" w14:textId="77777777" w:rsidR="00D9225E" w:rsidRPr="00AB5218" w:rsidRDefault="000B0E69" w:rsidP="00F115E1">
      <w:pPr>
        <w:autoSpaceDE w:val="0"/>
        <w:autoSpaceDN w:val="0"/>
        <w:adjustRightInd w:val="0"/>
        <w:ind w:left="709" w:hanging="709"/>
        <w:rPr>
          <w:rFonts w:cs="Arial"/>
          <w:szCs w:val="22"/>
        </w:rPr>
      </w:pPr>
      <w:r>
        <w:rPr>
          <w:rFonts w:cs="Arial"/>
          <w:szCs w:val="22"/>
        </w:rPr>
        <w:t>5.16</w:t>
      </w:r>
      <w:r>
        <w:rPr>
          <w:rFonts w:cs="Arial"/>
          <w:szCs w:val="22"/>
        </w:rPr>
        <w:tab/>
      </w:r>
      <w:r w:rsidR="00C56D22" w:rsidRPr="00AB5218">
        <w:rPr>
          <w:rFonts w:cs="Arial"/>
          <w:szCs w:val="22"/>
        </w:rPr>
        <w:t>Th</w:t>
      </w:r>
      <w:r w:rsidR="00DD1994">
        <w:rPr>
          <w:rFonts w:cs="Arial"/>
          <w:szCs w:val="22"/>
        </w:rPr>
        <w:t>e</w:t>
      </w:r>
      <w:r w:rsidR="00C56D22" w:rsidRPr="00AB5218">
        <w:rPr>
          <w:rFonts w:cs="Arial"/>
          <w:szCs w:val="22"/>
        </w:rPr>
        <w:t xml:space="preserve"> environmental assessment should include consideration of reasonably foreseeable combinations of independently occurring hazards and cause-related hazards arising from relevant phenomena associated with operational environment, and consequential events resulting from a common initiating event (see </w:t>
      </w:r>
      <w:r w:rsidR="000A0DBC">
        <w:rPr>
          <w:rFonts w:cs="Arial"/>
          <w:szCs w:val="22"/>
        </w:rPr>
        <w:t>also</w:t>
      </w:r>
      <w:r w:rsidR="000A0DBC" w:rsidRPr="00AB5218">
        <w:rPr>
          <w:rFonts w:cs="Arial"/>
          <w:szCs w:val="22"/>
        </w:rPr>
        <w:t xml:space="preserve"> </w:t>
      </w:r>
      <w:r w:rsidR="00C56D22" w:rsidRPr="00AB5218">
        <w:rPr>
          <w:rFonts w:cs="Arial"/>
          <w:szCs w:val="22"/>
        </w:rPr>
        <w:t>SAP FA.2.</w:t>
      </w:r>
      <w:r w:rsidR="004C2943">
        <w:rPr>
          <w:rFonts w:cs="Arial"/>
          <w:szCs w:val="22"/>
        </w:rPr>
        <w:t xml:space="preserve"> [1])</w:t>
      </w:r>
    </w:p>
    <w:p w14:paraId="5BE7FBD4" w14:textId="77777777" w:rsidR="00AC4EF2" w:rsidRPr="00AB5218" w:rsidRDefault="00AC4EF2" w:rsidP="00AC4EF2">
      <w:pPr>
        <w:pStyle w:val="ListParagraph"/>
        <w:rPr>
          <w:rFonts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166"/>
        <w:gridCol w:w="3969"/>
        <w:gridCol w:w="1445"/>
      </w:tblGrid>
      <w:tr w:rsidR="00C56D22" w:rsidRPr="00AB5218" w14:paraId="03C23CE6" w14:textId="77777777" w:rsidTr="00772B38">
        <w:tc>
          <w:tcPr>
            <w:tcW w:w="3166" w:type="dxa"/>
            <w:shd w:val="clear" w:color="auto" w:fill="FABF8F"/>
            <w:vAlign w:val="center"/>
          </w:tcPr>
          <w:p w14:paraId="6DB4ECF3" w14:textId="77777777" w:rsidR="00C56D22" w:rsidRPr="00AB5218" w:rsidRDefault="00C56D22" w:rsidP="00772B38">
            <w:pPr>
              <w:pStyle w:val="Heading9"/>
              <w:numPr>
                <w:ilvl w:val="0"/>
                <w:numId w:val="0"/>
              </w:numPr>
              <w:spacing w:before="0" w:after="0"/>
            </w:pPr>
            <w:r w:rsidRPr="00AB5218">
              <w:rPr>
                <w:bCs/>
              </w:rPr>
              <w:t>Engineering principles: external and internal hazards</w:t>
            </w:r>
          </w:p>
        </w:tc>
        <w:tc>
          <w:tcPr>
            <w:tcW w:w="3969" w:type="dxa"/>
            <w:shd w:val="clear" w:color="auto" w:fill="FABF8F"/>
            <w:vAlign w:val="center"/>
          </w:tcPr>
          <w:p w14:paraId="50F3068F" w14:textId="77777777" w:rsidR="00C56D22" w:rsidRPr="00AB5218" w:rsidRDefault="00C56D22" w:rsidP="00772B38">
            <w:pPr>
              <w:pStyle w:val="Heading9"/>
              <w:numPr>
                <w:ilvl w:val="0"/>
                <w:numId w:val="0"/>
              </w:numPr>
              <w:spacing w:before="0" w:after="0"/>
            </w:pPr>
            <w:r w:rsidRPr="00AB5218">
              <w:t>Analysis</w:t>
            </w:r>
          </w:p>
        </w:tc>
        <w:tc>
          <w:tcPr>
            <w:tcW w:w="1445" w:type="dxa"/>
            <w:shd w:val="clear" w:color="auto" w:fill="FABF8F"/>
            <w:vAlign w:val="center"/>
          </w:tcPr>
          <w:p w14:paraId="164F8587" w14:textId="77777777" w:rsidR="00C56D22" w:rsidRPr="00AB5218" w:rsidRDefault="00C56D22" w:rsidP="00772B38">
            <w:pPr>
              <w:pStyle w:val="Heading9"/>
              <w:numPr>
                <w:ilvl w:val="0"/>
                <w:numId w:val="0"/>
              </w:numPr>
              <w:spacing w:before="0" w:after="0"/>
            </w:pPr>
            <w:r w:rsidRPr="00AB5218">
              <w:t>EHA.6</w:t>
            </w:r>
          </w:p>
        </w:tc>
      </w:tr>
      <w:tr w:rsidR="00C56D22" w:rsidRPr="00AB5218" w14:paraId="1BD82321" w14:textId="77777777" w:rsidTr="00772B38">
        <w:trPr>
          <w:trHeight w:val="632"/>
        </w:trPr>
        <w:tc>
          <w:tcPr>
            <w:tcW w:w="8580" w:type="dxa"/>
            <w:gridSpan w:val="3"/>
            <w:shd w:val="clear" w:color="auto" w:fill="auto"/>
            <w:vAlign w:val="center"/>
          </w:tcPr>
          <w:p w14:paraId="4DA70784" w14:textId="77777777" w:rsidR="00C56D22" w:rsidRPr="00AB5218" w:rsidRDefault="00C56D22" w:rsidP="00772B38">
            <w:pPr>
              <w:pStyle w:val="Heading9"/>
              <w:numPr>
                <w:ilvl w:val="0"/>
                <w:numId w:val="0"/>
              </w:numPr>
              <w:spacing w:before="0" w:after="0"/>
            </w:pPr>
            <w:r w:rsidRPr="00AB5218">
              <w:t xml:space="preserve">The effects of internal and external hazards that could affect the safety of the facility should be analysed. The analysis should </w:t>
            </w:r>
            <w:proofErr w:type="gramStart"/>
            <w:r w:rsidRPr="00AB5218">
              <w:t>take into account</w:t>
            </w:r>
            <w:proofErr w:type="gramEnd"/>
            <w:r w:rsidRPr="00AB5218">
              <w:t xml:space="preserve"> hazard combinations, simultaneous effects, common cause failures, defence in depth and consequential effects.</w:t>
            </w:r>
          </w:p>
        </w:tc>
      </w:tr>
    </w:tbl>
    <w:p w14:paraId="4DC86A1A" w14:textId="77777777" w:rsidR="00C56D22" w:rsidRPr="00AB5218" w:rsidRDefault="00C56D22" w:rsidP="00C56D22">
      <w:pPr>
        <w:pStyle w:val="ListParagraph"/>
        <w:rPr>
          <w:rFonts w:cs="Arial"/>
          <w:szCs w:val="22"/>
        </w:rPr>
      </w:pPr>
    </w:p>
    <w:p w14:paraId="1C9B3B5E" w14:textId="77777777" w:rsidR="00E83C30" w:rsidRDefault="000B0E69" w:rsidP="00F115E1">
      <w:pPr>
        <w:autoSpaceDE w:val="0"/>
        <w:autoSpaceDN w:val="0"/>
        <w:adjustRightInd w:val="0"/>
        <w:ind w:left="709" w:hanging="709"/>
        <w:rPr>
          <w:rFonts w:cs="Arial"/>
          <w:szCs w:val="22"/>
        </w:rPr>
      </w:pPr>
      <w:r>
        <w:rPr>
          <w:rFonts w:cs="Arial"/>
          <w:szCs w:val="22"/>
        </w:rPr>
        <w:t>5.17</w:t>
      </w:r>
      <w:r>
        <w:rPr>
          <w:rFonts w:cs="Arial"/>
          <w:szCs w:val="22"/>
        </w:rPr>
        <w:tab/>
      </w:r>
      <w:r w:rsidR="00426A0C">
        <w:rPr>
          <w:rFonts w:cs="Arial"/>
          <w:szCs w:val="22"/>
        </w:rPr>
        <w:t>S</w:t>
      </w:r>
      <w:r w:rsidR="002B0722">
        <w:rPr>
          <w:rFonts w:cs="Arial"/>
          <w:szCs w:val="22"/>
        </w:rPr>
        <w:t xml:space="preserve">ources of electromagnetic phenomena that </w:t>
      </w:r>
      <w:r w:rsidR="00F47186">
        <w:rPr>
          <w:rFonts w:cs="Arial"/>
          <w:szCs w:val="22"/>
        </w:rPr>
        <w:t xml:space="preserve">could affect the safety of the </w:t>
      </w:r>
      <w:r w:rsidR="002B0722">
        <w:rPr>
          <w:rFonts w:cs="Arial"/>
          <w:szCs w:val="22"/>
        </w:rPr>
        <w:t xml:space="preserve">facility </w:t>
      </w:r>
      <w:r w:rsidR="00F47186">
        <w:rPr>
          <w:rFonts w:cs="Arial"/>
          <w:szCs w:val="22"/>
        </w:rPr>
        <w:t xml:space="preserve">should be identified </w:t>
      </w:r>
      <w:r w:rsidR="002B0722">
        <w:rPr>
          <w:rFonts w:cs="Arial"/>
          <w:szCs w:val="22"/>
        </w:rPr>
        <w:t xml:space="preserve">and a suitable form of </w:t>
      </w:r>
      <w:r w:rsidR="00416C22" w:rsidRPr="00AB5218">
        <w:rPr>
          <w:rFonts w:cs="Arial"/>
          <w:szCs w:val="22"/>
        </w:rPr>
        <w:t xml:space="preserve">analysis should be </w:t>
      </w:r>
      <w:r w:rsidR="002B0722">
        <w:rPr>
          <w:rFonts w:cs="Arial"/>
          <w:szCs w:val="22"/>
        </w:rPr>
        <w:t xml:space="preserve">performed </w:t>
      </w:r>
      <w:r w:rsidR="00416C22" w:rsidRPr="00AB5218">
        <w:rPr>
          <w:rFonts w:cs="Arial"/>
          <w:szCs w:val="22"/>
        </w:rPr>
        <w:t xml:space="preserve">to </w:t>
      </w:r>
      <w:r w:rsidR="00A82B44">
        <w:rPr>
          <w:rFonts w:cs="Arial"/>
          <w:szCs w:val="22"/>
        </w:rPr>
        <w:t>determine</w:t>
      </w:r>
      <w:r w:rsidR="00A82B44" w:rsidRPr="00AB5218">
        <w:rPr>
          <w:rFonts w:cs="Arial"/>
          <w:szCs w:val="22"/>
        </w:rPr>
        <w:t xml:space="preserve"> </w:t>
      </w:r>
      <w:r w:rsidR="00416C22" w:rsidRPr="00AB5218">
        <w:rPr>
          <w:rFonts w:cs="Arial"/>
          <w:szCs w:val="22"/>
        </w:rPr>
        <w:t>the potential for electromagnetic disturbances to affect safety performance</w:t>
      </w:r>
      <w:r w:rsidR="002B0722">
        <w:rPr>
          <w:rFonts w:cs="Arial"/>
          <w:szCs w:val="22"/>
        </w:rPr>
        <w:t xml:space="preserve">. </w:t>
      </w:r>
      <w:r w:rsidR="00A82B44">
        <w:rPr>
          <w:rFonts w:cs="Arial"/>
          <w:szCs w:val="22"/>
        </w:rPr>
        <w:t>As necessary, t</w:t>
      </w:r>
      <w:r w:rsidR="002B0722">
        <w:rPr>
          <w:rFonts w:cs="Arial"/>
          <w:szCs w:val="22"/>
        </w:rPr>
        <w:t>his a</w:t>
      </w:r>
      <w:r w:rsidR="00E83C30">
        <w:rPr>
          <w:rFonts w:cs="Arial"/>
          <w:szCs w:val="22"/>
        </w:rPr>
        <w:t>nalysis</w:t>
      </w:r>
      <w:r w:rsidR="00E83C30" w:rsidRPr="00CE6A25">
        <w:rPr>
          <w:rFonts w:cs="Arial"/>
          <w:szCs w:val="22"/>
        </w:rPr>
        <w:t xml:space="preserve"> should </w:t>
      </w:r>
      <w:r w:rsidR="00A82B44">
        <w:rPr>
          <w:rFonts w:cs="Arial"/>
          <w:szCs w:val="22"/>
        </w:rPr>
        <w:t xml:space="preserve">also </w:t>
      </w:r>
      <w:r w:rsidR="00E83C30" w:rsidRPr="00CE6A25">
        <w:rPr>
          <w:rFonts w:cs="Arial"/>
          <w:szCs w:val="22"/>
        </w:rPr>
        <w:t xml:space="preserve">consider </w:t>
      </w:r>
      <w:r w:rsidR="00A82B44">
        <w:rPr>
          <w:rFonts w:cs="Arial"/>
          <w:szCs w:val="22"/>
        </w:rPr>
        <w:t xml:space="preserve">malicious use of </w:t>
      </w:r>
      <w:r w:rsidR="00E83C30" w:rsidRPr="00CE6A25">
        <w:rPr>
          <w:rFonts w:cs="Arial"/>
          <w:szCs w:val="22"/>
        </w:rPr>
        <w:t xml:space="preserve">EMI </w:t>
      </w:r>
      <w:r w:rsidR="00E83C30" w:rsidRPr="0099322C">
        <w:rPr>
          <w:rFonts w:cs="Arial"/>
          <w:szCs w:val="22"/>
        </w:rPr>
        <w:t>(</w:t>
      </w:r>
      <w:proofErr w:type="gramStart"/>
      <w:r w:rsidR="00E83C30" w:rsidRPr="0099322C">
        <w:rPr>
          <w:rFonts w:cs="Arial"/>
          <w:szCs w:val="22"/>
        </w:rPr>
        <w:t>i.e.</w:t>
      </w:r>
      <w:proofErr w:type="gramEnd"/>
      <w:r w:rsidR="00E83C30" w:rsidRPr="0099322C">
        <w:rPr>
          <w:rFonts w:cs="Arial"/>
          <w:szCs w:val="22"/>
        </w:rPr>
        <w:t xml:space="preserve"> the use of deliberate electromagnetic interference to block communication</w:t>
      </w:r>
      <w:r w:rsidR="00A82B44">
        <w:rPr>
          <w:rFonts w:cs="Arial"/>
          <w:szCs w:val="22"/>
        </w:rPr>
        <w:t>s</w:t>
      </w:r>
      <w:r w:rsidR="00E83C30" w:rsidRPr="0099322C">
        <w:rPr>
          <w:rFonts w:cs="Arial"/>
          <w:szCs w:val="22"/>
        </w:rPr>
        <w:t xml:space="preserve"> and/or lead to malfunction of equipment)</w:t>
      </w:r>
      <w:r w:rsidR="00902721">
        <w:rPr>
          <w:rFonts w:cs="Arial"/>
          <w:szCs w:val="22"/>
        </w:rPr>
        <w:t>.</w:t>
      </w:r>
    </w:p>
    <w:p w14:paraId="0A414969" w14:textId="77777777" w:rsidR="00E83C30" w:rsidRDefault="00E83C30" w:rsidP="00F115E1">
      <w:pPr>
        <w:autoSpaceDE w:val="0"/>
        <w:autoSpaceDN w:val="0"/>
        <w:adjustRightInd w:val="0"/>
        <w:ind w:left="709" w:hanging="709"/>
        <w:rPr>
          <w:rFonts w:cs="Arial"/>
          <w:szCs w:val="22"/>
        </w:rPr>
      </w:pPr>
    </w:p>
    <w:p w14:paraId="05AA06D5" w14:textId="77777777" w:rsidR="00E83C30" w:rsidRPr="0099322C" w:rsidRDefault="00E83C30" w:rsidP="00F115E1">
      <w:pPr>
        <w:autoSpaceDE w:val="0"/>
        <w:autoSpaceDN w:val="0"/>
        <w:adjustRightInd w:val="0"/>
        <w:ind w:left="709" w:hanging="709"/>
        <w:rPr>
          <w:rFonts w:cs="Arial"/>
          <w:dstrike/>
          <w:szCs w:val="22"/>
        </w:rPr>
      </w:pPr>
      <w:r w:rsidRPr="0099322C">
        <w:rPr>
          <w:rFonts w:cs="Arial"/>
          <w:szCs w:val="22"/>
        </w:rPr>
        <w:t>5.1</w:t>
      </w:r>
      <w:r w:rsidR="00A82B44" w:rsidRPr="0099322C">
        <w:rPr>
          <w:rFonts w:cs="Arial"/>
          <w:szCs w:val="22"/>
        </w:rPr>
        <w:t>8</w:t>
      </w:r>
      <w:r w:rsidRPr="0099322C">
        <w:rPr>
          <w:rFonts w:cs="Arial"/>
          <w:szCs w:val="22"/>
        </w:rPr>
        <w:tab/>
        <w:t xml:space="preserve">IEC 61000-1-2 tables 2 and A.1 [10] provide guidance on </w:t>
      </w:r>
      <w:r w:rsidR="00F47186" w:rsidRPr="0099322C">
        <w:rPr>
          <w:rFonts w:cs="Arial"/>
          <w:szCs w:val="22"/>
        </w:rPr>
        <w:t>a</w:t>
      </w:r>
      <w:r w:rsidRPr="0099322C">
        <w:rPr>
          <w:rFonts w:cs="Arial"/>
          <w:szCs w:val="22"/>
        </w:rPr>
        <w:t xml:space="preserve"> range of electromagnetic phenomena that may </w:t>
      </w:r>
      <w:r w:rsidR="00A82B44" w:rsidRPr="0099322C">
        <w:rPr>
          <w:rFonts w:cs="Arial"/>
          <w:szCs w:val="22"/>
        </w:rPr>
        <w:t xml:space="preserve">need to </w:t>
      </w:r>
      <w:r w:rsidRPr="0099322C">
        <w:rPr>
          <w:rFonts w:cs="Arial"/>
          <w:szCs w:val="22"/>
        </w:rPr>
        <w:t xml:space="preserve">be </w:t>
      </w:r>
      <w:r w:rsidR="00A82B44" w:rsidRPr="0099322C">
        <w:rPr>
          <w:rFonts w:cs="Arial"/>
          <w:szCs w:val="22"/>
        </w:rPr>
        <w:t>considered</w:t>
      </w:r>
      <w:r w:rsidRPr="0099322C">
        <w:rPr>
          <w:rFonts w:cs="Arial"/>
          <w:szCs w:val="22"/>
        </w:rPr>
        <w:t xml:space="preserve">, </w:t>
      </w:r>
      <w:proofErr w:type="gramStart"/>
      <w:r w:rsidRPr="0099322C">
        <w:rPr>
          <w:rFonts w:cs="Arial"/>
          <w:szCs w:val="22"/>
        </w:rPr>
        <w:t>assessed</w:t>
      </w:r>
      <w:proofErr w:type="gramEnd"/>
      <w:r w:rsidRPr="0099322C">
        <w:rPr>
          <w:rFonts w:cs="Arial"/>
          <w:szCs w:val="22"/>
        </w:rPr>
        <w:t xml:space="preserve"> and analysed. </w:t>
      </w:r>
    </w:p>
    <w:p w14:paraId="66D4CA01" w14:textId="77777777" w:rsidR="00E83C30" w:rsidRDefault="00E83C30" w:rsidP="00F115E1">
      <w:pPr>
        <w:autoSpaceDE w:val="0"/>
        <w:autoSpaceDN w:val="0"/>
        <w:adjustRightInd w:val="0"/>
        <w:ind w:left="709" w:hanging="709"/>
        <w:rPr>
          <w:rFonts w:cs="Arial"/>
          <w:szCs w:val="22"/>
        </w:rPr>
      </w:pPr>
    </w:p>
    <w:p w14:paraId="0C568426" w14:textId="77777777" w:rsidR="00E83C30" w:rsidRDefault="00E83C30" w:rsidP="00F115E1">
      <w:pPr>
        <w:autoSpaceDE w:val="0"/>
        <w:autoSpaceDN w:val="0"/>
        <w:adjustRightInd w:val="0"/>
        <w:ind w:left="709" w:hanging="709"/>
        <w:rPr>
          <w:rFonts w:cs="Arial"/>
          <w:szCs w:val="22"/>
        </w:rPr>
      </w:pPr>
      <w:r>
        <w:rPr>
          <w:rFonts w:cs="Arial"/>
          <w:szCs w:val="22"/>
        </w:rPr>
        <w:t>5.</w:t>
      </w:r>
      <w:r w:rsidR="00A82B44">
        <w:rPr>
          <w:rFonts w:cs="Arial"/>
          <w:szCs w:val="22"/>
        </w:rPr>
        <w:t>19</w:t>
      </w:r>
      <w:r w:rsidRPr="00E83C30">
        <w:rPr>
          <w:rFonts w:cs="Arial"/>
          <w:szCs w:val="22"/>
        </w:rPr>
        <w:t xml:space="preserve"> </w:t>
      </w:r>
      <w:r>
        <w:rPr>
          <w:rFonts w:cs="Arial"/>
          <w:szCs w:val="22"/>
        </w:rPr>
        <w:tab/>
      </w:r>
      <w:r w:rsidRPr="00AB5218">
        <w:rPr>
          <w:rFonts w:cs="Arial"/>
          <w:szCs w:val="22"/>
        </w:rPr>
        <w:t xml:space="preserve">Analysis should not be limited to individual </w:t>
      </w:r>
      <w:r w:rsidR="007B6A5B">
        <w:rPr>
          <w:rFonts w:cs="Arial"/>
          <w:szCs w:val="22"/>
        </w:rPr>
        <w:t xml:space="preserve">electromagnetic </w:t>
      </w:r>
      <w:r w:rsidRPr="00AB5218">
        <w:rPr>
          <w:rFonts w:cs="Arial"/>
          <w:szCs w:val="22"/>
        </w:rPr>
        <w:t>phenomena or effects and the impact of combinations of EMI impacts under a range of credible conditions should be considered.</w:t>
      </w:r>
      <w:r>
        <w:rPr>
          <w:rFonts w:cs="Arial"/>
          <w:szCs w:val="22"/>
        </w:rPr>
        <w:t xml:space="preserve">  Where appropriate, analysis should consider the potential consequences of multiple electromagnetic disturbances, </w:t>
      </w:r>
      <w:proofErr w:type="gramStart"/>
      <w:r>
        <w:rPr>
          <w:rFonts w:cs="Arial"/>
          <w:szCs w:val="22"/>
        </w:rPr>
        <w:t>e.g.</w:t>
      </w:r>
      <w:proofErr w:type="gramEnd"/>
      <w:r>
        <w:rPr>
          <w:rFonts w:cs="Arial"/>
          <w:szCs w:val="22"/>
        </w:rPr>
        <w:t xml:space="preserve"> by including different types</w:t>
      </w:r>
      <w:r w:rsidR="007B6A5B">
        <w:rPr>
          <w:rFonts w:cs="Arial"/>
          <w:szCs w:val="22"/>
        </w:rPr>
        <w:t xml:space="preserve"> of disturbance</w:t>
      </w:r>
      <w:r>
        <w:rPr>
          <w:rFonts w:cs="Arial"/>
          <w:szCs w:val="22"/>
        </w:rPr>
        <w:t xml:space="preserve"> occurring at the same time or in sequence,</w:t>
      </w:r>
      <w:r w:rsidR="005B680A">
        <w:rPr>
          <w:rFonts w:cs="Arial"/>
          <w:szCs w:val="22"/>
        </w:rPr>
        <w:t xml:space="preserve"> that may foreseeably arise at the facility.</w:t>
      </w:r>
    </w:p>
    <w:p w14:paraId="6E185BFA" w14:textId="77777777" w:rsidR="00C01C76" w:rsidRDefault="00C01C76" w:rsidP="0099322C">
      <w:pPr>
        <w:autoSpaceDE w:val="0"/>
        <w:autoSpaceDN w:val="0"/>
        <w:adjustRightInd w:val="0"/>
        <w:ind w:left="709"/>
        <w:rPr>
          <w:rFonts w:cs="Arial"/>
          <w:szCs w:val="22"/>
        </w:rPr>
      </w:pPr>
    </w:p>
    <w:p w14:paraId="378D6C2C" w14:textId="77777777" w:rsidR="00C56D22" w:rsidRPr="00AB5218" w:rsidRDefault="000B0E69" w:rsidP="00F115E1">
      <w:pPr>
        <w:autoSpaceDE w:val="0"/>
        <w:autoSpaceDN w:val="0"/>
        <w:adjustRightInd w:val="0"/>
        <w:ind w:left="709" w:hanging="709"/>
        <w:rPr>
          <w:rFonts w:cs="Arial"/>
          <w:szCs w:val="22"/>
        </w:rPr>
      </w:pPr>
      <w:r>
        <w:rPr>
          <w:rFonts w:cs="Arial"/>
          <w:szCs w:val="22"/>
        </w:rPr>
        <w:t>5.</w:t>
      </w:r>
      <w:r w:rsidR="00096B56">
        <w:rPr>
          <w:rFonts w:cs="Arial"/>
          <w:szCs w:val="22"/>
        </w:rPr>
        <w:t>2</w:t>
      </w:r>
      <w:r w:rsidR="00A82B44">
        <w:rPr>
          <w:rFonts w:cs="Arial"/>
          <w:szCs w:val="22"/>
        </w:rPr>
        <w:t>0</w:t>
      </w:r>
      <w:r>
        <w:rPr>
          <w:rFonts w:cs="Arial"/>
          <w:szCs w:val="22"/>
        </w:rPr>
        <w:tab/>
      </w:r>
      <w:r w:rsidR="005B680A">
        <w:rPr>
          <w:rFonts w:cs="Arial"/>
          <w:szCs w:val="22"/>
        </w:rPr>
        <w:t>S</w:t>
      </w:r>
      <w:r w:rsidR="00C56D22" w:rsidRPr="00AB5218">
        <w:rPr>
          <w:rFonts w:cs="Arial"/>
          <w:szCs w:val="22"/>
        </w:rPr>
        <w:t xml:space="preserve">afety cases </w:t>
      </w:r>
      <w:r w:rsidR="005B680A">
        <w:rPr>
          <w:rFonts w:cs="Arial"/>
          <w:szCs w:val="22"/>
        </w:rPr>
        <w:t xml:space="preserve">should </w:t>
      </w:r>
      <w:r w:rsidR="00C56D22" w:rsidRPr="00AB5218">
        <w:rPr>
          <w:rFonts w:cs="Arial"/>
          <w:szCs w:val="22"/>
        </w:rPr>
        <w:t xml:space="preserve">identify </w:t>
      </w:r>
      <w:r w:rsidR="00CC71DA">
        <w:rPr>
          <w:rFonts w:cs="Arial"/>
          <w:szCs w:val="22"/>
        </w:rPr>
        <w:t xml:space="preserve">sufficient information, including </w:t>
      </w:r>
      <w:r w:rsidR="00C56D22" w:rsidRPr="00AB5218">
        <w:rPr>
          <w:rFonts w:cs="Arial"/>
          <w:szCs w:val="22"/>
        </w:rPr>
        <w:t xml:space="preserve">electromagnetic immunity limits that </w:t>
      </w:r>
      <w:r w:rsidR="007B6A5B">
        <w:rPr>
          <w:rFonts w:cs="Arial"/>
          <w:szCs w:val="22"/>
        </w:rPr>
        <w:t>may be</w:t>
      </w:r>
      <w:r w:rsidR="007B6A5B" w:rsidRPr="00AB5218">
        <w:rPr>
          <w:rFonts w:cs="Arial"/>
          <w:szCs w:val="22"/>
        </w:rPr>
        <w:t xml:space="preserve"> </w:t>
      </w:r>
      <w:r w:rsidR="00C56D22" w:rsidRPr="00AB5218">
        <w:rPr>
          <w:rFonts w:cs="Arial"/>
          <w:szCs w:val="22"/>
        </w:rPr>
        <w:t>required to achieve functional safety</w:t>
      </w:r>
      <w:r w:rsidR="005B680A">
        <w:rPr>
          <w:rFonts w:cs="Arial"/>
          <w:szCs w:val="22"/>
        </w:rPr>
        <w:t xml:space="preserve"> (see IEC 61508-1 [8])</w:t>
      </w:r>
      <w:r w:rsidR="00C56D22" w:rsidRPr="00AB5218">
        <w:rPr>
          <w:rFonts w:cs="Arial"/>
          <w:szCs w:val="22"/>
        </w:rPr>
        <w:t xml:space="preserve">. </w:t>
      </w:r>
      <w:r w:rsidR="00F47186" w:rsidRPr="0099322C">
        <w:rPr>
          <w:rFonts w:cs="Arial"/>
          <w:szCs w:val="22"/>
        </w:rPr>
        <w:t>Where appropriate, the IET CoP for electromagnetic resilience [17] provides further guidance on hazard analysis</w:t>
      </w:r>
      <w:r w:rsidR="004C1446" w:rsidRPr="0099322C">
        <w:rPr>
          <w:rFonts w:cs="Arial"/>
          <w:szCs w:val="22"/>
        </w:rPr>
        <w:t>.</w:t>
      </w:r>
      <w:r w:rsidR="0099322C">
        <w:rPr>
          <w:rFonts w:cs="Arial"/>
          <w:szCs w:val="22"/>
        </w:rPr>
        <w:t xml:space="preserve"> </w:t>
      </w:r>
    </w:p>
    <w:p w14:paraId="477BB29E" w14:textId="77777777" w:rsidR="00AC4EF2" w:rsidRPr="00AB5218" w:rsidRDefault="00AC4EF2" w:rsidP="00AC4EF2">
      <w:pPr>
        <w:autoSpaceDE w:val="0"/>
        <w:autoSpaceDN w:val="0"/>
        <w:adjustRightInd w:val="0"/>
        <w:rPr>
          <w:rFonts w:cs="Arial"/>
          <w:szCs w:val="22"/>
        </w:rPr>
      </w:pPr>
    </w:p>
    <w:p w14:paraId="6F80410B" w14:textId="77777777" w:rsidR="006E66D4" w:rsidRPr="00AB5218" w:rsidRDefault="006E66D4" w:rsidP="006E66D4">
      <w:pPr>
        <w:pStyle w:val="TSNumberedParagraph11"/>
        <w:ind w:left="720"/>
        <w:rPr>
          <w:rFonts w:cs="Arial"/>
          <w:b/>
          <w:szCs w:val="22"/>
          <w:u w:val="single"/>
        </w:rPr>
      </w:pPr>
      <w:r w:rsidRPr="00AB5218">
        <w:rPr>
          <w:rFonts w:cs="Arial"/>
          <w:b/>
          <w:szCs w:val="22"/>
          <w:u w:val="single"/>
        </w:rPr>
        <w:t>Management of EMI Risk</w:t>
      </w:r>
    </w:p>
    <w:p w14:paraId="264C478C" w14:textId="77777777" w:rsidR="006E66D4" w:rsidRDefault="000B0E69" w:rsidP="00F115E1">
      <w:pPr>
        <w:autoSpaceDE w:val="0"/>
        <w:autoSpaceDN w:val="0"/>
        <w:adjustRightInd w:val="0"/>
        <w:ind w:left="709" w:hanging="709"/>
        <w:rPr>
          <w:rFonts w:cs="Arial"/>
          <w:szCs w:val="22"/>
        </w:rPr>
      </w:pPr>
      <w:r>
        <w:rPr>
          <w:rFonts w:cs="Arial"/>
          <w:szCs w:val="22"/>
        </w:rPr>
        <w:t>5.2</w:t>
      </w:r>
      <w:r w:rsidR="00902721">
        <w:rPr>
          <w:rFonts w:cs="Arial"/>
          <w:szCs w:val="22"/>
        </w:rPr>
        <w:t>1</w:t>
      </w:r>
      <w:r>
        <w:rPr>
          <w:rFonts w:cs="Arial"/>
          <w:szCs w:val="22"/>
        </w:rPr>
        <w:tab/>
      </w:r>
      <w:r w:rsidR="00963F51">
        <w:rPr>
          <w:rFonts w:cs="Arial"/>
          <w:szCs w:val="22"/>
        </w:rPr>
        <w:t>R</w:t>
      </w:r>
      <w:r w:rsidR="006E66D4" w:rsidRPr="00AB5218">
        <w:rPr>
          <w:rFonts w:cs="Arial"/>
          <w:szCs w:val="22"/>
        </w:rPr>
        <w:t xml:space="preserve">isks </w:t>
      </w:r>
      <w:r w:rsidR="00945CAC">
        <w:rPr>
          <w:rFonts w:cs="Arial"/>
          <w:szCs w:val="22"/>
        </w:rPr>
        <w:t xml:space="preserve">that could arise from </w:t>
      </w:r>
      <w:r w:rsidR="000A0DBC">
        <w:rPr>
          <w:rFonts w:cs="Arial"/>
          <w:szCs w:val="22"/>
        </w:rPr>
        <w:t xml:space="preserve">sources of </w:t>
      </w:r>
      <w:r w:rsidR="006E66D4" w:rsidRPr="00AB5218">
        <w:rPr>
          <w:rFonts w:cs="Arial"/>
          <w:szCs w:val="22"/>
        </w:rPr>
        <w:t xml:space="preserve">EMI </w:t>
      </w:r>
      <w:r w:rsidR="000A0DBC">
        <w:rPr>
          <w:rFonts w:cs="Arial"/>
          <w:szCs w:val="22"/>
        </w:rPr>
        <w:t xml:space="preserve">that can foreseeably occur at a facility </w:t>
      </w:r>
      <w:r w:rsidR="006E66D4" w:rsidRPr="00AB5218">
        <w:rPr>
          <w:rFonts w:cs="Arial"/>
          <w:szCs w:val="22"/>
        </w:rPr>
        <w:t xml:space="preserve">should be </w:t>
      </w:r>
      <w:r w:rsidR="00E21C63">
        <w:rPr>
          <w:rFonts w:cs="Arial"/>
          <w:szCs w:val="22"/>
        </w:rPr>
        <w:t>reduced</w:t>
      </w:r>
      <w:r w:rsidR="00E21C63" w:rsidRPr="00AB5218">
        <w:rPr>
          <w:rFonts w:cs="Arial"/>
          <w:szCs w:val="22"/>
        </w:rPr>
        <w:t xml:space="preserve"> </w:t>
      </w:r>
      <w:r w:rsidR="00B05761">
        <w:rPr>
          <w:rFonts w:cs="Arial"/>
          <w:szCs w:val="22"/>
        </w:rPr>
        <w:t>so far as reasonably practicable</w:t>
      </w:r>
      <w:r w:rsidR="006E66D4" w:rsidRPr="00AB5218">
        <w:rPr>
          <w:rFonts w:cs="Arial"/>
          <w:szCs w:val="22"/>
        </w:rPr>
        <w:t>. (</w:t>
      </w:r>
      <w:proofErr w:type="gramStart"/>
      <w:r w:rsidR="009E5F80">
        <w:rPr>
          <w:rFonts w:cs="Arial"/>
          <w:szCs w:val="22"/>
        </w:rPr>
        <w:t>see</w:t>
      </w:r>
      <w:proofErr w:type="gramEnd"/>
      <w:r w:rsidR="009E5F80">
        <w:rPr>
          <w:rFonts w:cs="Arial"/>
          <w:szCs w:val="22"/>
        </w:rPr>
        <w:t xml:space="preserve"> SAPs </w:t>
      </w:r>
      <w:r w:rsidR="006E66D4" w:rsidRPr="00AB5218">
        <w:rPr>
          <w:rFonts w:cs="Arial"/>
          <w:szCs w:val="22"/>
        </w:rPr>
        <w:t xml:space="preserve">EHA.1, EHA.6). ONR inspectors may consider how risks from EMI are adequately managed </w:t>
      </w:r>
      <w:r w:rsidR="000A0DBC">
        <w:rPr>
          <w:rFonts w:cs="Arial"/>
          <w:szCs w:val="22"/>
        </w:rPr>
        <w:t>throughout</w:t>
      </w:r>
      <w:r w:rsidR="000A0DBC" w:rsidRPr="00AB5218">
        <w:rPr>
          <w:rFonts w:cs="Arial"/>
          <w:szCs w:val="22"/>
        </w:rPr>
        <w:t xml:space="preserve"> </w:t>
      </w:r>
      <w:r w:rsidR="006E66D4" w:rsidRPr="00AB5218">
        <w:rPr>
          <w:rFonts w:cs="Arial"/>
          <w:szCs w:val="22"/>
        </w:rPr>
        <w:t xml:space="preserve">the </w:t>
      </w:r>
      <w:r w:rsidR="00963F51">
        <w:rPr>
          <w:rFonts w:cs="Arial"/>
          <w:szCs w:val="22"/>
        </w:rPr>
        <w:t>lifetime</w:t>
      </w:r>
      <w:r w:rsidR="000A0DBC">
        <w:rPr>
          <w:rFonts w:cs="Arial"/>
          <w:szCs w:val="22"/>
        </w:rPr>
        <w:t xml:space="preserve"> of a facility</w:t>
      </w:r>
      <w:r w:rsidR="006E66D4" w:rsidRPr="00AB5218">
        <w:rPr>
          <w:rFonts w:cs="Arial"/>
          <w:szCs w:val="22"/>
        </w:rPr>
        <w:t>.</w:t>
      </w:r>
    </w:p>
    <w:p w14:paraId="576185C6" w14:textId="77777777" w:rsidR="00AC4EF2" w:rsidRPr="00AB5218" w:rsidRDefault="00AC4EF2" w:rsidP="00AC4EF2">
      <w:pPr>
        <w:autoSpaceDE w:val="0"/>
        <w:autoSpaceDN w:val="0"/>
        <w:adjustRightInd w:val="0"/>
        <w:ind w:left="720"/>
        <w:rPr>
          <w:rFonts w:cs="Arial"/>
          <w:szCs w:val="22"/>
        </w:rPr>
      </w:pPr>
    </w:p>
    <w:p w14:paraId="5355D472" w14:textId="77777777" w:rsidR="006E66D4" w:rsidRPr="00AB5218" w:rsidRDefault="000B0E69" w:rsidP="00F115E1">
      <w:pPr>
        <w:autoSpaceDE w:val="0"/>
        <w:autoSpaceDN w:val="0"/>
        <w:adjustRightInd w:val="0"/>
        <w:ind w:left="709" w:hanging="709"/>
        <w:rPr>
          <w:rFonts w:cs="Arial"/>
          <w:szCs w:val="22"/>
        </w:rPr>
      </w:pPr>
      <w:r>
        <w:rPr>
          <w:rFonts w:cs="Arial"/>
          <w:szCs w:val="22"/>
        </w:rPr>
        <w:t>5.2</w:t>
      </w:r>
      <w:r w:rsidR="00902721">
        <w:rPr>
          <w:rFonts w:cs="Arial"/>
          <w:szCs w:val="22"/>
        </w:rPr>
        <w:t>2</w:t>
      </w:r>
      <w:r>
        <w:rPr>
          <w:rFonts w:cs="Arial"/>
          <w:szCs w:val="22"/>
        </w:rPr>
        <w:tab/>
      </w:r>
      <w:r w:rsidR="006E66D4" w:rsidRPr="00AB5218">
        <w:rPr>
          <w:rFonts w:cs="Arial"/>
          <w:szCs w:val="22"/>
        </w:rPr>
        <w:t>In engineering terms, management of risk from EMI is generally achieved by a combination of:</w:t>
      </w:r>
    </w:p>
    <w:p w14:paraId="1EC3F940" w14:textId="77777777" w:rsidR="00AC4EF2" w:rsidRPr="00AB5218" w:rsidRDefault="00AC4EF2" w:rsidP="00AC4EF2">
      <w:pPr>
        <w:pStyle w:val="ListParagraph"/>
        <w:rPr>
          <w:rFonts w:cs="Arial"/>
          <w:szCs w:val="22"/>
        </w:rPr>
      </w:pPr>
    </w:p>
    <w:p w14:paraId="5F3DCBF0" w14:textId="77777777" w:rsidR="006E66D4" w:rsidRPr="00AB5218" w:rsidRDefault="006E66D4" w:rsidP="00AC4EF2">
      <w:pPr>
        <w:pStyle w:val="TSBullet1Square"/>
        <w:rPr>
          <w:rFonts w:cs="Arial"/>
          <w:szCs w:val="22"/>
        </w:rPr>
      </w:pPr>
      <w:r w:rsidRPr="00AB5218">
        <w:rPr>
          <w:rFonts w:cs="Arial"/>
          <w:szCs w:val="22"/>
        </w:rPr>
        <w:t xml:space="preserve">Facilities (and system) engineered measures that control the electromagnetic environment of the facility (e.g. by ensuring adequate EMC performance of </w:t>
      </w:r>
      <w:r w:rsidRPr="00AB5218">
        <w:rPr>
          <w:rFonts w:cs="Arial"/>
          <w:szCs w:val="22"/>
        </w:rPr>
        <w:lastRenderedPageBreak/>
        <w:t xml:space="preserve">electrical and electronic </w:t>
      </w:r>
      <w:proofErr w:type="gramStart"/>
      <w:r w:rsidRPr="00AB5218">
        <w:rPr>
          <w:rFonts w:cs="Arial"/>
          <w:szCs w:val="22"/>
        </w:rPr>
        <w:t>systems,  provision</w:t>
      </w:r>
      <w:proofErr w:type="gramEnd"/>
      <w:r w:rsidRPr="00AB5218">
        <w:rPr>
          <w:rFonts w:cs="Arial"/>
          <w:szCs w:val="22"/>
        </w:rPr>
        <w:t xml:space="preserve"> of shielding, lightning protection systems, earthing and bonding, surge protection etc. as necessary).</w:t>
      </w:r>
    </w:p>
    <w:p w14:paraId="60C59F29" w14:textId="77777777" w:rsidR="00AC4EF2" w:rsidRPr="00AB5218" w:rsidRDefault="00AC4EF2" w:rsidP="00AC4EF2">
      <w:pPr>
        <w:pStyle w:val="TSBullet1Square"/>
        <w:numPr>
          <w:ilvl w:val="0"/>
          <w:numId w:val="0"/>
        </w:numPr>
        <w:ind w:left="1440"/>
        <w:rPr>
          <w:rFonts w:cs="Arial"/>
          <w:szCs w:val="22"/>
        </w:rPr>
      </w:pPr>
    </w:p>
    <w:p w14:paraId="1877D418" w14:textId="77777777" w:rsidR="006E66D4" w:rsidRPr="00AB5218" w:rsidRDefault="006E66D4" w:rsidP="00AC4EF2">
      <w:pPr>
        <w:pStyle w:val="TSBullet1Square"/>
        <w:rPr>
          <w:rFonts w:cs="Arial"/>
          <w:szCs w:val="22"/>
        </w:rPr>
      </w:pPr>
      <w:r w:rsidRPr="00AB5218">
        <w:rPr>
          <w:rFonts w:cs="Arial"/>
          <w:szCs w:val="22"/>
        </w:rPr>
        <w:t xml:space="preserve">Identification of immunity limits and satisfactory completion of </w:t>
      </w:r>
      <w:r w:rsidRPr="00AC7D86">
        <w:rPr>
          <w:rFonts w:cs="Arial"/>
          <w:szCs w:val="22"/>
        </w:rPr>
        <w:t>testing</w:t>
      </w:r>
      <w:r w:rsidRPr="00AB5218">
        <w:rPr>
          <w:rFonts w:cs="Arial"/>
          <w:szCs w:val="22"/>
        </w:rPr>
        <w:t xml:space="preserve"> to demonstrate EMC compliance and components/system performance under test, as necessary.</w:t>
      </w:r>
      <w:r w:rsidR="00D660D1">
        <w:rPr>
          <w:rFonts w:cs="Arial"/>
          <w:szCs w:val="22"/>
        </w:rPr>
        <w:t xml:space="preserve"> </w:t>
      </w:r>
    </w:p>
    <w:p w14:paraId="48105B49" w14:textId="77777777" w:rsidR="00AC4EF2" w:rsidRPr="00AB5218" w:rsidRDefault="00AC4EF2" w:rsidP="00AC4EF2">
      <w:pPr>
        <w:pStyle w:val="TSBullet1Square"/>
        <w:numPr>
          <w:ilvl w:val="0"/>
          <w:numId w:val="0"/>
        </w:numPr>
        <w:rPr>
          <w:rFonts w:cs="Arial"/>
          <w:szCs w:val="22"/>
        </w:rPr>
      </w:pPr>
    </w:p>
    <w:p w14:paraId="368ACCB2" w14:textId="77777777" w:rsidR="006E66D4" w:rsidRPr="00AB5218" w:rsidRDefault="006E66D4" w:rsidP="00AC4EF2">
      <w:pPr>
        <w:pStyle w:val="TSBullet1Square"/>
        <w:rPr>
          <w:rFonts w:cs="Arial"/>
          <w:szCs w:val="22"/>
        </w:rPr>
      </w:pPr>
      <w:r w:rsidRPr="00AB5218">
        <w:rPr>
          <w:rFonts w:cs="Arial"/>
          <w:szCs w:val="22"/>
        </w:rPr>
        <w:t xml:space="preserve">E/E/PE </w:t>
      </w:r>
      <w:r w:rsidR="00E21C63">
        <w:rPr>
          <w:rFonts w:cs="Arial"/>
          <w:szCs w:val="22"/>
        </w:rPr>
        <w:t>s</w:t>
      </w:r>
      <w:r w:rsidR="00E21C63" w:rsidRPr="00AB5218">
        <w:rPr>
          <w:rFonts w:cs="Arial"/>
          <w:szCs w:val="22"/>
        </w:rPr>
        <w:t xml:space="preserve">ystem </w:t>
      </w:r>
      <w:r w:rsidRPr="00AB5218">
        <w:rPr>
          <w:rFonts w:cs="Arial"/>
          <w:szCs w:val="22"/>
        </w:rPr>
        <w:t xml:space="preserve">design features that ensure </w:t>
      </w:r>
      <w:r w:rsidR="00B05761">
        <w:rPr>
          <w:rFonts w:cs="Arial"/>
          <w:szCs w:val="22"/>
        </w:rPr>
        <w:t xml:space="preserve">the risks arising from </w:t>
      </w:r>
      <w:r w:rsidRPr="00AB5218">
        <w:rPr>
          <w:rFonts w:cs="Arial"/>
          <w:szCs w:val="22"/>
        </w:rPr>
        <w:t>EMI</w:t>
      </w:r>
      <w:r w:rsidR="00B557B9">
        <w:rPr>
          <w:rFonts w:cs="Arial"/>
          <w:szCs w:val="22"/>
        </w:rPr>
        <w:t xml:space="preserve"> </w:t>
      </w:r>
      <w:r w:rsidR="0073016D">
        <w:rPr>
          <w:rFonts w:cs="Arial"/>
          <w:szCs w:val="22"/>
        </w:rPr>
        <w:t>are reduced so far as is reasonably practicable</w:t>
      </w:r>
      <w:r w:rsidR="00472006">
        <w:rPr>
          <w:rFonts w:cs="Arial"/>
          <w:szCs w:val="22"/>
        </w:rPr>
        <w:t xml:space="preserve"> </w:t>
      </w:r>
      <w:r w:rsidR="00B557B9">
        <w:rPr>
          <w:rFonts w:cs="Arial"/>
          <w:szCs w:val="22"/>
        </w:rPr>
        <w:t>throughout the</w:t>
      </w:r>
      <w:r w:rsidR="00472006">
        <w:rPr>
          <w:rFonts w:cs="Arial"/>
          <w:szCs w:val="22"/>
        </w:rPr>
        <w:t xml:space="preserve"> system</w:t>
      </w:r>
      <w:r w:rsidR="00B557B9">
        <w:rPr>
          <w:rFonts w:cs="Arial"/>
          <w:szCs w:val="22"/>
        </w:rPr>
        <w:t xml:space="preserve"> lifecycle</w:t>
      </w:r>
      <w:r w:rsidR="00B22051">
        <w:rPr>
          <w:rFonts w:cs="Arial"/>
          <w:szCs w:val="22"/>
        </w:rPr>
        <w:t>.</w:t>
      </w:r>
    </w:p>
    <w:p w14:paraId="05DBA5F4" w14:textId="77777777" w:rsidR="00AC4EF2" w:rsidRPr="00AB5218" w:rsidRDefault="00AC4EF2" w:rsidP="00AC4EF2">
      <w:pPr>
        <w:pStyle w:val="TSBullet1Square"/>
        <w:numPr>
          <w:ilvl w:val="0"/>
          <w:numId w:val="0"/>
        </w:numPr>
        <w:rPr>
          <w:rFonts w:cs="Arial"/>
          <w:szCs w:val="22"/>
        </w:rPr>
      </w:pPr>
    </w:p>
    <w:p w14:paraId="567A3A96" w14:textId="77777777" w:rsidR="006E66D4" w:rsidRPr="00AB5218" w:rsidRDefault="00EB28CA" w:rsidP="00AC4EF2">
      <w:pPr>
        <w:pStyle w:val="TSBullet1Square"/>
        <w:rPr>
          <w:rFonts w:cs="Arial"/>
          <w:szCs w:val="22"/>
        </w:rPr>
      </w:pPr>
      <w:r w:rsidRPr="00AB5218">
        <w:rPr>
          <w:rFonts w:cs="Arial"/>
          <w:szCs w:val="22"/>
        </w:rPr>
        <w:t xml:space="preserve">Measures that demonstrate ongoing control of EMI, to ensure that risks from EMI remain </w:t>
      </w:r>
      <w:r w:rsidR="00AD270D">
        <w:rPr>
          <w:rFonts w:cs="Arial"/>
          <w:szCs w:val="22"/>
        </w:rPr>
        <w:t>ALARP</w:t>
      </w:r>
      <w:r w:rsidRPr="00AB5218">
        <w:rPr>
          <w:rFonts w:cs="Arial"/>
          <w:szCs w:val="22"/>
        </w:rPr>
        <w:t xml:space="preserve"> during the life of the facility (</w:t>
      </w:r>
      <w:proofErr w:type="gramStart"/>
      <w:r w:rsidRPr="00AB5218">
        <w:rPr>
          <w:rFonts w:cs="Arial"/>
          <w:szCs w:val="22"/>
        </w:rPr>
        <w:t>e.g.</w:t>
      </w:r>
      <w:proofErr w:type="gramEnd"/>
      <w:r w:rsidRPr="00AB5218">
        <w:rPr>
          <w:rFonts w:cs="Arial"/>
          <w:szCs w:val="22"/>
        </w:rPr>
        <w:t xml:space="preserve"> control of facility access, operation, maintenance and modification).</w:t>
      </w:r>
    </w:p>
    <w:p w14:paraId="2A266822" w14:textId="77777777" w:rsidR="006E66D4" w:rsidRPr="00AB5218" w:rsidRDefault="000B0E69" w:rsidP="00F115E1">
      <w:pPr>
        <w:autoSpaceDE w:val="0"/>
        <w:autoSpaceDN w:val="0"/>
        <w:adjustRightInd w:val="0"/>
        <w:ind w:left="709" w:hanging="709"/>
        <w:rPr>
          <w:rFonts w:cs="Arial"/>
          <w:szCs w:val="22"/>
        </w:rPr>
      </w:pPr>
      <w:r>
        <w:rPr>
          <w:rFonts w:cs="Arial"/>
          <w:szCs w:val="22"/>
        </w:rPr>
        <w:t>5.2</w:t>
      </w:r>
      <w:r w:rsidR="00902721">
        <w:rPr>
          <w:rFonts w:cs="Arial"/>
          <w:szCs w:val="22"/>
        </w:rPr>
        <w:t>3</w:t>
      </w:r>
      <w:r>
        <w:rPr>
          <w:rFonts w:cs="Arial"/>
          <w:szCs w:val="22"/>
        </w:rPr>
        <w:tab/>
      </w:r>
      <w:r w:rsidR="00EB28CA" w:rsidRPr="00AB5218">
        <w:rPr>
          <w:rFonts w:cs="Arial"/>
          <w:szCs w:val="22"/>
        </w:rPr>
        <w:t xml:space="preserve">Safety functions and measures should be identified, </w:t>
      </w:r>
      <w:proofErr w:type="gramStart"/>
      <w:r w:rsidR="00EB28CA" w:rsidRPr="00AB5218">
        <w:rPr>
          <w:rFonts w:cs="Arial"/>
          <w:szCs w:val="22"/>
        </w:rPr>
        <w:t>categorised</w:t>
      </w:r>
      <w:proofErr w:type="gramEnd"/>
      <w:r w:rsidR="00EB28CA" w:rsidRPr="00AB5218">
        <w:rPr>
          <w:rFonts w:cs="Arial"/>
          <w:szCs w:val="22"/>
        </w:rPr>
        <w:t xml:space="preserve"> and classified as necessary to demonstrate that risks from EMI are reduced, so far as is reasonably practicable (</w:t>
      </w:r>
      <w:r w:rsidR="009E5F80">
        <w:rPr>
          <w:rFonts w:cs="Arial"/>
          <w:szCs w:val="22"/>
        </w:rPr>
        <w:t xml:space="preserve">see SAPs </w:t>
      </w:r>
      <w:r w:rsidR="00EB28CA" w:rsidRPr="00AB5218">
        <w:rPr>
          <w:rFonts w:cs="Arial"/>
          <w:szCs w:val="22"/>
        </w:rPr>
        <w:t>EKP.4, EKP.5, ECS.1, ECS.2)</w:t>
      </w:r>
      <w:r w:rsidR="0075632C">
        <w:rPr>
          <w:rFonts w:cs="Arial"/>
          <w:szCs w:val="22"/>
        </w:rPr>
        <w:t>.</w:t>
      </w:r>
    </w:p>
    <w:p w14:paraId="1E759973" w14:textId="77777777" w:rsidR="00AC4EF2" w:rsidRPr="00AB5218" w:rsidRDefault="00AC4EF2" w:rsidP="00AC4EF2">
      <w:pPr>
        <w:autoSpaceDE w:val="0"/>
        <w:autoSpaceDN w:val="0"/>
        <w:adjustRightInd w:val="0"/>
        <w:ind w:left="720"/>
        <w:rPr>
          <w:rFonts w:cs="Arial"/>
          <w:szCs w:val="22"/>
        </w:rPr>
      </w:pPr>
    </w:p>
    <w:p w14:paraId="208C93FE" w14:textId="77777777" w:rsidR="00EB28CA" w:rsidRPr="00AB5218" w:rsidRDefault="00EB28CA" w:rsidP="00EB28CA">
      <w:pPr>
        <w:pStyle w:val="TSNumberedParagraph11"/>
        <w:ind w:left="720"/>
        <w:rPr>
          <w:rFonts w:cs="Arial"/>
          <w:szCs w:val="22"/>
        </w:rPr>
      </w:pPr>
      <w:r w:rsidRPr="00AB5218">
        <w:rPr>
          <w:rFonts w:cs="Arial"/>
          <w:b/>
          <w:szCs w:val="22"/>
          <w:u w:val="single"/>
        </w:rPr>
        <w:t>Control and Management for E/E/PE Systems</w:t>
      </w:r>
    </w:p>
    <w:p w14:paraId="4C162820" w14:textId="77777777" w:rsidR="00EB28CA" w:rsidRPr="00AB5218" w:rsidRDefault="00EB28CA" w:rsidP="00EB28CA">
      <w:pPr>
        <w:pStyle w:val="TSNumberedParagraph11"/>
        <w:ind w:left="720"/>
        <w:rPr>
          <w:rFonts w:cs="Arial"/>
          <w:b/>
          <w:szCs w:val="22"/>
          <w:u w:val="single"/>
        </w:rPr>
      </w:pPr>
      <w:r w:rsidRPr="00AB5218">
        <w:rPr>
          <w:rFonts w:cs="Arial"/>
          <w:b/>
          <w:szCs w:val="22"/>
          <w:u w:val="single"/>
        </w:rPr>
        <w:t>General</w:t>
      </w:r>
    </w:p>
    <w:p w14:paraId="090E3DF4" w14:textId="77777777" w:rsidR="00EB28CA" w:rsidRPr="00AB5218" w:rsidRDefault="000B0E69" w:rsidP="00F115E1">
      <w:pPr>
        <w:autoSpaceDE w:val="0"/>
        <w:autoSpaceDN w:val="0"/>
        <w:adjustRightInd w:val="0"/>
        <w:ind w:left="709" w:hanging="709"/>
        <w:rPr>
          <w:rFonts w:cs="Arial"/>
          <w:szCs w:val="22"/>
        </w:rPr>
      </w:pPr>
      <w:r>
        <w:rPr>
          <w:rFonts w:cs="Arial"/>
          <w:szCs w:val="22"/>
        </w:rPr>
        <w:t>5.2</w:t>
      </w:r>
      <w:r w:rsidR="00902721">
        <w:rPr>
          <w:rFonts w:cs="Arial"/>
          <w:szCs w:val="22"/>
        </w:rPr>
        <w:t>4</w:t>
      </w:r>
      <w:r>
        <w:rPr>
          <w:rFonts w:cs="Arial"/>
          <w:szCs w:val="22"/>
        </w:rPr>
        <w:tab/>
      </w:r>
      <w:r w:rsidR="00EB28CA" w:rsidRPr="00AB5218">
        <w:rPr>
          <w:rFonts w:cs="Arial"/>
          <w:szCs w:val="22"/>
        </w:rPr>
        <w:t xml:space="preserve">Where safety arguments rely on the performance of E/E/PE systems (including safety systems), safety cases should show how </w:t>
      </w:r>
      <w:r w:rsidR="0073016D">
        <w:rPr>
          <w:rFonts w:cs="Arial"/>
          <w:szCs w:val="22"/>
        </w:rPr>
        <w:t>adequate</w:t>
      </w:r>
      <w:r w:rsidR="0073016D" w:rsidRPr="00AB5218">
        <w:rPr>
          <w:rFonts w:cs="Arial"/>
          <w:szCs w:val="22"/>
        </w:rPr>
        <w:t xml:space="preserve"> </w:t>
      </w:r>
      <w:r w:rsidR="00EB28CA" w:rsidRPr="00AB5218">
        <w:rPr>
          <w:rFonts w:cs="Arial"/>
          <w:szCs w:val="22"/>
        </w:rPr>
        <w:t>performance of these systems is achieved in respect of EMI as necessary (</w:t>
      </w:r>
      <w:r w:rsidR="009E5F80">
        <w:rPr>
          <w:rFonts w:cs="Arial"/>
          <w:szCs w:val="22"/>
        </w:rPr>
        <w:t xml:space="preserve">see SAPs </w:t>
      </w:r>
      <w:r w:rsidR="00EB28CA" w:rsidRPr="00AB5218">
        <w:rPr>
          <w:rFonts w:cs="Arial"/>
          <w:szCs w:val="22"/>
        </w:rPr>
        <w:t>ESS.11, ESS.12</w:t>
      </w:r>
      <w:r w:rsidR="001D0D5D">
        <w:rPr>
          <w:rFonts w:cs="Arial"/>
          <w:szCs w:val="22"/>
        </w:rPr>
        <w:t>.</w:t>
      </w:r>
      <w:r w:rsidR="00EB28CA" w:rsidRPr="00AB5218">
        <w:rPr>
          <w:rFonts w:cs="Arial"/>
          <w:szCs w:val="22"/>
        </w:rPr>
        <w:t>)</w:t>
      </w:r>
      <w:r w:rsidR="0075632C">
        <w:rPr>
          <w:rFonts w:cs="Arial"/>
          <w:szCs w:val="22"/>
        </w:rPr>
        <w:t>.</w:t>
      </w:r>
    </w:p>
    <w:p w14:paraId="026B6374" w14:textId="77777777" w:rsidR="00EB28CA" w:rsidRPr="00AB5218" w:rsidRDefault="00EB28CA" w:rsidP="00423B09">
      <w:pPr>
        <w:autoSpaceDE w:val="0"/>
        <w:autoSpaceDN w:val="0"/>
        <w:adjustRightInd w:val="0"/>
        <w:ind w:left="720"/>
        <w:rPr>
          <w:rFonts w:cs="Arial"/>
          <w:szCs w:val="22"/>
        </w:rPr>
      </w:pPr>
    </w:p>
    <w:p w14:paraId="6CD31A40" w14:textId="77777777" w:rsidR="00EB28CA" w:rsidRPr="00AB5218" w:rsidRDefault="000B0E69" w:rsidP="00F115E1">
      <w:pPr>
        <w:autoSpaceDE w:val="0"/>
        <w:autoSpaceDN w:val="0"/>
        <w:adjustRightInd w:val="0"/>
        <w:ind w:left="709" w:hanging="709"/>
        <w:rPr>
          <w:rFonts w:cs="Arial"/>
          <w:szCs w:val="22"/>
        </w:rPr>
      </w:pPr>
      <w:r>
        <w:rPr>
          <w:rFonts w:cs="Arial"/>
          <w:szCs w:val="22"/>
        </w:rPr>
        <w:t>5.2</w:t>
      </w:r>
      <w:r w:rsidR="00902721">
        <w:rPr>
          <w:rFonts w:cs="Arial"/>
          <w:szCs w:val="22"/>
        </w:rPr>
        <w:t>5</w:t>
      </w:r>
      <w:r>
        <w:rPr>
          <w:rFonts w:cs="Arial"/>
          <w:szCs w:val="22"/>
        </w:rPr>
        <w:tab/>
      </w:r>
      <w:r w:rsidR="00EB28CA" w:rsidRPr="00AB5218">
        <w:rPr>
          <w:rFonts w:cs="Arial"/>
          <w:szCs w:val="22"/>
        </w:rPr>
        <w:t xml:space="preserve">It is acceptable </w:t>
      </w:r>
      <w:r w:rsidR="00B05761">
        <w:rPr>
          <w:rFonts w:cs="Arial"/>
          <w:szCs w:val="22"/>
        </w:rPr>
        <w:t xml:space="preserve">for safety cases </w:t>
      </w:r>
      <w:r w:rsidR="00EB28CA" w:rsidRPr="00AB5218">
        <w:rPr>
          <w:rFonts w:cs="Arial"/>
          <w:szCs w:val="22"/>
        </w:rPr>
        <w:t>to adopt a proportionate approach to assessment and demonstration of safety system performance with respect to electromagnetic disturbances. The approach should align with the</w:t>
      </w:r>
      <w:r w:rsidR="00800A1A">
        <w:rPr>
          <w:rFonts w:cs="Arial"/>
          <w:szCs w:val="22"/>
        </w:rPr>
        <w:t xml:space="preserve"> safety</w:t>
      </w:r>
      <w:r w:rsidR="00EB28CA" w:rsidRPr="00AB5218">
        <w:rPr>
          <w:rFonts w:cs="Arial"/>
          <w:szCs w:val="22"/>
        </w:rPr>
        <w:t xml:space="preserve"> role, technology and required performance of the systems in question.</w:t>
      </w:r>
    </w:p>
    <w:p w14:paraId="79A30388" w14:textId="77777777" w:rsidR="00423B09" w:rsidRPr="00AB5218" w:rsidRDefault="00423B09" w:rsidP="00423B09">
      <w:pPr>
        <w:pStyle w:val="ListParagraph"/>
        <w:rPr>
          <w:rFonts w:cs="Arial"/>
          <w:szCs w:val="22"/>
        </w:rPr>
      </w:pPr>
    </w:p>
    <w:p w14:paraId="7DCB7A1B" w14:textId="77777777" w:rsidR="00E9303C" w:rsidRDefault="00E9303C" w:rsidP="00D65B46">
      <w:pPr>
        <w:keepNext/>
        <w:ind w:left="720"/>
        <w:rPr>
          <w:rFonts w:cs="Arial"/>
          <w:b/>
          <w:szCs w:val="22"/>
          <w:u w:val="single"/>
        </w:rPr>
      </w:pPr>
      <w:r w:rsidRPr="00AB5218">
        <w:rPr>
          <w:rFonts w:cs="Arial"/>
          <w:b/>
          <w:szCs w:val="22"/>
          <w:u w:val="single"/>
        </w:rPr>
        <w:t>E/E/PE Safety Systems</w:t>
      </w:r>
    </w:p>
    <w:p w14:paraId="021847D6" w14:textId="77777777" w:rsidR="00A64CA0" w:rsidRPr="00AB5218" w:rsidRDefault="00A64CA0" w:rsidP="00D65B46">
      <w:pPr>
        <w:keepNext/>
        <w:ind w:left="720"/>
        <w:rPr>
          <w:rFonts w:cs="Arial"/>
          <w:b/>
          <w:szCs w:val="22"/>
          <w:u w:val="single"/>
        </w:rPr>
      </w:pPr>
    </w:p>
    <w:p w14:paraId="7888911D" w14:textId="77777777" w:rsidR="00E9303C" w:rsidRPr="00AB5218" w:rsidRDefault="000B0E69" w:rsidP="00F115E1">
      <w:pPr>
        <w:autoSpaceDE w:val="0"/>
        <w:autoSpaceDN w:val="0"/>
        <w:adjustRightInd w:val="0"/>
        <w:ind w:left="709" w:hanging="709"/>
        <w:rPr>
          <w:rFonts w:cs="Arial"/>
          <w:szCs w:val="22"/>
        </w:rPr>
      </w:pPr>
      <w:r>
        <w:rPr>
          <w:rFonts w:cs="Arial"/>
          <w:szCs w:val="22"/>
        </w:rPr>
        <w:t>5.2</w:t>
      </w:r>
      <w:r w:rsidR="00902721">
        <w:rPr>
          <w:rFonts w:cs="Arial"/>
          <w:szCs w:val="22"/>
        </w:rPr>
        <w:t>6</w:t>
      </w:r>
      <w:r>
        <w:rPr>
          <w:rFonts w:cs="Arial"/>
          <w:szCs w:val="22"/>
        </w:rPr>
        <w:tab/>
      </w:r>
      <w:r w:rsidR="00E9303C" w:rsidRPr="00AB5218">
        <w:rPr>
          <w:rFonts w:cs="Arial"/>
          <w:szCs w:val="22"/>
        </w:rPr>
        <w:t>For E/E/PE safety systems (</w:t>
      </w:r>
      <w:proofErr w:type="gramStart"/>
      <w:r w:rsidR="00E9303C" w:rsidRPr="00AB5218">
        <w:rPr>
          <w:rFonts w:cs="Arial"/>
          <w:szCs w:val="22"/>
        </w:rPr>
        <w:t>i.e.</w:t>
      </w:r>
      <w:proofErr w:type="gramEnd"/>
      <w:r w:rsidR="00581F3F" w:rsidRPr="00581F3F">
        <w:rPr>
          <w:rFonts w:cs="Arial"/>
          <w:szCs w:val="22"/>
        </w:rPr>
        <w:t xml:space="preserve"> E/E/PE systems that act in response to a fault to protect against a radiological consequence</w:t>
      </w:r>
      <w:r w:rsidR="00E9303C" w:rsidRPr="00AB5218">
        <w:rPr>
          <w:rFonts w:cs="Arial"/>
          <w:szCs w:val="22"/>
        </w:rPr>
        <w:t xml:space="preserve">), a structured and systematic analysis will generally be required in order to show how risks from EMI are managed to reduce risks to </w:t>
      </w:r>
      <w:r w:rsidR="00AD270D">
        <w:rPr>
          <w:rFonts w:cs="Arial"/>
          <w:szCs w:val="22"/>
        </w:rPr>
        <w:t>ALARP</w:t>
      </w:r>
      <w:r w:rsidR="00E9303C" w:rsidRPr="00AB5218">
        <w:rPr>
          <w:rFonts w:cs="Arial"/>
          <w:szCs w:val="22"/>
        </w:rPr>
        <w:t xml:space="preserve"> (see SAPs ESS.1, ESS.2, ESS.10 and ESS.11, ESS.12.) The extent of analysis should be appropriate to the technology and application </w:t>
      </w:r>
      <w:r w:rsidR="0075632C">
        <w:rPr>
          <w:rFonts w:cs="Arial"/>
          <w:szCs w:val="22"/>
        </w:rPr>
        <w:t>under consideration</w:t>
      </w:r>
      <w:r w:rsidR="00E9303C" w:rsidRPr="00AB5218">
        <w:rPr>
          <w:rFonts w:cs="Arial"/>
          <w:szCs w:val="22"/>
        </w:rPr>
        <w:t xml:space="preserve">, and a proportionate approach should be taken which aligns </w:t>
      </w:r>
      <w:r w:rsidR="0075632C">
        <w:rPr>
          <w:rFonts w:cs="Arial"/>
          <w:szCs w:val="22"/>
        </w:rPr>
        <w:t>to</w:t>
      </w:r>
      <w:r w:rsidR="0075632C" w:rsidRPr="00AB5218">
        <w:rPr>
          <w:rFonts w:cs="Arial"/>
          <w:szCs w:val="22"/>
        </w:rPr>
        <w:t xml:space="preserve"> </w:t>
      </w:r>
      <w:r w:rsidR="00E9303C" w:rsidRPr="00AB5218">
        <w:rPr>
          <w:rFonts w:cs="Arial"/>
          <w:szCs w:val="22"/>
        </w:rPr>
        <w:t>the safety classification of the system. (ESS.11, ESS.12)</w:t>
      </w:r>
    </w:p>
    <w:p w14:paraId="2A340478" w14:textId="77777777" w:rsidR="00061E21" w:rsidRPr="00AB5218" w:rsidRDefault="00061E21" w:rsidP="00061E21">
      <w:pPr>
        <w:pStyle w:val="TSNumberedParagraph11"/>
        <w:spacing w:after="0"/>
        <w:ind w:left="720"/>
        <w:rPr>
          <w:rFonts w:cs="Arial"/>
          <w:szCs w:val="22"/>
        </w:rPr>
      </w:pPr>
    </w:p>
    <w:p w14:paraId="289C2E9C" w14:textId="77777777" w:rsidR="00061E21" w:rsidRPr="00AB5218" w:rsidRDefault="00061E21" w:rsidP="00061E21">
      <w:pPr>
        <w:pStyle w:val="TSNumberedParagraph11"/>
        <w:spacing w:after="0"/>
        <w:ind w:left="720"/>
        <w:rPr>
          <w:rFonts w:cs="Arial"/>
          <w:b/>
          <w:szCs w:val="22"/>
          <w:u w:val="single"/>
        </w:rPr>
      </w:pPr>
      <w:r w:rsidRPr="00AB5218">
        <w:rPr>
          <w:rFonts w:cs="Arial"/>
          <w:b/>
          <w:szCs w:val="22"/>
          <w:u w:val="single"/>
        </w:rPr>
        <w:t>Demonstration of Adequacy of E/E/PE Safety Systems with respect to EMI</w:t>
      </w:r>
    </w:p>
    <w:p w14:paraId="0AB4E74C" w14:textId="77777777" w:rsidR="00061E21" w:rsidRPr="00AB5218" w:rsidRDefault="00061E21" w:rsidP="00061E21">
      <w:pPr>
        <w:pStyle w:val="TSNumberedParagraph11"/>
        <w:spacing w:after="0"/>
        <w:ind w:left="720"/>
        <w:rPr>
          <w:rFonts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166"/>
        <w:gridCol w:w="3969"/>
        <w:gridCol w:w="1445"/>
      </w:tblGrid>
      <w:tr w:rsidR="00061E21" w:rsidRPr="00AB5218" w14:paraId="1569E443" w14:textId="77777777" w:rsidTr="00772B38">
        <w:tc>
          <w:tcPr>
            <w:tcW w:w="3166" w:type="dxa"/>
            <w:shd w:val="clear" w:color="auto" w:fill="FABF8F"/>
            <w:vAlign w:val="center"/>
          </w:tcPr>
          <w:p w14:paraId="591A132B" w14:textId="77777777" w:rsidR="00061E21" w:rsidRPr="00AB5218" w:rsidRDefault="00061E21" w:rsidP="00772B38">
            <w:pPr>
              <w:pStyle w:val="Heading9"/>
              <w:numPr>
                <w:ilvl w:val="0"/>
                <w:numId w:val="0"/>
              </w:numPr>
              <w:spacing w:before="0" w:after="0"/>
            </w:pPr>
            <w:r w:rsidRPr="00AB5218">
              <w:t>Engineering principles: safety systems</w:t>
            </w:r>
          </w:p>
        </w:tc>
        <w:tc>
          <w:tcPr>
            <w:tcW w:w="3969" w:type="dxa"/>
            <w:shd w:val="clear" w:color="auto" w:fill="FABF8F"/>
            <w:vAlign w:val="center"/>
          </w:tcPr>
          <w:p w14:paraId="585E3A2D" w14:textId="77777777" w:rsidR="00061E21" w:rsidRPr="00AB5218" w:rsidRDefault="00061E21" w:rsidP="00772B38">
            <w:pPr>
              <w:pStyle w:val="Heading9"/>
              <w:numPr>
                <w:ilvl w:val="0"/>
                <w:numId w:val="0"/>
              </w:numPr>
              <w:spacing w:before="0" w:after="0"/>
            </w:pPr>
            <w:r w:rsidRPr="00AB5218">
              <w:t>Demonstration of adequacy</w:t>
            </w:r>
          </w:p>
        </w:tc>
        <w:tc>
          <w:tcPr>
            <w:tcW w:w="1445" w:type="dxa"/>
            <w:shd w:val="clear" w:color="auto" w:fill="FABF8F"/>
            <w:vAlign w:val="center"/>
          </w:tcPr>
          <w:p w14:paraId="31EABD38" w14:textId="77777777" w:rsidR="00061E21" w:rsidRPr="00AB5218" w:rsidRDefault="00061E21" w:rsidP="00772B38">
            <w:pPr>
              <w:pStyle w:val="Heading9"/>
              <w:numPr>
                <w:ilvl w:val="0"/>
                <w:numId w:val="0"/>
              </w:numPr>
              <w:spacing w:before="0" w:after="0"/>
            </w:pPr>
            <w:r w:rsidRPr="00AB5218">
              <w:t>ESS.11</w:t>
            </w:r>
          </w:p>
        </w:tc>
      </w:tr>
      <w:tr w:rsidR="00061E21" w:rsidRPr="00AB5218" w14:paraId="6FFFA20A" w14:textId="77777777" w:rsidTr="00772B38">
        <w:trPr>
          <w:trHeight w:val="531"/>
        </w:trPr>
        <w:tc>
          <w:tcPr>
            <w:tcW w:w="8580" w:type="dxa"/>
            <w:gridSpan w:val="3"/>
            <w:shd w:val="clear" w:color="auto" w:fill="auto"/>
            <w:vAlign w:val="center"/>
          </w:tcPr>
          <w:p w14:paraId="1A66ACCB" w14:textId="77777777" w:rsidR="00061E21" w:rsidRPr="00AB5218" w:rsidRDefault="00061E21" w:rsidP="00772B38">
            <w:pPr>
              <w:pStyle w:val="Heading9"/>
              <w:numPr>
                <w:ilvl w:val="0"/>
                <w:numId w:val="0"/>
              </w:numPr>
              <w:spacing w:before="0" w:after="0"/>
            </w:pPr>
            <w:r w:rsidRPr="00AB5218">
              <w:t>The adequacy of the system design to achieve its specified functions and reliabilities should be demonstrated for each safety system.</w:t>
            </w:r>
          </w:p>
        </w:tc>
      </w:tr>
    </w:tbl>
    <w:p w14:paraId="3CF83F9C" w14:textId="77777777" w:rsidR="00061E21" w:rsidRPr="00AB5218" w:rsidRDefault="00061E21" w:rsidP="00061E21">
      <w:pPr>
        <w:pStyle w:val="TSNumberedParagraph11"/>
        <w:spacing w:after="0"/>
        <w:ind w:left="720"/>
        <w:rPr>
          <w:rFonts w:cs="Arial"/>
          <w:szCs w:val="22"/>
        </w:rPr>
      </w:pPr>
    </w:p>
    <w:p w14:paraId="1AAD25C1" w14:textId="77777777" w:rsidR="00061E21" w:rsidRPr="00AB5218" w:rsidRDefault="000B0E69" w:rsidP="00F115E1">
      <w:pPr>
        <w:autoSpaceDE w:val="0"/>
        <w:autoSpaceDN w:val="0"/>
        <w:adjustRightInd w:val="0"/>
        <w:ind w:left="709" w:hanging="709"/>
        <w:rPr>
          <w:rFonts w:cs="Arial"/>
          <w:szCs w:val="22"/>
        </w:rPr>
      </w:pPr>
      <w:r>
        <w:rPr>
          <w:rFonts w:cs="Arial"/>
          <w:szCs w:val="22"/>
        </w:rPr>
        <w:t>5.2</w:t>
      </w:r>
      <w:r w:rsidR="00902721">
        <w:rPr>
          <w:rFonts w:cs="Arial"/>
          <w:szCs w:val="22"/>
        </w:rPr>
        <w:t>7</w:t>
      </w:r>
      <w:r>
        <w:rPr>
          <w:rFonts w:cs="Arial"/>
          <w:szCs w:val="22"/>
        </w:rPr>
        <w:tab/>
      </w:r>
      <w:r w:rsidR="00061E21" w:rsidRPr="00AB5218">
        <w:rPr>
          <w:rFonts w:cs="Arial"/>
          <w:szCs w:val="22"/>
        </w:rPr>
        <w:t>For E/E/PE safety systems, licensees should substantiate the adequacy of the system using a structured approach and this should include a demonstration that shows that the system is adequately designed to achieve its specified functions and reliabilities. This demonstration should show how the risks of EMI impacting on functionality and reliability of the safety system are controlled by a combination of design features and other measures.</w:t>
      </w:r>
    </w:p>
    <w:p w14:paraId="7F8E2E08" w14:textId="77777777" w:rsidR="00061E21" w:rsidRPr="00AB5218" w:rsidRDefault="00061E21" w:rsidP="00C204ED">
      <w:pPr>
        <w:autoSpaceDE w:val="0"/>
        <w:autoSpaceDN w:val="0"/>
        <w:adjustRightInd w:val="0"/>
        <w:ind w:left="720"/>
        <w:rPr>
          <w:rFonts w:cs="Arial"/>
          <w:szCs w:val="22"/>
        </w:rPr>
      </w:pPr>
    </w:p>
    <w:p w14:paraId="0C88EFB5" w14:textId="77777777" w:rsidR="00061E21" w:rsidRPr="00AB5218" w:rsidRDefault="000B0E69" w:rsidP="00F115E1">
      <w:pPr>
        <w:autoSpaceDE w:val="0"/>
        <w:autoSpaceDN w:val="0"/>
        <w:adjustRightInd w:val="0"/>
        <w:ind w:left="709" w:hanging="709"/>
        <w:rPr>
          <w:rFonts w:cs="Arial"/>
          <w:szCs w:val="22"/>
        </w:rPr>
      </w:pPr>
      <w:r>
        <w:rPr>
          <w:rFonts w:cs="Arial"/>
          <w:szCs w:val="22"/>
        </w:rPr>
        <w:lastRenderedPageBreak/>
        <w:t>5.2</w:t>
      </w:r>
      <w:r w:rsidR="00902721">
        <w:rPr>
          <w:rFonts w:cs="Arial"/>
          <w:szCs w:val="22"/>
        </w:rPr>
        <w:t>8</w:t>
      </w:r>
      <w:r>
        <w:rPr>
          <w:rFonts w:cs="Arial"/>
          <w:szCs w:val="22"/>
        </w:rPr>
        <w:tab/>
      </w:r>
      <w:r w:rsidR="00061E21" w:rsidRPr="00AB5218">
        <w:rPr>
          <w:rFonts w:cs="Arial"/>
          <w:szCs w:val="22"/>
        </w:rPr>
        <w:t xml:space="preserve">The </w:t>
      </w:r>
      <w:r w:rsidR="001C0DF6">
        <w:rPr>
          <w:rFonts w:cs="Arial"/>
          <w:szCs w:val="22"/>
        </w:rPr>
        <w:t>IET CoP for electromagnetic resilience</w:t>
      </w:r>
      <w:r w:rsidR="000E409A" w:rsidRPr="00AB5218">
        <w:rPr>
          <w:rFonts w:cs="Arial"/>
          <w:b/>
          <w:szCs w:val="22"/>
          <w:lang w:eastAsia="en-GB"/>
        </w:rPr>
        <w:t xml:space="preserve"> </w:t>
      </w:r>
      <w:r w:rsidR="00B47CE8">
        <w:rPr>
          <w:rFonts w:cs="Arial"/>
          <w:szCs w:val="22"/>
        </w:rPr>
        <w:t>[</w:t>
      </w:r>
      <w:r w:rsidR="00061E21" w:rsidRPr="00AB5218">
        <w:rPr>
          <w:rFonts w:cs="Arial"/>
          <w:szCs w:val="22"/>
        </w:rPr>
        <w:t>17</w:t>
      </w:r>
      <w:r w:rsidR="00B47CE8">
        <w:rPr>
          <w:rFonts w:cs="Arial"/>
          <w:szCs w:val="22"/>
        </w:rPr>
        <w:t>]</w:t>
      </w:r>
      <w:r w:rsidR="00061E21" w:rsidRPr="00AB5218">
        <w:rPr>
          <w:rFonts w:cs="Arial"/>
          <w:szCs w:val="22"/>
        </w:rPr>
        <w:t xml:space="preserve"> is a source of guidance that provides advice on how E/E/PE safety systems </w:t>
      </w:r>
      <w:r w:rsidR="00AC59E6">
        <w:rPr>
          <w:rFonts w:cs="Arial"/>
          <w:szCs w:val="22"/>
        </w:rPr>
        <w:t xml:space="preserve">should </w:t>
      </w:r>
      <w:r w:rsidR="00061E21" w:rsidRPr="00AB5218">
        <w:rPr>
          <w:rFonts w:cs="Arial"/>
          <w:szCs w:val="22"/>
        </w:rPr>
        <w:t>be engineered and managed to reduce risks arising from EMI, from a functional safety engineering perspective. Th</w:t>
      </w:r>
      <w:r w:rsidR="000E409A">
        <w:rPr>
          <w:rFonts w:cs="Arial"/>
          <w:szCs w:val="22"/>
        </w:rPr>
        <w:t>is</w:t>
      </w:r>
      <w:r w:rsidR="00061E21" w:rsidRPr="00AB5218">
        <w:rPr>
          <w:rFonts w:cs="Arial"/>
          <w:szCs w:val="22"/>
        </w:rPr>
        <w:t xml:space="preserve"> CoP presents a model that describes how duty holders can structure EM resilience arguments for E/E/PE safety systems.</w:t>
      </w:r>
    </w:p>
    <w:p w14:paraId="7C609D89" w14:textId="77777777" w:rsidR="00061E21" w:rsidRPr="00AB5218" w:rsidRDefault="00061E21" w:rsidP="00C204ED">
      <w:pPr>
        <w:autoSpaceDE w:val="0"/>
        <w:autoSpaceDN w:val="0"/>
        <w:adjustRightInd w:val="0"/>
        <w:ind w:left="720"/>
        <w:rPr>
          <w:rFonts w:cs="Arial"/>
          <w:szCs w:val="22"/>
        </w:rPr>
      </w:pPr>
    </w:p>
    <w:p w14:paraId="2188861C" w14:textId="77777777" w:rsidR="00061E21" w:rsidRPr="00AB5218" w:rsidRDefault="000B0E69" w:rsidP="00F115E1">
      <w:pPr>
        <w:autoSpaceDE w:val="0"/>
        <w:autoSpaceDN w:val="0"/>
        <w:adjustRightInd w:val="0"/>
        <w:ind w:left="709" w:hanging="709"/>
        <w:rPr>
          <w:rFonts w:cs="Arial"/>
          <w:szCs w:val="22"/>
        </w:rPr>
      </w:pPr>
      <w:r>
        <w:rPr>
          <w:rFonts w:cs="Arial"/>
          <w:szCs w:val="22"/>
        </w:rPr>
        <w:t>5.</w:t>
      </w:r>
      <w:r w:rsidR="00902721">
        <w:rPr>
          <w:rFonts w:cs="Arial"/>
          <w:szCs w:val="22"/>
        </w:rPr>
        <w:t>29</w:t>
      </w:r>
      <w:r>
        <w:rPr>
          <w:rFonts w:cs="Arial"/>
          <w:szCs w:val="22"/>
        </w:rPr>
        <w:t xml:space="preserve"> </w:t>
      </w:r>
      <w:r>
        <w:rPr>
          <w:rFonts w:cs="Arial"/>
          <w:szCs w:val="22"/>
        </w:rPr>
        <w:tab/>
      </w:r>
      <w:r w:rsidR="00061E21" w:rsidRPr="00AB5218">
        <w:rPr>
          <w:rFonts w:cs="Arial"/>
          <w:szCs w:val="22"/>
        </w:rPr>
        <w:t>Safety documentation should demonstrate that risks from EMI to safety systems are controlled to ALARP. When assessing the adequacy of a safety submission to demonstrate that an E/E/PE safety system performs adequately with respect to EMI, ONR inspectors may consider how conventional EMC compliance and testing is complemented by additional practices, techniques and measures for the design and operation of E/E/PE safety systems.</w:t>
      </w:r>
    </w:p>
    <w:p w14:paraId="0D8DA509" w14:textId="77777777" w:rsidR="00061E21" w:rsidRPr="00AB5218" w:rsidRDefault="00061E21" w:rsidP="00C204ED">
      <w:pPr>
        <w:autoSpaceDE w:val="0"/>
        <w:autoSpaceDN w:val="0"/>
        <w:adjustRightInd w:val="0"/>
        <w:ind w:left="720"/>
        <w:rPr>
          <w:rFonts w:cs="Arial"/>
          <w:szCs w:val="22"/>
        </w:rPr>
      </w:pPr>
    </w:p>
    <w:p w14:paraId="0E00FAFA" w14:textId="77777777" w:rsidR="00061E21" w:rsidRPr="00AB5218" w:rsidRDefault="00096B56" w:rsidP="00F115E1">
      <w:pPr>
        <w:autoSpaceDE w:val="0"/>
        <w:autoSpaceDN w:val="0"/>
        <w:adjustRightInd w:val="0"/>
        <w:ind w:left="709" w:hanging="709"/>
        <w:rPr>
          <w:rFonts w:cs="Arial"/>
          <w:szCs w:val="22"/>
        </w:rPr>
      </w:pPr>
      <w:r>
        <w:rPr>
          <w:rFonts w:cs="Arial"/>
          <w:szCs w:val="22"/>
        </w:rPr>
        <w:t>5.3</w:t>
      </w:r>
      <w:r w:rsidR="00902721">
        <w:rPr>
          <w:rFonts w:cs="Arial"/>
          <w:szCs w:val="22"/>
        </w:rPr>
        <w:t>0</w:t>
      </w:r>
      <w:r w:rsidR="000B0E69">
        <w:rPr>
          <w:rFonts w:cs="Arial"/>
          <w:szCs w:val="22"/>
        </w:rPr>
        <w:tab/>
      </w:r>
      <w:r w:rsidR="00061E21" w:rsidRPr="00AB5218">
        <w:rPr>
          <w:rFonts w:cs="Arial"/>
          <w:szCs w:val="22"/>
        </w:rPr>
        <w:t xml:space="preserve">When considering arguments that E/E/PE safety systems are adequately designed, </w:t>
      </w:r>
      <w:proofErr w:type="gramStart"/>
      <w:r w:rsidR="00061E21" w:rsidRPr="00AB5218">
        <w:rPr>
          <w:rFonts w:cs="Arial"/>
          <w:szCs w:val="22"/>
        </w:rPr>
        <w:t>constructed</w:t>
      </w:r>
      <w:proofErr w:type="gramEnd"/>
      <w:r w:rsidR="00061E21" w:rsidRPr="00AB5218">
        <w:rPr>
          <w:rFonts w:cs="Arial"/>
          <w:szCs w:val="22"/>
        </w:rPr>
        <w:t xml:space="preserve"> and maintained to avoid failures from EMI, ONR inspectors should note that:</w:t>
      </w:r>
    </w:p>
    <w:p w14:paraId="56A8FED8" w14:textId="77777777" w:rsidR="00061E21" w:rsidRPr="00AB5218" w:rsidRDefault="00061E21" w:rsidP="00061E21">
      <w:pPr>
        <w:pStyle w:val="ListParagraph"/>
        <w:rPr>
          <w:rFonts w:cs="Arial"/>
          <w:szCs w:val="22"/>
        </w:rPr>
      </w:pPr>
    </w:p>
    <w:p w14:paraId="2C457CE3" w14:textId="77777777" w:rsidR="00061E21" w:rsidRPr="00AB5218" w:rsidRDefault="00061E21" w:rsidP="00C204ED">
      <w:pPr>
        <w:pStyle w:val="TSBullet1Square"/>
        <w:rPr>
          <w:rFonts w:cs="Arial"/>
          <w:szCs w:val="22"/>
        </w:rPr>
      </w:pPr>
      <w:r w:rsidRPr="00AB5218">
        <w:rPr>
          <w:rFonts w:cs="Arial"/>
          <w:szCs w:val="22"/>
        </w:rPr>
        <w:t xml:space="preserve">EMI is a systematic cause of failure (and performance degradation) of E/E/PE safety systems. </w:t>
      </w:r>
    </w:p>
    <w:p w14:paraId="00D4D0D5" w14:textId="77777777" w:rsidR="00C204ED" w:rsidRPr="00AB5218" w:rsidRDefault="00C204ED" w:rsidP="00650914">
      <w:pPr>
        <w:pStyle w:val="TSBullet1Square"/>
        <w:numPr>
          <w:ilvl w:val="0"/>
          <w:numId w:val="0"/>
        </w:numPr>
        <w:ind w:left="1440"/>
        <w:rPr>
          <w:rFonts w:cs="Arial"/>
          <w:szCs w:val="22"/>
        </w:rPr>
      </w:pPr>
    </w:p>
    <w:p w14:paraId="7F5C2FFA" w14:textId="77777777" w:rsidR="00650914" w:rsidRDefault="00F40757" w:rsidP="009210B0">
      <w:pPr>
        <w:pStyle w:val="TSBullet1Square"/>
        <w:rPr>
          <w:rFonts w:cs="Arial"/>
          <w:szCs w:val="22"/>
        </w:rPr>
      </w:pPr>
      <w:r w:rsidRPr="00650914">
        <w:rPr>
          <w:rFonts w:cs="Arial"/>
          <w:szCs w:val="22"/>
        </w:rPr>
        <w:t xml:space="preserve">EMC testing typically demonstrates performance of </w:t>
      </w:r>
      <w:r w:rsidR="00650914">
        <w:rPr>
          <w:rFonts w:cs="Arial"/>
          <w:szCs w:val="22"/>
        </w:rPr>
        <w:t>systems</w:t>
      </w:r>
      <w:r w:rsidR="00650914" w:rsidRPr="00650914">
        <w:rPr>
          <w:rFonts w:cs="Arial"/>
          <w:szCs w:val="22"/>
        </w:rPr>
        <w:t xml:space="preserve"> </w:t>
      </w:r>
      <w:r w:rsidRPr="00650914">
        <w:rPr>
          <w:rFonts w:cs="Arial"/>
          <w:szCs w:val="22"/>
        </w:rPr>
        <w:t xml:space="preserve">and </w:t>
      </w:r>
      <w:r w:rsidR="00650914">
        <w:rPr>
          <w:rFonts w:cs="Arial"/>
          <w:szCs w:val="22"/>
        </w:rPr>
        <w:t>components</w:t>
      </w:r>
      <w:r w:rsidR="00650914" w:rsidRPr="00650914">
        <w:rPr>
          <w:rFonts w:cs="Arial"/>
          <w:szCs w:val="22"/>
        </w:rPr>
        <w:t xml:space="preserve"> </w:t>
      </w:r>
      <w:r w:rsidRPr="00650914">
        <w:rPr>
          <w:rFonts w:cs="Arial"/>
          <w:szCs w:val="22"/>
        </w:rPr>
        <w:t xml:space="preserve">under defined circumstances and exposure to individual electromagnetic phenomena. However, safety system failures can result from combinations of electromagnetic </w:t>
      </w:r>
      <w:r w:rsidR="00A76AAB" w:rsidRPr="00650914">
        <w:rPr>
          <w:rFonts w:cs="Arial"/>
          <w:szCs w:val="22"/>
        </w:rPr>
        <w:t>disturbances</w:t>
      </w:r>
      <w:r w:rsidR="009231B5" w:rsidRPr="00650914">
        <w:rPr>
          <w:rFonts w:cs="Arial"/>
          <w:szCs w:val="22"/>
        </w:rPr>
        <w:t xml:space="preserve"> that are experienced during use</w:t>
      </w:r>
      <w:r w:rsidRPr="00650914">
        <w:rPr>
          <w:rFonts w:cs="Arial"/>
          <w:szCs w:val="22"/>
        </w:rPr>
        <w:t>, which individually may have no effect on the system</w:t>
      </w:r>
      <w:r w:rsidR="00DD4FF9" w:rsidRPr="00650914">
        <w:rPr>
          <w:rFonts w:cs="Arial"/>
          <w:szCs w:val="22"/>
        </w:rPr>
        <w:t xml:space="preserve">.  </w:t>
      </w:r>
      <w:r w:rsidRPr="00650914">
        <w:rPr>
          <w:rFonts w:cs="Arial"/>
          <w:szCs w:val="22"/>
        </w:rPr>
        <w:t>EMC testing cannot cover all such combinations</w:t>
      </w:r>
      <w:r w:rsidR="004C7798" w:rsidRPr="00650914">
        <w:rPr>
          <w:rFonts w:cs="Arial"/>
          <w:szCs w:val="22"/>
        </w:rPr>
        <w:t>.</w:t>
      </w:r>
    </w:p>
    <w:p w14:paraId="0EA9774C" w14:textId="77777777" w:rsidR="00650914" w:rsidRDefault="00650914" w:rsidP="009210B0">
      <w:pPr>
        <w:pStyle w:val="TSBullet1Square"/>
        <w:numPr>
          <w:ilvl w:val="0"/>
          <w:numId w:val="0"/>
        </w:numPr>
        <w:rPr>
          <w:rFonts w:cs="Arial"/>
          <w:szCs w:val="22"/>
        </w:rPr>
      </w:pPr>
    </w:p>
    <w:p w14:paraId="165245CD" w14:textId="77777777" w:rsidR="00650914" w:rsidRPr="00650914" w:rsidRDefault="00650914" w:rsidP="00650914">
      <w:pPr>
        <w:pStyle w:val="TSBullet1Square"/>
        <w:spacing w:before="120"/>
        <w:rPr>
          <w:rFonts w:cs="Arial"/>
          <w:szCs w:val="22"/>
        </w:rPr>
      </w:pPr>
      <w:r w:rsidRPr="00650914">
        <w:rPr>
          <w:rFonts w:cs="Arial"/>
          <w:szCs w:val="22"/>
        </w:rPr>
        <w:t>Additionally</w:t>
      </w:r>
      <w:r>
        <w:rPr>
          <w:rFonts w:cs="Arial"/>
          <w:szCs w:val="22"/>
        </w:rPr>
        <w:t xml:space="preserve">, </w:t>
      </w:r>
      <w:r w:rsidRPr="00650914">
        <w:rPr>
          <w:rFonts w:cs="Arial"/>
          <w:szCs w:val="22"/>
        </w:rPr>
        <w:t xml:space="preserve">EMC performance of </w:t>
      </w:r>
      <w:r>
        <w:rPr>
          <w:rFonts w:cs="Arial"/>
          <w:szCs w:val="22"/>
        </w:rPr>
        <w:t>systems</w:t>
      </w:r>
      <w:r w:rsidRPr="00650914">
        <w:rPr>
          <w:rFonts w:cs="Arial"/>
          <w:szCs w:val="22"/>
        </w:rPr>
        <w:t xml:space="preserve"> and </w:t>
      </w:r>
      <w:r>
        <w:rPr>
          <w:rFonts w:cs="Arial"/>
          <w:szCs w:val="22"/>
        </w:rPr>
        <w:t>components</w:t>
      </w:r>
      <w:r w:rsidRPr="00650914">
        <w:rPr>
          <w:rFonts w:cs="Arial"/>
          <w:szCs w:val="22"/>
        </w:rPr>
        <w:t xml:space="preserve"> can change during service (</w:t>
      </w:r>
      <w:proofErr w:type="gramStart"/>
      <w:r w:rsidRPr="00650914">
        <w:rPr>
          <w:rFonts w:cs="Arial"/>
          <w:szCs w:val="22"/>
        </w:rPr>
        <w:t>as a result of</w:t>
      </w:r>
      <w:proofErr w:type="gramEnd"/>
      <w:r w:rsidRPr="00650914">
        <w:rPr>
          <w:rFonts w:cs="Arial"/>
          <w:szCs w:val="22"/>
        </w:rPr>
        <w:t xml:space="preserve"> ageing, degradation, damage etc.).</w:t>
      </w:r>
    </w:p>
    <w:p w14:paraId="6D4C7CDF" w14:textId="77777777" w:rsidR="00061E21" w:rsidRPr="00AB5218"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1</w:t>
      </w:r>
      <w:r>
        <w:rPr>
          <w:rFonts w:cs="Arial"/>
          <w:szCs w:val="22"/>
        </w:rPr>
        <w:tab/>
      </w:r>
      <w:r w:rsidR="004C7798" w:rsidRPr="00AB5218">
        <w:rPr>
          <w:rFonts w:cs="Arial"/>
          <w:szCs w:val="22"/>
        </w:rPr>
        <w:t xml:space="preserve">Therefore, approaches that seek to demonstrate adequacy of the design of E/E/PE safety systems by solely presenting EMC compliance and/or test data will generally not develop adequate confidence that </w:t>
      </w:r>
      <w:r w:rsidR="00555B0A">
        <w:rPr>
          <w:rFonts w:cs="Arial"/>
          <w:szCs w:val="22"/>
        </w:rPr>
        <w:t xml:space="preserve">those </w:t>
      </w:r>
      <w:r w:rsidR="004C7798" w:rsidRPr="00AB5218">
        <w:rPr>
          <w:rFonts w:cs="Arial"/>
          <w:szCs w:val="22"/>
        </w:rPr>
        <w:t xml:space="preserve">safety systems are designed to </w:t>
      </w:r>
      <w:r w:rsidR="00555B0A">
        <w:rPr>
          <w:rFonts w:cs="Arial"/>
          <w:szCs w:val="22"/>
        </w:rPr>
        <w:t>reduce</w:t>
      </w:r>
      <w:r w:rsidR="00B2214F">
        <w:rPr>
          <w:rFonts w:cs="Arial"/>
          <w:szCs w:val="22"/>
        </w:rPr>
        <w:t xml:space="preserve"> </w:t>
      </w:r>
      <w:r w:rsidR="004C7798" w:rsidRPr="00AB5218">
        <w:rPr>
          <w:rFonts w:cs="Arial"/>
          <w:szCs w:val="22"/>
        </w:rPr>
        <w:t xml:space="preserve">risks from EMI </w:t>
      </w:r>
      <w:r w:rsidR="00555B0A">
        <w:rPr>
          <w:rFonts w:cs="Arial"/>
          <w:szCs w:val="22"/>
        </w:rPr>
        <w:t xml:space="preserve">to </w:t>
      </w:r>
      <w:r w:rsidR="00AD270D">
        <w:rPr>
          <w:rFonts w:cs="Arial"/>
          <w:szCs w:val="22"/>
        </w:rPr>
        <w:t>ALARP</w:t>
      </w:r>
      <w:r w:rsidR="00555B0A">
        <w:rPr>
          <w:rFonts w:cs="Arial"/>
          <w:szCs w:val="22"/>
        </w:rPr>
        <w:t xml:space="preserve"> </w:t>
      </w:r>
      <w:r w:rsidR="004C7798" w:rsidRPr="00AB5218">
        <w:rPr>
          <w:rFonts w:cs="Arial"/>
          <w:szCs w:val="22"/>
        </w:rPr>
        <w:t>during operation. This also applies where such evidence is complemented by probabilistic descriptions of the electromagnetic environment (</w:t>
      </w:r>
      <w:proofErr w:type="gramStart"/>
      <w:r w:rsidR="004C7798" w:rsidRPr="00AB5218">
        <w:rPr>
          <w:rFonts w:cs="Arial"/>
          <w:szCs w:val="22"/>
        </w:rPr>
        <w:t>e.g.</w:t>
      </w:r>
      <w:proofErr w:type="gramEnd"/>
      <w:r w:rsidR="004C7798" w:rsidRPr="00AB5218">
        <w:rPr>
          <w:rFonts w:cs="Arial"/>
          <w:szCs w:val="22"/>
        </w:rPr>
        <w:t xml:space="preserve"> </w:t>
      </w:r>
      <w:r w:rsidR="002C4018">
        <w:rPr>
          <w:rFonts w:cs="Arial"/>
          <w:szCs w:val="22"/>
        </w:rPr>
        <w:t>probabilistic</w:t>
      </w:r>
      <w:r w:rsidR="004C7798" w:rsidRPr="00AB5218">
        <w:rPr>
          <w:rFonts w:cs="Arial"/>
          <w:szCs w:val="22"/>
        </w:rPr>
        <w:t xml:space="preserve"> projections of the </w:t>
      </w:r>
      <w:r w:rsidR="00555B0A">
        <w:rPr>
          <w:rFonts w:cs="Arial"/>
          <w:szCs w:val="22"/>
        </w:rPr>
        <w:t xml:space="preserve">incidence and/or magnitude </w:t>
      </w:r>
      <w:r w:rsidR="00017A92">
        <w:rPr>
          <w:rFonts w:cs="Arial"/>
          <w:szCs w:val="22"/>
        </w:rPr>
        <w:t xml:space="preserve">of </w:t>
      </w:r>
      <w:r w:rsidR="00017A92" w:rsidRPr="00AB5218">
        <w:rPr>
          <w:rFonts w:cs="Arial"/>
          <w:szCs w:val="22"/>
        </w:rPr>
        <w:t>electromagnetic</w:t>
      </w:r>
      <w:r w:rsidR="004C7798" w:rsidRPr="00AB5218">
        <w:rPr>
          <w:rFonts w:cs="Arial"/>
          <w:szCs w:val="22"/>
        </w:rPr>
        <w:t xml:space="preserve"> </w:t>
      </w:r>
      <w:r w:rsidR="00A76AAB">
        <w:rPr>
          <w:rFonts w:cs="Arial"/>
          <w:szCs w:val="22"/>
        </w:rPr>
        <w:t>disturbances</w:t>
      </w:r>
      <w:r w:rsidR="004C7798" w:rsidRPr="00AB5218">
        <w:rPr>
          <w:rFonts w:cs="Arial"/>
          <w:szCs w:val="22"/>
        </w:rPr>
        <w:t>).</w:t>
      </w:r>
    </w:p>
    <w:p w14:paraId="2A5F6815" w14:textId="77777777" w:rsidR="004C7798" w:rsidRPr="00AB5218" w:rsidRDefault="004C7798" w:rsidP="00C204ED">
      <w:pPr>
        <w:autoSpaceDE w:val="0"/>
        <w:autoSpaceDN w:val="0"/>
        <w:adjustRightInd w:val="0"/>
        <w:ind w:left="720"/>
        <w:rPr>
          <w:rFonts w:cs="Arial"/>
          <w:szCs w:val="22"/>
        </w:rPr>
      </w:pPr>
    </w:p>
    <w:p w14:paraId="2928A4DA" w14:textId="77777777" w:rsidR="004C7798" w:rsidRPr="00AB5218"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2</w:t>
      </w:r>
      <w:r>
        <w:rPr>
          <w:rFonts w:cs="Arial"/>
          <w:szCs w:val="22"/>
        </w:rPr>
        <w:tab/>
      </w:r>
      <w:r w:rsidR="004C7798" w:rsidRPr="00AB5218">
        <w:rPr>
          <w:rFonts w:cs="Arial"/>
          <w:szCs w:val="22"/>
        </w:rPr>
        <w:t>Claims of E/E/PE safety system performance should generally be supported by proportionate substantiation showing that a suitable range of techniques and measures have been identified and implemented to adequately address EMI as a cause of systematic failure.</w:t>
      </w:r>
    </w:p>
    <w:p w14:paraId="17491404" w14:textId="77777777" w:rsidR="004C7798" w:rsidRPr="00AB5218" w:rsidRDefault="004C7798" w:rsidP="00C204ED">
      <w:pPr>
        <w:autoSpaceDE w:val="0"/>
        <w:autoSpaceDN w:val="0"/>
        <w:adjustRightInd w:val="0"/>
        <w:ind w:left="720"/>
        <w:rPr>
          <w:rFonts w:cs="Arial"/>
          <w:szCs w:val="22"/>
        </w:rPr>
      </w:pPr>
    </w:p>
    <w:p w14:paraId="6991A89B" w14:textId="77777777" w:rsidR="004C7798"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3</w:t>
      </w:r>
      <w:r>
        <w:rPr>
          <w:rFonts w:cs="Arial"/>
          <w:szCs w:val="22"/>
        </w:rPr>
        <w:tab/>
      </w:r>
      <w:r w:rsidR="004C7798" w:rsidRPr="00AB5218">
        <w:rPr>
          <w:rFonts w:cs="Arial"/>
          <w:szCs w:val="22"/>
        </w:rPr>
        <w:t xml:space="preserve">ONR inspectors may use </w:t>
      </w:r>
      <w:r w:rsidR="0075632C">
        <w:rPr>
          <w:rFonts w:cs="Arial"/>
          <w:szCs w:val="22"/>
        </w:rPr>
        <w:t xml:space="preserve">relevant good practice described in IEC 61000-1-2 </w:t>
      </w:r>
      <w:r w:rsidR="00D2292E">
        <w:rPr>
          <w:rFonts w:cs="Arial"/>
          <w:szCs w:val="22"/>
        </w:rPr>
        <w:t>[10</w:t>
      </w:r>
      <w:r w:rsidR="00D2292E" w:rsidRPr="00D13063">
        <w:rPr>
          <w:rFonts w:cs="Arial"/>
          <w:szCs w:val="22"/>
        </w:rPr>
        <w:t xml:space="preserve">] </w:t>
      </w:r>
      <w:r w:rsidR="0075632C" w:rsidRPr="00D13063">
        <w:rPr>
          <w:rFonts w:cs="Arial"/>
          <w:szCs w:val="22"/>
        </w:rPr>
        <w:t xml:space="preserve">and </w:t>
      </w:r>
      <w:r w:rsidR="004C7798" w:rsidRPr="00D13063">
        <w:rPr>
          <w:rFonts w:cs="Arial"/>
          <w:szCs w:val="22"/>
        </w:rPr>
        <w:t xml:space="preserve">the </w:t>
      </w:r>
      <w:r w:rsidR="00E949A3" w:rsidRPr="00D13063">
        <w:rPr>
          <w:rFonts w:cs="Arial"/>
          <w:szCs w:val="22"/>
        </w:rPr>
        <w:t xml:space="preserve">model described in the </w:t>
      </w:r>
      <w:r w:rsidR="004C7798" w:rsidRPr="00D13063">
        <w:rPr>
          <w:rFonts w:cs="Arial"/>
          <w:szCs w:val="22"/>
        </w:rPr>
        <w:t>IET CoP for electromagnetic resilience</w:t>
      </w:r>
      <w:r w:rsidR="00D13063" w:rsidRPr="00D13063">
        <w:rPr>
          <w:rFonts w:cs="Arial"/>
          <w:szCs w:val="22"/>
        </w:rPr>
        <w:t xml:space="preserve"> [17] </w:t>
      </w:r>
      <w:r w:rsidR="004C7798" w:rsidRPr="00D13063">
        <w:rPr>
          <w:rFonts w:cs="Arial"/>
          <w:szCs w:val="22"/>
        </w:rPr>
        <w:t>to structure</w:t>
      </w:r>
      <w:r w:rsidR="004C7798" w:rsidRPr="00AB5218">
        <w:rPr>
          <w:rFonts w:cs="Arial"/>
          <w:szCs w:val="22"/>
        </w:rPr>
        <w:t xml:space="preserve"> their assessment of the adequacy of safety case claims for the performance of E/E/PE safety systems with respect to electromagnetic disturbances. In this way, ONR inspectors can support their judgements on the overall adequacy of measures </w:t>
      </w:r>
      <w:r w:rsidR="00B33A26">
        <w:rPr>
          <w:rFonts w:cs="Arial"/>
          <w:szCs w:val="22"/>
        </w:rPr>
        <w:t xml:space="preserve">to control </w:t>
      </w:r>
      <w:r w:rsidR="004C7798" w:rsidRPr="00AB5218">
        <w:rPr>
          <w:rFonts w:cs="Arial"/>
          <w:szCs w:val="22"/>
        </w:rPr>
        <w:t>risk</w:t>
      </w:r>
      <w:r w:rsidR="00B33A26">
        <w:rPr>
          <w:rFonts w:cs="Arial"/>
          <w:szCs w:val="22"/>
        </w:rPr>
        <w:t>s</w:t>
      </w:r>
      <w:r w:rsidR="004C7798" w:rsidRPr="00AB5218">
        <w:rPr>
          <w:rFonts w:cs="Arial"/>
          <w:szCs w:val="22"/>
        </w:rPr>
        <w:t xml:space="preserve"> </w:t>
      </w:r>
      <w:r w:rsidR="009165E0">
        <w:rPr>
          <w:rFonts w:cs="Arial"/>
          <w:szCs w:val="22"/>
        </w:rPr>
        <w:t xml:space="preserve">from </w:t>
      </w:r>
      <w:r w:rsidR="009165E0" w:rsidRPr="00AB5218">
        <w:rPr>
          <w:rFonts w:cs="Arial"/>
          <w:szCs w:val="22"/>
        </w:rPr>
        <w:t>EMI</w:t>
      </w:r>
      <w:r w:rsidR="004C7798" w:rsidRPr="00AB5218">
        <w:rPr>
          <w:rFonts w:cs="Arial"/>
          <w:szCs w:val="22"/>
        </w:rPr>
        <w:t xml:space="preserve"> </w:t>
      </w:r>
      <w:r w:rsidR="00B33A26">
        <w:rPr>
          <w:rFonts w:cs="Arial"/>
          <w:szCs w:val="22"/>
        </w:rPr>
        <w:t>on</w:t>
      </w:r>
      <w:r w:rsidR="004C7798" w:rsidRPr="00AB5218">
        <w:rPr>
          <w:rFonts w:cs="Arial"/>
          <w:szCs w:val="22"/>
        </w:rPr>
        <w:t xml:space="preserve"> E/E/PE safety systems.</w:t>
      </w:r>
    </w:p>
    <w:p w14:paraId="13FE2345" w14:textId="77777777" w:rsidR="003E1A4B" w:rsidRDefault="003E1A4B" w:rsidP="006D1CA2">
      <w:pPr>
        <w:pStyle w:val="ListParagraph"/>
        <w:rPr>
          <w:rFonts w:cs="Arial"/>
          <w:szCs w:val="22"/>
        </w:rPr>
      </w:pPr>
    </w:p>
    <w:p w14:paraId="179BC332" w14:textId="77777777" w:rsidR="004C7798" w:rsidRPr="00AB5218"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4</w:t>
      </w:r>
      <w:r>
        <w:rPr>
          <w:rFonts w:cs="Arial"/>
          <w:szCs w:val="22"/>
        </w:rPr>
        <w:tab/>
      </w:r>
      <w:r w:rsidR="004C7798" w:rsidRPr="00AB5218">
        <w:rPr>
          <w:rFonts w:cs="Arial"/>
          <w:szCs w:val="22"/>
        </w:rPr>
        <w:t xml:space="preserve">The </w:t>
      </w:r>
      <w:r w:rsidR="00E949A3">
        <w:rPr>
          <w:rFonts w:cs="Arial"/>
          <w:szCs w:val="22"/>
        </w:rPr>
        <w:t xml:space="preserve">IET CoP model for </w:t>
      </w:r>
      <w:r w:rsidR="004C7798" w:rsidRPr="00AB5218">
        <w:rPr>
          <w:rFonts w:cs="Arial"/>
          <w:szCs w:val="22"/>
        </w:rPr>
        <w:t xml:space="preserve">electromagnetic resilience recognises that a range of practices, techniques and measures are available, and that the precise selection of these in combination for a particular safety system may vary depending on </w:t>
      </w:r>
      <w:proofErr w:type="gramStart"/>
      <w:r w:rsidR="004C7798" w:rsidRPr="00AB5218">
        <w:rPr>
          <w:rFonts w:cs="Arial"/>
          <w:szCs w:val="22"/>
        </w:rPr>
        <w:t>a number of</w:t>
      </w:r>
      <w:proofErr w:type="gramEnd"/>
      <w:r w:rsidR="004C7798" w:rsidRPr="00AB5218">
        <w:rPr>
          <w:rFonts w:cs="Arial"/>
          <w:szCs w:val="22"/>
        </w:rPr>
        <w:t xml:space="preserve"> factors.</w:t>
      </w:r>
    </w:p>
    <w:p w14:paraId="4D9C0052" w14:textId="77777777" w:rsidR="004C7798" w:rsidRPr="00AB5218" w:rsidRDefault="004C7798" w:rsidP="004C7798">
      <w:pPr>
        <w:pStyle w:val="ListParagraph"/>
        <w:rPr>
          <w:rFonts w:cs="Arial"/>
          <w:szCs w:val="22"/>
        </w:rPr>
      </w:pPr>
    </w:p>
    <w:p w14:paraId="74C53B9A" w14:textId="77777777" w:rsidR="00902721" w:rsidRDefault="00902721" w:rsidP="004C7798">
      <w:pPr>
        <w:pStyle w:val="TSNumberedParagraph11"/>
        <w:spacing w:after="0"/>
        <w:ind w:left="720"/>
        <w:rPr>
          <w:rFonts w:cs="Arial"/>
          <w:b/>
          <w:szCs w:val="22"/>
          <w:u w:val="single"/>
        </w:rPr>
      </w:pPr>
    </w:p>
    <w:p w14:paraId="4D8C7FC6" w14:textId="77777777" w:rsidR="00902721" w:rsidRDefault="00902721" w:rsidP="004C7798">
      <w:pPr>
        <w:pStyle w:val="TSNumberedParagraph11"/>
        <w:spacing w:after="0"/>
        <w:ind w:left="720"/>
        <w:rPr>
          <w:rFonts w:cs="Arial"/>
          <w:b/>
          <w:szCs w:val="22"/>
          <w:u w:val="single"/>
        </w:rPr>
      </w:pPr>
    </w:p>
    <w:p w14:paraId="220EC073" w14:textId="77777777" w:rsidR="004C7798" w:rsidRPr="00AB5218" w:rsidRDefault="004C7798" w:rsidP="004C7798">
      <w:pPr>
        <w:pStyle w:val="TSNumberedParagraph11"/>
        <w:spacing w:after="0"/>
        <w:ind w:left="720"/>
        <w:rPr>
          <w:rFonts w:cs="Arial"/>
          <w:b/>
          <w:szCs w:val="22"/>
          <w:u w:val="single"/>
        </w:rPr>
      </w:pPr>
      <w:r w:rsidRPr="00AB5218">
        <w:rPr>
          <w:rFonts w:cs="Arial"/>
          <w:b/>
          <w:szCs w:val="22"/>
          <w:u w:val="single"/>
        </w:rPr>
        <w:lastRenderedPageBreak/>
        <w:t>EM Resilience Criteria</w:t>
      </w:r>
    </w:p>
    <w:p w14:paraId="2AF9B65F" w14:textId="77777777" w:rsidR="004C7798" w:rsidRPr="00AB5218" w:rsidRDefault="004C7798" w:rsidP="004C7798">
      <w:pPr>
        <w:pStyle w:val="ListParagraph"/>
        <w:rPr>
          <w:rFonts w:cs="Arial"/>
          <w:szCs w:val="22"/>
        </w:rPr>
      </w:pPr>
    </w:p>
    <w:p w14:paraId="48D63600" w14:textId="77777777" w:rsidR="00650914" w:rsidRPr="00AB5218"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5</w:t>
      </w:r>
      <w:r>
        <w:rPr>
          <w:rFonts w:cs="Arial"/>
          <w:szCs w:val="22"/>
        </w:rPr>
        <w:tab/>
      </w:r>
      <w:r w:rsidR="00650914" w:rsidRPr="00AB5218">
        <w:rPr>
          <w:rFonts w:cs="Arial"/>
          <w:szCs w:val="22"/>
        </w:rPr>
        <w:t xml:space="preserve">The IET CoP </w:t>
      </w:r>
      <w:r w:rsidR="00650914">
        <w:rPr>
          <w:rFonts w:cs="Arial"/>
          <w:szCs w:val="22"/>
        </w:rPr>
        <w:t xml:space="preserve">[17] </w:t>
      </w:r>
      <w:r w:rsidR="00650914" w:rsidRPr="00AB5218">
        <w:rPr>
          <w:rFonts w:cs="Arial"/>
          <w:szCs w:val="22"/>
        </w:rPr>
        <w:t xml:space="preserve">describes EM </w:t>
      </w:r>
      <w:r w:rsidR="00650914">
        <w:rPr>
          <w:rFonts w:cs="Arial"/>
          <w:szCs w:val="22"/>
        </w:rPr>
        <w:t>r</w:t>
      </w:r>
      <w:r w:rsidR="00650914" w:rsidRPr="00AB5218">
        <w:rPr>
          <w:rFonts w:cs="Arial"/>
          <w:szCs w:val="22"/>
        </w:rPr>
        <w:t xml:space="preserve">esilience as being achieved by balanced application of </w:t>
      </w:r>
      <w:r w:rsidR="00A415AA">
        <w:rPr>
          <w:rFonts w:cs="Arial"/>
          <w:szCs w:val="22"/>
        </w:rPr>
        <w:t xml:space="preserve">the following </w:t>
      </w:r>
      <w:r w:rsidR="00650914" w:rsidRPr="00AB5218">
        <w:rPr>
          <w:rFonts w:cs="Arial"/>
          <w:szCs w:val="22"/>
        </w:rPr>
        <w:t>three criteria</w:t>
      </w:r>
      <w:r w:rsidR="000D74A4">
        <w:rPr>
          <w:rFonts w:cs="Arial"/>
          <w:szCs w:val="22"/>
        </w:rPr>
        <w:t xml:space="preserve"> (A, B and C)</w:t>
      </w:r>
      <w:r w:rsidR="00650914" w:rsidRPr="00AB5218">
        <w:rPr>
          <w:rFonts w:cs="Arial"/>
          <w:szCs w:val="22"/>
        </w:rPr>
        <w:t>:</w:t>
      </w:r>
    </w:p>
    <w:p w14:paraId="5CE26F85" w14:textId="77777777" w:rsidR="004C7798" w:rsidRPr="00AB5218" w:rsidRDefault="004C7798" w:rsidP="004C7798">
      <w:pPr>
        <w:pStyle w:val="TSNumberedParagraph11"/>
        <w:spacing w:after="0"/>
        <w:ind w:left="720"/>
        <w:rPr>
          <w:rFonts w:cs="Arial"/>
          <w:szCs w:val="22"/>
        </w:rPr>
      </w:pPr>
    </w:p>
    <w:p w14:paraId="75DD3321" w14:textId="77777777" w:rsidR="004C7798" w:rsidRPr="00AB5218" w:rsidRDefault="004C7798" w:rsidP="004C7798">
      <w:pPr>
        <w:pStyle w:val="TSNumberedParagraph11"/>
        <w:numPr>
          <w:ilvl w:val="0"/>
          <w:numId w:val="33"/>
        </w:numPr>
        <w:spacing w:after="0"/>
        <w:rPr>
          <w:rFonts w:cs="Arial"/>
          <w:b/>
          <w:szCs w:val="22"/>
        </w:rPr>
      </w:pPr>
      <w:r w:rsidRPr="00AB5218">
        <w:rPr>
          <w:rFonts w:cs="Arial"/>
          <w:b/>
          <w:szCs w:val="22"/>
        </w:rPr>
        <w:t>Compliance with EMC test standards for emissions and immunity applicable to the normal EM environments expected to be experienced over the lifecycle of the safety system (assuming no faults)</w:t>
      </w:r>
      <w:r w:rsidR="00C40171" w:rsidRPr="00AB5218">
        <w:rPr>
          <w:rFonts w:cs="Arial"/>
          <w:b/>
          <w:szCs w:val="22"/>
        </w:rPr>
        <w:t>.</w:t>
      </w:r>
    </w:p>
    <w:p w14:paraId="41FF75D2" w14:textId="77777777" w:rsidR="004C7798" w:rsidRPr="00AB5218" w:rsidRDefault="004C7798" w:rsidP="004C7798">
      <w:pPr>
        <w:pStyle w:val="TSNumberedParagraph11"/>
        <w:spacing w:after="0"/>
        <w:ind w:left="720"/>
        <w:rPr>
          <w:rFonts w:cs="Arial"/>
          <w:szCs w:val="22"/>
        </w:rPr>
      </w:pPr>
    </w:p>
    <w:p w14:paraId="0057C472" w14:textId="77777777" w:rsidR="004C7798" w:rsidRPr="00AB5218"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6</w:t>
      </w:r>
      <w:r>
        <w:rPr>
          <w:rFonts w:cs="Arial"/>
          <w:szCs w:val="22"/>
        </w:rPr>
        <w:tab/>
      </w:r>
      <w:r w:rsidR="00C40171" w:rsidRPr="00AB5218">
        <w:rPr>
          <w:rFonts w:cs="Arial"/>
          <w:szCs w:val="22"/>
        </w:rPr>
        <w:t>For E/E/PE safety systems, adequate evidence should be in place to demonstrate that appropriate conventional EMC engineering approach</w:t>
      </w:r>
      <w:r w:rsidR="00980407">
        <w:rPr>
          <w:rFonts w:cs="Arial"/>
          <w:szCs w:val="22"/>
        </w:rPr>
        <w:t>es</w:t>
      </w:r>
      <w:r w:rsidR="00C40171" w:rsidRPr="00AB5218">
        <w:rPr>
          <w:rFonts w:cs="Arial"/>
          <w:szCs w:val="22"/>
        </w:rPr>
        <w:t xml:space="preserve"> have been applied</w:t>
      </w:r>
      <w:r w:rsidR="00980407">
        <w:rPr>
          <w:rFonts w:cs="Arial"/>
          <w:szCs w:val="22"/>
        </w:rPr>
        <w:t xml:space="preserve"> (</w:t>
      </w:r>
      <w:proofErr w:type="gramStart"/>
      <w:r w:rsidR="00980407">
        <w:rPr>
          <w:rFonts w:cs="Arial"/>
          <w:szCs w:val="22"/>
        </w:rPr>
        <w:t>i.e.</w:t>
      </w:r>
      <w:proofErr w:type="gramEnd"/>
      <w:r w:rsidR="00980407">
        <w:rPr>
          <w:rFonts w:cs="Arial"/>
          <w:szCs w:val="22"/>
        </w:rPr>
        <w:t xml:space="preserve"> equipment/systems are engineered, tested, constructed and maintained to suitable industrial standards)</w:t>
      </w:r>
      <w:r w:rsidR="00C40171" w:rsidRPr="00AB5218">
        <w:rPr>
          <w:rFonts w:cs="Arial"/>
          <w:szCs w:val="22"/>
        </w:rPr>
        <w:t xml:space="preserve">. This requires that safety systems are compliant </w:t>
      </w:r>
      <w:r w:rsidR="00980407">
        <w:rPr>
          <w:rFonts w:cs="Arial"/>
          <w:szCs w:val="22"/>
        </w:rPr>
        <w:t xml:space="preserve">with the </w:t>
      </w:r>
      <w:r w:rsidR="00C40171" w:rsidRPr="00AB5218">
        <w:rPr>
          <w:rFonts w:cs="Arial"/>
          <w:szCs w:val="22"/>
        </w:rPr>
        <w:t xml:space="preserve">EMC </w:t>
      </w:r>
      <w:r w:rsidR="00980407">
        <w:rPr>
          <w:rFonts w:cs="Arial"/>
          <w:szCs w:val="22"/>
        </w:rPr>
        <w:t>Directive [21]</w:t>
      </w:r>
      <w:r w:rsidR="00C40171" w:rsidRPr="00AB5218">
        <w:rPr>
          <w:rFonts w:cs="Arial"/>
          <w:szCs w:val="22"/>
        </w:rPr>
        <w:t>, and there is adequate control of the electromagnetic environment (e.g.</w:t>
      </w:r>
      <w:r w:rsidR="00A415AA">
        <w:rPr>
          <w:rFonts w:cs="Arial"/>
          <w:szCs w:val="22"/>
        </w:rPr>
        <w:t xml:space="preserve"> </w:t>
      </w:r>
      <w:r w:rsidR="00C40171" w:rsidRPr="00AB5218">
        <w:rPr>
          <w:rFonts w:cs="Arial"/>
          <w:szCs w:val="22"/>
        </w:rPr>
        <w:t xml:space="preserve"> other equipment in the vicinity of the safety systems is compliant with suitable EMC requirements).</w:t>
      </w:r>
    </w:p>
    <w:p w14:paraId="42180402" w14:textId="77777777" w:rsidR="00C40171" w:rsidRPr="00AB5218" w:rsidRDefault="00C40171" w:rsidP="00C40171">
      <w:pPr>
        <w:pStyle w:val="TSNumberedParagraph11"/>
        <w:spacing w:after="0"/>
        <w:ind w:left="720"/>
        <w:rPr>
          <w:rFonts w:cs="Arial"/>
          <w:szCs w:val="22"/>
        </w:rPr>
      </w:pPr>
    </w:p>
    <w:p w14:paraId="2E5E9C38" w14:textId="77777777" w:rsidR="00C40171" w:rsidRPr="00AB5218"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7</w:t>
      </w:r>
      <w:r>
        <w:rPr>
          <w:rFonts w:cs="Arial"/>
          <w:szCs w:val="22"/>
        </w:rPr>
        <w:tab/>
      </w:r>
      <w:r w:rsidR="00C40171" w:rsidRPr="00AB5218">
        <w:rPr>
          <w:rFonts w:cs="Arial"/>
          <w:szCs w:val="22"/>
        </w:rPr>
        <w:t>Where appropriate, relevant tests (</w:t>
      </w:r>
      <w:proofErr w:type="gramStart"/>
      <w:r w:rsidR="00C40171" w:rsidRPr="00AB5218">
        <w:rPr>
          <w:rFonts w:cs="Arial"/>
          <w:szCs w:val="22"/>
        </w:rPr>
        <w:t>e.g.</w:t>
      </w:r>
      <w:proofErr w:type="gramEnd"/>
      <w:r w:rsidR="00C40171" w:rsidRPr="00AB5218">
        <w:rPr>
          <w:rFonts w:cs="Arial"/>
          <w:szCs w:val="22"/>
        </w:rPr>
        <w:t xml:space="preserve"> immunity or emission testing etc.) should be performed to confirm the qualification and electromagnetic compatibility performance of equipment. This should include additional testing for interconnected systems as necessary.</w:t>
      </w:r>
    </w:p>
    <w:p w14:paraId="7E9BC9E3" w14:textId="77777777" w:rsidR="00C40171" w:rsidRPr="00AB5218" w:rsidRDefault="00C40171" w:rsidP="00C40171">
      <w:pPr>
        <w:pStyle w:val="ListParagraph"/>
        <w:rPr>
          <w:rFonts w:cs="Arial"/>
          <w:szCs w:val="22"/>
        </w:rPr>
      </w:pPr>
    </w:p>
    <w:p w14:paraId="399CF67C" w14:textId="77777777" w:rsidR="00C40171" w:rsidRDefault="000B0E69" w:rsidP="00F115E1">
      <w:pPr>
        <w:autoSpaceDE w:val="0"/>
        <w:autoSpaceDN w:val="0"/>
        <w:adjustRightInd w:val="0"/>
        <w:ind w:left="709" w:hanging="709"/>
        <w:rPr>
          <w:rFonts w:cs="Arial"/>
          <w:szCs w:val="22"/>
        </w:rPr>
      </w:pPr>
      <w:r>
        <w:rPr>
          <w:rFonts w:cs="Arial"/>
          <w:szCs w:val="22"/>
        </w:rPr>
        <w:t>5.3</w:t>
      </w:r>
      <w:r w:rsidR="00902721">
        <w:rPr>
          <w:rFonts w:cs="Arial"/>
          <w:szCs w:val="22"/>
        </w:rPr>
        <w:t>8</w:t>
      </w:r>
      <w:r>
        <w:rPr>
          <w:rFonts w:cs="Arial"/>
          <w:szCs w:val="22"/>
        </w:rPr>
        <w:tab/>
      </w:r>
      <w:r w:rsidR="00B33A26">
        <w:rPr>
          <w:rFonts w:cs="Arial"/>
          <w:szCs w:val="22"/>
        </w:rPr>
        <w:t>Demonstrating</w:t>
      </w:r>
      <w:r w:rsidR="00B33A26" w:rsidRPr="003871A7">
        <w:rPr>
          <w:rFonts w:cs="Arial"/>
          <w:szCs w:val="22"/>
        </w:rPr>
        <w:t xml:space="preserve"> </w:t>
      </w:r>
      <w:r w:rsidR="00C40171" w:rsidRPr="003871A7">
        <w:rPr>
          <w:rFonts w:cs="Arial"/>
          <w:szCs w:val="22"/>
        </w:rPr>
        <w:t>system</w:t>
      </w:r>
      <w:r w:rsidR="00B33A26">
        <w:rPr>
          <w:rFonts w:cs="Arial"/>
          <w:szCs w:val="22"/>
        </w:rPr>
        <w:t xml:space="preserve"> (or component)</w:t>
      </w:r>
      <w:r w:rsidR="00C40171" w:rsidRPr="003871A7">
        <w:rPr>
          <w:rFonts w:cs="Arial"/>
          <w:szCs w:val="22"/>
        </w:rPr>
        <w:t xml:space="preserve"> compliance with test standards</w:t>
      </w:r>
      <w:r w:rsidR="00B33A26">
        <w:rPr>
          <w:rFonts w:cs="Arial"/>
          <w:szCs w:val="22"/>
        </w:rPr>
        <w:t xml:space="preserve"> alone</w:t>
      </w:r>
      <w:r w:rsidR="00C40171" w:rsidRPr="003871A7">
        <w:rPr>
          <w:rFonts w:cs="Arial"/>
          <w:szCs w:val="22"/>
        </w:rPr>
        <w:t xml:space="preserve"> does not in itself demonstrate adequate confidence in lifecycle safety system performance. This is because compliance with EMC test standards does not demonstrate that the </w:t>
      </w:r>
      <w:r w:rsidR="00B33A26">
        <w:rPr>
          <w:rFonts w:cs="Arial"/>
          <w:szCs w:val="22"/>
        </w:rPr>
        <w:t xml:space="preserve">overall </w:t>
      </w:r>
      <w:r w:rsidR="00C40171" w:rsidRPr="003871A7">
        <w:rPr>
          <w:rFonts w:cs="Arial"/>
          <w:szCs w:val="22"/>
        </w:rPr>
        <w:t xml:space="preserve">design and management of a safety system and its environment adequately address the risk of </w:t>
      </w:r>
      <w:r w:rsidR="00B33A26">
        <w:rPr>
          <w:rFonts w:cs="Arial"/>
          <w:szCs w:val="22"/>
        </w:rPr>
        <w:t>safety system</w:t>
      </w:r>
      <w:r w:rsidR="00B33A26" w:rsidRPr="003871A7">
        <w:rPr>
          <w:rFonts w:cs="Arial"/>
          <w:szCs w:val="22"/>
        </w:rPr>
        <w:t xml:space="preserve"> </w:t>
      </w:r>
      <w:r w:rsidR="00C40171" w:rsidRPr="003871A7">
        <w:rPr>
          <w:rFonts w:cs="Arial"/>
          <w:szCs w:val="22"/>
        </w:rPr>
        <w:t>failures from EMI, so far as is reasonably practicable.</w:t>
      </w:r>
    </w:p>
    <w:p w14:paraId="55A8D7F9" w14:textId="77777777" w:rsidR="00456559" w:rsidRDefault="00456559" w:rsidP="00F115E1">
      <w:pPr>
        <w:autoSpaceDE w:val="0"/>
        <w:autoSpaceDN w:val="0"/>
        <w:adjustRightInd w:val="0"/>
        <w:ind w:left="709" w:hanging="709"/>
        <w:rPr>
          <w:rFonts w:cs="Arial"/>
          <w:szCs w:val="22"/>
        </w:rPr>
      </w:pPr>
    </w:p>
    <w:p w14:paraId="49725EFF" w14:textId="77777777" w:rsidR="00C40171" w:rsidRPr="00AB5218" w:rsidRDefault="00C40171" w:rsidP="00C40171">
      <w:pPr>
        <w:pStyle w:val="TSNumberedParagraph11"/>
        <w:numPr>
          <w:ilvl w:val="0"/>
          <w:numId w:val="33"/>
        </w:numPr>
        <w:spacing w:after="0"/>
        <w:rPr>
          <w:rFonts w:cs="Arial"/>
          <w:b/>
          <w:szCs w:val="22"/>
        </w:rPr>
      </w:pPr>
      <w:r w:rsidRPr="00AB5218">
        <w:rPr>
          <w:rFonts w:cs="Arial"/>
          <w:b/>
          <w:szCs w:val="22"/>
        </w:rPr>
        <w:t>Use of good EMC and functional safety engineering practices throughout the design of the safety system, including the application of appropriate techniques and measures.</w:t>
      </w:r>
    </w:p>
    <w:p w14:paraId="43B339EC" w14:textId="77777777" w:rsidR="00C40171" w:rsidRPr="00AB5218" w:rsidRDefault="00C40171" w:rsidP="00C40171">
      <w:pPr>
        <w:pStyle w:val="ListParagraph"/>
        <w:rPr>
          <w:rFonts w:cs="Arial"/>
          <w:szCs w:val="22"/>
        </w:rPr>
      </w:pPr>
    </w:p>
    <w:p w14:paraId="4DC1F20B" w14:textId="77777777" w:rsidR="00DD4FF9" w:rsidRDefault="000B0E69" w:rsidP="00F115E1">
      <w:pPr>
        <w:autoSpaceDE w:val="0"/>
        <w:autoSpaceDN w:val="0"/>
        <w:adjustRightInd w:val="0"/>
        <w:ind w:left="709" w:hanging="709"/>
        <w:rPr>
          <w:rFonts w:cs="Arial"/>
          <w:szCs w:val="22"/>
        </w:rPr>
      </w:pPr>
      <w:r>
        <w:rPr>
          <w:rFonts w:cs="Arial"/>
          <w:szCs w:val="22"/>
        </w:rPr>
        <w:t>5.</w:t>
      </w:r>
      <w:r w:rsidR="00902721">
        <w:rPr>
          <w:rFonts w:cs="Arial"/>
          <w:szCs w:val="22"/>
        </w:rPr>
        <w:t>39</w:t>
      </w:r>
      <w:r>
        <w:rPr>
          <w:rFonts w:cs="Arial"/>
          <w:szCs w:val="22"/>
        </w:rPr>
        <w:tab/>
      </w:r>
      <w:r w:rsidR="00DD4FF9" w:rsidRPr="00AB5218">
        <w:rPr>
          <w:rFonts w:cs="Arial"/>
          <w:szCs w:val="22"/>
        </w:rPr>
        <w:t xml:space="preserve">Inspectors may consider whether appropriate evidence is in place to </w:t>
      </w:r>
      <w:r w:rsidR="000D74A4">
        <w:rPr>
          <w:rFonts w:cs="Arial"/>
          <w:szCs w:val="22"/>
        </w:rPr>
        <w:t>demonstrate</w:t>
      </w:r>
      <w:r w:rsidR="000D74A4" w:rsidRPr="00AB5218">
        <w:rPr>
          <w:rFonts w:cs="Arial"/>
          <w:szCs w:val="22"/>
        </w:rPr>
        <w:t xml:space="preserve"> </w:t>
      </w:r>
      <w:r w:rsidR="00DD4FF9" w:rsidRPr="00AB5218">
        <w:rPr>
          <w:rFonts w:cs="Arial"/>
          <w:szCs w:val="22"/>
        </w:rPr>
        <w:t>that good practice in functional safety engineering for E/E/PE safety systems has been followed. This should include information that shows how a suitable range of design features, techniques and measures have been applied to control and mitigate systematic failures, including those due to EMI.</w:t>
      </w:r>
    </w:p>
    <w:p w14:paraId="246F6BA3" w14:textId="77777777" w:rsidR="009C03FB" w:rsidRDefault="009C03FB" w:rsidP="00F115E1">
      <w:pPr>
        <w:autoSpaceDE w:val="0"/>
        <w:autoSpaceDN w:val="0"/>
        <w:adjustRightInd w:val="0"/>
        <w:ind w:left="709" w:hanging="709"/>
        <w:rPr>
          <w:rFonts w:cs="Arial"/>
          <w:szCs w:val="22"/>
        </w:rPr>
      </w:pPr>
    </w:p>
    <w:p w14:paraId="6181054F" w14:textId="77777777" w:rsidR="009C03FB" w:rsidRDefault="009C03FB" w:rsidP="00F115E1">
      <w:pPr>
        <w:autoSpaceDE w:val="0"/>
        <w:autoSpaceDN w:val="0"/>
        <w:adjustRightInd w:val="0"/>
        <w:ind w:left="709" w:hanging="709"/>
        <w:rPr>
          <w:rFonts w:cs="Arial"/>
          <w:szCs w:val="22"/>
        </w:rPr>
      </w:pPr>
      <w:r>
        <w:rPr>
          <w:rFonts w:cs="Arial"/>
          <w:szCs w:val="22"/>
        </w:rPr>
        <w:t>5.40</w:t>
      </w:r>
      <w:r>
        <w:rPr>
          <w:rFonts w:cs="Arial"/>
          <w:szCs w:val="22"/>
        </w:rPr>
        <w:tab/>
      </w:r>
      <w:r w:rsidRPr="009C03FB">
        <w:rPr>
          <w:rFonts w:cs="Arial"/>
          <w:szCs w:val="22"/>
        </w:rPr>
        <w:t>These measures, as part of a claim for electromagnetic resilience, should include as appropriate:</w:t>
      </w:r>
    </w:p>
    <w:p w14:paraId="2DB59146" w14:textId="77777777" w:rsidR="00DD4FF9" w:rsidRDefault="00DD4FF9" w:rsidP="00DD4FF9">
      <w:pPr>
        <w:autoSpaceDE w:val="0"/>
        <w:autoSpaceDN w:val="0"/>
        <w:adjustRightInd w:val="0"/>
        <w:ind w:left="720"/>
        <w:rPr>
          <w:rFonts w:cs="Arial"/>
          <w:szCs w:val="22"/>
        </w:rPr>
      </w:pPr>
    </w:p>
    <w:p w14:paraId="299301A6" w14:textId="77777777" w:rsidR="00DD4FF9" w:rsidRPr="00AB5218" w:rsidRDefault="00DD4FF9" w:rsidP="00DD4FF9">
      <w:pPr>
        <w:pStyle w:val="TSBullet1Square"/>
        <w:rPr>
          <w:rFonts w:cs="Arial"/>
          <w:szCs w:val="22"/>
        </w:rPr>
      </w:pPr>
      <w:r w:rsidRPr="00AB5218">
        <w:rPr>
          <w:rFonts w:cs="Arial"/>
          <w:szCs w:val="22"/>
        </w:rPr>
        <w:t>Segregation of cable routing and equipment (see SAP EDR.2).</w:t>
      </w:r>
    </w:p>
    <w:p w14:paraId="07B30145" w14:textId="77777777" w:rsidR="00DD4FF9" w:rsidRPr="00AB5218" w:rsidRDefault="00DD4FF9" w:rsidP="00DD4FF9">
      <w:pPr>
        <w:pStyle w:val="TSBullet1Square"/>
        <w:numPr>
          <w:ilvl w:val="0"/>
          <w:numId w:val="0"/>
        </w:numPr>
        <w:ind w:left="1440"/>
        <w:rPr>
          <w:rFonts w:cs="Arial"/>
          <w:szCs w:val="22"/>
        </w:rPr>
      </w:pPr>
    </w:p>
    <w:p w14:paraId="79445DE0" w14:textId="77777777" w:rsidR="00DD4FF9" w:rsidRPr="00AB5218" w:rsidRDefault="00DD4FF9" w:rsidP="00DD4FF9">
      <w:pPr>
        <w:pStyle w:val="TSBullet1Square"/>
        <w:rPr>
          <w:rFonts w:cs="Arial"/>
          <w:szCs w:val="22"/>
        </w:rPr>
      </w:pPr>
      <w:r w:rsidRPr="00AB5218">
        <w:rPr>
          <w:rFonts w:cs="Arial"/>
          <w:szCs w:val="22"/>
        </w:rPr>
        <w:t>Diversity to minimise potential common cause failures (see SAPs EDR.3 and ESS.22).</w:t>
      </w:r>
    </w:p>
    <w:p w14:paraId="4ED241DA" w14:textId="77777777" w:rsidR="00DD4FF9" w:rsidRPr="00AB5218" w:rsidRDefault="00DD4FF9" w:rsidP="00DD4FF9">
      <w:pPr>
        <w:pStyle w:val="TSBullet1Square"/>
        <w:numPr>
          <w:ilvl w:val="0"/>
          <w:numId w:val="0"/>
        </w:numPr>
        <w:rPr>
          <w:rFonts w:cs="Arial"/>
          <w:szCs w:val="22"/>
        </w:rPr>
      </w:pPr>
    </w:p>
    <w:p w14:paraId="73351C30" w14:textId="77777777" w:rsidR="00DD4FF9" w:rsidRPr="00AB5218" w:rsidRDefault="00DD4FF9" w:rsidP="00DD4FF9">
      <w:pPr>
        <w:pStyle w:val="TSBullet1Square"/>
        <w:rPr>
          <w:rFonts w:cs="Arial"/>
          <w:szCs w:val="22"/>
        </w:rPr>
      </w:pPr>
      <w:r w:rsidRPr="003318BC">
        <w:rPr>
          <w:rFonts w:cs="Arial"/>
          <w:szCs w:val="22"/>
        </w:rPr>
        <w:t>Shielding</w:t>
      </w:r>
      <w:r w:rsidRPr="00AB5218">
        <w:rPr>
          <w:rFonts w:cs="Arial"/>
          <w:szCs w:val="22"/>
        </w:rPr>
        <w:t xml:space="preserve"> (see SAPs ESS.18 and EDR.2).</w:t>
      </w:r>
    </w:p>
    <w:p w14:paraId="57874F07" w14:textId="77777777" w:rsidR="00DD4FF9" w:rsidRPr="00AB5218" w:rsidRDefault="00DD4FF9" w:rsidP="00DD4FF9">
      <w:pPr>
        <w:pStyle w:val="TSBullet1Square"/>
        <w:numPr>
          <w:ilvl w:val="0"/>
          <w:numId w:val="0"/>
        </w:numPr>
        <w:rPr>
          <w:rFonts w:cs="Arial"/>
          <w:szCs w:val="22"/>
        </w:rPr>
      </w:pPr>
    </w:p>
    <w:p w14:paraId="7CEFA777" w14:textId="77777777" w:rsidR="00456559" w:rsidRDefault="00DD4FF9" w:rsidP="00724B98">
      <w:pPr>
        <w:pStyle w:val="TSBullet1Square"/>
        <w:rPr>
          <w:rFonts w:cs="Arial"/>
          <w:szCs w:val="22"/>
        </w:rPr>
      </w:pPr>
      <w:r w:rsidRPr="003318BC">
        <w:rPr>
          <w:rFonts w:cs="Arial"/>
          <w:szCs w:val="22"/>
        </w:rPr>
        <w:t xml:space="preserve">Earthing, </w:t>
      </w:r>
      <w:proofErr w:type="gramStart"/>
      <w:r w:rsidRPr="003318BC">
        <w:rPr>
          <w:rFonts w:cs="Arial"/>
          <w:szCs w:val="22"/>
        </w:rPr>
        <w:t>bonding</w:t>
      </w:r>
      <w:proofErr w:type="gramEnd"/>
      <w:r w:rsidRPr="003318BC">
        <w:rPr>
          <w:rFonts w:cs="Arial"/>
          <w:szCs w:val="22"/>
        </w:rPr>
        <w:t xml:space="preserve"> and adoption of sound installation practices</w:t>
      </w:r>
      <w:r w:rsidR="006418EB">
        <w:rPr>
          <w:rFonts w:cs="Arial"/>
          <w:szCs w:val="22"/>
        </w:rPr>
        <w:t xml:space="preserve"> </w:t>
      </w:r>
      <w:r w:rsidRPr="00456559">
        <w:rPr>
          <w:rFonts w:cs="Arial"/>
          <w:szCs w:val="22"/>
        </w:rPr>
        <w:t>(see SAP ESS.10).</w:t>
      </w:r>
    </w:p>
    <w:p w14:paraId="10F87DF7" w14:textId="77777777" w:rsidR="00096B56" w:rsidRDefault="00096B56" w:rsidP="0099322C">
      <w:pPr>
        <w:pStyle w:val="TSBullet1Square"/>
        <w:numPr>
          <w:ilvl w:val="0"/>
          <w:numId w:val="0"/>
        </w:numPr>
        <w:rPr>
          <w:rFonts w:cs="Arial"/>
          <w:szCs w:val="22"/>
        </w:rPr>
      </w:pPr>
    </w:p>
    <w:p w14:paraId="2805186A" w14:textId="77777777" w:rsidR="00CE6A25" w:rsidRPr="00456559" w:rsidRDefault="005B680A" w:rsidP="001B78B2">
      <w:pPr>
        <w:pStyle w:val="TSBullet1Square"/>
        <w:rPr>
          <w:rFonts w:cs="Arial"/>
          <w:szCs w:val="22"/>
        </w:rPr>
      </w:pPr>
      <w:r>
        <w:rPr>
          <w:rFonts w:cs="Arial"/>
          <w:szCs w:val="22"/>
        </w:rPr>
        <w:t>L</w:t>
      </w:r>
      <w:r w:rsidR="003318BC">
        <w:rPr>
          <w:rFonts w:cs="Arial"/>
          <w:szCs w:val="22"/>
        </w:rPr>
        <w:t xml:space="preserve">ightning protection </w:t>
      </w:r>
      <w:r w:rsidR="00CE3188">
        <w:rPr>
          <w:rFonts w:cs="Arial"/>
          <w:szCs w:val="22"/>
        </w:rPr>
        <w:t>and</w:t>
      </w:r>
      <w:r w:rsidR="003318BC">
        <w:rPr>
          <w:rFonts w:cs="Arial"/>
          <w:szCs w:val="22"/>
        </w:rPr>
        <w:t xml:space="preserve"> surge protection measures</w:t>
      </w:r>
      <w:r w:rsidR="006418EB">
        <w:rPr>
          <w:rFonts w:cs="Arial"/>
          <w:szCs w:val="22"/>
        </w:rPr>
        <w:t xml:space="preserve"> </w:t>
      </w:r>
      <w:r w:rsidR="00C038BE">
        <w:rPr>
          <w:rFonts w:cs="Arial"/>
          <w:szCs w:val="22"/>
        </w:rPr>
        <w:t>(</w:t>
      </w:r>
      <w:r w:rsidR="003318BC">
        <w:rPr>
          <w:rFonts w:cs="Arial"/>
          <w:szCs w:val="22"/>
        </w:rPr>
        <w:t>see SAP EHA.11 and TAG 13 annex 2)</w:t>
      </w:r>
      <w:r w:rsidR="00CE6A25">
        <w:rPr>
          <w:rFonts w:cs="Arial"/>
          <w:szCs w:val="22"/>
        </w:rPr>
        <w:t>.</w:t>
      </w:r>
    </w:p>
    <w:p w14:paraId="66867060" w14:textId="77777777" w:rsidR="00456559" w:rsidRDefault="00456559" w:rsidP="00456559">
      <w:pPr>
        <w:autoSpaceDE w:val="0"/>
        <w:autoSpaceDN w:val="0"/>
        <w:adjustRightInd w:val="0"/>
        <w:ind w:left="709" w:hanging="709"/>
        <w:rPr>
          <w:rFonts w:cs="Arial"/>
          <w:szCs w:val="22"/>
        </w:rPr>
      </w:pPr>
      <w:r>
        <w:rPr>
          <w:rFonts w:cs="Arial"/>
          <w:szCs w:val="22"/>
        </w:rPr>
        <w:lastRenderedPageBreak/>
        <w:t>5.4</w:t>
      </w:r>
      <w:r w:rsidR="00902721">
        <w:rPr>
          <w:rFonts w:cs="Arial"/>
          <w:szCs w:val="22"/>
        </w:rPr>
        <w:t>1</w:t>
      </w:r>
      <w:r>
        <w:rPr>
          <w:rFonts w:cs="Arial"/>
          <w:szCs w:val="22"/>
        </w:rPr>
        <w:tab/>
      </w:r>
      <w:r w:rsidRPr="00456559">
        <w:rPr>
          <w:rFonts w:cs="Arial"/>
          <w:szCs w:val="22"/>
        </w:rPr>
        <w:t>IEC 61508-2 requires that E/E/PE systems should possess design features that either eliminate their susceptibility to, or otherwise make them tolerant against, environmental stresses, including electromagnetic disturbances.</w:t>
      </w:r>
    </w:p>
    <w:p w14:paraId="4E91F2DC" w14:textId="77777777" w:rsidR="00456559" w:rsidRPr="00456559" w:rsidRDefault="00456559" w:rsidP="00456559">
      <w:pPr>
        <w:autoSpaceDE w:val="0"/>
        <w:autoSpaceDN w:val="0"/>
        <w:adjustRightInd w:val="0"/>
        <w:ind w:left="709" w:hanging="709"/>
        <w:rPr>
          <w:rFonts w:cs="Arial"/>
          <w:szCs w:val="22"/>
        </w:rPr>
      </w:pPr>
    </w:p>
    <w:p w14:paraId="501EAF8C" w14:textId="77777777" w:rsidR="00C40171" w:rsidRPr="007170D6" w:rsidRDefault="000B0E69" w:rsidP="00F115E1">
      <w:pPr>
        <w:autoSpaceDE w:val="0"/>
        <w:autoSpaceDN w:val="0"/>
        <w:adjustRightInd w:val="0"/>
        <w:ind w:left="709" w:hanging="709"/>
        <w:rPr>
          <w:rFonts w:cs="Arial"/>
          <w:szCs w:val="22"/>
        </w:rPr>
      </w:pPr>
      <w:r>
        <w:rPr>
          <w:rFonts w:cs="Arial"/>
          <w:szCs w:val="22"/>
        </w:rPr>
        <w:t>5.4</w:t>
      </w:r>
      <w:r w:rsidR="00902721">
        <w:rPr>
          <w:rFonts w:cs="Arial"/>
          <w:szCs w:val="22"/>
        </w:rPr>
        <w:t>2</w:t>
      </w:r>
      <w:r>
        <w:rPr>
          <w:rFonts w:cs="Arial"/>
          <w:szCs w:val="22"/>
        </w:rPr>
        <w:tab/>
      </w:r>
      <w:r w:rsidR="00694E47">
        <w:rPr>
          <w:rFonts w:cs="Arial"/>
          <w:szCs w:val="22"/>
        </w:rPr>
        <w:t>IEC 6</w:t>
      </w:r>
      <w:r w:rsidR="00DD4FF9" w:rsidRPr="007170D6">
        <w:rPr>
          <w:rFonts w:cs="Arial"/>
          <w:szCs w:val="22"/>
        </w:rPr>
        <w:t xml:space="preserve">1000-1-2 annex B [10] provides guidance on a range of techniques and measures to achieve electromagnetic resilience according to the functional safety requirements. These are considerably expanded and detailed in the </w:t>
      </w:r>
      <w:r w:rsidR="001C0DF6">
        <w:rPr>
          <w:rFonts w:cs="Arial"/>
          <w:szCs w:val="22"/>
        </w:rPr>
        <w:t>IET CoP for electromagnetic resilience</w:t>
      </w:r>
      <w:r w:rsidR="00D2292E">
        <w:rPr>
          <w:rFonts w:cs="Arial"/>
          <w:szCs w:val="22"/>
        </w:rPr>
        <w:t xml:space="preserve"> </w:t>
      </w:r>
      <w:r w:rsidR="00DD4FF9" w:rsidRPr="007170D6">
        <w:rPr>
          <w:rFonts w:cs="Arial"/>
          <w:szCs w:val="22"/>
        </w:rPr>
        <w:t>[17].</w:t>
      </w:r>
      <w:r w:rsidR="007170D6" w:rsidRPr="007170D6">
        <w:rPr>
          <w:rFonts w:cs="Arial"/>
          <w:szCs w:val="22"/>
        </w:rPr>
        <w:t xml:space="preserve">  </w:t>
      </w:r>
      <w:r w:rsidR="00C40171" w:rsidRPr="007170D6">
        <w:rPr>
          <w:rFonts w:cs="Arial"/>
          <w:szCs w:val="22"/>
        </w:rPr>
        <w:t>For example, evidence of electromagnetically diverse hardware</w:t>
      </w:r>
      <w:r w:rsidR="007170D6" w:rsidRPr="007170D6">
        <w:rPr>
          <w:rFonts w:cs="Arial"/>
          <w:szCs w:val="22"/>
        </w:rPr>
        <w:t xml:space="preserve"> and</w:t>
      </w:r>
      <w:r w:rsidR="00C40171" w:rsidRPr="007170D6">
        <w:rPr>
          <w:rFonts w:cs="Arial"/>
          <w:szCs w:val="22"/>
        </w:rPr>
        <w:t xml:space="preserve"> error detection and correction techniques may support electromagnetic resilience claims. </w:t>
      </w:r>
    </w:p>
    <w:p w14:paraId="44416E98" w14:textId="77777777" w:rsidR="00221258" w:rsidRPr="00AB5218" w:rsidRDefault="00221258" w:rsidP="00221258">
      <w:pPr>
        <w:pStyle w:val="TSNumberedParagraph11"/>
        <w:spacing w:after="0"/>
        <w:ind w:left="720"/>
        <w:rPr>
          <w:rFonts w:cs="Arial"/>
          <w:szCs w:val="22"/>
        </w:rPr>
      </w:pPr>
    </w:p>
    <w:p w14:paraId="1D3C83CE" w14:textId="77777777" w:rsidR="00221258" w:rsidRPr="00AB5218" w:rsidRDefault="00221258" w:rsidP="00221258">
      <w:pPr>
        <w:pStyle w:val="TSNumberedParagraph11"/>
        <w:numPr>
          <w:ilvl w:val="0"/>
          <w:numId w:val="33"/>
        </w:numPr>
        <w:spacing w:after="0"/>
        <w:rPr>
          <w:rFonts w:cs="Arial"/>
          <w:b/>
          <w:szCs w:val="22"/>
        </w:rPr>
      </w:pPr>
      <w:r w:rsidRPr="00AB5218">
        <w:rPr>
          <w:rFonts w:cs="Arial"/>
          <w:b/>
          <w:szCs w:val="22"/>
        </w:rPr>
        <w:t xml:space="preserve">Use of appropriate additional practices, </w:t>
      </w:r>
      <w:proofErr w:type="gramStart"/>
      <w:r w:rsidRPr="00AB5218">
        <w:rPr>
          <w:rFonts w:cs="Arial"/>
          <w:b/>
          <w:szCs w:val="22"/>
        </w:rPr>
        <w:t>techniques</w:t>
      </w:r>
      <w:proofErr w:type="gramEnd"/>
      <w:r w:rsidRPr="00AB5218">
        <w:rPr>
          <w:rFonts w:cs="Arial"/>
          <w:b/>
          <w:szCs w:val="22"/>
        </w:rPr>
        <w:t xml:space="preserve"> and measures to ensure risks remain </w:t>
      </w:r>
      <w:r w:rsidR="00B5314D">
        <w:rPr>
          <w:rFonts w:cs="Arial"/>
          <w:b/>
          <w:szCs w:val="22"/>
        </w:rPr>
        <w:t>ALARP</w:t>
      </w:r>
      <w:r w:rsidR="00D45E44">
        <w:rPr>
          <w:rFonts w:cs="Arial"/>
          <w:b/>
          <w:szCs w:val="22"/>
        </w:rPr>
        <w:t>.</w:t>
      </w:r>
    </w:p>
    <w:p w14:paraId="35992D5C" w14:textId="77777777" w:rsidR="00221258" w:rsidRPr="00AB5218" w:rsidRDefault="00221258" w:rsidP="00221258">
      <w:pPr>
        <w:pStyle w:val="TSNumberedParagraph11"/>
        <w:spacing w:after="0"/>
        <w:ind w:left="720"/>
        <w:rPr>
          <w:rFonts w:cs="Arial"/>
          <w:szCs w:val="22"/>
        </w:rPr>
      </w:pPr>
    </w:p>
    <w:p w14:paraId="506DECC0" w14:textId="77777777" w:rsidR="00221258" w:rsidRPr="00AB5218" w:rsidRDefault="000B0E69" w:rsidP="00F115E1">
      <w:pPr>
        <w:autoSpaceDE w:val="0"/>
        <w:autoSpaceDN w:val="0"/>
        <w:adjustRightInd w:val="0"/>
        <w:ind w:left="709" w:hanging="709"/>
        <w:rPr>
          <w:rFonts w:cs="Arial"/>
          <w:szCs w:val="22"/>
        </w:rPr>
      </w:pPr>
      <w:r>
        <w:rPr>
          <w:rFonts w:cs="Arial"/>
          <w:szCs w:val="22"/>
        </w:rPr>
        <w:t>5.4</w:t>
      </w:r>
      <w:r w:rsidR="00902721">
        <w:rPr>
          <w:rFonts w:cs="Arial"/>
          <w:szCs w:val="22"/>
        </w:rPr>
        <w:t>3</w:t>
      </w:r>
      <w:r>
        <w:rPr>
          <w:rFonts w:cs="Arial"/>
          <w:szCs w:val="22"/>
        </w:rPr>
        <w:tab/>
      </w:r>
      <w:r w:rsidR="00221258" w:rsidRPr="00AB5218">
        <w:rPr>
          <w:rFonts w:cs="Arial"/>
          <w:szCs w:val="22"/>
        </w:rPr>
        <w:t xml:space="preserve">A suitable range of additional practices, techniques and measures should be identified and applied </w:t>
      </w:r>
      <w:proofErr w:type="gramStart"/>
      <w:r w:rsidR="00221258" w:rsidRPr="00AB5218">
        <w:rPr>
          <w:rFonts w:cs="Arial"/>
          <w:szCs w:val="22"/>
        </w:rPr>
        <w:t>in order to</w:t>
      </w:r>
      <w:proofErr w:type="gramEnd"/>
      <w:r w:rsidR="00221258" w:rsidRPr="00AB5218">
        <w:rPr>
          <w:rFonts w:cs="Arial"/>
          <w:szCs w:val="22"/>
        </w:rPr>
        <w:t xml:space="preserve"> ensure risks remain </w:t>
      </w:r>
      <w:r w:rsidR="00B5314D">
        <w:rPr>
          <w:rFonts w:cs="Arial"/>
          <w:szCs w:val="22"/>
        </w:rPr>
        <w:t xml:space="preserve">ALARP </w:t>
      </w:r>
      <w:r w:rsidR="00221258" w:rsidRPr="00AB5218">
        <w:rPr>
          <w:rFonts w:cs="Arial"/>
          <w:szCs w:val="22"/>
        </w:rPr>
        <w:t xml:space="preserve">throughout the safety system’s lifecycle. These will typically consist of approaches </w:t>
      </w:r>
      <w:r w:rsidR="00221258" w:rsidRPr="0070325A">
        <w:rPr>
          <w:rFonts w:cs="Arial"/>
          <w:szCs w:val="22"/>
        </w:rPr>
        <w:t xml:space="preserve">that mitigate the risk or impact </w:t>
      </w:r>
      <w:r w:rsidR="0070325A" w:rsidRPr="0070325A">
        <w:rPr>
          <w:rFonts w:cs="Arial"/>
          <w:szCs w:val="22"/>
        </w:rPr>
        <w:t xml:space="preserve">of </w:t>
      </w:r>
      <w:r w:rsidR="00221258" w:rsidRPr="0070325A">
        <w:rPr>
          <w:rFonts w:cs="Arial"/>
          <w:szCs w:val="22"/>
        </w:rPr>
        <w:t>EMI on safety, including control of the environment and</w:t>
      </w:r>
      <w:r w:rsidR="00221258" w:rsidRPr="00AB5218">
        <w:rPr>
          <w:rFonts w:cs="Arial"/>
          <w:szCs w:val="22"/>
        </w:rPr>
        <w:t xml:space="preserve"> periodic testing and maintenance of the system and associated equipment (</w:t>
      </w:r>
      <w:proofErr w:type="gramStart"/>
      <w:r w:rsidR="00221258" w:rsidRPr="00AB5218">
        <w:rPr>
          <w:rFonts w:cs="Arial"/>
          <w:szCs w:val="22"/>
        </w:rPr>
        <w:t>e.g.</w:t>
      </w:r>
      <w:proofErr w:type="gramEnd"/>
      <w:r w:rsidR="00221258" w:rsidRPr="00AB5218">
        <w:rPr>
          <w:rFonts w:cs="Arial"/>
          <w:szCs w:val="22"/>
        </w:rPr>
        <w:t xml:space="preserve"> enclosures or filters etc.).</w:t>
      </w:r>
    </w:p>
    <w:p w14:paraId="242062C9" w14:textId="77777777" w:rsidR="00221258" w:rsidRPr="00AB5218" w:rsidRDefault="00221258" w:rsidP="00221258">
      <w:pPr>
        <w:pStyle w:val="TSNumberedParagraph11"/>
        <w:spacing w:after="0"/>
        <w:ind w:left="720"/>
        <w:rPr>
          <w:rFonts w:cs="Arial"/>
          <w:szCs w:val="22"/>
        </w:rPr>
      </w:pPr>
    </w:p>
    <w:p w14:paraId="097A751E" w14:textId="77777777" w:rsidR="00221258" w:rsidRPr="00AB5218" w:rsidRDefault="000B0E69" w:rsidP="00F115E1">
      <w:pPr>
        <w:autoSpaceDE w:val="0"/>
        <w:autoSpaceDN w:val="0"/>
        <w:adjustRightInd w:val="0"/>
        <w:ind w:left="709" w:hanging="709"/>
        <w:rPr>
          <w:rFonts w:cs="Arial"/>
          <w:szCs w:val="22"/>
        </w:rPr>
      </w:pPr>
      <w:r>
        <w:rPr>
          <w:rFonts w:cs="Arial"/>
          <w:szCs w:val="22"/>
        </w:rPr>
        <w:t>5.4</w:t>
      </w:r>
      <w:r w:rsidR="00902721">
        <w:rPr>
          <w:rFonts w:cs="Arial"/>
          <w:szCs w:val="22"/>
        </w:rPr>
        <w:t>4</w:t>
      </w:r>
      <w:r>
        <w:rPr>
          <w:rFonts w:cs="Arial"/>
          <w:szCs w:val="22"/>
        </w:rPr>
        <w:tab/>
      </w:r>
      <w:r w:rsidR="00221258" w:rsidRPr="00AB5218">
        <w:rPr>
          <w:rFonts w:cs="Arial"/>
          <w:szCs w:val="22"/>
        </w:rPr>
        <w:t>Licensees should be able to show that an adequate approach is taken to ensure the electromagnetic resilience and compatibility of safety systems will be maintained throughout their lifetime.</w:t>
      </w:r>
      <w:r w:rsidR="00B2688B" w:rsidRPr="00B2688B">
        <w:t xml:space="preserve"> </w:t>
      </w:r>
      <w:r w:rsidR="00B2688B" w:rsidRPr="00B2688B">
        <w:rPr>
          <w:rFonts w:cs="Arial"/>
          <w:szCs w:val="22"/>
        </w:rPr>
        <w:t>IEC</w:t>
      </w:r>
      <w:r w:rsidR="00694E47">
        <w:rPr>
          <w:rFonts w:cs="Arial"/>
          <w:szCs w:val="22"/>
        </w:rPr>
        <w:t xml:space="preserve"> </w:t>
      </w:r>
      <w:r w:rsidR="00B2688B" w:rsidRPr="00B2688B">
        <w:rPr>
          <w:rFonts w:cs="Arial"/>
          <w:szCs w:val="22"/>
        </w:rPr>
        <w:t xml:space="preserve">61000-1-2 annex B [10] provides guidance on a range of techniques and measures to achieve electromagnetic resilience according to functional safety requirements. These </w:t>
      </w:r>
      <w:r w:rsidR="00017A92" w:rsidRPr="00B2688B">
        <w:rPr>
          <w:rFonts w:cs="Arial"/>
          <w:szCs w:val="22"/>
        </w:rPr>
        <w:t>are considerably</w:t>
      </w:r>
      <w:r w:rsidR="00B2688B" w:rsidRPr="00B2688B">
        <w:rPr>
          <w:rFonts w:cs="Arial"/>
          <w:szCs w:val="22"/>
        </w:rPr>
        <w:t xml:space="preserve"> expanded and detailed in the </w:t>
      </w:r>
      <w:r w:rsidR="001C0DF6">
        <w:rPr>
          <w:rFonts w:cs="Arial"/>
          <w:szCs w:val="22"/>
        </w:rPr>
        <w:t>IET CoP for electromagnetic resilience</w:t>
      </w:r>
      <w:r w:rsidR="00B2688B" w:rsidRPr="00B2688B">
        <w:rPr>
          <w:rFonts w:cs="Arial"/>
          <w:szCs w:val="22"/>
        </w:rPr>
        <w:t xml:space="preserve"> [17]</w:t>
      </w:r>
      <w:r w:rsidR="00221258" w:rsidRPr="00AB5218">
        <w:rPr>
          <w:rFonts w:cs="Arial"/>
          <w:szCs w:val="22"/>
        </w:rPr>
        <w:t>.</w:t>
      </w:r>
    </w:p>
    <w:p w14:paraId="39EBA6F0" w14:textId="77777777" w:rsidR="00221258" w:rsidRPr="00AB5218" w:rsidRDefault="00221258" w:rsidP="00221258">
      <w:pPr>
        <w:pStyle w:val="ListParagraph"/>
        <w:rPr>
          <w:rFonts w:cs="Arial"/>
          <w:szCs w:val="22"/>
        </w:rPr>
      </w:pPr>
    </w:p>
    <w:p w14:paraId="20701104" w14:textId="77777777" w:rsidR="00661655" w:rsidRPr="00AB5218" w:rsidRDefault="000B0E69" w:rsidP="00F115E1">
      <w:pPr>
        <w:autoSpaceDE w:val="0"/>
        <w:autoSpaceDN w:val="0"/>
        <w:adjustRightInd w:val="0"/>
        <w:rPr>
          <w:rFonts w:cs="Arial"/>
          <w:szCs w:val="22"/>
        </w:rPr>
      </w:pPr>
      <w:r>
        <w:rPr>
          <w:rFonts w:cs="Arial"/>
          <w:szCs w:val="22"/>
        </w:rPr>
        <w:t>5.4</w:t>
      </w:r>
      <w:r w:rsidR="00902721">
        <w:rPr>
          <w:rFonts w:cs="Arial"/>
          <w:szCs w:val="22"/>
        </w:rPr>
        <w:t>5</w:t>
      </w:r>
      <w:r>
        <w:rPr>
          <w:rFonts w:cs="Arial"/>
          <w:szCs w:val="22"/>
        </w:rPr>
        <w:tab/>
      </w:r>
      <w:r w:rsidR="00661655" w:rsidRPr="00AB5218">
        <w:rPr>
          <w:rFonts w:cs="Arial"/>
          <w:szCs w:val="22"/>
        </w:rPr>
        <w:t>The approach taken in respect of this criterion should include:</w:t>
      </w:r>
    </w:p>
    <w:p w14:paraId="06499967" w14:textId="77777777" w:rsidR="00661655" w:rsidRPr="00AB5218" w:rsidRDefault="00661655" w:rsidP="00661655">
      <w:pPr>
        <w:pStyle w:val="ListParagraph"/>
        <w:rPr>
          <w:rFonts w:cs="Arial"/>
          <w:szCs w:val="22"/>
        </w:rPr>
      </w:pPr>
    </w:p>
    <w:p w14:paraId="508EBAD1" w14:textId="77777777" w:rsidR="00661655" w:rsidRPr="00AB5218" w:rsidRDefault="00661655" w:rsidP="00C145F1">
      <w:pPr>
        <w:pStyle w:val="TSBullet1Square"/>
        <w:rPr>
          <w:rFonts w:cs="Arial"/>
          <w:szCs w:val="22"/>
        </w:rPr>
      </w:pPr>
      <w:r w:rsidRPr="00AB5218">
        <w:rPr>
          <w:rFonts w:cs="Arial"/>
          <w:szCs w:val="22"/>
        </w:rPr>
        <w:t>Development and implementation of installation and commissioning strategies that adequately address the electromagnetic resilience and compatibility of safety systems.</w:t>
      </w:r>
    </w:p>
    <w:p w14:paraId="0EA1B8D3" w14:textId="77777777" w:rsidR="00C145F1" w:rsidRPr="00AB5218" w:rsidRDefault="00C145F1" w:rsidP="00C145F1">
      <w:pPr>
        <w:pStyle w:val="TSBullet1Square"/>
        <w:numPr>
          <w:ilvl w:val="0"/>
          <w:numId w:val="0"/>
        </w:numPr>
        <w:ind w:left="1440"/>
        <w:rPr>
          <w:rFonts w:cs="Arial"/>
          <w:szCs w:val="22"/>
        </w:rPr>
      </w:pPr>
    </w:p>
    <w:p w14:paraId="6D3C2268" w14:textId="77777777" w:rsidR="00661655" w:rsidRPr="00AB5218" w:rsidRDefault="00661655" w:rsidP="00C145F1">
      <w:pPr>
        <w:pStyle w:val="TSBullet1Square"/>
        <w:rPr>
          <w:rFonts w:cs="Arial"/>
          <w:szCs w:val="22"/>
        </w:rPr>
      </w:pPr>
      <w:r w:rsidRPr="00AB5218">
        <w:rPr>
          <w:rFonts w:cs="Arial"/>
          <w:szCs w:val="22"/>
        </w:rPr>
        <w:t>Implementation of maintenance arrangements that demonstrate how impact on electromagnetic interference performance is managed to maintain adequate performance of safety systems throughout the lifecycle (</w:t>
      </w:r>
      <w:proofErr w:type="gramStart"/>
      <w:r w:rsidRPr="00AB5218">
        <w:rPr>
          <w:rFonts w:cs="Arial"/>
          <w:szCs w:val="22"/>
        </w:rPr>
        <w:t>e.g.</w:t>
      </w:r>
      <w:proofErr w:type="gramEnd"/>
      <w:r w:rsidRPr="00AB5218">
        <w:rPr>
          <w:rFonts w:cs="Arial"/>
          <w:szCs w:val="22"/>
        </w:rPr>
        <w:t xml:space="preserve"> proof testing, investigation of failures, maintenance of filters</w:t>
      </w:r>
      <w:r w:rsidR="003871A7">
        <w:rPr>
          <w:rFonts w:cs="Arial"/>
          <w:szCs w:val="22"/>
        </w:rPr>
        <w:t xml:space="preserve"> and earthing connections</w:t>
      </w:r>
      <w:r w:rsidRPr="00AB5218">
        <w:rPr>
          <w:rFonts w:cs="Arial"/>
          <w:szCs w:val="22"/>
        </w:rPr>
        <w:t>, enclosures etc.) (</w:t>
      </w:r>
      <w:r w:rsidR="00E67EB6">
        <w:rPr>
          <w:rFonts w:cs="Arial"/>
          <w:szCs w:val="22"/>
        </w:rPr>
        <w:t xml:space="preserve">see SAPs </w:t>
      </w:r>
      <w:r w:rsidRPr="00AB5218">
        <w:rPr>
          <w:rFonts w:cs="Arial"/>
          <w:szCs w:val="22"/>
        </w:rPr>
        <w:t>EMT.1, EMT.2)</w:t>
      </w:r>
      <w:r w:rsidR="005B680A">
        <w:rPr>
          <w:rFonts w:cs="Arial"/>
          <w:szCs w:val="22"/>
        </w:rPr>
        <w:t>.</w:t>
      </w:r>
      <w:r w:rsidRPr="00AB5218">
        <w:rPr>
          <w:rFonts w:cs="Arial"/>
          <w:szCs w:val="22"/>
        </w:rPr>
        <w:t xml:space="preserve">  </w:t>
      </w:r>
    </w:p>
    <w:p w14:paraId="3700F2FB" w14:textId="77777777" w:rsidR="00C145F1" w:rsidRPr="00AB5218" w:rsidRDefault="00C145F1" w:rsidP="00C145F1">
      <w:pPr>
        <w:pStyle w:val="TSBullet1Square"/>
        <w:numPr>
          <w:ilvl w:val="0"/>
          <w:numId w:val="0"/>
        </w:numPr>
        <w:rPr>
          <w:rFonts w:cs="Arial"/>
          <w:szCs w:val="22"/>
        </w:rPr>
      </w:pPr>
    </w:p>
    <w:p w14:paraId="3A76631F" w14:textId="77777777" w:rsidR="00661655" w:rsidRPr="00AB5218" w:rsidRDefault="00661655" w:rsidP="00C145F1">
      <w:pPr>
        <w:pStyle w:val="TSBullet1Square"/>
        <w:rPr>
          <w:rFonts w:cs="Arial"/>
          <w:szCs w:val="22"/>
        </w:rPr>
      </w:pPr>
      <w:r w:rsidRPr="00AB5218">
        <w:rPr>
          <w:rFonts w:cs="Arial"/>
          <w:szCs w:val="22"/>
        </w:rPr>
        <w:t>Control and monitoring of the electromagnetic environment (</w:t>
      </w:r>
      <w:proofErr w:type="gramStart"/>
      <w:r w:rsidRPr="00AB5218">
        <w:rPr>
          <w:rFonts w:cs="Arial"/>
          <w:szCs w:val="22"/>
        </w:rPr>
        <w:t>e.g.</w:t>
      </w:r>
      <w:proofErr w:type="gramEnd"/>
      <w:r w:rsidRPr="00AB5218">
        <w:rPr>
          <w:rFonts w:cs="Arial"/>
          <w:szCs w:val="22"/>
        </w:rPr>
        <w:t xml:space="preserve"> by measures excluding potential sources of EMI from the facility, or monitoring the electromagnetic environment in the facility)</w:t>
      </w:r>
      <w:r w:rsidRPr="00AB5218">
        <w:rPr>
          <w:rFonts w:cs="Arial"/>
          <w:b/>
          <w:szCs w:val="22"/>
        </w:rPr>
        <w:t xml:space="preserve"> </w:t>
      </w:r>
      <w:r w:rsidRPr="00AB5218">
        <w:rPr>
          <w:rFonts w:cs="Arial"/>
          <w:szCs w:val="22"/>
        </w:rPr>
        <w:t>(</w:t>
      </w:r>
      <w:r w:rsidR="005B680A">
        <w:rPr>
          <w:rFonts w:cs="Arial"/>
          <w:szCs w:val="22"/>
        </w:rPr>
        <w:t>s</w:t>
      </w:r>
      <w:r w:rsidR="005B680A" w:rsidRPr="00AB5218">
        <w:rPr>
          <w:rFonts w:cs="Arial"/>
          <w:szCs w:val="22"/>
        </w:rPr>
        <w:t xml:space="preserve">ee </w:t>
      </w:r>
      <w:r w:rsidR="00E67EB6">
        <w:rPr>
          <w:rFonts w:cs="Arial"/>
          <w:szCs w:val="22"/>
        </w:rPr>
        <w:t xml:space="preserve">SAP </w:t>
      </w:r>
      <w:r w:rsidRPr="00AB5218">
        <w:rPr>
          <w:rFonts w:cs="Arial"/>
          <w:szCs w:val="22"/>
        </w:rPr>
        <w:t>ESS.12)</w:t>
      </w:r>
      <w:r w:rsidR="005B680A">
        <w:rPr>
          <w:rFonts w:cs="Arial"/>
          <w:szCs w:val="22"/>
        </w:rPr>
        <w:t>.</w:t>
      </w:r>
    </w:p>
    <w:p w14:paraId="6AC5713A" w14:textId="77777777" w:rsidR="00C145F1" w:rsidRPr="00AB5218" w:rsidRDefault="00C145F1" w:rsidP="00C145F1">
      <w:pPr>
        <w:pStyle w:val="TSBullet1Square"/>
        <w:numPr>
          <w:ilvl w:val="0"/>
          <w:numId w:val="0"/>
        </w:numPr>
        <w:rPr>
          <w:rFonts w:cs="Arial"/>
          <w:szCs w:val="22"/>
        </w:rPr>
      </w:pPr>
    </w:p>
    <w:p w14:paraId="3395BD86" w14:textId="77777777" w:rsidR="00661655" w:rsidRPr="00BA453C" w:rsidRDefault="00661655" w:rsidP="00C145F1">
      <w:pPr>
        <w:pStyle w:val="TSBullet1Square"/>
        <w:rPr>
          <w:rFonts w:cs="Arial"/>
          <w:szCs w:val="22"/>
        </w:rPr>
      </w:pPr>
      <w:r w:rsidRPr="00AB5218">
        <w:rPr>
          <w:rFonts w:cs="Arial"/>
          <w:szCs w:val="22"/>
        </w:rPr>
        <w:t>An adequate approach to management of changes or additions to the facility, its equipment or operation</w:t>
      </w:r>
      <w:r w:rsidR="003871A7">
        <w:rPr>
          <w:rFonts w:cs="Arial"/>
          <w:szCs w:val="22"/>
        </w:rPr>
        <w:t xml:space="preserve"> should be in place, including for temporary changes</w:t>
      </w:r>
      <w:r w:rsidRPr="00AB5218">
        <w:rPr>
          <w:rFonts w:cs="Arial"/>
          <w:szCs w:val="22"/>
        </w:rPr>
        <w:t xml:space="preserve">. Changes should be controlled </w:t>
      </w:r>
      <w:proofErr w:type="gramStart"/>
      <w:r w:rsidRPr="00AB5218">
        <w:rPr>
          <w:rFonts w:cs="Arial"/>
          <w:szCs w:val="22"/>
        </w:rPr>
        <w:t>in order to</w:t>
      </w:r>
      <w:proofErr w:type="gramEnd"/>
      <w:r w:rsidRPr="00AB5218">
        <w:rPr>
          <w:rFonts w:cs="Arial"/>
          <w:szCs w:val="22"/>
        </w:rPr>
        <w:t xml:space="preserve"> demonstrate that risks to safety arising from EMI are controlled, so far as is reasonably practicable</w:t>
      </w:r>
      <w:r w:rsidR="005B680A">
        <w:rPr>
          <w:rFonts w:cs="Arial"/>
          <w:szCs w:val="22"/>
        </w:rPr>
        <w:t xml:space="preserve"> </w:t>
      </w:r>
      <w:r w:rsidRPr="00BA453C">
        <w:rPr>
          <w:rFonts w:cs="Arial"/>
          <w:szCs w:val="22"/>
        </w:rPr>
        <w:t>(</w:t>
      </w:r>
      <w:r w:rsidR="005B680A">
        <w:rPr>
          <w:rFonts w:cs="Arial"/>
          <w:szCs w:val="22"/>
        </w:rPr>
        <w:t>s</w:t>
      </w:r>
      <w:r w:rsidRPr="00BA453C">
        <w:rPr>
          <w:rFonts w:cs="Arial"/>
          <w:szCs w:val="22"/>
        </w:rPr>
        <w:t xml:space="preserve">ee SAP </w:t>
      </w:r>
      <w:r w:rsidR="00E67EB6" w:rsidRPr="00BA453C">
        <w:rPr>
          <w:rFonts w:cs="Arial"/>
          <w:szCs w:val="22"/>
        </w:rPr>
        <w:t>MS.1</w:t>
      </w:r>
      <w:r w:rsidRPr="00BA453C">
        <w:rPr>
          <w:rFonts w:cs="Arial"/>
          <w:szCs w:val="22"/>
        </w:rPr>
        <w:t>)</w:t>
      </w:r>
    </w:p>
    <w:p w14:paraId="12949679" w14:textId="77777777" w:rsidR="00581F3F" w:rsidRPr="00AB5218" w:rsidRDefault="00581F3F" w:rsidP="00740896">
      <w:pPr>
        <w:pStyle w:val="ListParagraph"/>
        <w:rPr>
          <w:rFonts w:cs="Arial"/>
          <w:b/>
          <w:szCs w:val="22"/>
          <w:u w:val="single"/>
        </w:rPr>
      </w:pPr>
      <w:r w:rsidRPr="00AB5218">
        <w:rPr>
          <w:rFonts w:cs="Arial"/>
          <w:b/>
          <w:szCs w:val="22"/>
          <w:u w:val="single"/>
        </w:rPr>
        <w:t>E/E/PE safety-related systems</w:t>
      </w:r>
      <w:r>
        <w:rPr>
          <w:rFonts w:cs="Arial"/>
          <w:b/>
          <w:szCs w:val="22"/>
          <w:u w:val="single"/>
        </w:rPr>
        <w:t xml:space="preserve"> or</w:t>
      </w:r>
      <w:r w:rsidRPr="00AB5218">
        <w:rPr>
          <w:rFonts w:cs="Arial"/>
          <w:b/>
          <w:szCs w:val="22"/>
          <w:u w:val="single"/>
        </w:rPr>
        <w:t xml:space="preserve"> systems with a limited contribution to safety</w:t>
      </w:r>
    </w:p>
    <w:p w14:paraId="695D5CCC" w14:textId="77777777" w:rsidR="00581F3F" w:rsidRPr="00AB5218" w:rsidRDefault="00581F3F" w:rsidP="00581F3F">
      <w:pPr>
        <w:pStyle w:val="TSNumberedParagraph11"/>
        <w:spacing w:after="0"/>
        <w:ind w:left="720"/>
        <w:rPr>
          <w:rFonts w:cs="Arial"/>
          <w:szCs w:val="22"/>
        </w:rPr>
      </w:pPr>
    </w:p>
    <w:p w14:paraId="3DBDEAD5" w14:textId="77777777" w:rsidR="00581F3F" w:rsidRPr="00581F3F" w:rsidRDefault="000B0E69" w:rsidP="00F115E1">
      <w:pPr>
        <w:autoSpaceDE w:val="0"/>
        <w:autoSpaceDN w:val="0"/>
        <w:adjustRightInd w:val="0"/>
        <w:ind w:left="709" w:hanging="709"/>
        <w:rPr>
          <w:rFonts w:cs="Arial"/>
          <w:szCs w:val="22"/>
        </w:rPr>
      </w:pPr>
      <w:r>
        <w:rPr>
          <w:rFonts w:cs="Arial"/>
          <w:szCs w:val="22"/>
        </w:rPr>
        <w:t>5.4</w:t>
      </w:r>
      <w:r w:rsidR="00902721">
        <w:rPr>
          <w:rFonts w:cs="Arial"/>
          <w:szCs w:val="22"/>
        </w:rPr>
        <w:t>6</w:t>
      </w:r>
      <w:r>
        <w:rPr>
          <w:rFonts w:cs="Arial"/>
          <w:szCs w:val="22"/>
        </w:rPr>
        <w:tab/>
      </w:r>
      <w:r w:rsidR="00581F3F" w:rsidRPr="00581F3F">
        <w:rPr>
          <w:rFonts w:cs="Arial"/>
          <w:szCs w:val="22"/>
        </w:rPr>
        <w:t>For safety-related systems (</w:t>
      </w:r>
      <w:proofErr w:type="gramStart"/>
      <w:r w:rsidR="00581F3F" w:rsidRPr="00581F3F">
        <w:rPr>
          <w:rFonts w:cs="Arial"/>
          <w:szCs w:val="22"/>
        </w:rPr>
        <w:t>i.e.</w:t>
      </w:r>
      <w:proofErr w:type="gramEnd"/>
      <w:r w:rsidR="00581F3F" w:rsidRPr="00581F3F">
        <w:rPr>
          <w:rFonts w:cs="Arial"/>
          <w:szCs w:val="22"/>
        </w:rPr>
        <w:t xml:space="preserve"> for items important to safety that are not part of a safety system), licensees should demonstrate, as a minimum, that EMC engineering requirements and </w:t>
      </w:r>
      <w:r w:rsidR="00B22051">
        <w:rPr>
          <w:rFonts w:cs="Arial"/>
          <w:szCs w:val="22"/>
        </w:rPr>
        <w:t>relevant good practice</w:t>
      </w:r>
      <w:r w:rsidR="00B22051" w:rsidRPr="00581F3F">
        <w:rPr>
          <w:rFonts w:cs="Arial"/>
          <w:szCs w:val="22"/>
        </w:rPr>
        <w:t xml:space="preserve"> </w:t>
      </w:r>
      <w:r w:rsidR="00581F3F" w:rsidRPr="00581F3F">
        <w:rPr>
          <w:rFonts w:cs="Arial"/>
          <w:szCs w:val="22"/>
        </w:rPr>
        <w:t xml:space="preserve">appropriate to the environment and application are met. For these systems, </w:t>
      </w:r>
      <w:r w:rsidR="00FA1D3F">
        <w:rPr>
          <w:rFonts w:cs="Arial"/>
          <w:szCs w:val="22"/>
        </w:rPr>
        <w:t>safety cases</w:t>
      </w:r>
      <w:r w:rsidR="00581F3F" w:rsidRPr="00581F3F">
        <w:rPr>
          <w:rFonts w:cs="Arial"/>
          <w:szCs w:val="22"/>
        </w:rPr>
        <w:t xml:space="preserve"> should take a proportionate </w:t>
      </w:r>
      <w:r w:rsidR="00581F3F" w:rsidRPr="00581F3F">
        <w:rPr>
          <w:rFonts w:cs="Arial"/>
          <w:szCs w:val="22"/>
        </w:rPr>
        <w:lastRenderedPageBreak/>
        <w:t xml:space="preserve">approach </w:t>
      </w:r>
      <w:r w:rsidR="00FA1D3F">
        <w:rPr>
          <w:rFonts w:cs="Arial"/>
          <w:szCs w:val="22"/>
        </w:rPr>
        <w:t>to demonstrate that</w:t>
      </w:r>
      <w:r w:rsidR="00581F3F" w:rsidRPr="00581F3F">
        <w:rPr>
          <w:rFonts w:cs="Arial"/>
          <w:szCs w:val="22"/>
        </w:rPr>
        <w:t xml:space="preserve"> EMI risks are adequately managed </w:t>
      </w:r>
      <w:r w:rsidR="00FA1D3F">
        <w:rPr>
          <w:rFonts w:cs="Arial"/>
          <w:szCs w:val="22"/>
        </w:rPr>
        <w:t>to reduce risks to ALARP (</w:t>
      </w:r>
      <w:proofErr w:type="gramStart"/>
      <w:r w:rsidR="00581F3F" w:rsidRPr="00581F3F">
        <w:rPr>
          <w:rFonts w:cs="Arial"/>
          <w:szCs w:val="22"/>
        </w:rPr>
        <w:t>e.g.</w:t>
      </w:r>
      <w:proofErr w:type="gramEnd"/>
      <w:r w:rsidR="00581F3F" w:rsidRPr="00581F3F">
        <w:rPr>
          <w:rFonts w:cs="Arial"/>
          <w:szCs w:val="22"/>
        </w:rPr>
        <w:t xml:space="preserve"> to limit the rate of challenge on safety systems</w:t>
      </w:r>
      <w:r w:rsidR="00FA1D3F">
        <w:rPr>
          <w:rFonts w:cs="Arial"/>
          <w:szCs w:val="22"/>
        </w:rPr>
        <w:t>)</w:t>
      </w:r>
      <w:r w:rsidR="00581F3F" w:rsidRPr="00581F3F">
        <w:rPr>
          <w:rFonts w:cs="Arial"/>
          <w:szCs w:val="22"/>
        </w:rPr>
        <w:t xml:space="preserve">. </w:t>
      </w:r>
    </w:p>
    <w:p w14:paraId="39E6B65C" w14:textId="77777777" w:rsidR="00581F3F" w:rsidRDefault="00581F3F" w:rsidP="00581F3F">
      <w:pPr>
        <w:pStyle w:val="TSNumberedParagraph11"/>
        <w:spacing w:after="0"/>
        <w:ind w:left="720"/>
        <w:rPr>
          <w:rFonts w:cs="Arial"/>
          <w:szCs w:val="22"/>
        </w:rPr>
      </w:pPr>
    </w:p>
    <w:p w14:paraId="62EEBE1D" w14:textId="77777777" w:rsidR="00581F3F" w:rsidRPr="00AB5218" w:rsidRDefault="00581F3F" w:rsidP="00581F3F">
      <w:pPr>
        <w:pStyle w:val="TSNumberedParagraph11"/>
        <w:spacing w:after="0"/>
        <w:ind w:left="720"/>
        <w:rPr>
          <w:rFonts w:cs="Arial"/>
          <w:b/>
          <w:szCs w:val="22"/>
          <w:u w:val="single"/>
        </w:rPr>
      </w:pPr>
      <w:r w:rsidRPr="00AB5218">
        <w:rPr>
          <w:rFonts w:cs="Arial"/>
          <w:b/>
          <w:szCs w:val="22"/>
          <w:u w:val="single"/>
        </w:rPr>
        <w:t>Communications Systems</w:t>
      </w:r>
    </w:p>
    <w:p w14:paraId="7C003E71" w14:textId="77777777" w:rsidR="00581F3F" w:rsidRPr="00AB5218" w:rsidRDefault="00581F3F" w:rsidP="00581F3F">
      <w:pPr>
        <w:pStyle w:val="TSNumberedParagraph11"/>
        <w:spacing w:after="0"/>
        <w:ind w:left="720"/>
        <w:rPr>
          <w:rFonts w:cs="Arial"/>
          <w:szCs w:val="22"/>
        </w:rPr>
      </w:pPr>
    </w:p>
    <w:p w14:paraId="30686213" w14:textId="77777777" w:rsidR="00581F3F" w:rsidRDefault="000B0E69" w:rsidP="00F115E1">
      <w:pPr>
        <w:autoSpaceDE w:val="0"/>
        <w:autoSpaceDN w:val="0"/>
        <w:adjustRightInd w:val="0"/>
        <w:ind w:left="709" w:hanging="709"/>
        <w:rPr>
          <w:rFonts w:cs="Arial"/>
          <w:szCs w:val="22"/>
        </w:rPr>
      </w:pPr>
      <w:r>
        <w:rPr>
          <w:rFonts w:cs="Arial"/>
          <w:szCs w:val="22"/>
        </w:rPr>
        <w:t>5.4</w:t>
      </w:r>
      <w:r w:rsidR="00902721">
        <w:rPr>
          <w:rFonts w:cs="Arial"/>
          <w:szCs w:val="22"/>
        </w:rPr>
        <w:t>7</w:t>
      </w:r>
      <w:r>
        <w:rPr>
          <w:rFonts w:cs="Arial"/>
          <w:szCs w:val="22"/>
        </w:rPr>
        <w:tab/>
      </w:r>
      <w:r w:rsidR="00581F3F" w:rsidRPr="00581F3F">
        <w:rPr>
          <w:rFonts w:cs="Arial"/>
          <w:szCs w:val="22"/>
        </w:rPr>
        <w:t>Licensees should demonstrate that communication systems are designed and engineered to a standard commensurate with their safety functionality (including any role in emergency preparedness or response). Safety cases should address, as necessary, the potential for communications systems to cause EMI to other systems, including safety systems.  (</w:t>
      </w:r>
      <w:proofErr w:type="gramStart"/>
      <w:r w:rsidR="00BE56E9">
        <w:rPr>
          <w:rFonts w:cs="Arial"/>
          <w:szCs w:val="22"/>
        </w:rPr>
        <w:t>see</w:t>
      </w:r>
      <w:proofErr w:type="gramEnd"/>
      <w:r w:rsidR="00BE56E9">
        <w:rPr>
          <w:rFonts w:cs="Arial"/>
          <w:szCs w:val="22"/>
        </w:rPr>
        <w:t xml:space="preserve"> SAPSs </w:t>
      </w:r>
      <w:r w:rsidR="00581F3F" w:rsidRPr="00581F3F">
        <w:rPr>
          <w:rFonts w:cs="Arial"/>
          <w:szCs w:val="22"/>
        </w:rPr>
        <w:t>ESS.11, ESS.12)</w:t>
      </w:r>
    </w:p>
    <w:p w14:paraId="2F873178" w14:textId="77777777" w:rsidR="00A85BE5" w:rsidRDefault="00A85BE5" w:rsidP="00F115E1">
      <w:pPr>
        <w:autoSpaceDE w:val="0"/>
        <w:autoSpaceDN w:val="0"/>
        <w:adjustRightInd w:val="0"/>
        <w:ind w:left="709" w:hanging="709"/>
        <w:rPr>
          <w:rFonts w:cs="Arial"/>
          <w:szCs w:val="22"/>
        </w:rPr>
      </w:pPr>
    </w:p>
    <w:p w14:paraId="708195C4" w14:textId="77777777" w:rsidR="00581F3F" w:rsidRPr="00AB5218" w:rsidRDefault="00581F3F" w:rsidP="00581F3F">
      <w:pPr>
        <w:pStyle w:val="ListParagraph"/>
        <w:rPr>
          <w:rFonts w:cs="Arial"/>
          <w:b/>
          <w:szCs w:val="22"/>
          <w:u w:val="single"/>
        </w:rPr>
      </w:pPr>
      <w:r w:rsidRPr="00AB5218">
        <w:rPr>
          <w:rFonts w:cs="Arial"/>
          <w:b/>
          <w:szCs w:val="22"/>
          <w:u w:val="single"/>
        </w:rPr>
        <w:t>E/E/PE systems without specific safety functionality</w:t>
      </w:r>
    </w:p>
    <w:p w14:paraId="365B83DA" w14:textId="77777777" w:rsidR="00581F3F" w:rsidRPr="00AB5218" w:rsidRDefault="00581F3F" w:rsidP="00581F3F">
      <w:pPr>
        <w:pStyle w:val="ListParagraph"/>
        <w:rPr>
          <w:rFonts w:cs="Arial"/>
          <w:szCs w:val="22"/>
        </w:rPr>
      </w:pPr>
    </w:p>
    <w:p w14:paraId="6FDE2194" w14:textId="77777777" w:rsidR="00581F3F" w:rsidRPr="00581F3F" w:rsidRDefault="00F115E1" w:rsidP="00F115E1">
      <w:pPr>
        <w:autoSpaceDE w:val="0"/>
        <w:autoSpaceDN w:val="0"/>
        <w:adjustRightInd w:val="0"/>
        <w:ind w:left="709" w:hanging="709"/>
        <w:rPr>
          <w:rFonts w:cs="Arial"/>
          <w:szCs w:val="22"/>
        </w:rPr>
      </w:pPr>
      <w:r>
        <w:rPr>
          <w:rFonts w:cs="Arial"/>
          <w:szCs w:val="22"/>
        </w:rPr>
        <w:t>5.4</w:t>
      </w:r>
      <w:r w:rsidR="00902721">
        <w:rPr>
          <w:rFonts w:cs="Arial"/>
          <w:szCs w:val="22"/>
        </w:rPr>
        <w:t>8</w:t>
      </w:r>
      <w:r>
        <w:rPr>
          <w:rFonts w:cs="Arial"/>
          <w:szCs w:val="22"/>
        </w:rPr>
        <w:tab/>
      </w:r>
      <w:r w:rsidR="00581F3F" w:rsidRPr="00581F3F">
        <w:rPr>
          <w:rFonts w:cs="Arial"/>
          <w:szCs w:val="22"/>
        </w:rPr>
        <w:t>For E/E/PE systems within the facility having no direct safety functionality, a proportionate analysis should be in place to demonstrate that risks from EMI to the facility and its systems are managed, as necessary. Sufficient information should be available to demonstrate that the system is not likely to adversely impact on safety in the facility (</w:t>
      </w:r>
      <w:proofErr w:type="gramStart"/>
      <w:r w:rsidR="00581F3F" w:rsidRPr="00581F3F">
        <w:rPr>
          <w:rFonts w:cs="Arial"/>
          <w:szCs w:val="22"/>
        </w:rPr>
        <w:t>e.g.</w:t>
      </w:r>
      <w:proofErr w:type="gramEnd"/>
      <w:r w:rsidR="00581F3F" w:rsidRPr="00581F3F">
        <w:rPr>
          <w:rFonts w:cs="Arial"/>
          <w:szCs w:val="22"/>
        </w:rPr>
        <w:t xml:space="preserve"> by acting as a potential source of electromagnetic disturbances that may impact safety systems/safety-related systems). A demonstration that electrical </w:t>
      </w:r>
      <w:r w:rsidR="00D45E44">
        <w:rPr>
          <w:rFonts w:cs="Arial"/>
          <w:szCs w:val="22"/>
        </w:rPr>
        <w:t>(</w:t>
      </w:r>
      <w:proofErr w:type="gramStart"/>
      <w:r w:rsidR="00D45E44">
        <w:rPr>
          <w:rFonts w:cs="Arial"/>
          <w:szCs w:val="22"/>
        </w:rPr>
        <w:t>e</w:t>
      </w:r>
      <w:r w:rsidR="00D2292E">
        <w:rPr>
          <w:rFonts w:cs="Arial"/>
          <w:szCs w:val="22"/>
        </w:rPr>
        <w:t>.</w:t>
      </w:r>
      <w:r w:rsidR="00D45E44">
        <w:rPr>
          <w:rFonts w:cs="Arial"/>
          <w:szCs w:val="22"/>
        </w:rPr>
        <w:t>g</w:t>
      </w:r>
      <w:r w:rsidR="00D2292E">
        <w:rPr>
          <w:rFonts w:cs="Arial"/>
          <w:szCs w:val="22"/>
        </w:rPr>
        <w:t>.</w:t>
      </w:r>
      <w:proofErr w:type="gramEnd"/>
      <w:r w:rsidR="00D45E44">
        <w:rPr>
          <w:rFonts w:cs="Arial"/>
          <w:szCs w:val="22"/>
        </w:rPr>
        <w:t xml:space="preserve"> BS 7430, </w:t>
      </w:r>
      <w:r w:rsidR="00D2292E">
        <w:rPr>
          <w:rFonts w:cs="Arial"/>
          <w:szCs w:val="22"/>
        </w:rPr>
        <w:t xml:space="preserve">BS </w:t>
      </w:r>
      <w:r w:rsidR="00D45E44">
        <w:rPr>
          <w:rFonts w:cs="Arial"/>
          <w:szCs w:val="22"/>
        </w:rPr>
        <w:t xml:space="preserve">7671, etc.) </w:t>
      </w:r>
      <w:r w:rsidR="00581F3F" w:rsidRPr="00581F3F">
        <w:rPr>
          <w:rFonts w:cs="Arial"/>
          <w:szCs w:val="22"/>
        </w:rPr>
        <w:t xml:space="preserve">and EMC engineering standards </w:t>
      </w:r>
      <w:r w:rsidR="007E1CAD">
        <w:rPr>
          <w:rFonts w:cs="Arial"/>
          <w:szCs w:val="22"/>
        </w:rPr>
        <w:t>have been implemented during installation, use and maintenance</w:t>
      </w:r>
      <w:r w:rsidR="007E1CAD" w:rsidRPr="00581F3F">
        <w:rPr>
          <w:rFonts w:cs="Arial"/>
          <w:szCs w:val="22"/>
        </w:rPr>
        <w:t xml:space="preserve"> </w:t>
      </w:r>
      <w:r w:rsidR="00581F3F" w:rsidRPr="00581F3F">
        <w:rPr>
          <w:rFonts w:cs="Arial"/>
          <w:szCs w:val="22"/>
        </w:rPr>
        <w:t xml:space="preserve">could contribute to this analysis.  Where necessary, this demonstration should be </w:t>
      </w:r>
      <w:r w:rsidR="000D74A4" w:rsidRPr="00581F3F">
        <w:rPr>
          <w:rFonts w:cs="Arial"/>
          <w:szCs w:val="22"/>
        </w:rPr>
        <w:t>compl</w:t>
      </w:r>
      <w:r w:rsidR="000D74A4">
        <w:rPr>
          <w:rFonts w:cs="Arial"/>
          <w:szCs w:val="22"/>
        </w:rPr>
        <w:t>e</w:t>
      </w:r>
      <w:r w:rsidR="000D74A4" w:rsidRPr="00581F3F">
        <w:rPr>
          <w:rFonts w:cs="Arial"/>
          <w:szCs w:val="22"/>
        </w:rPr>
        <w:t xml:space="preserve">mented </w:t>
      </w:r>
      <w:r w:rsidR="000D74A4">
        <w:rPr>
          <w:rFonts w:cs="Arial"/>
          <w:szCs w:val="22"/>
        </w:rPr>
        <w:t>by</w:t>
      </w:r>
      <w:r w:rsidR="000D74A4" w:rsidRPr="00581F3F">
        <w:rPr>
          <w:rFonts w:cs="Arial"/>
          <w:szCs w:val="22"/>
        </w:rPr>
        <w:t xml:space="preserve"> </w:t>
      </w:r>
      <w:r w:rsidR="00581F3F" w:rsidRPr="00581F3F">
        <w:rPr>
          <w:rFonts w:cs="Arial"/>
          <w:szCs w:val="22"/>
        </w:rPr>
        <w:t xml:space="preserve">analysis </w:t>
      </w:r>
      <w:r w:rsidR="000D74A4">
        <w:rPr>
          <w:rFonts w:cs="Arial"/>
          <w:szCs w:val="22"/>
        </w:rPr>
        <w:t xml:space="preserve">to </w:t>
      </w:r>
      <w:r w:rsidR="00B22051">
        <w:rPr>
          <w:rFonts w:cs="Arial"/>
          <w:szCs w:val="22"/>
        </w:rPr>
        <w:t>show</w:t>
      </w:r>
      <w:r w:rsidR="000D74A4">
        <w:rPr>
          <w:rFonts w:cs="Arial"/>
          <w:szCs w:val="22"/>
        </w:rPr>
        <w:t xml:space="preserve"> that </w:t>
      </w:r>
      <w:r w:rsidR="00581F3F" w:rsidRPr="00581F3F">
        <w:rPr>
          <w:rFonts w:cs="Arial"/>
          <w:szCs w:val="22"/>
        </w:rPr>
        <w:t>the impact on safety (</w:t>
      </w:r>
      <w:proofErr w:type="gramStart"/>
      <w:r w:rsidR="00581F3F" w:rsidRPr="00581F3F">
        <w:rPr>
          <w:rFonts w:cs="Arial"/>
          <w:szCs w:val="22"/>
        </w:rPr>
        <w:t>i.e.</w:t>
      </w:r>
      <w:proofErr w:type="gramEnd"/>
      <w:r w:rsidR="00581F3F" w:rsidRPr="00581F3F">
        <w:rPr>
          <w:rFonts w:cs="Arial"/>
          <w:szCs w:val="22"/>
        </w:rPr>
        <w:t xml:space="preserve"> safety systems) is reduced to ALARP. </w:t>
      </w:r>
    </w:p>
    <w:p w14:paraId="37BB0D5F" w14:textId="77777777" w:rsidR="00581F3F" w:rsidRDefault="00581F3F" w:rsidP="00581F3F">
      <w:pPr>
        <w:pStyle w:val="TSHeadingNumbered1"/>
        <w:numPr>
          <w:ilvl w:val="0"/>
          <w:numId w:val="0"/>
        </w:numPr>
        <w:ind w:left="720"/>
        <w:rPr>
          <w:rFonts w:ascii="Arial" w:hAnsi="Arial" w:cs="Arial"/>
          <w:szCs w:val="22"/>
        </w:rPr>
      </w:pPr>
    </w:p>
    <w:p w14:paraId="1DFCD0DA" w14:textId="77777777" w:rsidR="009B5159" w:rsidRPr="00AB5218" w:rsidRDefault="00661655" w:rsidP="00267561">
      <w:pPr>
        <w:pStyle w:val="TSHeadingNumbered1"/>
        <w:numPr>
          <w:ilvl w:val="0"/>
          <w:numId w:val="15"/>
        </w:numPr>
        <w:rPr>
          <w:rFonts w:ascii="Arial" w:hAnsi="Arial" w:cs="Arial"/>
          <w:szCs w:val="22"/>
        </w:rPr>
      </w:pPr>
      <w:r w:rsidRPr="00AB5218">
        <w:rPr>
          <w:rFonts w:ascii="Arial" w:hAnsi="Arial" w:cs="Arial"/>
          <w:szCs w:val="22"/>
        </w:rPr>
        <w:br w:type="page"/>
      </w:r>
      <w:bookmarkStart w:id="11" w:name="_Toc41564456"/>
      <w:r w:rsidR="009B5159" w:rsidRPr="00AB5218">
        <w:rPr>
          <w:rFonts w:ascii="Arial" w:hAnsi="Arial" w:cs="Arial"/>
          <w:szCs w:val="22"/>
        </w:rPr>
        <w:lastRenderedPageBreak/>
        <w:t>REFERENCES</w:t>
      </w:r>
      <w:bookmarkEnd w:id="11"/>
    </w:p>
    <w:tbl>
      <w:tblPr>
        <w:tblW w:w="0" w:type="auto"/>
        <w:tblLayout w:type="fixed"/>
        <w:tblLook w:val="04A0" w:firstRow="1" w:lastRow="0" w:firstColumn="1" w:lastColumn="0" w:noHBand="0" w:noVBand="1"/>
      </w:tblPr>
      <w:tblGrid>
        <w:gridCol w:w="704"/>
        <w:gridCol w:w="8312"/>
      </w:tblGrid>
      <w:tr w:rsidR="009D75EF" w:rsidRPr="006A7CD9" w14:paraId="5FF7A08D" w14:textId="77777777" w:rsidTr="006A7CD9">
        <w:tc>
          <w:tcPr>
            <w:tcW w:w="704" w:type="dxa"/>
            <w:shd w:val="clear" w:color="auto" w:fill="auto"/>
          </w:tcPr>
          <w:p w14:paraId="06E4FEC9" w14:textId="77777777" w:rsidR="009D75EF" w:rsidRPr="006A7CD9" w:rsidRDefault="009D75EF" w:rsidP="009D75EF">
            <w:pPr>
              <w:rPr>
                <w:rFonts w:eastAsia="Calibri" w:cs="Arial"/>
                <w:szCs w:val="22"/>
              </w:rPr>
            </w:pPr>
            <w:r w:rsidRPr="006A7CD9">
              <w:rPr>
                <w:rFonts w:eastAsia="Calibri" w:cs="Arial"/>
                <w:szCs w:val="22"/>
              </w:rPr>
              <w:t>[1]</w:t>
            </w:r>
          </w:p>
        </w:tc>
        <w:tc>
          <w:tcPr>
            <w:tcW w:w="8312" w:type="dxa"/>
            <w:shd w:val="clear" w:color="auto" w:fill="auto"/>
          </w:tcPr>
          <w:p w14:paraId="1A0F125B" w14:textId="77777777" w:rsidR="009D75EF" w:rsidRPr="009D75EF" w:rsidRDefault="009D75EF" w:rsidP="009D75EF">
            <w:pPr>
              <w:rPr>
                <w:rFonts w:eastAsia="Calibri"/>
                <w:noProof/>
              </w:rPr>
            </w:pPr>
            <w:r w:rsidRPr="009D75EF">
              <w:rPr>
                <w:rFonts w:eastAsia="Calibri"/>
                <w:noProof/>
              </w:rPr>
              <w:t xml:space="preserve">ONR, “Safety Assessment Principles for Nuclear Facilities, 2014 Edition, Rev 0,” November 2014, </w:t>
            </w:r>
            <w:hyperlink r:id="rId11" w:history="1">
              <w:r w:rsidRPr="006A7CD9">
                <w:rPr>
                  <w:rFonts w:eastAsia="Calibri"/>
                  <w:noProof/>
                  <w:color w:val="0563C1"/>
                  <w:u w:val="single"/>
                </w:rPr>
                <w:t>www.onr.org.uk/saps/saps2014.pdf</w:t>
              </w:r>
            </w:hyperlink>
            <w:r w:rsidRPr="009D75EF">
              <w:rPr>
                <w:rFonts w:eastAsia="Calibri"/>
                <w:noProof/>
              </w:rPr>
              <w:t>.</w:t>
            </w:r>
          </w:p>
          <w:p w14:paraId="4F3FDC6A" w14:textId="77777777" w:rsidR="009D75EF" w:rsidRPr="006A7CD9" w:rsidRDefault="009D75EF" w:rsidP="009D75EF">
            <w:pPr>
              <w:rPr>
                <w:rFonts w:ascii="Calibri" w:eastAsia="Calibri" w:hAnsi="Calibri"/>
                <w:szCs w:val="22"/>
              </w:rPr>
            </w:pPr>
          </w:p>
        </w:tc>
      </w:tr>
      <w:tr w:rsidR="009D75EF" w:rsidRPr="009D75EF" w14:paraId="7C890FFB" w14:textId="77777777" w:rsidTr="006A7CD9">
        <w:tc>
          <w:tcPr>
            <w:tcW w:w="704" w:type="dxa"/>
            <w:shd w:val="clear" w:color="auto" w:fill="auto"/>
          </w:tcPr>
          <w:p w14:paraId="39D73D74" w14:textId="77777777" w:rsidR="009D75EF" w:rsidRPr="006A7CD9" w:rsidRDefault="009D75EF" w:rsidP="009D75EF">
            <w:pPr>
              <w:rPr>
                <w:rFonts w:eastAsia="Calibri" w:cs="Arial"/>
                <w:szCs w:val="22"/>
              </w:rPr>
            </w:pPr>
            <w:r w:rsidRPr="006A7CD9">
              <w:rPr>
                <w:rFonts w:eastAsia="Calibri" w:cs="Arial"/>
                <w:szCs w:val="22"/>
              </w:rPr>
              <w:t>[2]</w:t>
            </w:r>
          </w:p>
        </w:tc>
        <w:tc>
          <w:tcPr>
            <w:tcW w:w="8312" w:type="dxa"/>
            <w:shd w:val="clear" w:color="auto" w:fill="auto"/>
          </w:tcPr>
          <w:p w14:paraId="115D6B20" w14:textId="77777777" w:rsidR="009D75EF" w:rsidRPr="009D75EF" w:rsidRDefault="009D75EF" w:rsidP="009D75EF">
            <w:pPr>
              <w:rPr>
                <w:rFonts w:eastAsia="Calibri"/>
                <w:noProof/>
              </w:rPr>
            </w:pPr>
            <w:r w:rsidRPr="009D75EF">
              <w:rPr>
                <w:rFonts w:eastAsia="Calibri"/>
                <w:noProof/>
              </w:rPr>
              <w:t xml:space="preserve">ONR, “Security Assessment Principles for the Civil Nuclear Industry, 2017 Edition Version 0,” </w:t>
            </w:r>
            <w:r w:rsidR="005B302E" w:rsidRPr="005B302E">
              <w:rPr>
                <w:rFonts w:eastAsia="Calibri"/>
                <w:noProof/>
                <w:color w:val="0563C1"/>
                <w:u w:val="single"/>
              </w:rPr>
              <w:t>www.onr.org.uk/syaps/security-assessment-principles-2017.pdf</w:t>
            </w:r>
            <w:r w:rsidRPr="005B302E">
              <w:rPr>
                <w:rFonts w:eastAsia="Calibri"/>
                <w:noProof/>
                <w:color w:val="0563C1"/>
                <w:u w:val="single"/>
              </w:rPr>
              <w:t>.</w:t>
            </w:r>
          </w:p>
          <w:p w14:paraId="47E37840" w14:textId="77777777" w:rsidR="009D75EF" w:rsidRPr="009D75EF" w:rsidRDefault="009D75EF" w:rsidP="009D75EF">
            <w:pPr>
              <w:rPr>
                <w:rFonts w:eastAsia="Calibri"/>
                <w:noProof/>
              </w:rPr>
            </w:pPr>
          </w:p>
        </w:tc>
      </w:tr>
      <w:tr w:rsidR="009D75EF" w:rsidRPr="006A7CD9" w14:paraId="03973535" w14:textId="77777777" w:rsidTr="006A7CD9">
        <w:tc>
          <w:tcPr>
            <w:tcW w:w="704" w:type="dxa"/>
            <w:shd w:val="clear" w:color="auto" w:fill="auto"/>
          </w:tcPr>
          <w:p w14:paraId="3136FD21" w14:textId="77777777" w:rsidR="009D75EF" w:rsidRPr="006A7CD9" w:rsidRDefault="009D75EF" w:rsidP="009D75EF">
            <w:pPr>
              <w:rPr>
                <w:rFonts w:eastAsia="Calibri" w:cs="Arial"/>
                <w:szCs w:val="22"/>
              </w:rPr>
            </w:pPr>
            <w:r w:rsidRPr="006A7CD9">
              <w:rPr>
                <w:rFonts w:eastAsia="Calibri" w:cs="Arial"/>
                <w:szCs w:val="22"/>
              </w:rPr>
              <w:t>[3]</w:t>
            </w:r>
          </w:p>
        </w:tc>
        <w:tc>
          <w:tcPr>
            <w:tcW w:w="8312" w:type="dxa"/>
            <w:shd w:val="clear" w:color="auto" w:fill="auto"/>
          </w:tcPr>
          <w:p w14:paraId="2599B906" w14:textId="77777777" w:rsidR="009D75EF" w:rsidRPr="009D75EF" w:rsidRDefault="009D75EF" w:rsidP="009D75EF">
            <w:pPr>
              <w:rPr>
                <w:rFonts w:eastAsia="Calibri"/>
                <w:noProof/>
              </w:rPr>
            </w:pPr>
            <w:r w:rsidRPr="009D75EF">
              <w:rPr>
                <w:rFonts w:eastAsia="Calibri"/>
                <w:noProof/>
              </w:rPr>
              <w:t xml:space="preserve">ONR, “NS-TAST-GD-003, Rev. 8, Nuclear Safety Technical Assessment Guide: Guidance on Safety Systems, March 2018, </w:t>
            </w:r>
            <w:hyperlink r:id="rId12" w:history="1">
              <w:r w:rsidRPr="006A7CD9">
                <w:rPr>
                  <w:rFonts w:eastAsia="Calibri"/>
                  <w:noProof/>
                  <w:color w:val="0563C1"/>
                  <w:u w:val="single"/>
                </w:rPr>
                <w:t>www.onr.org.uk/operational/tech_asst_guides/ns-tast-gd-003.pdf</w:t>
              </w:r>
            </w:hyperlink>
            <w:r w:rsidRPr="009D75EF">
              <w:rPr>
                <w:rFonts w:eastAsia="Calibri"/>
                <w:noProof/>
              </w:rPr>
              <w:t>.</w:t>
            </w:r>
          </w:p>
          <w:p w14:paraId="155BF373" w14:textId="77777777" w:rsidR="009D75EF" w:rsidRPr="006A7CD9" w:rsidRDefault="009D75EF" w:rsidP="009D75EF">
            <w:pPr>
              <w:rPr>
                <w:rFonts w:ascii="Calibri" w:eastAsia="Calibri" w:hAnsi="Calibri"/>
                <w:szCs w:val="22"/>
              </w:rPr>
            </w:pPr>
          </w:p>
        </w:tc>
      </w:tr>
      <w:tr w:rsidR="009D75EF" w:rsidRPr="006A7CD9" w14:paraId="096FF99B" w14:textId="77777777" w:rsidTr="006A7CD9">
        <w:tc>
          <w:tcPr>
            <w:tcW w:w="704" w:type="dxa"/>
            <w:shd w:val="clear" w:color="auto" w:fill="auto"/>
          </w:tcPr>
          <w:p w14:paraId="5AE0EF18" w14:textId="77777777" w:rsidR="009D75EF" w:rsidRPr="006A7CD9" w:rsidRDefault="009D75EF" w:rsidP="009D75EF">
            <w:pPr>
              <w:rPr>
                <w:rFonts w:eastAsia="Calibri" w:cs="Arial"/>
                <w:szCs w:val="22"/>
              </w:rPr>
            </w:pPr>
            <w:r w:rsidRPr="006A7CD9">
              <w:rPr>
                <w:rFonts w:eastAsia="Calibri" w:cs="Arial"/>
                <w:szCs w:val="22"/>
              </w:rPr>
              <w:t>[4]</w:t>
            </w:r>
          </w:p>
        </w:tc>
        <w:tc>
          <w:tcPr>
            <w:tcW w:w="8312" w:type="dxa"/>
            <w:shd w:val="clear" w:color="auto" w:fill="auto"/>
          </w:tcPr>
          <w:p w14:paraId="02415872" w14:textId="77777777" w:rsidR="009D75EF" w:rsidRPr="009D75EF" w:rsidRDefault="009D75EF" w:rsidP="009D75EF">
            <w:pPr>
              <w:rPr>
                <w:rFonts w:eastAsia="Calibri"/>
                <w:noProof/>
              </w:rPr>
            </w:pPr>
            <w:r w:rsidRPr="009D75EF">
              <w:rPr>
                <w:rFonts w:eastAsia="Calibri"/>
                <w:noProof/>
              </w:rPr>
              <w:t xml:space="preserve">ONR, “NS-TAST-GD-005, Rev. 8, Nuclear Safety Technical Assessment Guide: Guidance on the demonstration of ALARP (As Low As Reasonably Practicable),” July 2017, </w:t>
            </w:r>
            <w:hyperlink r:id="rId13" w:history="1">
              <w:r w:rsidRPr="006A7CD9">
                <w:rPr>
                  <w:rFonts w:eastAsia="Calibri"/>
                  <w:noProof/>
                  <w:color w:val="0563C1"/>
                  <w:u w:val="single"/>
                </w:rPr>
                <w:t>www.onr.org.uk/operational/tech_asst_guides/ns-tast-gd-005.pdf</w:t>
              </w:r>
            </w:hyperlink>
            <w:r w:rsidRPr="009D75EF">
              <w:rPr>
                <w:rFonts w:eastAsia="Calibri"/>
                <w:noProof/>
              </w:rPr>
              <w:t>.</w:t>
            </w:r>
          </w:p>
          <w:p w14:paraId="1FEAB009" w14:textId="77777777" w:rsidR="009D75EF" w:rsidRPr="006A7CD9" w:rsidRDefault="009D75EF" w:rsidP="009D75EF">
            <w:pPr>
              <w:rPr>
                <w:rFonts w:ascii="Calibri" w:eastAsia="Calibri" w:hAnsi="Calibri"/>
                <w:szCs w:val="22"/>
              </w:rPr>
            </w:pPr>
          </w:p>
        </w:tc>
      </w:tr>
      <w:tr w:rsidR="009D75EF" w:rsidRPr="006A7CD9" w14:paraId="20F35863" w14:textId="77777777" w:rsidTr="006A7CD9">
        <w:tc>
          <w:tcPr>
            <w:tcW w:w="704" w:type="dxa"/>
            <w:shd w:val="clear" w:color="auto" w:fill="auto"/>
          </w:tcPr>
          <w:p w14:paraId="27C7597F" w14:textId="77777777" w:rsidR="009D75EF" w:rsidRPr="006A7CD9" w:rsidRDefault="009D75EF" w:rsidP="009D75EF">
            <w:pPr>
              <w:rPr>
                <w:rFonts w:eastAsia="Calibri" w:cs="Arial"/>
                <w:szCs w:val="22"/>
              </w:rPr>
            </w:pPr>
            <w:r w:rsidRPr="006A7CD9">
              <w:rPr>
                <w:rFonts w:eastAsia="Calibri" w:cs="Arial"/>
                <w:szCs w:val="22"/>
              </w:rPr>
              <w:t>[5]</w:t>
            </w:r>
          </w:p>
        </w:tc>
        <w:tc>
          <w:tcPr>
            <w:tcW w:w="8312" w:type="dxa"/>
            <w:shd w:val="clear" w:color="auto" w:fill="auto"/>
          </w:tcPr>
          <w:p w14:paraId="25C11ABB" w14:textId="77777777" w:rsidR="009D75EF" w:rsidRPr="009D75EF" w:rsidRDefault="009D75EF" w:rsidP="009D75EF">
            <w:pPr>
              <w:rPr>
                <w:rFonts w:eastAsia="Calibri"/>
                <w:noProof/>
              </w:rPr>
            </w:pPr>
            <w:r w:rsidRPr="009D75EF">
              <w:rPr>
                <w:rFonts w:eastAsia="Calibri"/>
                <w:noProof/>
              </w:rPr>
              <w:t xml:space="preserve">ONR, “ONR-GDA-GD-001, Rev. 3, Nuclear Safety Technical Assessment Guide: New nuclear reactors: Generic Design Assessment Guidance to Requesting Parties,” September 2016, </w:t>
            </w:r>
            <w:hyperlink r:id="rId14" w:history="1">
              <w:r w:rsidRPr="006A7CD9">
                <w:rPr>
                  <w:rFonts w:eastAsia="Calibri"/>
                  <w:noProof/>
                  <w:color w:val="0563C1"/>
                  <w:u w:val="single"/>
                </w:rPr>
                <w:t>www.onr.org.uk/new-reactors/ngn03.pdf</w:t>
              </w:r>
            </w:hyperlink>
            <w:r w:rsidRPr="009D75EF">
              <w:rPr>
                <w:rFonts w:eastAsia="Calibri"/>
                <w:noProof/>
              </w:rPr>
              <w:t>.</w:t>
            </w:r>
          </w:p>
          <w:p w14:paraId="7C2B373F" w14:textId="77777777" w:rsidR="009D75EF" w:rsidRPr="006A7CD9" w:rsidRDefault="009D75EF" w:rsidP="009D75EF">
            <w:pPr>
              <w:rPr>
                <w:rFonts w:ascii="Calibri" w:eastAsia="Calibri" w:hAnsi="Calibri"/>
                <w:szCs w:val="22"/>
              </w:rPr>
            </w:pPr>
          </w:p>
        </w:tc>
      </w:tr>
      <w:tr w:rsidR="009D75EF" w:rsidRPr="006A7CD9" w14:paraId="5EAF8C6E" w14:textId="77777777" w:rsidTr="006A7CD9">
        <w:tc>
          <w:tcPr>
            <w:tcW w:w="704" w:type="dxa"/>
            <w:shd w:val="clear" w:color="auto" w:fill="auto"/>
          </w:tcPr>
          <w:p w14:paraId="3292820B" w14:textId="77777777" w:rsidR="009D75EF" w:rsidRPr="006A7CD9" w:rsidRDefault="009D75EF" w:rsidP="009D75EF">
            <w:pPr>
              <w:rPr>
                <w:rFonts w:eastAsia="Calibri" w:cs="Arial"/>
                <w:szCs w:val="22"/>
              </w:rPr>
            </w:pPr>
            <w:r w:rsidRPr="006A7CD9">
              <w:rPr>
                <w:rFonts w:eastAsia="Calibri" w:cs="Arial"/>
                <w:szCs w:val="22"/>
              </w:rPr>
              <w:t>[6]</w:t>
            </w:r>
          </w:p>
        </w:tc>
        <w:tc>
          <w:tcPr>
            <w:tcW w:w="8312" w:type="dxa"/>
            <w:shd w:val="clear" w:color="auto" w:fill="auto"/>
          </w:tcPr>
          <w:p w14:paraId="39939CB0" w14:textId="77777777" w:rsidR="009D75EF" w:rsidRPr="003656FC" w:rsidRDefault="009D75EF" w:rsidP="009D75EF">
            <w:pPr>
              <w:rPr>
                <w:rFonts w:eastAsia="Calibri"/>
                <w:noProof/>
                <w:color w:val="0563C1"/>
                <w:u w:val="single"/>
              </w:rPr>
            </w:pPr>
            <w:r w:rsidRPr="009D75EF">
              <w:rPr>
                <w:rFonts w:eastAsia="Calibri"/>
                <w:noProof/>
              </w:rPr>
              <w:t>ONR, “NS-TAST-GD-013, Rev. 7, Nuclear Safety Technical Assessment Guide: External Hazards,” October 2018.</w:t>
            </w:r>
            <w:r w:rsidR="00725D50">
              <w:rPr>
                <w:rFonts w:eastAsia="Calibri"/>
                <w:noProof/>
              </w:rPr>
              <w:t xml:space="preserve"> </w:t>
            </w:r>
            <w:hyperlink r:id="rId15" w:history="1">
              <w:r w:rsidR="00725D50" w:rsidRPr="003656FC">
                <w:rPr>
                  <w:rFonts w:eastAsia="Calibri"/>
                  <w:noProof/>
                  <w:color w:val="0563C1"/>
                  <w:u w:val="single"/>
                </w:rPr>
                <w:t>www.onr.org.uk/operational/tech_asst_guides/ns-tast-gd-013.pdf</w:t>
              </w:r>
            </w:hyperlink>
            <w:r w:rsidR="00725D50" w:rsidRPr="003656FC">
              <w:rPr>
                <w:rFonts w:eastAsia="Calibri"/>
                <w:noProof/>
                <w:color w:val="0563C1"/>
                <w:u w:val="single"/>
              </w:rPr>
              <w:t>.</w:t>
            </w:r>
          </w:p>
          <w:p w14:paraId="6EEEEAB8" w14:textId="77777777" w:rsidR="009D75EF" w:rsidRPr="006A7CD9" w:rsidRDefault="009D75EF" w:rsidP="009D75EF">
            <w:pPr>
              <w:rPr>
                <w:rFonts w:ascii="Calibri" w:eastAsia="Calibri" w:hAnsi="Calibri"/>
                <w:szCs w:val="22"/>
              </w:rPr>
            </w:pPr>
          </w:p>
        </w:tc>
      </w:tr>
      <w:tr w:rsidR="009D75EF" w:rsidRPr="006A7CD9" w14:paraId="5FE4120F" w14:textId="77777777" w:rsidTr="006A7CD9">
        <w:tc>
          <w:tcPr>
            <w:tcW w:w="704" w:type="dxa"/>
            <w:shd w:val="clear" w:color="auto" w:fill="auto"/>
          </w:tcPr>
          <w:p w14:paraId="0FAB2DE8" w14:textId="77777777" w:rsidR="009D75EF" w:rsidRPr="006A7CD9" w:rsidRDefault="009D75EF" w:rsidP="009D75EF">
            <w:pPr>
              <w:rPr>
                <w:rFonts w:eastAsia="Calibri" w:cs="Arial"/>
                <w:szCs w:val="22"/>
              </w:rPr>
            </w:pPr>
            <w:r w:rsidRPr="006A7CD9">
              <w:rPr>
                <w:rFonts w:eastAsia="Calibri" w:cs="Arial"/>
                <w:szCs w:val="22"/>
              </w:rPr>
              <w:t>[7]</w:t>
            </w:r>
          </w:p>
        </w:tc>
        <w:tc>
          <w:tcPr>
            <w:tcW w:w="8312" w:type="dxa"/>
            <w:shd w:val="clear" w:color="auto" w:fill="auto"/>
          </w:tcPr>
          <w:p w14:paraId="350CDDDF" w14:textId="77777777" w:rsidR="009D75EF" w:rsidRPr="009D75EF" w:rsidRDefault="009D75EF" w:rsidP="009D75EF">
            <w:pPr>
              <w:rPr>
                <w:rFonts w:eastAsia="Calibri"/>
                <w:noProof/>
              </w:rPr>
            </w:pPr>
            <w:r w:rsidRPr="009D75EF">
              <w:rPr>
                <w:rFonts w:eastAsia="Calibri"/>
                <w:noProof/>
              </w:rPr>
              <w:t xml:space="preserve">Western European Nuclear Regulators’ Association.  Reactor Harmonization Group.  WENRA Reactor Reference Safety Levels. WENRA. September 2014. </w:t>
            </w:r>
          </w:p>
          <w:p w14:paraId="49A87D84" w14:textId="77777777" w:rsidR="009D75EF" w:rsidRPr="006A7CD9" w:rsidRDefault="009D75EF" w:rsidP="009D75EF">
            <w:pPr>
              <w:rPr>
                <w:rFonts w:ascii="Calibri" w:eastAsia="Calibri" w:hAnsi="Calibri"/>
                <w:szCs w:val="22"/>
              </w:rPr>
            </w:pPr>
          </w:p>
        </w:tc>
      </w:tr>
      <w:tr w:rsidR="009D75EF" w:rsidRPr="006A7CD9" w14:paraId="73AA6638" w14:textId="77777777" w:rsidTr="006A7CD9">
        <w:tc>
          <w:tcPr>
            <w:tcW w:w="704" w:type="dxa"/>
            <w:shd w:val="clear" w:color="auto" w:fill="auto"/>
          </w:tcPr>
          <w:p w14:paraId="4B95B2DF" w14:textId="77777777" w:rsidR="009D75EF" w:rsidRPr="006A7CD9" w:rsidRDefault="009D75EF" w:rsidP="009D75EF">
            <w:pPr>
              <w:rPr>
                <w:rFonts w:eastAsia="Calibri" w:cs="Arial"/>
                <w:szCs w:val="22"/>
              </w:rPr>
            </w:pPr>
            <w:r w:rsidRPr="006A7CD9">
              <w:rPr>
                <w:rFonts w:eastAsia="Calibri" w:cs="Arial"/>
                <w:szCs w:val="22"/>
              </w:rPr>
              <w:t>[8]</w:t>
            </w:r>
          </w:p>
        </w:tc>
        <w:tc>
          <w:tcPr>
            <w:tcW w:w="8312" w:type="dxa"/>
            <w:shd w:val="clear" w:color="auto" w:fill="auto"/>
          </w:tcPr>
          <w:p w14:paraId="48FC04A8" w14:textId="77777777" w:rsidR="009D75EF" w:rsidRPr="009D75EF" w:rsidRDefault="00725D50" w:rsidP="009D75EF">
            <w:pPr>
              <w:rPr>
                <w:rFonts w:eastAsia="Calibri"/>
                <w:noProof/>
              </w:rPr>
            </w:pPr>
            <w:r>
              <w:rPr>
                <w:rFonts w:eastAsia="Calibri"/>
                <w:noProof/>
              </w:rPr>
              <w:t>IEC</w:t>
            </w:r>
            <w:r w:rsidR="00694E47">
              <w:rPr>
                <w:rFonts w:eastAsia="Calibri"/>
                <w:noProof/>
              </w:rPr>
              <w:t xml:space="preserve"> </w:t>
            </w:r>
            <w:r>
              <w:rPr>
                <w:rFonts w:eastAsia="Calibri"/>
                <w:noProof/>
              </w:rPr>
              <w:t>61508</w:t>
            </w:r>
            <w:r w:rsidR="009D75EF" w:rsidRPr="009D75EF">
              <w:rPr>
                <w:rFonts w:eastAsia="Calibri"/>
                <w:noProof/>
              </w:rPr>
              <w:t xml:space="preserve">: 2010 </w:t>
            </w:r>
            <w:r>
              <w:rPr>
                <w:rFonts w:eastAsia="Calibri"/>
                <w:noProof/>
              </w:rPr>
              <w:t xml:space="preserve">edition 2.0 </w:t>
            </w:r>
            <w:r w:rsidR="009D75EF" w:rsidRPr="009D75EF">
              <w:rPr>
                <w:rFonts w:eastAsia="Calibri"/>
                <w:noProof/>
              </w:rPr>
              <w:t>Functional safety of electrical/electronic/programmable electronic safety-related systems.</w:t>
            </w:r>
          </w:p>
          <w:p w14:paraId="074B6D3D" w14:textId="77777777" w:rsidR="009D75EF" w:rsidRPr="006A7CD9" w:rsidRDefault="009D75EF" w:rsidP="009D75EF">
            <w:pPr>
              <w:rPr>
                <w:rFonts w:ascii="Calibri" w:eastAsia="Calibri" w:hAnsi="Calibri"/>
                <w:szCs w:val="22"/>
              </w:rPr>
            </w:pPr>
          </w:p>
        </w:tc>
      </w:tr>
      <w:tr w:rsidR="009D75EF" w:rsidRPr="006A7CD9" w14:paraId="24A0323F" w14:textId="77777777" w:rsidTr="006A7CD9">
        <w:tc>
          <w:tcPr>
            <w:tcW w:w="704" w:type="dxa"/>
            <w:shd w:val="clear" w:color="auto" w:fill="auto"/>
          </w:tcPr>
          <w:p w14:paraId="6B2060DC" w14:textId="77777777" w:rsidR="009D75EF" w:rsidRPr="006A7CD9" w:rsidRDefault="009D75EF" w:rsidP="009D75EF">
            <w:pPr>
              <w:rPr>
                <w:rFonts w:eastAsia="Calibri" w:cs="Arial"/>
                <w:szCs w:val="22"/>
              </w:rPr>
            </w:pPr>
            <w:r w:rsidRPr="006A7CD9">
              <w:rPr>
                <w:rFonts w:eastAsia="Calibri" w:cs="Arial"/>
                <w:szCs w:val="22"/>
              </w:rPr>
              <w:t>[9]</w:t>
            </w:r>
          </w:p>
        </w:tc>
        <w:tc>
          <w:tcPr>
            <w:tcW w:w="8312" w:type="dxa"/>
            <w:shd w:val="clear" w:color="auto" w:fill="auto"/>
          </w:tcPr>
          <w:p w14:paraId="5430D520" w14:textId="77777777" w:rsidR="009D75EF" w:rsidRPr="006A7CD9" w:rsidRDefault="00725D50" w:rsidP="009D75EF">
            <w:pPr>
              <w:rPr>
                <w:rFonts w:eastAsia="Calibri" w:cs="Arial"/>
                <w:iCs/>
                <w:szCs w:val="22"/>
              </w:rPr>
            </w:pPr>
            <w:r>
              <w:rPr>
                <w:rFonts w:eastAsia="Calibri" w:cs="Arial"/>
                <w:iCs/>
                <w:szCs w:val="22"/>
              </w:rPr>
              <w:t xml:space="preserve">IEC 61513: 2011 edition 2 </w:t>
            </w:r>
            <w:r w:rsidR="009D75EF" w:rsidRPr="006A7CD9">
              <w:rPr>
                <w:rFonts w:eastAsia="Calibri" w:cs="Arial"/>
                <w:iCs/>
                <w:szCs w:val="22"/>
              </w:rPr>
              <w:t>Nuclear power plants. Instrumentation and control important to safety. General requirements for systems.</w:t>
            </w:r>
          </w:p>
          <w:p w14:paraId="706D1A8B" w14:textId="77777777" w:rsidR="009D75EF" w:rsidRPr="006A7CD9" w:rsidRDefault="009D75EF" w:rsidP="009D75EF">
            <w:pPr>
              <w:rPr>
                <w:rFonts w:eastAsia="Calibri" w:cs="Arial"/>
                <w:szCs w:val="22"/>
              </w:rPr>
            </w:pPr>
          </w:p>
        </w:tc>
      </w:tr>
      <w:tr w:rsidR="009D75EF" w:rsidRPr="006A7CD9" w14:paraId="70930080" w14:textId="77777777" w:rsidTr="006A7CD9">
        <w:tc>
          <w:tcPr>
            <w:tcW w:w="704" w:type="dxa"/>
            <w:shd w:val="clear" w:color="auto" w:fill="auto"/>
          </w:tcPr>
          <w:p w14:paraId="30B45628" w14:textId="77777777" w:rsidR="009D75EF" w:rsidRPr="006A7CD9" w:rsidRDefault="009D75EF" w:rsidP="009D75EF">
            <w:pPr>
              <w:rPr>
                <w:rFonts w:eastAsia="Calibri" w:cs="Arial"/>
                <w:szCs w:val="22"/>
              </w:rPr>
            </w:pPr>
            <w:r w:rsidRPr="006A7CD9">
              <w:rPr>
                <w:rFonts w:eastAsia="Calibri" w:cs="Arial"/>
                <w:szCs w:val="22"/>
              </w:rPr>
              <w:t>[10]</w:t>
            </w:r>
          </w:p>
        </w:tc>
        <w:tc>
          <w:tcPr>
            <w:tcW w:w="8312" w:type="dxa"/>
            <w:shd w:val="clear" w:color="auto" w:fill="auto"/>
          </w:tcPr>
          <w:p w14:paraId="115A0A03" w14:textId="77777777" w:rsidR="009D75EF" w:rsidRPr="006A7CD9" w:rsidRDefault="009D75EF" w:rsidP="009D75EF">
            <w:pPr>
              <w:rPr>
                <w:rFonts w:eastAsia="Calibri" w:cs="Arial"/>
                <w:iCs/>
                <w:szCs w:val="22"/>
              </w:rPr>
            </w:pPr>
            <w:r w:rsidRPr="006A7CD9">
              <w:rPr>
                <w:rFonts w:eastAsia="Calibri" w:cs="Arial"/>
                <w:iCs/>
                <w:szCs w:val="22"/>
              </w:rPr>
              <w:t xml:space="preserve">IEC TS 61000-1-2:2016 Electromagnetic Compatibility (EMC) – General. Methodology for the achievement of functional safety of electrical and electronic systems including equipment </w:t>
            </w:r>
            <w:proofErr w:type="gramStart"/>
            <w:r w:rsidRPr="006A7CD9">
              <w:rPr>
                <w:rFonts w:eastAsia="Calibri" w:cs="Arial"/>
                <w:iCs/>
                <w:szCs w:val="22"/>
              </w:rPr>
              <w:t>with regard to</w:t>
            </w:r>
            <w:proofErr w:type="gramEnd"/>
            <w:r w:rsidRPr="006A7CD9">
              <w:rPr>
                <w:rFonts w:eastAsia="Calibri" w:cs="Arial"/>
                <w:iCs/>
                <w:szCs w:val="22"/>
              </w:rPr>
              <w:t xml:space="preserve"> electromagnetic phenomena.</w:t>
            </w:r>
          </w:p>
          <w:p w14:paraId="463EC186" w14:textId="77777777" w:rsidR="009D75EF" w:rsidRPr="006A7CD9" w:rsidRDefault="009D75EF" w:rsidP="009D75EF">
            <w:pPr>
              <w:rPr>
                <w:rFonts w:eastAsia="Calibri" w:cs="Arial"/>
                <w:szCs w:val="22"/>
              </w:rPr>
            </w:pPr>
          </w:p>
        </w:tc>
      </w:tr>
      <w:tr w:rsidR="009D75EF" w:rsidRPr="006A7CD9" w14:paraId="7D0DF7ED" w14:textId="77777777" w:rsidTr="006A7CD9">
        <w:tc>
          <w:tcPr>
            <w:tcW w:w="704" w:type="dxa"/>
            <w:shd w:val="clear" w:color="auto" w:fill="auto"/>
          </w:tcPr>
          <w:p w14:paraId="52873200" w14:textId="77777777" w:rsidR="009D75EF" w:rsidRPr="006A7CD9" w:rsidRDefault="009D75EF" w:rsidP="009D75EF">
            <w:pPr>
              <w:rPr>
                <w:rFonts w:eastAsia="Calibri" w:cs="Arial"/>
                <w:szCs w:val="22"/>
              </w:rPr>
            </w:pPr>
            <w:r w:rsidRPr="006A7CD9">
              <w:rPr>
                <w:rFonts w:eastAsia="Calibri" w:cs="Arial"/>
                <w:szCs w:val="22"/>
              </w:rPr>
              <w:t>[11]</w:t>
            </w:r>
          </w:p>
        </w:tc>
        <w:tc>
          <w:tcPr>
            <w:tcW w:w="8312" w:type="dxa"/>
            <w:shd w:val="clear" w:color="auto" w:fill="auto"/>
          </w:tcPr>
          <w:p w14:paraId="2795FB73" w14:textId="77777777" w:rsidR="009D75EF" w:rsidRPr="006A7CD9" w:rsidRDefault="009D75EF" w:rsidP="009D75EF">
            <w:pPr>
              <w:rPr>
                <w:rFonts w:eastAsia="Calibri" w:cs="Arial"/>
                <w:iCs/>
                <w:szCs w:val="22"/>
              </w:rPr>
            </w:pPr>
            <w:r w:rsidRPr="006A7CD9">
              <w:rPr>
                <w:rFonts w:eastAsia="Calibri" w:cs="Arial"/>
                <w:iCs/>
                <w:szCs w:val="22"/>
              </w:rPr>
              <w:t>IEC 61000-1 Electromagnetic compatibility (EMC) - Part 1: General.</w:t>
            </w:r>
          </w:p>
          <w:p w14:paraId="3FDC2F43" w14:textId="77777777" w:rsidR="009D75EF" w:rsidRPr="006A7CD9" w:rsidRDefault="009D75EF" w:rsidP="009D75EF">
            <w:pPr>
              <w:rPr>
                <w:rFonts w:eastAsia="Calibri" w:cs="Arial"/>
                <w:szCs w:val="22"/>
              </w:rPr>
            </w:pPr>
          </w:p>
        </w:tc>
      </w:tr>
      <w:tr w:rsidR="009D75EF" w:rsidRPr="006A7CD9" w14:paraId="66370717" w14:textId="77777777" w:rsidTr="006A7CD9">
        <w:tc>
          <w:tcPr>
            <w:tcW w:w="704" w:type="dxa"/>
            <w:shd w:val="clear" w:color="auto" w:fill="auto"/>
          </w:tcPr>
          <w:p w14:paraId="1BED3018" w14:textId="77777777" w:rsidR="009D75EF" w:rsidRPr="006A7CD9" w:rsidRDefault="009D75EF" w:rsidP="009D75EF">
            <w:pPr>
              <w:rPr>
                <w:rFonts w:eastAsia="Calibri" w:cs="Arial"/>
                <w:szCs w:val="22"/>
              </w:rPr>
            </w:pPr>
            <w:r w:rsidRPr="006A7CD9">
              <w:rPr>
                <w:rFonts w:eastAsia="Calibri" w:cs="Arial"/>
                <w:szCs w:val="22"/>
              </w:rPr>
              <w:t>[12]</w:t>
            </w:r>
          </w:p>
        </w:tc>
        <w:tc>
          <w:tcPr>
            <w:tcW w:w="8312" w:type="dxa"/>
            <w:shd w:val="clear" w:color="auto" w:fill="auto"/>
          </w:tcPr>
          <w:p w14:paraId="755AB8E5" w14:textId="77777777" w:rsidR="009D75EF" w:rsidRPr="006A7CD9" w:rsidRDefault="009D75EF" w:rsidP="009D75EF">
            <w:pPr>
              <w:rPr>
                <w:rFonts w:eastAsia="Calibri" w:cs="Arial"/>
                <w:iCs/>
                <w:szCs w:val="22"/>
              </w:rPr>
            </w:pPr>
            <w:r w:rsidRPr="006A7CD9">
              <w:rPr>
                <w:rFonts w:eastAsia="Calibri" w:cs="Arial"/>
                <w:iCs/>
                <w:szCs w:val="22"/>
              </w:rPr>
              <w:t>IEC 61000-2 Electromagnetic compatibility (EMC) - Part 2: Environment.</w:t>
            </w:r>
          </w:p>
          <w:p w14:paraId="34742187" w14:textId="77777777" w:rsidR="009D75EF" w:rsidRPr="006A7CD9" w:rsidRDefault="009D75EF" w:rsidP="009D75EF">
            <w:pPr>
              <w:rPr>
                <w:rFonts w:eastAsia="Calibri" w:cs="Arial"/>
                <w:iCs/>
                <w:szCs w:val="22"/>
              </w:rPr>
            </w:pPr>
          </w:p>
        </w:tc>
      </w:tr>
      <w:tr w:rsidR="009D75EF" w:rsidRPr="006A7CD9" w14:paraId="5E42B112" w14:textId="77777777" w:rsidTr="006A7CD9">
        <w:tc>
          <w:tcPr>
            <w:tcW w:w="704" w:type="dxa"/>
            <w:shd w:val="clear" w:color="auto" w:fill="auto"/>
          </w:tcPr>
          <w:p w14:paraId="6817EF65" w14:textId="77777777" w:rsidR="009D75EF" w:rsidRPr="006A7CD9" w:rsidRDefault="009D75EF" w:rsidP="009D75EF">
            <w:pPr>
              <w:rPr>
                <w:rFonts w:eastAsia="Calibri" w:cs="Arial"/>
                <w:szCs w:val="22"/>
              </w:rPr>
            </w:pPr>
            <w:r w:rsidRPr="006A7CD9">
              <w:rPr>
                <w:rFonts w:eastAsia="Calibri" w:cs="Arial"/>
                <w:szCs w:val="22"/>
              </w:rPr>
              <w:t>[13]</w:t>
            </w:r>
          </w:p>
        </w:tc>
        <w:tc>
          <w:tcPr>
            <w:tcW w:w="8312" w:type="dxa"/>
            <w:shd w:val="clear" w:color="auto" w:fill="auto"/>
          </w:tcPr>
          <w:p w14:paraId="7947E10F" w14:textId="77777777" w:rsidR="009D75EF" w:rsidRPr="006A7CD9" w:rsidRDefault="009D75EF" w:rsidP="009D75EF">
            <w:pPr>
              <w:rPr>
                <w:rFonts w:eastAsia="Calibri" w:cs="Arial"/>
                <w:iCs/>
                <w:szCs w:val="22"/>
              </w:rPr>
            </w:pPr>
            <w:r w:rsidRPr="006A7CD9">
              <w:rPr>
                <w:rFonts w:eastAsia="Calibri" w:cs="Arial"/>
                <w:iCs/>
                <w:szCs w:val="22"/>
              </w:rPr>
              <w:t>IEC 61000-3 Electromagnetic compatibility (EMC) - Part 3: Limits.</w:t>
            </w:r>
          </w:p>
          <w:p w14:paraId="559207D1" w14:textId="77777777" w:rsidR="009D75EF" w:rsidRPr="006A7CD9" w:rsidRDefault="009D75EF" w:rsidP="009D75EF">
            <w:pPr>
              <w:rPr>
                <w:rFonts w:eastAsia="Calibri" w:cs="Arial"/>
                <w:iCs/>
                <w:szCs w:val="22"/>
              </w:rPr>
            </w:pPr>
          </w:p>
        </w:tc>
      </w:tr>
      <w:tr w:rsidR="009D75EF" w:rsidRPr="006A7CD9" w14:paraId="0F1470AC" w14:textId="77777777" w:rsidTr="006A7CD9">
        <w:tc>
          <w:tcPr>
            <w:tcW w:w="704" w:type="dxa"/>
            <w:shd w:val="clear" w:color="auto" w:fill="auto"/>
          </w:tcPr>
          <w:p w14:paraId="3F8FD8B4" w14:textId="77777777" w:rsidR="009D75EF" w:rsidRPr="006A7CD9" w:rsidRDefault="009D75EF" w:rsidP="009D75EF">
            <w:pPr>
              <w:rPr>
                <w:rFonts w:eastAsia="Calibri" w:cs="Arial"/>
                <w:szCs w:val="22"/>
              </w:rPr>
            </w:pPr>
            <w:r w:rsidRPr="006A7CD9">
              <w:rPr>
                <w:rFonts w:eastAsia="Calibri" w:cs="Arial"/>
                <w:szCs w:val="22"/>
              </w:rPr>
              <w:t>[14]</w:t>
            </w:r>
          </w:p>
        </w:tc>
        <w:tc>
          <w:tcPr>
            <w:tcW w:w="8312" w:type="dxa"/>
            <w:shd w:val="clear" w:color="auto" w:fill="auto"/>
          </w:tcPr>
          <w:p w14:paraId="0C795114" w14:textId="77777777" w:rsidR="009D75EF" w:rsidRPr="006A7CD9" w:rsidRDefault="009D75EF" w:rsidP="009D75EF">
            <w:pPr>
              <w:rPr>
                <w:rFonts w:eastAsia="Calibri" w:cs="Arial"/>
                <w:iCs/>
                <w:szCs w:val="22"/>
              </w:rPr>
            </w:pPr>
            <w:r w:rsidRPr="006A7CD9">
              <w:rPr>
                <w:rFonts w:eastAsia="Calibri" w:cs="Arial"/>
                <w:iCs/>
                <w:szCs w:val="22"/>
              </w:rPr>
              <w:t>IEC 61000-4 Electromagnetic compatibility (EMC) - Part 4: Testing and measurement techniques.</w:t>
            </w:r>
          </w:p>
          <w:p w14:paraId="25281E05" w14:textId="77777777" w:rsidR="009D75EF" w:rsidRPr="006A7CD9" w:rsidRDefault="009D75EF" w:rsidP="009D75EF">
            <w:pPr>
              <w:rPr>
                <w:rFonts w:eastAsia="Calibri" w:cs="Arial"/>
                <w:iCs/>
                <w:szCs w:val="22"/>
              </w:rPr>
            </w:pPr>
          </w:p>
        </w:tc>
      </w:tr>
      <w:tr w:rsidR="009D75EF" w:rsidRPr="006A7CD9" w14:paraId="0AC4DD0F" w14:textId="77777777" w:rsidTr="006A7CD9">
        <w:tc>
          <w:tcPr>
            <w:tcW w:w="704" w:type="dxa"/>
            <w:shd w:val="clear" w:color="auto" w:fill="auto"/>
          </w:tcPr>
          <w:p w14:paraId="1E333B92" w14:textId="77777777" w:rsidR="009D75EF" w:rsidRPr="006A7CD9" w:rsidRDefault="009D75EF" w:rsidP="009D75EF">
            <w:pPr>
              <w:rPr>
                <w:rFonts w:eastAsia="Calibri" w:cs="Arial"/>
                <w:szCs w:val="22"/>
              </w:rPr>
            </w:pPr>
            <w:r w:rsidRPr="006A7CD9">
              <w:rPr>
                <w:rFonts w:eastAsia="Calibri" w:cs="Arial"/>
                <w:szCs w:val="22"/>
              </w:rPr>
              <w:t>[15]</w:t>
            </w:r>
          </w:p>
        </w:tc>
        <w:tc>
          <w:tcPr>
            <w:tcW w:w="8312" w:type="dxa"/>
            <w:shd w:val="clear" w:color="auto" w:fill="auto"/>
          </w:tcPr>
          <w:p w14:paraId="2E8115A6" w14:textId="77777777" w:rsidR="009D75EF" w:rsidRPr="006A7CD9" w:rsidRDefault="009D75EF" w:rsidP="009D75EF">
            <w:pPr>
              <w:rPr>
                <w:rFonts w:eastAsia="Calibri" w:cs="Arial"/>
                <w:iCs/>
                <w:szCs w:val="22"/>
              </w:rPr>
            </w:pPr>
            <w:r w:rsidRPr="006A7CD9">
              <w:rPr>
                <w:rFonts w:eastAsia="Calibri" w:cs="Arial"/>
                <w:iCs/>
                <w:szCs w:val="22"/>
              </w:rPr>
              <w:t>IEC 61000-5 Electromagnetic compatibility (EMC) - Part 5: Installation and mitigation guidelines.</w:t>
            </w:r>
          </w:p>
          <w:p w14:paraId="29285154" w14:textId="77777777" w:rsidR="009D75EF" w:rsidRPr="006A7CD9" w:rsidRDefault="009D75EF" w:rsidP="009D75EF">
            <w:pPr>
              <w:rPr>
                <w:rFonts w:eastAsia="Calibri" w:cs="Arial"/>
                <w:iCs/>
                <w:szCs w:val="22"/>
              </w:rPr>
            </w:pPr>
          </w:p>
        </w:tc>
      </w:tr>
      <w:tr w:rsidR="009D75EF" w:rsidRPr="006A7CD9" w14:paraId="66794583" w14:textId="77777777" w:rsidTr="006A7CD9">
        <w:tc>
          <w:tcPr>
            <w:tcW w:w="704" w:type="dxa"/>
            <w:shd w:val="clear" w:color="auto" w:fill="auto"/>
          </w:tcPr>
          <w:p w14:paraId="3D613E40" w14:textId="77777777" w:rsidR="009D75EF" w:rsidRPr="006A7CD9" w:rsidRDefault="009D75EF" w:rsidP="009D75EF">
            <w:pPr>
              <w:rPr>
                <w:rFonts w:eastAsia="Calibri" w:cs="Arial"/>
                <w:szCs w:val="22"/>
              </w:rPr>
            </w:pPr>
            <w:r w:rsidRPr="006A7CD9">
              <w:rPr>
                <w:rFonts w:eastAsia="Calibri" w:cs="Arial"/>
                <w:szCs w:val="22"/>
              </w:rPr>
              <w:t>[16]</w:t>
            </w:r>
          </w:p>
        </w:tc>
        <w:tc>
          <w:tcPr>
            <w:tcW w:w="8312" w:type="dxa"/>
            <w:shd w:val="clear" w:color="auto" w:fill="auto"/>
          </w:tcPr>
          <w:p w14:paraId="569DE0C2" w14:textId="77777777" w:rsidR="009D75EF" w:rsidRPr="006A7CD9" w:rsidRDefault="009D75EF" w:rsidP="009D75EF">
            <w:pPr>
              <w:rPr>
                <w:rFonts w:eastAsia="Calibri" w:cs="Arial"/>
                <w:iCs/>
                <w:szCs w:val="22"/>
              </w:rPr>
            </w:pPr>
            <w:r w:rsidRPr="006A7CD9">
              <w:rPr>
                <w:rFonts w:eastAsia="Calibri" w:cs="Arial"/>
                <w:iCs/>
                <w:szCs w:val="22"/>
              </w:rPr>
              <w:t>IEC 61000-6 Electromagnetic compatibility (EMC) - Part 6: Generic Standards.</w:t>
            </w:r>
          </w:p>
          <w:p w14:paraId="01C46592" w14:textId="77777777" w:rsidR="009D75EF" w:rsidRPr="006A7CD9" w:rsidRDefault="009D75EF" w:rsidP="009D75EF">
            <w:pPr>
              <w:rPr>
                <w:rFonts w:eastAsia="Calibri" w:cs="Arial"/>
                <w:iCs/>
                <w:szCs w:val="22"/>
              </w:rPr>
            </w:pPr>
          </w:p>
        </w:tc>
      </w:tr>
      <w:tr w:rsidR="009D75EF" w:rsidRPr="006A7CD9" w14:paraId="253F27E6" w14:textId="77777777" w:rsidTr="006A7CD9">
        <w:trPr>
          <w:trHeight w:val="610"/>
        </w:trPr>
        <w:tc>
          <w:tcPr>
            <w:tcW w:w="704" w:type="dxa"/>
            <w:shd w:val="clear" w:color="auto" w:fill="auto"/>
          </w:tcPr>
          <w:p w14:paraId="556CAAA0" w14:textId="77777777" w:rsidR="009D75EF" w:rsidRPr="006A7CD9" w:rsidRDefault="009D75EF" w:rsidP="009D75EF">
            <w:pPr>
              <w:rPr>
                <w:rFonts w:eastAsia="Calibri" w:cs="Arial"/>
                <w:szCs w:val="22"/>
              </w:rPr>
            </w:pPr>
            <w:r w:rsidRPr="006A7CD9">
              <w:rPr>
                <w:rFonts w:eastAsia="Calibri" w:cs="Arial"/>
                <w:szCs w:val="22"/>
              </w:rPr>
              <w:t>[17]</w:t>
            </w:r>
          </w:p>
        </w:tc>
        <w:tc>
          <w:tcPr>
            <w:tcW w:w="8312" w:type="dxa"/>
            <w:shd w:val="clear" w:color="auto" w:fill="auto"/>
          </w:tcPr>
          <w:p w14:paraId="44DAAC84" w14:textId="77777777" w:rsidR="009D75EF" w:rsidRPr="006A7CD9" w:rsidRDefault="009D75EF" w:rsidP="009D75EF">
            <w:pPr>
              <w:rPr>
                <w:rFonts w:eastAsia="Calibri" w:cs="Arial"/>
                <w:iCs/>
                <w:szCs w:val="22"/>
              </w:rPr>
            </w:pPr>
            <w:r w:rsidRPr="006A7CD9">
              <w:rPr>
                <w:rFonts w:eastAsia="Calibri" w:cs="Arial"/>
                <w:iCs/>
                <w:szCs w:val="22"/>
              </w:rPr>
              <w:t>IET Code of Practice for Electromagnetic Resilience (2017).</w:t>
            </w:r>
          </w:p>
          <w:p w14:paraId="14192F7A" w14:textId="77777777" w:rsidR="009D75EF" w:rsidRPr="006A7CD9" w:rsidRDefault="009D75EF" w:rsidP="009D75EF">
            <w:pPr>
              <w:rPr>
                <w:rFonts w:eastAsia="Calibri" w:cs="Arial"/>
                <w:iCs/>
                <w:szCs w:val="22"/>
              </w:rPr>
            </w:pPr>
          </w:p>
        </w:tc>
      </w:tr>
      <w:tr w:rsidR="009D75EF" w:rsidRPr="006A7CD9" w14:paraId="73BD62DC" w14:textId="77777777" w:rsidTr="006A7CD9">
        <w:tc>
          <w:tcPr>
            <w:tcW w:w="704" w:type="dxa"/>
            <w:shd w:val="clear" w:color="auto" w:fill="auto"/>
          </w:tcPr>
          <w:p w14:paraId="02EA6E76" w14:textId="77777777" w:rsidR="009D75EF" w:rsidRPr="006A7CD9" w:rsidRDefault="009D75EF" w:rsidP="00B3126D">
            <w:pPr>
              <w:rPr>
                <w:rFonts w:eastAsia="Calibri" w:cs="Arial"/>
                <w:szCs w:val="22"/>
              </w:rPr>
            </w:pPr>
            <w:r w:rsidRPr="006A7CD9">
              <w:rPr>
                <w:rFonts w:eastAsia="Calibri" w:cs="Arial"/>
                <w:szCs w:val="22"/>
              </w:rPr>
              <w:t>[1</w:t>
            </w:r>
            <w:r w:rsidR="00B3126D" w:rsidRPr="006A7CD9">
              <w:rPr>
                <w:rFonts w:eastAsia="Calibri" w:cs="Arial"/>
                <w:szCs w:val="22"/>
              </w:rPr>
              <w:t>8</w:t>
            </w:r>
            <w:r w:rsidRPr="006A7CD9">
              <w:rPr>
                <w:rFonts w:eastAsia="Calibri" w:cs="Arial"/>
                <w:szCs w:val="22"/>
              </w:rPr>
              <w:t>]</w:t>
            </w:r>
          </w:p>
        </w:tc>
        <w:tc>
          <w:tcPr>
            <w:tcW w:w="8312" w:type="dxa"/>
            <w:shd w:val="clear" w:color="auto" w:fill="auto"/>
          </w:tcPr>
          <w:p w14:paraId="769C586A" w14:textId="77777777" w:rsidR="009D75EF" w:rsidRPr="006A7CD9" w:rsidRDefault="009D75EF" w:rsidP="009D75EF">
            <w:pPr>
              <w:rPr>
                <w:rFonts w:eastAsia="Calibri" w:cs="Arial"/>
                <w:iCs/>
                <w:szCs w:val="22"/>
              </w:rPr>
            </w:pPr>
            <w:r w:rsidRPr="006A7CD9">
              <w:rPr>
                <w:rFonts w:eastAsia="Calibri" w:cs="Arial"/>
                <w:iCs/>
                <w:szCs w:val="22"/>
              </w:rPr>
              <w:t xml:space="preserve">IAEA SSG-34 – </w:t>
            </w:r>
            <w:r w:rsidR="00E76C53" w:rsidRPr="00E76C53">
              <w:rPr>
                <w:rFonts w:eastAsia="Calibri" w:cs="Arial"/>
                <w:iCs/>
                <w:szCs w:val="22"/>
              </w:rPr>
              <w:t>Design of Electrical Power Systems for Nuclear Power Plants, IAEA Safety Standards Series No. SSG-34, IAEA, Vienna (2016).</w:t>
            </w:r>
          </w:p>
          <w:p w14:paraId="66F8D983" w14:textId="77777777" w:rsidR="009D75EF" w:rsidRPr="006A7CD9" w:rsidRDefault="009D75EF" w:rsidP="009D75EF">
            <w:pPr>
              <w:rPr>
                <w:rFonts w:eastAsia="Calibri" w:cs="Arial"/>
                <w:iCs/>
                <w:szCs w:val="22"/>
              </w:rPr>
            </w:pPr>
          </w:p>
        </w:tc>
      </w:tr>
      <w:tr w:rsidR="009D75EF" w:rsidRPr="006A7CD9" w14:paraId="3C8E2F47" w14:textId="77777777" w:rsidTr="006A7CD9">
        <w:tc>
          <w:tcPr>
            <w:tcW w:w="704" w:type="dxa"/>
            <w:shd w:val="clear" w:color="auto" w:fill="auto"/>
          </w:tcPr>
          <w:p w14:paraId="43867DD2" w14:textId="77777777" w:rsidR="009D75EF" w:rsidRPr="006A7CD9" w:rsidRDefault="009D75EF" w:rsidP="00B3126D">
            <w:pPr>
              <w:rPr>
                <w:rFonts w:eastAsia="Calibri" w:cs="Arial"/>
                <w:szCs w:val="22"/>
              </w:rPr>
            </w:pPr>
            <w:r w:rsidRPr="006A7CD9">
              <w:rPr>
                <w:rFonts w:eastAsia="Calibri" w:cs="Arial"/>
                <w:szCs w:val="22"/>
              </w:rPr>
              <w:lastRenderedPageBreak/>
              <w:t>[</w:t>
            </w:r>
            <w:r w:rsidR="00B3126D" w:rsidRPr="006A7CD9">
              <w:rPr>
                <w:rFonts w:eastAsia="Calibri" w:cs="Arial"/>
                <w:szCs w:val="22"/>
              </w:rPr>
              <w:t>19</w:t>
            </w:r>
            <w:r w:rsidRPr="006A7CD9">
              <w:rPr>
                <w:rFonts w:eastAsia="Calibri" w:cs="Arial"/>
                <w:szCs w:val="22"/>
              </w:rPr>
              <w:t>]</w:t>
            </w:r>
          </w:p>
        </w:tc>
        <w:tc>
          <w:tcPr>
            <w:tcW w:w="8312" w:type="dxa"/>
            <w:shd w:val="clear" w:color="auto" w:fill="auto"/>
          </w:tcPr>
          <w:p w14:paraId="1995AA59" w14:textId="77777777" w:rsidR="00CA3943" w:rsidRPr="006A7CD9" w:rsidRDefault="009D75EF" w:rsidP="00CA3943">
            <w:pPr>
              <w:rPr>
                <w:rFonts w:eastAsia="Calibri" w:cs="Arial"/>
                <w:iCs/>
                <w:szCs w:val="22"/>
              </w:rPr>
            </w:pPr>
            <w:r w:rsidRPr="006A7CD9">
              <w:rPr>
                <w:rFonts w:eastAsia="Calibri" w:cs="Arial"/>
                <w:iCs/>
                <w:szCs w:val="22"/>
              </w:rPr>
              <w:t>IAEA SSG-39 – Design of Instrumentation and Control Systems for Nuclear Po</w:t>
            </w:r>
            <w:r w:rsidR="00E76C53">
              <w:rPr>
                <w:rFonts w:eastAsia="Calibri" w:cs="Arial"/>
                <w:iCs/>
                <w:szCs w:val="22"/>
              </w:rPr>
              <w:t xml:space="preserve">wer Plants, </w:t>
            </w:r>
            <w:r w:rsidR="00E76C53" w:rsidRPr="00E76C53">
              <w:rPr>
                <w:rFonts w:eastAsia="Calibri" w:cs="Arial"/>
                <w:iCs/>
                <w:szCs w:val="22"/>
              </w:rPr>
              <w:t>IAEA Safety Standards Series No. SSG-34, IAEA, Vienna (2016).</w:t>
            </w:r>
          </w:p>
          <w:p w14:paraId="1DB4CFA2" w14:textId="77777777" w:rsidR="009D75EF" w:rsidRPr="006A7CD9" w:rsidRDefault="009D75EF" w:rsidP="009D75EF">
            <w:pPr>
              <w:rPr>
                <w:rFonts w:eastAsia="Calibri" w:cs="Arial"/>
                <w:iCs/>
                <w:szCs w:val="22"/>
              </w:rPr>
            </w:pPr>
          </w:p>
        </w:tc>
      </w:tr>
      <w:tr w:rsidR="00CA3943" w:rsidRPr="006A7CD9" w14:paraId="67456155" w14:textId="77777777" w:rsidTr="006A7CD9">
        <w:tc>
          <w:tcPr>
            <w:tcW w:w="704" w:type="dxa"/>
            <w:shd w:val="clear" w:color="auto" w:fill="auto"/>
          </w:tcPr>
          <w:p w14:paraId="35B87DD3" w14:textId="77777777" w:rsidR="00CA3943" w:rsidRDefault="00CA3943" w:rsidP="00B3126D">
            <w:pPr>
              <w:rPr>
                <w:rFonts w:eastAsia="Calibri" w:cs="Arial"/>
                <w:szCs w:val="22"/>
              </w:rPr>
            </w:pPr>
            <w:r>
              <w:rPr>
                <w:rFonts w:eastAsia="Calibri" w:cs="Arial"/>
                <w:szCs w:val="22"/>
              </w:rPr>
              <w:t>[20]</w:t>
            </w:r>
          </w:p>
          <w:p w14:paraId="01BFE8FD" w14:textId="77777777" w:rsidR="00902721" w:rsidRDefault="00902721" w:rsidP="00B3126D">
            <w:pPr>
              <w:rPr>
                <w:rFonts w:eastAsia="Calibri" w:cs="Arial"/>
                <w:szCs w:val="22"/>
              </w:rPr>
            </w:pPr>
          </w:p>
          <w:p w14:paraId="3A59E383" w14:textId="77777777" w:rsidR="00902721" w:rsidRDefault="00902721" w:rsidP="00B3126D">
            <w:pPr>
              <w:rPr>
                <w:rFonts w:eastAsia="Calibri" w:cs="Arial"/>
                <w:szCs w:val="22"/>
              </w:rPr>
            </w:pPr>
          </w:p>
          <w:p w14:paraId="2579FBE0" w14:textId="77777777" w:rsidR="00902721" w:rsidRDefault="00902721" w:rsidP="00B3126D">
            <w:pPr>
              <w:rPr>
                <w:rFonts w:eastAsia="Calibri" w:cs="Arial"/>
                <w:szCs w:val="22"/>
              </w:rPr>
            </w:pPr>
          </w:p>
          <w:p w14:paraId="53C07E57" w14:textId="77777777" w:rsidR="00902721" w:rsidRPr="006A7CD9" w:rsidRDefault="00902721" w:rsidP="00902721">
            <w:pPr>
              <w:rPr>
                <w:rFonts w:eastAsia="Calibri" w:cs="Arial"/>
                <w:szCs w:val="22"/>
              </w:rPr>
            </w:pPr>
          </w:p>
        </w:tc>
        <w:tc>
          <w:tcPr>
            <w:tcW w:w="8312" w:type="dxa"/>
            <w:shd w:val="clear" w:color="auto" w:fill="auto"/>
          </w:tcPr>
          <w:p w14:paraId="1ABBB1C4" w14:textId="77777777" w:rsidR="00CA3943" w:rsidRDefault="00CA3943" w:rsidP="00725D50">
            <w:pPr>
              <w:rPr>
                <w:rFonts w:eastAsia="Calibri"/>
                <w:noProof/>
                <w:color w:val="0563C1"/>
                <w:u w:val="single"/>
              </w:rPr>
            </w:pPr>
            <w:r w:rsidRPr="00CA3943">
              <w:rPr>
                <w:rFonts w:eastAsia="Calibri" w:cs="Arial"/>
                <w:iCs/>
                <w:szCs w:val="22"/>
              </w:rPr>
              <w:t>ONR, NS-TAST-GD-01</w:t>
            </w:r>
            <w:r>
              <w:rPr>
                <w:rFonts w:eastAsia="Calibri" w:cs="Arial"/>
                <w:iCs/>
                <w:szCs w:val="22"/>
              </w:rPr>
              <w:t>4</w:t>
            </w:r>
            <w:r w:rsidRPr="00CA3943">
              <w:rPr>
                <w:rFonts w:eastAsia="Calibri" w:cs="Arial"/>
                <w:iCs/>
                <w:szCs w:val="22"/>
              </w:rPr>
              <w:t xml:space="preserve">, Rev. </w:t>
            </w:r>
            <w:r>
              <w:rPr>
                <w:rFonts w:eastAsia="Calibri" w:cs="Arial"/>
                <w:iCs/>
                <w:szCs w:val="22"/>
              </w:rPr>
              <w:t>5</w:t>
            </w:r>
            <w:r w:rsidRPr="00CA3943">
              <w:rPr>
                <w:rFonts w:eastAsia="Calibri" w:cs="Arial"/>
                <w:iCs/>
                <w:szCs w:val="22"/>
              </w:rPr>
              <w:t xml:space="preserve">, Nuclear Safety Technical Assessment Guide: </w:t>
            </w:r>
            <w:r>
              <w:rPr>
                <w:rFonts w:eastAsia="Calibri" w:cs="Arial"/>
                <w:iCs/>
                <w:szCs w:val="22"/>
              </w:rPr>
              <w:t>In</w:t>
            </w:r>
            <w:r w:rsidRPr="00CA3943">
              <w:rPr>
                <w:rFonts w:eastAsia="Calibri" w:cs="Arial"/>
                <w:iCs/>
                <w:szCs w:val="22"/>
              </w:rPr>
              <w:t xml:space="preserve">ternal Hazards,” </w:t>
            </w:r>
            <w:r w:rsidR="00725D50">
              <w:rPr>
                <w:rFonts w:eastAsia="Calibri" w:cs="Arial"/>
                <w:iCs/>
                <w:szCs w:val="22"/>
              </w:rPr>
              <w:t xml:space="preserve">November 2019. </w:t>
            </w:r>
            <w:hyperlink r:id="rId16" w:history="1">
              <w:r w:rsidR="00725D50" w:rsidRPr="003656FC">
                <w:rPr>
                  <w:rFonts w:eastAsia="Calibri"/>
                  <w:noProof/>
                  <w:color w:val="0563C1"/>
                  <w:u w:val="single"/>
                </w:rPr>
                <w:t>www.onr.org.uk/operational/tech_asst_guides/ns-tast-gd-014.pdf</w:t>
              </w:r>
            </w:hyperlink>
            <w:r w:rsidR="00725D50" w:rsidRPr="003656FC">
              <w:rPr>
                <w:rFonts w:eastAsia="Calibri"/>
                <w:noProof/>
                <w:color w:val="0563C1"/>
                <w:u w:val="single"/>
              </w:rPr>
              <w:t>.</w:t>
            </w:r>
          </w:p>
          <w:p w14:paraId="2D9F5DBB" w14:textId="77777777" w:rsidR="00902721" w:rsidRDefault="00902721" w:rsidP="00725D50">
            <w:pPr>
              <w:rPr>
                <w:rFonts w:eastAsia="Calibri"/>
                <w:noProof/>
                <w:color w:val="0563C1"/>
                <w:u w:val="single"/>
              </w:rPr>
            </w:pPr>
          </w:p>
          <w:p w14:paraId="55DBAB3F" w14:textId="77777777" w:rsidR="00902721" w:rsidRPr="006A7CD9" w:rsidRDefault="00902721" w:rsidP="00725D50">
            <w:pPr>
              <w:rPr>
                <w:rFonts w:eastAsia="Calibri" w:cs="Arial"/>
                <w:iCs/>
                <w:szCs w:val="22"/>
              </w:rPr>
            </w:pPr>
            <w:r>
              <w:rPr>
                <w:rFonts w:cs="Arial"/>
                <w:color w:val="111111"/>
                <w:szCs w:val="22"/>
              </w:rPr>
              <w:t xml:space="preserve"> </w:t>
            </w:r>
          </w:p>
        </w:tc>
      </w:tr>
    </w:tbl>
    <w:p w14:paraId="6BB3E4B9" w14:textId="77777777" w:rsidR="00F971CA" w:rsidRPr="00AB5218" w:rsidRDefault="00F971CA" w:rsidP="009D75EF">
      <w:pPr>
        <w:ind w:left="720"/>
        <w:rPr>
          <w:rStyle w:val="TSExampleText"/>
          <w:rFonts w:cs="Arial"/>
          <w:i w:val="0"/>
          <w:color w:val="000000"/>
          <w:szCs w:val="22"/>
        </w:rPr>
      </w:pPr>
    </w:p>
    <w:p w14:paraId="6F5A8E28" w14:textId="77777777" w:rsidR="009B5159" w:rsidRPr="00AB5218" w:rsidRDefault="009B5159" w:rsidP="009B5159">
      <w:pPr>
        <w:rPr>
          <w:rStyle w:val="TSExampleText"/>
          <w:rFonts w:cs="Arial"/>
          <w:szCs w:val="22"/>
        </w:rPr>
      </w:pPr>
    </w:p>
    <w:p w14:paraId="000C859A" w14:textId="77777777" w:rsidR="009B5159" w:rsidRPr="00AB5218" w:rsidRDefault="009B5159" w:rsidP="009B5159">
      <w:pPr>
        <w:rPr>
          <w:rFonts w:cs="Arial"/>
          <w:szCs w:val="22"/>
        </w:rPr>
      </w:pPr>
    </w:p>
    <w:p w14:paraId="7B6E1C2A" w14:textId="77777777" w:rsidR="00FD170B" w:rsidRPr="00AB5218" w:rsidRDefault="00FD170B" w:rsidP="00FD170B">
      <w:pPr>
        <w:pStyle w:val="TSHeadingNumbered1"/>
        <w:numPr>
          <w:ilvl w:val="0"/>
          <w:numId w:val="0"/>
        </w:numPr>
        <w:rPr>
          <w:rFonts w:ascii="Arial" w:hAnsi="Arial" w:cs="Arial"/>
          <w:szCs w:val="22"/>
        </w:rPr>
      </w:pPr>
    </w:p>
    <w:sectPr w:rsidR="00FD170B" w:rsidRPr="00AB5218" w:rsidSect="00A64CA0">
      <w:headerReference w:type="default" r:id="rId17"/>
      <w:footerReference w:type="default" r:id="rId18"/>
      <w:headerReference w:type="first" r:id="rId19"/>
      <w:footerReference w:type="first" r:id="rId20"/>
      <w:pgSz w:w="11906" w:h="16838" w:code="9"/>
      <w:pgMar w:top="1134" w:right="1134" w:bottom="1134" w:left="1588" w:header="431" w:footer="62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97A0" w14:textId="77777777" w:rsidR="005C33FB" w:rsidRDefault="005C33FB">
      <w:r>
        <w:separator/>
      </w:r>
    </w:p>
  </w:endnote>
  <w:endnote w:type="continuationSeparator" w:id="0">
    <w:p w14:paraId="28115F35" w14:textId="77777777" w:rsidR="005C33FB" w:rsidRDefault="005C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88C5" w14:textId="77777777" w:rsidR="00FD170B" w:rsidRDefault="00FD170B" w:rsidP="00FD170B">
    <w:pPr>
      <w:pStyle w:val="Header"/>
      <w:jc w:val="center"/>
      <w:rPr>
        <w:b/>
        <w:color w:val="006D68"/>
        <w:sz w:val="14"/>
        <w:szCs w:val="14"/>
      </w:rPr>
    </w:pPr>
  </w:p>
  <w:p w14:paraId="5CC8D74A" w14:textId="77777777" w:rsidR="00985E68" w:rsidRDefault="00985E68" w:rsidP="00985E68">
    <w:pPr>
      <w:pStyle w:val="Header"/>
      <w:jc w:val="center"/>
      <w:rPr>
        <w:b/>
        <w:color w:val="006D68"/>
        <w:sz w:val="14"/>
        <w:szCs w:val="14"/>
      </w:rPr>
    </w:pPr>
  </w:p>
  <w:p w14:paraId="1FF8171D" w14:textId="77777777" w:rsidR="00985E68" w:rsidRDefault="00985E68" w:rsidP="00985E68">
    <w:pPr>
      <w:pStyle w:val="Footer"/>
      <w:tabs>
        <w:tab w:val="clear" w:pos="4153"/>
        <w:tab w:val="clear" w:pos="8306"/>
        <w:tab w:val="right" w:pos="9214"/>
      </w:tabs>
      <w:jc w:val="center"/>
      <w:rPr>
        <w:color w:val="006D68"/>
        <w:sz w:val="14"/>
        <w:szCs w:val="14"/>
      </w:rPr>
    </w:pPr>
  </w:p>
  <w:p w14:paraId="0B9B763A" w14:textId="77777777" w:rsidR="003A0CCE" w:rsidRPr="006D1CA2" w:rsidRDefault="003A0CCE" w:rsidP="00487A22">
    <w:pPr>
      <w:pStyle w:val="Footer"/>
      <w:tabs>
        <w:tab w:val="clear" w:pos="4153"/>
        <w:tab w:val="clear" w:pos="8306"/>
        <w:tab w:val="right" w:pos="9214"/>
      </w:tabs>
      <w:rPr>
        <w:color w:val="006D68"/>
        <w:sz w:val="14"/>
        <w:szCs w:val="14"/>
        <w:lang w:val="fr-FR"/>
      </w:rPr>
    </w:pPr>
    <w:r w:rsidRPr="006D1CA2">
      <w:rPr>
        <w:color w:val="006D68"/>
        <w:sz w:val="14"/>
        <w:szCs w:val="14"/>
        <w:lang w:val="fr-FR"/>
      </w:rPr>
      <w:t>NS-TAST-GD-</w:t>
    </w:r>
    <w:r w:rsidR="00BA453C" w:rsidRPr="006D1CA2">
      <w:rPr>
        <w:color w:val="006D68"/>
        <w:sz w:val="14"/>
        <w:szCs w:val="14"/>
        <w:lang w:val="fr-FR"/>
      </w:rPr>
      <w:t>015</w:t>
    </w:r>
  </w:p>
  <w:p w14:paraId="66133582" w14:textId="77777777" w:rsidR="003A0CCE" w:rsidRPr="00487A22" w:rsidRDefault="00BA453C" w:rsidP="00487A22">
    <w:pPr>
      <w:pStyle w:val="Footer"/>
      <w:tabs>
        <w:tab w:val="clear" w:pos="4153"/>
        <w:tab w:val="clear" w:pos="8306"/>
        <w:tab w:val="right" w:pos="9214"/>
      </w:tabs>
      <w:rPr>
        <w:b/>
        <w:color w:val="006D68"/>
        <w:sz w:val="14"/>
        <w:szCs w:val="14"/>
      </w:rPr>
    </w:pPr>
    <w:r w:rsidRPr="006D1CA2">
      <w:rPr>
        <w:color w:val="006D68"/>
        <w:sz w:val="14"/>
        <w:szCs w:val="14"/>
        <w:lang w:val="fr-FR"/>
      </w:rPr>
      <w:t>CM</w:t>
    </w:r>
    <w:r w:rsidR="003A0CCE" w:rsidRPr="006D1CA2">
      <w:rPr>
        <w:color w:val="006D68"/>
        <w:sz w:val="14"/>
        <w:szCs w:val="14"/>
        <w:lang w:val="fr-FR"/>
      </w:rPr>
      <w:t xml:space="preserve"> </w:t>
    </w:r>
    <w:r w:rsidRPr="006D1CA2">
      <w:rPr>
        <w:color w:val="006D68"/>
        <w:sz w:val="14"/>
        <w:szCs w:val="14"/>
        <w:lang w:val="fr-FR"/>
      </w:rPr>
      <w:t>20</w:t>
    </w:r>
    <w:r w:rsidR="00B96B66" w:rsidRPr="006D1CA2">
      <w:rPr>
        <w:color w:val="006D68"/>
        <w:sz w:val="14"/>
        <w:szCs w:val="14"/>
        <w:lang w:val="fr-FR"/>
      </w:rPr>
      <w:t>20</w:t>
    </w:r>
    <w:r w:rsidR="003A0CCE" w:rsidRPr="006D1CA2">
      <w:rPr>
        <w:color w:val="006D68"/>
        <w:sz w:val="14"/>
        <w:szCs w:val="14"/>
        <w:lang w:val="fr-FR"/>
      </w:rPr>
      <w:t>/</w:t>
    </w:r>
    <w:r w:rsidR="00B96B66" w:rsidRPr="006D1CA2">
      <w:rPr>
        <w:color w:val="006D68"/>
        <w:sz w:val="14"/>
        <w:szCs w:val="14"/>
        <w:lang w:val="fr-FR"/>
      </w:rPr>
      <w:t>51682</w:t>
    </w:r>
    <w:r w:rsidR="003A0CCE" w:rsidRPr="00FD170B">
      <w:rPr>
        <w:b/>
        <w:color w:val="006D68"/>
        <w:sz w:val="14"/>
        <w:szCs w:val="14"/>
        <w:lang w:val="fr-FR"/>
      </w:rPr>
      <w:tab/>
      <w:t xml:space="preserve">Page </w:t>
    </w:r>
    <w:r w:rsidR="003A0CCE" w:rsidRPr="00487A22">
      <w:rPr>
        <w:b/>
        <w:color w:val="006D68"/>
        <w:sz w:val="14"/>
        <w:szCs w:val="14"/>
      </w:rPr>
      <w:fldChar w:fldCharType="begin"/>
    </w:r>
    <w:r w:rsidR="003A0CCE" w:rsidRPr="00487A22">
      <w:rPr>
        <w:b/>
        <w:color w:val="006D68"/>
        <w:sz w:val="14"/>
        <w:szCs w:val="14"/>
      </w:rPr>
      <w:instrText xml:space="preserve"> PAGE </w:instrText>
    </w:r>
    <w:r w:rsidR="003A0CCE" w:rsidRPr="00487A22">
      <w:rPr>
        <w:b/>
        <w:color w:val="006D68"/>
        <w:sz w:val="14"/>
        <w:szCs w:val="14"/>
      </w:rPr>
      <w:fldChar w:fldCharType="separate"/>
    </w:r>
    <w:r w:rsidR="001C6684">
      <w:rPr>
        <w:b/>
        <w:noProof/>
        <w:color w:val="006D68"/>
        <w:sz w:val="14"/>
        <w:szCs w:val="14"/>
      </w:rPr>
      <w:t>11</w:t>
    </w:r>
    <w:r w:rsidR="003A0CCE" w:rsidRPr="00487A22">
      <w:rPr>
        <w:b/>
        <w:color w:val="006D68"/>
        <w:sz w:val="14"/>
        <w:szCs w:val="14"/>
      </w:rPr>
      <w:fldChar w:fldCharType="end"/>
    </w:r>
    <w:r w:rsidR="003A0CCE" w:rsidRPr="00487A22">
      <w:rPr>
        <w:b/>
        <w:color w:val="006D68"/>
        <w:sz w:val="14"/>
        <w:szCs w:val="14"/>
      </w:rPr>
      <w:t xml:space="preserve"> of </w:t>
    </w:r>
    <w:r w:rsidR="003A0CCE" w:rsidRPr="00487A22">
      <w:rPr>
        <w:b/>
        <w:color w:val="006D68"/>
        <w:sz w:val="14"/>
        <w:szCs w:val="14"/>
      </w:rPr>
      <w:fldChar w:fldCharType="begin"/>
    </w:r>
    <w:r w:rsidR="003A0CCE" w:rsidRPr="00487A22">
      <w:rPr>
        <w:b/>
        <w:color w:val="006D68"/>
        <w:sz w:val="14"/>
        <w:szCs w:val="14"/>
      </w:rPr>
      <w:instrText xml:space="preserve"> NUMPAGES </w:instrText>
    </w:r>
    <w:r w:rsidR="003A0CCE" w:rsidRPr="00487A22">
      <w:rPr>
        <w:b/>
        <w:color w:val="006D68"/>
        <w:sz w:val="14"/>
        <w:szCs w:val="14"/>
      </w:rPr>
      <w:fldChar w:fldCharType="separate"/>
    </w:r>
    <w:r w:rsidR="001C6684">
      <w:rPr>
        <w:b/>
        <w:noProof/>
        <w:color w:val="006D68"/>
        <w:sz w:val="14"/>
        <w:szCs w:val="14"/>
      </w:rPr>
      <w:t>14</w:t>
    </w:r>
    <w:r w:rsidR="003A0CCE"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FB30" w14:textId="77777777" w:rsidR="00985E68" w:rsidRDefault="00985E68" w:rsidP="00985E68">
    <w:pPr>
      <w:pStyle w:val="Header"/>
      <w:jc w:val="center"/>
      <w:rPr>
        <w:b/>
        <w:color w:val="006D68"/>
        <w:sz w:val="14"/>
        <w:szCs w:val="14"/>
      </w:rPr>
    </w:pPr>
    <w:r>
      <w:pict w14:anchorId="77855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7pt;margin-top:19.85pt;width:517.5pt;height:48.75pt;z-index:251658240;mso-wrap-distance-left:22.7pt;mso-wrap-distance-top:22.7pt;mso-position-horizontal-relative:page;mso-position-vertical-relative:page" o:allowoverlap="f">
          <v:imagedata r:id="rId1" o:title="ONRlogoA4col_hi" croptop="14621f" cropbottom="15706f" cropleft="4946f" cropright="-65707f"/>
          <w10:wrap anchorx="page" anchory="page"/>
        </v:shape>
      </w:pict>
    </w:r>
  </w:p>
  <w:p w14:paraId="68CA5061" w14:textId="77777777" w:rsidR="00985E68" w:rsidRDefault="00985E68" w:rsidP="00985E68">
    <w:pPr>
      <w:pStyle w:val="Footer"/>
      <w:tabs>
        <w:tab w:val="clear" w:pos="4153"/>
        <w:tab w:val="clear" w:pos="8306"/>
        <w:tab w:val="right" w:pos="9214"/>
      </w:tabs>
      <w:jc w:val="center"/>
      <w:rPr>
        <w:color w:val="006D68"/>
        <w:sz w:val="14"/>
        <w:szCs w:val="14"/>
      </w:rPr>
    </w:pPr>
  </w:p>
  <w:p w14:paraId="347A8177" w14:textId="77777777" w:rsidR="00BA453C" w:rsidRPr="006D1CA2" w:rsidRDefault="00BA453C" w:rsidP="00BA453C">
    <w:pPr>
      <w:pStyle w:val="Footer"/>
      <w:tabs>
        <w:tab w:val="clear" w:pos="4153"/>
        <w:tab w:val="clear" w:pos="8306"/>
        <w:tab w:val="right" w:pos="9214"/>
      </w:tabs>
      <w:rPr>
        <w:color w:val="006D68"/>
        <w:sz w:val="14"/>
        <w:szCs w:val="14"/>
        <w:lang w:val="fr-FR"/>
      </w:rPr>
    </w:pPr>
    <w:r w:rsidRPr="006D1CA2">
      <w:rPr>
        <w:color w:val="006D68"/>
        <w:sz w:val="14"/>
        <w:szCs w:val="14"/>
        <w:lang w:val="fr-FR"/>
      </w:rPr>
      <w:t>NS-TAST-GD-015</w:t>
    </w:r>
  </w:p>
  <w:p w14:paraId="5AC57F1B" w14:textId="77777777" w:rsidR="003A0CCE" w:rsidRPr="00B56CCE" w:rsidRDefault="00BA453C" w:rsidP="00BA453C">
    <w:pPr>
      <w:pStyle w:val="Footer"/>
      <w:tabs>
        <w:tab w:val="clear" w:pos="4153"/>
        <w:tab w:val="clear" w:pos="8306"/>
        <w:tab w:val="right" w:pos="9214"/>
      </w:tabs>
      <w:rPr>
        <w:b/>
        <w:color w:val="006D68"/>
        <w:sz w:val="14"/>
        <w:szCs w:val="14"/>
      </w:rPr>
    </w:pPr>
    <w:r w:rsidRPr="006D1CA2">
      <w:rPr>
        <w:color w:val="006D68"/>
        <w:sz w:val="14"/>
        <w:szCs w:val="14"/>
        <w:lang w:val="fr-FR"/>
      </w:rPr>
      <w:t>CM 20</w:t>
    </w:r>
    <w:r w:rsidR="00D80541" w:rsidRPr="006D1CA2">
      <w:rPr>
        <w:color w:val="006D68"/>
        <w:sz w:val="14"/>
        <w:szCs w:val="14"/>
        <w:lang w:val="fr-FR"/>
      </w:rPr>
      <w:t>20</w:t>
    </w:r>
    <w:r w:rsidRPr="006D1CA2">
      <w:rPr>
        <w:color w:val="006D68"/>
        <w:sz w:val="14"/>
        <w:szCs w:val="14"/>
        <w:lang w:val="fr-FR"/>
      </w:rPr>
      <w:t>/</w:t>
    </w:r>
    <w:r w:rsidR="00D80541" w:rsidRPr="006D1CA2">
      <w:rPr>
        <w:color w:val="006D68"/>
        <w:sz w:val="14"/>
        <w:szCs w:val="14"/>
        <w:lang w:val="fr-FR"/>
      </w:rPr>
      <w:t>51682</w:t>
    </w:r>
    <w:r w:rsidR="003A0CCE" w:rsidRPr="00B56CCE">
      <w:rPr>
        <w:color w:val="006D68"/>
        <w:sz w:val="14"/>
        <w:szCs w:val="14"/>
      </w:rPr>
      <w:tab/>
    </w:r>
    <w:r w:rsidR="003A0CCE" w:rsidRPr="00B56CCE">
      <w:rPr>
        <w:b/>
        <w:color w:val="006D68"/>
        <w:sz w:val="14"/>
        <w:szCs w:val="14"/>
      </w:rPr>
      <w:t xml:space="preserve">Page </w:t>
    </w:r>
    <w:r w:rsidR="003A0CCE" w:rsidRPr="00B56CCE">
      <w:rPr>
        <w:b/>
        <w:color w:val="006D68"/>
        <w:sz w:val="14"/>
        <w:szCs w:val="14"/>
      </w:rPr>
      <w:fldChar w:fldCharType="begin"/>
    </w:r>
    <w:r w:rsidR="003A0CCE" w:rsidRPr="00B56CCE">
      <w:rPr>
        <w:b/>
        <w:color w:val="006D68"/>
        <w:sz w:val="14"/>
        <w:szCs w:val="14"/>
      </w:rPr>
      <w:instrText xml:space="preserve"> PAGE </w:instrText>
    </w:r>
    <w:r w:rsidR="003A0CCE" w:rsidRPr="00B56CCE">
      <w:rPr>
        <w:b/>
        <w:color w:val="006D68"/>
        <w:sz w:val="14"/>
        <w:szCs w:val="14"/>
      </w:rPr>
      <w:fldChar w:fldCharType="separate"/>
    </w:r>
    <w:r w:rsidR="001C6684">
      <w:rPr>
        <w:b/>
        <w:noProof/>
        <w:color w:val="006D68"/>
        <w:sz w:val="14"/>
        <w:szCs w:val="14"/>
      </w:rPr>
      <w:t>1</w:t>
    </w:r>
    <w:r w:rsidR="003A0CCE" w:rsidRPr="00B56CCE">
      <w:rPr>
        <w:b/>
        <w:color w:val="006D68"/>
        <w:sz w:val="14"/>
        <w:szCs w:val="14"/>
      </w:rPr>
      <w:fldChar w:fldCharType="end"/>
    </w:r>
    <w:r w:rsidR="003A0CCE" w:rsidRPr="00B56CCE">
      <w:rPr>
        <w:b/>
        <w:color w:val="006D68"/>
        <w:sz w:val="14"/>
        <w:szCs w:val="14"/>
      </w:rPr>
      <w:t xml:space="preserve"> of </w:t>
    </w:r>
    <w:r w:rsidR="003A0CCE" w:rsidRPr="00B56CCE">
      <w:rPr>
        <w:b/>
        <w:color w:val="006D68"/>
        <w:sz w:val="14"/>
        <w:szCs w:val="14"/>
      </w:rPr>
      <w:fldChar w:fldCharType="begin"/>
    </w:r>
    <w:r w:rsidR="003A0CCE" w:rsidRPr="00B56CCE">
      <w:rPr>
        <w:b/>
        <w:color w:val="006D68"/>
        <w:sz w:val="14"/>
        <w:szCs w:val="14"/>
      </w:rPr>
      <w:instrText xml:space="preserve"> NUMPAGES </w:instrText>
    </w:r>
    <w:r w:rsidR="003A0CCE" w:rsidRPr="00B56CCE">
      <w:rPr>
        <w:b/>
        <w:color w:val="006D68"/>
        <w:sz w:val="14"/>
        <w:szCs w:val="14"/>
      </w:rPr>
      <w:fldChar w:fldCharType="separate"/>
    </w:r>
    <w:r w:rsidR="001C6684">
      <w:rPr>
        <w:b/>
        <w:noProof/>
        <w:color w:val="006D68"/>
        <w:sz w:val="14"/>
        <w:szCs w:val="14"/>
      </w:rPr>
      <w:t>14</w:t>
    </w:r>
    <w:r w:rsidR="003A0CCE"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7271" w14:textId="77777777" w:rsidR="005C33FB" w:rsidRDefault="005C33FB">
      <w:r>
        <w:separator/>
      </w:r>
    </w:p>
  </w:footnote>
  <w:footnote w:type="continuationSeparator" w:id="0">
    <w:p w14:paraId="1A64A80E" w14:textId="77777777" w:rsidR="005C33FB" w:rsidRDefault="005C33FB">
      <w:r>
        <w:continuationSeparator/>
      </w:r>
    </w:p>
  </w:footnote>
  <w:footnote w:id="1">
    <w:p w14:paraId="523CA2DB" w14:textId="77777777" w:rsidR="00362D57" w:rsidRDefault="00362D57">
      <w:pPr>
        <w:pStyle w:val="FootnoteText"/>
      </w:pPr>
      <w:r>
        <w:rPr>
          <w:rStyle w:val="FootnoteReference"/>
        </w:rPr>
        <w:footnoteRef/>
      </w:r>
      <w:r>
        <w:t xml:space="preserve"> </w:t>
      </w:r>
      <w:r w:rsidRPr="00362D57">
        <w:rPr>
          <w:rFonts w:cs="Arial"/>
          <w:szCs w:val="24"/>
        </w:rPr>
        <w:t>The term Licensee is used here generally to refer to all organisations that make safety submissions to ONR for assessment. This includes; existing Licensees, License Applicants, Potential Licensees and Requesting Parties to the Generic Design Assessment (GDA) process. Where parts of the TAG refer to only one type of organisation, this is made explicit in the text. Note that the term Licensee as used here also includes those responsibilities of a Duty Holder for conventional health and safety as stipulated in the Health and Safety at Work etc Act 1974</w:t>
      </w:r>
      <w:r>
        <w:rPr>
          <w:rFonts w:cs="Arial"/>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9B08" w14:textId="77777777" w:rsidR="003A0CCE" w:rsidRDefault="003A0CCE">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5CE6603D" w14:textId="77777777" w:rsidR="003A0CCE" w:rsidRDefault="003A0CCE">
    <w:pPr>
      <w:pStyle w:val="Header"/>
      <w:rPr>
        <w:b/>
        <w:color w:val="006D68"/>
        <w:sz w:val="14"/>
        <w:szCs w:val="14"/>
      </w:rPr>
    </w:pPr>
  </w:p>
  <w:p w14:paraId="0D06F84D" w14:textId="77777777" w:rsidR="003A0CCE" w:rsidRDefault="003A0CCE">
    <w:pPr>
      <w:pStyle w:val="Header"/>
      <w:rPr>
        <w:b/>
        <w:color w:val="006D68"/>
        <w:sz w:val="14"/>
        <w:szCs w:val="14"/>
      </w:rPr>
    </w:pPr>
  </w:p>
  <w:p w14:paraId="5F706A47" w14:textId="77777777" w:rsidR="00FD170B" w:rsidRDefault="00FD170B" w:rsidP="00FD170B">
    <w:pPr>
      <w:pStyle w:val="Header"/>
      <w:jc w:val="center"/>
      <w:rPr>
        <w:b/>
        <w:color w:val="006D68"/>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2FD3" w14:textId="77777777" w:rsidR="003A0CCE" w:rsidRDefault="003A0CCE"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0C10650F" w14:textId="77777777" w:rsidR="003A0CCE" w:rsidRDefault="003A0CCE" w:rsidP="00CA3B14">
    <w:pPr>
      <w:pStyle w:val="Header"/>
      <w:rPr>
        <w:b/>
        <w:color w:val="006D68"/>
        <w:sz w:val="14"/>
        <w:szCs w:val="14"/>
      </w:rPr>
    </w:pPr>
  </w:p>
  <w:p w14:paraId="6C0194C9" w14:textId="77777777" w:rsidR="003A0CCE" w:rsidRDefault="003A0CCE" w:rsidP="00CA3B14">
    <w:pPr>
      <w:pStyle w:val="Header"/>
      <w:rPr>
        <w:b/>
        <w:color w:val="006D68"/>
        <w:sz w:val="14"/>
        <w:szCs w:val="14"/>
      </w:rPr>
    </w:pPr>
  </w:p>
  <w:p w14:paraId="13B5E6E5" w14:textId="77777777" w:rsidR="003A0CCE" w:rsidRDefault="003A0CCE" w:rsidP="00CA3B14">
    <w:pPr>
      <w:pStyle w:val="Header"/>
      <w:rPr>
        <w:b/>
        <w:color w:val="006D68"/>
        <w:sz w:val="14"/>
        <w:szCs w:val="14"/>
      </w:rPr>
    </w:pPr>
  </w:p>
  <w:p w14:paraId="4467AD0B" w14:textId="77777777" w:rsidR="003A0CCE" w:rsidRDefault="003A0CCE" w:rsidP="00CA3B14">
    <w:pPr>
      <w:pStyle w:val="Header"/>
      <w:rPr>
        <w:b/>
        <w:color w:val="006D68"/>
        <w:sz w:val="14"/>
        <w:szCs w:val="14"/>
      </w:rPr>
    </w:pPr>
  </w:p>
  <w:p w14:paraId="58664E45" w14:textId="77777777" w:rsidR="003A0CCE" w:rsidRDefault="003A0CCE" w:rsidP="00CA3B14">
    <w:pPr>
      <w:pStyle w:val="Header"/>
      <w:rPr>
        <w:b/>
        <w:color w:val="006D68"/>
        <w:sz w:val="14"/>
        <w:szCs w:val="14"/>
      </w:rPr>
    </w:pPr>
  </w:p>
  <w:p w14:paraId="67D58DA6" w14:textId="77777777" w:rsidR="003A0CCE" w:rsidRPr="00D55197" w:rsidRDefault="003A0CCE" w:rsidP="00CA3B14">
    <w:pPr>
      <w:pStyle w:val="Header"/>
      <w:jc w:val="center"/>
      <w:rPr>
        <w:b/>
        <w:color w:val="006D68"/>
        <w:sz w:val="14"/>
        <w:szCs w:val="14"/>
      </w:rPr>
    </w:pPr>
    <w:r>
      <w:rPr>
        <w:b/>
        <w:noProof/>
        <w:color w:val="006D68"/>
        <w:sz w:val="24"/>
        <w:szCs w:val="14"/>
        <w:lang w:eastAsia="en-GB"/>
      </w:rPr>
      <w:pict w14:anchorId="01BAD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7pt;margin-top:19.85pt;width:517.5pt;height:48.75pt;z-index:251657216;mso-wrap-distance-left:22.7pt;mso-wrap-distance-top:22.7pt;mso-position-horizontal-relative:page;mso-position-vertical-relative:page" o:allowoverlap="f">
          <v:imagedata r:id="rId1" o:title="ONRlogoA4col_hi" croptop="14621f" cropbottom="15706f" cropleft="4946f" cropright="-65707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5B1"/>
    <w:multiLevelType w:val="hybridMultilevel"/>
    <w:tmpl w:val="6580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D35E7"/>
    <w:multiLevelType w:val="hybridMultilevel"/>
    <w:tmpl w:val="1FAC5F18"/>
    <w:lvl w:ilvl="0" w:tplc="AED80C3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BA0573"/>
    <w:multiLevelType w:val="hybridMultilevel"/>
    <w:tmpl w:val="82625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4E45B6"/>
    <w:multiLevelType w:val="hybridMultilevel"/>
    <w:tmpl w:val="2716C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866945"/>
    <w:multiLevelType w:val="hybridMultilevel"/>
    <w:tmpl w:val="21B8E1B4"/>
    <w:lvl w:ilvl="0" w:tplc="9710B646">
      <w:start w:val="1"/>
      <w:numFmt w:val="bullet"/>
      <w:pStyle w:val="TSBullet2Circle"/>
      <w:lvlText w:val=""/>
      <w:lvlJc w:val="left"/>
      <w:pPr>
        <w:tabs>
          <w:tab w:val="num" w:pos="-32767"/>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06A39"/>
    <w:multiLevelType w:val="multilevel"/>
    <w:tmpl w:val="B336C024"/>
    <w:lvl w:ilvl="0">
      <w:start w:val="1"/>
      <w:numFmt w:val="decimal"/>
      <w:pStyle w:val="TSHeadingNumbered1"/>
      <w:lvlText w:val="%1."/>
      <w:lvlJc w:val="left"/>
      <w:pPr>
        <w:tabs>
          <w:tab w:val="num" w:pos="-32767"/>
        </w:tabs>
        <w:ind w:left="720" w:hanging="720"/>
      </w:pPr>
      <w:rPr>
        <w:rFonts w:hint="default"/>
        <w:sz w:val="22"/>
      </w:rPr>
    </w:lvl>
    <w:lvl w:ilvl="1">
      <w:start w:val="1"/>
      <w:numFmt w:val="decimal"/>
      <w:lvlText w:val="%1.%2"/>
      <w:lvlJc w:val="left"/>
      <w:pPr>
        <w:tabs>
          <w:tab w:val="num" w:pos="-32767"/>
        </w:tabs>
        <w:ind w:left="720" w:hanging="720"/>
      </w:pPr>
      <w:rPr>
        <w:rFonts w:hint="default"/>
        <w:sz w:val="22"/>
      </w:rPr>
    </w:lvl>
    <w:lvl w:ilvl="2">
      <w:start w:val="1"/>
      <w:numFmt w:val="decimal"/>
      <w:pStyle w:val="TSHeadingNumbered111"/>
      <w:lvlText w:val="%1.%2.%3"/>
      <w:lvlJc w:val="left"/>
      <w:pPr>
        <w:tabs>
          <w:tab w:val="num" w:pos="-32767"/>
        </w:tabs>
        <w:ind w:left="720" w:hanging="720"/>
      </w:pPr>
      <w:rPr>
        <w:rFonts w:hint="default"/>
        <w:sz w:val="22"/>
      </w:rPr>
    </w:lvl>
    <w:lvl w:ilvl="3">
      <w:start w:val="1"/>
      <w:numFmt w:val="decimal"/>
      <w:pStyle w:val="TSHeadingNumbered1111"/>
      <w:lvlText w:val="%1.%2.%3.%4"/>
      <w:lvlJc w:val="left"/>
      <w:pPr>
        <w:tabs>
          <w:tab w:val="num" w:pos="-32767"/>
        </w:tabs>
        <w:ind w:left="720" w:hanging="720"/>
      </w:pPr>
      <w:rPr>
        <w:rFonts w:hint="default"/>
        <w:b w:val="0"/>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0752809"/>
    <w:multiLevelType w:val="hybridMultilevel"/>
    <w:tmpl w:val="CC3239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13E4FA1"/>
    <w:multiLevelType w:val="hybridMultilevel"/>
    <w:tmpl w:val="1F009A4A"/>
    <w:lvl w:ilvl="0" w:tplc="B3F41A22">
      <w:start w:val="1"/>
      <w:numFmt w:val="decimal"/>
      <w:lvlText w:val="%1.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C436D"/>
    <w:multiLevelType w:val="hybridMultilevel"/>
    <w:tmpl w:val="B39884C6"/>
    <w:lvl w:ilvl="0" w:tplc="08090017">
      <w:start w:val="1"/>
      <w:numFmt w:val="lowerLetter"/>
      <w:lvlText w:val="%1)"/>
      <w:lvlJc w:val="left"/>
      <w:pPr>
        <w:tabs>
          <w:tab w:val="num" w:pos="1077"/>
        </w:tabs>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4256DA"/>
    <w:multiLevelType w:val="hybridMultilevel"/>
    <w:tmpl w:val="7DC4466E"/>
    <w:lvl w:ilvl="0" w:tplc="FFD06784">
      <w:start w:val="1"/>
      <w:numFmt w:val="decimal"/>
      <w:lvlText w:val="%1.1"/>
      <w:lvlJc w:val="left"/>
      <w:pPr>
        <w:ind w:left="720" w:hanging="720"/>
      </w:pPr>
      <w:rPr>
        <w:rFonts w:ascii="Arial" w:hAnsi="Arial" w:hint="default"/>
        <w:b w:val="0"/>
        <w:i w:val="0"/>
        <w:caps w:val="0"/>
        <w:strike w:val="0"/>
        <w:dstrike w:val="0"/>
        <w:shadow w:val="0"/>
        <w:emboss w:val="0"/>
        <w:imprint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26C33"/>
    <w:multiLevelType w:val="hybridMultilevel"/>
    <w:tmpl w:val="FB64C50C"/>
    <w:lvl w:ilvl="0" w:tplc="08090017">
      <w:start w:val="1"/>
      <w:numFmt w:val="lowerLetter"/>
      <w:lvlText w:val="%1)"/>
      <w:lvlJc w:val="left"/>
      <w:pPr>
        <w:tabs>
          <w:tab w:val="num" w:pos="1077"/>
        </w:tabs>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B55BD6"/>
    <w:multiLevelType w:val="hybridMultilevel"/>
    <w:tmpl w:val="E58828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73BE4"/>
    <w:multiLevelType w:val="hybridMultilevel"/>
    <w:tmpl w:val="A60A49E4"/>
    <w:lvl w:ilvl="0" w:tplc="E09A11A8">
      <w:start w:val="1"/>
      <w:numFmt w:val="bullet"/>
      <w:lvlText w:val=""/>
      <w:lvlJc w:val="left"/>
      <w:pPr>
        <w:tabs>
          <w:tab w:val="num" w:pos="1797"/>
        </w:tabs>
        <w:ind w:left="1797" w:hanging="35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DA3040"/>
    <w:multiLevelType w:val="hybridMultilevel"/>
    <w:tmpl w:val="83F838F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A413C7"/>
    <w:multiLevelType w:val="hybridMultilevel"/>
    <w:tmpl w:val="E6FC1410"/>
    <w:lvl w:ilvl="0" w:tplc="7A101452">
      <w:start w:val="1"/>
      <w:numFmt w:val="upperLetter"/>
      <w:lvlText w:val="%1."/>
      <w:lvlJc w:val="left"/>
      <w:pPr>
        <w:tabs>
          <w:tab w:val="num" w:pos="1077"/>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8E9201A"/>
    <w:multiLevelType w:val="multilevel"/>
    <w:tmpl w:val="8248A9AC"/>
    <w:lvl w:ilvl="0">
      <w:start w:val="1"/>
      <w:numFmt w:val="decimal"/>
      <w:lvlText w:val="%1."/>
      <w:lvlJc w:val="left"/>
      <w:pPr>
        <w:tabs>
          <w:tab w:val="num" w:pos="-32767"/>
        </w:tabs>
        <w:ind w:left="720" w:hanging="720"/>
      </w:pPr>
      <w:rPr>
        <w:rFonts w:hint="default"/>
        <w:sz w:val="22"/>
      </w:rPr>
    </w:lvl>
    <w:lvl w:ilvl="1">
      <w:start w:val="1"/>
      <w:numFmt w:val="bullet"/>
      <w:lvlText w:val=""/>
      <w:lvlJc w:val="left"/>
      <w:pPr>
        <w:tabs>
          <w:tab w:val="num" w:pos="-32767"/>
        </w:tabs>
        <w:ind w:left="720" w:hanging="720"/>
      </w:pPr>
      <w:rPr>
        <w:rFonts w:ascii="Symbol" w:hAnsi="Symbol" w:hint="default"/>
        <w:b w:val="0"/>
        <w:sz w:val="22"/>
      </w:rPr>
    </w:lvl>
    <w:lvl w:ilvl="2">
      <w:start w:val="1"/>
      <w:numFmt w:val="bullet"/>
      <w:lvlText w:val=""/>
      <w:lvlJc w:val="left"/>
      <w:pPr>
        <w:tabs>
          <w:tab w:val="num" w:pos="-32767"/>
        </w:tabs>
        <w:ind w:left="720" w:hanging="720"/>
      </w:pPr>
      <w:rPr>
        <w:rFonts w:ascii="Symbol" w:hAnsi="Symbol" w:hint="default"/>
        <w:sz w:val="22"/>
      </w:rPr>
    </w:lvl>
    <w:lvl w:ilvl="3">
      <w:start w:val="1"/>
      <w:numFmt w:val="decimal"/>
      <w:lvlText w:val="%1.%2.%3.%4"/>
      <w:lvlJc w:val="left"/>
      <w:pPr>
        <w:tabs>
          <w:tab w:val="num" w:pos="-32767"/>
        </w:tabs>
        <w:ind w:left="720" w:hanging="720"/>
      </w:pPr>
      <w:rPr>
        <w:rFonts w:hint="default"/>
        <w:b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3161354"/>
    <w:multiLevelType w:val="hybridMultilevel"/>
    <w:tmpl w:val="55B8CF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DBB6F2B"/>
    <w:multiLevelType w:val="hybridMultilevel"/>
    <w:tmpl w:val="405A2F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2195C"/>
    <w:multiLevelType w:val="hybridMultilevel"/>
    <w:tmpl w:val="11C8635E"/>
    <w:lvl w:ilvl="0" w:tplc="84BA4EF8">
      <w:start w:val="1"/>
      <w:numFmt w:val="bullet"/>
      <w:pStyle w:val="TSBullet1Square"/>
      <w:lvlText w:val=""/>
      <w:lvlJc w:val="left"/>
      <w:pPr>
        <w:tabs>
          <w:tab w:val="num" w:pos="-32767"/>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C41E42"/>
    <w:multiLevelType w:val="hybridMultilevel"/>
    <w:tmpl w:val="DF3CA4E4"/>
    <w:lvl w:ilvl="0" w:tplc="E09A11A8">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9015CF2"/>
    <w:multiLevelType w:val="hybridMultilevel"/>
    <w:tmpl w:val="A26ED344"/>
    <w:lvl w:ilvl="0" w:tplc="D400A968">
      <w:start w:val="1"/>
      <w:numFmt w:val="bullet"/>
      <w:lvlText w:val=""/>
      <w:lvlJc w:val="left"/>
      <w:pPr>
        <w:tabs>
          <w:tab w:val="num" w:pos="1077"/>
        </w:tabs>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B505E1"/>
    <w:multiLevelType w:val="hybridMultilevel"/>
    <w:tmpl w:val="57165F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EA6767A"/>
    <w:multiLevelType w:val="hybridMultilevel"/>
    <w:tmpl w:val="D81A073A"/>
    <w:lvl w:ilvl="0" w:tplc="E09A11A8">
      <w:start w:val="1"/>
      <w:numFmt w:val="bullet"/>
      <w:lvlText w:val=""/>
      <w:lvlJc w:val="left"/>
      <w:pPr>
        <w:tabs>
          <w:tab w:val="num" w:pos="1797"/>
        </w:tabs>
        <w:ind w:left="1797" w:hanging="35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1"/>
  </w:num>
  <w:num w:numId="4">
    <w:abstractNumId w:val="20"/>
  </w:num>
  <w:num w:numId="5">
    <w:abstractNumId w:val="11"/>
  </w:num>
  <w:num w:numId="6">
    <w:abstractNumId w:val="9"/>
  </w:num>
  <w:num w:numId="7">
    <w:abstractNumId w:val="5"/>
    <w:lvlOverride w:ilvl="0">
      <w:startOverride w:val="2"/>
    </w:lvlOverride>
    <w:lvlOverride w:ilvl="1">
      <w:startOverride w:val="2"/>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lvlOverride w:ilvl="0"/>
    <w:lvlOverride w:ilvl="1"/>
    <w:lvlOverride w:ilvl="2"/>
    <w:lvlOverride w:ilvl="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num>
  <w:num w:numId="15">
    <w:abstractNumId w:val="5"/>
    <w:lvlOverride w:ilvl="0"/>
    <w:lvlOverride w:ilvl="1"/>
    <w:lvlOverride w:ilvl="2"/>
    <w:lvlOverride w:ilvl="3"/>
    <w:lvlOverride w:ilvl="4"/>
    <w:lvlOverride w:ilvl="5"/>
    <w:lvlOverride w:ilvl="6"/>
    <w:lvlOverride w:ilvl="7"/>
    <w:lvlOverride w:ilvl="8"/>
  </w:num>
  <w:num w:numId="16">
    <w:abstractNumId w:val="8"/>
  </w:num>
  <w:num w:numId="17">
    <w:abstractNumId w:val="5"/>
    <w:lvlOverride w:ilvl="0">
      <w:startOverride w:val="5"/>
    </w:lvlOverride>
    <w:lvlOverride w:ilvl="1">
      <w:startOverride w:val="1"/>
    </w:lvlOverride>
    <w:lvlOverride w:ilvl="2">
      <w:startOverride w:val="8"/>
    </w:lvlOverride>
  </w:num>
  <w:num w:numId="18">
    <w:abstractNumId w:val="10"/>
  </w:num>
  <w:num w:numId="19">
    <w:abstractNumId w:val="6"/>
  </w:num>
  <w:num w:numId="20">
    <w:abstractNumId w:val="16"/>
  </w:num>
  <w:num w:numId="21">
    <w:abstractNumId w:val="3"/>
  </w:num>
  <w:num w:numId="22">
    <w:abstractNumId w:val="21"/>
  </w:num>
  <w:num w:numId="23">
    <w:abstractNumId w:val="5"/>
    <w:lvlOverride w:ilvl="0">
      <w:startOverride w:val="5"/>
    </w:lvlOverride>
    <w:lvlOverride w:ilvl="1">
      <w:startOverride w:val="3"/>
    </w:lvlOverride>
    <w:lvlOverride w:ilvl="2">
      <w:startOverride w:val="3"/>
    </w:lvlOverride>
  </w:num>
  <w:num w:numId="24">
    <w:abstractNumId w:val="5"/>
  </w:num>
  <w:num w:numId="25">
    <w:abstractNumId w:val="5"/>
    <w:lvlOverride w:ilvl="0">
      <w:startOverride w:val="5"/>
    </w:lvlOverride>
    <w:lvlOverride w:ilvl="1">
      <w:startOverride w:val="4"/>
    </w:lvlOverride>
    <w:lvlOverride w:ilvl="2">
      <w:startOverride w:val="8"/>
    </w:lvlOverride>
  </w:num>
  <w:num w:numId="26">
    <w:abstractNumId w:val="5"/>
  </w:num>
  <w:num w:numId="27">
    <w:abstractNumId w:val="5"/>
    <w:lvlOverride w:ilvl="0"/>
    <w:lvlOverride w:ilvl="1"/>
    <w:lvlOverride w:ilvl="2"/>
    <w:lvlOverride w:ilvl="3"/>
    <w:lvlOverride w:ilvl="4"/>
    <w:lvlOverride w:ilvl="5"/>
    <w:lvlOverride w:ilvl="6"/>
    <w:lvlOverride w:ilvl="7"/>
    <w:lvlOverride w:ilvl="8"/>
  </w:num>
  <w:num w:numId="28">
    <w:abstractNumId w:val="13"/>
  </w:num>
  <w:num w:numId="29">
    <w:abstractNumId w:val="2"/>
  </w:num>
  <w:num w:numId="30">
    <w:abstractNumId w:val="19"/>
  </w:num>
  <w:num w:numId="31">
    <w:abstractNumId w:val="22"/>
  </w:num>
  <w:num w:numId="32">
    <w:abstractNumId w:val="15"/>
  </w:num>
  <w:num w:numId="33">
    <w:abstractNumId w:val="14"/>
  </w:num>
  <w:num w:numId="34">
    <w:abstractNumId w:val="17"/>
  </w:num>
  <w:num w:numId="35">
    <w:abstractNumId w:val="12"/>
  </w:num>
  <w:num w:numId="36">
    <w:abstractNumId w:val="0"/>
  </w:num>
  <w:num w:numId="37">
    <w:abstractNumId w:val="7"/>
  </w:num>
  <w:num w:numId="38">
    <w:abstractNumId w:val="18"/>
  </w:num>
  <w:num w:numId="39">
    <w:abstractNumId w:val="18"/>
  </w:num>
  <w:num w:numId="4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noTabHangInd/>
    <w:noColumnBalance/>
    <w:noSpaceRaiseLowe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A22"/>
    <w:rsid w:val="000013D7"/>
    <w:rsid w:val="000016EE"/>
    <w:rsid w:val="0000181E"/>
    <w:rsid w:val="000040B6"/>
    <w:rsid w:val="000078D6"/>
    <w:rsid w:val="00011675"/>
    <w:rsid w:val="00012263"/>
    <w:rsid w:val="00013255"/>
    <w:rsid w:val="00013E3B"/>
    <w:rsid w:val="00014707"/>
    <w:rsid w:val="00017A92"/>
    <w:rsid w:val="00022F43"/>
    <w:rsid w:val="00023A5F"/>
    <w:rsid w:val="00024921"/>
    <w:rsid w:val="00024B3F"/>
    <w:rsid w:val="00025F90"/>
    <w:rsid w:val="000279B4"/>
    <w:rsid w:val="000306A8"/>
    <w:rsid w:val="00030D3C"/>
    <w:rsid w:val="000312D3"/>
    <w:rsid w:val="00033D0C"/>
    <w:rsid w:val="00033DC0"/>
    <w:rsid w:val="00034196"/>
    <w:rsid w:val="00035BF2"/>
    <w:rsid w:val="000415F7"/>
    <w:rsid w:val="00043406"/>
    <w:rsid w:val="0004396B"/>
    <w:rsid w:val="00044309"/>
    <w:rsid w:val="000453E6"/>
    <w:rsid w:val="00045E26"/>
    <w:rsid w:val="000503FF"/>
    <w:rsid w:val="00050521"/>
    <w:rsid w:val="00051A74"/>
    <w:rsid w:val="00052221"/>
    <w:rsid w:val="0005656A"/>
    <w:rsid w:val="00056DFA"/>
    <w:rsid w:val="000573EE"/>
    <w:rsid w:val="00061E21"/>
    <w:rsid w:val="000705E9"/>
    <w:rsid w:val="00071479"/>
    <w:rsid w:val="000715BD"/>
    <w:rsid w:val="000735D4"/>
    <w:rsid w:val="00074955"/>
    <w:rsid w:val="000759BF"/>
    <w:rsid w:val="000801E2"/>
    <w:rsid w:val="00081A7B"/>
    <w:rsid w:val="00082033"/>
    <w:rsid w:val="00082AC1"/>
    <w:rsid w:val="00083282"/>
    <w:rsid w:val="000847CC"/>
    <w:rsid w:val="0008505A"/>
    <w:rsid w:val="00085187"/>
    <w:rsid w:val="0009045B"/>
    <w:rsid w:val="000920F9"/>
    <w:rsid w:val="00093271"/>
    <w:rsid w:val="000938D3"/>
    <w:rsid w:val="00093BC1"/>
    <w:rsid w:val="00095483"/>
    <w:rsid w:val="00095554"/>
    <w:rsid w:val="00095916"/>
    <w:rsid w:val="000962B8"/>
    <w:rsid w:val="000964AE"/>
    <w:rsid w:val="00096AC3"/>
    <w:rsid w:val="00096B56"/>
    <w:rsid w:val="00096F71"/>
    <w:rsid w:val="000974EC"/>
    <w:rsid w:val="000A0DBC"/>
    <w:rsid w:val="000A2CFF"/>
    <w:rsid w:val="000A5EB0"/>
    <w:rsid w:val="000A7492"/>
    <w:rsid w:val="000B0141"/>
    <w:rsid w:val="000B0E69"/>
    <w:rsid w:val="000B0FD5"/>
    <w:rsid w:val="000B36BB"/>
    <w:rsid w:val="000B4C1F"/>
    <w:rsid w:val="000B4E40"/>
    <w:rsid w:val="000C0909"/>
    <w:rsid w:val="000C1049"/>
    <w:rsid w:val="000C2558"/>
    <w:rsid w:val="000C3A78"/>
    <w:rsid w:val="000C3B3B"/>
    <w:rsid w:val="000C6FF9"/>
    <w:rsid w:val="000D1B90"/>
    <w:rsid w:val="000D25F2"/>
    <w:rsid w:val="000D2887"/>
    <w:rsid w:val="000D323B"/>
    <w:rsid w:val="000D4A49"/>
    <w:rsid w:val="000D4B2D"/>
    <w:rsid w:val="000D5BAE"/>
    <w:rsid w:val="000D6244"/>
    <w:rsid w:val="000D74A4"/>
    <w:rsid w:val="000D7CC1"/>
    <w:rsid w:val="000E0855"/>
    <w:rsid w:val="000E0EB4"/>
    <w:rsid w:val="000E253D"/>
    <w:rsid w:val="000E409A"/>
    <w:rsid w:val="000E4EED"/>
    <w:rsid w:val="000E5613"/>
    <w:rsid w:val="000E5E2D"/>
    <w:rsid w:val="000E6650"/>
    <w:rsid w:val="000E6863"/>
    <w:rsid w:val="000E769C"/>
    <w:rsid w:val="000F0528"/>
    <w:rsid w:val="000F0CCC"/>
    <w:rsid w:val="000F2820"/>
    <w:rsid w:val="000F2849"/>
    <w:rsid w:val="000F4BB8"/>
    <w:rsid w:val="000F4F40"/>
    <w:rsid w:val="000F4F81"/>
    <w:rsid w:val="000F5367"/>
    <w:rsid w:val="000F7353"/>
    <w:rsid w:val="000F75CC"/>
    <w:rsid w:val="001009CE"/>
    <w:rsid w:val="0010239D"/>
    <w:rsid w:val="0010283E"/>
    <w:rsid w:val="00102E9F"/>
    <w:rsid w:val="00103811"/>
    <w:rsid w:val="0010485A"/>
    <w:rsid w:val="00104A2A"/>
    <w:rsid w:val="00105F0E"/>
    <w:rsid w:val="00107664"/>
    <w:rsid w:val="00110C96"/>
    <w:rsid w:val="001110C3"/>
    <w:rsid w:val="001130D5"/>
    <w:rsid w:val="001138BD"/>
    <w:rsid w:val="00114B8A"/>
    <w:rsid w:val="0011589E"/>
    <w:rsid w:val="00120233"/>
    <w:rsid w:val="00121172"/>
    <w:rsid w:val="00121C8F"/>
    <w:rsid w:val="001267F5"/>
    <w:rsid w:val="00127F89"/>
    <w:rsid w:val="00130E02"/>
    <w:rsid w:val="00131ECC"/>
    <w:rsid w:val="001345D1"/>
    <w:rsid w:val="00136C68"/>
    <w:rsid w:val="00137763"/>
    <w:rsid w:val="00141E7A"/>
    <w:rsid w:val="001426D0"/>
    <w:rsid w:val="00142CD0"/>
    <w:rsid w:val="0014488D"/>
    <w:rsid w:val="0014508D"/>
    <w:rsid w:val="001476E9"/>
    <w:rsid w:val="00150E23"/>
    <w:rsid w:val="00154299"/>
    <w:rsid w:val="001548F7"/>
    <w:rsid w:val="001607C7"/>
    <w:rsid w:val="0016086B"/>
    <w:rsid w:val="001610C7"/>
    <w:rsid w:val="0016394F"/>
    <w:rsid w:val="00163B81"/>
    <w:rsid w:val="001643DC"/>
    <w:rsid w:val="00164897"/>
    <w:rsid w:val="00164F4F"/>
    <w:rsid w:val="0016711C"/>
    <w:rsid w:val="00167DE0"/>
    <w:rsid w:val="0017119D"/>
    <w:rsid w:val="00171CB4"/>
    <w:rsid w:val="00175148"/>
    <w:rsid w:val="0017595E"/>
    <w:rsid w:val="00175A0F"/>
    <w:rsid w:val="001769EE"/>
    <w:rsid w:val="001773C2"/>
    <w:rsid w:val="00177B76"/>
    <w:rsid w:val="001802C0"/>
    <w:rsid w:val="001819ED"/>
    <w:rsid w:val="001832D6"/>
    <w:rsid w:val="00183E48"/>
    <w:rsid w:val="00186171"/>
    <w:rsid w:val="00187A31"/>
    <w:rsid w:val="001907FA"/>
    <w:rsid w:val="00191B22"/>
    <w:rsid w:val="001A1582"/>
    <w:rsid w:val="001A1BB2"/>
    <w:rsid w:val="001A1EE8"/>
    <w:rsid w:val="001A3049"/>
    <w:rsid w:val="001A52F0"/>
    <w:rsid w:val="001A64AB"/>
    <w:rsid w:val="001B0880"/>
    <w:rsid w:val="001B176E"/>
    <w:rsid w:val="001B1EF5"/>
    <w:rsid w:val="001B2072"/>
    <w:rsid w:val="001B2995"/>
    <w:rsid w:val="001B4BFF"/>
    <w:rsid w:val="001B5570"/>
    <w:rsid w:val="001B6E7B"/>
    <w:rsid w:val="001B78B2"/>
    <w:rsid w:val="001C0B0B"/>
    <w:rsid w:val="001C0DF6"/>
    <w:rsid w:val="001C1B96"/>
    <w:rsid w:val="001C3DB8"/>
    <w:rsid w:val="001C5080"/>
    <w:rsid w:val="001C6684"/>
    <w:rsid w:val="001C73C5"/>
    <w:rsid w:val="001C7906"/>
    <w:rsid w:val="001C7DB9"/>
    <w:rsid w:val="001D0A7C"/>
    <w:rsid w:val="001D0D5D"/>
    <w:rsid w:val="001D22ED"/>
    <w:rsid w:val="001D2353"/>
    <w:rsid w:val="001D5C9D"/>
    <w:rsid w:val="001D65E1"/>
    <w:rsid w:val="001D73FF"/>
    <w:rsid w:val="001D78A1"/>
    <w:rsid w:val="001E00A5"/>
    <w:rsid w:val="001E12FC"/>
    <w:rsid w:val="001E2F12"/>
    <w:rsid w:val="001E443A"/>
    <w:rsid w:val="001E48AA"/>
    <w:rsid w:val="001E719F"/>
    <w:rsid w:val="001F021A"/>
    <w:rsid w:val="001F0697"/>
    <w:rsid w:val="001F32C0"/>
    <w:rsid w:val="001F4729"/>
    <w:rsid w:val="001F6655"/>
    <w:rsid w:val="001F6F13"/>
    <w:rsid w:val="00200CB7"/>
    <w:rsid w:val="0020320B"/>
    <w:rsid w:val="00203856"/>
    <w:rsid w:val="00203E3D"/>
    <w:rsid w:val="00204513"/>
    <w:rsid w:val="0020566E"/>
    <w:rsid w:val="0020613E"/>
    <w:rsid w:val="002076F4"/>
    <w:rsid w:val="00210455"/>
    <w:rsid w:val="0021074A"/>
    <w:rsid w:val="00210E66"/>
    <w:rsid w:val="00211784"/>
    <w:rsid w:val="00211E3B"/>
    <w:rsid w:val="00212B94"/>
    <w:rsid w:val="00214768"/>
    <w:rsid w:val="00215B36"/>
    <w:rsid w:val="00216018"/>
    <w:rsid w:val="0021726A"/>
    <w:rsid w:val="002176FE"/>
    <w:rsid w:val="00221258"/>
    <w:rsid w:val="002212E5"/>
    <w:rsid w:val="002212FC"/>
    <w:rsid w:val="002230ED"/>
    <w:rsid w:val="00223CBE"/>
    <w:rsid w:val="00224A65"/>
    <w:rsid w:val="002278CF"/>
    <w:rsid w:val="00234CA8"/>
    <w:rsid w:val="002365F6"/>
    <w:rsid w:val="00236741"/>
    <w:rsid w:val="0023686D"/>
    <w:rsid w:val="00241167"/>
    <w:rsid w:val="00241EEA"/>
    <w:rsid w:val="002425DF"/>
    <w:rsid w:val="002438B2"/>
    <w:rsid w:val="00243F60"/>
    <w:rsid w:val="00245285"/>
    <w:rsid w:val="002455CA"/>
    <w:rsid w:val="00252382"/>
    <w:rsid w:val="00252922"/>
    <w:rsid w:val="00252A47"/>
    <w:rsid w:val="00253718"/>
    <w:rsid w:val="0025601B"/>
    <w:rsid w:val="00257E5E"/>
    <w:rsid w:val="00257F0D"/>
    <w:rsid w:val="00260AE4"/>
    <w:rsid w:val="00260E99"/>
    <w:rsid w:val="00264404"/>
    <w:rsid w:val="00266C70"/>
    <w:rsid w:val="00267561"/>
    <w:rsid w:val="00267E8C"/>
    <w:rsid w:val="00270B29"/>
    <w:rsid w:val="00270D1D"/>
    <w:rsid w:val="00271491"/>
    <w:rsid w:val="002730D7"/>
    <w:rsid w:val="00274F94"/>
    <w:rsid w:val="0027599D"/>
    <w:rsid w:val="00275B75"/>
    <w:rsid w:val="00276A8D"/>
    <w:rsid w:val="00276F2C"/>
    <w:rsid w:val="0028011F"/>
    <w:rsid w:val="00281409"/>
    <w:rsid w:val="00282453"/>
    <w:rsid w:val="002832E6"/>
    <w:rsid w:val="0028356A"/>
    <w:rsid w:val="0028559C"/>
    <w:rsid w:val="00285DAC"/>
    <w:rsid w:val="00287C37"/>
    <w:rsid w:val="002902FF"/>
    <w:rsid w:val="0029150A"/>
    <w:rsid w:val="002930AE"/>
    <w:rsid w:val="00293521"/>
    <w:rsid w:val="00293ADA"/>
    <w:rsid w:val="00294DA3"/>
    <w:rsid w:val="00297401"/>
    <w:rsid w:val="00297B43"/>
    <w:rsid w:val="002A13FF"/>
    <w:rsid w:val="002A2CEB"/>
    <w:rsid w:val="002A491C"/>
    <w:rsid w:val="002A550D"/>
    <w:rsid w:val="002A62F1"/>
    <w:rsid w:val="002A7F70"/>
    <w:rsid w:val="002B0722"/>
    <w:rsid w:val="002B0CD8"/>
    <w:rsid w:val="002B0DEC"/>
    <w:rsid w:val="002B1756"/>
    <w:rsid w:val="002B28E0"/>
    <w:rsid w:val="002B2B51"/>
    <w:rsid w:val="002B3333"/>
    <w:rsid w:val="002B3474"/>
    <w:rsid w:val="002B3FE2"/>
    <w:rsid w:val="002B4429"/>
    <w:rsid w:val="002B579E"/>
    <w:rsid w:val="002C0B58"/>
    <w:rsid w:val="002C203F"/>
    <w:rsid w:val="002C2524"/>
    <w:rsid w:val="002C3BAC"/>
    <w:rsid w:val="002C4018"/>
    <w:rsid w:val="002C62FE"/>
    <w:rsid w:val="002C644C"/>
    <w:rsid w:val="002C76DD"/>
    <w:rsid w:val="002D0C24"/>
    <w:rsid w:val="002D215E"/>
    <w:rsid w:val="002D21BC"/>
    <w:rsid w:val="002D5B3F"/>
    <w:rsid w:val="002E0B97"/>
    <w:rsid w:val="002E2813"/>
    <w:rsid w:val="002E3413"/>
    <w:rsid w:val="002E3C4E"/>
    <w:rsid w:val="002E3F32"/>
    <w:rsid w:val="002E42D7"/>
    <w:rsid w:val="002E4328"/>
    <w:rsid w:val="002E4552"/>
    <w:rsid w:val="002E59D0"/>
    <w:rsid w:val="002E622E"/>
    <w:rsid w:val="002E7F1F"/>
    <w:rsid w:val="002E7F2F"/>
    <w:rsid w:val="002F29ED"/>
    <w:rsid w:val="002F45EE"/>
    <w:rsid w:val="002F60EF"/>
    <w:rsid w:val="002F69B6"/>
    <w:rsid w:val="002F6B91"/>
    <w:rsid w:val="002F799F"/>
    <w:rsid w:val="0030359B"/>
    <w:rsid w:val="003049C3"/>
    <w:rsid w:val="003049D5"/>
    <w:rsid w:val="003052E9"/>
    <w:rsid w:val="003074A1"/>
    <w:rsid w:val="00311B7B"/>
    <w:rsid w:val="00312AAB"/>
    <w:rsid w:val="003130E2"/>
    <w:rsid w:val="00313398"/>
    <w:rsid w:val="003168BC"/>
    <w:rsid w:val="0031706E"/>
    <w:rsid w:val="003213F9"/>
    <w:rsid w:val="00322328"/>
    <w:rsid w:val="003240DF"/>
    <w:rsid w:val="0032451B"/>
    <w:rsid w:val="003247B8"/>
    <w:rsid w:val="003248CE"/>
    <w:rsid w:val="00325A36"/>
    <w:rsid w:val="00326D5A"/>
    <w:rsid w:val="00327C88"/>
    <w:rsid w:val="00327D18"/>
    <w:rsid w:val="00330574"/>
    <w:rsid w:val="00330F82"/>
    <w:rsid w:val="003318BC"/>
    <w:rsid w:val="003324D4"/>
    <w:rsid w:val="0033323E"/>
    <w:rsid w:val="0033482B"/>
    <w:rsid w:val="00337344"/>
    <w:rsid w:val="00341F7C"/>
    <w:rsid w:val="0034247E"/>
    <w:rsid w:val="00342D8C"/>
    <w:rsid w:val="0034416F"/>
    <w:rsid w:val="003447F5"/>
    <w:rsid w:val="0034703E"/>
    <w:rsid w:val="003475DA"/>
    <w:rsid w:val="00347ABF"/>
    <w:rsid w:val="00347DCE"/>
    <w:rsid w:val="00347EF7"/>
    <w:rsid w:val="003526EA"/>
    <w:rsid w:val="003526F7"/>
    <w:rsid w:val="003527DB"/>
    <w:rsid w:val="003528DB"/>
    <w:rsid w:val="00356655"/>
    <w:rsid w:val="00356AE6"/>
    <w:rsid w:val="00356E97"/>
    <w:rsid w:val="00362D57"/>
    <w:rsid w:val="003656FC"/>
    <w:rsid w:val="0036580A"/>
    <w:rsid w:val="00365ADC"/>
    <w:rsid w:val="00367295"/>
    <w:rsid w:val="00367F46"/>
    <w:rsid w:val="0037095B"/>
    <w:rsid w:val="00370F17"/>
    <w:rsid w:val="0037525F"/>
    <w:rsid w:val="00375864"/>
    <w:rsid w:val="003774A6"/>
    <w:rsid w:val="00377606"/>
    <w:rsid w:val="00380792"/>
    <w:rsid w:val="003812AB"/>
    <w:rsid w:val="003830BB"/>
    <w:rsid w:val="00383590"/>
    <w:rsid w:val="00384117"/>
    <w:rsid w:val="003871A7"/>
    <w:rsid w:val="00393A6F"/>
    <w:rsid w:val="00394BB5"/>
    <w:rsid w:val="00395579"/>
    <w:rsid w:val="00395B6C"/>
    <w:rsid w:val="003969CF"/>
    <w:rsid w:val="00396B12"/>
    <w:rsid w:val="0039791F"/>
    <w:rsid w:val="003A0CCE"/>
    <w:rsid w:val="003A19C4"/>
    <w:rsid w:val="003A20EE"/>
    <w:rsid w:val="003A2BF4"/>
    <w:rsid w:val="003A5839"/>
    <w:rsid w:val="003B1844"/>
    <w:rsid w:val="003B2934"/>
    <w:rsid w:val="003B3197"/>
    <w:rsid w:val="003B3C0F"/>
    <w:rsid w:val="003B4570"/>
    <w:rsid w:val="003B65CC"/>
    <w:rsid w:val="003B68E7"/>
    <w:rsid w:val="003C06D0"/>
    <w:rsid w:val="003C3720"/>
    <w:rsid w:val="003C5823"/>
    <w:rsid w:val="003C5FB1"/>
    <w:rsid w:val="003D005E"/>
    <w:rsid w:val="003D0D19"/>
    <w:rsid w:val="003D15D3"/>
    <w:rsid w:val="003D1AD1"/>
    <w:rsid w:val="003D34CF"/>
    <w:rsid w:val="003D37F1"/>
    <w:rsid w:val="003D4DE5"/>
    <w:rsid w:val="003D4E75"/>
    <w:rsid w:val="003D7CA1"/>
    <w:rsid w:val="003E1A4B"/>
    <w:rsid w:val="003E2CA6"/>
    <w:rsid w:val="003E78BA"/>
    <w:rsid w:val="003E7B09"/>
    <w:rsid w:val="003E7C20"/>
    <w:rsid w:val="003E7CF4"/>
    <w:rsid w:val="003F0491"/>
    <w:rsid w:val="003F3C56"/>
    <w:rsid w:val="003F4673"/>
    <w:rsid w:val="003F5528"/>
    <w:rsid w:val="003F5D95"/>
    <w:rsid w:val="003F6D14"/>
    <w:rsid w:val="004019C2"/>
    <w:rsid w:val="004021D6"/>
    <w:rsid w:val="0040224F"/>
    <w:rsid w:val="00403D81"/>
    <w:rsid w:val="00406719"/>
    <w:rsid w:val="004105B0"/>
    <w:rsid w:val="00410683"/>
    <w:rsid w:val="004109E7"/>
    <w:rsid w:val="00412495"/>
    <w:rsid w:val="00412A9F"/>
    <w:rsid w:val="00412AA4"/>
    <w:rsid w:val="0041420C"/>
    <w:rsid w:val="00414DCD"/>
    <w:rsid w:val="00416C22"/>
    <w:rsid w:val="004173E5"/>
    <w:rsid w:val="004174C3"/>
    <w:rsid w:val="0042347F"/>
    <w:rsid w:val="00423B09"/>
    <w:rsid w:val="004249CA"/>
    <w:rsid w:val="00426A0C"/>
    <w:rsid w:val="00432D59"/>
    <w:rsid w:val="00433D9E"/>
    <w:rsid w:val="00436EC0"/>
    <w:rsid w:val="00437439"/>
    <w:rsid w:val="004409E8"/>
    <w:rsid w:val="00440AF2"/>
    <w:rsid w:val="00440F75"/>
    <w:rsid w:val="00441F25"/>
    <w:rsid w:val="0044341D"/>
    <w:rsid w:val="00443D6B"/>
    <w:rsid w:val="0044470E"/>
    <w:rsid w:val="00445E6B"/>
    <w:rsid w:val="004476CC"/>
    <w:rsid w:val="00450873"/>
    <w:rsid w:val="00453491"/>
    <w:rsid w:val="00453E13"/>
    <w:rsid w:val="004544B0"/>
    <w:rsid w:val="00455A96"/>
    <w:rsid w:val="00456559"/>
    <w:rsid w:val="00462279"/>
    <w:rsid w:val="004627AE"/>
    <w:rsid w:val="00467A9B"/>
    <w:rsid w:val="00471B2F"/>
    <w:rsid w:val="00472006"/>
    <w:rsid w:val="004744C9"/>
    <w:rsid w:val="004750A2"/>
    <w:rsid w:val="00475F95"/>
    <w:rsid w:val="004761A7"/>
    <w:rsid w:val="00476868"/>
    <w:rsid w:val="00477953"/>
    <w:rsid w:val="00477ACD"/>
    <w:rsid w:val="00480DA7"/>
    <w:rsid w:val="00481C49"/>
    <w:rsid w:val="004838B1"/>
    <w:rsid w:val="00483A43"/>
    <w:rsid w:val="004843D9"/>
    <w:rsid w:val="00484451"/>
    <w:rsid w:val="00486022"/>
    <w:rsid w:val="00487A22"/>
    <w:rsid w:val="00492AA1"/>
    <w:rsid w:val="00492DC7"/>
    <w:rsid w:val="004947FE"/>
    <w:rsid w:val="004948C7"/>
    <w:rsid w:val="0049509C"/>
    <w:rsid w:val="00495197"/>
    <w:rsid w:val="00495E71"/>
    <w:rsid w:val="004A03F1"/>
    <w:rsid w:val="004A18AB"/>
    <w:rsid w:val="004A1AA9"/>
    <w:rsid w:val="004A4469"/>
    <w:rsid w:val="004A60B1"/>
    <w:rsid w:val="004A7B1B"/>
    <w:rsid w:val="004A7B2D"/>
    <w:rsid w:val="004B0419"/>
    <w:rsid w:val="004B0677"/>
    <w:rsid w:val="004B0E5B"/>
    <w:rsid w:val="004B796B"/>
    <w:rsid w:val="004B7F9E"/>
    <w:rsid w:val="004C1446"/>
    <w:rsid w:val="004C1B57"/>
    <w:rsid w:val="004C24A7"/>
    <w:rsid w:val="004C2943"/>
    <w:rsid w:val="004C586B"/>
    <w:rsid w:val="004C6144"/>
    <w:rsid w:val="004C6B55"/>
    <w:rsid w:val="004C6FBF"/>
    <w:rsid w:val="004C7798"/>
    <w:rsid w:val="004D017E"/>
    <w:rsid w:val="004D0B13"/>
    <w:rsid w:val="004D2AE9"/>
    <w:rsid w:val="004D57DE"/>
    <w:rsid w:val="004D602C"/>
    <w:rsid w:val="004E3FF8"/>
    <w:rsid w:val="004E40B5"/>
    <w:rsid w:val="004E4FEB"/>
    <w:rsid w:val="004E6B81"/>
    <w:rsid w:val="004F061C"/>
    <w:rsid w:val="004F0E0E"/>
    <w:rsid w:val="004F0FA3"/>
    <w:rsid w:val="004F1CA2"/>
    <w:rsid w:val="004F1FA6"/>
    <w:rsid w:val="004F2188"/>
    <w:rsid w:val="004F24BC"/>
    <w:rsid w:val="004F41D9"/>
    <w:rsid w:val="0050026F"/>
    <w:rsid w:val="00504FEC"/>
    <w:rsid w:val="00507340"/>
    <w:rsid w:val="00507778"/>
    <w:rsid w:val="00510632"/>
    <w:rsid w:val="0051164F"/>
    <w:rsid w:val="005130D7"/>
    <w:rsid w:val="0051785C"/>
    <w:rsid w:val="00520519"/>
    <w:rsid w:val="00520D3F"/>
    <w:rsid w:val="005213AE"/>
    <w:rsid w:val="00521C2B"/>
    <w:rsid w:val="00522322"/>
    <w:rsid w:val="00523C58"/>
    <w:rsid w:val="00525142"/>
    <w:rsid w:val="005259FE"/>
    <w:rsid w:val="005303EE"/>
    <w:rsid w:val="0053179C"/>
    <w:rsid w:val="00531926"/>
    <w:rsid w:val="005322E6"/>
    <w:rsid w:val="00532D01"/>
    <w:rsid w:val="00532E37"/>
    <w:rsid w:val="00532E88"/>
    <w:rsid w:val="0053383B"/>
    <w:rsid w:val="00537FA3"/>
    <w:rsid w:val="005401EC"/>
    <w:rsid w:val="0054049B"/>
    <w:rsid w:val="00540F6A"/>
    <w:rsid w:val="00542626"/>
    <w:rsid w:val="005434B7"/>
    <w:rsid w:val="00544590"/>
    <w:rsid w:val="00545921"/>
    <w:rsid w:val="005507EB"/>
    <w:rsid w:val="00555B0A"/>
    <w:rsid w:val="0055617C"/>
    <w:rsid w:val="005602BA"/>
    <w:rsid w:val="00562F2F"/>
    <w:rsid w:val="00563C31"/>
    <w:rsid w:val="00564D49"/>
    <w:rsid w:val="00565BB8"/>
    <w:rsid w:val="0056748D"/>
    <w:rsid w:val="00570494"/>
    <w:rsid w:val="0057181D"/>
    <w:rsid w:val="005755AD"/>
    <w:rsid w:val="00576B20"/>
    <w:rsid w:val="00577C66"/>
    <w:rsid w:val="00580596"/>
    <w:rsid w:val="005807FA"/>
    <w:rsid w:val="00581DC5"/>
    <w:rsid w:val="00581F3F"/>
    <w:rsid w:val="00582E72"/>
    <w:rsid w:val="00583E74"/>
    <w:rsid w:val="00585277"/>
    <w:rsid w:val="00585CFA"/>
    <w:rsid w:val="005864F3"/>
    <w:rsid w:val="005900F6"/>
    <w:rsid w:val="00591FB2"/>
    <w:rsid w:val="00593B01"/>
    <w:rsid w:val="00594D40"/>
    <w:rsid w:val="005A11F3"/>
    <w:rsid w:val="005A1570"/>
    <w:rsid w:val="005A28B0"/>
    <w:rsid w:val="005A32BA"/>
    <w:rsid w:val="005A3CD0"/>
    <w:rsid w:val="005A5269"/>
    <w:rsid w:val="005A5A87"/>
    <w:rsid w:val="005B04C9"/>
    <w:rsid w:val="005B16D5"/>
    <w:rsid w:val="005B18E2"/>
    <w:rsid w:val="005B1BC0"/>
    <w:rsid w:val="005B2572"/>
    <w:rsid w:val="005B28E2"/>
    <w:rsid w:val="005B302E"/>
    <w:rsid w:val="005B49C4"/>
    <w:rsid w:val="005B680A"/>
    <w:rsid w:val="005B7080"/>
    <w:rsid w:val="005C019B"/>
    <w:rsid w:val="005C2C2D"/>
    <w:rsid w:val="005C33FB"/>
    <w:rsid w:val="005C4978"/>
    <w:rsid w:val="005C586E"/>
    <w:rsid w:val="005C6A43"/>
    <w:rsid w:val="005D0543"/>
    <w:rsid w:val="005D308C"/>
    <w:rsid w:val="005D3D26"/>
    <w:rsid w:val="005D6945"/>
    <w:rsid w:val="005D70CF"/>
    <w:rsid w:val="005E13C2"/>
    <w:rsid w:val="005E192E"/>
    <w:rsid w:val="005E2456"/>
    <w:rsid w:val="005E2DFA"/>
    <w:rsid w:val="005E5B5B"/>
    <w:rsid w:val="005E69ED"/>
    <w:rsid w:val="005F055C"/>
    <w:rsid w:val="005F0E28"/>
    <w:rsid w:val="005F1ED3"/>
    <w:rsid w:val="005F4AAD"/>
    <w:rsid w:val="005F4E5C"/>
    <w:rsid w:val="005F5201"/>
    <w:rsid w:val="005F745A"/>
    <w:rsid w:val="00602518"/>
    <w:rsid w:val="00602620"/>
    <w:rsid w:val="006032E0"/>
    <w:rsid w:val="0060349E"/>
    <w:rsid w:val="00603CBC"/>
    <w:rsid w:val="00604F23"/>
    <w:rsid w:val="006061E1"/>
    <w:rsid w:val="00606474"/>
    <w:rsid w:val="006069F9"/>
    <w:rsid w:val="0060707A"/>
    <w:rsid w:val="00610089"/>
    <w:rsid w:val="00610C05"/>
    <w:rsid w:val="0061159C"/>
    <w:rsid w:val="00611CC3"/>
    <w:rsid w:val="00611FD8"/>
    <w:rsid w:val="00612081"/>
    <w:rsid w:val="00612B12"/>
    <w:rsid w:val="00612DF0"/>
    <w:rsid w:val="00612ED3"/>
    <w:rsid w:val="006141CC"/>
    <w:rsid w:val="0061489E"/>
    <w:rsid w:val="006153F1"/>
    <w:rsid w:val="006159D6"/>
    <w:rsid w:val="00616401"/>
    <w:rsid w:val="00620A03"/>
    <w:rsid w:val="00620F41"/>
    <w:rsid w:val="00621E0B"/>
    <w:rsid w:val="00622789"/>
    <w:rsid w:val="00624055"/>
    <w:rsid w:val="006253D2"/>
    <w:rsid w:val="0062546A"/>
    <w:rsid w:val="006255D9"/>
    <w:rsid w:val="006265AF"/>
    <w:rsid w:val="00631662"/>
    <w:rsid w:val="0063295A"/>
    <w:rsid w:val="006358C0"/>
    <w:rsid w:val="0063597B"/>
    <w:rsid w:val="00635EAF"/>
    <w:rsid w:val="006418EB"/>
    <w:rsid w:val="00641BED"/>
    <w:rsid w:val="00641C6C"/>
    <w:rsid w:val="0064221F"/>
    <w:rsid w:val="006435BD"/>
    <w:rsid w:val="00646F06"/>
    <w:rsid w:val="0064772D"/>
    <w:rsid w:val="00647B46"/>
    <w:rsid w:val="00650914"/>
    <w:rsid w:val="006509DF"/>
    <w:rsid w:val="0065114C"/>
    <w:rsid w:val="00652788"/>
    <w:rsid w:val="00652915"/>
    <w:rsid w:val="00657FBB"/>
    <w:rsid w:val="006609E7"/>
    <w:rsid w:val="00661147"/>
    <w:rsid w:val="00661655"/>
    <w:rsid w:val="0066271B"/>
    <w:rsid w:val="00663667"/>
    <w:rsid w:val="00664473"/>
    <w:rsid w:val="0066690D"/>
    <w:rsid w:val="006676E3"/>
    <w:rsid w:val="00667E66"/>
    <w:rsid w:val="00671618"/>
    <w:rsid w:val="00671E8E"/>
    <w:rsid w:val="00674AF0"/>
    <w:rsid w:val="00674AF6"/>
    <w:rsid w:val="00677116"/>
    <w:rsid w:val="00677E4E"/>
    <w:rsid w:val="00680370"/>
    <w:rsid w:val="00680CAD"/>
    <w:rsid w:val="00680E29"/>
    <w:rsid w:val="00682B62"/>
    <w:rsid w:val="00682F64"/>
    <w:rsid w:val="00683012"/>
    <w:rsid w:val="00683261"/>
    <w:rsid w:val="0068350F"/>
    <w:rsid w:val="006850A4"/>
    <w:rsid w:val="006855A2"/>
    <w:rsid w:val="00685EC3"/>
    <w:rsid w:val="00691B0F"/>
    <w:rsid w:val="00691F0B"/>
    <w:rsid w:val="00693D71"/>
    <w:rsid w:val="00694E47"/>
    <w:rsid w:val="00694F72"/>
    <w:rsid w:val="0069637B"/>
    <w:rsid w:val="00696CC5"/>
    <w:rsid w:val="006974F4"/>
    <w:rsid w:val="006A15CC"/>
    <w:rsid w:val="006A2D5C"/>
    <w:rsid w:val="006A300B"/>
    <w:rsid w:val="006A384E"/>
    <w:rsid w:val="006A5779"/>
    <w:rsid w:val="006A6091"/>
    <w:rsid w:val="006A6F61"/>
    <w:rsid w:val="006A7CD9"/>
    <w:rsid w:val="006B00FF"/>
    <w:rsid w:val="006B0975"/>
    <w:rsid w:val="006B1057"/>
    <w:rsid w:val="006B1A25"/>
    <w:rsid w:val="006B1AF0"/>
    <w:rsid w:val="006B20F6"/>
    <w:rsid w:val="006B2DA6"/>
    <w:rsid w:val="006B3A1B"/>
    <w:rsid w:val="006B4A88"/>
    <w:rsid w:val="006B5F13"/>
    <w:rsid w:val="006B7B78"/>
    <w:rsid w:val="006C08FB"/>
    <w:rsid w:val="006C0E01"/>
    <w:rsid w:val="006C4F29"/>
    <w:rsid w:val="006C519A"/>
    <w:rsid w:val="006C57E9"/>
    <w:rsid w:val="006C709B"/>
    <w:rsid w:val="006C7918"/>
    <w:rsid w:val="006D1835"/>
    <w:rsid w:val="006D1CA2"/>
    <w:rsid w:val="006D30DF"/>
    <w:rsid w:val="006D586F"/>
    <w:rsid w:val="006D596B"/>
    <w:rsid w:val="006D72A7"/>
    <w:rsid w:val="006E0549"/>
    <w:rsid w:val="006E159D"/>
    <w:rsid w:val="006E197F"/>
    <w:rsid w:val="006E41F3"/>
    <w:rsid w:val="006E66D4"/>
    <w:rsid w:val="006E6EE7"/>
    <w:rsid w:val="006F1199"/>
    <w:rsid w:val="006F202D"/>
    <w:rsid w:val="006F2252"/>
    <w:rsid w:val="006F33D4"/>
    <w:rsid w:val="006F37B3"/>
    <w:rsid w:val="006F3A2C"/>
    <w:rsid w:val="006F3AA4"/>
    <w:rsid w:val="006F5246"/>
    <w:rsid w:val="006F562D"/>
    <w:rsid w:val="006F6B81"/>
    <w:rsid w:val="006F6E62"/>
    <w:rsid w:val="00700091"/>
    <w:rsid w:val="00701114"/>
    <w:rsid w:val="0070325A"/>
    <w:rsid w:val="00703F5D"/>
    <w:rsid w:val="00705019"/>
    <w:rsid w:val="0070545B"/>
    <w:rsid w:val="00710C8B"/>
    <w:rsid w:val="0071103A"/>
    <w:rsid w:val="007116A9"/>
    <w:rsid w:val="007116ED"/>
    <w:rsid w:val="00714477"/>
    <w:rsid w:val="00714BED"/>
    <w:rsid w:val="0071591D"/>
    <w:rsid w:val="00715C62"/>
    <w:rsid w:val="00716879"/>
    <w:rsid w:val="007170D6"/>
    <w:rsid w:val="00722D8B"/>
    <w:rsid w:val="00723B78"/>
    <w:rsid w:val="00724B98"/>
    <w:rsid w:val="00725D50"/>
    <w:rsid w:val="00726728"/>
    <w:rsid w:val="00727E84"/>
    <w:rsid w:val="0073016D"/>
    <w:rsid w:val="007303B2"/>
    <w:rsid w:val="007306B5"/>
    <w:rsid w:val="0073095A"/>
    <w:rsid w:val="0073341C"/>
    <w:rsid w:val="007349EA"/>
    <w:rsid w:val="00734E13"/>
    <w:rsid w:val="007357F2"/>
    <w:rsid w:val="00737FC7"/>
    <w:rsid w:val="00740896"/>
    <w:rsid w:val="007414DB"/>
    <w:rsid w:val="00742F13"/>
    <w:rsid w:val="00742FDB"/>
    <w:rsid w:val="00744080"/>
    <w:rsid w:val="007461BF"/>
    <w:rsid w:val="007464C5"/>
    <w:rsid w:val="0074656A"/>
    <w:rsid w:val="007468F3"/>
    <w:rsid w:val="007471CC"/>
    <w:rsid w:val="00751EED"/>
    <w:rsid w:val="00752649"/>
    <w:rsid w:val="00753A3D"/>
    <w:rsid w:val="007551B0"/>
    <w:rsid w:val="007554E1"/>
    <w:rsid w:val="0075632C"/>
    <w:rsid w:val="007578D9"/>
    <w:rsid w:val="007610E5"/>
    <w:rsid w:val="007613E3"/>
    <w:rsid w:val="007632E4"/>
    <w:rsid w:val="00764216"/>
    <w:rsid w:val="007642C3"/>
    <w:rsid w:val="00764CA6"/>
    <w:rsid w:val="007664A0"/>
    <w:rsid w:val="007700C4"/>
    <w:rsid w:val="00771111"/>
    <w:rsid w:val="00772B38"/>
    <w:rsid w:val="007772A7"/>
    <w:rsid w:val="00781877"/>
    <w:rsid w:val="00781D52"/>
    <w:rsid w:val="00784FC4"/>
    <w:rsid w:val="00786F18"/>
    <w:rsid w:val="00787381"/>
    <w:rsid w:val="00790CC7"/>
    <w:rsid w:val="00790E28"/>
    <w:rsid w:val="00792320"/>
    <w:rsid w:val="007950C9"/>
    <w:rsid w:val="00795367"/>
    <w:rsid w:val="0079600E"/>
    <w:rsid w:val="0079632B"/>
    <w:rsid w:val="0079682E"/>
    <w:rsid w:val="007A0BFE"/>
    <w:rsid w:val="007A217E"/>
    <w:rsid w:val="007A2E6B"/>
    <w:rsid w:val="007A3749"/>
    <w:rsid w:val="007A4EB4"/>
    <w:rsid w:val="007A51CE"/>
    <w:rsid w:val="007A60CE"/>
    <w:rsid w:val="007A73CB"/>
    <w:rsid w:val="007A778C"/>
    <w:rsid w:val="007B0E49"/>
    <w:rsid w:val="007B134C"/>
    <w:rsid w:val="007B354E"/>
    <w:rsid w:val="007B3811"/>
    <w:rsid w:val="007B4EE0"/>
    <w:rsid w:val="007B5EFA"/>
    <w:rsid w:val="007B6A5B"/>
    <w:rsid w:val="007B6EB0"/>
    <w:rsid w:val="007B75FB"/>
    <w:rsid w:val="007B7B8D"/>
    <w:rsid w:val="007C052E"/>
    <w:rsid w:val="007C3DAD"/>
    <w:rsid w:val="007C5EF5"/>
    <w:rsid w:val="007C661B"/>
    <w:rsid w:val="007C6DF5"/>
    <w:rsid w:val="007D0068"/>
    <w:rsid w:val="007D0300"/>
    <w:rsid w:val="007D0564"/>
    <w:rsid w:val="007D2AA7"/>
    <w:rsid w:val="007D501F"/>
    <w:rsid w:val="007E1730"/>
    <w:rsid w:val="007E1CAD"/>
    <w:rsid w:val="007E4B1C"/>
    <w:rsid w:val="007E5AF3"/>
    <w:rsid w:val="007E6B7E"/>
    <w:rsid w:val="007E7712"/>
    <w:rsid w:val="007F04FF"/>
    <w:rsid w:val="007F053E"/>
    <w:rsid w:val="007F0C8F"/>
    <w:rsid w:val="007F268A"/>
    <w:rsid w:val="007F3425"/>
    <w:rsid w:val="007F4D71"/>
    <w:rsid w:val="007F7246"/>
    <w:rsid w:val="00800006"/>
    <w:rsid w:val="00800A1A"/>
    <w:rsid w:val="0080218C"/>
    <w:rsid w:val="00802B1E"/>
    <w:rsid w:val="00802D57"/>
    <w:rsid w:val="008039F6"/>
    <w:rsid w:val="008052E9"/>
    <w:rsid w:val="00805F21"/>
    <w:rsid w:val="00806A8B"/>
    <w:rsid w:val="008070C6"/>
    <w:rsid w:val="00807DAF"/>
    <w:rsid w:val="00810C1D"/>
    <w:rsid w:val="00810DE8"/>
    <w:rsid w:val="008115C1"/>
    <w:rsid w:val="00811F2C"/>
    <w:rsid w:val="0081319C"/>
    <w:rsid w:val="008138BA"/>
    <w:rsid w:val="00814378"/>
    <w:rsid w:val="00814ECE"/>
    <w:rsid w:val="008153DF"/>
    <w:rsid w:val="00815D0F"/>
    <w:rsid w:val="008161DE"/>
    <w:rsid w:val="00816587"/>
    <w:rsid w:val="00816F70"/>
    <w:rsid w:val="008174B0"/>
    <w:rsid w:val="00820145"/>
    <w:rsid w:val="00820577"/>
    <w:rsid w:val="00820F7B"/>
    <w:rsid w:val="0082185F"/>
    <w:rsid w:val="00822CB3"/>
    <w:rsid w:val="00823B9C"/>
    <w:rsid w:val="00823D69"/>
    <w:rsid w:val="0082446D"/>
    <w:rsid w:val="00825A7E"/>
    <w:rsid w:val="008278D8"/>
    <w:rsid w:val="00830382"/>
    <w:rsid w:val="00831C29"/>
    <w:rsid w:val="00831CE5"/>
    <w:rsid w:val="00832086"/>
    <w:rsid w:val="008336BC"/>
    <w:rsid w:val="00834AAE"/>
    <w:rsid w:val="0083554A"/>
    <w:rsid w:val="00835A11"/>
    <w:rsid w:val="00836AAE"/>
    <w:rsid w:val="0083717B"/>
    <w:rsid w:val="008417B1"/>
    <w:rsid w:val="00841849"/>
    <w:rsid w:val="00843AB4"/>
    <w:rsid w:val="00843BE9"/>
    <w:rsid w:val="0084531C"/>
    <w:rsid w:val="00845A41"/>
    <w:rsid w:val="00845FA2"/>
    <w:rsid w:val="00852F81"/>
    <w:rsid w:val="00853B9C"/>
    <w:rsid w:val="00856296"/>
    <w:rsid w:val="008579A3"/>
    <w:rsid w:val="00857D3F"/>
    <w:rsid w:val="00860D44"/>
    <w:rsid w:val="00860F37"/>
    <w:rsid w:val="00863632"/>
    <w:rsid w:val="00863D15"/>
    <w:rsid w:val="00864061"/>
    <w:rsid w:val="00864D00"/>
    <w:rsid w:val="0086783A"/>
    <w:rsid w:val="008727C2"/>
    <w:rsid w:val="008749DE"/>
    <w:rsid w:val="0087549C"/>
    <w:rsid w:val="008769E7"/>
    <w:rsid w:val="008776CD"/>
    <w:rsid w:val="008811EF"/>
    <w:rsid w:val="00881689"/>
    <w:rsid w:val="00882A8A"/>
    <w:rsid w:val="008846F8"/>
    <w:rsid w:val="008865AA"/>
    <w:rsid w:val="00886C7D"/>
    <w:rsid w:val="0088706F"/>
    <w:rsid w:val="00890163"/>
    <w:rsid w:val="0089064D"/>
    <w:rsid w:val="0089086D"/>
    <w:rsid w:val="00891423"/>
    <w:rsid w:val="0089155C"/>
    <w:rsid w:val="008922C1"/>
    <w:rsid w:val="008928BF"/>
    <w:rsid w:val="00893FB3"/>
    <w:rsid w:val="00894222"/>
    <w:rsid w:val="008949B3"/>
    <w:rsid w:val="00894C5C"/>
    <w:rsid w:val="00896943"/>
    <w:rsid w:val="008A035D"/>
    <w:rsid w:val="008A0722"/>
    <w:rsid w:val="008A4321"/>
    <w:rsid w:val="008A51C9"/>
    <w:rsid w:val="008A59DF"/>
    <w:rsid w:val="008A6EFC"/>
    <w:rsid w:val="008A7BDD"/>
    <w:rsid w:val="008B0A76"/>
    <w:rsid w:val="008B2FD5"/>
    <w:rsid w:val="008B57EE"/>
    <w:rsid w:val="008B6983"/>
    <w:rsid w:val="008B7900"/>
    <w:rsid w:val="008C115D"/>
    <w:rsid w:val="008C1D97"/>
    <w:rsid w:val="008C2153"/>
    <w:rsid w:val="008C3AF1"/>
    <w:rsid w:val="008C3FCE"/>
    <w:rsid w:val="008C58F3"/>
    <w:rsid w:val="008C60A2"/>
    <w:rsid w:val="008C6C77"/>
    <w:rsid w:val="008D03E2"/>
    <w:rsid w:val="008D0526"/>
    <w:rsid w:val="008D0F52"/>
    <w:rsid w:val="008D1BEB"/>
    <w:rsid w:val="008D445A"/>
    <w:rsid w:val="008D469E"/>
    <w:rsid w:val="008D55DC"/>
    <w:rsid w:val="008D5BA3"/>
    <w:rsid w:val="008D6581"/>
    <w:rsid w:val="008D71E9"/>
    <w:rsid w:val="008D79C6"/>
    <w:rsid w:val="008E1096"/>
    <w:rsid w:val="008E284F"/>
    <w:rsid w:val="008E6767"/>
    <w:rsid w:val="008E67CB"/>
    <w:rsid w:val="008E7014"/>
    <w:rsid w:val="008E7FE3"/>
    <w:rsid w:val="008F11F2"/>
    <w:rsid w:val="008F2110"/>
    <w:rsid w:val="008F325B"/>
    <w:rsid w:val="008F4546"/>
    <w:rsid w:val="008F5418"/>
    <w:rsid w:val="00900300"/>
    <w:rsid w:val="00901F61"/>
    <w:rsid w:val="00902721"/>
    <w:rsid w:val="00902C9B"/>
    <w:rsid w:val="00903F4E"/>
    <w:rsid w:val="00904BAC"/>
    <w:rsid w:val="00905BAB"/>
    <w:rsid w:val="00907686"/>
    <w:rsid w:val="0091041C"/>
    <w:rsid w:val="00912AD5"/>
    <w:rsid w:val="00913327"/>
    <w:rsid w:val="00913AC9"/>
    <w:rsid w:val="00913D80"/>
    <w:rsid w:val="009140D0"/>
    <w:rsid w:val="009141FA"/>
    <w:rsid w:val="0091614C"/>
    <w:rsid w:val="009165E0"/>
    <w:rsid w:val="009203EF"/>
    <w:rsid w:val="00920822"/>
    <w:rsid w:val="00920883"/>
    <w:rsid w:val="00920936"/>
    <w:rsid w:val="009210B0"/>
    <w:rsid w:val="00921336"/>
    <w:rsid w:val="00921922"/>
    <w:rsid w:val="00922939"/>
    <w:rsid w:val="009231B5"/>
    <w:rsid w:val="0092339B"/>
    <w:rsid w:val="00923A75"/>
    <w:rsid w:val="00924D8E"/>
    <w:rsid w:val="00932736"/>
    <w:rsid w:val="00932851"/>
    <w:rsid w:val="00932D0E"/>
    <w:rsid w:val="009350FC"/>
    <w:rsid w:val="009351BD"/>
    <w:rsid w:val="0093566B"/>
    <w:rsid w:val="0093585C"/>
    <w:rsid w:val="00936064"/>
    <w:rsid w:val="009408B4"/>
    <w:rsid w:val="00942221"/>
    <w:rsid w:val="00943118"/>
    <w:rsid w:val="00943A24"/>
    <w:rsid w:val="00944F74"/>
    <w:rsid w:val="00945CAC"/>
    <w:rsid w:val="00946815"/>
    <w:rsid w:val="00946BE2"/>
    <w:rsid w:val="00946CEE"/>
    <w:rsid w:val="00947273"/>
    <w:rsid w:val="00950593"/>
    <w:rsid w:val="00950B43"/>
    <w:rsid w:val="00953D48"/>
    <w:rsid w:val="00954062"/>
    <w:rsid w:val="009551D1"/>
    <w:rsid w:val="009557D1"/>
    <w:rsid w:val="00955A8D"/>
    <w:rsid w:val="00956227"/>
    <w:rsid w:val="00956646"/>
    <w:rsid w:val="00956725"/>
    <w:rsid w:val="00956D7A"/>
    <w:rsid w:val="00960187"/>
    <w:rsid w:val="0096211A"/>
    <w:rsid w:val="00962661"/>
    <w:rsid w:val="00963F51"/>
    <w:rsid w:val="009654CE"/>
    <w:rsid w:val="00966048"/>
    <w:rsid w:val="0097163A"/>
    <w:rsid w:val="00972B32"/>
    <w:rsid w:val="00973B58"/>
    <w:rsid w:val="00975158"/>
    <w:rsid w:val="009757E9"/>
    <w:rsid w:val="00976456"/>
    <w:rsid w:val="00980407"/>
    <w:rsid w:val="009807E3"/>
    <w:rsid w:val="00980985"/>
    <w:rsid w:val="00984109"/>
    <w:rsid w:val="00984E3F"/>
    <w:rsid w:val="00984FB8"/>
    <w:rsid w:val="00985A74"/>
    <w:rsid w:val="00985E68"/>
    <w:rsid w:val="00986A4A"/>
    <w:rsid w:val="009879DA"/>
    <w:rsid w:val="00987AA6"/>
    <w:rsid w:val="009906B2"/>
    <w:rsid w:val="00990EF3"/>
    <w:rsid w:val="00991237"/>
    <w:rsid w:val="0099269C"/>
    <w:rsid w:val="009931BB"/>
    <w:rsid w:val="0099322C"/>
    <w:rsid w:val="0099355C"/>
    <w:rsid w:val="00994D4F"/>
    <w:rsid w:val="00994FD8"/>
    <w:rsid w:val="00995BB9"/>
    <w:rsid w:val="00996C40"/>
    <w:rsid w:val="00997E4A"/>
    <w:rsid w:val="009A2F88"/>
    <w:rsid w:val="009A393E"/>
    <w:rsid w:val="009A5C17"/>
    <w:rsid w:val="009A608D"/>
    <w:rsid w:val="009A6BDF"/>
    <w:rsid w:val="009B1AE5"/>
    <w:rsid w:val="009B22D3"/>
    <w:rsid w:val="009B2DF5"/>
    <w:rsid w:val="009B3040"/>
    <w:rsid w:val="009B3E73"/>
    <w:rsid w:val="009B4DEF"/>
    <w:rsid w:val="009B5159"/>
    <w:rsid w:val="009B60DC"/>
    <w:rsid w:val="009B629A"/>
    <w:rsid w:val="009B63D8"/>
    <w:rsid w:val="009B7357"/>
    <w:rsid w:val="009B7983"/>
    <w:rsid w:val="009B7E52"/>
    <w:rsid w:val="009C03FB"/>
    <w:rsid w:val="009C2406"/>
    <w:rsid w:val="009C3323"/>
    <w:rsid w:val="009C4EAF"/>
    <w:rsid w:val="009C5FF1"/>
    <w:rsid w:val="009C619D"/>
    <w:rsid w:val="009C6522"/>
    <w:rsid w:val="009C67A2"/>
    <w:rsid w:val="009C7774"/>
    <w:rsid w:val="009D155F"/>
    <w:rsid w:val="009D2080"/>
    <w:rsid w:val="009D20A4"/>
    <w:rsid w:val="009D2A76"/>
    <w:rsid w:val="009D3CD0"/>
    <w:rsid w:val="009D4D67"/>
    <w:rsid w:val="009D6C85"/>
    <w:rsid w:val="009D75EF"/>
    <w:rsid w:val="009E1649"/>
    <w:rsid w:val="009E1941"/>
    <w:rsid w:val="009E306F"/>
    <w:rsid w:val="009E3513"/>
    <w:rsid w:val="009E5F80"/>
    <w:rsid w:val="009E7381"/>
    <w:rsid w:val="009E7AEA"/>
    <w:rsid w:val="009F1223"/>
    <w:rsid w:val="009F1B6F"/>
    <w:rsid w:val="009F1DA2"/>
    <w:rsid w:val="009F208E"/>
    <w:rsid w:val="009F2409"/>
    <w:rsid w:val="009F3AB5"/>
    <w:rsid w:val="009F542C"/>
    <w:rsid w:val="009F699D"/>
    <w:rsid w:val="009F7639"/>
    <w:rsid w:val="00A01335"/>
    <w:rsid w:val="00A01F3E"/>
    <w:rsid w:val="00A02179"/>
    <w:rsid w:val="00A048FC"/>
    <w:rsid w:val="00A05593"/>
    <w:rsid w:val="00A072A7"/>
    <w:rsid w:val="00A104BB"/>
    <w:rsid w:val="00A11406"/>
    <w:rsid w:val="00A14054"/>
    <w:rsid w:val="00A14469"/>
    <w:rsid w:val="00A14D52"/>
    <w:rsid w:val="00A1514D"/>
    <w:rsid w:val="00A15187"/>
    <w:rsid w:val="00A20292"/>
    <w:rsid w:val="00A23884"/>
    <w:rsid w:val="00A248A5"/>
    <w:rsid w:val="00A25363"/>
    <w:rsid w:val="00A26E96"/>
    <w:rsid w:val="00A311CF"/>
    <w:rsid w:val="00A34003"/>
    <w:rsid w:val="00A3611A"/>
    <w:rsid w:val="00A36431"/>
    <w:rsid w:val="00A3686F"/>
    <w:rsid w:val="00A36BA5"/>
    <w:rsid w:val="00A36BF8"/>
    <w:rsid w:val="00A37D53"/>
    <w:rsid w:val="00A415AA"/>
    <w:rsid w:val="00A41FDA"/>
    <w:rsid w:val="00A428B5"/>
    <w:rsid w:val="00A42F94"/>
    <w:rsid w:val="00A436D7"/>
    <w:rsid w:val="00A43F7B"/>
    <w:rsid w:val="00A442D1"/>
    <w:rsid w:val="00A45D5E"/>
    <w:rsid w:val="00A46B5A"/>
    <w:rsid w:val="00A471E0"/>
    <w:rsid w:val="00A47E67"/>
    <w:rsid w:val="00A50221"/>
    <w:rsid w:val="00A50395"/>
    <w:rsid w:val="00A5064B"/>
    <w:rsid w:val="00A50EB3"/>
    <w:rsid w:val="00A536D1"/>
    <w:rsid w:val="00A566FD"/>
    <w:rsid w:val="00A57768"/>
    <w:rsid w:val="00A63693"/>
    <w:rsid w:val="00A638B7"/>
    <w:rsid w:val="00A64CA0"/>
    <w:rsid w:val="00A65577"/>
    <w:rsid w:val="00A660AC"/>
    <w:rsid w:val="00A67C9B"/>
    <w:rsid w:val="00A70383"/>
    <w:rsid w:val="00A70B9F"/>
    <w:rsid w:val="00A7119F"/>
    <w:rsid w:val="00A72A32"/>
    <w:rsid w:val="00A736F9"/>
    <w:rsid w:val="00A75F5F"/>
    <w:rsid w:val="00A76AAB"/>
    <w:rsid w:val="00A77BB5"/>
    <w:rsid w:val="00A80680"/>
    <w:rsid w:val="00A817AE"/>
    <w:rsid w:val="00A820BB"/>
    <w:rsid w:val="00A82775"/>
    <w:rsid w:val="00A82B44"/>
    <w:rsid w:val="00A855CE"/>
    <w:rsid w:val="00A85BE5"/>
    <w:rsid w:val="00A865A5"/>
    <w:rsid w:val="00A873B5"/>
    <w:rsid w:val="00A93788"/>
    <w:rsid w:val="00A94C67"/>
    <w:rsid w:val="00A96141"/>
    <w:rsid w:val="00A9634B"/>
    <w:rsid w:val="00A966A5"/>
    <w:rsid w:val="00A97BAB"/>
    <w:rsid w:val="00AA6248"/>
    <w:rsid w:val="00AB15E6"/>
    <w:rsid w:val="00AB242D"/>
    <w:rsid w:val="00AB2A88"/>
    <w:rsid w:val="00AB2BB0"/>
    <w:rsid w:val="00AB46DE"/>
    <w:rsid w:val="00AB4A4D"/>
    <w:rsid w:val="00AB4B5C"/>
    <w:rsid w:val="00AB50E4"/>
    <w:rsid w:val="00AB5218"/>
    <w:rsid w:val="00AB5914"/>
    <w:rsid w:val="00AB6B39"/>
    <w:rsid w:val="00AC0E01"/>
    <w:rsid w:val="00AC1A4A"/>
    <w:rsid w:val="00AC322D"/>
    <w:rsid w:val="00AC34D8"/>
    <w:rsid w:val="00AC413C"/>
    <w:rsid w:val="00AC4EF2"/>
    <w:rsid w:val="00AC59E6"/>
    <w:rsid w:val="00AC5D4D"/>
    <w:rsid w:val="00AC7D86"/>
    <w:rsid w:val="00AD270D"/>
    <w:rsid w:val="00AD4584"/>
    <w:rsid w:val="00AD555B"/>
    <w:rsid w:val="00AD5635"/>
    <w:rsid w:val="00AD5AA6"/>
    <w:rsid w:val="00AE13C2"/>
    <w:rsid w:val="00AE1FDA"/>
    <w:rsid w:val="00AE31BB"/>
    <w:rsid w:val="00AE4A20"/>
    <w:rsid w:val="00AF16A7"/>
    <w:rsid w:val="00AF1A9A"/>
    <w:rsid w:val="00AF35EF"/>
    <w:rsid w:val="00AF4645"/>
    <w:rsid w:val="00AF586A"/>
    <w:rsid w:val="00AF6E12"/>
    <w:rsid w:val="00AF75E2"/>
    <w:rsid w:val="00B0297C"/>
    <w:rsid w:val="00B02AE5"/>
    <w:rsid w:val="00B046FA"/>
    <w:rsid w:val="00B04F7F"/>
    <w:rsid w:val="00B0506E"/>
    <w:rsid w:val="00B052CD"/>
    <w:rsid w:val="00B05761"/>
    <w:rsid w:val="00B10FB7"/>
    <w:rsid w:val="00B11158"/>
    <w:rsid w:val="00B1176A"/>
    <w:rsid w:val="00B12398"/>
    <w:rsid w:val="00B12DE2"/>
    <w:rsid w:val="00B13E70"/>
    <w:rsid w:val="00B14C0E"/>
    <w:rsid w:val="00B151B1"/>
    <w:rsid w:val="00B158DF"/>
    <w:rsid w:val="00B16D96"/>
    <w:rsid w:val="00B17682"/>
    <w:rsid w:val="00B22051"/>
    <w:rsid w:val="00B2214F"/>
    <w:rsid w:val="00B2386C"/>
    <w:rsid w:val="00B24673"/>
    <w:rsid w:val="00B25C4C"/>
    <w:rsid w:val="00B2683E"/>
    <w:rsid w:val="00B2688B"/>
    <w:rsid w:val="00B3126D"/>
    <w:rsid w:val="00B32AB5"/>
    <w:rsid w:val="00B33119"/>
    <w:rsid w:val="00B3371C"/>
    <w:rsid w:val="00B33A26"/>
    <w:rsid w:val="00B33B66"/>
    <w:rsid w:val="00B3565B"/>
    <w:rsid w:val="00B3736B"/>
    <w:rsid w:val="00B37FAD"/>
    <w:rsid w:val="00B4009F"/>
    <w:rsid w:val="00B40F12"/>
    <w:rsid w:val="00B415A4"/>
    <w:rsid w:val="00B42B21"/>
    <w:rsid w:val="00B4354B"/>
    <w:rsid w:val="00B4380B"/>
    <w:rsid w:val="00B43C54"/>
    <w:rsid w:val="00B456A5"/>
    <w:rsid w:val="00B458AB"/>
    <w:rsid w:val="00B4598B"/>
    <w:rsid w:val="00B462DD"/>
    <w:rsid w:val="00B4643B"/>
    <w:rsid w:val="00B466F4"/>
    <w:rsid w:val="00B46CBB"/>
    <w:rsid w:val="00B4760D"/>
    <w:rsid w:val="00B47CE8"/>
    <w:rsid w:val="00B502D9"/>
    <w:rsid w:val="00B504F7"/>
    <w:rsid w:val="00B50A81"/>
    <w:rsid w:val="00B5314D"/>
    <w:rsid w:val="00B53432"/>
    <w:rsid w:val="00B53576"/>
    <w:rsid w:val="00B550BF"/>
    <w:rsid w:val="00B5532D"/>
    <w:rsid w:val="00B557B9"/>
    <w:rsid w:val="00B55AAE"/>
    <w:rsid w:val="00B56CCE"/>
    <w:rsid w:val="00B5742D"/>
    <w:rsid w:val="00B57945"/>
    <w:rsid w:val="00B61A49"/>
    <w:rsid w:val="00B631C8"/>
    <w:rsid w:val="00B636D9"/>
    <w:rsid w:val="00B6475B"/>
    <w:rsid w:val="00B66102"/>
    <w:rsid w:val="00B6731C"/>
    <w:rsid w:val="00B702AA"/>
    <w:rsid w:val="00B71297"/>
    <w:rsid w:val="00B729B3"/>
    <w:rsid w:val="00B75A90"/>
    <w:rsid w:val="00B7685A"/>
    <w:rsid w:val="00B76BA9"/>
    <w:rsid w:val="00B77E57"/>
    <w:rsid w:val="00B81B18"/>
    <w:rsid w:val="00B83286"/>
    <w:rsid w:val="00B951F8"/>
    <w:rsid w:val="00B95849"/>
    <w:rsid w:val="00B96B66"/>
    <w:rsid w:val="00B96C82"/>
    <w:rsid w:val="00BA0249"/>
    <w:rsid w:val="00BA19DA"/>
    <w:rsid w:val="00BA2509"/>
    <w:rsid w:val="00BA3CEF"/>
    <w:rsid w:val="00BA453C"/>
    <w:rsid w:val="00BA712D"/>
    <w:rsid w:val="00BB0576"/>
    <w:rsid w:val="00BB11BB"/>
    <w:rsid w:val="00BB1482"/>
    <w:rsid w:val="00BB1BE7"/>
    <w:rsid w:val="00BB2014"/>
    <w:rsid w:val="00BB3176"/>
    <w:rsid w:val="00BB31D7"/>
    <w:rsid w:val="00BB31F8"/>
    <w:rsid w:val="00BB38D2"/>
    <w:rsid w:val="00BB43B3"/>
    <w:rsid w:val="00BB465B"/>
    <w:rsid w:val="00BB4BA5"/>
    <w:rsid w:val="00BB56F5"/>
    <w:rsid w:val="00BB5FAC"/>
    <w:rsid w:val="00BB658F"/>
    <w:rsid w:val="00BB6CE2"/>
    <w:rsid w:val="00BC152E"/>
    <w:rsid w:val="00BC330D"/>
    <w:rsid w:val="00BC4009"/>
    <w:rsid w:val="00BC4B0E"/>
    <w:rsid w:val="00BC5139"/>
    <w:rsid w:val="00BC52B0"/>
    <w:rsid w:val="00BC66FE"/>
    <w:rsid w:val="00BD013C"/>
    <w:rsid w:val="00BD0B12"/>
    <w:rsid w:val="00BD2809"/>
    <w:rsid w:val="00BD2C65"/>
    <w:rsid w:val="00BD348F"/>
    <w:rsid w:val="00BD3ECE"/>
    <w:rsid w:val="00BD4521"/>
    <w:rsid w:val="00BD4B8A"/>
    <w:rsid w:val="00BD6CBD"/>
    <w:rsid w:val="00BE0E59"/>
    <w:rsid w:val="00BE230B"/>
    <w:rsid w:val="00BE292A"/>
    <w:rsid w:val="00BE3C33"/>
    <w:rsid w:val="00BE4661"/>
    <w:rsid w:val="00BE52BC"/>
    <w:rsid w:val="00BE5351"/>
    <w:rsid w:val="00BE56E9"/>
    <w:rsid w:val="00BE5A76"/>
    <w:rsid w:val="00BF02E3"/>
    <w:rsid w:val="00BF066B"/>
    <w:rsid w:val="00BF13CD"/>
    <w:rsid w:val="00BF191A"/>
    <w:rsid w:val="00BF2E30"/>
    <w:rsid w:val="00BF32FA"/>
    <w:rsid w:val="00BF38A0"/>
    <w:rsid w:val="00BF3A44"/>
    <w:rsid w:val="00BF4B15"/>
    <w:rsid w:val="00BF6B42"/>
    <w:rsid w:val="00BF7664"/>
    <w:rsid w:val="00BF7EE3"/>
    <w:rsid w:val="00C0159F"/>
    <w:rsid w:val="00C018AC"/>
    <w:rsid w:val="00C01C76"/>
    <w:rsid w:val="00C038BE"/>
    <w:rsid w:val="00C03A8F"/>
    <w:rsid w:val="00C0414D"/>
    <w:rsid w:val="00C04EDB"/>
    <w:rsid w:val="00C05318"/>
    <w:rsid w:val="00C05CAB"/>
    <w:rsid w:val="00C05CCC"/>
    <w:rsid w:val="00C07E6F"/>
    <w:rsid w:val="00C12448"/>
    <w:rsid w:val="00C13CF0"/>
    <w:rsid w:val="00C145F1"/>
    <w:rsid w:val="00C15721"/>
    <w:rsid w:val="00C1640B"/>
    <w:rsid w:val="00C204ED"/>
    <w:rsid w:val="00C2052F"/>
    <w:rsid w:val="00C21997"/>
    <w:rsid w:val="00C21BA8"/>
    <w:rsid w:val="00C23372"/>
    <w:rsid w:val="00C238FB"/>
    <w:rsid w:val="00C24426"/>
    <w:rsid w:val="00C24E0F"/>
    <w:rsid w:val="00C252B4"/>
    <w:rsid w:val="00C25583"/>
    <w:rsid w:val="00C264E3"/>
    <w:rsid w:val="00C27914"/>
    <w:rsid w:val="00C27D40"/>
    <w:rsid w:val="00C32101"/>
    <w:rsid w:val="00C3223E"/>
    <w:rsid w:val="00C330C0"/>
    <w:rsid w:val="00C35D21"/>
    <w:rsid w:val="00C362CA"/>
    <w:rsid w:val="00C36F7F"/>
    <w:rsid w:val="00C37005"/>
    <w:rsid w:val="00C3706D"/>
    <w:rsid w:val="00C40171"/>
    <w:rsid w:val="00C40B2C"/>
    <w:rsid w:val="00C40BB3"/>
    <w:rsid w:val="00C43EBC"/>
    <w:rsid w:val="00C44276"/>
    <w:rsid w:val="00C45FFE"/>
    <w:rsid w:val="00C46827"/>
    <w:rsid w:val="00C4706A"/>
    <w:rsid w:val="00C5205F"/>
    <w:rsid w:val="00C54F8F"/>
    <w:rsid w:val="00C559B8"/>
    <w:rsid w:val="00C56430"/>
    <w:rsid w:val="00C56D22"/>
    <w:rsid w:val="00C57C81"/>
    <w:rsid w:val="00C604CC"/>
    <w:rsid w:val="00C6216C"/>
    <w:rsid w:val="00C6309D"/>
    <w:rsid w:val="00C64C4A"/>
    <w:rsid w:val="00C669B7"/>
    <w:rsid w:val="00C7092F"/>
    <w:rsid w:val="00C71ED4"/>
    <w:rsid w:val="00C72619"/>
    <w:rsid w:val="00C72CD4"/>
    <w:rsid w:val="00C72FF7"/>
    <w:rsid w:val="00C75298"/>
    <w:rsid w:val="00C75A1C"/>
    <w:rsid w:val="00C76764"/>
    <w:rsid w:val="00C81ADA"/>
    <w:rsid w:val="00C85C48"/>
    <w:rsid w:val="00C85EB5"/>
    <w:rsid w:val="00C8788B"/>
    <w:rsid w:val="00C87FD6"/>
    <w:rsid w:val="00C902C7"/>
    <w:rsid w:val="00C90E0F"/>
    <w:rsid w:val="00C91478"/>
    <w:rsid w:val="00C91FAC"/>
    <w:rsid w:val="00C9284B"/>
    <w:rsid w:val="00C92C5D"/>
    <w:rsid w:val="00C94421"/>
    <w:rsid w:val="00C949BD"/>
    <w:rsid w:val="00C94C54"/>
    <w:rsid w:val="00C958B6"/>
    <w:rsid w:val="00C96B1C"/>
    <w:rsid w:val="00CA0D4C"/>
    <w:rsid w:val="00CA257C"/>
    <w:rsid w:val="00CA2FC3"/>
    <w:rsid w:val="00CA3943"/>
    <w:rsid w:val="00CA3B13"/>
    <w:rsid w:val="00CA3B14"/>
    <w:rsid w:val="00CA4A84"/>
    <w:rsid w:val="00CA6EEC"/>
    <w:rsid w:val="00CA7C45"/>
    <w:rsid w:val="00CB0C62"/>
    <w:rsid w:val="00CB153B"/>
    <w:rsid w:val="00CB2222"/>
    <w:rsid w:val="00CB353A"/>
    <w:rsid w:val="00CB5FD5"/>
    <w:rsid w:val="00CB7514"/>
    <w:rsid w:val="00CC07D4"/>
    <w:rsid w:val="00CC2CCC"/>
    <w:rsid w:val="00CC40EF"/>
    <w:rsid w:val="00CC5102"/>
    <w:rsid w:val="00CC5484"/>
    <w:rsid w:val="00CC58A5"/>
    <w:rsid w:val="00CC603C"/>
    <w:rsid w:val="00CC6A9B"/>
    <w:rsid w:val="00CC71DA"/>
    <w:rsid w:val="00CC7F34"/>
    <w:rsid w:val="00CD020A"/>
    <w:rsid w:val="00CD05BD"/>
    <w:rsid w:val="00CD1174"/>
    <w:rsid w:val="00CD249F"/>
    <w:rsid w:val="00CD2647"/>
    <w:rsid w:val="00CD2E93"/>
    <w:rsid w:val="00CD3124"/>
    <w:rsid w:val="00CD3C61"/>
    <w:rsid w:val="00CD3CAE"/>
    <w:rsid w:val="00CD5A37"/>
    <w:rsid w:val="00CD5D13"/>
    <w:rsid w:val="00CD7BD1"/>
    <w:rsid w:val="00CD7EB3"/>
    <w:rsid w:val="00CE1827"/>
    <w:rsid w:val="00CE3188"/>
    <w:rsid w:val="00CE3C0E"/>
    <w:rsid w:val="00CE541D"/>
    <w:rsid w:val="00CE5958"/>
    <w:rsid w:val="00CE59BC"/>
    <w:rsid w:val="00CE6571"/>
    <w:rsid w:val="00CE66F0"/>
    <w:rsid w:val="00CE6A25"/>
    <w:rsid w:val="00CE736C"/>
    <w:rsid w:val="00CF0DEF"/>
    <w:rsid w:val="00CF3053"/>
    <w:rsid w:val="00CF4358"/>
    <w:rsid w:val="00CF6AAE"/>
    <w:rsid w:val="00D0082A"/>
    <w:rsid w:val="00D00960"/>
    <w:rsid w:val="00D01067"/>
    <w:rsid w:val="00D011A6"/>
    <w:rsid w:val="00D022D0"/>
    <w:rsid w:val="00D075DF"/>
    <w:rsid w:val="00D10F58"/>
    <w:rsid w:val="00D1101E"/>
    <w:rsid w:val="00D1112C"/>
    <w:rsid w:val="00D1164E"/>
    <w:rsid w:val="00D1217A"/>
    <w:rsid w:val="00D12D1E"/>
    <w:rsid w:val="00D13063"/>
    <w:rsid w:val="00D15DE2"/>
    <w:rsid w:val="00D163AB"/>
    <w:rsid w:val="00D170B5"/>
    <w:rsid w:val="00D172EB"/>
    <w:rsid w:val="00D209AA"/>
    <w:rsid w:val="00D210EB"/>
    <w:rsid w:val="00D21508"/>
    <w:rsid w:val="00D2292E"/>
    <w:rsid w:val="00D22D67"/>
    <w:rsid w:val="00D2306B"/>
    <w:rsid w:val="00D25AC4"/>
    <w:rsid w:val="00D25ADC"/>
    <w:rsid w:val="00D25C33"/>
    <w:rsid w:val="00D26166"/>
    <w:rsid w:val="00D27E86"/>
    <w:rsid w:val="00D3061A"/>
    <w:rsid w:val="00D308EA"/>
    <w:rsid w:val="00D30BC9"/>
    <w:rsid w:val="00D3151C"/>
    <w:rsid w:val="00D332FC"/>
    <w:rsid w:val="00D34D01"/>
    <w:rsid w:val="00D36AC9"/>
    <w:rsid w:val="00D376DB"/>
    <w:rsid w:val="00D4071A"/>
    <w:rsid w:val="00D40A16"/>
    <w:rsid w:val="00D40AE0"/>
    <w:rsid w:val="00D42B64"/>
    <w:rsid w:val="00D434FC"/>
    <w:rsid w:val="00D43505"/>
    <w:rsid w:val="00D4597A"/>
    <w:rsid w:val="00D45E44"/>
    <w:rsid w:val="00D47119"/>
    <w:rsid w:val="00D5025C"/>
    <w:rsid w:val="00D53D51"/>
    <w:rsid w:val="00D542D5"/>
    <w:rsid w:val="00D55197"/>
    <w:rsid w:val="00D5645F"/>
    <w:rsid w:val="00D566CF"/>
    <w:rsid w:val="00D6257E"/>
    <w:rsid w:val="00D6265C"/>
    <w:rsid w:val="00D62E99"/>
    <w:rsid w:val="00D6302C"/>
    <w:rsid w:val="00D63791"/>
    <w:rsid w:val="00D647B2"/>
    <w:rsid w:val="00D65B46"/>
    <w:rsid w:val="00D660D1"/>
    <w:rsid w:val="00D660F2"/>
    <w:rsid w:val="00D66588"/>
    <w:rsid w:val="00D6782C"/>
    <w:rsid w:val="00D721C9"/>
    <w:rsid w:val="00D72FA8"/>
    <w:rsid w:val="00D73C66"/>
    <w:rsid w:val="00D745BF"/>
    <w:rsid w:val="00D74C37"/>
    <w:rsid w:val="00D7528F"/>
    <w:rsid w:val="00D75E70"/>
    <w:rsid w:val="00D76940"/>
    <w:rsid w:val="00D773A2"/>
    <w:rsid w:val="00D7747E"/>
    <w:rsid w:val="00D77D7D"/>
    <w:rsid w:val="00D77DF8"/>
    <w:rsid w:val="00D80541"/>
    <w:rsid w:val="00D80C36"/>
    <w:rsid w:val="00D83CF7"/>
    <w:rsid w:val="00D90336"/>
    <w:rsid w:val="00D90B7E"/>
    <w:rsid w:val="00D91073"/>
    <w:rsid w:val="00D9225E"/>
    <w:rsid w:val="00D9316D"/>
    <w:rsid w:val="00D943BD"/>
    <w:rsid w:val="00D94683"/>
    <w:rsid w:val="00D95C2C"/>
    <w:rsid w:val="00D969CA"/>
    <w:rsid w:val="00D973F4"/>
    <w:rsid w:val="00D97D7C"/>
    <w:rsid w:val="00DA0421"/>
    <w:rsid w:val="00DA06E2"/>
    <w:rsid w:val="00DA07F3"/>
    <w:rsid w:val="00DA209E"/>
    <w:rsid w:val="00DA42D9"/>
    <w:rsid w:val="00DA49EE"/>
    <w:rsid w:val="00DA5495"/>
    <w:rsid w:val="00DA69D9"/>
    <w:rsid w:val="00DA7521"/>
    <w:rsid w:val="00DB09AB"/>
    <w:rsid w:val="00DB10C9"/>
    <w:rsid w:val="00DB47A6"/>
    <w:rsid w:val="00DB5F91"/>
    <w:rsid w:val="00DB60C8"/>
    <w:rsid w:val="00DB6E58"/>
    <w:rsid w:val="00DB744E"/>
    <w:rsid w:val="00DB7995"/>
    <w:rsid w:val="00DC0A66"/>
    <w:rsid w:val="00DC10BE"/>
    <w:rsid w:val="00DC17A3"/>
    <w:rsid w:val="00DC23AB"/>
    <w:rsid w:val="00DC3245"/>
    <w:rsid w:val="00DC3FC2"/>
    <w:rsid w:val="00DC4838"/>
    <w:rsid w:val="00DC4DD9"/>
    <w:rsid w:val="00DC6611"/>
    <w:rsid w:val="00DC6698"/>
    <w:rsid w:val="00DC798B"/>
    <w:rsid w:val="00DD1303"/>
    <w:rsid w:val="00DD1994"/>
    <w:rsid w:val="00DD2A6C"/>
    <w:rsid w:val="00DD4FF9"/>
    <w:rsid w:val="00DE00CC"/>
    <w:rsid w:val="00DE1CCC"/>
    <w:rsid w:val="00DE22D3"/>
    <w:rsid w:val="00DE232F"/>
    <w:rsid w:val="00DE41B9"/>
    <w:rsid w:val="00DE4417"/>
    <w:rsid w:val="00DE55A6"/>
    <w:rsid w:val="00DE5FCD"/>
    <w:rsid w:val="00DE6122"/>
    <w:rsid w:val="00DE61B0"/>
    <w:rsid w:val="00DE62E3"/>
    <w:rsid w:val="00DE6362"/>
    <w:rsid w:val="00DF0CF0"/>
    <w:rsid w:val="00DF13C3"/>
    <w:rsid w:val="00DF1AFF"/>
    <w:rsid w:val="00DF3697"/>
    <w:rsid w:val="00DF43D6"/>
    <w:rsid w:val="00DF43F6"/>
    <w:rsid w:val="00DF4E75"/>
    <w:rsid w:val="00DF5E7C"/>
    <w:rsid w:val="00E02564"/>
    <w:rsid w:val="00E02FC1"/>
    <w:rsid w:val="00E03542"/>
    <w:rsid w:val="00E04362"/>
    <w:rsid w:val="00E04B4D"/>
    <w:rsid w:val="00E05360"/>
    <w:rsid w:val="00E06C99"/>
    <w:rsid w:val="00E06EB1"/>
    <w:rsid w:val="00E0702A"/>
    <w:rsid w:val="00E11B6E"/>
    <w:rsid w:val="00E125DF"/>
    <w:rsid w:val="00E12A39"/>
    <w:rsid w:val="00E13463"/>
    <w:rsid w:val="00E13DB2"/>
    <w:rsid w:val="00E14373"/>
    <w:rsid w:val="00E157F7"/>
    <w:rsid w:val="00E16657"/>
    <w:rsid w:val="00E20537"/>
    <w:rsid w:val="00E21083"/>
    <w:rsid w:val="00E21C63"/>
    <w:rsid w:val="00E225F4"/>
    <w:rsid w:val="00E232E0"/>
    <w:rsid w:val="00E2347F"/>
    <w:rsid w:val="00E235F2"/>
    <w:rsid w:val="00E245D3"/>
    <w:rsid w:val="00E27C46"/>
    <w:rsid w:val="00E31F14"/>
    <w:rsid w:val="00E3211F"/>
    <w:rsid w:val="00E3244E"/>
    <w:rsid w:val="00E33DC0"/>
    <w:rsid w:val="00E34057"/>
    <w:rsid w:val="00E35DE7"/>
    <w:rsid w:val="00E35FD2"/>
    <w:rsid w:val="00E36A08"/>
    <w:rsid w:val="00E36B59"/>
    <w:rsid w:val="00E40B28"/>
    <w:rsid w:val="00E41533"/>
    <w:rsid w:val="00E45D70"/>
    <w:rsid w:val="00E47A1F"/>
    <w:rsid w:val="00E5082E"/>
    <w:rsid w:val="00E52766"/>
    <w:rsid w:val="00E54628"/>
    <w:rsid w:val="00E5525B"/>
    <w:rsid w:val="00E55F5D"/>
    <w:rsid w:val="00E563BB"/>
    <w:rsid w:val="00E57497"/>
    <w:rsid w:val="00E57B63"/>
    <w:rsid w:val="00E6252D"/>
    <w:rsid w:val="00E65B3A"/>
    <w:rsid w:val="00E66F90"/>
    <w:rsid w:val="00E6712A"/>
    <w:rsid w:val="00E67EB6"/>
    <w:rsid w:val="00E707C6"/>
    <w:rsid w:val="00E76B6F"/>
    <w:rsid w:val="00E76B70"/>
    <w:rsid w:val="00E76C53"/>
    <w:rsid w:val="00E77DA3"/>
    <w:rsid w:val="00E80F0D"/>
    <w:rsid w:val="00E81C9F"/>
    <w:rsid w:val="00E83247"/>
    <w:rsid w:val="00E83C30"/>
    <w:rsid w:val="00E8431E"/>
    <w:rsid w:val="00E84916"/>
    <w:rsid w:val="00E87912"/>
    <w:rsid w:val="00E879F0"/>
    <w:rsid w:val="00E87C8C"/>
    <w:rsid w:val="00E928DE"/>
    <w:rsid w:val="00E9303C"/>
    <w:rsid w:val="00E934A5"/>
    <w:rsid w:val="00E949A3"/>
    <w:rsid w:val="00E94B79"/>
    <w:rsid w:val="00E94D3A"/>
    <w:rsid w:val="00E957C7"/>
    <w:rsid w:val="00E96756"/>
    <w:rsid w:val="00EA0313"/>
    <w:rsid w:val="00EA067E"/>
    <w:rsid w:val="00EA35CF"/>
    <w:rsid w:val="00EA46A5"/>
    <w:rsid w:val="00EA4A66"/>
    <w:rsid w:val="00EA4EC1"/>
    <w:rsid w:val="00EA537C"/>
    <w:rsid w:val="00EA5EB4"/>
    <w:rsid w:val="00EA5F8C"/>
    <w:rsid w:val="00EA6104"/>
    <w:rsid w:val="00EB0EDA"/>
    <w:rsid w:val="00EB12DE"/>
    <w:rsid w:val="00EB28CA"/>
    <w:rsid w:val="00EC0347"/>
    <w:rsid w:val="00EC09C7"/>
    <w:rsid w:val="00EC0C81"/>
    <w:rsid w:val="00EC1855"/>
    <w:rsid w:val="00EC3602"/>
    <w:rsid w:val="00EC3833"/>
    <w:rsid w:val="00EC4F27"/>
    <w:rsid w:val="00EC5BA7"/>
    <w:rsid w:val="00EC7F52"/>
    <w:rsid w:val="00ED22B5"/>
    <w:rsid w:val="00ED2FF1"/>
    <w:rsid w:val="00ED3571"/>
    <w:rsid w:val="00ED3A94"/>
    <w:rsid w:val="00ED4618"/>
    <w:rsid w:val="00ED4C44"/>
    <w:rsid w:val="00ED5F2B"/>
    <w:rsid w:val="00ED71E5"/>
    <w:rsid w:val="00ED7980"/>
    <w:rsid w:val="00EE0F85"/>
    <w:rsid w:val="00EE199B"/>
    <w:rsid w:val="00EE1DE8"/>
    <w:rsid w:val="00EE22E7"/>
    <w:rsid w:val="00EE338F"/>
    <w:rsid w:val="00EE420E"/>
    <w:rsid w:val="00EE547E"/>
    <w:rsid w:val="00EE66AF"/>
    <w:rsid w:val="00EE765F"/>
    <w:rsid w:val="00EF00FA"/>
    <w:rsid w:val="00EF0AF8"/>
    <w:rsid w:val="00EF0DBB"/>
    <w:rsid w:val="00EF1307"/>
    <w:rsid w:val="00EF27D9"/>
    <w:rsid w:val="00EF2DEE"/>
    <w:rsid w:val="00EF35AF"/>
    <w:rsid w:val="00EF3791"/>
    <w:rsid w:val="00EF771E"/>
    <w:rsid w:val="00EF7EB4"/>
    <w:rsid w:val="00F01454"/>
    <w:rsid w:val="00F038D8"/>
    <w:rsid w:val="00F058AD"/>
    <w:rsid w:val="00F10215"/>
    <w:rsid w:val="00F115E1"/>
    <w:rsid w:val="00F13069"/>
    <w:rsid w:val="00F1531A"/>
    <w:rsid w:val="00F157D0"/>
    <w:rsid w:val="00F15A3E"/>
    <w:rsid w:val="00F17A53"/>
    <w:rsid w:val="00F200AD"/>
    <w:rsid w:val="00F22427"/>
    <w:rsid w:val="00F245CE"/>
    <w:rsid w:val="00F25466"/>
    <w:rsid w:val="00F25BDC"/>
    <w:rsid w:val="00F262ED"/>
    <w:rsid w:val="00F30A51"/>
    <w:rsid w:val="00F315FC"/>
    <w:rsid w:val="00F327EF"/>
    <w:rsid w:val="00F32CC8"/>
    <w:rsid w:val="00F32D1B"/>
    <w:rsid w:val="00F358AB"/>
    <w:rsid w:val="00F36CB3"/>
    <w:rsid w:val="00F3745D"/>
    <w:rsid w:val="00F40757"/>
    <w:rsid w:val="00F4117D"/>
    <w:rsid w:val="00F41C3F"/>
    <w:rsid w:val="00F41D4C"/>
    <w:rsid w:val="00F42498"/>
    <w:rsid w:val="00F439E6"/>
    <w:rsid w:val="00F43A77"/>
    <w:rsid w:val="00F45F05"/>
    <w:rsid w:val="00F468D2"/>
    <w:rsid w:val="00F47186"/>
    <w:rsid w:val="00F5417F"/>
    <w:rsid w:val="00F55BA3"/>
    <w:rsid w:val="00F56516"/>
    <w:rsid w:val="00F60818"/>
    <w:rsid w:val="00F6238D"/>
    <w:rsid w:val="00F66B63"/>
    <w:rsid w:val="00F67496"/>
    <w:rsid w:val="00F677A7"/>
    <w:rsid w:val="00F71589"/>
    <w:rsid w:val="00F71869"/>
    <w:rsid w:val="00F73805"/>
    <w:rsid w:val="00F74DB1"/>
    <w:rsid w:val="00F764D0"/>
    <w:rsid w:val="00F779DE"/>
    <w:rsid w:val="00F77DFF"/>
    <w:rsid w:val="00F8177C"/>
    <w:rsid w:val="00F8255C"/>
    <w:rsid w:val="00F8310A"/>
    <w:rsid w:val="00F834B0"/>
    <w:rsid w:val="00F845BE"/>
    <w:rsid w:val="00F8647D"/>
    <w:rsid w:val="00F9069C"/>
    <w:rsid w:val="00F914CD"/>
    <w:rsid w:val="00F92182"/>
    <w:rsid w:val="00F9284B"/>
    <w:rsid w:val="00F92DE2"/>
    <w:rsid w:val="00F9379C"/>
    <w:rsid w:val="00F94122"/>
    <w:rsid w:val="00F946A4"/>
    <w:rsid w:val="00F949C6"/>
    <w:rsid w:val="00F94C2C"/>
    <w:rsid w:val="00F95950"/>
    <w:rsid w:val="00F95C5E"/>
    <w:rsid w:val="00F96B4C"/>
    <w:rsid w:val="00F96DFE"/>
    <w:rsid w:val="00F971CA"/>
    <w:rsid w:val="00F9757B"/>
    <w:rsid w:val="00FA1090"/>
    <w:rsid w:val="00FA182E"/>
    <w:rsid w:val="00FA1D3F"/>
    <w:rsid w:val="00FA2D01"/>
    <w:rsid w:val="00FA52FC"/>
    <w:rsid w:val="00FA54F1"/>
    <w:rsid w:val="00FA6678"/>
    <w:rsid w:val="00FB007D"/>
    <w:rsid w:val="00FB4A74"/>
    <w:rsid w:val="00FB4B0C"/>
    <w:rsid w:val="00FB4CB1"/>
    <w:rsid w:val="00FC0C48"/>
    <w:rsid w:val="00FC3BDC"/>
    <w:rsid w:val="00FC47F6"/>
    <w:rsid w:val="00FC55D5"/>
    <w:rsid w:val="00FC5BCA"/>
    <w:rsid w:val="00FC6252"/>
    <w:rsid w:val="00FD0C4A"/>
    <w:rsid w:val="00FD170B"/>
    <w:rsid w:val="00FD4BB6"/>
    <w:rsid w:val="00FD6FB2"/>
    <w:rsid w:val="00FD786C"/>
    <w:rsid w:val="00FE0BCE"/>
    <w:rsid w:val="00FE1280"/>
    <w:rsid w:val="00FE190F"/>
    <w:rsid w:val="00FE1FA6"/>
    <w:rsid w:val="00FE29E8"/>
    <w:rsid w:val="00FE3CB5"/>
    <w:rsid w:val="00FE5E54"/>
    <w:rsid w:val="00FE6332"/>
    <w:rsid w:val="00FE6F8A"/>
    <w:rsid w:val="00FF06F3"/>
    <w:rsid w:val="00FF0850"/>
    <w:rsid w:val="00FF0A5B"/>
    <w:rsid w:val="00FF0DDE"/>
    <w:rsid w:val="00FF1495"/>
    <w:rsid w:val="00FF1AFB"/>
    <w:rsid w:val="00FF247D"/>
    <w:rsid w:val="00FF3236"/>
    <w:rsid w:val="00FF32B2"/>
    <w:rsid w:val="00FF32BD"/>
    <w:rsid w:val="00FF36B3"/>
    <w:rsid w:val="00FF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A62BD4D"/>
  <w15:chartTrackingRefBased/>
  <w15:docId w15:val="{4FCB2B8E-A05B-4C16-94CE-0927D45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171"/>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9"/>
      </w:numPr>
      <w:spacing w:before="240" w:after="60"/>
      <w:outlineLvl w:val="4"/>
    </w:pPr>
    <w:rPr>
      <w:b/>
      <w:bCs/>
      <w:i/>
      <w:iCs/>
      <w:sz w:val="26"/>
      <w:szCs w:val="26"/>
    </w:rPr>
  </w:style>
  <w:style w:type="paragraph" w:styleId="Heading6">
    <w:name w:val="heading 6"/>
    <w:basedOn w:val="Normal"/>
    <w:next w:val="Normal"/>
    <w:qFormat/>
    <w:rsid w:val="00B02AE5"/>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02AE5"/>
    <w:pPr>
      <w:numPr>
        <w:ilvl w:val="8"/>
        <w:numId w:val="9"/>
      </w:numPr>
      <w:spacing w:before="240" w:after="60"/>
      <w:outlineLvl w:val="8"/>
    </w:pPr>
    <w:rPr>
      <w:rFonts w:cs="Arial"/>
      <w:szCs w:val="22"/>
    </w:rPr>
  </w:style>
  <w:style w:type="character" w:default="1" w:styleId="DefaultParagraphFont">
    <w:name w:val="Default Paragraph Font"/>
    <w:semiHidden/>
    <w:rsid w:val="00200CB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00CB7"/>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5E13C2"/>
    <w:pPr>
      <w:numPr>
        <w:numId w:val="9"/>
      </w:numPr>
      <w:spacing w:after="220"/>
      <w:outlineLvl w:val="0"/>
    </w:pPr>
    <w:rPr>
      <w:rFonts w:ascii="Arial Bold" w:hAnsi="Arial Bold"/>
      <w:b/>
      <w:caps/>
    </w:rPr>
  </w:style>
  <w:style w:type="paragraph" w:customStyle="1" w:styleId="TSHeadingNumbered11">
    <w:name w:val="TS Heading Numbered 1.1"/>
    <w:basedOn w:val="TSHeadingNumbered1"/>
    <w:rsid w:val="00B02AE5"/>
    <w:pPr>
      <w:numPr>
        <w:numId w:val="0"/>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5E13C2"/>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5E13C2"/>
    <w:pPr>
      <w:tabs>
        <w:tab w:val="left" w:pos="360"/>
        <w:tab w:val="right" w:leader="dot" w:pos="9180"/>
      </w:tabs>
      <w:spacing w:after="120"/>
      <w:ind w:left="357" w:hanging="357"/>
    </w:pPr>
    <w:rPr>
      <w:caps/>
    </w:rPr>
  </w:style>
  <w:style w:type="paragraph" w:customStyle="1" w:styleId="TSBullet1Square">
    <w:name w:val="TS Bullet 1 Square"/>
    <w:basedOn w:val="Normal"/>
    <w:rsid w:val="00B504F7"/>
    <w:pPr>
      <w:numPr>
        <w:numId w:val="1"/>
      </w:numPr>
      <w:spacing w:after="240"/>
      <w:contextualSpacing/>
    </w:pPr>
  </w:style>
  <w:style w:type="paragraph" w:customStyle="1" w:styleId="TSBullet2Circle">
    <w:name w:val="TS Bullet 2 Circle"/>
    <w:basedOn w:val="TSBullet1Square"/>
    <w:rsid w:val="00B504F7"/>
    <w:pPr>
      <w:numPr>
        <w:numId w:val="2"/>
      </w:numPr>
    </w:pPr>
  </w:style>
  <w:style w:type="character" w:styleId="FollowedHyperlink">
    <w:name w:val="FollowedHyperlink"/>
    <w:rsid w:val="006061E1"/>
    <w:rPr>
      <w:color w:val="800080"/>
      <w:u w:val="single"/>
    </w:rPr>
  </w:style>
  <w:style w:type="paragraph" w:styleId="DocumentMap">
    <w:name w:val="Document Map"/>
    <w:basedOn w:val="Normal"/>
    <w:semiHidden/>
    <w:rsid w:val="005E13C2"/>
    <w:pPr>
      <w:shd w:val="clear" w:color="auto" w:fill="000080"/>
    </w:pPr>
    <w:rPr>
      <w:rFonts w:ascii="Tahoma" w:hAnsi="Tahoma" w:cs="Tahoma"/>
      <w:sz w:val="20"/>
      <w:szCs w:val="20"/>
    </w:rPr>
  </w:style>
  <w:style w:type="character" w:customStyle="1" w:styleId="HeaderChar">
    <w:name w:val="Header Char"/>
    <w:link w:val="Header"/>
    <w:semiHidden/>
    <w:locked/>
    <w:rsid w:val="00FD170B"/>
    <w:rPr>
      <w:rFonts w:ascii="Arial" w:hAnsi="Arial"/>
      <w:sz w:val="22"/>
      <w:szCs w:val="24"/>
      <w:lang w:val="en-GB" w:eastAsia="en-US" w:bidi="ar-SA"/>
    </w:rPr>
  </w:style>
  <w:style w:type="paragraph" w:styleId="BalloonText">
    <w:name w:val="Balloon Text"/>
    <w:basedOn w:val="Normal"/>
    <w:link w:val="BalloonTextChar"/>
    <w:rsid w:val="00CB353A"/>
    <w:rPr>
      <w:rFonts w:ascii="Tahoma" w:hAnsi="Tahoma" w:cs="Tahoma"/>
      <w:sz w:val="16"/>
      <w:szCs w:val="16"/>
    </w:rPr>
  </w:style>
  <w:style w:type="character" w:customStyle="1" w:styleId="BalloonTextChar">
    <w:name w:val="Balloon Text Char"/>
    <w:link w:val="BalloonText"/>
    <w:rsid w:val="00CB353A"/>
    <w:rPr>
      <w:rFonts w:ascii="Tahoma" w:hAnsi="Tahoma" w:cs="Tahoma"/>
      <w:sz w:val="16"/>
      <w:szCs w:val="16"/>
      <w:lang w:eastAsia="en-US"/>
    </w:rPr>
  </w:style>
  <w:style w:type="paragraph" w:customStyle="1" w:styleId="Default">
    <w:name w:val="Default"/>
    <w:link w:val="DefaultChar"/>
    <w:rsid w:val="00FF3236"/>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FF3236"/>
    <w:rPr>
      <w:rFonts w:ascii="Arial" w:hAnsi="Arial" w:cs="Arial"/>
      <w:color w:val="000000"/>
      <w:sz w:val="24"/>
      <w:szCs w:val="24"/>
    </w:rPr>
  </w:style>
  <w:style w:type="paragraph" w:styleId="ListParagraph">
    <w:name w:val="List Paragraph"/>
    <w:basedOn w:val="Normal"/>
    <w:uiPriority w:val="34"/>
    <w:qFormat/>
    <w:rsid w:val="0041420C"/>
    <w:pPr>
      <w:ind w:left="720"/>
    </w:pPr>
  </w:style>
  <w:style w:type="character" w:customStyle="1" w:styleId="Heading9Char">
    <w:name w:val="Heading 9 Char"/>
    <w:link w:val="Heading9"/>
    <w:rsid w:val="00EA5F8C"/>
    <w:rPr>
      <w:rFonts w:ascii="Arial" w:hAnsi="Arial" w:cs="Arial"/>
      <w:sz w:val="22"/>
      <w:szCs w:val="22"/>
      <w:lang w:eastAsia="en-US"/>
    </w:rPr>
  </w:style>
  <w:style w:type="character" w:styleId="CommentReference">
    <w:name w:val="annotation reference"/>
    <w:rsid w:val="00810DE8"/>
    <w:rPr>
      <w:sz w:val="16"/>
      <w:szCs w:val="16"/>
    </w:rPr>
  </w:style>
  <w:style w:type="paragraph" w:styleId="CommentText">
    <w:name w:val="annotation text"/>
    <w:basedOn w:val="Normal"/>
    <w:link w:val="CommentTextChar"/>
    <w:rsid w:val="00810DE8"/>
    <w:rPr>
      <w:sz w:val="20"/>
      <w:szCs w:val="20"/>
    </w:rPr>
  </w:style>
  <w:style w:type="character" w:customStyle="1" w:styleId="CommentTextChar">
    <w:name w:val="Comment Text Char"/>
    <w:link w:val="CommentText"/>
    <w:rsid w:val="00810DE8"/>
    <w:rPr>
      <w:rFonts w:ascii="Arial" w:hAnsi="Arial"/>
      <w:lang w:eastAsia="en-US"/>
    </w:rPr>
  </w:style>
  <w:style w:type="paragraph" w:styleId="CommentSubject">
    <w:name w:val="annotation subject"/>
    <w:basedOn w:val="CommentText"/>
    <w:next w:val="CommentText"/>
    <w:link w:val="CommentSubjectChar"/>
    <w:rsid w:val="00810DE8"/>
    <w:rPr>
      <w:b/>
      <w:bCs/>
    </w:rPr>
  </w:style>
  <w:style w:type="character" w:customStyle="1" w:styleId="CommentSubjectChar">
    <w:name w:val="Comment Subject Char"/>
    <w:link w:val="CommentSubject"/>
    <w:rsid w:val="00810DE8"/>
    <w:rPr>
      <w:rFonts w:ascii="Arial" w:hAnsi="Arial"/>
      <w:b/>
      <w:bCs/>
      <w:lang w:eastAsia="en-US"/>
    </w:rPr>
  </w:style>
  <w:style w:type="paragraph" w:styleId="EndnoteText">
    <w:name w:val="endnote text"/>
    <w:basedOn w:val="Normal"/>
    <w:link w:val="EndnoteTextChar"/>
    <w:rsid w:val="00F43A77"/>
    <w:rPr>
      <w:sz w:val="20"/>
      <w:szCs w:val="20"/>
    </w:rPr>
  </w:style>
  <w:style w:type="character" w:customStyle="1" w:styleId="EndnoteTextChar">
    <w:name w:val="Endnote Text Char"/>
    <w:link w:val="EndnoteText"/>
    <w:rsid w:val="00F43A77"/>
    <w:rPr>
      <w:rFonts w:ascii="Arial" w:hAnsi="Arial"/>
      <w:lang w:eastAsia="en-US"/>
    </w:rPr>
  </w:style>
  <w:style w:type="character" w:styleId="EndnoteReference">
    <w:name w:val="endnote reference"/>
    <w:rsid w:val="00F43A77"/>
    <w:rPr>
      <w:vertAlign w:val="superscript"/>
    </w:rPr>
  </w:style>
  <w:style w:type="paragraph" w:styleId="FootnoteText">
    <w:name w:val="footnote text"/>
    <w:basedOn w:val="Normal"/>
    <w:link w:val="FootnoteTextChar"/>
    <w:rsid w:val="00CB5FD5"/>
    <w:rPr>
      <w:sz w:val="20"/>
      <w:szCs w:val="20"/>
    </w:rPr>
  </w:style>
  <w:style w:type="character" w:customStyle="1" w:styleId="FootnoteTextChar">
    <w:name w:val="Footnote Text Char"/>
    <w:link w:val="FootnoteText"/>
    <w:rsid w:val="00CB5FD5"/>
    <w:rPr>
      <w:rFonts w:ascii="Arial" w:hAnsi="Arial"/>
      <w:lang w:eastAsia="en-US"/>
    </w:rPr>
  </w:style>
  <w:style w:type="character" w:styleId="FootnoteReference">
    <w:name w:val="footnote reference"/>
    <w:rsid w:val="00CB5FD5"/>
    <w:rPr>
      <w:vertAlign w:val="superscript"/>
    </w:rPr>
  </w:style>
  <w:style w:type="paragraph" w:styleId="Bibliography">
    <w:name w:val="Bibliography"/>
    <w:basedOn w:val="Normal"/>
    <w:next w:val="Normal"/>
    <w:uiPriority w:val="37"/>
    <w:semiHidden/>
    <w:unhideWhenUsed/>
    <w:rsid w:val="009D75EF"/>
  </w:style>
  <w:style w:type="table" w:customStyle="1" w:styleId="TableGrid1">
    <w:name w:val="Table Grid1"/>
    <w:basedOn w:val="TableNormal"/>
    <w:next w:val="TableGrid"/>
    <w:uiPriority w:val="39"/>
    <w:rsid w:val="009D7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71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203">
      <w:bodyDiv w:val="1"/>
      <w:marLeft w:val="0"/>
      <w:marRight w:val="0"/>
      <w:marTop w:val="0"/>
      <w:marBottom w:val="0"/>
      <w:divBdr>
        <w:top w:val="none" w:sz="0" w:space="0" w:color="auto"/>
        <w:left w:val="none" w:sz="0" w:space="0" w:color="auto"/>
        <w:bottom w:val="none" w:sz="0" w:space="0" w:color="auto"/>
        <w:right w:val="none" w:sz="0" w:space="0" w:color="auto"/>
      </w:divBdr>
    </w:div>
    <w:div w:id="580607568">
      <w:bodyDiv w:val="1"/>
      <w:marLeft w:val="0"/>
      <w:marRight w:val="0"/>
      <w:marTop w:val="0"/>
      <w:marBottom w:val="0"/>
      <w:divBdr>
        <w:top w:val="none" w:sz="0" w:space="0" w:color="auto"/>
        <w:left w:val="none" w:sz="0" w:space="0" w:color="auto"/>
        <w:bottom w:val="none" w:sz="0" w:space="0" w:color="auto"/>
        <w:right w:val="none" w:sz="0" w:space="0" w:color="auto"/>
      </w:divBdr>
    </w:div>
    <w:div w:id="926573148">
      <w:bodyDiv w:val="1"/>
      <w:marLeft w:val="0"/>
      <w:marRight w:val="0"/>
      <w:marTop w:val="0"/>
      <w:marBottom w:val="0"/>
      <w:divBdr>
        <w:top w:val="none" w:sz="0" w:space="0" w:color="auto"/>
        <w:left w:val="none" w:sz="0" w:space="0" w:color="auto"/>
        <w:bottom w:val="none" w:sz="0" w:space="0" w:color="auto"/>
        <w:right w:val="none" w:sz="0" w:space="0" w:color="auto"/>
      </w:divBdr>
    </w:div>
    <w:div w:id="1156721470">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23175901">
      <w:bodyDiv w:val="1"/>
      <w:marLeft w:val="0"/>
      <w:marRight w:val="0"/>
      <w:marTop w:val="0"/>
      <w:marBottom w:val="0"/>
      <w:divBdr>
        <w:top w:val="none" w:sz="0" w:space="0" w:color="auto"/>
        <w:left w:val="none" w:sz="0" w:space="0" w:color="auto"/>
        <w:bottom w:val="none" w:sz="0" w:space="0" w:color="auto"/>
        <w:right w:val="none" w:sz="0" w:space="0" w:color="auto"/>
      </w:divBdr>
    </w:div>
    <w:div w:id="1277521132">
      <w:bodyDiv w:val="1"/>
      <w:marLeft w:val="0"/>
      <w:marRight w:val="0"/>
      <w:marTop w:val="0"/>
      <w:marBottom w:val="0"/>
      <w:divBdr>
        <w:top w:val="none" w:sz="0" w:space="0" w:color="auto"/>
        <w:left w:val="none" w:sz="0" w:space="0" w:color="auto"/>
        <w:bottom w:val="none" w:sz="0" w:space="0" w:color="auto"/>
        <w:right w:val="none" w:sz="0" w:space="0" w:color="auto"/>
      </w:divBdr>
    </w:div>
    <w:div w:id="1603100161">
      <w:bodyDiv w:val="1"/>
      <w:marLeft w:val="0"/>
      <w:marRight w:val="0"/>
      <w:marTop w:val="0"/>
      <w:marBottom w:val="0"/>
      <w:divBdr>
        <w:top w:val="none" w:sz="0" w:space="0" w:color="auto"/>
        <w:left w:val="none" w:sz="0" w:space="0" w:color="auto"/>
        <w:bottom w:val="none" w:sz="0" w:space="0" w:color="auto"/>
        <w:right w:val="none" w:sz="0" w:space="0" w:color="auto"/>
      </w:divBdr>
    </w:div>
    <w:div w:id="18787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r.org.uk/operational/tech_asst_guides/ns-tast-gd-005.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nr.org.uk/operational/tech_asst_guides/ns-tast-gd-003.pdf"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onr.org.uk/operational/tech_asst_guides/ns-tast-gd-014.pdf"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onr.org.uk/saps/saps2014.pdf" TargetMode="External"/><Relationship Id="rId5" Type="http://schemas.openxmlformats.org/officeDocument/2006/relationships/settings" Target="settings.xml"/><Relationship Id="rId15" Type="http://schemas.openxmlformats.org/officeDocument/2006/relationships/hyperlink" Target="http://www.onr.org.uk/operational/tech_asst_guides/ns-tast-gd-013.pdf" TargetMode="External"/><Relationship Id="rId10" Type="http://schemas.openxmlformats.org/officeDocument/2006/relationships/hyperlink" Target="http://www.onr.org.uk/copyrigh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blocked::blocked::BLOCKED::http://www.hse.gov.uk/copyright" TargetMode="External"/><Relationship Id="rId14" Type="http://schemas.openxmlformats.org/officeDocument/2006/relationships/hyperlink" Target="http://www.onr.org.uk/new-reactors/ngn03.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4271-319F-426C-AC7C-EDE59E53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32180</CharactersWithSpaces>
  <SharedDoc>false</SharedDoc>
  <HLinks>
    <vt:vector size="90" baseType="variant">
      <vt:variant>
        <vt:i4>7733349</vt:i4>
      </vt:variant>
      <vt:variant>
        <vt:i4>66</vt:i4>
      </vt:variant>
      <vt:variant>
        <vt:i4>0</vt:i4>
      </vt:variant>
      <vt:variant>
        <vt:i4>5</vt:i4>
      </vt:variant>
      <vt:variant>
        <vt:lpwstr>http://www.onr.org.uk/operational/tech_asst_guides/ns-tast-gd-014.pdf</vt:lpwstr>
      </vt:variant>
      <vt:variant>
        <vt:lpwstr/>
      </vt:variant>
      <vt:variant>
        <vt:i4>7733346</vt:i4>
      </vt:variant>
      <vt:variant>
        <vt:i4>63</vt:i4>
      </vt:variant>
      <vt:variant>
        <vt:i4>0</vt:i4>
      </vt:variant>
      <vt:variant>
        <vt:i4>5</vt:i4>
      </vt:variant>
      <vt:variant>
        <vt:lpwstr>http://www.onr.org.uk/operational/tech_asst_guides/ns-tast-gd-013.pdf</vt:lpwstr>
      </vt:variant>
      <vt:variant>
        <vt:lpwstr/>
      </vt:variant>
      <vt:variant>
        <vt:i4>1245209</vt:i4>
      </vt:variant>
      <vt:variant>
        <vt:i4>60</vt:i4>
      </vt:variant>
      <vt:variant>
        <vt:i4>0</vt:i4>
      </vt:variant>
      <vt:variant>
        <vt:i4>5</vt:i4>
      </vt:variant>
      <vt:variant>
        <vt:lpwstr>http://www.onr.org.uk/new-reactors/ngn03.pdf</vt:lpwstr>
      </vt:variant>
      <vt:variant>
        <vt:lpwstr/>
      </vt:variant>
      <vt:variant>
        <vt:i4>7798884</vt:i4>
      </vt:variant>
      <vt:variant>
        <vt:i4>57</vt:i4>
      </vt:variant>
      <vt:variant>
        <vt:i4>0</vt:i4>
      </vt:variant>
      <vt:variant>
        <vt:i4>5</vt:i4>
      </vt:variant>
      <vt:variant>
        <vt:lpwstr>http://www.onr.org.uk/operational/tech_asst_guides/ns-tast-gd-005.pdf</vt:lpwstr>
      </vt:variant>
      <vt:variant>
        <vt:lpwstr/>
      </vt:variant>
      <vt:variant>
        <vt:i4>7798882</vt:i4>
      </vt:variant>
      <vt:variant>
        <vt:i4>54</vt:i4>
      </vt:variant>
      <vt:variant>
        <vt:i4>0</vt:i4>
      </vt:variant>
      <vt:variant>
        <vt:i4>5</vt:i4>
      </vt:variant>
      <vt:variant>
        <vt:lpwstr>http://www.onr.org.uk/operational/tech_asst_guides/ns-tast-gd-003.pdf</vt:lpwstr>
      </vt:variant>
      <vt:variant>
        <vt:lpwstr/>
      </vt:variant>
      <vt:variant>
        <vt:i4>3932269</vt:i4>
      </vt:variant>
      <vt:variant>
        <vt:i4>51</vt:i4>
      </vt:variant>
      <vt:variant>
        <vt:i4>0</vt:i4>
      </vt:variant>
      <vt:variant>
        <vt:i4>5</vt:i4>
      </vt:variant>
      <vt:variant>
        <vt:lpwstr>http://www.onr.org.uk/saps/saps2014.pdf</vt:lpwstr>
      </vt:variant>
      <vt:variant>
        <vt:lpwstr/>
      </vt:variant>
      <vt:variant>
        <vt:i4>7536673</vt:i4>
      </vt:variant>
      <vt:variant>
        <vt:i4>48</vt:i4>
      </vt:variant>
      <vt:variant>
        <vt:i4>0</vt:i4>
      </vt:variant>
      <vt:variant>
        <vt:i4>5</vt:i4>
      </vt:variant>
      <vt:variant>
        <vt:lpwstr>http://www.onr.org.uk/copyright</vt:lpwstr>
      </vt:variant>
      <vt:variant>
        <vt:lpwstr/>
      </vt:variant>
      <vt:variant>
        <vt:i4>7143466</vt:i4>
      </vt:variant>
      <vt:variant>
        <vt:i4>45</vt:i4>
      </vt:variant>
      <vt:variant>
        <vt:i4>0</vt:i4>
      </vt:variant>
      <vt:variant>
        <vt:i4>5</vt:i4>
      </vt:variant>
      <vt:variant>
        <vt:lpwstr>blocked::blocked::BLOCKED::http://www.hse.gov.uk/copyright</vt:lpwstr>
      </vt:variant>
      <vt:variant>
        <vt:lpwstr/>
      </vt:variant>
      <vt:variant>
        <vt:i4>1179696</vt:i4>
      </vt:variant>
      <vt:variant>
        <vt:i4>38</vt:i4>
      </vt:variant>
      <vt:variant>
        <vt:i4>0</vt:i4>
      </vt:variant>
      <vt:variant>
        <vt:i4>5</vt:i4>
      </vt:variant>
      <vt:variant>
        <vt:lpwstr/>
      </vt:variant>
      <vt:variant>
        <vt:lpwstr>_Toc41564456</vt:lpwstr>
      </vt:variant>
      <vt:variant>
        <vt:i4>1114160</vt:i4>
      </vt:variant>
      <vt:variant>
        <vt:i4>32</vt:i4>
      </vt:variant>
      <vt:variant>
        <vt:i4>0</vt:i4>
      </vt:variant>
      <vt:variant>
        <vt:i4>5</vt:i4>
      </vt:variant>
      <vt:variant>
        <vt:lpwstr/>
      </vt:variant>
      <vt:variant>
        <vt:lpwstr>_Toc41564455</vt:lpwstr>
      </vt:variant>
      <vt:variant>
        <vt:i4>1048624</vt:i4>
      </vt:variant>
      <vt:variant>
        <vt:i4>26</vt:i4>
      </vt:variant>
      <vt:variant>
        <vt:i4>0</vt:i4>
      </vt:variant>
      <vt:variant>
        <vt:i4>5</vt:i4>
      </vt:variant>
      <vt:variant>
        <vt:lpwstr/>
      </vt:variant>
      <vt:variant>
        <vt:lpwstr>_Toc41564454</vt:lpwstr>
      </vt:variant>
      <vt:variant>
        <vt:i4>1507376</vt:i4>
      </vt:variant>
      <vt:variant>
        <vt:i4>20</vt:i4>
      </vt:variant>
      <vt:variant>
        <vt:i4>0</vt:i4>
      </vt:variant>
      <vt:variant>
        <vt:i4>5</vt:i4>
      </vt:variant>
      <vt:variant>
        <vt:lpwstr/>
      </vt:variant>
      <vt:variant>
        <vt:lpwstr>_Toc41564453</vt:lpwstr>
      </vt:variant>
      <vt:variant>
        <vt:i4>1441840</vt:i4>
      </vt:variant>
      <vt:variant>
        <vt:i4>14</vt:i4>
      </vt:variant>
      <vt:variant>
        <vt:i4>0</vt:i4>
      </vt:variant>
      <vt:variant>
        <vt:i4>5</vt:i4>
      </vt:variant>
      <vt:variant>
        <vt:lpwstr/>
      </vt:variant>
      <vt:variant>
        <vt:lpwstr>_Toc41564452</vt:lpwstr>
      </vt:variant>
      <vt:variant>
        <vt:i4>1376304</vt:i4>
      </vt:variant>
      <vt:variant>
        <vt:i4>8</vt:i4>
      </vt:variant>
      <vt:variant>
        <vt:i4>0</vt:i4>
      </vt:variant>
      <vt:variant>
        <vt:i4>5</vt:i4>
      </vt:variant>
      <vt:variant>
        <vt:lpwstr/>
      </vt:variant>
      <vt:variant>
        <vt:lpwstr>_Toc41564451</vt:lpwstr>
      </vt:variant>
      <vt:variant>
        <vt:i4>1310768</vt:i4>
      </vt:variant>
      <vt:variant>
        <vt:i4>2</vt:i4>
      </vt:variant>
      <vt:variant>
        <vt:i4>0</vt:i4>
      </vt:variant>
      <vt:variant>
        <vt:i4>5</vt:i4>
      </vt:variant>
      <vt:variant>
        <vt:lpwstr/>
      </vt:variant>
      <vt:variant>
        <vt:lpwstr>_Toc41564450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subject/>
  <cp:keywords/>
  <cp:revision>2</cp:revision>
  <cp:lastPrinted>2019-05-14T15:27:00Z</cp:lastPrinted>
  <dcterms:created xsi:type="dcterms:W3CDTF">2022-12-22T16:02:00Z</dcterms:created>
  <dcterms:modified xsi:type="dcterms:W3CDTF">2022-12-22T16:02:00Z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2022-12-02T11:21:35Z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619633f2-260b-4093-8ef2-2840d5aac401</vt:lpwstr>
  </property>
  <property fmtid="{D5CDD505-2E9C-101B-9397-08002B2CF9AE}" pid="9" name="MSIP_Label_9e5e003a-90eb-47c9-a506-ad47e7a0b281_ContentBits">
    <vt:lpwstr>0</vt:lpwstr>
  </property>
</Properties>
</file>