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4EC1185E" w:rsidR="00D0226A" w:rsidRPr="00913A33" w:rsidRDefault="003A7CAC" w:rsidP="001E03E1">
            <w:pPr>
              <w:pStyle w:val="CoverTitle"/>
              <w:rPr>
                <w:color w:val="000000" w:themeColor="text1"/>
                <w:szCs w:val="90"/>
              </w:rPr>
            </w:pPr>
            <w:sdt>
              <w:sdtPr>
                <w:rPr>
                  <w:color w:val="000000" w:themeColor="text1"/>
                  <w:sz w:val="52"/>
                  <w:szCs w:val="52"/>
                </w:rPr>
                <w:id w:val="1228188510"/>
                <w:placeholder>
                  <w:docPart w:val="DefaultPlaceholder_-1854013440"/>
                </w:placeholder>
              </w:sdtPr>
              <w:sdtEndPr>
                <w:rPr>
                  <w:sz w:val="72"/>
                  <w:szCs w:val="72"/>
                </w:rPr>
              </w:sdtEndPr>
              <w:sdtContent>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92469B" w:rsidRPr="00A83C9A">
                      <w:rPr>
                        <w:sz w:val="56"/>
                        <w:szCs w:val="56"/>
                      </w:rPr>
                      <w:t>C</w:t>
                    </w:r>
                    <w:r w:rsidR="00FC2109" w:rsidRPr="00A83C9A">
                      <w:rPr>
                        <w:sz w:val="56"/>
                        <w:szCs w:val="56"/>
                      </w:rPr>
                      <w:t>lass</w:t>
                    </w:r>
                    <w:r w:rsidR="0092469B" w:rsidRPr="00A83C9A">
                      <w:rPr>
                        <w:sz w:val="56"/>
                        <w:szCs w:val="56"/>
                      </w:rPr>
                      <w:t xml:space="preserve"> A C</w:t>
                    </w:r>
                    <w:r w:rsidR="00FC2109" w:rsidRPr="00A83C9A">
                      <w:rPr>
                        <w:sz w:val="56"/>
                        <w:szCs w:val="56"/>
                      </w:rPr>
                      <w:t>arriers</w:t>
                    </w:r>
                    <w:r w:rsidR="0092469B" w:rsidRPr="00A83C9A">
                      <w:rPr>
                        <w:sz w:val="56"/>
                        <w:szCs w:val="56"/>
                      </w:rPr>
                      <w:t xml:space="preserve"> – Transport Security Statements and Plans</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40FFD89D" w:rsidR="00004C16" w:rsidRPr="00F63AA5" w:rsidRDefault="003A7CAC"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Style2"/>
          </w:rPr>
        </w:sdtEndPr>
        <w:sdtContent>
          <w:r w:rsidR="00FC2109">
            <w:rPr>
              <w:rStyle w:val="Style2"/>
              <w:sz w:val="36"/>
              <w:szCs w:val="16"/>
            </w:rPr>
            <w:t>Class A Carriers – Transport Security Statements and Plans</w:t>
          </w:r>
        </w:sdtContent>
      </w:sdt>
    </w:p>
    <w:p w14:paraId="61A25C0F" w14:textId="77777777" w:rsidR="00004C16" w:rsidRDefault="00004C16" w:rsidP="00004C16">
      <w:pPr>
        <w:rPr>
          <w:sz w:val="28"/>
          <w:szCs w:val="28"/>
        </w:rPr>
      </w:pPr>
    </w:p>
    <w:p w14:paraId="4C7A948F" w14:textId="57D6EFFC" w:rsidR="00245A0D" w:rsidRPr="00004C16" w:rsidRDefault="00245A0D" w:rsidP="00A55A78">
      <w:pPr>
        <w:rPr>
          <w:sz w:val="28"/>
          <w:szCs w:val="28"/>
        </w:rPr>
      </w:pPr>
      <w:r w:rsidRPr="00004C16">
        <w:rPr>
          <w:sz w:val="28"/>
          <w:szCs w:val="28"/>
        </w:rPr>
        <w:t>Authored by</w:t>
      </w:r>
      <w:r w:rsidR="00CE1DB2">
        <w:rPr>
          <w:sz w:val="28"/>
          <w:szCs w:val="28"/>
        </w:rPr>
        <w:t>:</w:t>
      </w:r>
      <w:r w:rsidRPr="00004C16">
        <w:rPr>
          <w:sz w:val="28"/>
          <w:szCs w:val="28"/>
        </w:rPr>
        <w:t xml:space="preserve"> </w:t>
      </w:r>
      <w:r w:rsidR="0092469B" w:rsidRPr="0092469B">
        <w:rPr>
          <w:sz w:val="28"/>
          <w:szCs w:val="28"/>
        </w:rPr>
        <w:t>Principal Inspector</w:t>
      </w:r>
    </w:p>
    <w:p w14:paraId="15A21CF3" w14:textId="29639C73" w:rsidR="00245A0D" w:rsidRDefault="00245A0D" w:rsidP="00245A0D">
      <w:pPr>
        <w:rPr>
          <w:sz w:val="28"/>
          <w:szCs w:val="28"/>
        </w:rPr>
      </w:pPr>
      <w:r w:rsidRPr="00004C16">
        <w:rPr>
          <w:sz w:val="28"/>
          <w:szCs w:val="28"/>
        </w:rPr>
        <w:t>Approved by</w:t>
      </w:r>
      <w:r w:rsidR="00CE1DB2">
        <w:rPr>
          <w:sz w:val="28"/>
          <w:szCs w:val="28"/>
        </w:rPr>
        <w:t>:</w:t>
      </w:r>
      <w:r w:rsidRPr="00004C16">
        <w:rPr>
          <w:sz w:val="28"/>
          <w:szCs w:val="28"/>
        </w:rPr>
        <w:t xml:space="preserve"> </w:t>
      </w:r>
      <w:r w:rsidR="00483C82">
        <w:rPr>
          <w:sz w:val="28"/>
          <w:szCs w:val="28"/>
        </w:rPr>
        <w:t xml:space="preserve">Head of Profession - </w:t>
      </w:r>
      <w:r w:rsidR="00913A33" w:rsidRPr="00913A33">
        <w:rPr>
          <w:sz w:val="28"/>
          <w:szCs w:val="28"/>
        </w:rPr>
        <w:t>Pro</w:t>
      </w:r>
      <w:r w:rsidR="00AA71E5">
        <w:rPr>
          <w:sz w:val="28"/>
          <w:szCs w:val="28"/>
        </w:rPr>
        <w:t>tective Security</w:t>
      </w:r>
    </w:p>
    <w:p w14:paraId="247E3769" w14:textId="3D7B9316" w:rsid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467246">
            <w:rPr>
              <w:sz w:val="28"/>
              <w:szCs w:val="28"/>
            </w:rPr>
            <w:t>2.1</w:t>
          </w:r>
        </w:sdtContent>
      </w:sdt>
    </w:p>
    <w:p w14:paraId="19206F45" w14:textId="7E548E3B" w:rsidR="00004C16" w:rsidRDefault="00004C16" w:rsidP="00004C16">
      <w:pPr>
        <w:rPr>
          <w:sz w:val="28"/>
          <w:szCs w:val="28"/>
        </w:rPr>
      </w:pPr>
      <w:r w:rsidRPr="00004C16">
        <w:rPr>
          <w:sz w:val="28"/>
          <w:szCs w:val="28"/>
        </w:rPr>
        <w:t>Publi</w:t>
      </w:r>
      <w:r w:rsidR="00AA71E5">
        <w:rPr>
          <w:sz w:val="28"/>
          <w:szCs w:val="28"/>
        </w:rPr>
        <w:t>shed</w:t>
      </w:r>
      <w:r w:rsidRPr="00004C16">
        <w:rPr>
          <w:sz w:val="28"/>
          <w:szCs w:val="28"/>
        </w:rPr>
        <w:t xml:space="preserve">: </w:t>
      </w:r>
      <w:r w:rsidR="002A569E">
        <w:rPr>
          <w:sz w:val="28"/>
          <w:szCs w:val="28"/>
        </w:rPr>
        <w:t xml:space="preserve">Mar </w:t>
      </w:r>
      <w:r w:rsidR="009D3BC7">
        <w:rPr>
          <w:sz w:val="28"/>
          <w:szCs w:val="28"/>
        </w:rPr>
        <w:t>25</w:t>
      </w:r>
    </w:p>
    <w:p w14:paraId="06A6B3A5" w14:textId="57CAE5FA" w:rsidR="00E57DB9" w:rsidRDefault="00E57DB9" w:rsidP="00E57DB9">
      <w:pPr>
        <w:rPr>
          <w:sz w:val="28"/>
          <w:szCs w:val="28"/>
        </w:rPr>
      </w:pPr>
      <w:r>
        <w:rPr>
          <w:sz w:val="28"/>
          <w:szCs w:val="28"/>
        </w:rPr>
        <w:t xml:space="preserve">Next </w:t>
      </w:r>
      <w:r w:rsidR="00AA71E5">
        <w:rPr>
          <w:sz w:val="28"/>
          <w:szCs w:val="28"/>
        </w:rPr>
        <w:t>scheduled</w:t>
      </w:r>
      <w:r>
        <w:rPr>
          <w:sz w:val="28"/>
          <w:szCs w:val="28"/>
        </w:rPr>
        <w:t xml:space="preserve"> </w:t>
      </w:r>
      <w:r w:rsidR="00AA71E5">
        <w:rPr>
          <w:sz w:val="28"/>
          <w:szCs w:val="28"/>
        </w:rPr>
        <w:t>r</w:t>
      </w:r>
      <w:r>
        <w:rPr>
          <w:sz w:val="28"/>
          <w:szCs w:val="28"/>
        </w:rPr>
        <w:t>eview:</w:t>
      </w:r>
      <w:r w:rsidR="00AE4F54">
        <w:rPr>
          <w:sz w:val="28"/>
          <w:szCs w:val="28"/>
        </w:rPr>
        <w:t xml:space="preserve"> </w:t>
      </w:r>
      <w:r w:rsidR="002A569E">
        <w:rPr>
          <w:sz w:val="28"/>
          <w:szCs w:val="28"/>
        </w:rPr>
        <w:t>Mar 28</w:t>
      </w:r>
    </w:p>
    <w:p w14:paraId="6DA341A1" w14:textId="2860C034" w:rsidR="00347CA8" w:rsidRPr="00467246" w:rsidRDefault="00347CA8" w:rsidP="00E57DB9">
      <w:pPr>
        <w:rPr>
          <w:sz w:val="28"/>
          <w:szCs w:val="28"/>
        </w:rPr>
      </w:pPr>
      <w:r w:rsidRPr="00467246">
        <w:rPr>
          <w:sz w:val="28"/>
          <w:szCs w:val="28"/>
        </w:rPr>
        <w:t>Doc</w:t>
      </w:r>
      <w:r w:rsidR="0086599D" w:rsidRPr="00467246">
        <w:rPr>
          <w:sz w:val="28"/>
          <w:szCs w:val="28"/>
        </w:rPr>
        <w:t xml:space="preserve">ument </w:t>
      </w:r>
      <w:r w:rsidRPr="00467246">
        <w:rPr>
          <w:sz w:val="28"/>
          <w:szCs w:val="28"/>
        </w:rPr>
        <w:t>Ref</w:t>
      </w:r>
      <w:r w:rsidR="00AA71E5" w:rsidRPr="00467246">
        <w:rPr>
          <w:sz w:val="28"/>
          <w:szCs w:val="28"/>
        </w:rPr>
        <w:t>erence</w:t>
      </w:r>
      <w:r w:rsidRPr="00467246">
        <w:rPr>
          <w:sz w:val="28"/>
          <w:szCs w:val="28"/>
        </w:rPr>
        <w:t xml:space="preserve">: </w:t>
      </w:r>
      <w:r w:rsidR="00A83C9A" w:rsidRPr="00467246">
        <w:rPr>
          <w:sz w:val="28"/>
          <w:szCs w:val="28"/>
        </w:rPr>
        <w:t>CNS-TAST-GD-6.7</w:t>
      </w:r>
    </w:p>
    <w:p w14:paraId="75E712DE" w14:textId="77777777" w:rsidR="00496E5D" w:rsidRDefault="00004C16" w:rsidP="00496E5D">
      <w:pPr>
        <w:rPr>
          <w:sz w:val="28"/>
          <w:szCs w:val="28"/>
        </w:rPr>
      </w:pPr>
      <w:r w:rsidRPr="00004C16">
        <w:rPr>
          <w:sz w:val="28"/>
          <w:szCs w:val="28"/>
        </w:rPr>
        <w:t>Record Ref</w:t>
      </w:r>
      <w:r w:rsidR="0086599D">
        <w:rPr>
          <w:sz w:val="28"/>
          <w:szCs w:val="28"/>
        </w:rPr>
        <w:t>erence</w:t>
      </w:r>
      <w:r w:rsidRPr="00004C16">
        <w:rPr>
          <w:sz w:val="28"/>
          <w:szCs w:val="28"/>
        </w:rPr>
        <w:t xml:space="preserve">: </w:t>
      </w:r>
      <w:hyperlink r:id="rId11" w:tgtFrame="_blank" w:tooltip="ONRHH-822789359-19855" w:history="1">
        <w:r w:rsidR="00496E5D" w:rsidRPr="00496E5D">
          <w:rPr>
            <w:rStyle w:val="Hyperlink"/>
            <w:sz w:val="28"/>
            <w:szCs w:val="28"/>
          </w:rPr>
          <w:t>ONRHH-822789359-19855</w:t>
        </w:r>
      </w:hyperlink>
    </w:p>
    <w:p w14:paraId="39BC0EA4" w14:textId="3048DA2F" w:rsidR="00420A11" w:rsidRDefault="00496E5D" w:rsidP="00496E5D">
      <w:r>
        <w:t xml:space="preserve"> </w:t>
      </w:r>
    </w:p>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CE1DB2"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7466"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595C8C" w14:paraId="0B4E4E42" w14:textId="77777777" w:rsidTr="00E20B32">
        <w:tc>
          <w:tcPr>
            <w:tcW w:w="1550" w:type="dxa"/>
          </w:tcPr>
          <w:p w14:paraId="65482A03" w14:textId="00D3FE8F" w:rsidR="00595C8C" w:rsidRDefault="003A7CAC" w:rsidP="00595C8C">
            <w:pPr>
              <w:spacing w:before="60" w:after="60"/>
            </w:pPr>
            <w:sdt>
              <w:sdtPr>
                <w:rPr>
                  <w:sz w:val="28"/>
                  <w:szCs w:val="28"/>
                </w:rPr>
                <w:alias w:val="Issue No."/>
                <w:tag w:val=""/>
                <w:id w:val="251869044"/>
                <w:placeholder>
                  <w:docPart w:val="7B9BDFF14BD54958B10F73A803ABCB8B"/>
                </w:placeholder>
                <w:dataBinding w:prefixMappings="xmlns:ns0='http://purl.org/dc/elements/1.1/' xmlns:ns1='http://schemas.openxmlformats.org/package/2006/metadata/core-properties' " w:xpath="/ns1:coreProperties[1]/ns1:contentStatus[1]" w:storeItemID="{6C3C8BC8-F283-45AE-878A-BAB7291924A1}"/>
                <w:text/>
              </w:sdtPr>
              <w:sdtEndPr/>
              <w:sdtContent>
                <w:r w:rsidR="00467246">
                  <w:rPr>
                    <w:sz w:val="28"/>
                    <w:szCs w:val="28"/>
                  </w:rPr>
                  <w:t>2.1</w:t>
                </w:r>
              </w:sdtContent>
            </w:sdt>
          </w:p>
        </w:tc>
        <w:tc>
          <w:tcPr>
            <w:tcW w:w="7466" w:type="dxa"/>
          </w:tcPr>
          <w:p w14:paraId="1C80912E" w14:textId="7589DC71" w:rsidR="00595C8C" w:rsidRDefault="0022020E" w:rsidP="00595C8C">
            <w:pPr>
              <w:spacing w:before="60" w:after="60"/>
            </w:pPr>
            <w:r>
              <w:t>Fit for Purpose Review of Rev</w:t>
            </w:r>
            <w:r w:rsidR="00FC2109">
              <w:t xml:space="preserve">ision </w:t>
            </w:r>
            <w:r w:rsidR="007C7F65">
              <w:t>2</w:t>
            </w:r>
            <w:r w:rsidR="00E20B32">
              <w:t>.</w:t>
            </w:r>
          </w:p>
        </w:tc>
      </w:tr>
    </w:tbl>
    <w:p w14:paraId="1FDB4B56" w14:textId="6C10B266" w:rsidR="00595C8C" w:rsidRDefault="00595C8C" w:rsidP="00323E71">
      <w:pPr>
        <w:sectPr w:rsidR="00595C8C" w:rsidSect="000B2BCD">
          <w:headerReference w:type="default" r:id="rId12"/>
          <w:footerReference w:type="default" r:id="rId13"/>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67669F99" w14:textId="79433221" w:rsidR="00BC4633" w:rsidRDefault="00404B0C">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28481438" w:history="1">
        <w:r w:rsidR="00BC4633" w:rsidRPr="001B0B99">
          <w:rPr>
            <w:rStyle w:val="Hyperlink"/>
          </w:rPr>
          <w:t>1.</w:t>
        </w:r>
        <w:r w:rsidR="00BC4633">
          <w:rPr>
            <w:rFonts w:asciiTheme="minorHAnsi" w:eastAsiaTheme="minorEastAsia" w:hAnsiTheme="minorHAnsi" w:cstheme="minorBidi"/>
            <w:sz w:val="22"/>
            <w:lang w:eastAsia="en-GB" w:bidi="ar-SA"/>
          </w:rPr>
          <w:tab/>
        </w:r>
        <w:r w:rsidR="00BC4633" w:rsidRPr="001B0B99">
          <w:rPr>
            <w:rStyle w:val="Hyperlink"/>
          </w:rPr>
          <w:t>Introduction</w:t>
        </w:r>
        <w:r w:rsidR="00BC4633">
          <w:rPr>
            <w:webHidden/>
          </w:rPr>
          <w:tab/>
        </w:r>
        <w:r w:rsidR="00BC4633">
          <w:rPr>
            <w:webHidden/>
          </w:rPr>
          <w:fldChar w:fldCharType="begin"/>
        </w:r>
        <w:r w:rsidR="00BC4633">
          <w:rPr>
            <w:webHidden/>
          </w:rPr>
          <w:instrText xml:space="preserve"> PAGEREF _Toc128481438 \h </w:instrText>
        </w:r>
        <w:r w:rsidR="00BC4633">
          <w:rPr>
            <w:webHidden/>
          </w:rPr>
        </w:r>
        <w:r w:rsidR="00BC4633">
          <w:rPr>
            <w:webHidden/>
          </w:rPr>
          <w:fldChar w:fldCharType="separate"/>
        </w:r>
        <w:r w:rsidR="00BC4633">
          <w:rPr>
            <w:webHidden/>
          </w:rPr>
          <w:t>4</w:t>
        </w:r>
        <w:r w:rsidR="00BC4633">
          <w:rPr>
            <w:webHidden/>
          </w:rPr>
          <w:fldChar w:fldCharType="end"/>
        </w:r>
      </w:hyperlink>
    </w:p>
    <w:p w14:paraId="67059403" w14:textId="1035A684" w:rsidR="00BC4633" w:rsidRDefault="00BC4633">
      <w:pPr>
        <w:pStyle w:val="TOC1"/>
        <w:tabs>
          <w:tab w:val="left" w:pos="720"/>
        </w:tabs>
        <w:rPr>
          <w:rFonts w:asciiTheme="minorHAnsi" w:eastAsiaTheme="minorEastAsia" w:hAnsiTheme="minorHAnsi" w:cstheme="minorBidi"/>
          <w:sz w:val="22"/>
          <w:lang w:eastAsia="en-GB" w:bidi="ar-SA"/>
        </w:rPr>
      </w:pPr>
      <w:hyperlink w:anchor="_Toc128481439" w:history="1">
        <w:r w:rsidRPr="001B0B99">
          <w:rPr>
            <w:rStyle w:val="Hyperlink"/>
          </w:rPr>
          <w:t>2.</w:t>
        </w:r>
        <w:r>
          <w:rPr>
            <w:rFonts w:asciiTheme="minorHAnsi" w:eastAsiaTheme="minorEastAsia" w:hAnsiTheme="minorHAnsi" w:cstheme="minorBidi"/>
            <w:sz w:val="22"/>
            <w:lang w:eastAsia="en-GB" w:bidi="ar-SA"/>
          </w:rPr>
          <w:tab/>
        </w:r>
        <w:r w:rsidRPr="001B0B99">
          <w:rPr>
            <w:rStyle w:val="Hyperlink"/>
          </w:rPr>
          <w:t>Purpose and Scope</w:t>
        </w:r>
        <w:r>
          <w:rPr>
            <w:webHidden/>
          </w:rPr>
          <w:tab/>
        </w:r>
        <w:r>
          <w:rPr>
            <w:webHidden/>
          </w:rPr>
          <w:fldChar w:fldCharType="begin"/>
        </w:r>
        <w:r>
          <w:rPr>
            <w:webHidden/>
          </w:rPr>
          <w:instrText xml:space="preserve"> PAGEREF _Toc128481439 \h </w:instrText>
        </w:r>
        <w:r>
          <w:rPr>
            <w:webHidden/>
          </w:rPr>
        </w:r>
        <w:r>
          <w:rPr>
            <w:webHidden/>
          </w:rPr>
          <w:fldChar w:fldCharType="separate"/>
        </w:r>
        <w:r>
          <w:rPr>
            <w:webHidden/>
          </w:rPr>
          <w:t>4</w:t>
        </w:r>
        <w:r>
          <w:rPr>
            <w:webHidden/>
          </w:rPr>
          <w:fldChar w:fldCharType="end"/>
        </w:r>
      </w:hyperlink>
    </w:p>
    <w:p w14:paraId="5C0C125A" w14:textId="6FEE415E" w:rsidR="00BC4633" w:rsidRDefault="00BC4633">
      <w:pPr>
        <w:pStyle w:val="TOC1"/>
        <w:tabs>
          <w:tab w:val="left" w:pos="720"/>
        </w:tabs>
        <w:rPr>
          <w:rFonts w:asciiTheme="minorHAnsi" w:eastAsiaTheme="minorEastAsia" w:hAnsiTheme="minorHAnsi" w:cstheme="minorBidi"/>
          <w:sz w:val="22"/>
          <w:lang w:eastAsia="en-GB" w:bidi="ar-SA"/>
        </w:rPr>
      </w:pPr>
      <w:hyperlink w:anchor="_Toc128481440" w:history="1">
        <w:r w:rsidRPr="001B0B99">
          <w:rPr>
            <w:rStyle w:val="Hyperlink"/>
          </w:rPr>
          <w:t>3.</w:t>
        </w:r>
        <w:r>
          <w:rPr>
            <w:rFonts w:asciiTheme="minorHAnsi" w:eastAsiaTheme="minorEastAsia" w:hAnsiTheme="minorHAnsi" w:cstheme="minorBidi"/>
            <w:sz w:val="22"/>
            <w:lang w:eastAsia="en-GB" w:bidi="ar-SA"/>
          </w:rPr>
          <w:tab/>
        </w:r>
        <w:r w:rsidRPr="001B0B99">
          <w:rPr>
            <w:rStyle w:val="Hyperlink"/>
          </w:rPr>
          <w:t>Relationship to Relevant Legislation</w:t>
        </w:r>
        <w:r>
          <w:rPr>
            <w:webHidden/>
          </w:rPr>
          <w:tab/>
        </w:r>
        <w:r>
          <w:rPr>
            <w:webHidden/>
          </w:rPr>
          <w:fldChar w:fldCharType="begin"/>
        </w:r>
        <w:r>
          <w:rPr>
            <w:webHidden/>
          </w:rPr>
          <w:instrText xml:space="preserve"> PAGEREF _Toc128481440 \h </w:instrText>
        </w:r>
        <w:r>
          <w:rPr>
            <w:webHidden/>
          </w:rPr>
        </w:r>
        <w:r>
          <w:rPr>
            <w:webHidden/>
          </w:rPr>
          <w:fldChar w:fldCharType="separate"/>
        </w:r>
        <w:r>
          <w:rPr>
            <w:webHidden/>
          </w:rPr>
          <w:t>4</w:t>
        </w:r>
        <w:r>
          <w:rPr>
            <w:webHidden/>
          </w:rPr>
          <w:fldChar w:fldCharType="end"/>
        </w:r>
      </w:hyperlink>
    </w:p>
    <w:p w14:paraId="5628E9AD" w14:textId="4B795E0A" w:rsidR="00BC4633" w:rsidRDefault="00BC4633">
      <w:pPr>
        <w:pStyle w:val="TOC1"/>
        <w:tabs>
          <w:tab w:val="left" w:pos="720"/>
        </w:tabs>
        <w:rPr>
          <w:rFonts w:asciiTheme="minorHAnsi" w:eastAsiaTheme="minorEastAsia" w:hAnsiTheme="minorHAnsi" w:cstheme="minorBidi"/>
          <w:sz w:val="22"/>
          <w:lang w:eastAsia="en-GB" w:bidi="ar-SA"/>
        </w:rPr>
      </w:pPr>
      <w:hyperlink w:anchor="_Toc128481441" w:history="1">
        <w:r w:rsidRPr="001B0B99">
          <w:rPr>
            <w:rStyle w:val="Hyperlink"/>
          </w:rPr>
          <w:t>4.</w:t>
        </w:r>
        <w:r>
          <w:rPr>
            <w:rFonts w:asciiTheme="minorHAnsi" w:eastAsiaTheme="minorEastAsia" w:hAnsiTheme="minorHAnsi" w:cstheme="minorBidi"/>
            <w:sz w:val="22"/>
            <w:lang w:eastAsia="en-GB" w:bidi="ar-SA"/>
          </w:rPr>
          <w:tab/>
        </w:r>
        <w:r w:rsidRPr="001B0B99">
          <w:rPr>
            <w:rStyle w:val="Hyperlink"/>
          </w:rPr>
          <w:t>Relationship to IAEA Documentation and Guidance</w:t>
        </w:r>
        <w:r>
          <w:rPr>
            <w:webHidden/>
          </w:rPr>
          <w:tab/>
        </w:r>
        <w:r>
          <w:rPr>
            <w:webHidden/>
          </w:rPr>
          <w:fldChar w:fldCharType="begin"/>
        </w:r>
        <w:r>
          <w:rPr>
            <w:webHidden/>
          </w:rPr>
          <w:instrText xml:space="preserve"> PAGEREF _Toc128481441 \h </w:instrText>
        </w:r>
        <w:r>
          <w:rPr>
            <w:webHidden/>
          </w:rPr>
        </w:r>
        <w:r>
          <w:rPr>
            <w:webHidden/>
          </w:rPr>
          <w:fldChar w:fldCharType="separate"/>
        </w:r>
        <w:r>
          <w:rPr>
            <w:webHidden/>
          </w:rPr>
          <w:t>5</w:t>
        </w:r>
        <w:r>
          <w:rPr>
            <w:webHidden/>
          </w:rPr>
          <w:fldChar w:fldCharType="end"/>
        </w:r>
      </w:hyperlink>
    </w:p>
    <w:p w14:paraId="7A9969A9" w14:textId="5BD8F80A" w:rsidR="00BC4633" w:rsidRDefault="00BC4633">
      <w:pPr>
        <w:pStyle w:val="TOC1"/>
        <w:tabs>
          <w:tab w:val="left" w:pos="720"/>
        </w:tabs>
        <w:rPr>
          <w:rFonts w:asciiTheme="minorHAnsi" w:eastAsiaTheme="minorEastAsia" w:hAnsiTheme="minorHAnsi" w:cstheme="minorBidi"/>
          <w:sz w:val="22"/>
          <w:lang w:eastAsia="en-GB" w:bidi="ar-SA"/>
        </w:rPr>
      </w:pPr>
      <w:hyperlink w:anchor="_Toc128481442" w:history="1">
        <w:r w:rsidRPr="001B0B99">
          <w:rPr>
            <w:rStyle w:val="Hyperlink"/>
          </w:rPr>
          <w:t>5.</w:t>
        </w:r>
        <w:r>
          <w:rPr>
            <w:rFonts w:asciiTheme="minorHAnsi" w:eastAsiaTheme="minorEastAsia" w:hAnsiTheme="minorHAnsi" w:cstheme="minorBidi"/>
            <w:sz w:val="22"/>
            <w:lang w:eastAsia="en-GB" w:bidi="ar-SA"/>
          </w:rPr>
          <w:tab/>
        </w:r>
        <w:r w:rsidRPr="001B0B99">
          <w:rPr>
            <w:rStyle w:val="Hyperlink"/>
          </w:rPr>
          <w:t>Relationship to National Policy Documents</w:t>
        </w:r>
        <w:r>
          <w:rPr>
            <w:webHidden/>
          </w:rPr>
          <w:tab/>
        </w:r>
        <w:r>
          <w:rPr>
            <w:webHidden/>
          </w:rPr>
          <w:fldChar w:fldCharType="begin"/>
        </w:r>
        <w:r>
          <w:rPr>
            <w:webHidden/>
          </w:rPr>
          <w:instrText xml:space="preserve"> PAGEREF _Toc128481442 \h </w:instrText>
        </w:r>
        <w:r>
          <w:rPr>
            <w:webHidden/>
          </w:rPr>
        </w:r>
        <w:r>
          <w:rPr>
            <w:webHidden/>
          </w:rPr>
          <w:fldChar w:fldCharType="separate"/>
        </w:r>
        <w:r>
          <w:rPr>
            <w:webHidden/>
          </w:rPr>
          <w:t>5</w:t>
        </w:r>
        <w:r>
          <w:rPr>
            <w:webHidden/>
          </w:rPr>
          <w:fldChar w:fldCharType="end"/>
        </w:r>
      </w:hyperlink>
    </w:p>
    <w:p w14:paraId="6A777419" w14:textId="64441CDB" w:rsidR="00BC4633" w:rsidRDefault="00BC4633">
      <w:pPr>
        <w:pStyle w:val="TOC1"/>
        <w:tabs>
          <w:tab w:val="left" w:pos="720"/>
        </w:tabs>
        <w:rPr>
          <w:rFonts w:asciiTheme="minorHAnsi" w:eastAsiaTheme="minorEastAsia" w:hAnsiTheme="minorHAnsi" w:cstheme="minorBidi"/>
          <w:sz w:val="22"/>
          <w:lang w:eastAsia="en-GB" w:bidi="ar-SA"/>
        </w:rPr>
      </w:pPr>
      <w:hyperlink w:anchor="_Toc128481443" w:history="1">
        <w:r w:rsidRPr="001B0B99">
          <w:rPr>
            <w:rStyle w:val="Hyperlink"/>
          </w:rPr>
          <w:t>6.</w:t>
        </w:r>
        <w:r>
          <w:rPr>
            <w:rFonts w:asciiTheme="minorHAnsi" w:eastAsiaTheme="minorEastAsia" w:hAnsiTheme="minorHAnsi" w:cstheme="minorBidi"/>
            <w:sz w:val="22"/>
            <w:lang w:eastAsia="en-GB" w:bidi="ar-SA"/>
          </w:rPr>
          <w:tab/>
        </w:r>
        <w:r w:rsidRPr="001B0B99">
          <w:rPr>
            <w:rStyle w:val="Hyperlink"/>
          </w:rPr>
          <w:t>Advice to Inspectors</w:t>
        </w:r>
        <w:r>
          <w:rPr>
            <w:webHidden/>
          </w:rPr>
          <w:tab/>
        </w:r>
        <w:r>
          <w:rPr>
            <w:webHidden/>
          </w:rPr>
          <w:fldChar w:fldCharType="begin"/>
        </w:r>
        <w:r>
          <w:rPr>
            <w:webHidden/>
          </w:rPr>
          <w:instrText xml:space="preserve"> PAGEREF _Toc128481443 \h </w:instrText>
        </w:r>
        <w:r>
          <w:rPr>
            <w:webHidden/>
          </w:rPr>
        </w:r>
        <w:r>
          <w:rPr>
            <w:webHidden/>
          </w:rPr>
          <w:fldChar w:fldCharType="separate"/>
        </w:r>
        <w:r>
          <w:rPr>
            <w:webHidden/>
          </w:rPr>
          <w:t>5</w:t>
        </w:r>
        <w:r>
          <w:rPr>
            <w:webHidden/>
          </w:rPr>
          <w:fldChar w:fldCharType="end"/>
        </w:r>
      </w:hyperlink>
    </w:p>
    <w:p w14:paraId="03ADDF18" w14:textId="33911B0A" w:rsidR="00BC4633" w:rsidRDefault="00BC4633">
      <w:pPr>
        <w:pStyle w:val="TOC1"/>
        <w:tabs>
          <w:tab w:val="left" w:pos="720"/>
        </w:tabs>
        <w:rPr>
          <w:rFonts w:asciiTheme="minorHAnsi" w:eastAsiaTheme="minorEastAsia" w:hAnsiTheme="minorHAnsi" w:cstheme="minorBidi"/>
          <w:sz w:val="22"/>
          <w:lang w:eastAsia="en-GB" w:bidi="ar-SA"/>
        </w:rPr>
      </w:pPr>
      <w:hyperlink w:anchor="_Toc128481444" w:history="1">
        <w:r w:rsidRPr="001B0B99">
          <w:rPr>
            <w:rStyle w:val="Hyperlink"/>
          </w:rPr>
          <w:t>7.</w:t>
        </w:r>
        <w:r>
          <w:rPr>
            <w:rFonts w:asciiTheme="minorHAnsi" w:eastAsiaTheme="minorEastAsia" w:hAnsiTheme="minorHAnsi" w:cstheme="minorBidi"/>
            <w:sz w:val="22"/>
            <w:lang w:eastAsia="en-GB" w:bidi="ar-SA"/>
          </w:rPr>
          <w:tab/>
        </w:r>
        <w:r w:rsidRPr="001B0B99">
          <w:rPr>
            <w:rStyle w:val="Hyperlink"/>
          </w:rPr>
          <w:t>References</w:t>
        </w:r>
        <w:r>
          <w:rPr>
            <w:webHidden/>
          </w:rPr>
          <w:tab/>
        </w:r>
        <w:r>
          <w:rPr>
            <w:webHidden/>
          </w:rPr>
          <w:fldChar w:fldCharType="begin"/>
        </w:r>
        <w:r>
          <w:rPr>
            <w:webHidden/>
          </w:rPr>
          <w:instrText xml:space="preserve"> PAGEREF _Toc128481444 \h </w:instrText>
        </w:r>
        <w:r>
          <w:rPr>
            <w:webHidden/>
          </w:rPr>
        </w:r>
        <w:r>
          <w:rPr>
            <w:webHidden/>
          </w:rPr>
          <w:fldChar w:fldCharType="separate"/>
        </w:r>
        <w:r>
          <w:rPr>
            <w:webHidden/>
          </w:rPr>
          <w:t>13</w:t>
        </w:r>
        <w:r>
          <w:rPr>
            <w:webHidden/>
          </w:rPr>
          <w:fldChar w:fldCharType="end"/>
        </w:r>
      </w:hyperlink>
    </w:p>
    <w:p w14:paraId="4054406F" w14:textId="0F761FAE" w:rsidR="00BC4633" w:rsidRDefault="00BC4633">
      <w:pPr>
        <w:pStyle w:val="TOC1"/>
        <w:tabs>
          <w:tab w:val="left" w:pos="720"/>
        </w:tabs>
        <w:rPr>
          <w:rFonts w:asciiTheme="minorHAnsi" w:eastAsiaTheme="minorEastAsia" w:hAnsiTheme="minorHAnsi" w:cstheme="minorBidi"/>
          <w:sz w:val="22"/>
          <w:lang w:eastAsia="en-GB" w:bidi="ar-SA"/>
        </w:rPr>
      </w:pPr>
      <w:hyperlink w:anchor="_Toc128481445" w:history="1">
        <w:r w:rsidRPr="001B0B99">
          <w:rPr>
            <w:rStyle w:val="Hyperlink"/>
          </w:rPr>
          <w:t>8.</w:t>
        </w:r>
        <w:r>
          <w:rPr>
            <w:rFonts w:asciiTheme="minorHAnsi" w:eastAsiaTheme="minorEastAsia" w:hAnsiTheme="minorHAnsi" w:cstheme="minorBidi"/>
            <w:sz w:val="22"/>
            <w:lang w:eastAsia="en-GB" w:bidi="ar-SA"/>
          </w:rPr>
          <w:tab/>
        </w:r>
        <w:r w:rsidRPr="001B0B99">
          <w:rPr>
            <w:rStyle w:val="Hyperlink"/>
          </w:rPr>
          <w:t>Glossary and Abbreviations</w:t>
        </w:r>
        <w:r>
          <w:rPr>
            <w:webHidden/>
          </w:rPr>
          <w:tab/>
        </w:r>
        <w:r>
          <w:rPr>
            <w:webHidden/>
          </w:rPr>
          <w:fldChar w:fldCharType="begin"/>
        </w:r>
        <w:r>
          <w:rPr>
            <w:webHidden/>
          </w:rPr>
          <w:instrText xml:space="preserve"> PAGEREF _Toc128481445 \h </w:instrText>
        </w:r>
        <w:r>
          <w:rPr>
            <w:webHidden/>
          </w:rPr>
        </w:r>
        <w:r>
          <w:rPr>
            <w:webHidden/>
          </w:rPr>
          <w:fldChar w:fldCharType="separate"/>
        </w:r>
        <w:r>
          <w:rPr>
            <w:webHidden/>
          </w:rPr>
          <w:t>14</w:t>
        </w:r>
        <w:r>
          <w:rPr>
            <w:webHidden/>
          </w:rPr>
          <w:fldChar w:fldCharType="end"/>
        </w:r>
      </w:hyperlink>
    </w:p>
    <w:p w14:paraId="0CC4B54A" w14:textId="7B38BC4F" w:rsidR="00267815" w:rsidRDefault="00404B0C" w:rsidP="00267815">
      <w:r>
        <w:fldChar w:fldCharType="end"/>
      </w:r>
    </w:p>
    <w:bookmarkEnd w:id="0"/>
    <w:p w14:paraId="3E742336" w14:textId="789FC32A" w:rsidR="00621BF6" w:rsidRDefault="00621BF6" w:rsidP="00CE1DB2">
      <w:pPr>
        <w:pStyle w:val="Caption"/>
        <w:jc w:val="center"/>
        <w:sectPr w:rsidR="00621BF6" w:rsidSect="000B2BCD">
          <w:headerReference w:type="even" r:id="rId14"/>
          <w:headerReference w:type="default" r:id="rId15"/>
          <w:footerReference w:type="even" r:id="rId16"/>
          <w:pgSz w:w="11906" w:h="16838" w:code="9"/>
          <w:pgMar w:top="1440" w:right="1440" w:bottom="1440" w:left="1440" w:header="397" w:footer="397" w:gutter="0"/>
          <w:cols w:space="312"/>
          <w:docGrid w:linePitch="360"/>
        </w:sectPr>
      </w:pPr>
    </w:p>
    <w:p w14:paraId="43A875A4" w14:textId="5DEDA49A" w:rsidR="008D49A5" w:rsidRDefault="008D49A5" w:rsidP="00E90780">
      <w:pPr>
        <w:pStyle w:val="Heading1"/>
        <w:numPr>
          <w:ilvl w:val="0"/>
          <w:numId w:val="25"/>
        </w:numPr>
        <w:ind w:left="851" w:hanging="851"/>
      </w:pPr>
      <w:bookmarkStart w:id="1" w:name="_Toc128481438"/>
      <w:r w:rsidRPr="00E90780">
        <w:lastRenderedPageBreak/>
        <w:t>Introduction</w:t>
      </w:r>
      <w:bookmarkEnd w:id="1"/>
    </w:p>
    <w:p w14:paraId="56D71E00" w14:textId="7A6B2FE5" w:rsidR="000950B3" w:rsidRPr="00712FD1" w:rsidRDefault="00453FC6" w:rsidP="000A51C3">
      <w:pPr>
        <w:pStyle w:val="F9-Paragraph"/>
        <w:numPr>
          <w:ilvl w:val="0"/>
          <w:numId w:val="29"/>
        </w:numPr>
        <w:ind w:left="851" w:hanging="851"/>
      </w:pPr>
      <w:bookmarkStart w:id="2" w:name="_Hlk64448648"/>
      <w:r w:rsidRPr="00453FC6">
        <w:rPr>
          <w:szCs w:val="22"/>
        </w:rPr>
        <w:t>The Office for Nuclear Regulation (ONR) has established a set of Security Assessment Principles (</w:t>
      </w:r>
      <w:proofErr w:type="spellStart"/>
      <w:r w:rsidRPr="00453FC6">
        <w:rPr>
          <w:szCs w:val="22"/>
        </w:rPr>
        <w:t>SyAPs</w:t>
      </w:r>
      <w:proofErr w:type="spellEnd"/>
      <w:r w:rsidRPr="00453FC6">
        <w:rPr>
          <w:szCs w:val="22"/>
        </w:rPr>
        <w:t>) (Reference 1). This document contains Fundamental Security Principles (</w:t>
      </w:r>
      <w:proofErr w:type="spellStart"/>
      <w:r w:rsidRPr="00453FC6">
        <w:rPr>
          <w:szCs w:val="22"/>
        </w:rPr>
        <w:t>FSyPs</w:t>
      </w:r>
      <w:proofErr w:type="spellEnd"/>
      <w:r w:rsidRPr="00453FC6">
        <w:rPr>
          <w:szCs w:val="22"/>
        </w:rPr>
        <w:t xml:space="preserve">) that </w:t>
      </w:r>
      <w:proofErr w:type="spellStart"/>
      <w:r w:rsidRPr="00453FC6">
        <w:rPr>
          <w:szCs w:val="22"/>
        </w:rPr>
        <w:t>dutyholders</w:t>
      </w:r>
      <w:proofErr w:type="spellEnd"/>
      <w:r w:rsidRPr="00453FC6">
        <w:rPr>
          <w:szCs w:val="22"/>
        </w:rPr>
        <w:t xml:space="preserve"> must demonstrate have been fully taken into account in developing their security arrangements to meet relevant legal obligations. The security regime for meeting these principles is described in security plans prepared by the </w:t>
      </w:r>
      <w:proofErr w:type="spellStart"/>
      <w:r w:rsidRPr="00453FC6">
        <w:rPr>
          <w:szCs w:val="22"/>
        </w:rPr>
        <w:t>dutyholders</w:t>
      </w:r>
      <w:proofErr w:type="spellEnd"/>
      <w:r w:rsidRPr="00453FC6">
        <w:rPr>
          <w:szCs w:val="22"/>
        </w:rPr>
        <w:t>, which are approved by ONR under the Nuclear Industries Security Regulations (NISR) 2003 (Reference 2).</w:t>
      </w:r>
    </w:p>
    <w:bookmarkEnd w:id="2"/>
    <w:p w14:paraId="24F91E15" w14:textId="18876BD2" w:rsidR="0023523C" w:rsidRDefault="00453FC6" w:rsidP="0023523C">
      <w:pPr>
        <w:pStyle w:val="F9-Paragraph"/>
      </w:pPr>
      <w:r w:rsidRPr="00721029">
        <w:rPr>
          <w:szCs w:val="22"/>
        </w:rPr>
        <w:t>The term ‘security pla</w:t>
      </w:r>
      <w:r>
        <w:rPr>
          <w:szCs w:val="22"/>
        </w:rPr>
        <w:t>n’ is used to cover all</w:t>
      </w:r>
      <w:r w:rsidRPr="00721029">
        <w:rPr>
          <w:szCs w:val="22"/>
        </w:rPr>
        <w:t xml:space="preserve"> </w:t>
      </w:r>
      <w:proofErr w:type="spellStart"/>
      <w:r w:rsidRPr="00721029">
        <w:rPr>
          <w:szCs w:val="22"/>
        </w:rPr>
        <w:t>dutyholder</w:t>
      </w:r>
      <w:proofErr w:type="spellEnd"/>
      <w:r w:rsidRPr="00721029">
        <w:rPr>
          <w:szCs w:val="22"/>
        </w:rPr>
        <w:t xml:space="preserve"> </w:t>
      </w:r>
      <w:r>
        <w:rPr>
          <w:szCs w:val="22"/>
        </w:rPr>
        <w:t>s</w:t>
      </w:r>
      <w:r w:rsidRPr="00721029">
        <w:rPr>
          <w:szCs w:val="22"/>
        </w:rPr>
        <w:t>ubmissions such as nuclear site security plans</w:t>
      </w:r>
      <w:r>
        <w:rPr>
          <w:szCs w:val="22"/>
        </w:rPr>
        <w:t>, temporary security plans, Transport Security Statements (TSS) and Transport Security Plans (</w:t>
      </w:r>
      <w:proofErr w:type="spellStart"/>
      <w:r>
        <w:rPr>
          <w:szCs w:val="22"/>
        </w:rPr>
        <w:t>TptSP</w:t>
      </w:r>
      <w:proofErr w:type="spellEnd"/>
      <w:r>
        <w:rPr>
          <w:szCs w:val="22"/>
        </w:rPr>
        <w:t xml:space="preserve">). NISR Regulation 22 </w:t>
      </w:r>
      <w:proofErr w:type="spellStart"/>
      <w:r>
        <w:rPr>
          <w:szCs w:val="22"/>
        </w:rPr>
        <w:t>dutyholders</w:t>
      </w:r>
      <w:proofErr w:type="spellEnd"/>
      <w:r>
        <w:rPr>
          <w:szCs w:val="22"/>
        </w:rPr>
        <w:t xml:space="preserve"> may also use the </w:t>
      </w:r>
      <w:proofErr w:type="spellStart"/>
      <w:r>
        <w:rPr>
          <w:szCs w:val="22"/>
        </w:rPr>
        <w:t>SyAPs</w:t>
      </w:r>
      <w:proofErr w:type="spellEnd"/>
      <w:r>
        <w:rPr>
          <w:szCs w:val="22"/>
        </w:rPr>
        <w:t xml:space="preserve"> as the basis for Cyber Security and Information Assurance (CS&amp;IA) documentation that helps them demonstrate ongoing legal compliance for the protection of Sensitive Nuclear Information (SNI). </w:t>
      </w:r>
      <w:r w:rsidRPr="00721029">
        <w:rPr>
          <w:szCs w:val="22"/>
        </w:rPr>
        <w:t xml:space="preserve">The </w:t>
      </w:r>
      <w:proofErr w:type="spellStart"/>
      <w:r w:rsidRPr="00721029">
        <w:rPr>
          <w:szCs w:val="22"/>
        </w:rPr>
        <w:t>SyAPs</w:t>
      </w:r>
      <w:proofErr w:type="spellEnd"/>
      <w:r w:rsidRPr="00721029">
        <w:rPr>
          <w:szCs w:val="22"/>
        </w:rPr>
        <w:t xml:space="preserve"> are supported by a suite of guides to assist ONR inspectors in their assessment and inspection work, and in making regulatory judgements and decisions. This Technical Assessment Guidance (TAG) is such a guide.</w:t>
      </w:r>
    </w:p>
    <w:p w14:paraId="05AAE39A" w14:textId="6D4A609A" w:rsidR="008D49A5" w:rsidRDefault="000950B3" w:rsidP="00E90780">
      <w:pPr>
        <w:pStyle w:val="Heading1"/>
      </w:pPr>
      <w:bookmarkStart w:id="3" w:name="_Toc128481439"/>
      <w:r>
        <w:t>Purpose and Scope</w:t>
      </w:r>
      <w:bookmarkEnd w:id="3"/>
    </w:p>
    <w:p w14:paraId="47D8A8E0" w14:textId="1268900A" w:rsidR="000A51C3" w:rsidRPr="00265585" w:rsidRDefault="00453FC6" w:rsidP="00046936">
      <w:pPr>
        <w:pStyle w:val="F9-Paragraph"/>
      </w:pPr>
      <w:r w:rsidRPr="00453FC6">
        <w:rPr>
          <w:szCs w:val="22"/>
        </w:rPr>
        <w:t xml:space="preserve">This TAG contains guidance to advise and inform ONR Inspectors in exercising their regulatory judgment during assessment activities relating to a Class A carrier’s TSSs and </w:t>
      </w:r>
      <w:proofErr w:type="spellStart"/>
      <w:r w:rsidRPr="00453FC6">
        <w:rPr>
          <w:szCs w:val="22"/>
        </w:rPr>
        <w:t>TptSPs</w:t>
      </w:r>
      <w:proofErr w:type="spellEnd"/>
      <w:r w:rsidRPr="00453FC6">
        <w:rPr>
          <w:szCs w:val="22"/>
        </w:rPr>
        <w:t xml:space="preserve">.  It aims to provide general advice and guidance to ONR Inspectors on how this aspect of security should be assessed. It does not set out how ONR regulates the Class A carrier’s arrangements.  It does not prescribe the detail, targets or methodologies for Class A carriers to follow in demonstrating they have addressed the </w:t>
      </w:r>
      <w:proofErr w:type="spellStart"/>
      <w:r w:rsidRPr="00453FC6">
        <w:rPr>
          <w:szCs w:val="22"/>
        </w:rPr>
        <w:t>SyAPs</w:t>
      </w:r>
      <w:proofErr w:type="spellEnd"/>
      <w:r w:rsidRPr="00453FC6">
        <w:rPr>
          <w:szCs w:val="22"/>
        </w:rPr>
        <w:t>. It is the Class A carrier’s responsibility to determine and describe this detail and for ONR to assess whether the arrangements are adequate.</w:t>
      </w:r>
    </w:p>
    <w:p w14:paraId="6E712D03" w14:textId="54971E13" w:rsidR="009E0E52" w:rsidRDefault="000950B3" w:rsidP="00E90780">
      <w:pPr>
        <w:pStyle w:val="Heading1"/>
      </w:pPr>
      <w:bookmarkStart w:id="4" w:name="_Toc128481440"/>
      <w:r>
        <w:t>Relationship to</w:t>
      </w:r>
      <w:r w:rsidR="00453FC6">
        <w:t xml:space="preserve"> </w:t>
      </w:r>
      <w:r w:rsidR="00453FC6" w:rsidRPr="00453FC6">
        <w:t>Relevant</w:t>
      </w:r>
      <w:r>
        <w:t xml:space="preserve"> Legislation</w:t>
      </w:r>
      <w:bookmarkEnd w:id="4"/>
      <w:r>
        <w:t xml:space="preserve"> </w:t>
      </w:r>
    </w:p>
    <w:p w14:paraId="79BD20CB" w14:textId="41C783DB" w:rsidR="00816657" w:rsidRDefault="00453FC6" w:rsidP="00816657">
      <w:pPr>
        <w:pStyle w:val="F9-Paragraph"/>
      </w:pPr>
      <w:r w:rsidRPr="00453FC6">
        <w:rPr>
          <w:szCs w:val="22"/>
        </w:rPr>
        <w:t xml:space="preserve">NISR defines approved carriers and requires them to have an approved TSS in accordance with Regulation 16 and </w:t>
      </w:r>
      <w:proofErr w:type="spellStart"/>
      <w:r w:rsidRPr="00453FC6">
        <w:rPr>
          <w:szCs w:val="22"/>
        </w:rPr>
        <w:t>TptSPs</w:t>
      </w:r>
      <w:proofErr w:type="spellEnd"/>
      <w:r w:rsidRPr="00453FC6">
        <w:rPr>
          <w:szCs w:val="22"/>
        </w:rPr>
        <w:t xml:space="preserve"> (when required) in accordance with Regulation 19. ONR considers the TSS and </w:t>
      </w:r>
      <w:proofErr w:type="spellStart"/>
      <w:r w:rsidRPr="00453FC6">
        <w:rPr>
          <w:szCs w:val="22"/>
        </w:rPr>
        <w:t>TptSP</w:t>
      </w:r>
      <w:proofErr w:type="spellEnd"/>
      <w:r w:rsidRPr="00453FC6">
        <w:rPr>
          <w:szCs w:val="22"/>
        </w:rPr>
        <w:t xml:space="preserve"> to be important components of a Class A carrier’s arrangements in demonstrating compliance with relevant legislation.</w:t>
      </w:r>
    </w:p>
    <w:p w14:paraId="219A98D5" w14:textId="09EF1B1A" w:rsidR="00140E1C" w:rsidRDefault="000950B3" w:rsidP="00E90780">
      <w:pPr>
        <w:pStyle w:val="Heading1"/>
      </w:pPr>
      <w:bookmarkStart w:id="5" w:name="_Toc128481441"/>
      <w:r w:rsidRPr="000950B3">
        <w:lastRenderedPageBreak/>
        <w:t xml:space="preserve">Relationship to IAEA </w:t>
      </w:r>
      <w:r w:rsidR="00265585" w:rsidRPr="00265585">
        <w:t xml:space="preserve">Documentation and </w:t>
      </w:r>
      <w:r w:rsidR="00265585">
        <w:t>G</w:t>
      </w:r>
      <w:r w:rsidR="00265585" w:rsidRPr="00265585">
        <w:t>uidance</w:t>
      </w:r>
      <w:bookmarkEnd w:id="5"/>
    </w:p>
    <w:p w14:paraId="05611D9C" w14:textId="4E3C8D5F" w:rsidR="00816657" w:rsidRDefault="00C73F40" w:rsidP="00816657">
      <w:pPr>
        <w:pStyle w:val="F9-Paragraph"/>
      </w:pPr>
      <w:r w:rsidRPr="00C73F40">
        <w:t xml:space="preserve">The essential elements of a national nuclear security regime are set out in the Convention on the Physical Protection of Nuclear Material (CPPNM) (Reference 3) and the </w:t>
      </w:r>
      <w:r w:rsidR="000149D6">
        <w:t>International Atomic Energy Agency (</w:t>
      </w:r>
      <w:r w:rsidRPr="00C73F40">
        <w:t>IAEA</w:t>
      </w:r>
      <w:r w:rsidR="000149D6">
        <w:t>)</w:t>
      </w:r>
      <w:r w:rsidRPr="00C73F40">
        <w:t xml:space="preserve"> Nuclear Security Fundamentals (Reference 4). Further guidance is available within IAEA Technical Guidance and Implementing Guides.</w:t>
      </w:r>
    </w:p>
    <w:p w14:paraId="79B9A623" w14:textId="49963A5F" w:rsidR="00816657" w:rsidRDefault="00C73F40" w:rsidP="00816657">
      <w:pPr>
        <w:pStyle w:val="F9-Paragraph"/>
      </w:pPr>
      <w:r w:rsidRPr="00C73F40">
        <w:t xml:space="preserve">Fundamental Principle B of the CPPNM refers to the responsibilities of the state during international shipments of </w:t>
      </w:r>
      <w:r w:rsidR="000149D6">
        <w:t xml:space="preserve">Nuclear </w:t>
      </w:r>
      <w:r w:rsidR="0030113B">
        <w:t>Material (</w:t>
      </w:r>
      <w:r w:rsidRPr="00C73F40">
        <w:t>NM</w:t>
      </w:r>
      <w:r w:rsidR="0030113B">
        <w:t>)</w:t>
      </w:r>
      <w:r w:rsidRPr="00C73F40">
        <w:t>. Fundamental Principle E describes the security responsibilities of Class A carriers.</w:t>
      </w:r>
    </w:p>
    <w:p w14:paraId="526D5A0B" w14:textId="01F93373" w:rsidR="00C73F40" w:rsidRDefault="00C73F40" w:rsidP="00816657">
      <w:pPr>
        <w:pStyle w:val="F9-Paragraph"/>
      </w:pPr>
      <w:r w:rsidRPr="00C73F40">
        <w:t xml:space="preserve">A more detailed description of the elements is provided in Recommendations level guidance, specifically Nuclear Security Series (NSS) 13, Recommendations on Physical Protection of Nuclear Material and Nuclear Facilities (INFCIRC/225/Revision 5) (Reference 5). Part 6 of that document identifies the requirements for measures against the theft and sabotage of NM during transport. The Implementing Guide NSS 26G </w:t>
      </w:r>
      <w:r w:rsidR="00F352A6">
        <w:t>(Reference 6)</w:t>
      </w:r>
      <w:r w:rsidR="007C23D3">
        <w:t xml:space="preserve"> </w:t>
      </w:r>
      <w:r w:rsidRPr="00C73F40">
        <w:t>further builds upon the recommendations in NSS 13.</w:t>
      </w:r>
    </w:p>
    <w:p w14:paraId="3B2BD30E" w14:textId="2DF01B25" w:rsidR="004E6CB9" w:rsidRDefault="004E6CB9" w:rsidP="004E6CB9">
      <w:pPr>
        <w:pStyle w:val="Heading1"/>
      </w:pPr>
      <w:bookmarkStart w:id="6" w:name="_Toc476902171"/>
      <w:bookmarkStart w:id="7" w:name="_Toc128481442"/>
      <w:r>
        <w:t>Relationship to National Policy Documents</w:t>
      </w:r>
      <w:bookmarkEnd w:id="6"/>
      <w:bookmarkEnd w:id="7"/>
    </w:p>
    <w:p w14:paraId="7CD9E500" w14:textId="1A3A220B" w:rsidR="004E6CB9" w:rsidRDefault="00C73F40" w:rsidP="00816657">
      <w:pPr>
        <w:pStyle w:val="F9-Paragraph"/>
      </w:pPr>
      <w:r w:rsidRPr="00C73F40">
        <w:rPr>
          <w:szCs w:val="22"/>
        </w:rPr>
        <w:t xml:space="preserve">The </w:t>
      </w:r>
      <w:proofErr w:type="spellStart"/>
      <w:r w:rsidRPr="00C73F40">
        <w:rPr>
          <w:szCs w:val="22"/>
        </w:rPr>
        <w:t>SyAPs</w:t>
      </w:r>
      <w:proofErr w:type="spellEnd"/>
      <w:r w:rsidRPr="00C73F40">
        <w:rPr>
          <w:szCs w:val="22"/>
        </w:rPr>
        <w:t xml:space="preserve"> provide ONR inspectors with a framework for making consistent regulatory judgements on the effectiveness of a </w:t>
      </w:r>
      <w:proofErr w:type="spellStart"/>
      <w:r w:rsidRPr="00C73F40">
        <w:rPr>
          <w:szCs w:val="22"/>
        </w:rPr>
        <w:t>dutyholder’s</w:t>
      </w:r>
      <w:proofErr w:type="spellEnd"/>
      <w:r w:rsidRPr="00C73F40">
        <w:rPr>
          <w:szCs w:val="22"/>
        </w:rPr>
        <w:t xml:space="preserve"> security arrangements.  This TAG provides guidance to ONR inspectors when assessing a Class A carrier’s TSS and </w:t>
      </w:r>
      <w:proofErr w:type="spellStart"/>
      <w:r w:rsidRPr="00C73F40">
        <w:rPr>
          <w:szCs w:val="22"/>
        </w:rPr>
        <w:t>TptSP</w:t>
      </w:r>
      <w:proofErr w:type="spellEnd"/>
      <w:r w:rsidRPr="00C73F40">
        <w:rPr>
          <w:szCs w:val="22"/>
        </w:rPr>
        <w:t>.</w:t>
      </w:r>
    </w:p>
    <w:p w14:paraId="1AB1A3B6" w14:textId="4F22481D" w:rsidR="004E6CB9" w:rsidRDefault="00451ED6" w:rsidP="00816657">
      <w:pPr>
        <w:pStyle w:val="F9-Paragraph"/>
      </w:pPr>
      <w:r>
        <w:rPr>
          <w:szCs w:val="22"/>
        </w:rPr>
        <w:t>Government Functional Standard 007: Security (</w:t>
      </w:r>
      <w:proofErr w:type="spellStart"/>
      <w:r>
        <w:rPr>
          <w:szCs w:val="22"/>
        </w:rPr>
        <w:t>GovS</w:t>
      </w:r>
      <w:proofErr w:type="spellEnd"/>
      <w:r>
        <w:rPr>
          <w:szCs w:val="22"/>
        </w:rPr>
        <w:t xml:space="preserve"> 007) </w:t>
      </w:r>
      <w:r w:rsidR="00C73F40" w:rsidRPr="008D2DF9">
        <w:rPr>
          <w:szCs w:val="22"/>
        </w:rPr>
        <w:t xml:space="preserve">describes the Cabinet Secretary’s expectations of how HMG organisations and third parties handling HMG information and other assets will apply protective security to ensure HMG can function effectively, efficiently and securely. The security outcomes and requirements detailed in the SPF have been incorporated within the </w:t>
      </w:r>
      <w:proofErr w:type="spellStart"/>
      <w:r w:rsidR="00C73F40" w:rsidRPr="008D2DF9">
        <w:rPr>
          <w:szCs w:val="22"/>
        </w:rPr>
        <w:t>SyAPs</w:t>
      </w:r>
      <w:proofErr w:type="spellEnd"/>
      <w:r w:rsidR="00C73F40" w:rsidRPr="008D2DF9">
        <w:rPr>
          <w:szCs w:val="22"/>
        </w:rPr>
        <w:t xml:space="preserve">. This ensures that </w:t>
      </w:r>
      <w:r w:rsidR="00C73F40">
        <w:rPr>
          <w:szCs w:val="22"/>
        </w:rPr>
        <w:t>Class A carriers</w:t>
      </w:r>
      <w:r w:rsidR="00C73F40" w:rsidRPr="008D2DF9">
        <w:rPr>
          <w:szCs w:val="22"/>
        </w:rPr>
        <w:t xml:space="preserve"> are presented with a coherent set of expectations for the protection of </w:t>
      </w:r>
      <w:r w:rsidR="00C73F40">
        <w:rPr>
          <w:szCs w:val="22"/>
        </w:rPr>
        <w:t>NM in transit</w:t>
      </w:r>
      <w:r w:rsidR="00C73F40" w:rsidRPr="008D2DF9">
        <w:rPr>
          <w:szCs w:val="22"/>
        </w:rPr>
        <w:t>, SNI and the employment of appropriate personnel security controls both on and off nuclear premises</w:t>
      </w:r>
    </w:p>
    <w:p w14:paraId="1C21D31E" w14:textId="4C5AF2C6" w:rsidR="00F7687C" w:rsidRDefault="00C73F40" w:rsidP="00816657">
      <w:pPr>
        <w:pStyle w:val="F9-Paragraph"/>
      </w:pPr>
      <w:r w:rsidRPr="00721029">
        <w:rPr>
          <w:szCs w:val="22"/>
        </w:rPr>
        <w:t xml:space="preserve">The Classification Policy (Reference </w:t>
      </w:r>
      <w:r w:rsidR="00AC2A54">
        <w:rPr>
          <w:szCs w:val="22"/>
        </w:rPr>
        <w:t>8</w:t>
      </w:r>
      <w:r w:rsidRPr="00721029">
        <w:rPr>
          <w:szCs w:val="22"/>
        </w:rPr>
        <w:t>) ind</w:t>
      </w:r>
      <w:r>
        <w:rPr>
          <w:szCs w:val="22"/>
        </w:rPr>
        <w:t xml:space="preserve">icates those categories of SNI which </w:t>
      </w:r>
      <w:r w:rsidRPr="00721029">
        <w:rPr>
          <w:szCs w:val="22"/>
        </w:rPr>
        <w:t xml:space="preserve">require protection and the level of </w:t>
      </w:r>
      <w:r>
        <w:rPr>
          <w:szCs w:val="22"/>
        </w:rPr>
        <w:t>security classification</w:t>
      </w:r>
      <w:r w:rsidRPr="00721029">
        <w:rPr>
          <w:szCs w:val="22"/>
        </w:rPr>
        <w:t xml:space="preserve"> to be applied.</w:t>
      </w:r>
    </w:p>
    <w:p w14:paraId="43D23281" w14:textId="77777777" w:rsidR="001F407A" w:rsidRDefault="001F407A">
      <w:pPr>
        <w:spacing w:after="0" w:line="240" w:lineRule="auto"/>
        <w:rPr>
          <w:color w:val="22413A"/>
          <w:sz w:val="48"/>
        </w:rPr>
      </w:pPr>
      <w:bookmarkStart w:id="8" w:name="_Toc128481443"/>
      <w:r>
        <w:br w:type="page"/>
      </w:r>
    </w:p>
    <w:p w14:paraId="5255232C" w14:textId="54545F20" w:rsidR="00F7687C" w:rsidRDefault="00F7687C" w:rsidP="00E90780">
      <w:pPr>
        <w:pStyle w:val="Heading1"/>
      </w:pPr>
      <w:r>
        <w:lastRenderedPageBreak/>
        <w:t>Advice to Inspectors</w:t>
      </w:r>
      <w:bookmarkEnd w:id="8"/>
    </w:p>
    <w:p w14:paraId="5A0ABB89" w14:textId="6BFC878B" w:rsidR="00C73F40" w:rsidRDefault="00C73F40" w:rsidP="00C73F40">
      <w:pPr>
        <w:pStyle w:val="F9-Paragraph"/>
        <w:numPr>
          <w:ilvl w:val="0"/>
          <w:numId w:val="0"/>
        </w:numPr>
        <w:ind w:left="851"/>
      </w:pPr>
      <w:r w:rsidRPr="00C73F40">
        <w:rPr>
          <w:b/>
        </w:rPr>
        <w:t>Objective</w:t>
      </w:r>
    </w:p>
    <w:p w14:paraId="6718FEBE" w14:textId="59BBE3BF" w:rsidR="00593B7D" w:rsidRDefault="00C73F40" w:rsidP="000A51C3">
      <w:pPr>
        <w:pStyle w:val="F9-Paragraph"/>
      </w:pPr>
      <w:r>
        <w:t xml:space="preserve">The objective of nuclear transport security is to prevent the theft and/or sabotage of NM in transit outside nuclear premises. </w:t>
      </w:r>
      <w:r w:rsidRPr="00780A3D">
        <w:t xml:space="preserve">Nuclear </w:t>
      </w:r>
      <w:r>
        <w:t xml:space="preserve">transport </w:t>
      </w:r>
      <w:r w:rsidRPr="00780A3D">
        <w:t>securi</w:t>
      </w:r>
      <w:r>
        <w:t>ty encompasses all aspects of nuclear security, not just the immediate physical protection of NM being transported outside of nuclear premises.</w:t>
      </w:r>
    </w:p>
    <w:p w14:paraId="5D19A316" w14:textId="7D3E0E6C" w:rsidR="00CD5C5D" w:rsidRPr="00CD5C5D" w:rsidRDefault="00CD5C5D" w:rsidP="00CD5C5D">
      <w:pPr>
        <w:pStyle w:val="F9-Paragraph"/>
        <w:numPr>
          <w:ilvl w:val="0"/>
          <w:numId w:val="0"/>
        </w:numPr>
        <w:ind w:left="851"/>
        <w:rPr>
          <w:b/>
          <w:bCs/>
        </w:rPr>
      </w:pPr>
    </w:p>
    <w:tbl>
      <w:tblPr>
        <w:tblStyle w:val="ONRTable1"/>
        <w:tblW w:w="7371" w:type="dxa"/>
        <w:jc w:val="center"/>
        <w:tblInd w:w="0" w:type="dxa"/>
        <w:tblLook w:val="04A0" w:firstRow="1" w:lastRow="0" w:firstColumn="1" w:lastColumn="0" w:noHBand="0" w:noVBand="1"/>
      </w:tblPr>
      <w:tblGrid>
        <w:gridCol w:w="2977"/>
        <w:gridCol w:w="3119"/>
        <w:gridCol w:w="1275"/>
      </w:tblGrid>
      <w:tr w:rsidR="00CD5C5D" w:rsidRPr="000A51C3" w14:paraId="7ABEA302" w14:textId="77777777" w:rsidTr="0000105B">
        <w:trPr>
          <w:cnfStyle w:val="100000000000" w:firstRow="1" w:lastRow="0" w:firstColumn="0" w:lastColumn="0" w:oddVBand="0" w:evenVBand="0" w:oddHBand="0" w:evenHBand="0" w:firstRowFirstColumn="0" w:firstRowLastColumn="0" w:lastRowFirstColumn="0" w:lastRowLastColumn="0"/>
          <w:jc w:val="center"/>
        </w:trPr>
        <w:tc>
          <w:tcPr>
            <w:tcW w:w="2977" w:type="dxa"/>
            <w:vAlign w:val="center"/>
            <w:hideMark/>
          </w:tcPr>
          <w:p w14:paraId="3B925E68" w14:textId="24513C32" w:rsidR="00CD5C5D" w:rsidRPr="000A51C3" w:rsidRDefault="00C73F40" w:rsidP="00D253A7">
            <w:pPr>
              <w:pStyle w:val="TableText"/>
              <w:keepNext/>
              <w:rPr>
                <w:b w:val="0"/>
                <w:bCs/>
              </w:rPr>
            </w:pPr>
            <w:proofErr w:type="spellStart"/>
            <w:r w:rsidRPr="00C73F40">
              <w:t>FSyP</w:t>
            </w:r>
            <w:proofErr w:type="spellEnd"/>
            <w:r w:rsidRPr="00C73F40">
              <w:t xml:space="preserve">  6 – Physical Protection Systems</w:t>
            </w:r>
          </w:p>
        </w:tc>
        <w:tc>
          <w:tcPr>
            <w:tcW w:w="3119" w:type="dxa"/>
            <w:vAlign w:val="center"/>
          </w:tcPr>
          <w:p w14:paraId="793C8655" w14:textId="6A879892" w:rsidR="00CD5C5D" w:rsidRPr="000A51C3" w:rsidRDefault="00C73F40" w:rsidP="00D253A7">
            <w:pPr>
              <w:pStyle w:val="TableText"/>
              <w:keepNext/>
              <w:rPr>
                <w:b w:val="0"/>
                <w:bCs/>
              </w:rPr>
            </w:pPr>
            <w:r w:rsidRPr="00C73F40">
              <w:rPr>
                <w:b w:val="0"/>
                <w:bCs/>
              </w:rPr>
              <w:t>Protection of Nuclear Material During Offsite Transportation</w:t>
            </w:r>
          </w:p>
        </w:tc>
        <w:tc>
          <w:tcPr>
            <w:tcW w:w="1275" w:type="dxa"/>
            <w:vAlign w:val="center"/>
          </w:tcPr>
          <w:p w14:paraId="21FA60D1" w14:textId="4EC9A9B9" w:rsidR="00CD5C5D" w:rsidRPr="000A51C3" w:rsidRDefault="00CD5C5D" w:rsidP="00D253A7">
            <w:pPr>
              <w:pStyle w:val="TableText"/>
              <w:keepNext/>
              <w:rPr>
                <w:b w:val="0"/>
                <w:bCs/>
              </w:rPr>
            </w:pPr>
            <w:proofErr w:type="spellStart"/>
            <w:r w:rsidRPr="00CD5C5D">
              <w:rPr>
                <w:b w:val="0"/>
                <w:bCs/>
              </w:rPr>
              <w:t>SyDP</w:t>
            </w:r>
            <w:proofErr w:type="spellEnd"/>
            <w:r w:rsidRPr="00CD5C5D">
              <w:rPr>
                <w:b w:val="0"/>
                <w:bCs/>
              </w:rPr>
              <w:t xml:space="preserve"> </w:t>
            </w:r>
            <w:r w:rsidR="00C73F40">
              <w:rPr>
                <w:b w:val="0"/>
                <w:bCs/>
              </w:rPr>
              <w:t>6</w:t>
            </w:r>
            <w:r w:rsidRPr="00CD5C5D">
              <w:rPr>
                <w:b w:val="0"/>
                <w:bCs/>
              </w:rPr>
              <w:t>.</w:t>
            </w:r>
            <w:r w:rsidR="00C73F40">
              <w:rPr>
                <w:b w:val="0"/>
                <w:bCs/>
              </w:rPr>
              <w:t>7</w:t>
            </w:r>
          </w:p>
        </w:tc>
      </w:tr>
      <w:tr w:rsidR="0000105B" w14:paraId="0F05C49A" w14:textId="77777777" w:rsidTr="000A0298">
        <w:trPr>
          <w:trHeight w:val="885"/>
          <w:jc w:val="center"/>
        </w:trPr>
        <w:tc>
          <w:tcPr>
            <w:tcW w:w="7371" w:type="dxa"/>
            <w:gridSpan w:val="3"/>
            <w:hideMark/>
          </w:tcPr>
          <w:p w14:paraId="04E33E07" w14:textId="234F39A6" w:rsidR="0000105B" w:rsidRPr="000A51C3" w:rsidRDefault="00C73F40" w:rsidP="00D253A7">
            <w:pPr>
              <w:pStyle w:val="TableText"/>
              <w:rPr>
                <w:sz w:val="22"/>
                <w:szCs w:val="20"/>
              </w:rPr>
            </w:pPr>
            <w:proofErr w:type="spellStart"/>
            <w:r w:rsidRPr="006560A7">
              <w:t>Dutyholders</w:t>
            </w:r>
            <w:proofErr w:type="spellEnd"/>
            <w:r w:rsidRPr="006560A7">
              <w:t xml:space="preserve"> should </w:t>
            </w:r>
            <w:r>
              <w:t>maintain arrangements to ensure the protection of Category I - III quantities of Nuclear Material against theft and sabotage whilst in transit.</w:t>
            </w:r>
          </w:p>
        </w:tc>
      </w:tr>
    </w:tbl>
    <w:p w14:paraId="042B833F" w14:textId="36F5978E" w:rsidR="00CD5C5D" w:rsidRDefault="007976F3" w:rsidP="007976F3">
      <w:pPr>
        <w:pStyle w:val="F9-Paragraph"/>
        <w:numPr>
          <w:ilvl w:val="0"/>
          <w:numId w:val="0"/>
        </w:numPr>
        <w:ind w:left="851"/>
      </w:pPr>
      <w:r w:rsidRPr="007976F3">
        <w:rPr>
          <w:b/>
        </w:rPr>
        <w:t>Carrier’s Responsibility</w:t>
      </w:r>
    </w:p>
    <w:p w14:paraId="265E6E73" w14:textId="7B89CADE" w:rsidR="007976F3" w:rsidRDefault="007976F3" w:rsidP="007976F3">
      <w:pPr>
        <w:pStyle w:val="F9-Paragraph"/>
      </w:pPr>
      <w:r w:rsidRPr="007976F3">
        <w:rPr>
          <w:lang w:val="en-US"/>
        </w:rPr>
        <w:t xml:space="preserve">Class A carriers are responsible for the leadership, implementation, operation and maintenance of security arrangements to protect the public from the risks arising from a radiological event caused by the theft or sabotage of NM whilst being transported outside of nuclear premises. Consequently, Class A carriers’ security plans should be assessed against the broader framework provided by </w:t>
      </w:r>
      <w:proofErr w:type="spellStart"/>
      <w:r w:rsidRPr="007976F3">
        <w:rPr>
          <w:lang w:val="en-US"/>
        </w:rPr>
        <w:t>SyAPs</w:t>
      </w:r>
      <w:proofErr w:type="spellEnd"/>
      <w:r w:rsidRPr="007976F3">
        <w:rPr>
          <w:lang w:val="en-US"/>
        </w:rPr>
        <w:t xml:space="preserve"> (and associated TAGs) and in accordance with the principles (based upon IAEA guidance) detailed below.</w:t>
      </w:r>
    </w:p>
    <w:p w14:paraId="49A1FCB7" w14:textId="63E8E72F" w:rsidR="007976F3" w:rsidRDefault="007976F3" w:rsidP="007976F3">
      <w:pPr>
        <w:pStyle w:val="F9-Paragraph"/>
        <w:numPr>
          <w:ilvl w:val="0"/>
          <w:numId w:val="0"/>
        </w:numPr>
        <w:ind w:left="851"/>
      </w:pPr>
      <w:r w:rsidRPr="007976F3">
        <w:rPr>
          <w:b/>
          <w:bCs/>
        </w:rPr>
        <w:t>Principles of Nuclear Transport Security</w:t>
      </w:r>
    </w:p>
    <w:p w14:paraId="60648DEC" w14:textId="4A5DCA0D" w:rsidR="007976F3" w:rsidRPr="007976F3" w:rsidRDefault="007976F3" w:rsidP="007976F3">
      <w:pPr>
        <w:pStyle w:val="F9-Paragraph"/>
      </w:pPr>
      <w:r w:rsidRPr="007976F3">
        <w:rPr>
          <w:bCs/>
        </w:rPr>
        <w:t>The principles of nuclear transport security are as follows:</w:t>
      </w:r>
    </w:p>
    <w:p w14:paraId="0B1D2726" w14:textId="4DB756A7" w:rsidR="007976F3" w:rsidRDefault="007976F3" w:rsidP="007976F3">
      <w:pPr>
        <w:pStyle w:val="Bulletlist1"/>
      </w:pPr>
      <w:r w:rsidRPr="007976F3">
        <w:t>NM should only be transported outside of nuclear premises when absolutely necessary.</w:t>
      </w:r>
    </w:p>
    <w:p w14:paraId="0BCA2987" w14:textId="5EC9976F" w:rsidR="007976F3" w:rsidRDefault="007976F3" w:rsidP="007976F3">
      <w:pPr>
        <w:pStyle w:val="Bulletlist1"/>
      </w:pPr>
      <w:r w:rsidRPr="00505CE9">
        <w:rPr>
          <w:lang w:eastAsia="en-GB"/>
        </w:rPr>
        <w:t>All transport journeys should be as short as possible</w:t>
      </w:r>
      <w:r>
        <w:rPr>
          <w:lang w:eastAsia="en-GB"/>
        </w:rPr>
        <w:t xml:space="preserve"> </w:t>
      </w:r>
      <w:r w:rsidRPr="00505CE9">
        <w:rPr>
          <w:lang w:eastAsia="en-GB"/>
        </w:rPr>
        <w:t>(commensurate with safety and logistical considerations</w:t>
      </w:r>
      <w:r>
        <w:rPr>
          <w:lang w:eastAsia="en-GB"/>
        </w:rPr>
        <w:t>).</w:t>
      </w:r>
    </w:p>
    <w:p w14:paraId="76C37608" w14:textId="4AC794D1" w:rsidR="007976F3" w:rsidRDefault="007976F3" w:rsidP="007976F3">
      <w:pPr>
        <w:pStyle w:val="Bulletlist1"/>
      </w:pPr>
      <w:r>
        <w:rPr>
          <w:lang w:eastAsia="en-GB"/>
        </w:rPr>
        <w:t>The number of intermodal transfers should be kept to the minimum.</w:t>
      </w:r>
    </w:p>
    <w:p w14:paraId="65A4F04A" w14:textId="35623DA5" w:rsidR="007976F3" w:rsidRDefault="007976F3" w:rsidP="007976F3">
      <w:pPr>
        <w:pStyle w:val="Bulletlist1"/>
      </w:pPr>
      <w:r w:rsidRPr="007976F3">
        <w:t>No patterns relating to routes or timings should be established.</w:t>
      </w:r>
    </w:p>
    <w:p w14:paraId="14E3AB06" w14:textId="3E021781" w:rsidR="007976F3" w:rsidRDefault="0024465C" w:rsidP="007976F3">
      <w:pPr>
        <w:pStyle w:val="Bulletlist1"/>
      </w:pPr>
      <w:r w:rsidRPr="0024465C">
        <w:t>NM in transit should not be left unattended.</w:t>
      </w:r>
    </w:p>
    <w:p w14:paraId="714C7625" w14:textId="32ED0735" w:rsidR="0024465C" w:rsidRDefault="0024465C" w:rsidP="007976F3">
      <w:pPr>
        <w:pStyle w:val="Bulletlist1"/>
      </w:pPr>
      <w:r w:rsidRPr="00B540E1">
        <w:rPr>
          <w:lang w:eastAsia="en-GB"/>
        </w:rPr>
        <w:t xml:space="preserve">Nuclear transportation should be appropriately protected through a graded approach to defence in depth based upon an appropriate design basis threat including appropriate measures to: </w:t>
      </w:r>
      <w:r>
        <w:rPr>
          <w:lang w:eastAsia="en-GB"/>
        </w:rPr>
        <w:t xml:space="preserve">delay, </w:t>
      </w:r>
      <w:r w:rsidRPr="00B540E1">
        <w:rPr>
          <w:lang w:eastAsia="en-GB"/>
        </w:rPr>
        <w:t xml:space="preserve">detect, </w:t>
      </w:r>
      <w:r>
        <w:rPr>
          <w:lang w:eastAsia="en-GB"/>
        </w:rPr>
        <w:t xml:space="preserve">assess and </w:t>
      </w:r>
      <w:r w:rsidRPr="00B540E1">
        <w:rPr>
          <w:lang w:eastAsia="en-GB"/>
        </w:rPr>
        <w:t>respond to</w:t>
      </w:r>
      <w:r>
        <w:rPr>
          <w:lang w:eastAsia="en-GB"/>
        </w:rPr>
        <w:t xml:space="preserve"> any malicious activity (including ‘insiders') in </w:t>
      </w:r>
      <w:r>
        <w:rPr>
          <w:lang w:eastAsia="en-GB"/>
        </w:rPr>
        <w:lastRenderedPageBreak/>
        <w:t xml:space="preserve">order to achieve the required Physical Protection </w:t>
      </w:r>
      <w:r w:rsidR="009C2982">
        <w:rPr>
          <w:lang w:eastAsia="en-GB"/>
        </w:rPr>
        <w:t>System</w:t>
      </w:r>
      <w:r>
        <w:rPr>
          <w:lang w:eastAsia="en-GB"/>
        </w:rPr>
        <w:t xml:space="preserve"> (PPS) response and required effect</w:t>
      </w:r>
      <w:r>
        <w:rPr>
          <w:rStyle w:val="FootnoteReference"/>
          <w:lang w:eastAsia="en-GB"/>
        </w:rPr>
        <w:footnoteReference w:id="2"/>
      </w:r>
      <w:r>
        <w:rPr>
          <w:lang w:eastAsia="en-GB"/>
        </w:rPr>
        <w:t>.</w:t>
      </w:r>
    </w:p>
    <w:p w14:paraId="2469A043" w14:textId="6A9B69B1" w:rsidR="0024465C" w:rsidRDefault="0024465C" w:rsidP="007976F3">
      <w:pPr>
        <w:pStyle w:val="Bulletlist1"/>
      </w:pPr>
      <w:r w:rsidRPr="0024465C">
        <w:t>All nuclear transportation should be appropriately tracked to enable its location to be known at all times.</w:t>
      </w:r>
    </w:p>
    <w:p w14:paraId="6732A0F0" w14:textId="5702FE58" w:rsidR="0024465C" w:rsidRDefault="0024465C" w:rsidP="007976F3">
      <w:pPr>
        <w:pStyle w:val="Bulletlist1"/>
      </w:pPr>
      <w:r w:rsidRPr="0024465C">
        <w:t>All transport journeys should be preceded by appropriate security planning and notifications and movements are co-ordinated with relevant agencies and organisations.</w:t>
      </w:r>
    </w:p>
    <w:p w14:paraId="28E46C6F" w14:textId="59D5C042" w:rsidR="0024465C" w:rsidRDefault="0024465C" w:rsidP="007976F3">
      <w:pPr>
        <w:pStyle w:val="Bulletlist1"/>
      </w:pPr>
      <w:r w:rsidRPr="0024465C">
        <w:t>Operational Technology (OT) associated with the movement of NM should be appropriately protected from compromise.</w:t>
      </w:r>
    </w:p>
    <w:p w14:paraId="783D96F3" w14:textId="6B9DD1BE" w:rsidR="0024465C" w:rsidRDefault="0024465C" w:rsidP="007976F3">
      <w:pPr>
        <w:pStyle w:val="Bulletlist1"/>
      </w:pPr>
      <w:r w:rsidRPr="0024465C">
        <w:t>Information relating to the movement of NM should be appropriately protected and shared on a ‘need to know’ basis.</w:t>
      </w:r>
    </w:p>
    <w:p w14:paraId="208445DC" w14:textId="55474417" w:rsidR="0024465C" w:rsidRDefault="0024465C" w:rsidP="007976F3">
      <w:pPr>
        <w:pStyle w:val="Bulletlist1"/>
      </w:pPr>
      <w:r w:rsidRPr="0024465C">
        <w:t>NM in transit should not be unnecessarily exposed to known human hazards.</w:t>
      </w:r>
    </w:p>
    <w:p w14:paraId="2A0C00B8" w14:textId="2938C2DC" w:rsidR="0024465C" w:rsidRDefault="0024465C" w:rsidP="007976F3">
      <w:pPr>
        <w:pStyle w:val="Bulletlist1"/>
      </w:pPr>
      <w:r w:rsidRPr="0024465C">
        <w:t>Contingency plans should be prepared and practised to ensure that appropriate procedures can be implemented in response to reasonably foreseeable incidents, including security incidents.</w:t>
      </w:r>
    </w:p>
    <w:p w14:paraId="44606C1B" w14:textId="31549870" w:rsidR="007976F3" w:rsidRDefault="0024465C" w:rsidP="0024465C">
      <w:pPr>
        <w:pStyle w:val="F9-Paragraph"/>
        <w:numPr>
          <w:ilvl w:val="0"/>
          <w:numId w:val="0"/>
        </w:numPr>
        <w:ind w:left="851"/>
      </w:pPr>
      <w:r w:rsidRPr="0024465C">
        <w:rPr>
          <w:b/>
          <w:bCs/>
        </w:rPr>
        <w:t>Transport Security Statements</w:t>
      </w:r>
    </w:p>
    <w:p w14:paraId="654A73E4" w14:textId="543B0F01" w:rsidR="007976F3" w:rsidRPr="0024465C" w:rsidRDefault="0024465C" w:rsidP="007976F3">
      <w:pPr>
        <w:pStyle w:val="F9-Paragraph"/>
      </w:pPr>
      <w:r w:rsidRPr="0024465C">
        <w:rPr>
          <w:bCs/>
        </w:rPr>
        <w:t>A TSS should clearly describe the standards, procedures and arrangements that demonstrate that a Class A carrier’s nuclear transport security regime complies with the requirements of NISR and all relevant Fundamental Security Principles, is appropriate and facilitates the secure transportation of NM. It should provide sufficient information to demonstrate to an Inspector that nuclear transport security is being applied by the carrier in a proportionate and consistent manner. A TSS should be:</w:t>
      </w:r>
    </w:p>
    <w:p w14:paraId="78BB6AE2" w14:textId="6CF3A538" w:rsidR="0024465C" w:rsidRDefault="0024465C" w:rsidP="0024465C">
      <w:pPr>
        <w:pStyle w:val="Bulletlist1"/>
      </w:pPr>
      <w:r w:rsidRPr="0024465C">
        <w:rPr>
          <w:b/>
        </w:rPr>
        <w:t>Complete</w:t>
      </w:r>
      <w:r w:rsidRPr="0024465C">
        <w:t>: The TSS should describe all the relevant standards, procedures and arrangements (supported by appropriate evidence) that show a carrier can achieve the required security outcomes for NM in transport. The TSS should not just be a description of a carrier’s PPS and Cyber Protection System (CPS) but should include associated security governance, management and assurance arrangements and the criteria used in nuclear security decision-making.</w:t>
      </w:r>
    </w:p>
    <w:p w14:paraId="5A163F97" w14:textId="43283E8A" w:rsidR="0024465C" w:rsidRDefault="00BC15FD" w:rsidP="0024465C">
      <w:pPr>
        <w:pStyle w:val="Bulletlist1"/>
      </w:pPr>
      <w:r w:rsidRPr="00BC15FD">
        <w:rPr>
          <w:b/>
        </w:rPr>
        <w:t>Clear</w:t>
      </w:r>
      <w:r w:rsidRPr="00BC15FD">
        <w:t>: The TSS should clearly articulate how all the security functions (and the structures, systems and components that are needed to deliver these security functions) will prevent or mitigate any unauthorised removal or sabotage of NM during transport.</w:t>
      </w:r>
    </w:p>
    <w:p w14:paraId="79F3FBB0" w14:textId="08336252" w:rsidR="00BC15FD" w:rsidRDefault="00BC15FD" w:rsidP="0024465C">
      <w:pPr>
        <w:pStyle w:val="Bulletlist1"/>
      </w:pPr>
      <w:r w:rsidRPr="00BC15FD">
        <w:rPr>
          <w:b/>
        </w:rPr>
        <w:lastRenderedPageBreak/>
        <w:t>Current</w:t>
      </w:r>
      <w:r w:rsidRPr="00BC15FD">
        <w:t>:</w:t>
      </w:r>
      <w:r w:rsidRPr="00BC15FD">
        <w:rPr>
          <w:b/>
        </w:rPr>
        <w:t xml:space="preserve"> </w:t>
      </w:r>
      <w:r w:rsidRPr="00BC15FD">
        <w:t>The TSS should be reviewed, revised and updated to ensure it remains accurate, relevant, and reflects relevant good practice and any lessons identified so that the carrier can continue to achieve the required security outcomes.</w:t>
      </w:r>
    </w:p>
    <w:p w14:paraId="4195AC23" w14:textId="4A5D86A1" w:rsidR="007976F3" w:rsidRDefault="00BC15FD" w:rsidP="00BC15FD">
      <w:pPr>
        <w:pStyle w:val="F9-Paragraph"/>
        <w:numPr>
          <w:ilvl w:val="0"/>
          <w:numId w:val="0"/>
        </w:numPr>
        <w:ind w:left="851"/>
      </w:pPr>
      <w:r w:rsidRPr="00BC15FD">
        <w:rPr>
          <w:b/>
          <w:bCs/>
        </w:rPr>
        <w:t>Inspectors should consider</w:t>
      </w:r>
      <w:r w:rsidRPr="00BC15FD">
        <w:rPr>
          <w:bCs/>
        </w:rPr>
        <w:t>:</w:t>
      </w:r>
    </w:p>
    <w:p w14:paraId="737CD4FA" w14:textId="491A11C4" w:rsidR="007976F3" w:rsidRDefault="0093436A" w:rsidP="0093436A">
      <w:pPr>
        <w:pStyle w:val="Bulletlist1"/>
      </w:pPr>
      <w:r w:rsidRPr="0093436A">
        <w:t>Whether a carrier has sufficiently effective leadership and governance and independent evidence-based assurance processes to support an appropriate nuclear transport security regime.</w:t>
      </w:r>
    </w:p>
    <w:p w14:paraId="08285DCE" w14:textId="6907F65E" w:rsidR="0093436A" w:rsidRDefault="0093436A" w:rsidP="0093436A">
      <w:pPr>
        <w:pStyle w:val="Bulletlist1"/>
      </w:pPr>
      <w:r w:rsidRPr="0093436A">
        <w:t>Whether a carrier understands their specific legal responsibilities under NISR 2003, including their responsibility to report security incidents and events to ONR.</w:t>
      </w:r>
    </w:p>
    <w:p w14:paraId="71835494" w14:textId="3DC9241B" w:rsidR="0093436A" w:rsidRDefault="0093436A" w:rsidP="0093436A">
      <w:pPr>
        <w:pStyle w:val="Bulletlist1"/>
      </w:pPr>
      <w:r w:rsidRPr="0093436A">
        <w:t>Whether a carrier has an organisational culture that appropriately supports nuclear transport security.</w:t>
      </w:r>
    </w:p>
    <w:p w14:paraId="687AEB42" w14:textId="29AE2908" w:rsidR="0093436A" w:rsidRDefault="0093436A" w:rsidP="0093436A">
      <w:pPr>
        <w:pStyle w:val="Bulletlist1"/>
      </w:pPr>
      <w:r w:rsidRPr="0093436A">
        <w:t>Whether personnel employed in nuclear transport security roles are suitably competent for their role.</w:t>
      </w:r>
    </w:p>
    <w:p w14:paraId="1968F365" w14:textId="7E56A04E" w:rsidR="0093436A" w:rsidRDefault="0093436A" w:rsidP="0093436A">
      <w:pPr>
        <w:pStyle w:val="Bulletlist1"/>
      </w:pPr>
      <w:r w:rsidRPr="0093436A">
        <w:t>Whether the carrier’s supply chain management in relation to the procurement of products or services related to nuclear transport security is sufficiently effective.</w:t>
      </w:r>
    </w:p>
    <w:p w14:paraId="5C50DA81" w14:textId="70256357" w:rsidR="0093436A" w:rsidRDefault="0093436A" w:rsidP="0093436A">
      <w:pPr>
        <w:pStyle w:val="Bulletlist1"/>
      </w:pPr>
      <w:r w:rsidRPr="0093436A">
        <w:t>Whether the carrier’s nuclear transport security regime is sufficiently reliable, resilient and sustainable.</w:t>
      </w:r>
    </w:p>
    <w:p w14:paraId="6560F378" w14:textId="31BBB7C7" w:rsidR="0093436A" w:rsidRDefault="00AE6CAD" w:rsidP="0093436A">
      <w:pPr>
        <w:pStyle w:val="Bulletlist1"/>
      </w:pPr>
      <w:r w:rsidRPr="00AE6CAD">
        <w:t>Whether a carrier’s PPS, particularly on the conveyances used for the transport of NM, provides appropriate, graded, defence in depth (including access control arrangements for any cargo areas/containers etc.) and reflects the Design Basis Threat (DBT) and required security outcomes</w:t>
      </w:r>
    </w:p>
    <w:p w14:paraId="098622F1" w14:textId="27F28F43" w:rsidR="00AE6CAD" w:rsidRDefault="00AE6CAD" w:rsidP="0093436A">
      <w:pPr>
        <w:pStyle w:val="Bulletlist1"/>
      </w:pPr>
      <w:r>
        <w:rPr>
          <w:lang w:eastAsia="en-GB"/>
        </w:rPr>
        <w:t>Whether the carriers tracking arrangements are effective and resilient.</w:t>
      </w:r>
    </w:p>
    <w:p w14:paraId="1F6EC50C" w14:textId="1512939D" w:rsidR="00AE6CAD" w:rsidRDefault="00AE6CAD" w:rsidP="0093436A">
      <w:pPr>
        <w:pStyle w:val="Bulletlist1"/>
      </w:pPr>
      <w:r>
        <w:rPr>
          <w:lang w:eastAsia="en-GB"/>
        </w:rPr>
        <w:t>Whether a carrier can protect the confidentiality, integrity and availability of OT.</w:t>
      </w:r>
    </w:p>
    <w:p w14:paraId="04B5A88F" w14:textId="01720A29" w:rsidR="00AE6CAD" w:rsidRDefault="007715EF" w:rsidP="0093436A">
      <w:pPr>
        <w:pStyle w:val="Bulletlist1"/>
      </w:pPr>
      <w:r>
        <w:rPr>
          <w:lang w:eastAsia="en-GB"/>
        </w:rPr>
        <w:t>Whether a carrier’s CPS can adequately protect SNI, particularly information relating to the routes, dates, timings and security arrangements relating to the transport of NM.</w:t>
      </w:r>
    </w:p>
    <w:p w14:paraId="0EFC811E" w14:textId="73F38178" w:rsidR="007715EF" w:rsidRDefault="007715EF" w:rsidP="0093436A">
      <w:pPr>
        <w:pStyle w:val="Bulletlist1"/>
      </w:pPr>
      <w:r w:rsidRPr="007715EF">
        <w:t xml:space="preserve">Whether the carrier can facilitate the effective guarding and policing arrangements relating to nuclear transport security, including associated liaison and co-ordination arrangements with the Civil Nuclear Constabulary (CNC), British Transport Police (BTP) and Home </w:t>
      </w:r>
      <w:r w:rsidR="0067581B">
        <w:t>Office Police</w:t>
      </w:r>
      <w:r w:rsidR="002150C3">
        <w:t xml:space="preserve"> Force</w:t>
      </w:r>
      <w:r w:rsidRPr="007715EF">
        <w:t>/Police Scotland (PSoS), as appropriate.</w:t>
      </w:r>
    </w:p>
    <w:p w14:paraId="33403DE0" w14:textId="1F5CD5DC" w:rsidR="007715EF" w:rsidRDefault="007715EF" w:rsidP="0093436A">
      <w:pPr>
        <w:pStyle w:val="Bulletlist1"/>
      </w:pPr>
      <w:r w:rsidRPr="007715EF">
        <w:lastRenderedPageBreak/>
        <w:t>Whether a carrier’s emergency preparedness and response arrangements are appropriate, integrated with safety arrangements and are regularly exercised and tested.</w:t>
      </w:r>
    </w:p>
    <w:p w14:paraId="47852294" w14:textId="34B12AB9" w:rsidR="007715EF" w:rsidRDefault="007715EF" w:rsidP="0093436A">
      <w:pPr>
        <w:pStyle w:val="Bulletlist1"/>
      </w:pPr>
      <w:r>
        <w:rPr>
          <w:lang w:eastAsia="en-GB"/>
        </w:rPr>
        <w:t>Whether a carrier’s Transport Control Centre (TCC) is appropriately effective and is able to appropriately track the transport of NM, communicate information and coordinate activity with other stakeholders during the transport of NM.</w:t>
      </w:r>
    </w:p>
    <w:p w14:paraId="0BC0D952" w14:textId="440CA519" w:rsidR="007715EF" w:rsidRPr="0093436A" w:rsidRDefault="007715EF" w:rsidP="0093436A">
      <w:pPr>
        <w:pStyle w:val="Bulletlist1"/>
      </w:pPr>
      <w:r>
        <w:rPr>
          <w:lang w:eastAsia="en-GB"/>
        </w:rPr>
        <w:t>Whether a carrier’s nuclear transport security arrangements are sufficiently responsive to any change in Threat Level.</w:t>
      </w:r>
    </w:p>
    <w:p w14:paraId="57112DE2" w14:textId="4CD43278" w:rsidR="0093436A" w:rsidRPr="007715EF" w:rsidRDefault="007715EF" w:rsidP="007976F3">
      <w:pPr>
        <w:pStyle w:val="F9-Paragraph"/>
      </w:pPr>
      <w:r w:rsidRPr="007715EF">
        <w:rPr>
          <w:bCs/>
        </w:rPr>
        <w:t xml:space="preserve">A TSS underpins the ability of a Class A carrier to securely plan, coordinate and conduct the transport of NM; the security arrangements for specific movements of NM and details of how PPS outcomes are to be achieved for each transport are contained within a </w:t>
      </w:r>
      <w:proofErr w:type="spellStart"/>
      <w:r w:rsidRPr="007715EF">
        <w:rPr>
          <w:bCs/>
        </w:rPr>
        <w:t>TptSP</w:t>
      </w:r>
      <w:proofErr w:type="spellEnd"/>
      <w:r w:rsidRPr="007715EF">
        <w:rPr>
          <w:bCs/>
        </w:rPr>
        <w:t>.</w:t>
      </w:r>
    </w:p>
    <w:p w14:paraId="08CF047F" w14:textId="45527798" w:rsidR="007715EF" w:rsidRDefault="007715EF" w:rsidP="007715EF">
      <w:pPr>
        <w:pStyle w:val="F9-Paragraph"/>
        <w:numPr>
          <w:ilvl w:val="0"/>
          <w:numId w:val="0"/>
        </w:numPr>
        <w:ind w:left="851"/>
      </w:pPr>
      <w:r w:rsidRPr="007715EF">
        <w:rPr>
          <w:b/>
          <w:bCs/>
        </w:rPr>
        <w:t>Transport Security Plans</w:t>
      </w:r>
    </w:p>
    <w:p w14:paraId="7C3A1F6C" w14:textId="61FEF1BC" w:rsidR="007976F3" w:rsidRPr="007715EF" w:rsidRDefault="007715EF" w:rsidP="007976F3">
      <w:pPr>
        <w:pStyle w:val="F9-Paragraph"/>
      </w:pPr>
      <w:r w:rsidRPr="007715EF">
        <w:rPr>
          <w:bCs/>
        </w:rPr>
        <w:t xml:space="preserve">A </w:t>
      </w:r>
      <w:proofErr w:type="spellStart"/>
      <w:r w:rsidRPr="007715EF">
        <w:rPr>
          <w:bCs/>
        </w:rPr>
        <w:t>TptSP</w:t>
      </w:r>
      <w:proofErr w:type="spellEnd"/>
      <w:r w:rsidRPr="007715EF">
        <w:rPr>
          <w:bCs/>
        </w:rPr>
        <w:t>, as required by NISR 2003, is produced by each carrier in support of a specific movement</w:t>
      </w:r>
      <w:r w:rsidRPr="007715EF">
        <w:rPr>
          <w:bCs/>
          <w:vertAlign w:val="superscript"/>
        </w:rPr>
        <w:footnoteReference w:id="3"/>
      </w:r>
      <w:r w:rsidRPr="007715EF">
        <w:rPr>
          <w:bCs/>
        </w:rPr>
        <w:t xml:space="preserve"> or series of movements of NM and should reflect how the carrier achieves the required PPS and CPS outcomes through claims, arguments and evidence. A </w:t>
      </w:r>
      <w:proofErr w:type="spellStart"/>
      <w:r w:rsidRPr="007715EF">
        <w:rPr>
          <w:bCs/>
        </w:rPr>
        <w:t>TptSP</w:t>
      </w:r>
      <w:proofErr w:type="spellEnd"/>
      <w:r w:rsidRPr="007715EF">
        <w:rPr>
          <w:bCs/>
        </w:rPr>
        <w:t xml:space="preserve"> should adequately address the following areas:</w:t>
      </w:r>
    </w:p>
    <w:p w14:paraId="0C8C9576" w14:textId="62C14BFA" w:rsidR="007715EF" w:rsidRDefault="007715EF" w:rsidP="007715EF">
      <w:pPr>
        <w:pStyle w:val="Bulletlist1"/>
      </w:pPr>
      <w:r w:rsidRPr="007715EF">
        <w:rPr>
          <w:b/>
        </w:rPr>
        <w:t xml:space="preserve">Categorisation: </w:t>
      </w:r>
      <w:r w:rsidRPr="007715EF">
        <w:t>The NM that is to be transported should be accurately categorised for theft and sabotage. The categorisation should inform appropriate security arrangements during its transportation.</w:t>
      </w:r>
    </w:p>
    <w:p w14:paraId="2C8CA0E5" w14:textId="128148B5" w:rsidR="007715EF" w:rsidRDefault="007715EF" w:rsidP="007715EF">
      <w:pPr>
        <w:pStyle w:val="Bulletlist1"/>
      </w:pPr>
      <w:r w:rsidRPr="007715EF">
        <w:rPr>
          <w:b/>
        </w:rPr>
        <w:t>Compliance</w:t>
      </w:r>
      <w:r w:rsidRPr="007715EF">
        <w:t>: The TptSP should be submitted to ONR for approval in accordance with the requirements of NISR 2003 (including arrangements for the 7 day notification to ONR).</w:t>
      </w:r>
    </w:p>
    <w:p w14:paraId="04CEF910" w14:textId="30518555" w:rsidR="007715EF" w:rsidRDefault="007715EF" w:rsidP="007715EF">
      <w:pPr>
        <w:pStyle w:val="Bulletlist1"/>
      </w:pPr>
      <w:r w:rsidRPr="007715EF">
        <w:rPr>
          <w:b/>
        </w:rPr>
        <w:t>Criteria Used</w:t>
      </w:r>
      <w:r w:rsidRPr="007715EF">
        <w:t>: The TptSP should provide evidence justifying any criteria used in decision making or option selection relating to the PPS used to protect NM during transport.</w:t>
      </w:r>
    </w:p>
    <w:p w14:paraId="4274DF7A" w14:textId="657EAB40" w:rsidR="007715EF" w:rsidRDefault="007715EF" w:rsidP="007715EF">
      <w:pPr>
        <w:pStyle w:val="Bulletlist1"/>
      </w:pPr>
      <w:r w:rsidRPr="007715EF">
        <w:rPr>
          <w:b/>
        </w:rPr>
        <w:t>Competence</w:t>
      </w:r>
      <w:r w:rsidRPr="007715EF">
        <w:t>: The TptSP should identify suitably competent personnel who will be directly involved with the transport of NM.</w:t>
      </w:r>
    </w:p>
    <w:p w14:paraId="477C927D" w14:textId="4D9586A7" w:rsidR="007715EF" w:rsidRDefault="007715EF" w:rsidP="007715EF">
      <w:pPr>
        <w:pStyle w:val="Bulletlist1"/>
      </w:pPr>
      <w:r w:rsidRPr="007715EF">
        <w:rPr>
          <w:b/>
        </w:rPr>
        <w:t xml:space="preserve">Completeness: </w:t>
      </w:r>
      <w:r w:rsidRPr="007715EF">
        <w:t xml:space="preserve">The TptSP should appropriately describe all security arrangements including workforce trustworthiness arrangements and temporary storage arrangements for a specific transport of NM from when it is handed by the consignor to the carrier, until responsibility for its security is passed from the carrier to the consignee. The point of handover of security responsibility should be clear. The TptSP should </w:t>
      </w:r>
      <w:r w:rsidRPr="007715EF">
        <w:lastRenderedPageBreak/>
        <w:t>also include details of responsible persons for the consignor, carrier and consignee.</w:t>
      </w:r>
    </w:p>
    <w:p w14:paraId="7C5B8B5B" w14:textId="55EB770E" w:rsidR="007715EF" w:rsidRDefault="007715EF" w:rsidP="007715EF">
      <w:pPr>
        <w:pStyle w:val="Bulletlist1"/>
      </w:pPr>
      <w:r w:rsidRPr="007715EF">
        <w:rPr>
          <w:b/>
        </w:rPr>
        <w:t xml:space="preserve">Conveyances: </w:t>
      </w:r>
      <w:r w:rsidRPr="007715EF">
        <w:t>The TptSP should accurately describe the nature of the conveyances being used and how they (and associated containers, compartments and packages) will be searched, sealed, secured, tracked and protected.</w:t>
      </w:r>
    </w:p>
    <w:p w14:paraId="45433EA2" w14:textId="03AC42C7" w:rsidR="007715EF" w:rsidRDefault="007715EF" w:rsidP="007715EF">
      <w:pPr>
        <w:pStyle w:val="Bulletlist1"/>
      </w:pPr>
      <w:r w:rsidRPr="007715EF">
        <w:rPr>
          <w:b/>
        </w:rPr>
        <w:t xml:space="preserve">Confidentiality: </w:t>
      </w:r>
      <w:r w:rsidRPr="007715EF">
        <w:t>The arrangements to protect SNI and any other sensitive information, including relevant OT systems and information therein, in accordance with the need to know principle, in particular the timings and routes associated with particular movements of NM.</w:t>
      </w:r>
    </w:p>
    <w:p w14:paraId="028A6C84" w14:textId="2AFF417A" w:rsidR="007715EF" w:rsidRDefault="007715EF" w:rsidP="007715EF">
      <w:pPr>
        <w:pStyle w:val="Bulletlist1"/>
      </w:pPr>
      <w:r w:rsidRPr="007715EF">
        <w:rPr>
          <w:b/>
        </w:rPr>
        <w:t>Co-ordination and Liaison:</w:t>
      </w:r>
      <w:r w:rsidRPr="007715EF">
        <w:t xml:space="preserve"> The TptSP should describe the co-ordination and liaison arrangements between the consignor, carrier, consignee and all relevant security/response forces including the CNC, BTP and Home Office police forces/PSoS, irrespective of whether these agencies will issue their own operation orders. Coordination arrangements should include the time, place and procedures for transferring security responsibilities, including any inter-modal transfers.</w:t>
      </w:r>
    </w:p>
    <w:p w14:paraId="1D7FAE27" w14:textId="46A82F38" w:rsidR="007715EF" w:rsidRDefault="007715EF" w:rsidP="007715EF">
      <w:pPr>
        <w:pStyle w:val="Bulletlist1"/>
      </w:pPr>
      <w:r w:rsidRPr="007715EF">
        <w:rPr>
          <w:b/>
        </w:rPr>
        <w:t xml:space="preserve">Command and Control arrangements: </w:t>
      </w:r>
      <w:r w:rsidRPr="007715EF">
        <w:t>The strategic, tactical and operational command and control arrangements relating to the security of each transport, including the role of the TCC.</w:t>
      </w:r>
    </w:p>
    <w:p w14:paraId="3D285B26" w14:textId="3EB582BE" w:rsidR="007715EF" w:rsidRDefault="007715EF" w:rsidP="007715EF">
      <w:pPr>
        <w:pStyle w:val="Bulletlist1"/>
      </w:pPr>
      <w:r w:rsidRPr="007715EF">
        <w:rPr>
          <w:b/>
        </w:rPr>
        <w:t xml:space="preserve">Communications: </w:t>
      </w:r>
      <w:r w:rsidRPr="007715EF">
        <w:t>Arrangements for communications between conveyances and the TCC, the CNC, BTP, Home Office police forces/Police Scotland and other agencies, including ONR are appropriate, resilient and support command and control arrangements.</w:t>
      </w:r>
    </w:p>
    <w:p w14:paraId="4BB5B93B" w14:textId="74EEF0E6" w:rsidR="007715EF" w:rsidRDefault="002A3919" w:rsidP="007715EF">
      <w:pPr>
        <w:pStyle w:val="Bulletlist1"/>
      </w:pPr>
      <w:r w:rsidRPr="002A3919">
        <w:rPr>
          <w:b/>
        </w:rPr>
        <w:t xml:space="preserve">Contingency Planning:  </w:t>
      </w:r>
      <w:r w:rsidRPr="002A3919">
        <w:t>Arrangements for responding to adversary activities, protest, unplanned stops (including breakdowns), safety incidents, environmental conditions, route changes etc., including associated multi-agency training, rehearsals and exercises.</w:t>
      </w:r>
    </w:p>
    <w:p w14:paraId="5CDDE85E" w14:textId="4F43F695" w:rsidR="007976F3" w:rsidRDefault="007A2AB7" w:rsidP="007A2AB7">
      <w:pPr>
        <w:pStyle w:val="F9-Paragraph"/>
        <w:numPr>
          <w:ilvl w:val="0"/>
          <w:numId w:val="0"/>
        </w:numPr>
        <w:ind w:left="851"/>
      </w:pPr>
      <w:r w:rsidRPr="007A2AB7">
        <w:rPr>
          <w:b/>
        </w:rPr>
        <w:t>Inspectors should consider:</w:t>
      </w:r>
    </w:p>
    <w:p w14:paraId="46676E53" w14:textId="56EFC334" w:rsidR="007A2AB7" w:rsidRDefault="007076EC" w:rsidP="007A2AB7">
      <w:pPr>
        <w:pStyle w:val="Bulletlist1"/>
      </w:pPr>
      <w:r w:rsidRPr="007076EC">
        <w:t xml:space="preserve">In conjunction with ONR </w:t>
      </w:r>
      <w:r w:rsidR="006A18C9">
        <w:t>STAR</w:t>
      </w:r>
      <w:r w:rsidRPr="007076EC">
        <w:t xml:space="preserve"> and nuclear safety personnel, whether the NM being transported has been accurately categorised and appropriately packaged.</w:t>
      </w:r>
    </w:p>
    <w:p w14:paraId="73096DAF" w14:textId="53F42D52" w:rsidR="007076EC" w:rsidRDefault="007076EC" w:rsidP="007A2AB7">
      <w:pPr>
        <w:pStyle w:val="Bulletlist1"/>
      </w:pPr>
      <w:r w:rsidRPr="007076EC">
        <w:t>Whether all relevant security vulnerabilities from both theft and sabotage have been identified and appropriately mitigated and the TptS</w:t>
      </w:r>
      <w:r w:rsidR="005C49ED">
        <w:t>P</w:t>
      </w:r>
      <w:r w:rsidRPr="007076EC">
        <w:t xml:space="preserve"> will enable the required security outcome to be achieved.</w:t>
      </w:r>
    </w:p>
    <w:p w14:paraId="3E467A82" w14:textId="67C0EABB" w:rsidR="007076EC" w:rsidRDefault="00C3613D" w:rsidP="007A2AB7">
      <w:pPr>
        <w:pStyle w:val="Bulletlist1"/>
      </w:pPr>
      <w:r w:rsidRPr="00C3613D">
        <w:t>Whether the TptSP is supported by authoritative and timely threat assessments.</w:t>
      </w:r>
    </w:p>
    <w:p w14:paraId="6EF9F088" w14:textId="779E20A4" w:rsidR="00C3613D" w:rsidRDefault="00C3613D" w:rsidP="007A2AB7">
      <w:pPr>
        <w:pStyle w:val="Bulletlist1"/>
      </w:pPr>
      <w:r w:rsidRPr="00C3613D">
        <w:t xml:space="preserve">Whether all coordinating arrangements have been detailed, particularly who is responsible for security during each phase of the move, how </w:t>
      </w:r>
      <w:r w:rsidRPr="00C3613D">
        <w:lastRenderedPageBreak/>
        <w:t>security responsibilities will be transferred between organisations and arrangements for confirming if the movement can proceed</w:t>
      </w:r>
      <w:r w:rsidR="002C3F7B">
        <w:t>.</w:t>
      </w:r>
    </w:p>
    <w:p w14:paraId="7615584D" w14:textId="01282107" w:rsidR="00C3613D" w:rsidRDefault="00C3613D" w:rsidP="007A2AB7">
      <w:pPr>
        <w:pStyle w:val="Bulletlist1"/>
      </w:pPr>
      <w:r w:rsidRPr="00C3613D">
        <w:t>If any pattern is being set in relation to the movements of NM (dates, timings, routes) and if so whether it is acceptable.</w:t>
      </w:r>
    </w:p>
    <w:p w14:paraId="7B87B67F" w14:textId="78794E13" w:rsidR="00C3613D" w:rsidRDefault="00F40EE3" w:rsidP="007A2AB7">
      <w:pPr>
        <w:pStyle w:val="Bulletlist1"/>
      </w:pPr>
      <w:r w:rsidRPr="00F40EE3">
        <w:t>Whether the route is as short as possible (consistent with safety/logistic considerations).</w:t>
      </w:r>
    </w:p>
    <w:p w14:paraId="60B52237" w14:textId="3E28265D" w:rsidR="00F40EE3" w:rsidRDefault="00F40EE3" w:rsidP="007A2AB7">
      <w:pPr>
        <w:pStyle w:val="Bulletlist1"/>
      </w:pPr>
      <w:r w:rsidRPr="00F40EE3">
        <w:t>Whether the PPS and CPS, particularly in relation to the conveyances being used, are appropriate.</w:t>
      </w:r>
    </w:p>
    <w:p w14:paraId="25549A8C" w14:textId="177C0A95" w:rsidR="00F40EE3" w:rsidRDefault="00F40EE3" w:rsidP="007A2AB7">
      <w:pPr>
        <w:pStyle w:val="Bulletlist1"/>
      </w:pPr>
      <w:r w:rsidRPr="00F40EE3">
        <w:t>Whether the TptSP has undergone an appropriate internal review/quality assurance process within the carrier’s organisation.</w:t>
      </w:r>
    </w:p>
    <w:p w14:paraId="0CAEA603" w14:textId="67191C9B" w:rsidR="00F40EE3" w:rsidRDefault="00F40EE3" w:rsidP="007A2AB7">
      <w:pPr>
        <w:pStyle w:val="Bulletlist1"/>
      </w:pPr>
      <w:r w:rsidRPr="00F40EE3">
        <w:t>Whether appropriate and suitably competent) individuals who have security responsibilities described in the TptSP are specifically named.</w:t>
      </w:r>
    </w:p>
    <w:p w14:paraId="496B4757" w14:textId="0B45EC47" w:rsidR="00F40EE3" w:rsidRDefault="00F40EE3" w:rsidP="007A2AB7">
      <w:pPr>
        <w:pStyle w:val="Bulletlist1"/>
      </w:pPr>
      <w:r w:rsidRPr="00F40EE3">
        <w:t>Whether planned route reconnaissance and route searches are appropriate.</w:t>
      </w:r>
    </w:p>
    <w:p w14:paraId="14860B8E" w14:textId="1B1E1A8F" w:rsidR="00F40EE3" w:rsidRDefault="00F40EE3" w:rsidP="007A2AB7">
      <w:pPr>
        <w:pStyle w:val="Bulletlist1"/>
      </w:pPr>
      <w:r w:rsidRPr="00F40EE3">
        <w:t>Whether the TptSP is sufficiently responsive to unforeseen delays caused by technical malfunctions of equipment or environmental conditions.</w:t>
      </w:r>
    </w:p>
    <w:p w14:paraId="6CEDB045" w14:textId="406F20AC" w:rsidR="00F40EE3" w:rsidRDefault="00F40EE3" w:rsidP="007A2AB7">
      <w:pPr>
        <w:pStyle w:val="Bulletlist1"/>
      </w:pPr>
      <w:r w:rsidRPr="00F40EE3">
        <w:t>Whether the TptSP appropriately protects SNI relating to the movement.</w:t>
      </w:r>
    </w:p>
    <w:p w14:paraId="024532D7" w14:textId="2B9AB017" w:rsidR="00F40EE3" w:rsidRDefault="00F40EE3" w:rsidP="007A2AB7">
      <w:pPr>
        <w:pStyle w:val="Bulletlist1"/>
      </w:pPr>
      <w:r w:rsidRPr="00F40EE3">
        <w:t>Whether all personnel involved in the move have received appropriate security training and briefings.</w:t>
      </w:r>
    </w:p>
    <w:p w14:paraId="68623620" w14:textId="51441293" w:rsidR="00F40EE3" w:rsidRDefault="00F40EE3" w:rsidP="007A2AB7">
      <w:pPr>
        <w:pStyle w:val="Bulletlist1"/>
      </w:pPr>
      <w:r w:rsidRPr="00F40EE3">
        <w:t>Whether tracking arrangements (and any associated TCC) are appropriate and facilitate the transmission of an emergency call and the subsequent response.</w:t>
      </w:r>
    </w:p>
    <w:p w14:paraId="3B897A27" w14:textId="6E5E33EA" w:rsidR="00F40EE3" w:rsidRDefault="00F40EE3" w:rsidP="007A2AB7">
      <w:pPr>
        <w:pStyle w:val="Bulletlist1"/>
      </w:pPr>
      <w:r w:rsidRPr="00F40EE3">
        <w:t>Whether command, control and communication arrangements are appropriate and sufficiently comprehensive, robust and responsive.</w:t>
      </w:r>
    </w:p>
    <w:p w14:paraId="2EFA8CD3" w14:textId="4D198639" w:rsidR="00F40EE3" w:rsidRDefault="0019343C" w:rsidP="007A2AB7">
      <w:pPr>
        <w:pStyle w:val="Bulletlist1"/>
      </w:pPr>
      <w:r w:rsidRPr="0019343C">
        <w:t>Whether the size and capability of the guard/response force is appropriate (the relevant CNC operation order should be reviewed in conjunction with the TptSP if the CNC are protecting the movement).</w:t>
      </w:r>
    </w:p>
    <w:p w14:paraId="673F08F5" w14:textId="5CD80656" w:rsidR="0019343C" w:rsidRDefault="0019343C" w:rsidP="007A2AB7">
      <w:pPr>
        <w:pStyle w:val="Bulletlist1"/>
      </w:pPr>
      <w:r w:rsidRPr="0019343C">
        <w:t>Whether appropriate training/rehearsals/exercises in support of each movement have been conducted, that they are based on the DBT and include all relevant agencies.</w:t>
      </w:r>
    </w:p>
    <w:p w14:paraId="6677F904" w14:textId="73E8F62A" w:rsidR="0019343C" w:rsidRDefault="0019343C" w:rsidP="007A2AB7">
      <w:pPr>
        <w:pStyle w:val="Bulletlist1"/>
      </w:pPr>
      <w:r w:rsidRPr="0019343C">
        <w:t>Whether the security arrangements at any planned stops are appropriate.</w:t>
      </w:r>
    </w:p>
    <w:p w14:paraId="4B38AF28" w14:textId="7B96D9D5" w:rsidR="0019343C" w:rsidRDefault="0019343C" w:rsidP="007A2AB7">
      <w:pPr>
        <w:pStyle w:val="Bulletlist1"/>
      </w:pPr>
      <w:r w:rsidRPr="0019343C">
        <w:t xml:space="preserve">Whether contingency planning is realistic and appropriately comprehensive, including arrangements in regard to unplanned stops, </w:t>
      </w:r>
      <w:r w:rsidRPr="0019343C">
        <w:lastRenderedPageBreak/>
        <w:t>foreseeable environmental conditions and the ability to divert a movement onto another suitable route.</w:t>
      </w:r>
    </w:p>
    <w:p w14:paraId="652FC23A" w14:textId="45750FA0" w:rsidR="0019343C" w:rsidRDefault="0019343C" w:rsidP="007A2AB7">
      <w:pPr>
        <w:pStyle w:val="Bulletlist1"/>
      </w:pPr>
      <w:r w:rsidRPr="0019343C">
        <w:t>Whether the TptSP has been preceded and supported by appropriate liaison and engagement with all relevant stakeholders.</w:t>
      </w:r>
    </w:p>
    <w:p w14:paraId="36E542B2" w14:textId="433B579C" w:rsidR="0019343C" w:rsidRDefault="0019343C" w:rsidP="007A2AB7">
      <w:pPr>
        <w:pStyle w:val="Bulletlist1"/>
      </w:pPr>
      <w:r w:rsidRPr="0019343C">
        <w:t>Whether lessons identified during previous movements of NM have been incorporated into the TptSP.</w:t>
      </w:r>
    </w:p>
    <w:p w14:paraId="569CE3E5" w14:textId="49EA1458" w:rsidR="0019343C" w:rsidRDefault="0019343C" w:rsidP="007A2AB7">
      <w:pPr>
        <w:pStyle w:val="Bulletlist1"/>
      </w:pPr>
      <w:r w:rsidRPr="0019343C">
        <w:t>Whether specific security expectations relating to particular modes of transport have been appropriately considered.</w:t>
      </w:r>
    </w:p>
    <w:p w14:paraId="341B5A3F" w14:textId="6B925E65" w:rsidR="0019343C" w:rsidRDefault="0019343C" w:rsidP="007A2AB7">
      <w:pPr>
        <w:pStyle w:val="Bulletlist1"/>
      </w:pPr>
      <w:r w:rsidRPr="0019343C">
        <w:t>Whether, for international movements of NM, the TptSP has been preceded by appropriate liaison with the relevant authorities of other States and is consistent with written agreements between Her Majesty’s Government and other States.</w:t>
      </w:r>
    </w:p>
    <w:p w14:paraId="693C43B9" w14:textId="6DFE165D" w:rsidR="0019343C" w:rsidRDefault="0019343C" w:rsidP="007A2AB7">
      <w:pPr>
        <w:pStyle w:val="Bulletlist1"/>
      </w:pPr>
      <w:r w:rsidRPr="0019343C">
        <w:t>Arrangements for reporting of events or matters to ONR in accordance with NISR 2003.</w:t>
      </w:r>
    </w:p>
    <w:p w14:paraId="15DF71A5" w14:textId="77777777" w:rsidR="00593B7D" w:rsidRDefault="00593B7D" w:rsidP="00593B7D">
      <w:pPr>
        <w:pStyle w:val="F9-Paragraph"/>
        <w:numPr>
          <w:ilvl w:val="0"/>
          <w:numId w:val="0"/>
        </w:numPr>
      </w:pPr>
    </w:p>
    <w:p w14:paraId="08F0172B" w14:textId="4FD412BB" w:rsidR="0019343C" w:rsidRDefault="0019343C" w:rsidP="00593B7D">
      <w:pPr>
        <w:pStyle w:val="F9-Paragraph"/>
        <w:numPr>
          <w:ilvl w:val="0"/>
          <w:numId w:val="0"/>
        </w:numPr>
        <w:sectPr w:rsidR="0019343C" w:rsidSect="000B2BCD">
          <w:headerReference w:type="default" r:id="rId17"/>
          <w:footerReference w:type="default" r:id="rId18"/>
          <w:pgSz w:w="11906" w:h="16838" w:code="9"/>
          <w:pgMar w:top="1440" w:right="1440" w:bottom="1440" w:left="1440" w:header="397" w:footer="397" w:gutter="0"/>
          <w:cols w:space="312"/>
          <w:docGrid w:linePitch="360"/>
        </w:sectPr>
      </w:pPr>
    </w:p>
    <w:bookmarkStart w:id="9" w:name="_Toc128481444" w:displacedByCustomXml="next"/>
    <w:sdt>
      <w:sdtPr>
        <w:rPr>
          <w:color w:val="auto"/>
          <w:sz w:val="24"/>
        </w:rPr>
        <w:id w:val="968394949"/>
        <w:docPartObj>
          <w:docPartGallery w:val="Bibliographies"/>
          <w:docPartUnique/>
        </w:docPartObj>
      </w:sdtPr>
      <w:sdtEndPr/>
      <w:sdtContent>
        <w:p w14:paraId="6F8285B2" w14:textId="086BA7B4" w:rsidR="00FB385A" w:rsidRDefault="00FB385A" w:rsidP="00B8495A">
          <w:pPr>
            <w:pStyle w:val="Heading1"/>
            <w:spacing w:after="0"/>
          </w:pPr>
          <w:r>
            <w:t>References</w:t>
          </w:r>
          <w:bookmarkEnd w:id="9"/>
        </w:p>
        <w:sdt>
          <w:sdtPr>
            <w:id w:val="-573587230"/>
            <w:bibliography/>
          </w:sdtPr>
          <w:sdtEndPr/>
          <w:sdtContent>
            <w:p w14:paraId="5B8B1E8B" w14:textId="77777777" w:rsidR="000D407D" w:rsidRDefault="00FB385A" w:rsidP="00836C85">
              <w:pPr>
                <w:spacing w:after="0"/>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0D407D" w14:paraId="22B9D18C" w14:textId="77777777">
                <w:trPr>
                  <w:divId w:val="664019937"/>
                  <w:tblCellSpacing w:w="15" w:type="dxa"/>
                </w:trPr>
                <w:tc>
                  <w:tcPr>
                    <w:tcW w:w="50" w:type="pct"/>
                    <w:hideMark/>
                  </w:tcPr>
                  <w:p w14:paraId="044F368D" w14:textId="1E0C5E51" w:rsidR="000D407D" w:rsidRDefault="000D407D">
                    <w:pPr>
                      <w:pStyle w:val="Bibliography"/>
                      <w:rPr>
                        <w:noProof/>
                        <w:szCs w:val="24"/>
                      </w:rPr>
                    </w:pPr>
                    <w:r>
                      <w:rPr>
                        <w:noProof/>
                      </w:rPr>
                      <w:t xml:space="preserve">[1] </w:t>
                    </w:r>
                  </w:p>
                </w:tc>
                <w:tc>
                  <w:tcPr>
                    <w:tcW w:w="0" w:type="auto"/>
                    <w:hideMark/>
                  </w:tcPr>
                  <w:p w14:paraId="6DEC710C" w14:textId="7892F125" w:rsidR="000D407D" w:rsidRDefault="000D407D">
                    <w:pPr>
                      <w:pStyle w:val="Bibliography"/>
                      <w:rPr>
                        <w:noProof/>
                      </w:rPr>
                    </w:pPr>
                    <w:r>
                      <w:rPr>
                        <w:noProof/>
                      </w:rPr>
                      <w:t xml:space="preserve">“Security Assessment Principles.,” [Online]. Available: </w:t>
                    </w:r>
                    <w:hyperlink r:id="rId19" w:history="1">
                      <w:r w:rsidR="008F66F3" w:rsidRPr="008F66F3">
                        <w:rPr>
                          <w:color w:val="0000FF"/>
                          <w:u w:val="single"/>
                        </w:rPr>
                        <w:t>Security Assessment Principles for the Civil Nuclear Industry</w:t>
                      </w:r>
                    </w:hyperlink>
                    <w:r w:rsidR="008F66F3">
                      <w:t xml:space="preserve"> .</w:t>
                    </w:r>
                  </w:p>
                </w:tc>
              </w:tr>
              <w:tr w:rsidR="000D407D" w14:paraId="669175B7" w14:textId="77777777">
                <w:trPr>
                  <w:divId w:val="664019937"/>
                  <w:tblCellSpacing w:w="15" w:type="dxa"/>
                </w:trPr>
                <w:tc>
                  <w:tcPr>
                    <w:tcW w:w="50" w:type="pct"/>
                    <w:hideMark/>
                  </w:tcPr>
                  <w:p w14:paraId="4DA8A8D2" w14:textId="77777777" w:rsidR="000D407D" w:rsidRDefault="000D407D">
                    <w:pPr>
                      <w:pStyle w:val="Bibliography"/>
                      <w:rPr>
                        <w:noProof/>
                      </w:rPr>
                    </w:pPr>
                    <w:r>
                      <w:rPr>
                        <w:noProof/>
                      </w:rPr>
                      <w:t xml:space="preserve">[2] </w:t>
                    </w:r>
                  </w:p>
                </w:tc>
                <w:tc>
                  <w:tcPr>
                    <w:tcW w:w="0" w:type="auto"/>
                    <w:hideMark/>
                  </w:tcPr>
                  <w:p w14:paraId="5A616CA2" w14:textId="77777777" w:rsidR="000D407D" w:rsidRDefault="000D407D">
                    <w:pPr>
                      <w:pStyle w:val="Bibliography"/>
                      <w:rPr>
                        <w:noProof/>
                      </w:rPr>
                    </w:pPr>
                    <w:r>
                      <w:rPr>
                        <w:noProof/>
                      </w:rPr>
                      <w:t xml:space="preserve">Nuclear Industries Security Regulations 2003. Statutory Instrument 2003 No. 403. </w:t>
                    </w:r>
                  </w:p>
                </w:tc>
              </w:tr>
              <w:tr w:rsidR="000D407D" w:rsidRPr="00680741" w14:paraId="66E1F6DB" w14:textId="77777777">
                <w:trPr>
                  <w:divId w:val="664019937"/>
                  <w:tblCellSpacing w:w="15" w:type="dxa"/>
                </w:trPr>
                <w:tc>
                  <w:tcPr>
                    <w:tcW w:w="50" w:type="pct"/>
                    <w:hideMark/>
                  </w:tcPr>
                  <w:p w14:paraId="755DD8C6" w14:textId="77777777" w:rsidR="000D407D" w:rsidRDefault="000D407D">
                    <w:pPr>
                      <w:pStyle w:val="Bibliography"/>
                      <w:rPr>
                        <w:noProof/>
                      </w:rPr>
                    </w:pPr>
                    <w:r>
                      <w:rPr>
                        <w:noProof/>
                      </w:rPr>
                      <w:t xml:space="preserve">[3] </w:t>
                    </w:r>
                  </w:p>
                </w:tc>
                <w:tc>
                  <w:tcPr>
                    <w:tcW w:w="0" w:type="auto"/>
                    <w:hideMark/>
                  </w:tcPr>
                  <w:p w14:paraId="2C522854" w14:textId="6FC3944F" w:rsidR="000D407D" w:rsidRPr="006A18C9" w:rsidRDefault="000D407D">
                    <w:pPr>
                      <w:pStyle w:val="Bibliography"/>
                      <w:rPr>
                        <w:noProof/>
                        <w:lang w:val="fr-FR"/>
                      </w:rPr>
                    </w:pPr>
                    <w:r>
                      <w:rPr>
                        <w:noProof/>
                      </w:rPr>
                      <w:t xml:space="preserve">“Convention on the Physical Protection of Nuclear Material (CPPNM),” [Online]. </w:t>
                    </w:r>
                    <w:r w:rsidRPr="006A18C9">
                      <w:rPr>
                        <w:noProof/>
                        <w:lang w:val="fr-FR"/>
                      </w:rPr>
                      <w:t xml:space="preserve">Available: </w:t>
                    </w:r>
                    <w:hyperlink r:id="rId20" w:history="1">
                      <w:r w:rsidRPr="00987C22">
                        <w:rPr>
                          <w:rStyle w:val="Hyperlink"/>
                          <w:noProof/>
                          <w:lang w:val="fr-FR"/>
                        </w:rPr>
                        <w:t>https://ola.iaea.org/ola/treaties/documents/FullText.pdf</w:t>
                      </w:r>
                    </w:hyperlink>
                    <w:r w:rsidRPr="006A18C9">
                      <w:rPr>
                        <w:noProof/>
                        <w:lang w:val="fr-FR"/>
                      </w:rPr>
                      <w:t>.</w:t>
                    </w:r>
                  </w:p>
                </w:tc>
              </w:tr>
              <w:tr w:rsidR="000D407D" w:rsidRPr="00680741" w14:paraId="17A8E953" w14:textId="77777777">
                <w:trPr>
                  <w:divId w:val="664019937"/>
                  <w:tblCellSpacing w:w="15" w:type="dxa"/>
                </w:trPr>
                <w:tc>
                  <w:tcPr>
                    <w:tcW w:w="50" w:type="pct"/>
                    <w:hideMark/>
                  </w:tcPr>
                  <w:p w14:paraId="05C80F52" w14:textId="77777777" w:rsidR="000D407D" w:rsidRDefault="000D407D">
                    <w:pPr>
                      <w:pStyle w:val="Bibliography"/>
                      <w:rPr>
                        <w:noProof/>
                      </w:rPr>
                    </w:pPr>
                    <w:r>
                      <w:rPr>
                        <w:noProof/>
                      </w:rPr>
                      <w:t xml:space="preserve">[4] </w:t>
                    </w:r>
                  </w:p>
                </w:tc>
                <w:tc>
                  <w:tcPr>
                    <w:tcW w:w="0" w:type="auto"/>
                    <w:hideMark/>
                  </w:tcPr>
                  <w:p w14:paraId="67007582" w14:textId="66296A9A" w:rsidR="000D407D" w:rsidRPr="006A18C9" w:rsidRDefault="000D407D">
                    <w:pPr>
                      <w:pStyle w:val="Bibliography"/>
                      <w:rPr>
                        <w:noProof/>
                        <w:lang w:val="fr-FR"/>
                      </w:rPr>
                    </w:pPr>
                    <w:r>
                      <w:rPr>
                        <w:noProof/>
                      </w:rPr>
                      <w:t xml:space="preserve">“IAEA Nuclear Security Series No. 20. Objective and Essential Elements of a State’s Nuclear Security Regime.,” [Online]. </w:t>
                    </w:r>
                    <w:r w:rsidRPr="006A18C9">
                      <w:rPr>
                        <w:noProof/>
                        <w:lang w:val="fr-FR"/>
                      </w:rPr>
                      <w:t xml:space="preserve">Available: </w:t>
                    </w:r>
                    <w:hyperlink r:id="rId21" w:history="1">
                      <w:r w:rsidRPr="00987C22">
                        <w:rPr>
                          <w:rStyle w:val="Hyperlink"/>
                          <w:noProof/>
                          <w:lang w:val="fr-FR"/>
                        </w:rPr>
                        <w:t>http://www-pub.iaea.org/MTCD/Publications/PDF/Pub1590_web.pdf</w:t>
                      </w:r>
                    </w:hyperlink>
                    <w:r w:rsidRPr="006A18C9">
                      <w:rPr>
                        <w:noProof/>
                        <w:lang w:val="fr-FR"/>
                      </w:rPr>
                      <w:t>.</w:t>
                    </w:r>
                  </w:p>
                </w:tc>
              </w:tr>
              <w:tr w:rsidR="000D407D" w14:paraId="3F56360B" w14:textId="77777777">
                <w:trPr>
                  <w:divId w:val="664019937"/>
                  <w:tblCellSpacing w:w="15" w:type="dxa"/>
                </w:trPr>
                <w:tc>
                  <w:tcPr>
                    <w:tcW w:w="50" w:type="pct"/>
                    <w:hideMark/>
                  </w:tcPr>
                  <w:p w14:paraId="460BDA9C" w14:textId="77777777" w:rsidR="000D407D" w:rsidRDefault="000D407D">
                    <w:pPr>
                      <w:pStyle w:val="Bibliography"/>
                      <w:rPr>
                        <w:noProof/>
                      </w:rPr>
                    </w:pPr>
                    <w:r>
                      <w:rPr>
                        <w:noProof/>
                      </w:rPr>
                      <w:t xml:space="preserve">[5] </w:t>
                    </w:r>
                  </w:p>
                </w:tc>
                <w:tc>
                  <w:tcPr>
                    <w:tcW w:w="0" w:type="auto"/>
                    <w:hideMark/>
                  </w:tcPr>
                  <w:p w14:paraId="4FCE7B1F" w14:textId="0DD78BBC" w:rsidR="000D407D" w:rsidRDefault="000D407D">
                    <w:pPr>
                      <w:pStyle w:val="Bibliography"/>
                      <w:rPr>
                        <w:noProof/>
                      </w:rPr>
                    </w:pPr>
                    <w:r>
                      <w:rPr>
                        <w:noProof/>
                      </w:rPr>
                      <w:t xml:space="preserve">“IAEA Nuclear Security Series No. 13. Nuclear Security Recommendations on Physical Protection of Nuclear Material and Nuclear Facilities (INFCIRC/225/Revision 5). January 2011.,” [Online]. Available: </w:t>
                    </w:r>
                    <w:hyperlink r:id="rId22" w:history="1">
                      <w:r w:rsidRPr="00987C22">
                        <w:rPr>
                          <w:rStyle w:val="Hyperlink"/>
                          <w:noProof/>
                        </w:rPr>
                        <w:t>www-pub.iaea.org/MTCD/Publications/PDF/Pub1481_web.pdf</w:t>
                      </w:r>
                    </w:hyperlink>
                    <w:r>
                      <w:rPr>
                        <w:noProof/>
                      </w:rPr>
                      <w:t>.</w:t>
                    </w:r>
                  </w:p>
                </w:tc>
              </w:tr>
              <w:tr w:rsidR="000D407D" w:rsidRPr="00680741" w14:paraId="7BE7A799" w14:textId="77777777">
                <w:trPr>
                  <w:divId w:val="664019937"/>
                  <w:tblCellSpacing w:w="15" w:type="dxa"/>
                </w:trPr>
                <w:tc>
                  <w:tcPr>
                    <w:tcW w:w="50" w:type="pct"/>
                    <w:hideMark/>
                  </w:tcPr>
                  <w:p w14:paraId="69641F68" w14:textId="77777777" w:rsidR="000D407D" w:rsidRDefault="000D407D">
                    <w:pPr>
                      <w:pStyle w:val="Bibliography"/>
                      <w:rPr>
                        <w:noProof/>
                      </w:rPr>
                    </w:pPr>
                    <w:r>
                      <w:rPr>
                        <w:noProof/>
                      </w:rPr>
                      <w:t xml:space="preserve">[6] </w:t>
                    </w:r>
                  </w:p>
                </w:tc>
                <w:tc>
                  <w:tcPr>
                    <w:tcW w:w="0" w:type="auto"/>
                    <w:hideMark/>
                  </w:tcPr>
                  <w:p w14:paraId="4115C9B3" w14:textId="77FD21CE" w:rsidR="000D407D" w:rsidRPr="006A18C9" w:rsidRDefault="000D407D">
                    <w:pPr>
                      <w:pStyle w:val="Bibliography"/>
                      <w:rPr>
                        <w:noProof/>
                        <w:lang w:val="fr-FR"/>
                      </w:rPr>
                    </w:pPr>
                    <w:r>
                      <w:rPr>
                        <w:noProof/>
                      </w:rPr>
                      <w:t xml:space="preserve">“IAEA Nuclear Security Series No 26G. Security of Nuclear Material in Transport.,” [Online]. </w:t>
                    </w:r>
                    <w:r w:rsidRPr="006A18C9">
                      <w:rPr>
                        <w:noProof/>
                        <w:lang w:val="fr-FR"/>
                      </w:rPr>
                      <w:t xml:space="preserve">Available: </w:t>
                    </w:r>
                    <w:hyperlink r:id="rId23" w:history="1">
                      <w:r w:rsidRPr="00987C22">
                        <w:rPr>
                          <w:rStyle w:val="Hyperlink"/>
                          <w:noProof/>
                          <w:lang w:val="fr-FR"/>
                        </w:rPr>
                        <w:t>https://www.iaea.org/publications/10792/security-of-nuclear-material-in-transport</w:t>
                      </w:r>
                    </w:hyperlink>
                    <w:r w:rsidRPr="006A18C9">
                      <w:rPr>
                        <w:noProof/>
                        <w:lang w:val="fr-FR"/>
                      </w:rPr>
                      <w:t>.</w:t>
                    </w:r>
                  </w:p>
                </w:tc>
              </w:tr>
              <w:tr w:rsidR="00451ED6" w:rsidRPr="00680741" w14:paraId="0C68269C" w14:textId="77777777">
                <w:trPr>
                  <w:divId w:val="664019937"/>
                  <w:tblCellSpacing w:w="15" w:type="dxa"/>
                </w:trPr>
                <w:tc>
                  <w:tcPr>
                    <w:tcW w:w="50" w:type="pct"/>
                  </w:tcPr>
                  <w:p w14:paraId="799522EA" w14:textId="09A22626" w:rsidR="00451ED6" w:rsidRDefault="00451ED6">
                    <w:pPr>
                      <w:pStyle w:val="Bibliography"/>
                      <w:rPr>
                        <w:noProof/>
                      </w:rPr>
                    </w:pPr>
                    <w:r>
                      <w:rPr>
                        <w:noProof/>
                      </w:rPr>
                      <w:t>[7]</w:t>
                    </w:r>
                  </w:p>
                </w:tc>
                <w:tc>
                  <w:tcPr>
                    <w:tcW w:w="0" w:type="auto"/>
                  </w:tcPr>
                  <w:p w14:paraId="69696C2F" w14:textId="77865F73" w:rsidR="00451ED6" w:rsidRDefault="00451ED6" w:rsidP="00451ED6">
                    <w:pPr>
                      <w:pStyle w:val="Bibliography"/>
                      <w:rPr>
                        <w:noProof/>
                      </w:rPr>
                    </w:pPr>
                    <w:r w:rsidRPr="00451ED6">
                      <w:rPr>
                        <w:noProof/>
                      </w:rPr>
                      <w:t xml:space="preserve">“Government Functional Standard 007: Security" (GovS 007) [Online]. Available: </w:t>
                    </w:r>
                    <w:hyperlink r:id="rId24" w:history="1">
                      <w:r w:rsidRPr="00451ED6">
                        <w:rPr>
                          <w:rStyle w:val="Hyperlink"/>
                          <w:noProof/>
                        </w:rPr>
                        <w:t>https://www.gov.uk/government/publications/government-functional-standard-govs-007-security</w:t>
                      </w:r>
                    </w:hyperlink>
                  </w:p>
                </w:tc>
              </w:tr>
              <w:tr w:rsidR="000D407D" w:rsidRPr="00B23261" w14:paraId="02CF1908" w14:textId="77777777">
                <w:trPr>
                  <w:divId w:val="664019937"/>
                  <w:tblCellSpacing w:w="15" w:type="dxa"/>
                </w:trPr>
                <w:tc>
                  <w:tcPr>
                    <w:tcW w:w="50" w:type="pct"/>
                    <w:hideMark/>
                  </w:tcPr>
                  <w:p w14:paraId="0115950B" w14:textId="4179B7B8" w:rsidR="000D407D" w:rsidRDefault="000D407D">
                    <w:pPr>
                      <w:pStyle w:val="Bibliography"/>
                      <w:rPr>
                        <w:noProof/>
                      </w:rPr>
                    </w:pPr>
                    <w:r>
                      <w:rPr>
                        <w:noProof/>
                      </w:rPr>
                      <w:t>[</w:t>
                    </w:r>
                    <w:r w:rsidR="00451ED6">
                      <w:rPr>
                        <w:noProof/>
                      </w:rPr>
                      <w:t>8</w:t>
                    </w:r>
                    <w:r>
                      <w:rPr>
                        <w:noProof/>
                      </w:rPr>
                      <w:t xml:space="preserve">] </w:t>
                    </w:r>
                  </w:p>
                </w:tc>
                <w:tc>
                  <w:tcPr>
                    <w:tcW w:w="0" w:type="auto"/>
                    <w:hideMark/>
                  </w:tcPr>
                  <w:p w14:paraId="34036F3C" w14:textId="73EC9BAC" w:rsidR="000D407D" w:rsidRPr="006A18C9" w:rsidRDefault="000D407D">
                    <w:pPr>
                      <w:pStyle w:val="Bibliography"/>
                      <w:rPr>
                        <w:noProof/>
                        <w:lang w:val="fr-FR"/>
                      </w:rPr>
                    </w:pPr>
                    <w:r>
                      <w:rPr>
                        <w:noProof/>
                      </w:rPr>
                      <w:t>“NISR 2003 Classification Policy for the Civil Nuclear Industry (</w:t>
                    </w:r>
                    <w:r w:rsidR="00F21DE3">
                      <w:rPr>
                        <w:noProof/>
                      </w:rPr>
                      <w:t>Oct 24</w:t>
                    </w:r>
                    <w:r>
                      <w:rPr>
                        <w:noProof/>
                      </w:rPr>
                      <w:t xml:space="preserve">),” [Online]. </w:t>
                    </w:r>
                    <w:r w:rsidRPr="006A18C9">
                      <w:rPr>
                        <w:noProof/>
                        <w:lang w:val="fr-FR"/>
                      </w:rPr>
                      <w:t xml:space="preserve">Available: </w:t>
                    </w:r>
                    <w:hyperlink r:id="rId25" w:history="1">
                      <w:r w:rsidR="00047B94" w:rsidRPr="00047B94">
                        <w:rPr>
                          <w:color w:val="0000FF"/>
                          <w:u w:val="single"/>
                          <w:lang w:val="fr-FR"/>
                        </w:rPr>
                        <w:t>onr-cnss-pol-001-the-nuclear-industries-security-regulations-2003-nisr-2003-classification-policy-for-the-civil-nuclear-ind.docx</w:t>
                      </w:r>
                    </w:hyperlink>
                    <w:r w:rsidR="00047B94" w:rsidRPr="006A18C9">
                      <w:rPr>
                        <w:noProof/>
                        <w:lang w:val="fr-FR"/>
                      </w:rPr>
                      <w:t xml:space="preserve"> </w:t>
                    </w:r>
                    <w:r w:rsidR="00047B94">
                      <w:rPr>
                        <w:noProof/>
                        <w:lang w:val="fr-FR"/>
                      </w:rPr>
                      <w:t>.</w:t>
                    </w:r>
                  </w:p>
                </w:tc>
              </w:tr>
            </w:tbl>
            <w:p w14:paraId="7D4FF22D" w14:textId="4B61BD64" w:rsidR="00FB385A" w:rsidRDefault="00FB385A" w:rsidP="00836C85">
              <w:pPr>
                <w:spacing w:after="0"/>
              </w:pPr>
              <w:r>
                <w:rPr>
                  <w:b/>
                  <w:bCs/>
                  <w:noProof/>
                </w:rPr>
                <w:fldChar w:fldCharType="end"/>
              </w:r>
            </w:p>
          </w:sdtContent>
        </w:sdt>
      </w:sdtContent>
    </w:sdt>
    <w:p w14:paraId="167150BE" w14:textId="3AF814DD" w:rsidR="00FB385A" w:rsidRDefault="00FB385A" w:rsidP="007B1D15">
      <w:pPr>
        <w:spacing w:after="0"/>
      </w:pPr>
    </w:p>
    <w:p w14:paraId="0A968117" w14:textId="3B63174E" w:rsidR="00B8495A" w:rsidRDefault="0022020E" w:rsidP="007B1D15">
      <w:pPr>
        <w:spacing w:after="0"/>
      </w:pPr>
      <w:r w:rsidRPr="0022020E">
        <w:rPr>
          <w:i/>
          <w:iCs/>
          <w:sz w:val="22"/>
          <w:szCs w:val="20"/>
        </w:rPr>
        <w:t>Note: ONR staff should access the above internal ONR references via the How2 Business Management System.</w:t>
      </w:r>
    </w:p>
    <w:p w14:paraId="219D2C71" w14:textId="77777777" w:rsidR="007B1D15" w:rsidRDefault="007B1D15" w:rsidP="007B1D15">
      <w:pPr>
        <w:spacing w:after="0"/>
      </w:pPr>
    </w:p>
    <w:p w14:paraId="1DC90079" w14:textId="77777777" w:rsidR="00F7687C" w:rsidRDefault="00F7687C" w:rsidP="00F7687C">
      <w:pPr>
        <w:sectPr w:rsidR="00F7687C" w:rsidSect="000B2BCD">
          <w:pgSz w:w="11906" w:h="16838" w:code="9"/>
          <w:pgMar w:top="1440" w:right="1440" w:bottom="1440" w:left="1440" w:header="397" w:footer="397" w:gutter="0"/>
          <w:cols w:space="312"/>
          <w:docGrid w:linePitch="360"/>
        </w:sectPr>
      </w:pPr>
    </w:p>
    <w:p w14:paraId="4323F5E0" w14:textId="7C96AEAF" w:rsidR="00F7687C" w:rsidRPr="003B4701" w:rsidRDefault="00F7687C" w:rsidP="00DD5B5A">
      <w:pPr>
        <w:pStyle w:val="Heading1"/>
      </w:pPr>
      <w:bookmarkStart w:id="10" w:name="_Toc89268373"/>
      <w:bookmarkStart w:id="11" w:name="_Toc128481445"/>
      <w:r w:rsidRPr="003B4701">
        <w:lastRenderedPageBreak/>
        <w:t>Glossary and Abbreviations</w:t>
      </w:r>
      <w:bookmarkEnd w:id="10"/>
      <w:bookmarkEnd w:id="11"/>
    </w:p>
    <w:p w14:paraId="3A89D107" w14:textId="77777777" w:rsidR="00E458F6" w:rsidRDefault="00E458F6" w:rsidP="00E458F6">
      <w:pPr>
        <w:tabs>
          <w:tab w:val="left" w:pos="1440"/>
        </w:tabs>
        <w:spacing w:after="0" w:line="240" w:lineRule="auto"/>
        <w:contextualSpacing/>
      </w:pPr>
      <w:r>
        <w:t>BTP</w:t>
      </w:r>
      <w:r>
        <w:tab/>
        <w:t>British Transport Police</w:t>
      </w:r>
    </w:p>
    <w:p w14:paraId="5424C538" w14:textId="77777777" w:rsidR="00E458F6" w:rsidRDefault="00E458F6" w:rsidP="00E458F6">
      <w:pPr>
        <w:tabs>
          <w:tab w:val="left" w:pos="1440"/>
        </w:tabs>
        <w:spacing w:after="0" w:line="240" w:lineRule="auto"/>
        <w:contextualSpacing/>
      </w:pPr>
      <w:r>
        <w:t>CNC</w:t>
      </w:r>
      <w:r>
        <w:tab/>
        <w:t>Civil Nuclear Constabulary</w:t>
      </w:r>
    </w:p>
    <w:p w14:paraId="21AEE0B8" w14:textId="77777777" w:rsidR="00E458F6" w:rsidRDefault="00E458F6" w:rsidP="00E458F6">
      <w:pPr>
        <w:tabs>
          <w:tab w:val="left" w:pos="1440"/>
        </w:tabs>
        <w:spacing w:after="0" w:line="240" w:lineRule="auto"/>
        <w:contextualSpacing/>
      </w:pPr>
      <w:r>
        <w:t>CPPNM</w:t>
      </w:r>
      <w:r>
        <w:tab/>
        <w:t>Convention on the Physical Protection of Nuclear Material</w:t>
      </w:r>
    </w:p>
    <w:p w14:paraId="4CEFB17C" w14:textId="77777777" w:rsidR="00E458F6" w:rsidRDefault="00E458F6" w:rsidP="00E458F6">
      <w:pPr>
        <w:tabs>
          <w:tab w:val="left" w:pos="1440"/>
        </w:tabs>
        <w:spacing w:after="0" w:line="240" w:lineRule="auto"/>
        <w:contextualSpacing/>
      </w:pPr>
      <w:r>
        <w:t>CPS</w:t>
      </w:r>
      <w:r>
        <w:tab/>
        <w:t>Cyber Protection System</w:t>
      </w:r>
    </w:p>
    <w:p w14:paraId="2278B632" w14:textId="414DEA68" w:rsidR="00E458F6" w:rsidRDefault="00E458F6" w:rsidP="00E458F6">
      <w:pPr>
        <w:tabs>
          <w:tab w:val="left" w:pos="1440"/>
        </w:tabs>
        <w:spacing w:after="0" w:line="240" w:lineRule="auto"/>
        <w:contextualSpacing/>
      </w:pPr>
      <w:r>
        <w:t>CS&amp;IA</w:t>
      </w:r>
      <w:r>
        <w:tab/>
        <w:t>Cyber Security and Information Assurance</w:t>
      </w:r>
    </w:p>
    <w:p w14:paraId="6526681A" w14:textId="3C5839E6" w:rsidR="001F610F" w:rsidRDefault="001F610F" w:rsidP="00E458F6">
      <w:pPr>
        <w:tabs>
          <w:tab w:val="left" w:pos="1440"/>
        </w:tabs>
        <w:spacing w:after="0" w:line="240" w:lineRule="auto"/>
        <w:contextualSpacing/>
      </w:pPr>
      <w:r>
        <w:t>DBT</w:t>
      </w:r>
      <w:r>
        <w:tab/>
        <w:t>Design Basis Threat</w:t>
      </w:r>
    </w:p>
    <w:p w14:paraId="0BF24EF8" w14:textId="77777777" w:rsidR="00E458F6" w:rsidRDefault="00E458F6" w:rsidP="00E458F6">
      <w:pPr>
        <w:tabs>
          <w:tab w:val="left" w:pos="1440"/>
        </w:tabs>
        <w:spacing w:after="0" w:line="240" w:lineRule="auto"/>
        <w:contextualSpacing/>
      </w:pPr>
      <w:proofErr w:type="spellStart"/>
      <w:r>
        <w:t>FSyP</w:t>
      </w:r>
      <w:proofErr w:type="spellEnd"/>
      <w:r>
        <w:tab/>
        <w:t>Fundamental Security Principle</w:t>
      </w:r>
    </w:p>
    <w:p w14:paraId="69CC3969" w14:textId="260AC848" w:rsidR="00E458F6" w:rsidRDefault="00E458F6" w:rsidP="00E458F6">
      <w:pPr>
        <w:tabs>
          <w:tab w:val="left" w:pos="1440"/>
        </w:tabs>
        <w:spacing w:after="0" w:line="240" w:lineRule="auto"/>
        <w:contextualSpacing/>
      </w:pPr>
      <w:r>
        <w:t>HMG</w:t>
      </w:r>
      <w:r>
        <w:tab/>
        <w:t>H</w:t>
      </w:r>
      <w:r w:rsidR="00B362F3">
        <w:t>is</w:t>
      </w:r>
      <w:r>
        <w:t xml:space="preserve"> Majesty’s Government</w:t>
      </w:r>
    </w:p>
    <w:p w14:paraId="5AC36F9F" w14:textId="77777777" w:rsidR="00E458F6" w:rsidRDefault="00E458F6" w:rsidP="00E458F6">
      <w:pPr>
        <w:tabs>
          <w:tab w:val="left" w:pos="1440"/>
        </w:tabs>
        <w:spacing w:after="0" w:line="240" w:lineRule="auto"/>
        <w:contextualSpacing/>
      </w:pPr>
      <w:r>
        <w:t>IAEA</w:t>
      </w:r>
      <w:r>
        <w:tab/>
        <w:t>International Atomic Energy Agency</w:t>
      </w:r>
    </w:p>
    <w:p w14:paraId="169E17FB" w14:textId="77777777" w:rsidR="00E458F6" w:rsidRDefault="00E458F6" w:rsidP="00E458F6">
      <w:pPr>
        <w:tabs>
          <w:tab w:val="left" w:pos="1440"/>
        </w:tabs>
        <w:spacing w:after="0" w:line="240" w:lineRule="auto"/>
        <w:contextualSpacing/>
      </w:pPr>
      <w:r>
        <w:t>NM</w:t>
      </w:r>
      <w:r>
        <w:tab/>
        <w:t>Nuclear Material</w:t>
      </w:r>
    </w:p>
    <w:p w14:paraId="4A0ABD44" w14:textId="77777777" w:rsidR="00E458F6" w:rsidRDefault="00E458F6" w:rsidP="00E458F6">
      <w:pPr>
        <w:tabs>
          <w:tab w:val="left" w:pos="1440"/>
        </w:tabs>
        <w:spacing w:after="0" w:line="240" w:lineRule="auto"/>
        <w:contextualSpacing/>
      </w:pPr>
      <w:r>
        <w:t>NISR</w:t>
      </w:r>
      <w:r>
        <w:tab/>
        <w:t>Nuclear Industries Security Regulations</w:t>
      </w:r>
    </w:p>
    <w:p w14:paraId="190BC5AD" w14:textId="77777777" w:rsidR="00E458F6" w:rsidRDefault="00E458F6" w:rsidP="00E458F6">
      <w:pPr>
        <w:tabs>
          <w:tab w:val="left" w:pos="1440"/>
        </w:tabs>
        <w:spacing w:after="0" w:line="240" w:lineRule="auto"/>
        <w:contextualSpacing/>
      </w:pPr>
      <w:r>
        <w:t>NSS</w:t>
      </w:r>
      <w:r>
        <w:tab/>
        <w:t>Nuclear Security Series</w:t>
      </w:r>
    </w:p>
    <w:p w14:paraId="73AB4DDE" w14:textId="77777777" w:rsidR="00E458F6" w:rsidRDefault="00E458F6" w:rsidP="00E458F6">
      <w:pPr>
        <w:tabs>
          <w:tab w:val="left" w:pos="1440"/>
        </w:tabs>
        <w:spacing w:after="0" w:line="240" w:lineRule="auto"/>
        <w:contextualSpacing/>
      </w:pPr>
      <w:r>
        <w:t>ONR</w:t>
      </w:r>
      <w:r>
        <w:tab/>
        <w:t>Office for Nuclear Regulation</w:t>
      </w:r>
    </w:p>
    <w:p w14:paraId="0DD73D8E" w14:textId="77777777" w:rsidR="00E458F6" w:rsidRDefault="00E458F6" w:rsidP="00E458F6">
      <w:pPr>
        <w:tabs>
          <w:tab w:val="left" w:pos="1440"/>
        </w:tabs>
        <w:spacing w:after="0" w:line="240" w:lineRule="auto"/>
        <w:contextualSpacing/>
      </w:pPr>
      <w:r>
        <w:t>OT</w:t>
      </w:r>
      <w:r>
        <w:tab/>
        <w:t>Operational Technology</w:t>
      </w:r>
    </w:p>
    <w:p w14:paraId="15612676" w14:textId="77777777" w:rsidR="00E458F6" w:rsidRDefault="00E458F6" w:rsidP="00E458F6">
      <w:pPr>
        <w:tabs>
          <w:tab w:val="left" w:pos="1440"/>
        </w:tabs>
        <w:spacing w:after="0" w:line="240" w:lineRule="auto"/>
        <w:contextualSpacing/>
      </w:pPr>
      <w:r>
        <w:t>PPS</w:t>
      </w:r>
      <w:r>
        <w:tab/>
        <w:t>Physical Protection System</w:t>
      </w:r>
    </w:p>
    <w:p w14:paraId="4B0D4758" w14:textId="77777777" w:rsidR="00E458F6" w:rsidRDefault="00E458F6" w:rsidP="00E458F6">
      <w:pPr>
        <w:tabs>
          <w:tab w:val="left" w:pos="1440"/>
        </w:tabs>
        <w:spacing w:after="0" w:line="240" w:lineRule="auto"/>
        <w:contextualSpacing/>
      </w:pPr>
      <w:proofErr w:type="spellStart"/>
      <w:r>
        <w:t>PSoS</w:t>
      </w:r>
      <w:proofErr w:type="spellEnd"/>
      <w:r>
        <w:tab/>
        <w:t>Police Service of Scotland</w:t>
      </w:r>
    </w:p>
    <w:p w14:paraId="5776E9F0" w14:textId="77777777" w:rsidR="00E458F6" w:rsidRDefault="00E458F6" w:rsidP="00E458F6">
      <w:pPr>
        <w:tabs>
          <w:tab w:val="left" w:pos="1440"/>
        </w:tabs>
        <w:spacing w:after="0" w:line="240" w:lineRule="auto"/>
        <w:contextualSpacing/>
      </w:pPr>
      <w:r>
        <w:t>SNI</w:t>
      </w:r>
      <w:r>
        <w:tab/>
        <w:t>Sensitive Nuclear Information</w:t>
      </w:r>
    </w:p>
    <w:p w14:paraId="08401B92" w14:textId="156D4CF2" w:rsidR="00E458F6" w:rsidRDefault="00E458F6" w:rsidP="00E458F6">
      <w:pPr>
        <w:tabs>
          <w:tab w:val="left" w:pos="1440"/>
        </w:tabs>
        <w:spacing w:after="0" w:line="240" w:lineRule="auto"/>
        <w:contextualSpacing/>
      </w:pPr>
      <w:r>
        <w:t>SPF</w:t>
      </w:r>
      <w:r>
        <w:tab/>
        <w:t>Security Policy Framework</w:t>
      </w:r>
    </w:p>
    <w:p w14:paraId="2899438A" w14:textId="1EA298C6" w:rsidR="00F86606" w:rsidRDefault="00F86606" w:rsidP="00E458F6">
      <w:pPr>
        <w:tabs>
          <w:tab w:val="left" w:pos="1440"/>
        </w:tabs>
        <w:spacing w:after="0" w:line="240" w:lineRule="auto"/>
        <w:contextualSpacing/>
      </w:pPr>
      <w:r>
        <w:t>STAR</w:t>
      </w:r>
      <w:r>
        <w:tab/>
      </w:r>
      <w:r w:rsidR="005E27D2" w:rsidRPr="005E27D2">
        <w:t>Sabotage Target Assessment Review</w:t>
      </w:r>
      <w:r w:rsidR="005E27D2">
        <w:rPr>
          <w:color w:val="333333"/>
          <w:sz w:val="23"/>
          <w:szCs w:val="23"/>
          <w:shd w:val="clear" w:color="auto" w:fill="FCFCFC"/>
        </w:rPr>
        <w:t> </w:t>
      </w:r>
    </w:p>
    <w:p w14:paraId="1E6E74D3" w14:textId="77777777" w:rsidR="00E458F6" w:rsidRDefault="00E458F6" w:rsidP="00E458F6">
      <w:pPr>
        <w:tabs>
          <w:tab w:val="left" w:pos="1440"/>
        </w:tabs>
        <w:spacing w:after="0" w:line="240" w:lineRule="auto"/>
        <w:contextualSpacing/>
      </w:pPr>
      <w:proofErr w:type="spellStart"/>
      <w:r>
        <w:t>SyAP</w:t>
      </w:r>
      <w:proofErr w:type="spellEnd"/>
      <w:r>
        <w:tab/>
        <w:t>Security Assessment Principle</w:t>
      </w:r>
    </w:p>
    <w:p w14:paraId="0E8492C1" w14:textId="77777777" w:rsidR="00E458F6" w:rsidRDefault="00E458F6" w:rsidP="00E458F6">
      <w:pPr>
        <w:tabs>
          <w:tab w:val="left" w:pos="1440"/>
        </w:tabs>
        <w:spacing w:after="0" w:line="240" w:lineRule="auto"/>
        <w:contextualSpacing/>
      </w:pPr>
      <w:proofErr w:type="spellStart"/>
      <w:r>
        <w:t>SyDP</w:t>
      </w:r>
      <w:proofErr w:type="spellEnd"/>
      <w:r>
        <w:tab/>
        <w:t>Security Delivery Principle</w:t>
      </w:r>
    </w:p>
    <w:p w14:paraId="0EFEB043" w14:textId="77777777" w:rsidR="00E458F6" w:rsidRDefault="00E458F6" w:rsidP="00E458F6">
      <w:pPr>
        <w:tabs>
          <w:tab w:val="left" w:pos="1440"/>
        </w:tabs>
        <w:spacing w:after="0" w:line="240" w:lineRule="auto"/>
        <w:contextualSpacing/>
      </w:pPr>
      <w:r>
        <w:t>TAG</w:t>
      </w:r>
      <w:r>
        <w:tab/>
        <w:t>Technical Assessment Guide</w:t>
      </w:r>
    </w:p>
    <w:p w14:paraId="5BBCAC04" w14:textId="0192DCE4" w:rsidR="00E458F6" w:rsidRDefault="00E458F6" w:rsidP="00E458F6">
      <w:pPr>
        <w:tabs>
          <w:tab w:val="left" w:pos="1440"/>
        </w:tabs>
        <w:spacing w:after="0" w:line="240" w:lineRule="auto"/>
        <w:contextualSpacing/>
      </w:pPr>
      <w:r>
        <w:t>TCC</w:t>
      </w:r>
      <w:r>
        <w:tab/>
        <w:t>T</w:t>
      </w:r>
      <w:r w:rsidR="0087425B">
        <w:t>ransport</w:t>
      </w:r>
      <w:r>
        <w:t xml:space="preserve"> Control Centre</w:t>
      </w:r>
    </w:p>
    <w:p w14:paraId="701FFFB3" w14:textId="77777777" w:rsidR="00E458F6" w:rsidRDefault="00E458F6" w:rsidP="00E458F6">
      <w:pPr>
        <w:tabs>
          <w:tab w:val="left" w:pos="1440"/>
        </w:tabs>
        <w:spacing w:after="0" w:line="240" w:lineRule="auto"/>
        <w:contextualSpacing/>
      </w:pPr>
      <w:proofErr w:type="spellStart"/>
      <w:r>
        <w:t>TptSP</w:t>
      </w:r>
      <w:proofErr w:type="spellEnd"/>
      <w:r>
        <w:tab/>
        <w:t>Transport Security Plan</w:t>
      </w:r>
    </w:p>
    <w:p w14:paraId="0C0493EB" w14:textId="48C363E4" w:rsidR="007B1D15" w:rsidRDefault="00E458F6" w:rsidP="00E458F6">
      <w:pPr>
        <w:tabs>
          <w:tab w:val="left" w:pos="1440"/>
        </w:tabs>
        <w:spacing w:after="0" w:line="240" w:lineRule="auto"/>
        <w:contextualSpacing/>
      </w:pPr>
      <w:r>
        <w:t>TSS</w:t>
      </w:r>
      <w:r>
        <w:tab/>
        <w:t>Transport Security Statement</w:t>
      </w:r>
    </w:p>
    <w:p w14:paraId="0ADBFC58" w14:textId="346C7FA1" w:rsidR="00E458F6" w:rsidRDefault="00E458F6" w:rsidP="00E458F6">
      <w:pPr>
        <w:tabs>
          <w:tab w:val="left" w:pos="1440"/>
        </w:tabs>
        <w:spacing w:after="0" w:line="240" w:lineRule="auto"/>
        <w:contextualSpacing/>
      </w:pPr>
    </w:p>
    <w:p w14:paraId="41691E27" w14:textId="77777777" w:rsidR="00E458F6" w:rsidRDefault="00E458F6" w:rsidP="00E458F6">
      <w:pPr>
        <w:tabs>
          <w:tab w:val="left" w:pos="1440"/>
        </w:tabs>
        <w:spacing w:after="0" w:line="240" w:lineRule="auto"/>
        <w:contextualSpacing/>
      </w:pPr>
    </w:p>
    <w:sectPr w:rsidR="00E458F6"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63C358" w14:textId="77777777" w:rsidR="0076273B" w:rsidRDefault="0076273B" w:rsidP="007D199A">
      <w:pPr>
        <w:spacing w:after="0"/>
      </w:pPr>
      <w:r>
        <w:separator/>
      </w:r>
    </w:p>
    <w:p w14:paraId="2349C8D6" w14:textId="77777777" w:rsidR="0076273B" w:rsidRDefault="0076273B"/>
    <w:p w14:paraId="60AA7742" w14:textId="77777777" w:rsidR="0076273B" w:rsidRDefault="0076273B"/>
  </w:endnote>
  <w:endnote w:type="continuationSeparator" w:id="0">
    <w:p w14:paraId="5BEA1331" w14:textId="77777777" w:rsidR="0076273B" w:rsidRDefault="0076273B" w:rsidP="007D199A">
      <w:pPr>
        <w:spacing w:after="0"/>
      </w:pPr>
      <w:r>
        <w:continuationSeparator/>
      </w:r>
    </w:p>
    <w:p w14:paraId="3DEF18DD" w14:textId="77777777" w:rsidR="0076273B" w:rsidRDefault="0076273B"/>
    <w:p w14:paraId="1899BCDD" w14:textId="77777777" w:rsidR="0076273B" w:rsidRDefault="007627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87F4C" w14:textId="03096E6E" w:rsidR="00A83C9A" w:rsidRPr="006A525B" w:rsidRDefault="00A83C9A" w:rsidP="00A83C9A">
    <w:pPr>
      <w:pStyle w:val="Footer"/>
      <w:jc w:val="left"/>
      <w:rPr>
        <w:szCs w:val="24"/>
      </w:rPr>
    </w:pPr>
    <w:r w:rsidRPr="006A525B">
      <w:rPr>
        <w:szCs w:val="24"/>
      </w:rPr>
      <w:t>ONR-DOC-TEMP-</w:t>
    </w:r>
    <w:r>
      <w:rPr>
        <w:szCs w:val="24"/>
      </w:rPr>
      <w:t>002</w:t>
    </w:r>
    <w:r w:rsidRPr="006A525B">
      <w:rPr>
        <w:szCs w:val="24"/>
      </w:rPr>
      <w:t xml:space="preserve"> (Issue </w:t>
    </w:r>
    <w:r>
      <w:rPr>
        <w:szCs w:val="24"/>
      </w:rPr>
      <w:t>5.</w:t>
    </w:r>
    <w:r w:rsidR="00962EA6">
      <w:rPr>
        <w:szCs w:val="24"/>
      </w:rPr>
      <w:t>6</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A64C97" w14:textId="77777777" w:rsidR="0076273B" w:rsidRPr="005E0344" w:rsidRDefault="0076273B" w:rsidP="005E0344">
      <w:pPr>
        <w:spacing w:after="120"/>
        <w:rPr>
          <w:color w:val="000000" w:themeColor="text2"/>
        </w:rPr>
      </w:pPr>
      <w:r w:rsidRPr="005E0344">
        <w:rPr>
          <w:color w:val="000000" w:themeColor="text2"/>
        </w:rPr>
        <w:separator/>
      </w:r>
    </w:p>
    <w:p w14:paraId="02D50863" w14:textId="77777777" w:rsidR="0076273B" w:rsidRDefault="0076273B"/>
  </w:footnote>
  <w:footnote w:type="continuationSeparator" w:id="0">
    <w:p w14:paraId="0329C785" w14:textId="77777777" w:rsidR="0076273B" w:rsidRPr="005E0344" w:rsidRDefault="0076273B" w:rsidP="0090581D">
      <w:pPr>
        <w:spacing w:after="120"/>
        <w:rPr>
          <w:color w:val="000000" w:themeColor="text2"/>
        </w:rPr>
      </w:pPr>
      <w:r w:rsidRPr="005E0344">
        <w:rPr>
          <w:color w:val="000000" w:themeColor="text2"/>
        </w:rPr>
        <w:continuationSeparator/>
      </w:r>
    </w:p>
    <w:p w14:paraId="74D7FD59" w14:textId="77777777" w:rsidR="0076273B" w:rsidRDefault="0076273B"/>
    <w:p w14:paraId="1D1F3CD7" w14:textId="77777777" w:rsidR="0076273B" w:rsidRDefault="0076273B"/>
  </w:footnote>
  <w:footnote w:type="continuationNotice" w:id="1">
    <w:p w14:paraId="5B0828AC" w14:textId="77777777" w:rsidR="0076273B" w:rsidRDefault="0076273B">
      <w:pPr>
        <w:spacing w:after="0"/>
      </w:pPr>
    </w:p>
    <w:p w14:paraId="630D3668" w14:textId="77777777" w:rsidR="0076273B" w:rsidRDefault="0076273B"/>
    <w:p w14:paraId="0CED3184" w14:textId="77777777" w:rsidR="0076273B" w:rsidRDefault="0076273B"/>
  </w:footnote>
  <w:footnote w:id="2">
    <w:p w14:paraId="757FC6A1" w14:textId="77777777" w:rsidR="0024465C" w:rsidRDefault="0024465C" w:rsidP="0024465C">
      <w:pPr>
        <w:pStyle w:val="FootnoteText"/>
      </w:pPr>
      <w:r>
        <w:rPr>
          <w:rStyle w:val="FootnoteReference"/>
        </w:rPr>
        <w:footnoteRef/>
      </w:r>
      <w:r>
        <w:t xml:space="preserve"> See SyAPs Annex D</w:t>
      </w:r>
    </w:p>
  </w:footnote>
  <w:footnote w:id="3">
    <w:p w14:paraId="491F41C2" w14:textId="77777777" w:rsidR="007715EF" w:rsidRDefault="007715EF" w:rsidP="007715EF">
      <w:pPr>
        <w:pStyle w:val="FootnoteText"/>
      </w:pPr>
      <w:r>
        <w:rPr>
          <w:rStyle w:val="FootnoteReference"/>
        </w:rPr>
        <w:footnoteRef/>
      </w:r>
      <w:r>
        <w:t xml:space="preserve"> For Category I and II NM.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56451949"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333088F6" w:rsidR="00177666" w:rsidRPr="00046936" w:rsidRDefault="003A7CAC"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FC2109">
          <w:rPr>
            <w:sz w:val="20"/>
            <w:szCs w:val="24"/>
          </w:rPr>
          <w:t>Class A Carriers – Transport Security Statements and Plans</w:t>
        </w:r>
      </w:sdtContent>
    </w:sdt>
    <w:r w:rsidR="004E3932" w:rsidRPr="00046936">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467246">
          <w:rPr>
            <w:sz w:val="20"/>
            <w:szCs w:val="24"/>
          </w:rPr>
          <w:t>2.1</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A65B1" w14:textId="583EC38A" w:rsidR="000B2BCD" w:rsidRPr="00046936" w:rsidRDefault="003A7CAC"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FC2109">
          <w:rPr>
            <w:sz w:val="20"/>
            <w:szCs w:val="24"/>
          </w:rPr>
          <w:t>Class A Carriers – Transport Security Statements and Plans</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467246">
          <w:rPr>
            <w:sz w:val="20"/>
            <w:szCs w:val="24"/>
          </w:rPr>
          <w:t>2.1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1"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6669CC"/>
    <w:multiLevelType w:val="multilevel"/>
    <w:tmpl w:val="F470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3F0CAF"/>
    <w:multiLevelType w:val="multilevel"/>
    <w:tmpl w:val="8E4A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957587"/>
    <w:multiLevelType w:val="multilevel"/>
    <w:tmpl w:val="270A36F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FF2D4E"/>
    <w:multiLevelType w:val="multilevel"/>
    <w:tmpl w:val="93ACBE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33359F"/>
    <w:multiLevelType w:val="multilevel"/>
    <w:tmpl w:val="8058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931938445">
    <w:abstractNumId w:val="9"/>
  </w:num>
  <w:num w:numId="2" w16cid:durableId="1073310459">
    <w:abstractNumId w:val="7"/>
  </w:num>
  <w:num w:numId="3" w16cid:durableId="1925340915">
    <w:abstractNumId w:val="6"/>
  </w:num>
  <w:num w:numId="4" w16cid:durableId="1726831122">
    <w:abstractNumId w:val="5"/>
  </w:num>
  <w:num w:numId="5" w16cid:durableId="129788488">
    <w:abstractNumId w:val="4"/>
  </w:num>
  <w:num w:numId="6" w16cid:durableId="1207571923">
    <w:abstractNumId w:val="8"/>
  </w:num>
  <w:num w:numId="7" w16cid:durableId="402533084">
    <w:abstractNumId w:val="3"/>
  </w:num>
  <w:num w:numId="8" w16cid:durableId="495001699">
    <w:abstractNumId w:val="2"/>
  </w:num>
  <w:num w:numId="9" w16cid:durableId="1780180898">
    <w:abstractNumId w:val="1"/>
  </w:num>
  <w:num w:numId="10" w16cid:durableId="1404913689">
    <w:abstractNumId w:val="0"/>
  </w:num>
  <w:num w:numId="11" w16cid:durableId="1778139601">
    <w:abstractNumId w:val="12"/>
  </w:num>
  <w:num w:numId="12" w16cid:durableId="783227120">
    <w:abstractNumId w:val="23"/>
  </w:num>
  <w:num w:numId="13" w16cid:durableId="1367565994">
    <w:abstractNumId w:val="16"/>
  </w:num>
  <w:num w:numId="14" w16cid:durableId="1174225926">
    <w:abstractNumId w:val="14"/>
  </w:num>
  <w:num w:numId="15" w16cid:durableId="150562503">
    <w:abstractNumId w:val="23"/>
    <w:lvlOverride w:ilvl="0">
      <w:startOverride w:val="1"/>
    </w:lvlOverride>
  </w:num>
  <w:num w:numId="16" w16cid:durableId="708191280">
    <w:abstractNumId w:val="16"/>
    <w:lvlOverride w:ilvl="0">
      <w:startOverride w:val="1"/>
    </w:lvlOverride>
  </w:num>
  <w:num w:numId="17" w16cid:durableId="735981639">
    <w:abstractNumId w:val="14"/>
    <w:lvlOverride w:ilvl="0">
      <w:startOverride w:val="1"/>
    </w:lvlOverride>
  </w:num>
  <w:num w:numId="18" w16cid:durableId="966933876">
    <w:abstractNumId w:val="22"/>
  </w:num>
  <w:num w:numId="19" w16cid:durableId="985626502">
    <w:abstractNumId w:val="20"/>
  </w:num>
  <w:num w:numId="20" w16cid:durableId="2086879214">
    <w:abstractNumId w:val="13"/>
  </w:num>
  <w:num w:numId="21" w16cid:durableId="399718409">
    <w:abstractNumId w:val="25"/>
  </w:num>
  <w:num w:numId="22" w16cid:durableId="999388671">
    <w:abstractNumId w:val="19"/>
  </w:num>
  <w:num w:numId="23" w16cid:durableId="149121498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8381196">
    <w:abstractNumId w:val="19"/>
  </w:num>
  <w:num w:numId="25" w16cid:durableId="20966315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3636562">
    <w:abstractNumId w:val="26"/>
  </w:num>
  <w:num w:numId="27" w16cid:durableId="561334936">
    <w:abstractNumId w:val="11"/>
  </w:num>
  <w:num w:numId="28" w16cid:durableId="391512796">
    <w:abstractNumId w:val="10"/>
  </w:num>
  <w:num w:numId="29" w16cid:durableId="19601881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49461313">
    <w:abstractNumId w:val="17"/>
  </w:num>
  <w:num w:numId="31" w16cid:durableId="20013520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5803963">
    <w:abstractNumId w:val="18"/>
  </w:num>
  <w:num w:numId="33" w16cid:durableId="7413421">
    <w:abstractNumId w:val="24"/>
  </w:num>
  <w:num w:numId="34" w16cid:durableId="377974685">
    <w:abstractNumId w:val="21"/>
  </w:num>
  <w:num w:numId="35" w16cid:durableId="92203000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05B"/>
    <w:rsid w:val="00002F03"/>
    <w:rsid w:val="000032C9"/>
    <w:rsid w:val="00004C16"/>
    <w:rsid w:val="00011177"/>
    <w:rsid w:val="00014814"/>
    <w:rsid w:val="000149D6"/>
    <w:rsid w:val="000163B6"/>
    <w:rsid w:val="00024522"/>
    <w:rsid w:val="00024B2E"/>
    <w:rsid w:val="00027F4F"/>
    <w:rsid w:val="00030430"/>
    <w:rsid w:val="0003078E"/>
    <w:rsid w:val="00031B89"/>
    <w:rsid w:val="000324ED"/>
    <w:rsid w:val="000334DD"/>
    <w:rsid w:val="0003693D"/>
    <w:rsid w:val="000375A2"/>
    <w:rsid w:val="00037EE2"/>
    <w:rsid w:val="0004335C"/>
    <w:rsid w:val="0004440F"/>
    <w:rsid w:val="00044F02"/>
    <w:rsid w:val="00046936"/>
    <w:rsid w:val="00047B94"/>
    <w:rsid w:val="00050788"/>
    <w:rsid w:val="00052B9F"/>
    <w:rsid w:val="00052C8A"/>
    <w:rsid w:val="000548C8"/>
    <w:rsid w:val="00055898"/>
    <w:rsid w:val="000712B9"/>
    <w:rsid w:val="00075605"/>
    <w:rsid w:val="00075C66"/>
    <w:rsid w:val="00081114"/>
    <w:rsid w:val="00082879"/>
    <w:rsid w:val="00091EEA"/>
    <w:rsid w:val="000950B3"/>
    <w:rsid w:val="00097B82"/>
    <w:rsid w:val="000A51C3"/>
    <w:rsid w:val="000B2BCD"/>
    <w:rsid w:val="000C2DDC"/>
    <w:rsid w:val="000D2FD4"/>
    <w:rsid w:val="000D407D"/>
    <w:rsid w:val="000F1B7B"/>
    <w:rsid w:val="000F2ED4"/>
    <w:rsid w:val="000F3932"/>
    <w:rsid w:val="001028E8"/>
    <w:rsid w:val="00122FCC"/>
    <w:rsid w:val="00126752"/>
    <w:rsid w:val="001305C8"/>
    <w:rsid w:val="00130B30"/>
    <w:rsid w:val="00131E06"/>
    <w:rsid w:val="001321E2"/>
    <w:rsid w:val="00136064"/>
    <w:rsid w:val="00140E1C"/>
    <w:rsid w:val="001447A9"/>
    <w:rsid w:val="00147AE4"/>
    <w:rsid w:val="0015407B"/>
    <w:rsid w:val="0015432B"/>
    <w:rsid w:val="001571E5"/>
    <w:rsid w:val="00177666"/>
    <w:rsid w:val="0018423B"/>
    <w:rsid w:val="001849CA"/>
    <w:rsid w:val="00185410"/>
    <w:rsid w:val="00186632"/>
    <w:rsid w:val="0018673D"/>
    <w:rsid w:val="00192352"/>
    <w:rsid w:val="0019343C"/>
    <w:rsid w:val="001A0905"/>
    <w:rsid w:val="001C4BB5"/>
    <w:rsid w:val="001C4D63"/>
    <w:rsid w:val="001D0427"/>
    <w:rsid w:val="001D0DE0"/>
    <w:rsid w:val="001D5AFF"/>
    <w:rsid w:val="001D74B4"/>
    <w:rsid w:val="001E03E1"/>
    <w:rsid w:val="001F059F"/>
    <w:rsid w:val="001F0BFC"/>
    <w:rsid w:val="001F407A"/>
    <w:rsid w:val="001F610F"/>
    <w:rsid w:val="00200811"/>
    <w:rsid w:val="00200CA1"/>
    <w:rsid w:val="00202E15"/>
    <w:rsid w:val="0021338D"/>
    <w:rsid w:val="00214D43"/>
    <w:rsid w:val="002150C3"/>
    <w:rsid w:val="0021790A"/>
    <w:rsid w:val="0022020E"/>
    <w:rsid w:val="00221ED0"/>
    <w:rsid w:val="002238B4"/>
    <w:rsid w:val="00226EC3"/>
    <w:rsid w:val="002319AB"/>
    <w:rsid w:val="002319AC"/>
    <w:rsid w:val="00234342"/>
    <w:rsid w:val="0023523C"/>
    <w:rsid w:val="0024040D"/>
    <w:rsid w:val="0024465C"/>
    <w:rsid w:val="00245A0D"/>
    <w:rsid w:val="002529B7"/>
    <w:rsid w:val="00255FA3"/>
    <w:rsid w:val="00257288"/>
    <w:rsid w:val="00261FB6"/>
    <w:rsid w:val="002629F8"/>
    <w:rsid w:val="00263396"/>
    <w:rsid w:val="00265585"/>
    <w:rsid w:val="002659FA"/>
    <w:rsid w:val="00267815"/>
    <w:rsid w:val="002709A3"/>
    <w:rsid w:val="00277B55"/>
    <w:rsid w:val="00280DDF"/>
    <w:rsid w:val="00283FEB"/>
    <w:rsid w:val="002917FF"/>
    <w:rsid w:val="00292ADF"/>
    <w:rsid w:val="002A0DEC"/>
    <w:rsid w:val="002A3919"/>
    <w:rsid w:val="002A4490"/>
    <w:rsid w:val="002A569E"/>
    <w:rsid w:val="002B1C53"/>
    <w:rsid w:val="002C273F"/>
    <w:rsid w:val="002C3F7B"/>
    <w:rsid w:val="002C62C8"/>
    <w:rsid w:val="002E0BE4"/>
    <w:rsid w:val="002E3B58"/>
    <w:rsid w:val="002E3E8A"/>
    <w:rsid w:val="002E6A6A"/>
    <w:rsid w:val="002F2211"/>
    <w:rsid w:val="002F3397"/>
    <w:rsid w:val="002F7D74"/>
    <w:rsid w:val="003002E3"/>
    <w:rsid w:val="0030113B"/>
    <w:rsid w:val="003025B6"/>
    <w:rsid w:val="0030344E"/>
    <w:rsid w:val="0030380D"/>
    <w:rsid w:val="003040C8"/>
    <w:rsid w:val="00312411"/>
    <w:rsid w:val="003158C2"/>
    <w:rsid w:val="00323E71"/>
    <w:rsid w:val="00325EA6"/>
    <w:rsid w:val="00346C8E"/>
    <w:rsid w:val="00347CA8"/>
    <w:rsid w:val="00357A80"/>
    <w:rsid w:val="00367BD5"/>
    <w:rsid w:val="0037176F"/>
    <w:rsid w:val="0038761F"/>
    <w:rsid w:val="0039014D"/>
    <w:rsid w:val="00390327"/>
    <w:rsid w:val="00393B78"/>
    <w:rsid w:val="003970B0"/>
    <w:rsid w:val="003A01E9"/>
    <w:rsid w:val="003A7CAC"/>
    <w:rsid w:val="003C0306"/>
    <w:rsid w:val="003C0DD8"/>
    <w:rsid w:val="003C114C"/>
    <w:rsid w:val="003C18C4"/>
    <w:rsid w:val="003C465D"/>
    <w:rsid w:val="003D495D"/>
    <w:rsid w:val="003E098E"/>
    <w:rsid w:val="003E2F1A"/>
    <w:rsid w:val="003E2FAE"/>
    <w:rsid w:val="003F0210"/>
    <w:rsid w:val="003F40DA"/>
    <w:rsid w:val="00404B0C"/>
    <w:rsid w:val="00405E9C"/>
    <w:rsid w:val="00407CF7"/>
    <w:rsid w:val="00415ED6"/>
    <w:rsid w:val="00417CAF"/>
    <w:rsid w:val="00420A11"/>
    <w:rsid w:val="00422265"/>
    <w:rsid w:val="0042657E"/>
    <w:rsid w:val="004317FE"/>
    <w:rsid w:val="004373A7"/>
    <w:rsid w:val="00437D94"/>
    <w:rsid w:val="0044030C"/>
    <w:rsid w:val="00451ED6"/>
    <w:rsid w:val="00453FC6"/>
    <w:rsid w:val="00454114"/>
    <w:rsid w:val="004633B6"/>
    <w:rsid w:val="00463529"/>
    <w:rsid w:val="004638C7"/>
    <w:rsid w:val="004648A4"/>
    <w:rsid w:val="00467246"/>
    <w:rsid w:val="00471380"/>
    <w:rsid w:val="00483C82"/>
    <w:rsid w:val="004845A6"/>
    <w:rsid w:val="00485126"/>
    <w:rsid w:val="00494F0D"/>
    <w:rsid w:val="00496BFD"/>
    <w:rsid w:val="00496E5D"/>
    <w:rsid w:val="004A3DF2"/>
    <w:rsid w:val="004B4A91"/>
    <w:rsid w:val="004C361D"/>
    <w:rsid w:val="004C4891"/>
    <w:rsid w:val="004D2C89"/>
    <w:rsid w:val="004D7CD7"/>
    <w:rsid w:val="004E3932"/>
    <w:rsid w:val="004E6CB9"/>
    <w:rsid w:val="004F1E79"/>
    <w:rsid w:val="004F311B"/>
    <w:rsid w:val="004F5F33"/>
    <w:rsid w:val="0050103A"/>
    <w:rsid w:val="0050338E"/>
    <w:rsid w:val="00511B0F"/>
    <w:rsid w:val="0052670E"/>
    <w:rsid w:val="00536721"/>
    <w:rsid w:val="00537F56"/>
    <w:rsid w:val="00545BAA"/>
    <w:rsid w:val="00546140"/>
    <w:rsid w:val="005467CE"/>
    <w:rsid w:val="005504C2"/>
    <w:rsid w:val="0055388E"/>
    <w:rsid w:val="005754AE"/>
    <w:rsid w:val="005763D7"/>
    <w:rsid w:val="00577FB5"/>
    <w:rsid w:val="005852D1"/>
    <w:rsid w:val="00587A22"/>
    <w:rsid w:val="00587E35"/>
    <w:rsid w:val="00590AC6"/>
    <w:rsid w:val="0059299D"/>
    <w:rsid w:val="00593B7D"/>
    <w:rsid w:val="00595C8C"/>
    <w:rsid w:val="00597747"/>
    <w:rsid w:val="005A4CDD"/>
    <w:rsid w:val="005B1747"/>
    <w:rsid w:val="005B57E4"/>
    <w:rsid w:val="005B5ABD"/>
    <w:rsid w:val="005B5DD1"/>
    <w:rsid w:val="005B7798"/>
    <w:rsid w:val="005B7FC8"/>
    <w:rsid w:val="005C140A"/>
    <w:rsid w:val="005C49ED"/>
    <w:rsid w:val="005C6763"/>
    <w:rsid w:val="005D3164"/>
    <w:rsid w:val="005E0344"/>
    <w:rsid w:val="005E17B4"/>
    <w:rsid w:val="005E211F"/>
    <w:rsid w:val="005E27D2"/>
    <w:rsid w:val="005E440B"/>
    <w:rsid w:val="005E4BFA"/>
    <w:rsid w:val="005F2C85"/>
    <w:rsid w:val="005F5307"/>
    <w:rsid w:val="00604C93"/>
    <w:rsid w:val="00605ADB"/>
    <w:rsid w:val="00611C9F"/>
    <w:rsid w:val="00611D5B"/>
    <w:rsid w:val="00621BF6"/>
    <w:rsid w:val="00627555"/>
    <w:rsid w:val="00627B76"/>
    <w:rsid w:val="006316C4"/>
    <w:rsid w:val="006322A0"/>
    <w:rsid w:val="006361FD"/>
    <w:rsid w:val="00637B24"/>
    <w:rsid w:val="0064226F"/>
    <w:rsid w:val="00653298"/>
    <w:rsid w:val="0066150C"/>
    <w:rsid w:val="00663A7C"/>
    <w:rsid w:val="00665029"/>
    <w:rsid w:val="006672E3"/>
    <w:rsid w:val="00667DF2"/>
    <w:rsid w:val="00670DF1"/>
    <w:rsid w:val="00671345"/>
    <w:rsid w:val="00672A9B"/>
    <w:rsid w:val="00674646"/>
    <w:rsid w:val="0067581B"/>
    <w:rsid w:val="00675884"/>
    <w:rsid w:val="00680741"/>
    <w:rsid w:val="006966CA"/>
    <w:rsid w:val="00696D09"/>
    <w:rsid w:val="00696EE0"/>
    <w:rsid w:val="00697980"/>
    <w:rsid w:val="006A18C9"/>
    <w:rsid w:val="006A19EF"/>
    <w:rsid w:val="006A43D5"/>
    <w:rsid w:val="006A525B"/>
    <w:rsid w:val="006C045F"/>
    <w:rsid w:val="006C4196"/>
    <w:rsid w:val="006C63B0"/>
    <w:rsid w:val="006C76A2"/>
    <w:rsid w:val="006C792E"/>
    <w:rsid w:val="006D116C"/>
    <w:rsid w:val="006E200C"/>
    <w:rsid w:val="006E22C1"/>
    <w:rsid w:val="006E7C42"/>
    <w:rsid w:val="006F168A"/>
    <w:rsid w:val="006F5076"/>
    <w:rsid w:val="006F6009"/>
    <w:rsid w:val="006F6D5C"/>
    <w:rsid w:val="0070321D"/>
    <w:rsid w:val="00704976"/>
    <w:rsid w:val="007068BA"/>
    <w:rsid w:val="007076EC"/>
    <w:rsid w:val="00716AB1"/>
    <w:rsid w:val="007171A7"/>
    <w:rsid w:val="00721D63"/>
    <w:rsid w:val="00732C7B"/>
    <w:rsid w:val="00734D2B"/>
    <w:rsid w:val="00737705"/>
    <w:rsid w:val="007405B2"/>
    <w:rsid w:val="007408D4"/>
    <w:rsid w:val="007420AC"/>
    <w:rsid w:val="00742617"/>
    <w:rsid w:val="00751FBD"/>
    <w:rsid w:val="0076273B"/>
    <w:rsid w:val="007715EF"/>
    <w:rsid w:val="007723BD"/>
    <w:rsid w:val="00783AFA"/>
    <w:rsid w:val="00785427"/>
    <w:rsid w:val="00790540"/>
    <w:rsid w:val="007968CA"/>
    <w:rsid w:val="007976F3"/>
    <w:rsid w:val="007A2AB7"/>
    <w:rsid w:val="007A43FF"/>
    <w:rsid w:val="007B1D15"/>
    <w:rsid w:val="007B1DD2"/>
    <w:rsid w:val="007B3918"/>
    <w:rsid w:val="007C09A9"/>
    <w:rsid w:val="007C0AD9"/>
    <w:rsid w:val="007C23D3"/>
    <w:rsid w:val="007C3C1D"/>
    <w:rsid w:val="007C7F65"/>
    <w:rsid w:val="007D199A"/>
    <w:rsid w:val="007D2EBE"/>
    <w:rsid w:val="007E1A31"/>
    <w:rsid w:val="007E1C07"/>
    <w:rsid w:val="007F24B6"/>
    <w:rsid w:val="007F2A70"/>
    <w:rsid w:val="007F5EFE"/>
    <w:rsid w:val="007F6460"/>
    <w:rsid w:val="00803D94"/>
    <w:rsid w:val="00806D68"/>
    <w:rsid w:val="00816657"/>
    <w:rsid w:val="00817C0C"/>
    <w:rsid w:val="008229BA"/>
    <w:rsid w:val="00830B30"/>
    <w:rsid w:val="00835A98"/>
    <w:rsid w:val="00836C85"/>
    <w:rsid w:val="00845390"/>
    <w:rsid w:val="0084601B"/>
    <w:rsid w:val="008606F0"/>
    <w:rsid w:val="00865489"/>
    <w:rsid w:val="0086553D"/>
    <w:rsid w:val="0086599D"/>
    <w:rsid w:val="0087078D"/>
    <w:rsid w:val="0087425B"/>
    <w:rsid w:val="00874FEB"/>
    <w:rsid w:val="00881B6F"/>
    <w:rsid w:val="00882AA4"/>
    <w:rsid w:val="00883E22"/>
    <w:rsid w:val="00884E43"/>
    <w:rsid w:val="00887EC6"/>
    <w:rsid w:val="0089084C"/>
    <w:rsid w:val="00893409"/>
    <w:rsid w:val="00893D9F"/>
    <w:rsid w:val="008A2379"/>
    <w:rsid w:val="008A4329"/>
    <w:rsid w:val="008A578E"/>
    <w:rsid w:val="008B1519"/>
    <w:rsid w:val="008B4026"/>
    <w:rsid w:val="008B69E3"/>
    <w:rsid w:val="008B7BCC"/>
    <w:rsid w:val="008C50C3"/>
    <w:rsid w:val="008C7094"/>
    <w:rsid w:val="008D2B97"/>
    <w:rsid w:val="008D49A5"/>
    <w:rsid w:val="008D54BE"/>
    <w:rsid w:val="008D6C81"/>
    <w:rsid w:val="008E3044"/>
    <w:rsid w:val="008E4D67"/>
    <w:rsid w:val="008E62E3"/>
    <w:rsid w:val="008E6CF0"/>
    <w:rsid w:val="008F1439"/>
    <w:rsid w:val="008F3424"/>
    <w:rsid w:val="008F660E"/>
    <w:rsid w:val="008F66F3"/>
    <w:rsid w:val="008F7051"/>
    <w:rsid w:val="008F75EF"/>
    <w:rsid w:val="009033A9"/>
    <w:rsid w:val="00904152"/>
    <w:rsid w:val="0090581D"/>
    <w:rsid w:val="00913A33"/>
    <w:rsid w:val="0091439C"/>
    <w:rsid w:val="00920572"/>
    <w:rsid w:val="00920BF2"/>
    <w:rsid w:val="0092469B"/>
    <w:rsid w:val="00926DE4"/>
    <w:rsid w:val="00927379"/>
    <w:rsid w:val="0093436A"/>
    <w:rsid w:val="009349A9"/>
    <w:rsid w:val="00936C52"/>
    <w:rsid w:val="0095489B"/>
    <w:rsid w:val="00955142"/>
    <w:rsid w:val="00962EA6"/>
    <w:rsid w:val="00966FB9"/>
    <w:rsid w:val="009671CD"/>
    <w:rsid w:val="009751A9"/>
    <w:rsid w:val="00980F9C"/>
    <w:rsid w:val="0098632B"/>
    <w:rsid w:val="00987C22"/>
    <w:rsid w:val="00997BFB"/>
    <w:rsid w:val="009A61E6"/>
    <w:rsid w:val="009A7348"/>
    <w:rsid w:val="009A7959"/>
    <w:rsid w:val="009B462C"/>
    <w:rsid w:val="009C15F3"/>
    <w:rsid w:val="009C2982"/>
    <w:rsid w:val="009D3BC7"/>
    <w:rsid w:val="009E07C2"/>
    <w:rsid w:val="009E0E52"/>
    <w:rsid w:val="009F72F9"/>
    <w:rsid w:val="00A00205"/>
    <w:rsid w:val="00A00AF0"/>
    <w:rsid w:val="00A11091"/>
    <w:rsid w:val="00A14B5A"/>
    <w:rsid w:val="00A204F6"/>
    <w:rsid w:val="00A3567F"/>
    <w:rsid w:val="00A37698"/>
    <w:rsid w:val="00A41ED3"/>
    <w:rsid w:val="00A479EF"/>
    <w:rsid w:val="00A51297"/>
    <w:rsid w:val="00A55A78"/>
    <w:rsid w:val="00A56C01"/>
    <w:rsid w:val="00A70952"/>
    <w:rsid w:val="00A81D82"/>
    <w:rsid w:val="00A83C9A"/>
    <w:rsid w:val="00A8606E"/>
    <w:rsid w:val="00A934AA"/>
    <w:rsid w:val="00A93E33"/>
    <w:rsid w:val="00AA6D10"/>
    <w:rsid w:val="00AA71E5"/>
    <w:rsid w:val="00AB4683"/>
    <w:rsid w:val="00AB6970"/>
    <w:rsid w:val="00AC1517"/>
    <w:rsid w:val="00AC1939"/>
    <w:rsid w:val="00AC2A54"/>
    <w:rsid w:val="00AC4514"/>
    <w:rsid w:val="00AC7C05"/>
    <w:rsid w:val="00AC7CAA"/>
    <w:rsid w:val="00AD167C"/>
    <w:rsid w:val="00AD17C7"/>
    <w:rsid w:val="00AD4041"/>
    <w:rsid w:val="00AD5011"/>
    <w:rsid w:val="00AD5062"/>
    <w:rsid w:val="00AD78FC"/>
    <w:rsid w:val="00AE302B"/>
    <w:rsid w:val="00AE4F54"/>
    <w:rsid w:val="00AE6CAD"/>
    <w:rsid w:val="00AF31F0"/>
    <w:rsid w:val="00B16D78"/>
    <w:rsid w:val="00B23261"/>
    <w:rsid w:val="00B259DF"/>
    <w:rsid w:val="00B362F3"/>
    <w:rsid w:val="00B44B1F"/>
    <w:rsid w:val="00B50450"/>
    <w:rsid w:val="00B615F5"/>
    <w:rsid w:val="00B64141"/>
    <w:rsid w:val="00B64E72"/>
    <w:rsid w:val="00B73194"/>
    <w:rsid w:val="00B77913"/>
    <w:rsid w:val="00B824FB"/>
    <w:rsid w:val="00B82646"/>
    <w:rsid w:val="00B8495A"/>
    <w:rsid w:val="00B92E1A"/>
    <w:rsid w:val="00B97359"/>
    <w:rsid w:val="00B97A8F"/>
    <w:rsid w:val="00BA4E58"/>
    <w:rsid w:val="00BA7074"/>
    <w:rsid w:val="00BB5EBA"/>
    <w:rsid w:val="00BB7829"/>
    <w:rsid w:val="00BC15FD"/>
    <w:rsid w:val="00BC4633"/>
    <w:rsid w:val="00BD1457"/>
    <w:rsid w:val="00BD3825"/>
    <w:rsid w:val="00BE2AD9"/>
    <w:rsid w:val="00BE56D5"/>
    <w:rsid w:val="00BF27FE"/>
    <w:rsid w:val="00BF4526"/>
    <w:rsid w:val="00C043B3"/>
    <w:rsid w:val="00C079AB"/>
    <w:rsid w:val="00C10E61"/>
    <w:rsid w:val="00C14787"/>
    <w:rsid w:val="00C1596D"/>
    <w:rsid w:val="00C15B8D"/>
    <w:rsid w:val="00C17010"/>
    <w:rsid w:val="00C20562"/>
    <w:rsid w:val="00C215C3"/>
    <w:rsid w:val="00C23A96"/>
    <w:rsid w:val="00C249C6"/>
    <w:rsid w:val="00C32CC1"/>
    <w:rsid w:val="00C35D86"/>
    <w:rsid w:val="00C3613D"/>
    <w:rsid w:val="00C426EC"/>
    <w:rsid w:val="00C53B86"/>
    <w:rsid w:val="00C57F95"/>
    <w:rsid w:val="00C6483C"/>
    <w:rsid w:val="00C64AE9"/>
    <w:rsid w:val="00C70CFF"/>
    <w:rsid w:val="00C718FE"/>
    <w:rsid w:val="00C73F40"/>
    <w:rsid w:val="00C810F2"/>
    <w:rsid w:val="00C8773D"/>
    <w:rsid w:val="00C87ABB"/>
    <w:rsid w:val="00C87D17"/>
    <w:rsid w:val="00C91831"/>
    <w:rsid w:val="00C953DF"/>
    <w:rsid w:val="00C96905"/>
    <w:rsid w:val="00CA2905"/>
    <w:rsid w:val="00CA7B44"/>
    <w:rsid w:val="00CD48E3"/>
    <w:rsid w:val="00CD5C5D"/>
    <w:rsid w:val="00CE1DB2"/>
    <w:rsid w:val="00CE2709"/>
    <w:rsid w:val="00CE2D64"/>
    <w:rsid w:val="00CE6198"/>
    <w:rsid w:val="00CF4340"/>
    <w:rsid w:val="00CF6230"/>
    <w:rsid w:val="00D017FC"/>
    <w:rsid w:val="00D0226A"/>
    <w:rsid w:val="00D1256B"/>
    <w:rsid w:val="00D13147"/>
    <w:rsid w:val="00D240F4"/>
    <w:rsid w:val="00D2558E"/>
    <w:rsid w:val="00D339FA"/>
    <w:rsid w:val="00D353E8"/>
    <w:rsid w:val="00D5715A"/>
    <w:rsid w:val="00D65401"/>
    <w:rsid w:val="00D71687"/>
    <w:rsid w:val="00D74813"/>
    <w:rsid w:val="00DA1FE6"/>
    <w:rsid w:val="00DA30BC"/>
    <w:rsid w:val="00DA69C2"/>
    <w:rsid w:val="00DA6D70"/>
    <w:rsid w:val="00DB6050"/>
    <w:rsid w:val="00DC2C34"/>
    <w:rsid w:val="00DC4909"/>
    <w:rsid w:val="00DD5B5A"/>
    <w:rsid w:val="00DE2C87"/>
    <w:rsid w:val="00DE459A"/>
    <w:rsid w:val="00DF27DA"/>
    <w:rsid w:val="00DF4DBE"/>
    <w:rsid w:val="00E01077"/>
    <w:rsid w:val="00E10DEB"/>
    <w:rsid w:val="00E200B4"/>
    <w:rsid w:val="00E20B32"/>
    <w:rsid w:val="00E221DC"/>
    <w:rsid w:val="00E2662A"/>
    <w:rsid w:val="00E34607"/>
    <w:rsid w:val="00E40820"/>
    <w:rsid w:val="00E458F6"/>
    <w:rsid w:val="00E4658F"/>
    <w:rsid w:val="00E53A23"/>
    <w:rsid w:val="00E54A67"/>
    <w:rsid w:val="00E57DB9"/>
    <w:rsid w:val="00E61C0D"/>
    <w:rsid w:val="00E63EB4"/>
    <w:rsid w:val="00E64912"/>
    <w:rsid w:val="00E66160"/>
    <w:rsid w:val="00E67022"/>
    <w:rsid w:val="00E71329"/>
    <w:rsid w:val="00E8363B"/>
    <w:rsid w:val="00E84966"/>
    <w:rsid w:val="00E90780"/>
    <w:rsid w:val="00E92383"/>
    <w:rsid w:val="00E9489D"/>
    <w:rsid w:val="00EA1605"/>
    <w:rsid w:val="00EA1B3A"/>
    <w:rsid w:val="00EA2109"/>
    <w:rsid w:val="00EC66EC"/>
    <w:rsid w:val="00ED288C"/>
    <w:rsid w:val="00ED4D4E"/>
    <w:rsid w:val="00EE0C77"/>
    <w:rsid w:val="00EE2D16"/>
    <w:rsid w:val="00EE4E54"/>
    <w:rsid w:val="00EF2F7F"/>
    <w:rsid w:val="00F034BF"/>
    <w:rsid w:val="00F21DE3"/>
    <w:rsid w:val="00F246AF"/>
    <w:rsid w:val="00F3284E"/>
    <w:rsid w:val="00F352A6"/>
    <w:rsid w:val="00F37740"/>
    <w:rsid w:val="00F40EE3"/>
    <w:rsid w:val="00F436BB"/>
    <w:rsid w:val="00F44BEF"/>
    <w:rsid w:val="00F47145"/>
    <w:rsid w:val="00F5198F"/>
    <w:rsid w:val="00F545BF"/>
    <w:rsid w:val="00F56152"/>
    <w:rsid w:val="00F61B86"/>
    <w:rsid w:val="00F63AA5"/>
    <w:rsid w:val="00F71B56"/>
    <w:rsid w:val="00F7687C"/>
    <w:rsid w:val="00F832C8"/>
    <w:rsid w:val="00F86606"/>
    <w:rsid w:val="00F866F2"/>
    <w:rsid w:val="00F873B3"/>
    <w:rsid w:val="00F96177"/>
    <w:rsid w:val="00FA42B9"/>
    <w:rsid w:val="00FA755A"/>
    <w:rsid w:val="00FB2B0F"/>
    <w:rsid w:val="00FB385A"/>
    <w:rsid w:val="00FB3F53"/>
    <w:rsid w:val="00FB4F6B"/>
    <w:rsid w:val="00FB5FE1"/>
    <w:rsid w:val="00FC0E8D"/>
    <w:rsid w:val="00FC2109"/>
    <w:rsid w:val="00FC46EF"/>
    <w:rsid w:val="00FC6910"/>
    <w:rsid w:val="00FD31B3"/>
    <w:rsid w:val="00FD418B"/>
    <w:rsid w:val="00FD4204"/>
    <w:rsid w:val="00FE72C3"/>
    <w:rsid w:val="00FF2C9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2"/>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paragraph" w:styleId="Revision">
    <w:name w:val="Revision"/>
    <w:hidden/>
    <w:uiPriority w:val="99"/>
    <w:semiHidden/>
    <w:rsid w:val="0087078D"/>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40788618">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827468">
      <w:bodyDiv w:val="1"/>
      <w:marLeft w:val="0"/>
      <w:marRight w:val="0"/>
      <w:marTop w:val="0"/>
      <w:marBottom w:val="0"/>
      <w:divBdr>
        <w:top w:val="none" w:sz="0" w:space="0" w:color="auto"/>
        <w:left w:val="none" w:sz="0" w:space="0" w:color="auto"/>
        <w:bottom w:val="none" w:sz="0" w:space="0" w:color="auto"/>
        <w:right w:val="none" w:sz="0" w:space="0" w:color="auto"/>
      </w:divBdr>
    </w:div>
    <w:div w:id="123624026">
      <w:bodyDiv w:val="1"/>
      <w:marLeft w:val="0"/>
      <w:marRight w:val="0"/>
      <w:marTop w:val="0"/>
      <w:marBottom w:val="0"/>
      <w:divBdr>
        <w:top w:val="none" w:sz="0" w:space="0" w:color="auto"/>
        <w:left w:val="none" w:sz="0" w:space="0" w:color="auto"/>
        <w:bottom w:val="none" w:sz="0" w:space="0" w:color="auto"/>
        <w:right w:val="none" w:sz="0" w:space="0" w:color="auto"/>
      </w:divBdr>
    </w:div>
    <w:div w:id="126628605">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56641876">
      <w:bodyDiv w:val="1"/>
      <w:marLeft w:val="0"/>
      <w:marRight w:val="0"/>
      <w:marTop w:val="0"/>
      <w:marBottom w:val="0"/>
      <w:divBdr>
        <w:top w:val="none" w:sz="0" w:space="0" w:color="auto"/>
        <w:left w:val="none" w:sz="0" w:space="0" w:color="auto"/>
        <w:bottom w:val="none" w:sz="0" w:space="0" w:color="auto"/>
        <w:right w:val="none" w:sz="0" w:space="0" w:color="auto"/>
      </w:divBdr>
    </w:div>
    <w:div w:id="282616784">
      <w:bodyDiv w:val="1"/>
      <w:marLeft w:val="0"/>
      <w:marRight w:val="0"/>
      <w:marTop w:val="0"/>
      <w:marBottom w:val="0"/>
      <w:divBdr>
        <w:top w:val="none" w:sz="0" w:space="0" w:color="auto"/>
        <w:left w:val="none" w:sz="0" w:space="0" w:color="auto"/>
        <w:bottom w:val="none" w:sz="0" w:space="0" w:color="auto"/>
        <w:right w:val="none" w:sz="0" w:space="0" w:color="auto"/>
      </w:divBdr>
    </w:div>
    <w:div w:id="32840663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69382586">
      <w:bodyDiv w:val="1"/>
      <w:marLeft w:val="0"/>
      <w:marRight w:val="0"/>
      <w:marTop w:val="0"/>
      <w:marBottom w:val="0"/>
      <w:divBdr>
        <w:top w:val="none" w:sz="0" w:space="0" w:color="auto"/>
        <w:left w:val="none" w:sz="0" w:space="0" w:color="auto"/>
        <w:bottom w:val="none" w:sz="0" w:space="0" w:color="auto"/>
        <w:right w:val="none" w:sz="0" w:space="0" w:color="auto"/>
      </w:divBdr>
    </w:div>
    <w:div w:id="428934119">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6552406">
      <w:bodyDiv w:val="1"/>
      <w:marLeft w:val="0"/>
      <w:marRight w:val="0"/>
      <w:marTop w:val="0"/>
      <w:marBottom w:val="0"/>
      <w:divBdr>
        <w:top w:val="none" w:sz="0" w:space="0" w:color="auto"/>
        <w:left w:val="none" w:sz="0" w:space="0" w:color="auto"/>
        <w:bottom w:val="none" w:sz="0" w:space="0" w:color="auto"/>
        <w:right w:val="none" w:sz="0" w:space="0" w:color="auto"/>
      </w:divBdr>
    </w:div>
    <w:div w:id="472674993">
      <w:bodyDiv w:val="1"/>
      <w:marLeft w:val="0"/>
      <w:marRight w:val="0"/>
      <w:marTop w:val="0"/>
      <w:marBottom w:val="0"/>
      <w:divBdr>
        <w:top w:val="none" w:sz="0" w:space="0" w:color="auto"/>
        <w:left w:val="none" w:sz="0" w:space="0" w:color="auto"/>
        <w:bottom w:val="none" w:sz="0" w:space="0" w:color="auto"/>
        <w:right w:val="none" w:sz="0" w:space="0" w:color="auto"/>
      </w:divBdr>
    </w:div>
    <w:div w:id="499850976">
      <w:bodyDiv w:val="1"/>
      <w:marLeft w:val="0"/>
      <w:marRight w:val="0"/>
      <w:marTop w:val="0"/>
      <w:marBottom w:val="0"/>
      <w:divBdr>
        <w:top w:val="none" w:sz="0" w:space="0" w:color="auto"/>
        <w:left w:val="none" w:sz="0" w:space="0" w:color="auto"/>
        <w:bottom w:val="none" w:sz="0" w:space="0" w:color="auto"/>
        <w:right w:val="none" w:sz="0" w:space="0" w:color="auto"/>
      </w:divBdr>
    </w:div>
    <w:div w:id="52463817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585710">
      <w:bodyDiv w:val="1"/>
      <w:marLeft w:val="0"/>
      <w:marRight w:val="0"/>
      <w:marTop w:val="0"/>
      <w:marBottom w:val="0"/>
      <w:divBdr>
        <w:top w:val="none" w:sz="0" w:space="0" w:color="auto"/>
        <w:left w:val="none" w:sz="0" w:space="0" w:color="auto"/>
        <w:bottom w:val="none" w:sz="0" w:space="0" w:color="auto"/>
        <w:right w:val="none" w:sz="0" w:space="0" w:color="auto"/>
      </w:divBdr>
    </w:div>
    <w:div w:id="562327316">
      <w:bodyDiv w:val="1"/>
      <w:marLeft w:val="0"/>
      <w:marRight w:val="0"/>
      <w:marTop w:val="0"/>
      <w:marBottom w:val="0"/>
      <w:divBdr>
        <w:top w:val="none" w:sz="0" w:space="0" w:color="auto"/>
        <w:left w:val="none" w:sz="0" w:space="0" w:color="auto"/>
        <w:bottom w:val="none" w:sz="0" w:space="0" w:color="auto"/>
        <w:right w:val="none" w:sz="0" w:space="0" w:color="auto"/>
      </w:divBdr>
    </w:div>
    <w:div w:id="664019937">
      <w:bodyDiv w:val="1"/>
      <w:marLeft w:val="0"/>
      <w:marRight w:val="0"/>
      <w:marTop w:val="0"/>
      <w:marBottom w:val="0"/>
      <w:divBdr>
        <w:top w:val="none" w:sz="0" w:space="0" w:color="auto"/>
        <w:left w:val="none" w:sz="0" w:space="0" w:color="auto"/>
        <w:bottom w:val="none" w:sz="0" w:space="0" w:color="auto"/>
        <w:right w:val="none" w:sz="0" w:space="0" w:color="auto"/>
      </w:divBdr>
    </w:div>
    <w:div w:id="665061027">
      <w:bodyDiv w:val="1"/>
      <w:marLeft w:val="0"/>
      <w:marRight w:val="0"/>
      <w:marTop w:val="0"/>
      <w:marBottom w:val="0"/>
      <w:divBdr>
        <w:top w:val="none" w:sz="0" w:space="0" w:color="auto"/>
        <w:left w:val="none" w:sz="0" w:space="0" w:color="auto"/>
        <w:bottom w:val="none" w:sz="0" w:space="0" w:color="auto"/>
        <w:right w:val="none" w:sz="0" w:space="0" w:color="auto"/>
      </w:divBdr>
    </w:div>
    <w:div w:id="679310667">
      <w:bodyDiv w:val="1"/>
      <w:marLeft w:val="0"/>
      <w:marRight w:val="0"/>
      <w:marTop w:val="0"/>
      <w:marBottom w:val="0"/>
      <w:divBdr>
        <w:top w:val="none" w:sz="0" w:space="0" w:color="auto"/>
        <w:left w:val="none" w:sz="0" w:space="0" w:color="auto"/>
        <w:bottom w:val="none" w:sz="0" w:space="0" w:color="auto"/>
        <w:right w:val="none" w:sz="0" w:space="0" w:color="auto"/>
      </w:divBdr>
    </w:div>
    <w:div w:id="701590734">
      <w:bodyDiv w:val="1"/>
      <w:marLeft w:val="0"/>
      <w:marRight w:val="0"/>
      <w:marTop w:val="0"/>
      <w:marBottom w:val="0"/>
      <w:divBdr>
        <w:top w:val="none" w:sz="0" w:space="0" w:color="auto"/>
        <w:left w:val="none" w:sz="0" w:space="0" w:color="auto"/>
        <w:bottom w:val="none" w:sz="0" w:space="0" w:color="auto"/>
        <w:right w:val="none" w:sz="0" w:space="0" w:color="auto"/>
      </w:divBdr>
    </w:div>
    <w:div w:id="707216817">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63380675">
      <w:bodyDiv w:val="1"/>
      <w:marLeft w:val="0"/>
      <w:marRight w:val="0"/>
      <w:marTop w:val="0"/>
      <w:marBottom w:val="0"/>
      <w:divBdr>
        <w:top w:val="none" w:sz="0" w:space="0" w:color="auto"/>
        <w:left w:val="none" w:sz="0" w:space="0" w:color="auto"/>
        <w:bottom w:val="none" w:sz="0" w:space="0" w:color="auto"/>
        <w:right w:val="none" w:sz="0" w:space="0" w:color="auto"/>
      </w:divBdr>
    </w:div>
    <w:div w:id="769933670">
      <w:bodyDiv w:val="1"/>
      <w:marLeft w:val="0"/>
      <w:marRight w:val="0"/>
      <w:marTop w:val="0"/>
      <w:marBottom w:val="0"/>
      <w:divBdr>
        <w:top w:val="none" w:sz="0" w:space="0" w:color="auto"/>
        <w:left w:val="none" w:sz="0" w:space="0" w:color="auto"/>
        <w:bottom w:val="none" w:sz="0" w:space="0" w:color="auto"/>
        <w:right w:val="none" w:sz="0" w:space="0" w:color="auto"/>
      </w:divBdr>
    </w:div>
    <w:div w:id="793333466">
      <w:bodyDiv w:val="1"/>
      <w:marLeft w:val="0"/>
      <w:marRight w:val="0"/>
      <w:marTop w:val="0"/>
      <w:marBottom w:val="0"/>
      <w:divBdr>
        <w:top w:val="none" w:sz="0" w:space="0" w:color="auto"/>
        <w:left w:val="none" w:sz="0" w:space="0" w:color="auto"/>
        <w:bottom w:val="none" w:sz="0" w:space="0" w:color="auto"/>
        <w:right w:val="none" w:sz="0" w:space="0" w:color="auto"/>
      </w:divBdr>
    </w:div>
    <w:div w:id="80165461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98965387">
      <w:bodyDiv w:val="1"/>
      <w:marLeft w:val="0"/>
      <w:marRight w:val="0"/>
      <w:marTop w:val="0"/>
      <w:marBottom w:val="0"/>
      <w:divBdr>
        <w:top w:val="none" w:sz="0" w:space="0" w:color="auto"/>
        <w:left w:val="none" w:sz="0" w:space="0" w:color="auto"/>
        <w:bottom w:val="none" w:sz="0" w:space="0" w:color="auto"/>
        <w:right w:val="none" w:sz="0" w:space="0" w:color="auto"/>
      </w:divBdr>
    </w:div>
    <w:div w:id="1003820950">
      <w:bodyDiv w:val="1"/>
      <w:marLeft w:val="0"/>
      <w:marRight w:val="0"/>
      <w:marTop w:val="0"/>
      <w:marBottom w:val="0"/>
      <w:divBdr>
        <w:top w:val="none" w:sz="0" w:space="0" w:color="auto"/>
        <w:left w:val="none" w:sz="0" w:space="0" w:color="auto"/>
        <w:bottom w:val="none" w:sz="0" w:space="0" w:color="auto"/>
        <w:right w:val="none" w:sz="0" w:space="0" w:color="auto"/>
      </w:divBdr>
    </w:div>
    <w:div w:id="1006786623">
      <w:bodyDiv w:val="1"/>
      <w:marLeft w:val="0"/>
      <w:marRight w:val="0"/>
      <w:marTop w:val="0"/>
      <w:marBottom w:val="0"/>
      <w:divBdr>
        <w:top w:val="none" w:sz="0" w:space="0" w:color="auto"/>
        <w:left w:val="none" w:sz="0" w:space="0" w:color="auto"/>
        <w:bottom w:val="none" w:sz="0" w:space="0" w:color="auto"/>
        <w:right w:val="none" w:sz="0" w:space="0" w:color="auto"/>
      </w:divBdr>
    </w:div>
    <w:div w:id="1006857426">
      <w:bodyDiv w:val="1"/>
      <w:marLeft w:val="0"/>
      <w:marRight w:val="0"/>
      <w:marTop w:val="0"/>
      <w:marBottom w:val="0"/>
      <w:divBdr>
        <w:top w:val="none" w:sz="0" w:space="0" w:color="auto"/>
        <w:left w:val="none" w:sz="0" w:space="0" w:color="auto"/>
        <w:bottom w:val="none" w:sz="0" w:space="0" w:color="auto"/>
        <w:right w:val="none" w:sz="0" w:space="0" w:color="auto"/>
      </w:divBdr>
    </w:div>
    <w:div w:id="1054041594">
      <w:bodyDiv w:val="1"/>
      <w:marLeft w:val="0"/>
      <w:marRight w:val="0"/>
      <w:marTop w:val="0"/>
      <w:marBottom w:val="0"/>
      <w:divBdr>
        <w:top w:val="none" w:sz="0" w:space="0" w:color="auto"/>
        <w:left w:val="none" w:sz="0" w:space="0" w:color="auto"/>
        <w:bottom w:val="none" w:sz="0" w:space="0" w:color="auto"/>
        <w:right w:val="none" w:sz="0" w:space="0" w:color="auto"/>
      </w:divBdr>
    </w:div>
    <w:div w:id="1091850712">
      <w:bodyDiv w:val="1"/>
      <w:marLeft w:val="0"/>
      <w:marRight w:val="0"/>
      <w:marTop w:val="0"/>
      <w:marBottom w:val="0"/>
      <w:divBdr>
        <w:top w:val="none" w:sz="0" w:space="0" w:color="auto"/>
        <w:left w:val="none" w:sz="0" w:space="0" w:color="auto"/>
        <w:bottom w:val="none" w:sz="0" w:space="0" w:color="auto"/>
        <w:right w:val="none" w:sz="0" w:space="0" w:color="auto"/>
      </w:divBdr>
    </w:div>
    <w:div w:id="112211396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722168">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08183014">
      <w:bodyDiv w:val="1"/>
      <w:marLeft w:val="0"/>
      <w:marRight w:val="0"/>
      <w:marTop w:val="0"/>
      <w:marBottom w:val="0"/>
      <w:divBdr>
        <w:top w:val="none" w:sz="0" w:space="0" w:color="auto"/>
        <w:left w:val="none" w:sz="0" w:space="0" w:color="auto"/>
        <w:bottom w:val="none" w:sz="0" w:space="0" w:color="auto"/>
        <w:right w:val="none" w:sz="0" w:space="0" w:color="auto"/>
      </w:divBdr>
    </w:div>
    <w:div w:id="1252852727">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33606760">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57654143">
      <w:bodyDiv w:val="1"/>
      <w:marLeft w:val="0"/>
      <w:marRight w:val="0"/>
      <w:marTop w:val="0"/>
      <w:marBottom w:val="0"/>
      <w:divBdr>
        <w:top w:val="none" w:sz="0" w:space="0" w:color="auto"/>
        <w:left w:val="none" w:sz="0" w:space="0" w:color="auto"/>
        <w:bottom w:val="none" w:sz="0" w:space="0" w:color="auto"/>
        <w:right w:val="none" w:sz="0" w:space="0" w:color="auto"/>
      </w:divBdr>
    </w:div>
    <w:div w:id="1363752242">
      <w:bodyDiv w:val="1"/>
      <w:marLeft w:val="0"/>
      <w:marRight w:val="0"/>
      <w:marTop w:val="0"/>
      <w:marBottom w:val="0"/>
      <w:divBdr>
        <w:top w:val="none" w:sz="0" w:space="0" w:color="auto"/>
        <w:left w:val="none" w:sz="0" w:space="0" w:color="auto"/>
        <w:bottom w:val="none" w:sz="0" w:space="0" w:color="auto"/>
        <w:right w:val="none" w:sz="0" w:space="0" w:color="auto"/>
      </w:divBdr>
    </w:div>
    <w:div w:id="1365013363">
      <w:bodyDiv w:val="1"/>
      <w:marLeft w:val="0"/>
      <w:marRight w:val="0"/>
      <w:marTop w:val="0"/>
      <w:marBottom w:val="0"/>
      <w:divBdr>
        <w:top w:val="none" w:sz="0" w:space="0" w:color="auto"/>
        <w:left w:val="none" w:sz="0" w:space="0" w:color="auto"/>
        <w:bottom w:val="none" w:sz="0" w:space="0" w:color="auto"/>
        <w:right w:val="none" w:sz="0" w:space="0" w:color="auto"/>
      </w:divBdr>
    </w:div>
    <w:div w:id="138983871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2510784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9621681">
      <w:bodyDiv w:val="1"/>
      <w:marLeft w:val="0"/>
      <w:marRight w:val="0"/>
      <w:marTop w:val="0"/>
      <w:marBottom w:val="0"/>
      <w:divBdr>
        <w:top w:val="none" w:sz="0" w:space="0" w:color="auto"/>
        <w:left w:val="none" w:sz="0" w:space="0" w:color="auto"/>
        <w:bottom w:val="none" w:sz="0" w:space="0" w:color="auto"/>
        <w:right w:val="none" w:sz="0" w:space="0" w:color="auto"/>
      </w:divBdr>
    </w:div>
    <w:div w:id="1459639002">
      <w:bodyDiv w:val="1"/>
      <w:marLeft w:val="0"/>
      <w:marRight w:val="0"/>
      <w:marTop w:val="0"/>
      <w:marBottom w:val="0"/>
      <w:divBdr>
        <w:top w:val="none" w:sz="0" w:space="0" w:color="auto"/>
        <w:left w:val="none" w:sz="0" w:space="0" w:color="auto"/>
        <w:bottom w:val="none" w:sz="0" w:space="0" w:color="auto"/>
        <w:right w:val="none" w:sz="0" w:space="0" w:color="auto"/>
      </w:divBdr>
    </w:div>
    <w:div w:id="1508906446">
      <w:bodyDiv w:val="1"/>
      <w:marLeft w:val="0"/>
      <w:marRight w:val="0"/>
      <w:marTop w:val="0"/>
      <w:marBottom w:val="0"/>
      <w:divBdr>
        <w:top w:val="none" w:sz="0" w:space="0" w:color="auto"/>
        <w:left w:val="none" w:sz="0" w:space="0" w:color="auto"/>
        <w:bottom w:val="none" w:sz="0" w:space="0" w:color="auto"/>
        <w:right w:val="none" w:sz="0" w:space="0" w:color="auto"/>
      </w:divBdr>
    </w:div>
    <w:div w:id="1524591704">
      <w:bodyDiv w:val="1"/>
      <w:marLeft w:val="0"/>
      <w:marRight w:val="0"/>
      <w:marTop w:val="0"/>
      <w:marBottom w:val="0"/>
      <w:divBdr>
        <w:top w:val="none" w:sz="0" w:space="0" w:color="auto"/>
        <w:left w:val="none" w:sz="0" w:space="0" w:color="auto"/>
        <w:bottom w:val="none" w:sz="0" w:space="0" w:color="auto"/>
        <w:right w:val="none" w:sz="0" w:space="0" w:color="auto"/>
      </w:divBdr>
    </w:div>
    <w:div w:id="1571772278">
      <w:bodyDiv w:val="1"/>
      <w:marLeft w:val="0"/>
      <w:marRight w:val="0"/>
      <w:marTop w:val="0"/>
      <w:marBottom w:val="0"/>
      <w:divBdr>
        <w:top w:val="none" w:sz="0" w:space="0" w:color="auto"/>
        <w:left w:val="none" w:sz="0" w:space="0" w:color="auto"/>
        <w:bottom w:val="none" w:sz="0" w:space="0" w:color="auto"/>
        <w:right w:val="none" w:sz="0" w:space="0" w:color="auto"/>
      </w:divBdr>
    </w:div>
    <w:div w:id="160904713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30880939">
      <w:bodyDiv w:val="1"/>
      <w:marLeft w:val="0"/>
      <w:marRight w:val="0"/>
      <w:marTop w:val="0"/>
      <w:marBottom w:val="0"/>
      <w:divBdr>
        <w:top w:val="none" w:sz="0" w:space="0" w:color="auto"/>
        <w:left w:val="none" w:sz="0" w:space="0" w:color="auto"/>
        <w:bottom w:val="none" w:sz="0" w:space="0" w:color="auto"/>
        <w:right w:val="none" w:sz="0" w:space="0" w:color="auto"/>
      </w:divBdr>
    </w:div>
    <w:div w:id="1762292735">
      <w:bodyDiv w:val="1"/>
      <w:marLeft w:val="0"/>
      <w:marRight w:val="0"/>
      <w:marTop w:val="0"/>
      <w:marBottom w:val="0"/>
      <w:divBdr>
        <w:top w:val="none" w:sz="0" w:space="0" w:color="auto"/>
        <w:left w:val="none" w:sz="0" w:space="0" w:color="auto"/>
        <w:bottom w:val="none" w:sz="0" w:space="0" w:color="auto"/>
        <w:right w:val="none" w:sz="0" w:space="0" w:color="auto"/>
      </w:divBdr>
    </w:div>
    <w:div w:id="1781149056">
      <w:bodyDiv w:val="1"/>
      <w:marLeft w:val="0"/>
      <w:marRight w:val="0"/>
      <w:marTop w:val="0"/>
      <w:marBottom w:val="0"/>
      <w:divBdr>
        <w:top w:val="none" w:sz="0" w:space="0" w:color="auto"/>
        <w:left w:val="none" w:sz="0" w:space="0" w:color="auto"/>
        <w:bottom w:val="none" w:sz="0" w:space="0" w:color="auto"/>
        <w:right w:val="none" w:sz="0" w:space="0" w:color="auto"/>
      </w:divBdr>
    </w:div>
    <w:div w:id="1795978245">
      <w:bodyDiv w:val="1"/>
      <w:marLeft w:val="0"/>
      <w:marRight w:val="0"/>
      <w:marTop w:val="0"/>
      <w:marBottom w:val="0"/>
      <w:divBdr>
        <w:top w:val="none" w:sz="0" w:space="0" w:color="auto"/>
        <w:left w:val="none" w:sz="0" w:space="0" w:color="auto"/>
        <w:bottom w:val="none" w:sz="0" w:space="0" w:color="auto"/>
        <w:right w:val="none" w:sz="0" w:space="0" w:color="auto"/>
      </w:divBdr>
    </w:div>
    <w:div w:id="180199875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44091798">
      <w:bodyDiv w:val="1"/>
      <w:marLeft w:val="0"/>
      <w:marRight w:val="0"/>
      <w:marTop w:val="0"/>
      <w:marBottom w:val="0"/>
      <w:divBdr>
        <w:top w:val="none" w:sz="0" w:space="0" w:color="auto"/>
        <w:left w:val="none" w:sz="0" w:space="0" w:color="auto"/>
        <w:bottom w:val="none" w:sz="0" w:space="0" w:color="auto"/>
        <w:right w:val="none" w:sz="0" w:space="0" w:color="auto"/>
      </w:divBdr>
    </w:div>
    <w:div w:id="2058890646">
      <w:bodyDiv w:val="1"/>
      <w:marLeft w:val="0"/>
      <w:marRight w:val="0"/>
      <w:marTop w:val="0"/>
      <w:marBottom w:val="0"/>
      <w:divBdr>
        <w:top w:val="none" w:sz="0" w:space="0" w:color="auto"/>
        <w:left w:val="none" w:sz="0" w:space="0" w:color="auto"/>
        <w:bottom w:val="none" w:sz="0" w:space="0" w:color="auto"/>
        <w:right w:val="none" w:sz="0" w:space="0" w:color="auto"/>
      </w:divBdr>
    </w:div>
    <w:div w:id="2067028542">
      <w:bodyDiv w:val="1"/>
      <w:marLeft w:val="0"/>
      <w:marRight w:val="0"/>
      <w:marTop w:val="0"/>
      <w:marBottom w:val="0"/>
      <w:divBdr>
        <w:top w:val="none" w:sz="0" w:space="0" w:color="auto"/>
        <w:left w:val="none" w:sz="0" w:space="0" w:color="auto"/>
        <w:bottom w:val="none" w:sz="0" w:space="0" w:color="auto"/>
        <w:right w:val="none" w:sz="0" w:space="0" w:color="auto"/>
      </w:divBdr>
    </w:div>
    <w:div w:id="208387308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hyperlink" Target="http://www-pub.iaea.org/MTCD/Publications/PDF/Pub1590_web.pdf"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s://view.officeapps.live.com/op/view.aspx?src=https%3A%2F%2Fwww.onr.org.uk%2Fmedia%2Ffyrdhw5g%2Fonr-cnss-pol-001-the-nuclear-industries-security-regulations-2003-nisr-2003-classification-policy-for-the-civil-nuclear-ind.docx&amp;wdOrigin=BROWSELINK" TargetMode="Externa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hyperlink" Target="https://ola.iaea.org/ola/treaties/documents/FullText.pdf"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prodonrgov.sharepoint.com/sites/HOW2Hub/_layouts/15/DocIdRedir.aspx?ID=ONRHH-822789359-19855" TargetMode="External"/><Relationship Id="rId24" Type="http://schemas.openxmlformats.org/officeDocument/2006/relationships/hyperlink" Target="https://www.gov.uk/government/publications/government-functional-standard-govs-007-security"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iaea.org/publications/10792/security-of-nuclear-material-in-transport"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onr.org.uk/media/g05fszjn/security-assessment-principles.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file:///C:\Users\ldunning\AppData\Local\Microsoft\Windows\INetCache\Content.Outlook\GB4OVQLW\www-pub.iaea.org\MTCD\Publications\PDF\Pub1481_web.pdf" TargetMode="Externa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
      <w:docPartPr>
        <w:name w:val="7B9BDFF14BD54958B10F73A803ABCB8B"/>
        <w:category>
          <w:name w:val="General"/>
          <w:gallery w:val="placeholder"/>
        </w:category>
        <w:types>
          <w:type w:val="bbPlcHdr"/>
        </w:types>
        <w:behaviors>
          <w:behavior w:val="content"/>
        </w:behaviors>
        <w:guid w:val="{2779649A-CEF4-4E60-A3A4-75CCBEDC24FA}"/>
      </w:docPartPr>
      <w:docPartBody>
        <w:p w:rsidR="00252452" w:rsidRDefault="00972B41" w:rsidP="00972B41">
          <w:pPr>
            <w:pStyle w:val="7B9BDFF14BD54958B10F73A803ABCB8B"/>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0E5567"/>
    <w:rsid w:val="00164B5A"/>
    <w:rsid w:val="0018423B"/>
    <w:rsid w:val="00186632"/>
    <w:rsid w:val="00252452"/>
    <w:rsid w:val="002550FD"/>
    <w:rsid w:val="002575CD"/>
    <w:rsid w:val="002F2211"/>
    <w:rsid w:val="00350199"/>
    <w:rsid w:val="004845A6"/>
    <w:rsid w:val="005B1747"/>
    <w:rsid w:val="00611D5B"/>
    <w:rsid w:val="007154C5"/>
    <w:rsid w:val="00780C80"/>
    <w:rsid w:val="00835A98"/>
    <w:rsid w:val="00835E07"/>
    <w:rsid w:val="00972B41"/>
    <w:rsid w:val="009A7959"/>
    <w:rsid w:val="00A204F6"/>
    <w:rsid w:val="00C32B09"/>
    <w:rsid w:val="00CA10A9"/>
    <w:rsid w:val="00CC6B9F"/>
    <w:rsid w:val="00CD10A9"/>
    <w:rsid w:val="00D30678"/>
    <w:rsid w:val="00D75606"/>
    <w:rsid w:val="00DB4022"/>
    <w:rsid w:val="00DD7BA4"/>
    <w:rsid w:val="00E24D23"/>
    <w:rsid w:val="00E2662A"/>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 w:type="paragraph" w:customStyle="1" w:styleId="7B9BDFF14BD54958B10F73A803ABCB8B">
    <w:name w:val="7B9BDFF14BD54958B10F73A803ABCB8B"/>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Sec1</b:Tag>
    <b:SourceType>DocumentFromInternetSite</b:SourceType>
    <b:Guid>{906EEE08-7DD8-4A79-9021-05608F18CE2D}</b:Guid>
    <b:Title>Security Assessment Principles. </b:Title>
    <b:URL>http://www.onr.org.uk/syaps/</b:URL>
    <b:RefOrder>1</b:RefOrder>
  </b:Source>
  <b:Source>
    <b:Tag>Nuc</b:Tag>
    <b:SourceType>Book</b:SourceType>
    <b:Guid>{62B9907D-B1DF-4D48-8507-80343D4A1E00}</b:Guid>
    <b:Title>Nuclear Industries Security Regulations 2003.  Statutory Instrument 2003 No. 403</b:Title>
    <b:RefOrder>2</b:RefOrder>
  </b:Source>
  <b:Source>
    <b:Tag>Con</b:Tag>
    <b:SourceType>DocumentFromInternetSite</b:SourceType>
    <b:Guid>{AEE9A5DB-B25F-43A0-BE2C-3DB4AB328833}</b:Guid>
    <b:Title>Convention on the Physical Protection of Nuclear Material (CPPNM) </b:Title>
    <b:URL>https://ola.iaea.org/ola/treaties/documents/FullText.pdf</b:URL>
    <b:RefOrder>3</b:RefOrder>
  </b:Source>
  <b:Source>
    <b:Tag>IAE1</b:Tag>
    <b:SourceType>DocumentFromInternetSite</b:SourceType>
    <b:Guid>{B6A6E1B2-669B-4D1D-B895-9506A0B861AE}</b:Guid>
    <b:Title>IAEA Nuclear Security Series No. 20.  Objective and Essential Elements of a State’s Nuclear Security Regime. </b:Title>
    <b:URL>http://www-pub.iaea.org/MTCD/Publications/PDF/Pub1590_web.pdf</b:URL>
    <b:RefOrder>4</b:RefOrder>
  </b:Source>
  <b:Source>
    <b:Tag>IAE</b:Tag>
    <b:SourceType>DocumentFromInternetSite</b:SourceType>
    <b:Guid>{51B5E0E2-1AF5-470F-A783-947B75A00F54}</b:Guid>
    <b:Title>IAEA Nuclear Security Series No. 13.  Nuclear Security Recommendations on Physical Protection of Nuclear Material and Nuclear Facilities (INFCIRC/225/Revision 5).  January 2011.</b:Title>
    <b:URL>www-pub.iaea.org/MTCD/Publications/PDF/Pub1481_web.pdf.</b:URL>
    <b:RefOrder>5</b:RefOrder>
  </b:Source>
  <b:Source>
    <b:Tag>IAE4</b:Tag>
    <b:SourceType>DocumentFromInternetSite</b:SourceType>
    <b:Guid>{CA1CBBAD-1FFF-43C4-8692-5EA446C26A91}</b:Guid>
    <b:Title>IAEA Nuclear Security Series No 26G. Security of Nuclear Material in Transport.</b:Title>
    <b:URL>https://www.iaea.org/publications/10792/security-of-nuclear-material-in-transport</b:URL>
    <b:RefOrder>6</b:RefOrder>
  </b:Source>
  <b:Source>
    <b:Tag>NIS</b:Tag>
    <b:SourceType>DocumentFromInternetSite</b:SourceType>
    <b:Guid>{1C695B5F-73FF-4F2F-B1BA-1D3C7FA19B2D}</b:Guid>
    <b:Title>NISR 2003 Classification Policy for the Civil Nuclear Industry (Nov 17) </b:Title>
    <b:URL>http://www.onr.org.uk/documents/classification-policy.pdf</b:URL>
    <b:RefOrder>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DE2B22-7363-418A-BFBD-96EF7E6C6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14</Pages>
  <Words>3344</Words>
  <Characters>19061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Class A Carriers – Transport Security Statements and Plans</vt:lpstr>
    </vt:vector>
  </TitlesOfParts>
  <Manager>Office for Nuclear Regulation</Manager>
  <Company>Office for Nuclear Regulation</Company>
  <LinksUpToDate>false</LinksUpToDate>
  <CharactersWithSpaces>22361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A Carriers – Transport Security Statements and Plans</dc:title>
  <dc:subject>[Subtitle or description]</dc:subject>
  <dc:creator>Liam Dunning</dc:creator>
  <cp:keywords>[Key words separated by commas]</cp:keywords>
  <dc:description/>
  <cp:lastModifiedBy>Linda Beckett</cp:lastModifiedBy>
  <cp:revision>2</cp:revision>
  <cp:lastPrinted>2016-11-28T11:35:00Z</cp:lastPrinted>
  <dcterms:created xsi:type="dcterms:W3CDTF">2025-04-03T11:45:00Z</dcterms:created>
  <dcterms:modified xsi:type="dcterms:W3CDTF">2025-04-03T11:45:00Z</dcterms:modified>
  <cp:contentStatus>2.1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