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8FBF5A0" w:rsidR="00D0226A" w:rsidRPr="00913A33" w:rsidRDefault="005B1BE6" w:rsidP="00A50335">
            <w:pPr>
              <w:rPr>
                <w:color w:val="000000" w:themeColor="text1"/>
                <w:szCs w:val="90"/>
              </w:rPr>
            </w:pPr>
            <w:sdt>
              <w:sdtPr>
                <w:rPr>
                  <w:color w:val="000000" w:themeColor="text1"/>
                  <w:sz w:val="44"/>
                  <w:szCs w:val="44"/>
                </w:rPr>
                <w:id w:val="1228188510"/>
                <w:placeholder>
                  <w:docPart w:val="DefaultPlaceholder_-1854013440"/>
                </w:placeholder>
              </w:sdtPr>
              <w:sdtEndPr>
                <w:rPr>
                  <w:sz w:val="52"/>
                  <w:szCs w:val="52"/>
                </w:rPr>
              </w:sdtEndPr>
              <w:sdtContent>
                <w:sdt>
                  <w:sdtPr>
                    <w:rPr>
                      <w:b/>
                      <w:bCs/>
                      <w:sz w:val="44"/>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41F46" w:rsidRPr="008967F9">
                      <w:rPr>
                        <w:b/>
                        <w:bCs/>
                        <w:sz w:val="44"/>
                        <w:szCs w:val="40"/>
                      </w:rPr>
                      <w:t>Clarity of Command, Control and Communications Arrangements During and Post a Nuclear Security Event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48D3675" w:rsidR="00004C16" w:rsidRPr="00F63AA5" w:rsidRDefault="005B1BE6" w:rsidP="00004C16">
      <w:pPr>
        <w:rPr>
          <w:sz w:val="18"/>
          <w:szCs w:val="16"/>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75315B" w:rsidRPr="00BB302A">
            <w:rPr>
              <w:rStyle w:val="Style2"/>
              <w:szCs w:val="48"/>
            </w:rPr>
            <w:t>Clarity of Command, Control and Communications Arrangements During and Post a Nuclear Security Event</w:t>
          </w:r>
        </w:sdtContent>
      </w:sdt>
    </w:p>
    <w:p w14:paraId="61A25C0F" w14:textId="75583E23" w:rsidR="00004C16" w:rsidRDefault="00BB302A" w:rsidP="00BB302A">
      <w:pPr>
        <w:rPr>
          <w:sz w:val="28"/>
          <w:szCs w:val="28"/>
        </w:rPr>
      </w:pPr>
      <w:r w:rsidRPr="00BB302A">
        <w:rPr>
          <w:b/>
          <w:bCs/>
          <w:sz w:val="28"/>
          <w:szCs w:val="28"/>
        </w:rPr>
        <w:t>Head of Profession</w:t>
      </w:r>
      <w:r w:rsidRPr="00BB302A">
        <w:rPr>
          <w:sz w:val="28"/>
          <w:szCs w:val="28"/>
        </w:rPr>
        <w:t xml:space="preserve">: </w:t>
      </w:r>
      <w:r w:rsidR="004576C6">
        <w:rPr>
          <w:sz w:val="28"/>
          <w:szCs w:val="28"/>
        </w:rPr>
        <w:t>Protective Security</w:t>
      </w:r>
    </w:p>
    <w:p w14:paraId="1285D1C7" w14:textId="77777777" w:rsidR="00BB302A" w:rsidRDefault="00BB302A" w:rsidP="00004C16">
      <w:pPr>
        <w:rPr>
          <w:sz w:val="28"/>
          <w:szCs w:val="28"/>
        </w:rPr>
      </w:pPr>
    </w:p>
    <w:p w14:paraId="4C7A948F" w14:textId="65A007F3" w:rsidR="00245A0D" w:rsidRPr="00BB302A" w:rsidRDefault="00245A0D" w:rsidP="00245A0D">
      <w:pPr>
        <w:rPr>
          <w:szCs w:val="24"/>
        </w:rPr>
      </w:pPr>
      <w:r w:rsidRPr="00BB302A">
        <w:rPr>
          <w:b/>
          <w:bCs/>
          <w:szCs w:val="24"/>
        </w:rPr>
        <w:t>Authored by</w:t>
      </w:r>
      <w:r w:rsidR="00CE1DB2" w:rsidRPr="00BB302A">
        <w:rPr>
          <w:szCs w:val="24"/>
        </w:rPr>
        <w:t>:</w:t>
      </w:r>
      <w:r w:rsidRPr="00BB302A">
        <w:rPr>
          <w:szCs w:val="24"/>
        </w:rPr>
        <w:t xml:space="preserve"> </w:t>
      </w:r>
      <w:r w:rsidR="00182957">
        <w:rPr>
          <w:szCs w:val="24"/>
        </w:rPr>
        <w:t>Principal Inspector</w:t>
      </w:r>
    </w:p>
    <w:p w14:paraId="15A21CF3" w14:textId="475DD243" w:rsidR="00245A0D" w:rsidRPr="00BB302A" w:rsidRDefault="00245A0D" w:rsidP="00245A0D">
      <w:pPr>
        <w:rPr>
          <w:szCs w:val="24"/>
        </w:rPr>
      </w:pPr>
      <w:r w:rsidRPr="00BB302A">
        <w:rPr>
          <w:b/>
          <w:bCs/>
          <w:szCs w:val="24"/>
        </w:rPr>
        <w:t>Approved by</w:t>
      </w:r>
      <w:r w:rsidR="00CE1DB2" w:rsidRPr="00BB302A">
        <w:rPr>
          <w:szCs w:val="24"/>
        </w:rPr>
        <w:t>:</w:t>
      </w:r>
      <w:r w:rsidRPr="00BB302A">
        <w:rPr>
          <w:szCs w:val="24"/>
        </w:rPr>
        <w:t xml:space="preserve"> </w:t>
      </w:r>
      <w:r w:rsidR="00A91AFF">
        <w:rPr>
          <w:szCs w:val="24"/>
        </w:rPr>
        <w:t>Head of Profession – Protective Security</w:t>
      </w:r>
    </w:p>
    <w:p w14:paraId="247E3769" w14:textId="7D3101E3" w:rsidR="00004C16" w:rsidRPr="00BB302A" w:rsidRDefault="00004C16" w:rsidP="00004C16">
      <w:pPr>
        <w:rPr>
          <w:szCs w:val="24"/>
        </w:rPr>
      </w:pPr>
      <w:r w:rsidRPr="00BB302A">
        <w:rPr>
          <w:b/>
          <w:bCs/>
          <w:szCs w:val="24"/>
        </w:rPr>
        <w:t>Issue</w:t>
      </w:r>
      <w:r w:rsidRPr="00BB302A">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15B" w:rsidRPr="00BB302A">
            <w:rPr>
              <w:szCs w:val="24"/>
            </w:rPr>
            <w:t>3</w:t>
          </w:r>
          <w:r w:rsidR="004576C6">
            <w:rPr>
              <w:szCs w:val="24"/>
            </w:rPr>
            <w:t>.1</w:t>
          </w:r>
        </w:sdtContent>
      </w:sdt>
    </w:p>
    <w:p w14:paraId="19206F45" w14:textId="14983358" w:rsidR="00004C16" w:rsidRPr="00BB302A" w:rsidRDefault="00BB302A" w:rsidP="00BB302A">
      <w:pPr>
        <w:rPr>
          <w:szCs w:val="24"/>
        </w:rPr>
      </w:pPr>
      <w:r w:rsidRPr="00BB302A">
        <w:rPr>
          <w:b/>
          <w:bCs/>
          <w:szCs w:val="24"/>
        </w:rPr>
        <w:t>Published</w:t>
      </w:r>
      <w:r w:rsidRPr="00BB302A">
        <w:rPr>
          <w:szCs w:val="24"/>
        </w:rPr>
        <w:t xml:space="preserve">: </w:t>
      </w:r>
      <w:r w:rsidR="004633B6" w:rsidRPr="00BB302A">
        <w:rPr>
          <w:szCs w:val="24"/>
        </w:rPr>
        <w:t>Mar-2</w:t>
      </w:r>
      <w:r w:rsidR="004576C6">
        <w:rPr>
          <w:szCs w:val="24"/>
        </w:rPr>
        <w:t>5</w:t>
      </w:r>
    </w:p>
    <w:p w14:paraId="06A6B3A5" w14:textId="3B1025ED" w:rsidR="00E57DB9" w:rsidRPr="00BB302A" w:rsidRDefault="00BB302A" w:rsidP="00BB302A">
      <w:pPr>
        <w:rPr>
          <w:szCs w:val="24"/>
        </w:rPr>
      </w:pPr>
      <w:r w:rsidRPr="00BB302A">
        <w:rPr>
          <w:b/>
          <w:bCs/>
          <w:szCs w:val="24"/>
        </w:rPr>
        <w:t>Next scheduled review</w:t>
      </w:r>
      <w:r w:rsidRPr="00BB302A">
        <w:rPr>
          <w:szCs w:val="24"/>
        </w:rPr>
        <w:t>:</w:t>
      </w:r>
      <w:r w:rsidR="00AE4F54" w:rsidRPr="00BB302A">
        <w:rPr>
          <w:szCs w:val="24"/>
        </w:rPr>
        <w:t xml:space="preserve"> </w:t>
      </w:r>
      <w:r w:rsidR="004633B6" w:rsidRPr="00BB302A">
        <w:rPr>
          <w:szCs w:val="24"/>
        </w:rPr>
        <w:t>Mar-2</w:t>
      </w:r>
      <w:r w:rsidR="00F309CB">
        <w:rPr>
          <w:szCs w:val="24"/>
        </w:rPr>
        <w:t>8</w:t>
      </w:r>
    </w:p>
    <w:p w14:paraId="47B9BFD9" w14:textId="2430D0C4" w:rsidR="00BB302A" w:rsidRPr="002D5F2E" w:rsidRDefault="00BB302A" w:rsidP="00A91AFF">
      <w:pPr>
        <w:rPr>
          <w:szCs w:val="24"/>
        </w:rPr>
      </w:pPr>
      <w:r w:rsidRPr="002D5F2E">
        <w:rPr>
          <w:b/>
          <w:bCs/>
          <w:szCs w:val="24"/>
        </w:rPr>
        <w:t>Doc</w:t>
      </w:r>
      <w:r>
        <w:rPr>
          <w:b/>
          <w:bCs/>
          <w:szCs w:val="24"/>
        </w:rPr>
        <w:t>ument reference</w:t>
      </w:r>
      <w:r w:rsidRPr="002D5F2E">
        <w:rPr>
          <w:szCs w:val="24"/>
        </w:rPr>
        <w:t xml:space="preserve">: </w:t>
      </w:r>
      <w:r w:rsidR="00C217B6" w:rsidRPr="00C217B6">
        <w:rPr>
          <w:szCs w:val="24"/>
        </w:rPr>
        <w:t>CNS-TAST-GD-10.3</w:t>
      </w:r>
    </w:p>
    <w:p w14:paraId="3C01BA54" w14:textId="32368518" w:rsidR="00BB302A" w:rsidRPr="002D5F2E" w:rsidRDefault="00BB302A" w:rsidP="004B0CEB">
      <w:pPr>
        <w:rPr>
          <w:szCs w:val="24"/>
        </w:rPr>
      </w:pPr>
      <w:r w:rsidRPr="002D5F2E">
        <w:rPr>
          <w:b/>
          <w:bCs/>
          <w:szCs w:val="24"/>
        </w:rPr>
        <w:t xml:space="preserve">Record </w:t>
      </w:r>
      <w:r>
        <w:rPr>
          <w:b/>
          <w:bCs/>
          <w:szCs w:val="24"/>
        </w:rPr>
        <w:t>reference</w:t>
      </w:r>
      <w:r w:rsidRPr="002D5F2E">
        <w:rPr>
          <w:szCs w:val="24"/>
        </w:rPr>
        <w:t>:</w:t>
      </w:r>
      <w:r w:rsidR="004B0CEB" w:rsidRPr="004B0CEB">
        <w:t xml:space="preserve"> </w:t>
      </w:r>
      <w:hyperlink r:id="rId11" w:tgtFrame="_blank" w:tooltip="ONRHH-822789359-19603" w:history="1">
        <w:r w:rsidR="004B0CEB" w:rsidRPr="004B0CEB">
          <w:rPr>
            <w:rStyle w:val="Hyperlink"/>
            <w:szCs w:val="24"/>
          </w:rPr>
          <w:t>ONRHH-822789359-19603</w:t>
        </w:r>
      </w:hyperlink>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2F4020E7" w:rsidR="00595C8C" w:rsidRDefault="005B1BE6"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4576C6">
                  <w:rPr>
                    <w:szCs w:val="24"/>
                  </w:rPr>
                  <w:t>3.1</w:t>
                </w:r>
              </w:sdtContent>
            </w:sdt>
          </w:p>
        </w:tc>
        <w:tc>
          <w:tcPr>
            <w:tcW w:w="7466" w:type="dxa"/>
          </w:tcPr>
          <w:p w14:paraId="1C80912E" w14:textId="7F3EF831" w:rsidR="00595C8C" w:rsidRDefault="00341F46" w:rsidP="00595C8C">
            <w:pPr>
              <w:spacing w:before="60" w:after="60"/>
            </w:pPr>
            <w:r w:rsidRPr="00341F46">
              <w:t>Fit for Purpose Review of Rev.</w:t>
            </w:r>
            <w:r w:rsidR="004576C6">
              <w:t>3</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3E0F67C" w14:textId="4E4EA158" w:rsidR="00ED0098"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9131188" w:history="1">
        <w:r w:rsidR="00ED0098" w:rsidRPr="004F5B8F">
          <w:rPr>
            <w:rStyle w:val="Hyperlink"/>
          </w:rPr>
          <w:t>1.</w:t>
        </w:r>
        <w:r w:rsidR="00ED0098">
          <w:rPr>
            <w:rFonts w:asciiTheme="minorHAnsi" w:eastAsiaTheme="minorEastAsia" w:hAnsiTheme="minorHAnsi" w:cstheme="minorBidi"/>
            <w:kern w:val="2"/>
            <w:szCs w:val="24"/>
            <w:lang w:eastAsia="en-GB" w:bidi="ar-SA"/>
            <w14:ligatures w14:val="standardContextual"/>
          </w:rPr>
          <w:tab/>
        </w:r>
        <w:r w:rsidR="00ED0098" w:rsidRPr="004F5B8F">
          <w:rPr>
            <w:rStyle w:val="Hyperlink"/>
          </w:rPr>
          <w:t>Introduction</w:t>
        </w:r>
        <w:r w:rsidR="00ED0098">
          <w:rPr>
            <w:webHidden/>
          </w:rPr>
          <w:tab/>
        </w:r>
        <w:r w:rsidR="00ED0098">
          <w:rPr>
            <w:webHidden/>
          </w:rPr>
          <w:fldChar w:fldCharType="begin"/>
        </w:r>
        <w:r w:rsidR="00ED0098">
          <w:rPr>
            <w:webHidden/>
          </w:rPr>
          <w:instrText xml:space="preserve"> PAGEREF _Toc189131188 \h </w:instrText>
        </w:r>
        <w:r w:rsidR="00ED0098">
          <w:rPr>
            <w:webHidden/>
          </w:rPr>
        </w:r>
        <w:r w:rsidR="00ED0098">
          <w:rPr>
            <w:webHidden/>
          </w:rPr>
          <w:fldChar w:fldCharType="separate"/>
        </w:r>
        <w:r w:rsidR="00ED0098">
          <w:rPr>
            <w:webHidden/>
          </w:rPr>
          <w:t>4</w:t>
        </w:r>
        <w:r w:rsidR="00ED0098">
          <w:rPr>
            <w:webHidden/>
          </w:rPr>
          <w:fldChar w:fldCharType="end"/>
        </w:r>
      </w:hyperlink>
    </w:p>
    <w:p w14:paraId="285CD401" w14:textId="54F5FAAD" w:rsidR="00ED0098" w:rsidRDefault="00ED009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189" w:history="1">
        <w:r w:rsidRPr="004F5B8F">
          <w:rPr>
            <w:rStyle w:val="Hyperlink"/>
          </w:rPr>
          <w:t>2.</w:t>
        </w:r>
        <w:r>
          <w:rPr>
            <w:rFonts w:asciiTheme="minorHAnsi" w:eastAsiaTheme="minorEastAsia" w:hAnsiTheme="minorHAnsi" w:cstheme="minorBidi"/>
            <w:kern w:val="2"/>
            <w:szCs w:val="24"/>
            <w:lang w:eastAsia="en-GB" w:bidi="ar-SA"/>
            <w14:ligatures w14:val="standardContextual"/>
          </w:rPr>
          <w:tab/>
        </w:r>
        <w:r w:rsidRPr="004F5B8F">
          <w:rPr>
            <w:rStyle w:val="Hyperlink"/>
          </w:rPr>
          <w:t>Purpose and Scope</w:t>
        </w:r>
        <w:r>
          <w:rPr>
            <w:webHidden/>
          </w:rPr>
          <w:tab/>
        </w:r>
        <w:r>
          <w:rPr>
            <w:webHidden/>
          </w:rPr>
          <w:fldChar w:fldCharType="begin"/>
        </w:r>
        <w:r>
          <w:rPr>
            <w:webHidden/>
          </w:rPr>
          <w:instrText xml:space="preserve"> PAGEREF _Toc189131189 \h </w:instrText>
        </w:r>
        <w:r>
          <w:rPr>
            <w:webHidden/>
          </w:rPr>
        </w:r>
        <w:r>
          <w:rPr>
            <w:webHidden/>
          </w:rPr>
          <w:fldChar w:fldCharType="separate"/>
        </w:r>
        <w:r>
          <w:rPr>
            <w:webHidden/>
          </w:rPr>
          <w:t>4</w:t>
        </w:r>
        <w:r>
          <w:rPr>
            <w:webHidden/>
          </w:rPr>
          <w:fldChar w:fldCharType="end"/>
        </w:r>
      </w:hyperlink>
    </w:p>
    <w:p w14:paraId="0C3E05DB" w14:textId="36165145" w:rsidR="00ED0098" w:rsidRDefault="00ED009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190" w:history="1">
        <w:r w:rsidRPr="004F5B8F">
          <w:rPr>
            <w:rStyle w:val="Hyperlink"/>
          </w:rPr>
          <w:t>3.</w:t>
        </w:r>
        <w:r>
          <w:rPr>
            <w:rFonts w:asciiTheme="minorHAnsi" w:eastAsiaTheme="minorEastAsia" w:hAnsiTheme="minorHAnsi" w:cstheme="minorBidi"/>
            <w:kern w:val="2"/>
            <w:szCs w:val="24"/>
            <w:lang w:eastAsia="en-GB" w:bidi="ar-SA"/>
            <w14:ligatures w14:val="standardContextual"/>
          </w:rPr>
          <w:tab/>
        </w:r>
        <w:r w:rsidRPr="004F5B8F">
          <w:rPr>
            <w:rStyle w:val="Hyperlink"/>
          </w:rPr>
          <w:t>Relationship to Legislation</w:t>
        </w:r>
        <w:r>
          <w:rPr>
            <w:webHidden/>
          </w:rPr>
          <w:tab/>
        </w:r>
        <w:r>
          <w:rPr>
            <w:webHidden/>
          </w:rPr>
          <w:fldChar w:fldCharType="begin"/>
        </w:r>
        <w:r>
          <w:rPr>
            <w:webHidden/>
          </w:rPr>
          <w:instrText xml:space="preserve"> PAGEREF _Toc189131190 \h </w:instrText>
        </w:r>
        <w:r>
          <w:rPr>
            <w:webHidden/>
          </w:rPr>
        </w:r>
        <w:r>
          <w:rPr>
            <w:webHidden/>
          </w:rPr>
          <w:fldChar w:fldCharType="separate"/>
        </w:r>
        <w:r>
          <w:rPr>
            <w:webHidden/>
          </w:rPr>
          <w:t>5</w:t>
        </w:r>
        <w:r>
          <w:rPr>
            <w:webHidden/>
          </w:rPr>
          <w:fldChar w:fldCharType="end"/>
        </w:r>
      </w:hyperlink>
    </w:p>
    <w:p w14:paraId="42734DB8" w14:textId="40C924F5" w:rsidR="00ED0098" w:rsidRDefault="00ED009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191" w:history="1">
        <w:r w:rsidRPr="004F5B8F">
          <w:rPr>
            <w:rStyle w:val="Hyperlink"/>
          </w:rPr>
          <w:t>4.</w:t>
        </w:r>
        <w:r>
          <w:rPr>
            <w:rFonts w:asciiTheme="minorHAnsi" w:eastAsiaTheme="minorEastAsia" w:hAnsiTheme="minorHAnsi" w:cstheme="minorBidi"/>
            <w:kern w:val="2"/>
            <w:szCs w:val="24"/>
            <w:lang w:eastAsia="en-GB" w:bidi="ar-SA"/>
            <w14:ligatures w14:val="standardContextual"/>
          </w:rPr>
          <w:tab/>
        </w:r>
        <w:r w:rsidRPr="004F5B8F">
          <w:rPr>
            <w:rStyle w:val="Hyperlink"/>
          </w:rPr>
          <w:t>Relationship to IAEA Documentation and Guidance</w:t>
        </w:r>
        <w:r>
          <w:rPr>
            <w:webHidden/>
          </w:rPr>
          <w:tab/>
        </w:r>
        <w:r>
          <w:rPr>
            <w:webHidden/>
          </w:rPr>
          <w:fldChar w:fldCharType="begin"/>
        </w:r>
        <w:r>
          <w:rPr>
            <w:webHidden/>
          </w:rPr>
          <w:instrText xml:space="preserve"> PAGEREF _Toc189131191 \h </w:instrText>
        </w:r>
        <w:r>
          <w:rPr>
            <w:webHidden/>
          </w:rPr>
        </w:r>
        <w:r>
          <w:rPr>
            <w:webHidden/>
          </w:rPr>
          <w:fldChar w:fldCharType="separate"/>
        </w:r>
        <w:r>
          <w:rPr>
            <w:webHidden/>
          </w:rPr>
          <w:t>6</w:t>
        </w:r>
        <w:r>
          <w:rPr>
            <w:webHidden/>
          </w:rPr>
          <w:fldChar w:fldCharType="end"/>
        </w:r>
      </w:hyperlink>
    </w:p>
    <w:p w14:paraId="5C79574C" w14:textId="1794362C" w:rsidR="00ED0098" w:rsidRDefault="00ED009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192" w:history="1">
        <w:r w:rsidRPr="004F5B8F">
          <w:rPr>
            <w:rStyle w:val="Hyperlink"/>
          </w:rPr>
          <w:t>5.</w:t>
        </w:r>
        <w:r>
          <w:rPr>
            <w:rFonts w:asciiTheme="minorHAnsi" w:eastAsiaTheme="minorEastAsia" w:hAnsiTheme="minorHAnsi" w:cstheme="minorBidi"/>
            <w:kern w:val="2"/>
            <w:szCs w:val="24"/>
            <w:lang w:eastAsia="en-GB" w:bidi="ar-SA"/>
            <w14:ligatures w14:val="standardContextual"/>
          </w:rPr>
          <w:tab/>
        </w:r>
        <w:r w:rsidRPr="004F5B8F">
          <w:rPr>
            <w:rStyle w:val="Hyperlink"/>
          </w:rPr>
          <w:t>Relationship to National Policy Documents</w:t>
        </w:r>
        <w:r>
          <w:rPr>
            <w:webHidden/>
          </w:rPr>
          <w:tab/>
        </w:r>
        <w:r>
          <w:rPr>
            <w:webHidden/>
          </w:rPr>
          <w:fldChar w:fldCharType="begin"/>
        </w:r>
        <w:r>
          <w:rPr>
            <w:webHidden/>
          </w:rPr>
          <w:instrText xml:space="preserve"> PAGEREF _Toc189131192 \h </w:instrText>
        </w:r>
        <w:r>
          <w:rPr>
            <w:webHidden/>
          </w:rPr>
        </w:r>
        <w:r>
          <w:rPr>
            <w:webHidden/>
          </w:rPr>
          <w:fldChar w:fldCharType="separate"/>
        </w:r>
        <w:r>
          <w:rPr>
            <w:webHidden/>
          </w:rPr>
          <w:t>7</w:t>
        </w:r>
        <w:r>
          <w:rPr>
            <w:webHidden/>
          </w:rPr>
          <w:fldChar w:fldCharType="end"/>
        </w:r>
      </w:hyperlink>
    </w:p>
    <w:p w14:paraId="3616D514" w14:textId="7240F4F4" w:rsidR="00ED0098" w:rsidRDefault="00ED009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193" w:history="1">
        <w:r w:rsidRPr="004F5B8F">
          <w:rPr>
            <w:rStyle w:val="Hyperlink"/>
          </w:rPr>
          <w:t>6.</w:t>
        </w:r>
        <w:r>
          <w:rPr>
            <w:rFonts w:asciiTheme="minorHAnsi" w:eastAsiaTheme="minorEastAsia" w:hAnsiTheme="minorHAnsi" w:cstheme="minorBidi"/>
            <w:kern w:val="2"/>
            <w:szCs w:val="24"/>
            <w:lang w:eastAsia="en-GB" w:bidi="ar-SA"/>
            <w14:ligatures w14:val="standardContextual"/>
          </w:rPr>
          <w:tab/>
        </w:r>
        <w:r w:rsidRPr="004F5B8F">
          <w:rPr>
            <w:rStyle w:val="Hyperlink"/>
          </w:rPr>
          <w:t>Advice to Inspectors</w:t>
        </w:r>
        <w:r>
          <w:rPr>
            <w:webHidden/>
          </w:rPr>
          <w:tab/>
        </w:r>
        <w:r>
          <w:rPr>
            <w:webHidden/>
          </w:rPr>
          <w:fldChar w:fldCharType="begin"/>
        </w:r>
        <w:r>
          <w:rPr>
            <w:webHidden/>
          </w:rPr>
          <w:instrText xml:space="preserve"> PAGEREF _Toc189131193 \h </w:instrText>
        </w:r>
        <w:r>
          <w:rPr>
            <w:webHidden/>
          </w:rPr>
        </w:r>
        <w:r>
          <w:rPr>
            <w:webHidden/>
          </w:rPr>
          <w:fldChar w:fldCharType="separate"/>
        </w:r>
        <w:r>
          <w:rPr>
            <w:webHidden/>
          </w:rPr>
          <w:t>8</w:t>
        </w:r>
        <w:r>
          <w:rPr>
            <w:webHidden/>
          </w:rPr>
          <w:fldChar w:fldCharType="end"/>
        </w:r>
      </w:hyperlink>
    </w:p>
    <w:p w14:paraId="24F92B45" w14:textId="73D5DB64" w:rsidR="00ED0098" w:rsidRDefault="00ED009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194" w:history="1">
        <w:r w:rsidRPr="004F5B8F">
          <w:rPr>
            <w:rStyle w:val="Hyperlink"/>
          </w:rPr>
          <w:t>7.</w:t>
        </w:r>
        <w:r>
          <w:rPr>
            <w:rFonts w:asciiTheme="minorHAnsi" w:eastAsiaTheme="minorEastAsia" w:hAnsiTheme="minorHAnsi" w:cstheme="minorBidi"/>
            <w:kern w:val="2"/>
            <w:szCs w:val="24"/>
            <w:lang w:eastAsia="en-GB" w:bidi="ar-SA"/>
            <w14:ligatures w14:val="standardContextual"/>
          </w:rPr>
          <w:tab/>
        </w:r>
        <w:r w:rsidRPr="004F5B8F">
          <w:rPr>
            <w:rStyle w:val="Hyperlink"/>
          </w:rPr>
          <w:t>Establishment of Robust and Resilient Command, Communications and Control Arrangements</w:t>
        </w:r>
        <w:r>
          <w:rPr>
            <w:webHidden/>
          </w:rPr>
          <w:tab/>
        </w:r>
        <w:r>
          <w:rPr>
            <w:webHidden/>
          </w:rPr>
          <w:fldChar w:fldCharType="begin"/>
        </w:r>
        <w:r>
          <w:rPr>
            <w:webHidden/>
          </w:rPr>
          <w:instrText xml:space="preserve"> PAGEREF _Toc189131194 \h </w:instrText>
        </w:r>
        <w:r>
          <w:rPr>
            <w:webHidden/>
          </w:rPr>
        </w:r>
        <w:r>
          <w:rPr>
            <w:webHidden/>
          </w:rPr>
          <w:fldChar w:fldCharType="separate"/>
        </w:r>
        <w:r>
          <w:rPr>
            <w:webHidden/>
          </w:rPr>
          <w:t>10</w:t>
        </w:r>
        <w:r>
          <w:rPr>
            <w:webHidden/>
          </w:rPr>
          <w:fldChar w:fldCharType="end"/>
        </w:r>
      </w:hyperlink>
    </w:p>
    <w:p w14:paraId="05FDC917" w14:textId="565872E2" w:rsidR="00ED0098" w:rsidRDefault="00ED009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195" w:history="1">
        <w:r w:rsidRPr="004F5B8F">
          <w:rPr>
            <w:rStyle w:val="Hyperlink"/>
          </w:rPr>
          <w:t>8.</w:t>
        </w:r>
        <w:r>
          <w:rPr>
            <w:rFonts w:asciiTheme="minorHAnsi" w:eastAsiaTheme="minorEastAsia" w:hAnsiTheme="minorHAnsi" w:cstheme="minorBidi"/>
            <w:kern w:val="2"/>
            <w:szCs w:val="24"/>
            <w:lang w:eastAsia="en-GB" w:bidi="ar-SA"/>
            <w14:ligatures w14:val="standardContextual"/>
          </w:rPr>
          <w:tab/>
        </w:r>
        <w:r w:rsidRPr="004F5B8F">
          <w:rPr>
            <w:rStyle w:val="Hyperlink"/>
          </w:rPr>
          <w:t>Command, Control and Communications Infrastructure</w:t>
        </w:r>
        <w:r>
          <w:rPr>
            <w:webHidden/>
          </w:rPr>
          <w:tab/>
        </w:r>
        <w:r>
          <w:rPr>
            <w:webHidden/>
          </w:rPr>
          <w:fldChar w:fldCharType="begin"/>
        </w:r>
        <w:r>
          <w:rPr>
            <w:webHidden/>
          </w:rPr>
          <w:instrText xml:space="preserve"> PAGEREF _Toc189131195 \h </w:instrText>
        </w:r>
        <w:r>
          <w:rPr>
            <w:webHidden/>
          </w:rPr>
        </w:r>
        <w:r>
          <w:rPr>
            <w:webHidden/>
          </w:rPr>
          <w:fldChar w:fldCharType="separate"/>
        </w:r>
        <w:r>
          <w:rPr>
            <w:webHidden/>
          </w:rPr>
          <w:t>13</w:t>
        </w:r>
        <w:r>
          <w:rPr>
            <w:webHidden/>
          </w:rPr>
          <w:fldChar w:fldCharType="end"/>
        </w:r>
      </w:hyperlink>
    </w:p>
    <w:p w14:paraId="741834B8" w14:textId="307D0C4E" w:rsidR="00ED0098" w:rsidRDefault="00ED0098">
      <w:pPr>
        <w:pStyle w:val="TOC1"/>
        <w:rPr>
          <w:rFonts w:asciiTheme="minorHAnsi" w:eastAsiaTheme="minorEastAsia" w:hAnsiTheme="minorHAnsi" w:cstheme="minorBidi"/>
          <w:kern w:val="2"/>
          <w:szCs w:val="24"/>
          <w:lang w:eastAsia="en-GB" w:bidi="ar-SA"/>
          <w14:ligatures w14:val="standardContextual"/>
        </w:rPr>
      </w:pPr>
      <w:hyperlink w:anchor="_Toc189131196" w:history="1">
        <w:r w:rsidRPr="004F5B8F">
          <w:rPr>
            <w:rStyle w:val="Hyperlink"/>
          </w:rPr>
          <w:t>References</w:t>
        </w:r>
        <w:r>
          <w:rPr>
            <w:webHidden/>
          </w:rPr>
          <w:tab/>
        </w:r>
        <w:r>
          <w:rPr>
            <w:webHidden/>
          </w:rPr>
          <w:fldChar w:fldCharType="begin"/>
        </w:r>
        <w:r>
          <w:rPr>
            <w:webHidden/>
          </w:rPr>
          <w:instrText xml:space="preserve"> PAGEREF _Toc189131196 \h </w:instrText>
        </w:r>
        <w:r>
          <w:rPr>
            <w:webHidden/>
          </w:rPr>
        </w:r>
        <w:r>
          <w:rPr>
            <w:webHidden/>
          </w:rPr>
          <w:fldChar w:fldCharType="separate"/>
        </w:r>
        <w:r>
          <w:rPr>
            <w:webHidden/>
          </w:rPr>
          <w:t>15</w:t>
        </w:r>
        <w:r>
          <w:rPr>
            <w:webHidden/>
          </w:rPr>
          <w:fldChar w:fldCharType="end"/>
        </w:r>
      </w:hyperlink>
    </w:p>
    <w:p w14:paraId="5FAB6DFA" w14:textId="0FEE372A" w:rsidR="00ED0098" w:rsidRDefault="00ED0098">
      <w:pPr>
        <w:pStyle w:val="TOC1"/>
        <w:rPr>
          <w:rFonts w:asciiTheme="minorHAnsi" w:eastAsiaTheme="minorEastAsia" w:hAnsiTheme="minorHAnsi" w:cstheme="minorBidi"/>
          <w:kern w:val="2"/>
          <w:szCs w:val="24"/>
          <w:lang w:eastAsia="en-GB" w:bidi="ar-SA"/>
          <w14:ligatures w14:val="standardContextual"/>
        </w:rPr>
      </w:pPr>
      <w:hyperlink w:anchor="_Toc189131197" w:history="1">
        <w:r w:rsidRPr="004F5B8F">
          <w:rPr>
            <w:rStyle w:val="Hyperlink"/>
          </w:rPr>
          <w:t>Glossary and Abbreviations</w:t>
        </w:r>
        <w:r>
          <w:rPr>
            <w:webHidden/>
          </w:rPr>
          <w:tab/>
        </w:r>
        <w:r>
          <w:rPr>
            <w:webHidden/>
          </w:rPr>
          <w:fldChar w:fldCharType="begin"/>
        </w:r>
        <w:r>
          <w:rPr>
            <w:webHidden/>
          </w:rPr>
          <w:instrText xml:space="preserve"> PAGEREF _Toc189131197 \h </w:instrText>
        </w:r>
        <w:r>
          <w:rPr>
            <w:webHidden/>
          </w:rPr>
        </w:r>
        <w:r>
          <w:rPr>
            <w:webHidden/>
          </w:rPr>
          <w:fldChar w:fldCharType="separate"/>
        </w:r>
        <w:r>
          <w:rPr>
            <w:webHidden/>
          </w:rPr>
          <w:t>16</w:t>
        </w:r>
        <w:r>
          <w:rPr>
            <w:webHidden/>
          </w:rPr>
          <w:fldChar w:fldCharType="end"/>
        </w:r>
      </w:hyperlink>
    </w:p>
    <w:p w14:paraId="13408F8E" w14:textId="4EA708D4" w:rsidR="00621BF6" w:rsidRDefault="00404B0C" w:rsidP="00E34850">
      <w:r>
        <w:fldChar w:fldCharType="end"/>
      </w:r>
      <w:bookmarkEnd w:id="0"/>
    </w:p>
    <w:p w14:paraId="5F271CF0" w14:textId="77777777" w:rsidR="00E34850" w:rsidRDefault="00E34850" w:rsidP="00E34850"/>
    <w:p w14:paraId="3E742336" w14:textId="5A3F0F17" w:rsidR="00E34850" w:rsidRDefault="00E34850" w:rsidP="00E34850">
      <w:pPr>
        <w:sectPr w:rsidR="00E34850" w:rsidSect="000B2BCD">
          <w:headerReference w:type="even" r:id="rId14"/>
          <w:headerReference w:type="default" r:id="rId15"/>
          <w:footerReference w:type="even" r:id="rId16"/>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89131188"/>
      <w:r w:rsidRPr="00E90780">
        <w:lastRenderedPageBreak/>
        <w:t>Introduction</w:t>
      </w:r>
      <w:bookmarkEnd w:id="1"/>
    </w:p>
    <w:p w14:paraId="56D71E00" w14:textId="00B9C242" w:rsidR="000950B3" w:rsidRPr="00712FD1" w:rsidRDefault="00341F46" w:rsidP="000A51C3">
      <w:pPr>
        <w:pStyle w:val="F9-Paragraph"/>
        <w:numPr>
          <w:ilvl w:val="0"/>
          <w:numId w:val="29"/>
        </w:numPr>
        <w:ind w:left="851" w:hanging="851"/>
      </w:pPr>
      <w:bookmarkStart w:id="2" w:name="_Hlk64448648"/>
      <w:r w:rsidRPr="00341F46">
        <w:t xml:space="preserve">The Office for Nuclear Regulation (ONR) has established a set of Security Assessment Principles (SyAPs) (Reference </w:t>
      </w:r>
      <w:r w:rsidR="00E13ED1">
        <w:t>1</w:t>
      </w:r>
      <w:r w:rsidRPr="00341F46">
        <w:t xml:space="preserve">). This document contains Fundamental Security Principles (FSyPs) that dutyholders must demonstrate have been fully considered in developing their security arrangements to meet relevant legal obligations. The security regime for meeting these principles is described in security plans prepared by the dutyholders, which are approved by ONR under the Nuclear Industries Security Regulations (NISR) 2003 (Reference </w:t>
      </w:r>
      <w:r w:rsidR="00E13ED1">
        <w:t>2</w:t>
      </w:r>
      <w:r w:rsidRPr="00341F46">
        <w:t>).</w:t>
      </w:r>
    </w:p>
    <w:bookmarkEnd w:id="2"/>
    <w:p w14:paraId="24F91E15" w14:textId="0AEEB5D6" w:rsidR="0023523C" w:rsidRDefault="00341F46" w:rsidP="0023523C">
      <w:pPr>
        <w:pStyle w:val="F9-Paragraph"/>
      </w:pPr>
      <w:r w:rsidRPr="00721029">
        <w:rPr>
          <w:szCs w:val="22"/>
        </w:rPr>
        <w:t>The term ‘security pla</w:t>
      </w:r>
      <w:r>
        <w:rPr>
          <w:szCs w:val="22"/>
        </w:rPr>
        <w:t>n’ is used to cover all</w:t>
      </w:r>
      <w:r w:rsidRPr="00721029">
        <w:rPr>
          <w:szCs w:val="22"/>
        </w:rPr>
        <w:t xml:space="preserve"> dutyholder submissions such as nuclear site security plans</w:t>
      </w:r>
      <w:r>
        <w:rPr>
          <w:szCs w:val="22"/>
        </w:rPr>
        <w:t xml:space="preserve">,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89131189"/>
      <w:r>
        <w:t>Purpose and Scope</w:t>
      </w:r>
      <w:bookmarkEnd w:id="3"/>
    </w:p>
    <w:p w14:paraId="47D8A8E0" w14:textId="35F48AD7" w:rsidR="000A51C3" w:rsidRPr="00265585" w:rsidRDefault="00341F46" w:rsidP="00046936">
      <w:pPr>
        <w:pStyle w:val="F9-Paragraph"/>
      </w:pPr>
      <w:r w:rsidRPr="00721029">
        <w:rPr>
          <w:szCs w:val="22"/>
        </w:rPr>
        <w:t>This 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judgment during </w:t>
      </w:r>
      <w:r>
        <w:rPr>
          <w:szCs w:val="22"/>
        </w:rPr>
        <w:t xml:space="preserve">assessment </w:t>
      </w:r>
      <w:r w:rsidRPr="00721029">
        <w:rPr>
          <w:szCs w:val="22"/>
        </w:rPr>
        <w:t>activities relating to</w:t>
      </w:r>
      <w:r>
        <w:rPr>
          <w:szCs w:val="22"/>
        </w:rPr>
        <w:t xml:space="preserve"> a dutyholder’s</w:t>
      </w:r>
      <w:r w:rsidRPr="00721029">
        <w:rPr>
          <w:szCs w:val="22"/>
        </w:rPr>
        <w:t xml:space="preserve"> </w:t>
      </w:r>
      <w:r>
        <w:rPr>
          <w:szCs w:val="22"/>
        </w:rPr>
        <w:t>Command, Control and Communications (C3) arrangements and infrastructure</w:t>
      </w:r>
      <w:r w:rsidRPr="00721029">
        <w:rPr>
          <w:szCs w:val="22"/>
        </w:rPr>
        <w:t>.  It aims to provide gene</w:t>
      </w:r>
      <w:r>
        <w:rPr>
          <w:szCs w:val="22"/>
        </w:rPr>
        <w:t>ral advice and guidance to ONR i</w:t>
      </w:r>
      <w:r w:rsidRPr="00721029">
        <w:rPr>
          <w:szCs w:val="22"/>
        </w:rPr>
        <w:t>nspectors on how this aspect of security should be assessed. It does not set out how ONR regulates the dutyholder</w:t>
      </w:r>
      <w:r>
        <w:rPr>
          <w:szCs w:val="22"/>
        </w:rPr>
        <w:t>’</w:t>
      </w:r>
      <w:r w:rsidRPr="00721029">
        <w:rPr>
          <w:szCs w:val="22"/>
        </w:rPr>
        <w:t xml:space="preserve">s arrangements.  It does not prescribe the detail, targets or methodologies </w:t>
      </w:r>
      <w:r>
        <w:rPr>
          <w:szCs w:val="22"/>
        </w:rPr>
        <w:t>for dutyholders to follow in</w:t>
      </w:r>
      <w:r w:rsidRPr="00721029">
        <w:rPr>
          <w:szCs w:val="22"/>
        </w:rPr>
        <w:t xml:space="preserve"> demonstrat</w:t>
      </w:r>
      <w:r>
        <w:rPr>
          <w:szCs w:val="22"/>
        </w:rPr>
        <w:t>ing</w:t>
      </w:r>
      <w:r w:rsidRPr="00721029">
        <w:rPr>
          <w:szCs w:val="22"/>
        </w:rPr>
        <w:t xml:space="preserve"> they have addressed the SyAPs. It is the dutyholder</w:t>
      </w:r>
      <w:r>
        <w:rPr>
          <w:szCs w:val="22"/>
        </w:rPr>
        <w:t>’</w:t>
      </w:r>
      <w:r w:rsidRPr="00721029">
        <w:rPr>
          <w:szCs w:val="22"/>
        </w:rPr>
        <w:t>s responsibility to determine and describe this detail and for ONR to assess whether the arrangements are adequate</w:t>
      </w:r>
      <w:r w:rsidR="00816657" w:rsidRPr="00721029">
        <w:rPr>
          <w:szCs w:val="22"/>
        </w:rPr>
        <w:t>.</w:t>
      </w:r>
    </w:p>
    <w:p w14:paraId="6E712D03" w14:textId="3B905C21" w:rsidR="009E0E52" w:rsidRDefault="000950B3" w:rsidP="00E34850">
      <w:pPr>
        <w:pStyle w:val="Heading1"/>
        <w:keepNext w:val="0"/>
        <w:pageBreakBefore/>
      </w:pPr>
      <w:bookmarkStart w:id="4" w:name="_Toc189131190"/>
      <w:r>
        <w:lastRenderedPageBreak/>
        <w:t>Relationship to Legislation</w:t>
      </w:r>
      <w:bookmarkEnd w:id="4"/>
      <w:r>
        <w:t xml:space="preserve"> </w:t>
      </w:r>
    </w:p>
    <w:p w14:paraId="79BD20CB" w14:textId="376E3591" w:rsidR="00816657" w:rsidRDefault="009001C9" w:rsidP="00816657">
      <w:pPr>
        <w:pStyle w:val="F9-Paragraph"/>
      </w:pPr>
      <w:r w:rsidRPr="00721029">
        <w:rPr>
          <w:szCs w:val="22"/>
        </w:rPr>
        <w:t xml:space="preserve">The term ‘dutyholder’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SNI.</w:t>
      </w:r>
    </w:p>
    <w:p w14:paraId="742A9437" w14:textId="2D6D392E" w:rsidR="000950B3" w:rsidRDefault="009001C9"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emergency preparedness and response</w:t>
      </w:r>
      <w:r w:rsidRPr="00721029">
        <w:rPr>
          <w:szCs w:val="22"/>
        </w:rPr>
        <w:t xml:space="preserve"> </w:t>
      </w:r>
      <w:r>
        <w:rPr>
          <w:szCs w:val="22"/>
        </w:rPr>
        <w:t>to be an important component of a dutyholder’s arrangements in demonstrating compliance with relevant legislation.</w:t>
      </w:r>
    </w:p>
    <w:p w14:paraId="219A98D5" w14:textId="09EF1B1A" w:rsidR="00140E1C" w:rsidRDefault="000950B3" w:rsidP="00E34850">
      <w:pPr>
        <w:pStyle w:val="Heading1"/>
        <w:keepNext w:val="0"/>
        <w:pageBreakBefore/>
      </w:pPr>
      <w:bookmarkStart w:id="5" w:name="_Toc189131191"/>
      <w:r w:rsidRPr="000950B3">
        <w:lastRenderedPageBreak/>
        <w:t xml:space="preserve">Relationship to IAEA </w:t>
      </w:r>
      <w:r w:rsidR="00265585" w:rsidRPr="00265585">
        <w:t xml:space="preserve">Documentation and </w:t>
      </w:r>
      <w:r w:rsidR="00265585">
        <w:t>G</w:t>
      </w:r>
      <w:r w:rsidR="00265585" w:rsidRPr="00265585">
        <w:t>uidance</w:t>
      </w:r>
      <w:bookmarkEnd w:id="5"/>
    </w:p>
    <w:p w14:paraId="05611D9C" w14:textId="49517B42" w:rsidR="00816657" w:rsidRDefault="009001C9" w:rsidP="00816657">
      <w:pPr>
        <w:pStyle w:val="F9-Paragraph"/>
      </w:pPr>
      <w:r w:rsidRPr="00CA3579">
        <w:t xml:space="preserve">The essential elements of a national nuclear security regime are set out in the Convention on the Physical Protection of Nuclear Material (CPPNM) (Reference </w:t>
      </w:r>
      <w:r w:rsidR="00B27E40">
        <w:t>3</w:t>
      </w:r>
      <w:r w:rsidRPr="00CA3579">
        <w:t xml:space="preserve">) and the IAEA Nuclear Security Fundamentals (Reference </w:t>
      </w:r>
      <w:r w:rsidR="00B27E40">
        <w:t>4</w:t>
      </w:r>
      <w:r w:rsidRPr="00CA3579">
        <w:t>). Further guidance is available within IAEA Technical Guidance and Implementing Guides</w:t>
      </w:r>
      <w:r w:rsidR="00816657">
        <w:t>.</w:t>
      </w:r>
    </w:p>
    <w:p w14:paraId="79B9A623" w14:textId="5138A935" w:rsidR="00816657" w:rsidRPr="009001C9" w:rsidRDefault="009001C9" w:rsidP="00816657">
      <w:pPr>
        <w:pStyle w:val="F9-Paragraph"/>
      </w:pPr>
      <w:r w:rsidRPr="0063201F">
        <w:rPr>
          <w:szCs w:val="22"/>
        </w:rPr>
        <w:t>Fundamental Principles K of the CPPNM refers to the production of contingency plans and states that c</w:t>
      </w:r>
      <w:r w:rsidRPr="0063201F">
        <w:rPr>
          <w:bCs/>
          <w:iCs/>
          <w:szCs w:val="22"/>
          <w:lang w:eastAsia="en-GB"/>
        </w:rPr>
        <w:t xml:space="preserve">ontingency </w:t>
      </w:r>
      <w:r w:rsidRPr="0063201F">
        <w:rPr>
          <w:bCs/>
          <w:szCs w:val="22"/>
          <w:lang w:eastAsia="en-GB"/>
        </w:rPr>
        <w:t xml:space="preserve">(emergency) </w:t>
      </w:r>
      <w:r w:rsidRPr="0063201F">
        <w:rPr>
          <w:bCs/>
          <w:iCs/>
          <w:szCs w:val="22"/>
          <w:lang w:eastAsia="en-GB"/>
        </w:rPr>
        <w:t xml:space="preserve">plans </w:t>
      </w:r>
      <w:r w:rsidRPr="0063201F">
        <w:rPr>
          <w:bCs/>
          <w:szCs w:val="22"/>
          <w:lang w:eastAsia="en-GB"/>
        </w:rPr>
        <w:t xml:space="preserve">to respond to </w:t>
      </w:r>
      <w:r w:rsidRPr="0063201F">
        <w:rPr>
          <w:bCs/>
          <w:iCs/>
          <w:szCs w:val="22"/>
          <w:lang w:eastAsia="en-GB"/>
        </w:rPr>
        <w:t xml:space="preserve">unauthorized removal </w:t>
      </w:r>
      <w:r w:rsidRPr="0063201F">
        <w:rPr>
          <w:bCs/>
          <w:szCs w:val="22"/>
          <w:lang w:eastAsia="en-GB"/>
        </w:rPr>
        <w:t xml:space="preserve">of </w:t>
      </w:r>
      <w:r w:rsidRPr="0063201F">
        <w:rPr>
          <w:bCs/>
          <w:iCs/>
          <w:szCs w:val="22"/>
          <w:lang w:eastAsia="en-GB"/>
        </w:rPr>
        <w:t xml:space="preserve">nuclear material </w:t>
      </w:r>
      <w:r w:rsidRPr="0063201F">
        <w:rPr>
          <w:bCs/>
          <w:szCs w:val="22"/>
          <w:lang w:eastAsia="en-GB"/>
        </w:rPr>
        <w:t xml:space="preserve">or </w:t>
      </w:r>
      <w:r w:rsidRPr="0063201F">
        <w:rPr>
          <w:bCs/>
          <w:iCs/>
          <w:szCs w:val="22"/>
          <w:lang w:eastAsia="en-GB"/>
        </w:rPr>
        <w:t xml:space="preserve">sabotage </w:t>
      </w:r>
      <w:r w:rsidRPr="0063201F">
        <w:rPr>
          <w:bCs/>
          <w:szCs w:val="22"/>
          <w:lang w:eastAsia="en-GB"/>
        </w:rPr>
        <w:t xml:space="preserve">of </w:t>
      </w:r>
      <w:r w:rsidRPr="0063201F">
        <w:rPr>
          <w:bCs/>
          <w:iCs/>
          <w:szCs w:val="22"/>
          <w:lang w:eastAsia="en-GB"/>
        </w:rPr>
        <w:t xml:space="preserve">nuclear facilities </w:t>
      </w:r>
      <w:r w:rsidRPr="0063201F">
        <w:rPr>
          <w:bCs/>
          <w:szCs w:val="22"/>
          <w:lang w:eastAsia="en-GB"/>
        </w:rPr>
        <w:t xml:space="preserve">or </w:t>
      </w:r>
      <w:r w:rsidRPr="0063201F">
        <w:rPr>
          <w:bCs/>
          <w:iCs/>
          <w:szCs w:val="22"/>
          <w:lang w:eastAsia="en-GB"/>
        </w:rPr>
        <w:t>nuclear material</w:t>
      </w:r>
      <w:r w:rsidRPr="0063201F">
        <w:rPr>
          <w:bCs/>
          <w:szCs w:val="22"/>
          <w:lang w:eastAsia="en-GB"/>
        </w:rPr>
        <w:t>, or attempts thereof, should be prepared and appropriately exercised by all licence holders and authorities concerned</w:t>
      </w:r>
      <w:r>
        <w:rPr>
          <w:bCs/>
          <w:szCs w:val="22"/>
          <w:lang w:eastAsia="en-GB"/>
        </w:rPr>
        <w:t>.</w:t>
      </w:r>
    </w:p>
    <w:p w14:paraId="05C02BFA" w14:textId="3D7F3FC8" w:rsidR="009001C9" w:rsidRPr="009001C9" w:rsidRDefault="009001C9" w:rsidP="00816657">
      <w:pPr>
        <w:pStyle w:val="F9-Paragraph"/>
      </w:pPr>
      <w:r w:rsidRPr="00CE303A">
        <w:t xml:space="preserve">The importance of issues relating to </w:t>
      </w:r>
      <w:r>
        <w:t>command and control</w:t>
      </w:r>
      <w:r w:rsidRPr="00CE303A">
        <w:t xml:space="preserve"> </w:t>
      </w:r>
      <w:r>
        <w:t xml:space="preserve">during a Nuclear Security Event (NSE) </w:t>
      </w:r>
      <w:r w:rsidRPr="00CE303A">
        <w:t>is also recognised in the Nuclear Secu</w:t>
      </w:r>
      <w:r>
        <w:t>rity Fundamentals, specifically Essential Element 11</w:t>
      </w:r>
      <w:r w:rsidRPr="00CE303A">
        <w:t xml:space="preserve">: </w:t>
      </w:r>
      <w:r w:rsidRPr="00540015">
        <w:rPr>
          <w:szCs w:val="22"/>
        </w:rPr>
        <w:t>Planning for, preparedness for, and response to, a</w:t>
      </w:r>
      <w:r>
        <w:rPr>
          <w:szCs w:val="22"/>
        </w:rPr>
        <w:t xml:space="preserve"> nuclear security event, paragraph 3.11 which states that a</w:t>
      </w:r>
      <w:r w:rsidRPr="00540015">
        <w:rPr>
          <w:szCs w:val="22"/>
        </w:rPr>
        <w:t xml:space="preserve"> nuclear security regime ensures that relevant competent authorities and authorised persons are prepared to respond, and respond appropriately, at local, national, and international levels to NSEs by</w:t>
      </w:r>
      <w:r>
        <w:rPr>
          <w:szCs w:val="22"/>
        </w:rPr>
        <w:t>:</w:t>
      </w:r>
    </w:p>
    <w:p w14:paraId="46DC954F" w14:textId="3E450FFA" w:rsidR="009001C9" w:rsidRPr="002123C4" w:rsidRDefault="009001C9" w:rsidP="009001C9">
      <w:pPr>
        <w:pStyle w:val="Bulletlist1"/>
        <w:rPr>
          <w:i/>
          <w:iCs/>
        </w:rPr>
      </w:pPr>
      <w:r w:rsidRPr="0063201F">
        <w:t>Developing arrangements and response plans for ensuring</w:t>
      </w:r>
      <w:r>
        <w:t>:</w:t>
      </w:r>
    </w:p>
    <w:p w14:paraId="7A82BE43" w14:textId="0E03FDEE" w:rsidR="009001C9" w:rsidRPr="002123C4" w:rsidRDefault="009001C9" w:rsidP="009001C9">
      <w:pPr>
        <w:pStyle w:val="Bulletlist2"/>
        <w:rPr>
          <w:i/>
          <w:iCs/>
        </w:rPr>
      </w:pPr>
      <w:r w:rsidRPr="002123C4">
        <w:rPr>
          <w:i/>
          <w:iCs/>
        </w:rPr>
        <w:t>rapid and effective mobilisation of resources in response to an NSE; and,</w:t>
      </w:r>
    </w:p>
    <w:p w14:paraId="4A31448A" w14:textId="16D517CD" w:rsidR="009001C9" w:rsidRDefault="009001C9" w:rsidP="009001C9">
      <w:pPr>
        <w:pStyle w:val="Bulletlist2"/>
      </w:pPr>
      <w:r w:rsidRPr="002123C4">
        <w:rPr>
          <w:i/>
          <w:iCs/>
        </w:rPr>
        <w:t>effective coordination and cooperation during response to a NSE among all those carrying out response functions (including</w:t>
      </w:r>
      <w:r>
        <w:t xml:space="preserve"> </w:t>
      </w:r>
      <w:r w:rsidRPr="002123C4">
        <w:rPr>
          <w:i/>
          <w:iCs/>
        </w:rPr>
        <w:t>intelligence, law enforcement, crime scene investigation, and nuclear forensics) and between the security and safety aspects of the response.</w:t>
      </w:r>
    </w:p>
    <w:p w14:paraId="74F04493" w14:textId="19FDBE5F" w:rsidR="009001C9" w:rsidRDefault="009001C9" w:rsidP="009001C9">
      <w:pPr>
        <w:pStyle w:val="F9-Paragraph"/>
      </w:pPr>
      <w:r>
        <w:t>A</w:t>
      </w:r>
      <w:r w:rsidRPr="00AF73B3">
        <w:t xml:space="preserve"> more detailed description of the elements is provided in</w:t>
      </w:r>
      <w:r>
        <w:t xml:space="preserve"> Recommendations level guidance, specifically Nuclear Security Series (NSS) 13, Recommendations on Physical Protection of Nuclear Material and Nuclear Facilities (INFCIRC/225/Revision 5) (Reference </w:t>
      </w:r>
      <w:r w:rsidR="00B27E40">
        <w:t>5</w:t>
      </w:r>
      <w:r>
        <w:t>). Sections 4 and 5 of this document contain specific measures for armed response forces in the prevention of theft or sabotage against nuclear facilities and nuclear material in use and storage. Paragraph 4.15 states that provision should be made for detecting unauthorised intrusion and for appropriate action by enough guards and/or [armed] response force to address a nuclear security event.</w:t>
      </w:r>
    </w:p>
    <w:p w14:paraId="038B08D4" w14:textId="77777777" w:rsidR="004E6CB9" w:rsidRDefault="004E6CB9" w:rsidP="004E6CB9">
      <w:pPr>
        <w:pStyle w:val="F9-Paragraph"/>
        <w:numPr>
          <w:ilvl w:val="0"/>
          <w:numId w:val="0"/>
        </w:numPr>
        <w:ind w:left="851"/>
      </w:pPr>
    </w:p>
    <w:p w14:paraId="3B2BD30E" w14:textId="2DF01B25" w:rsidR="004E6CB9" w:rsidRDefault="004E6CB9" w:rsidP="00E34850">
      <w:pPr>
        <w:pStyle w:val="Heading1"/>
        <w:keepNext w:val="0"/>
        <w:pageBreakBefore/>
      </w:pPr>
      <w:bookmarkStart w:id="6" w:name="_Toc476902171"/>
      <w:bookmarkStart w:id="7" w:name="_Toc189131192"/>
      <w:r>
        <w:lastRenderedPageBreak/>
        <w:t>Relationship to National Policy Documents</w:t>
      </w:r>
      <w:bookmarkEnd w:id="6"/>
      <w:bookmarkEnd w:id="7"/>
    </w:p>
    <w:p w14:paraId="7CD9E500" w14:textId="77D022BF" w:rsidR="004E6CB9" w:rsidRDefault="00BD47A3" w:rsidP="00816657">
      <w:pPr>
        <w:pStyle w:val="F9-Paragraph"/>
      </w:pPr>
      <w:r w:rsidRPr="00721029">
        <w:rPr>
          <w:szCs w:val="22"/>
        </w:rPr>
        <w:t xml:space="preserve">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 </w:t>
      </w:r>
      <w:r w:rsidR="0075315B">
        <w:rPr>
          <w:szCs w:val="22"/>
        </w:rPr>
        <w:t>Security Delivery Principle (</w:t>
      </w:r>
      <w:r>
        <w:rPr>
          <w:szCs w:val="22"/>
        </w:rPr>
        <w:t>SyDP</w:t>
      </w:r>
      <w:r w:rsidR="0075315B">
        <w:rPr>
          <w:szCs w:val="22"/>
        </w:rPr>
        <w:t>)</w:t>
      </w:r>
      <w:r>
        <w:rPr>
          <w:szCs w:val="22"/>
        </w:rPr>
        <w:t xml:space="preserve"> 10.3</w:t>
      </w:r>
      <w:r w:rsidRPr="00721029">
        <w:rPr>
          <w:szCs w:val="22"/>
        </w:rPr>
        <w:t xml:space="preserve"> – </w:t>
      </w:r>
      <w:r>
        <w:rPr>
          <w:szCs w:val="22"/>
        </w:rPr>
        <w:t>Clarity of Command, Control and Communications Arrangements During and Post a Nuclear Security Event</w:t>
      </w:r>
      <w:r w:rsidRPr="00721029">
        <w:rPr>
          <w:szCs w:val="22"/>
        </w:rPr>
        <w:t>, in support of</w:t>
      </w:r>
      <w:r>
        <w:rPr>
          <w:szCs w:val="22"/>
        </w:rPr>
        <w:t xml:space="preserve"> FSyP</w:t>
      </w:r>
      <w:r w:rsidRPr="00721029">
        <w:rPr>
          <w:szCs w:val="22"/>
        </w:rPr>
        <w:t xml:space="preserve"> </w:t>
      </w:r>
      <w:r>
        <w:rPr>
          <w:szCs w:val="22"/>
        </w:rPr>
        <w:t>10</w:t>
      </w:r>
      <w:r w:rsidRPr="00721029">
        <w:rPr>
          <w:szCs w:val="22"/>
        </w:rPr>
        <w:t xml:space="preserve"> – </w:t>
      </w:r>
      <w:r>
        <w:rPr>
          <w:szCs w:val="22"/>
        </w:rPr>
        <w:t>Emergency Preparedness and Response</w:t>
      </w:r>
      <w:r w:rsidRPr="00721029">
        <w:rPr>
          <w:szCs w:val="22"/>
        </w:rPr>
        <w:t xml:space="preserve">.  The </w:t>
      </w:r>
      <w:r>
        <w:rPr>
          <w:szCs w:val="22"/>
        </w:rPr>
        <w:t>TAG is consistent with other</w:t>
      </w:r>
      <w:r w:rsidRPr="00721029">
        <w:rPr>
          <w:szCs w:val="22"/>
        </w:rPr>
        <w:t xml:space="preserve"> TAGs and associated guidance and policy documentation.</w:t>
      </w:r>
    </w:p>
    <w:p w14:paraId="6FD952A4" w14:textId="6A391DB4" w:rsidR="007D29D4" w:rsidRPr="007D29D4" w:rsidRDefault="007D29D4" w:rsidP="007D29D4">
      <w:pPr>
        <w:pStyle w:val="F9-Paragraph"/>
        <w:rPr>
          <w:szCs w:val="22"/>
        </w:rPr>
      </w:pPr>
      <w:r w:rsidRPr="007D29D4">
        <w:rPr>
          <w:szCs w:val="22"/>
        </w:rPr>
        <w:t xml:space="preserve">Government Functional Standard 007: Security </w:t>
      </w:r>
      <w:r w:rsidR="005D2F9D">
        <w:rPr>
          <w:szCs w:val="22"/>
        </w:rPr>
        <w:t xml:space="preserve">(GovS 007) </w:t>
      </w:r>
      <w:r w:rsidRPr="007D29D4">
        <w:rPr>
          <w:szCs w:val="22"/>
        </w:rPr>
        <w:t xml:space="preserve">(Reference </w:t>
      </w:r>
      <w:r w:rsidR="004464CF">
        <w:rPr>
          <w:szCs w:val="22"/>
        </w:rPr>
        <w:t>6</w:t>
      </w:r>
      <w:r w:rsidRPr="007D29D4">
        <w:rPr>
          <w:szCs w:val="22"/>
        </w:rPr>
        <w:t>)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GovS 007 have been incorporated within the SyAPs. This ensures that dutyholders are presented with a coherent set of expectations for the protection of nuclear premises, SNI and the employment of appropriate personnel security controls both on and off nuclear premises.</w:t>
      </w:r>
    </w:p>
    <w:p w14:paraId="1C21D31E" w14:textId="184EE68D" w:rsidR="00F7687C" w:rsidRDefault="00BD47A3" w:rsidP="00816657">
      <w:pPr>
        <w:pStyle w:val="F9-Paragraph"/>
      </w:pPr>
      <w:r w:rsidRPr="00721029">
        <w:rPr>
          <w:szCs w:val="22"/>
        </w:rPr>
        <w:t xml:space="preserve">The Classification Policy (Reference </w:t>
      </w:r>
      <w:r w:rsidR="004464CF">
        <w:rPr>
          <w:szCs w:val="22"/>
        </w:rPr>
        <w:t>7</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r w:rsidR="004E6CB9" w:rsidRPr="00721029">
        <w:rPr>
          <w:szCs w:val="22"/>
        </w:rPr>
        <w:t>.</w:t>
      </w:r>
    </w:p>
    <w:p w14:paraId="5255232C" w14:textId="0B114371" w:rsidR="00F7687C" w:rsidRDefault="00F7687C" w:rsidP="00E34850">
      <w:pPr>
        <w:pStyle w:val="Heading1"/>
        <w:keepNext w:val="0"/>
        <w:pageBreakBefore/>
      </w:pPr>
      <w:bookmarkStart w:id="8" w:name="_Toc189131193"/>
      <w:r>
        <w:lastRenderedPageBreak/>
        <w:t>Advice to Inspectors</w:t>
      </w:r>
      <w:bookmarkEnd w:id="8"/>
    </w:p>
    <w:p w14:paraId="6718FEBE" w14:textId="5A162676" w:rsidR="00593B7D" w:rsidRDefault="00BD47A3" w:rsidP="000A51C3">
      <w:pPr>
        <w:pStyle w:val="F9-Paragraph"/>
      </w:pPr>
      <w:r>
        <w:t>An effective response to a NSE is dependent on a</w:t>
      </w:r>
      <w:r w:rsidRPr="001333DC">
        <w:t xml:space="preserve"> dutyholder’s Site Emergency Organisation (SEO) infrastructure</w:t>
      </w:r>
      <w:r>
        <w:t xml:space="preserve"> and capability</w:t>
      </w:r>
      <w:r w:rsidRPr="001333DC">
        <w:t xml:space="preserve"> to support clarity of</w:t>
      </w:r>
      <w:r>
        <w:t xml:space="preserve"> C3</w:t>
      </w:r>
      <w:r w:rsidRPr="001333DC">
        <w:t xml:space="preserve"> arrangements </w:t>
      </w:r>
      <w:r>
        <w:t>throughout the event. The three phases of a NSE can be described as:</w:t>
      </w:r>
    </w:p>
    <w:p w14:paraId="1DD1B533" w14:textId="1D47AB31" w:rsidR="00CF6A52" w:rsidRDefault="00E34850" w:rsidP="00B921B3">
      <w:pPr>
        <w:pStyle w:val="F9-Paragraph"/>
        <w:numPr>
          <w:ilvl w:val="0"/>
          <w:numId w:val="0"/>
        </w:numPr>
        <w:rPr>
          <w:b/>
          <w:bCs/>
          <w:sz w:val="22"/>
          <w:szCs w:val="22"/>
        </w:rPr>
      </w:pPr>
      <w:r w:rsidRPr="00E34850">
        <w:rPr>
          <w:b/>
          <w:bCs/>
          <w:sz w:val="22"/>
          <w:szCs w:val="22"/>
        </w:rPr>
        <w:t xml:space="preserve">Table 1: </w:t>
      </w:r>
      <w:r w:rsidR="00C10AEE">
        <w:rPr>
          <w:b/>
          <w:bCs/>
          <w:sz w:val="22"/>
          <w:szCs w:val="22"/>
        </w:rPr>
        <w:t>Phases of a NSE</w:t>
      </w:r>
    </w:p>
    <w:tbl>
      <w:tblPr>
        <w:tblStyle w:val="ONRTable1"/>
        <w:tblW w:w="8364" w:type="dxa"/>
        <w:tblInd w:w="0" w:type="dxa"/>
        <w:tblLook w:val="04A0" w:firstRow="1" w:lastRow="0" w:firstColumn="1" w:lastColumn="0" w:noHBand="0" w:noVBand="1"/>
      </w:tblPr>
      <w:tblGrid>
        <w:gridCol w:w="993"/>
        <w:gridCol w:w="3402"/>
        <w:gridCol w:w="3969"/>
      </w:tblGrid>
      <w:tr w:rsidR="002242B6" w:rsidRPr="000A51C3" w14:paraId="2781B01F" w14:textId="77777777" w:rsidTr="00B921B3">
        <w:trPr>
          <w:cnfStyle w:val="100000000000" w:firstRow="1" w:lastRow="0" w:firstColumn="0" w:lastColumn="0" w:oddVBand="0" w:evenVBand="0" w:oddHBand="0" w:evenHBand="0" w:firstRowFirstColumn="0" w:firstRowLastColumn="0" w:lastRowFirstColumn="0" w:lastRowLastColumn="0"/>
        </w:trPr>
        <w:tc>
          <w:tcPr>
            <w:tcW w:w="993" w:type="dxa"/>
            <w:vAlign w:val="center"/>
            <w:hideMark/>
          </w:tcPr>
          <w:p w14:paraId="29363A38" w14:textId="5A7D3F0A" w:rsidR="002242B6" w:rsidRPr="000A51C3" w:rsidRDefault="002242B6" w:rsidP="00AA0064">
            <w:pPr>
              <w:pStyle w:val="TableText"/>
              <w:keepNext/>
              <w:rPr>
                <w:b w:val="0"/>
                <w:bCs/>
              </w:rPr>
            </w:pPr>
            <w:r w:rsidRPr="002242B6">
              <w:t>Phase</w:t>
            </w:r>
          </w:p>
        </w:tc>
        <w:tc>
          <w:tcPr>
            <w:tcW w:w="3402" w:type="dxa"/>
            <w:vAlign w:val="center"/>
          </w:tcPr>
          <w:p w14:paraId="206450A2" w14:textId="746C0E04" w:rsidR="002242B6" w:rsidRPr="002242B6" w:rsidRDefault="002242B6" w:rsidP="00AA0064">
            <w:pPr>
              <w:pStyle w:val="TableText"/>
              <w:keepNext/>
            </w:pPr>
            <w:r w:rsidRPr="002242B6">
              <w:t>Objective</w:t>
            </w:r>
          </w:p>
        </w:tc>
        <w:tc>
          <w:tcPr>
            <w:tcW w:w="3969" w:type="dxa"/>
            <w:vAlign w:val="center"/>
          </w:tcPr>
          <w:p w14:paraId="43762BF8" w14:textId="430804A3" w:rsidR="002242B6" w:rsidRPr="000A51C3" w:rsidRDefault="002242B6" w:rsidP="00AA0064">
            <w:pPr>
              <w:pStyle w:val="TableText"/>
              <w:keepNext/>
              <w:rPr>
                <w:b w:val="0"/>
                <w:bCs/>
              </w:rPr>
            </w:pPr>
            <w:r w:rsidRPr="00BD47A3">
              <w:rPr>
                <w:sz w:val="22"/>
                <w:lang w:eastAsia="en-GB"/>
              </w:rPr>
              <w:t>Effect</w:t>
            </w:r>
          </w:p>
        </w:tc>
      </w:tr>
      <w:tr w:rsidR="00D573FF" w14:paraId="1BA1BA49" w14:textId="77777777" w:rsidTr="00B921B3">
        <w:trPr>
          <w:trHeight w:val="295"/>
        </w:trPr>
        <w:tc>
          <w:tcPr>
            <w:tcW w:w="993" w:type="dxa"/>
            <w:hideMark/>
          </w:tcPr>
          <w:p w14:paraId="31A977D4" w14:textId="21FAF119" w:rsidR="00D573FF" w:rsidRPr="00D573FF" w:rsidRDefault="00D573FF" w:rsidP="00D573FF">
            <w:pPr>
              <w:pStyle w:val="TableText"/>
              <w:rPr>
                <w:sz w:val="22"/>
              </w:rPr>
            </w:pPr>
            <w:r w:rsidRPr="00D573FF">
              <w:rPr>
                <w:sz w:val="22"/>
              </w:rPr>
              <w:t>ONE</w:t>
            </w:r>
          </w:p>
        </w:tc>
        <w:tc>
          <w:tcPr>
            <w:tcW w:w="3402" w:type="dxa"/>
          </w:tcPr>
          <w:p w14:paraId="4D66BCB5" w14:textId="33000794" w:rsidR="00D573FF" w:rsidRPr="00D573FF" w:rsidRDefault="00D573FF" w:rsidP="00D573FF">
            <w:pPr>
              <w:pStyle w:val="TableText"/>
              <w:rPr>
                <w:sz w:val="22"/>
              </w:rPr>
            </w:pPr>
            <w:r w:rsidRPr="00D573FF">
              <w:rPr>
                <w:sz w:val="22"/>
              </w:rPr>
              <w:t>Immediate response</w:t>
            </w:r>
          </w:p>
        </w:tc>
        <w:tc>
          <w:tcPr>
            <w:tcW w:w="3969" w:type="dxa"/>
          </w:tcPr>
          <w:p w14:paraId="354E65BC" w14:textId="026D6673" w:rsidR="00D573FF" w:rsidRPr="00D573FF" w:rsidRDefault="00D573FF" w:rsidP="00D573FF">
            <w:pPr>
              <w:pStyle w:val="TableText"/>
              <w:rPr>
                <w:sz w:val="22"/>
              </w:rPr>
            </w:pPr>
            <w:r w:rsidRPr="00D573FF">
              <w:rPr>
                <w:sz w:val="22"/>
              </w:rPr>
              <w:t xml:space="preserve">The OPERATIONAL response of site </w:t>
            </w:r>
            <w:r w:rsidR="00FD45B7" w:rsidRPr="00D573FF">
              <w:rPr>
                <w:sz w:val="22"/>
              </w:rPr>
              <w:t>first responders</w:t>
            </w:r>
            <w:r w:rsidRPr="00D573FF">
              <w:rPr>
                <w:sz w:val="22"/>
              </w:rPr>
              <w:t xml:space="preserve"> to a nuclear security event.</w:t>
            </w:r>
          </w:p>
        </w:tc>
      </w:tr>
      <w:tr w:rsidR="00D573FF" w14:paraId="7A570BB8" w14:textId="77777777" w:rsidTr="00B921B3">
        <w:trPr>
          <w:trHeight w:val="295"/>
        </w:trPr>
        <w:tc>
          <w:tcPr>
            <w:tcW w:w="993" w:type="dxa"/>
          </w:tcPr>
          <w:p w14:paraId="08B6D668" w14:textId="79E069BB" w:rsidR="00D573FF" w:rsidRPr="00D573FF" w:rsidRDefault="00D573FF" w:rsidP="00D573FF">
            <w:pPr>
              <w:pStyle w:val="TableText"/>
              <w:rPr>
                <w:sz w:val="22"/>
              </w:rPr>
            </w:pPr>
            <w:r w:rsidRPr="00D573FF">
              <w:rPr>
                <w:sz w:val="22"/>
              </w:rPr>
              <w:t>TWO</w:t>
            </w:r>
          </w:p>
        </w:tc>
        <w:tc>
          <w:tcPr>
            <w:tcW w:w="3402" w:type="dxa"/>
          </w:tcPr>
          <w:p w14:paraId="694BFDF7" w14:textId="31452F68" w:rsidR="00D573FF" w:rsidRPr="00D573FF" w:rsidRDefault="00D573FF" w:rsidP="00D573FF">
            <w:pPr>
              <w:pStyle w:val="TableText"/>
              <w:rPr>
                <w:sz w:val="22"/>
              </w:rPr>
            </w:pPr>
            <w:r w:rsidRPr="00D573FF">
              <w:rPr>
                <w:sz w:val="22"/>
              </w:rPr>
              <w:t xml:space="preserve">Event management </w:t>
            </w:r>
          </w:p>
        </w:tc>
        <w:tc>
          <w:tcPr>
            <w:tcW w:w="3969" w:type="dxa"/>
          </w:tcPr>
          <w:p w14:paraId="34068CDF" w14:textId="09AB1334" w:rsidR="00D573FF" w:rsidRPr="00D573FF" w:rsidRDefault="00D573FF" w:rsidP="00D573FF">
            <w:pPr>
              <w:pStyle w:val="TableText"/>
              <w:rPr>
                <w:sz w:val="22"/>
              </w:rPr>
            </w:pPr>
            <w:r w:rsidRPr="00D573FF">
              <w:rPr>
                <w:sz w:val="22"/>
              </w:rPr>
              <w:t xml:space="preserve">The integrated TACTICAL  management of a nuclear security event up to the </w:t>
            </w:r>
            <w:r w:rsidR="00AD66C4">
              <w:rPr>
                <w:sz w:val="22"/>
              </w:rPr>
              <w:t xml:space="preserve">required </w:t>
            </w:r>
            <w:r w:rsidR="00DF7F12">
              <w:rPr>
                <w:sz w:val="22"/>
              </w:rPr>
              <w:t xml:space="preserve">security </w:t>
            </w:r>
            <w:r w:rsidR="00AD66C4">
              <w:rPr>
                <w:sz w:val="22"/>
              </w:rPr>
              <w:t>outcome being achieved</w:t>
            </w:r>
            <w:r w:rsidR="00FC345F">
              <w:rPr>
                <w:sz w:val="22"/>
              </w:rPr>
              <w:t xml:space="preserve"> </w:t>
            </w:r>
            <w:r w:rsidRPr="00D573FF">
              <w:rPr>
                <w:sz w:val="22"/>
              </w:rPr>
              <w:t>/ risk reduced to level as at the start. This will likely involve external multi-agency emergency responders.</w:t>
            </w:r>
          </w:p>
        </w:tc>
      </w:tr>
      <w:tr w:rsidR="00D573FF" w14:paraId="0293A4E0" w14:textId="77777777" w:rsidTr="00B921B3">
        <w:trPr>
          <w:trHeight w:val="295"/>
        </w:trPr>
        <w:tc>
          <w:tcPr>
            <w:tcW w:w="993" w:type="dxa"/>
          </w:tcPr>
          <w:p w14:paraId="31816EDD" w14:textId="59D1802D" w:rsidR="00D573FF" w:rsidRPr="00D573FF" w:rsidRDefault="00D573FF" w:rsidP="00D573FF">
            <w:pPr>
              <w:pStyle w:val="TableText"/>
              <w:rPr>
                <w:sz w:val="22"/>
              </w:rPr>
            </w:pPr>
            <w:r w:rsidRPr="00D573FF">
              <w:rPr>
                <w:sz w:val="22"/>
              </w:rPr>
              <w:t>THREE</w:t>
            </w:r>
          </w:p>
        </w:tc>
        <w:tc>
          <w:tcPr>
            <w:tcW w:w="3402" w:type="dxa"/>
          </w:tcPr>
          <w:p w14:paraId="4D86D2A0" w14:textId="552F1198" w:rsidR="00D573FF" w:rsidRPr="00D573FF" w:rsidRDefault="00D573FF" w:rsidP="00D573FF">
            <w:pPr>
              <w:pStyle w:val="TableText"/>
              <w:rPr>
                <w:sz w:val="22"/>
              </w:rPr>
            </w:pPr>
            <w:r w:rsidRPr="00D573FF">
              <w:rPr>
                <w:sz w:val="22"/>
              </w:rPr>
              <w:t>Consequence management</w:t>
            </w:r>
          </w:p>
        </w:tc>
        <w:tc>
          <w:tcPr>
            <w:tcW w:w="3969" w:type="dxa"/>
          </w:tcPr>
          <w:p w14:paraId="78698155" w14:textId="7E8B17D8" w:rsidR="00D573FF" w:rsidRPr="00D573FF" w:rsidRDefault="00D573FF" w:rsidP="00D573FF">
            <w:pPr>
              <w:pStyle w:val="TableText"/>
              <w:rPr>
                <w:sz w:val="22"/>
              </w:rPr>
            </w:pPr>
            <w:r w:rsidRPr="00D573FF">
              <w:rPr>
                <w:sz w:val="22"/>
              </w:rPr>
              <w:t xml:space="preserve">The integrated TACTICAL post-incident recovery and management of the security of any crime scene in conjunction with the Civil Nuclear Constabulary (CNC) (where deployed) and/ or Home Office police forces and Police Scotland. Conduct of liaison with an off-site multi-agency </w:t>
            </w:r>
            <w:r w:rsidR="006B097C">
              <w:rPr>
                <w:sz w:val="22"/>
              </w:rPr>
              <w:t xml:space="preserve">STRATEGIC coordination centre and </w:t>
            </w:r>
            <w:r w:rsidRPr="00D573FF">
              <w:rPr>
                <w:sz w:val="22"/>
              </w:rPr>
              <w:t>STRATEGIC coordination group</w:t>
            </w:r>
            <w:r w:rsidR="00F95A32">
              <w:rPr>
                <w:sz w:val="22"/>
              </w:rPr>
              <w:t xml:space="preserve"> (SCG)</w:t>
            </w:r>
            <w:r w:rsidRPr="00D573FF">
              <w:rPr>
                <w:sz w:val="22"/>
              </w:rPr>
              <w:t>.</w:t>
            </w:r>
          </w:p>
        </w:tc>
      </w:tr>
    </w:tbl>
    <w:p w14:paraId="39E53530" w14:textId="77777777" w:rsidR="002242B6" w:rsidRPr="002242B6" w:rsidRDefault="002242B6" w:rsidP="002242B6">
      <w:pPr>
        <w:pStyle w:val="F9-Paragraph"/>
        <w:numPr>
          <w:ilvl w:val="0"/>
          <w:numId w:val="0"/>
        </w:numPr>
        <w:ind w:left="851" w:hanging="851"/>
      </w:pPr>
    </w:p>
    <w:p w14:paraId="05BE2E3A" w14:textId="5447BEEF" w:rsidR="00593B7D" w:rsidRDefault="00BE1999" w:rsidP="000A51C3">
      <w:pPr>
        <w:pStyle w:val="F9-Paragraph"/>
      </w:pPr>
      <w:r w:rsidRPr="00CD4BDA">
        <w:t xml:space="preserve">The response should be integrated and involve all relevant stakeholders at each phase of the NSE and it is important that the response is supported by robust and resilient command nodes. The resilience should be designed to mitigate </w:t>
      </w:r>
      <w:r>
        <w:t xml:space="preserve">an unacceptable </w:t>
      </w:r>
      <w:r w:rsidRPr="00CD4BDA">
        <w:t xml:space="preserve">interruption or loss of capability, including that which may be caused by malicious attack. Such infrastructure resilience </w:t>
      </w:r>
      <w:r w:rsidR="00DF7F12">
        <w:t xml:space="preserve">should </w:t>
      </w:r>
      <w:r w:rsidRPr="00CD4BDA">
        <w:t xml:space="preserve">provide confidence that all systems and </w:t>
      </w:r>
      <w:r>
        <w:t>personnel</w:t>
      </w:r>
      <w:r w:rsidRPr="00CD4BDA">
        <w:t xml:space="preserve"> can function effectively and that communications to enable information and instructions to be transmitted across the SEO and its stakeholders on, and where necessary off the site</w:t>
      </w:r>
      <w:r>
        <w:t>, remain available</w:t>
      </w:r>
      <w:r w:rsidR="00593B7D">
        <w:t>.</w:t>
      </w:r>
    </w:p>
    <w:p w14:paraId="67FFA7DA" w14:textId="57F8D473" w:rsidR="00593B7D" w:rsidRDefault="002709A3" w:rsidP="002709A3">
      <w:pPr>
        <w:pStyle w:val="F9-Paragraph"/>
        <w:numPr>
          <w:ilvl w:val="0"/>
          <w:numId w:val="0"/>
        </w:numPr>
        <w:ind w:left="851"/>
      </w:pPr>
      <w:r w:rsidRPr="002709A3">
        <w:rPr>
          <w:b/>
        </w:rPr>
        <w:t>Regulatory Expectation</w:t>
      </w:r>
    </w:p>
    <w:p w14:paraId="5D19A316" w14:textId="21BB81A8" w:rsidR="00CD5C5D" w:rsidRDefault="00C31A2C" w:rsidP="004378B9">
      <w:pPr>
        <w:pStyle w:val="F9-Paragraph"/>
      </w:pPr>
      <w:r w:rsidRPr="00CD4BDA">
        <w:t xml:space="preserve">The </w:t>
      </w:r>
      <w:r>
        <w:t xml:space="preserve">regulatory </w:t>
      </w:r>
      <w:r w:rsidRPr="00182B15">
        <w:t xml:space="preserve">expectation placed on the dutyholder is that they should demonstrate within their security plan how </w:t>
      </w:r>
      <w:r>
        <w:t xml:space="preserve">C3 infrastructure and </w:t>
      </w:r>
      <w:r>
        <w:lastRenderedPageBreak/>
        <w:t xml:space="preserve">arrangements can support effective </w:t>
      </w:r>
      <w:r w:rsidR="009D69BC">
        <w:t>on and off-site activities</w:t>
      </w:r>
      <w:r w:rsidR="00F222CA">
        <w:t xml:space="preserve"> throughout </w:t>
      </w:r>
      <w:r w:rsidR="00DF7F12">
        <w:t>all phases of a response to a NSE.</w:t>
      </w:r>
    </w:p>
    <w:p w14:paraId="140513E6" w14:textId="45D35625" w:rsidR="00FA6C31" w:rsidRPr="004378B9" w:rsidRDefault="0045595E" w:rsidP="0045595E">
      <w:pPr>
        <w:pStyle w:val="F9-Paragraph"/>
        <w:numPr>
          <w:ilvl w:val="0"/>
          <w:numId w:val="0"/>
        </w:numPr>
      </w:pPr>
      <w:r w:rsidRPr="0045595E">
        <w:rPr>
          <w:b/>
          <w:bCs/>
          <w:sz w:val="22"/>
          <w:szCs w:val="22"/>
        </w:rPr>
        <w:t xml:space="preserve">Table </w:t>
      </w:r>
      <w:r w:rsidR="000A08A4">
        <w:rPr>
          <w:b/>
          <w:bCs/>
          <w:sz w:val="22"/>
          <w:szCs w:val="22"/>
        </w:rPr>
        <w:t>2</w:t>
      </w:r>
      <w:r w:rsidRPr="0045595E">
        <w:rPr>
          <w:b/>
          <w:bCs/>
          <w:sz w:val="22"/>
          <w:szCs w:val="22"/>
        </w:rPr>
        <w:t xml:space="preserve">: </w:t>
      </w:r>
      <w:r w:rsidR="00113155">
        <w:rPr>
          <w:b/>
          <w:bCs/>
          <w:sz w:val="22"/>
          <w:szCs w:val="22"/>
        </w:rPr>
        <w:t xml:space="preserve">FSyP 10 </w:t>
      </w:r>
      <w:r w:rsidR="00C10AEE">
        <w:rPr>
          <w:b/>
          <w:bCs/>
          <w:sz w:val="22"/>
          <w:szCs w:val="22"/>
        </w:rPr>
        <w:t xml:space="preserve">Emergency Preparedness and Response </w:t>
      </w:r>
    </w:p>
    <w:tbl>
      <w:tblPr>
        <w:tblStyle w:val="ONRTable1"/>
        <w:tblW w:w="8364" w:type="dxa"/>
        <w:tblInd w:w="0" w:type="dxa"/>
        <w:tblLook w:val="04A0" w:firstRow="1" w:lastRow="0" w:firstColumn="1" w:lastColumn="0" w:noHBand="0" w:noVBand="1"/>
      </w:tblPr>
      <w:tblGrid>
        <w:gridCol w:w="2694"/>
        <w:gridCol w:w="4395"/>
        <w:gridCol w:w="1275"/>
      </w:tblGrid>
      <w:tr w:rsidR="00CD5C5D" w:rsidRPr="000A51C3" w14:paraId="7ABEA302" w14:textId="77777777" w:rsidTr="0045595E">
        <w:trPr>
          <w:cnfStyle w:val="100000000000" w:firstRow="1" w:lastRow="0" w:firstColumn="0" w:lastColumn="0" w:oddVBand="0" w:evenVBand="0" w:oddHBand="0" w:evenHBand="0" w:firstRowFirstColumn="0" w:firstRowLastColumn="0" w:lastRowFirstColumn="0" w:lastRowLastColumn="0"/>
        </w:trPr>
        <w:tc>
          <w:tcPr>
            <w:tcW w:w="2694" w:type="dxa"/>
            <w:vAlign w:val="center"/>
            <w:hideMark/>
          </w:tcPr>
          <w:p w14:paraId="3B925E68" w14:textId="1A3A05FB" w:rsidR="00CD5C5D" w:rsidRPr="000A51C3" w:rsidRDefault="00C31A2C" w:rsidP="00D253A7">
            <w:pPr>
              <w:pStyle w:val="TableText"/>
              <w:keepNext/>
              <w:rPr>
                <w:b w:val="0"/>
                <w:bCs/>
              </w:rPr>
            </w:pPr>
            <w:r w:rsidRPr="00182B15">
              <w:t>FSyP 10 - Emergency Preparedness and Response</w:t>
            </w:r>
          </w:p>
        </w:tc>
        <w:tc>
          <w:tcPr>
            <w:tcW w:w="4395" w:type="dxa"/>
            <w:vAlign w:val="center"/>
          </w:tcPr>
          <w:p w14:paraId="793C8655" w14:textId="0AD8ABD8" w:rsidR="00CD5C5D" w:rsidRPr="000A51C3" w:rsidRDefault="00C31A2C" w:rsidP="00D253A7">
            <w:pPr>
              <w:pStyle w:val="TableText"/>
              <w:keepNext/>
              <w:rPr>
                <w:b w:val="0"/>
                <w:bCs/>
              </w:rPr>
            </w:pPr>
            <w:r w:rsidRPr="00C31A2C">
              <w:rPr>
                <w:b w:val="0"/>
                <w:bCs/>
              </w:rPr>
              <w:t>Clarity of Command, Control and Communications Arrangements During and Post a Nuclear Security Event</w:t>
            </w:r>
          </w:p>
        </w:tc>
        <w:tc>
          <w:tcPr>
            <w:tcW w:w="1275" w:type="dxa"/>
            <w:vAlign w:val="center"/>
          </w:tcPr>
          <w:p w14:paraId="21FA60D1" w14:textId="7B1D4037" w:rsidR="00CD5C5D" w:rsidRPr="000A51C3" w:rsidRDefault="00CD5C5D" w:rsidP="00D253A7">
            <w:pPr>
              <w:pStyle w:val="TableText"/>
              <w:keepNext/>
              <w:rPr>
                <w:b w:val="0"/>
                <w:bCs/>
              </w:rPr>
            </w:pPr>
            <w:r w:rsidRPr="00CD5C5D">
              <w:rPr>
                <w:b w:val="0"/>
                <w:bCs/>
              </w:rPr>
              <w:t xml:space="preserve">SyDP </w:t>
            </w:r>
            <w:r w:rsidR="00356655">
              <w:rPr>
                <w:b w:val="0"/>
                <w:bCs/>
              </w:rPr>
              <w:t>10.3</w:t>
            </w:r>
          </w:p>
        </w:tc>
      </w:tr>
      <w:tr w:rsidR="0000105B" w14:paraId="0F05C49A" w14:textId="77777777" w:rsidTr="0045595E">
        <w:trPr>
          <w:trHeight w:val="885"/>
        </w:trPr>
        <w:tc>
          <w:tcPr>
            <w:tcW w:w="8364" w:type="dxa"/>
            <w:gridSpan w:val="3"/>
            <w:hideMark/>
          </w:tcPr>
          <w:p w14:paraId="04E33E07" w14:textId="48B0F545" w:rsidR="0000105B" w:rsidRPr="000A51C3" w:rsidRDefault="00C31A2C" w:rsidP="00D253A7">
            <w:pPr>
              <w:pStyle w:val="TableText"/>
              <w:rPr>
                <w:sz w:val="22"/>
                <w:szCs w:val="20"/>
              </w:rPr>
            </w:pPr>
            <w:r w:rsidRPr="00182B15">
              <w:t>Dutyholders should implement structures and processes to ensure effective command, control and communications arrangements during and post nuclear security events</w:t>
            </w:r>
            <w:r w:rsidR="0000105B" w:rsidRPr="00814FFC">
              <w:t>.</w:t>
            </w:r>
          </w:p>
        </w:tc>
      </w:tr>
    </w:tbl>
    <w:p w14:paraId="042B833F" w14:textId="3FCE5263" w:rsidR="00CD5C5D" w:rsidRDefault="00CD5C5D" w:rsidP="004E6CB9">
      <w:pPr>
        <w:pStyle w:val="F9-Paragraph"/>
        <w:numPr>
          <w:ilvl w:val="0"/>
          <w:numId w:val="0"/>
        </w:numPr>
        <w:ind w:left="851" w:hanging="851"/>
      </w:pPr>
    </w:p>
    <w:p w14:paraId="3FE9A66F" w14:textId="0AAF9B9E" w:rsidR="00593B7D" w:rsidRDefault="00C31A2C" w:rsidP="00B921B3">
      <w:pPr>
        <w:pStyle w:val="Heading1"/>
        <w:keepNext w:val="0"/>
        <w:pageBreakBefore/>
      </w:pPr>
      <w:bookmarkStart w:id="9" w:name="_Toc477451941"/>
      <w:bookmarkStart w:id="10" w:name="_Toc189131194"/>
      <w:r>
        <w:lastRenderedPageBreak/>
        <w:t>Establishment of Robust and Resilient Command, Communications and Control Arrangements</w:t>
      </w:r>
      <w:bookmarkEnd w:id="9"/>
      <w:bookmarkEnd w:id="10"/>
    </w:p>
    <w:p w14:paraId="51A0CFD8" w14:textId="2F22E100" w:rsidR="00593B7D" w:rsidRDefault="00C31A2C" w:rsidP="000A51C3">
      <w:pPr>
        <w:pStyle w:val="F9-Paragraph"/>
      </w:pPr>
      <w:r>
        <w:t>The dutyholder should identify and implement a structured network of command nodes to enable the delivery of an effective response to a NSE.  These should:</w:t>
      </w:r>
    </w:p>
    <w:p w14:paraId="681E7C50" w14:textId="4662C500" w:rsidR="00C31A2C" w:rsidRDefault="00C31A2C" w:rsidP="00C31A2C">
      <w:pPr>
        <w:pStyle w:val="Bulletlist1"/>
      </w:pPr>
      <w:r>
        <w:t>direct the OPERATIONAL and TACTICAL elements of the SEOs response to an NSE; and,</w:t>
      </w:r>
    </w:p>
    <w:p w14:paraId="562C6644" w14:textId="1E2BEEDB" w:rsidR="00C31A2C" w:rsidRDefault="00C31A2C" w:rsidP="00C31A2C">
      <w:pPr>
        <w:pStyle w:val="Bulletlist1"/>
      </w:pPr>
      <w:r>
        <w:t xml:space="preserve">enable </w:t>
      </w:r>
      <w:r w:rsidR="00A60988">
        <w:t>communication and co-ordination</w:t>
      </w:r>
      <w:r>
        <w:t xml:space="preserve"> with any off-site multi-agency STRATEGIC command groups</w:t>
      </w:r>
      <w:r w:rsidR="00F222CA">
        <w:t>,</w:t>
      </w:r>
      <w:r w:rsidR="00A60988">
        <w:t xml:space="preserve"> including the</w:t>
      </w:r>
      <w:r w:rsidR="00F222CA">
        <w:t xml:space="preserve"> emergency services/local authority Strategic C</w:t>
      </w:r>
      <w:r w:rsidR="0027099A">
        <w:t>oordination</w:t>
      </w:r>
      <w:r w:rsidR="00F222CA">
        <w:t xml:space="preserve"> Centre</w:t>
      </w:r>
      <w:r w:rsidR="00F95A32">
        <w:t xml:space="preserve"> (SCC) containing the SCG</w:t>
      </w:r>
      <w:r>
        <w:t>, whenever required.</w:t>
      </w:r>
    </w:p>
    <w:p w14:paraId="707E3F30" w14:textId="52AC4F2F" w:rsidR="00C31A2C" w:rsidRDefault="00C31A2C" w:rsidP="00C31A2C">
      <w:pPr>
        <w:pStyle w:val="F9-Paragraph"/>
        <w:numPr>
          <w:ilvl w:val="0"/>
          <w:numId w:val="0"/>
        </w:numPr>
        <w:ind w:left="851"/>
      </w:pPr>
      <w:r w:rsidRPr="004F41A0">
        <w:rPr>
          <w:b/>
        </w:rPr>
        <w:t xml:space="preserve">Command </w:t>
      </w:r>
      <w:r>
        <w:rPr>
          <w:b/>
        </w:rPr>
        <w:t>Nodes</w:t>
      </w:r>
    </w:p>
    <w:p w14:paraId="738974BF" w14:textId="20DF9984" w:rsidR="00593B7D" w:rsidRDefault="00C31A2C" w:rsidP="000A51C3">
      <w:pPr>
        <w:pStyle w:val="F9-Paragraph"/>
      </w:pPr>
      <w:r>
        <w:t>Depending on the category of the site, the C3 strategy should include command nodes that direct the OPERATIONAL and TACTICAL aspect of the SEO response. Depending on the category of the site, these could include the following:</w:t>
      </w:r>
    </w:p>
    <w:p w14:paraId="3D11221D" w14:textId="16330489" w:rsidR="00C31A2C" w:rsidRDefault="009F61F6" w:rsidP="009F61F6">
      <w:pPr>
        <w:pStyle w:val="F9-Paragraph"/>
        <w:numPr>
          <w:ilvl w:val="0"/>
          <w:numId w:val="0"/>
        </w:numPr>
        <w:rPr>
          <w:b/>
          <w:bCs/>
          <w:sz w:val="22"/>
          <w:szCs w:val="22"/>
        </w:rPr>
      </w:pPr>
      <w:r w:rsidRPr="009F61F6">
        <w:rPr>
          <w:b/>
          <w:bCs/>
          <w:sz w:val="22"/>
          <w:szCs w:val="22"/>
        </w:rPr>
        <w:t xml:space="preserve">Table </w:t>
      </w:r>
      <w:r w:rsidR="000A08A4">
        <w:rPr>
          <w:b/>
          <w:bCs/>
          <w:sz w:val="22"/>
          <w:szCs w:val="22"/>
        </w:rPr>
        <w:t>3</w:t>
      </w:r>
      <w:r w:rsidRPr="009F61F6">
        <w:rPr>
          <w:b/>
          <w:bCs/>
          <w:sz w:val="22"/>
          <w:szCs w:val="22"/>
        </w:rPr>
        <w:t xml:space="preserve">: </w:t>
      </w:r>
      <w:r w:rsidR="00C10AEE">
        <w:rPr>
          <w:b/>
          <w:bCs/>
          <w:sz w:val="22"/>
          <w:szCs w:val="22"/>
        </w:rPr>
        <w:t>Command nodes</w:t>
      </w:r>
    </w:p>
    <w:tbl>
      <w:tblPr>
        <w:tblStyle w:val="ONRTable1"/>
        <w:tblW w:w="9072" w:type="dxa"/>
        <w:tblInd w:w="0" w:type="dxa"/>
        <w:tblLook w:val="04A0" w:firstRow="1" w:lastRow="0" w:firstColumn="1" w:lastColumn="0" w:noHBand="0" w:noVBand="1"/>
      </w:tblPr>
      <w:tblGrid>
        <w:gridCol w:w="2410"/>
        <w:gridCol w:w="2217"/>
        <w:gridCol w:w="4445"/>
      </w:tblGrid>
      <w:tr w:rsidR="00255696" w:rsidRPr="000A51C3" w14:paraId="46FE1D1E" w14:textId="77777777" w:rsidTr="00255696">
        <w:trPr>
          <w:cnfStyle w:val="100000000000" w:firstRow="1" w:lastRow="0" w:firstColumn="0" w:lastColumn="0" w:oddVBand="0" w:evenVBand="0" w:oddHBand="0" w:evenHBand="0" w:firstRowFirstColumn="0" w:firstRowLastColumn="0" w:lastRowFirstColumn="0" w:lastRowLastColumn="0"/>
        </w:trPr>
        <w:tc>
          <w:tcPr>
            <w:tcW w:w="2410" w:type="dxa"/>
            <w:vAlign w:val="center"/>
            <w:hideMark/>
          </w:tcPr>
          <w:p w14:paraId="76E53801" w14:textId="0A7C119F" w:rsidR="00AA4979" w:rsidRPr="000A51C3" w:rsidRDefault="00AA4979" w:rsidP="00AA0064">
            <w:pPr>
              <w:pStyle w:val="TableText"/>
              <w:keepNext/>
              <w:rPr>
                <w:b w:val="0"/>
                <w:bCs/>
              </w:rPr>
            </w:pPr>
            <w:r w:rsidRPr="00AA4979">
              <w:t xml:space="preserve">Command </w:t>
            </w:r>
            <w:r w:rsidR="00A75580">
              <w:t>n</w:t>
            </w:r>
            <w:r w:rsidRPr="00AA4979">
              <w:t>ode</w:t>
            </w:r>
          </w:p>
        </w:tc>
        <w:tc>
          <w:tcPr>
            <w:tcW w:w="2217" w:type="dxa"/>
            <w:vAlign w:val="center"/>
          </w:tcPr>
          <w:p w14:paraId="52A273ED" w14:textId="05B34144" w:rsidR="00AA4979" w:rsidRPr="002242B6" w:rsidRDefault="00AA4979" w:rsidP="00AA0064">
            <w:pPr>
              <w:pStyle w:val="TableText"/>
              <w:keepNext/>
            </w:pPr>
            <w:r w:rsidRPr="00AA4979">
              <w:t xml:space="preserve">Command </w:t>
            </w:r>
            <w:r w:rsidR="00A75580">
              <w:t>level</w:t>
            </w:r>
          </w:p>
        </w:tc>
        <w:tc>
          <w:tcPr>
            <w:tcW w:w="4445" w:type="dxa"/>
            <w:vAlign w:val="center"/>
          </w:tcPr>
          <w:p w14:paraId="3D4624CA" w14:textId="73997BA9" w:rsidR="00AA4979" w:rsidRPr="000A51C3" w:rsidRDefault="00A75580" w:rsidP="00AA0064">
            <w:pPr>
              <w:pStyle w:val="TableText"/>
              <w:keepNext/>
              <w:rPr>
                <w:b w:val="0"/>
                <w:bCs/>
              </w:rPr>
            </w:pPr>
            <w:r>
              <w:rPr>
                <w:sz w:val="22"/>
                <w:lang w:eastAsia="en-GB"/>
              </w:rPr>
              <w:t xml:space="preserve">Functions </w:t>
            </w:r>
          </w:p>
        </w:tc>
      </w:tr>
      <w:tr w:rsidR="003E2586" w14:paraId="14BFE162" w14:textId="77777777" w:rsidTr="00255696">
        <w:trPr>
          <w:trHeight w:val="295"/>
        </w:trPr>
        <w:tc>
          <w:tcPr>
            <w:tcW w:w="2410" w:type="dxa"/>
          </w:tcPr>
          <w:p w14:paraId="1DAFE988" w14:textId="087D1122" w:rsidR="003E2586" w:rsidRPr="0062380C" w:rsidRDefault="003E2586" w:rsidP="003E2586">
            <w:pPr>
              <w:pStyle w:val="TableText"/>
              <w:rPr>
                <w:sz w:val="22"/>
              </w:rPr>
            </w:pPr>
            <w:r w:rsidRPr="0062380C">
              <w:rPr>
                <w:sz w:val="22"/>
              </w:rPr>
              <w:t>Site Security Control Room (SSCR)</w:t>
            </w:r>
          </w:p>
        </w:tc>
        <w:tc>
          <w:tcPr>
            <w:tcW w:w="2217" w:type="dxa"/>
          </w:tcPr>
          <w:p w14:paraId="009ED3E3" w14:textId="4106FC80" w:rsidR="003E2586" w:rsidRPr="0062380C" w:rsidRDefault="003E2586" w:rsidP="003E2586">
            <w:pPr>
              <w:pStyle w:val="TableText"/>
              <w:rPr>
                <w:sz w:val="22"/>
              </w:rPr>
            </w:pPr>
            <w:r w:rsidRPr="0062380C">
              <w:rPr>
                <w:sz w:val="22"/>
              </w:rPr>
              <w:t>OPERATIONAL</w:t>
            </w:r>
          </w:p>
        </w:tc>
        <w:tc>
          <w:tcPr>
            <w:tcW w:w="4445" w:type="dxa"/>
          </w:tcPr>
          <w:p w14:paraId="32402CB7" w14:textId="77777777" w:rsidR="003E2586" w:rsidRPr="0062380C" w:rsidRDefault="00255696" w:rsidP="00255696">
            <w:pPr>
              <w:pStyle w:val="TableText"/>
              <w:numPr>
                <w:ilvl w:val="0"/>
                <w:numId w:val="44"/>
              </w:numPr>
              <w:ind w:left="357" w:hanging="357"/>
              <w:rPr>
                <w:sz w:val="22"/>
              </w:rPr>
            </w:pPr>
            <w:r w:rsidRPr="0062380C">
              <w:rPr>
                <w:sz w:val="22"/>
              </w:rPr>
              <w:t>Monitor and control all on-site security activities.</w:t>
            </w:r>
          </w:p>
          <w:p w14:paraId="2E231AC0" w14:textId="77777777" w:rsidR="00255696" w:rsidRPr="0062380C" w:rsidRDefault="00255696" w:rsidP="00255696">
            <w:pPr>
              <w:pStyle w:val="TableText"/>
              <w:numPr>
                <w:ilvl w:val="0"/>
                <w:numId w:val="44"/>
              </w:numPr>
              <w:ind w:left="357" w:hanging="357"/>
              <w:rPr>
                <w:sz w:val="22"/>
              </w:rPr>
            </w:pPr>
            <w:r w:rsidRPr="0062380C">
              <w:rPr>
                <w:sz w:val="22"/>
              </w:rPr>
              <w:t>Delivers situational awareness to first responders.</w:t>
            </w:r>
          </w:p>
          <w:p w14:paraId="515A1B20" w14:textId="77777777" w:rsidR="00255696" w:rsidRPr="0062380C" w:rsidRDefault="00255696" w:rsidP="00255696">
            <w:pPr>
              <w:pStyle w:val="TableText"/>
              <w:numPr>
                <w:ilvl w:val="0"/>
                <w:numId w:val="44"/>
              </w:numPr>
              <w:ind w:left="357" w:hanging="357"/>
              <w:rPr>
                <w:sz w:val="22"/>
              </w:rPr>
            </w:pPr>
            <w:r w:rsidRPr="0062380C">
              <w:rPr>
                <w:sz w:val="22"/>
              </w:rPr>
              <w:t>Directs and communicates with the site response force.</w:t>
            </w:r>
          </w:p>
          <w:p w14:paraId="683357E5" w14:textId="6C70388F" w:rsidR="00C64817" w:rsidRPr="0062380C" w:rsidRDefault="00C64817" w:rsidP="00255696">
            <w:pPr>
              <w:pStyle w:val="TableText"/>
              <w:numPr>
                <w:ilvl w:val="0"/>
                <w:numId w:val="44"/>
              </w:numPr>
              <w:ind w:left="357" w:hanging="357"/>
              <w:rPr>
                <w:sz w:val="22"/>
              </w:rPr>
            </w:pPr>
            <w:r w:rsidRPr="0062380C">
              <w:rPr>
                <w:sz w:val="22"/>
              </w:rPr>
              <w:t>Subordinate to TACTICAL command nodes.</w:t>
            </w:r>
          </w:p>
        </w:tc>
      </w:tr>
      <w:tr w:rsidR="005B4693" w:rsidRPr="00EA55A8" w14:paraId="2A8133F0" w14:textId="77777777" w:rsidTr="00255696">
        <w:trPr>
          <w:trHeight w:val="295"/>
        </w:trPr>
        <w:tc>
          <w:tcPr>
            <w:tcW w:w="2410" w:type="dxa"/>
          </w:tcPr>
          <w:p w14:paraId="20362ED7" w14:textId="54406D8F" w:rsidR="005B4693" w:rsidRPr="0062380C" w:rsidRDefault="005B4693" w:rsidP="005B4693">
            <w:pPr>
              <w:pStyle w:val="TableText"/>
              <w:rPr>
                <w:sz w:val="22"/>
              </w:rPr>
            </w:pPr>
            <w:r w:rsidRPr="0062380C">
              <w:rPr>
                <w:sz w:val="22"/>
              </w:rPr>
              <w:t>Alternate SSCR</w:t>
            </w:r>
          </w:p>
        </w:tc>
        <w:tc>
          <w:tcPr>
            <w:tcW w:w="2217" w:type="dxa"/>
          </w:tcPr>
          <w:p w14:paraId="59AFB776" w14:textId="46B7E835" w:rsidR="005B4693" w:rsidRPr="0062380C" w:rsidRDefault="005B4693" w:rsidP="005B4693">
            <w:pPr>
              <w:pStyle w:val="TableText"/>
              <w:rPr>
                <w:sz w:val="22"/>
              </w:rPr>
            </w:pPr>
            <w:r w:rsidRPr="0062380C">
              <w:rPr>
                <w:sz w:val="22"/>
              </w:rPr>
              <w:t>OPERATIONAL</w:t>
            </w:r>
          </w:p>
        </w:tc>
        <w:tc>
          <w:tcPr>
            <w:tcW w:w="4445" w:type="dxa"/>
          </w:tcPr>
          <w:p w14:paraId="2154695B" w14:textId="77777777" w:rsidR="005B4693" w:rsidRPr="0062380C" w:rsidRDefault="005B4693" w:rsidP="005B4693">
            <w:pPr>
              <w:pStyle w:val="TableText"/>
              <w:numPr>
                <w:ilvl w:val="0"/>
                <w:numId w:val="44"/>
              </w:numPr>
              <w:ind w:left="357" w:hanging="357"/>
              <w:rPr>
                <w:sz w:val="22"/>
              </w:rPr>
            </w:pPr>
            <w:r w:rsidRPr="0062380C">
              <w:rPr>
                <w:sz w:val="22"/>
              </w:rPr>
              <w:t>Delivers the function of the SSCR when it is not operational for any reason.</w:t>
            </w:r>
          </w:p>
          <w:p w14:paraId="451DFD0A" w14:textId="2B20A643" w:rsidR="005B4693" w:rsidRPr="0062380C" w:rsidRDefault="005B4693" w:rsidP="005B4693">
            <w:pPr>
              <w:pStyle w:val="TableText"/>
              <w:numPr>
                <w:ilvl w:val="0"/>
                <w:numId w:val="44"/>
              </w:numPr>
              <w:ind w:left="357" w:hanging="357"/>
              <w:rPr>
                <w:sz w:val="22"/>
              </w:rPr>
            </w:pPr>
            <w:r w:rsidRPr="0062380C">
              <w:rPr>
                <w:sz w:val="22"/>
              </w:rPr>
              <w:t>It should replicate the purpose and effect of the SSCR.</w:t>
            </w:r>
          </w:p>
        </w:tc>
      </w:tr>
      <w:tr w:rsidR="00AA4979" w14:paraId="33570CE6" w14:textId="77777777" w:rsidTr="00255696">
        <w:trPr>
          <w:trHeight w:val="295"/>
        </w:trPr>
        <w:tc>
          <w:tcPr>
            <w:tcW w:w="2410" w:type="dxa"/>
          </w:tcPr>
          <w:p w14:paraId="6A27D1CA" w14:textId="77777777" w:rsidR="00EA55A8" w:rsidRPr="0062380C" w:rsidRDefault="00EA55A8" w:rsidP="00EA55A8">
            <w:pPr>
              <w:pStyle w:val="TableText"/>
              <w:rPr>
                <w:sz w:val="22"/>
              </w:rPr>
            </w:pPr>
            <w:r w:rsidRPr="0062380C">
              <w:rPr>
                <w:sz w:val="22"/>
              </w:rPr>
              <w:t>Central Control Room (CCR),</w:t>
            </w:r>
          </w:p>
          <w:p w14:paraId="14A8100C" w14:textId="77777777" w:rsidR="00EA55A8" w:rsidRPr="0062380C" w:rsidRDefault="00EA55A8" w:rsidP="00EA55A8">
            <w:pPr>
              <w:pStyle w:val="TableText"/>
              <w:rPr>
                <w:sz w:val="22"/>
              </w:rPr>
            </w:pPr>
          </w:p>
          <w:p w14:paraId="0E7C51C9" w14:textId="77777777" w:rsidR="00EA55A8" w:rsidRPr="0062380C" w:rsidRDefault="00EA55A8" w:rsidP="00EA55A8">
            <w:pPr>
              <w:pStyle w:val="TableText"/>
              <w:rPr>
                <w:sz w:val="22"/>
              </w:rPr>
            </w:pPr>
          </w:p>
          <w:p w14:paraId="39B246B8" w14:textId="029EEFB7" w:rsidR="00AA4979" w:rsidRPr="0062380C" w:rsidRDefault="00EA55A8" w:rsidP="00EA55A8">
            <w:pPr>
              <w:pStyle w:val="TableText"/>
              <w:rPr>
                <w:sz w:val="22"/>
              </w:rPr>
            </w:pPr>
            <w:r w:rsidRPr="0062380C">
              <w:rPr>
                <w:sz w:val="22"/>
              </w:rPr>
              <w:lastRenderedPageBreak/>
              <w:t>Access Control Point (ACP).</w:t>
            </w:r>
            <w:r w:rsidRPr="0062380C">
              <w:rPr>
                <w:sz w:val="22"/>
              </w:rPr>
              <w:tab/>
            </w:r>
          </w:p>
        </w:tc>
        <w:tc>
          <w:tcPr>
            <w:tcW w:w="2217" w:type="dxa"/>
          </w:tcPr>
          <w:p w14:paraId="074FD418" w14:textId="03661684" w:rsidR="00AA4979" w:rsidRPr="0062380C" w:rsidRDefault="00EA55A8" w:rsidP="00AA0064">
            <w:pPr>
              <w:pStyle w:val="TableText"/>
              <w:rPr>
                <w:sz w:val="22"/>
              </w:rPr>
            </w:pPr>
            <w:r w:rsidRPr="0062380C">
              <w:rPr>
                <w:sz w:val="22"/>
              </w:rPr>
              <w:lastRenderedPageBreak/>
              <w:t>TACTICAL</w:t>
            </w:r>
          </w:p>
        </w:tc>
        <w:tc>
          <w:tcPr>
            <w:tcW w:w="4445" w:type="dxa"/>
          </w:tcPr>
          <w:p w14:paraId="41968BD3" w14:textId="77777777" w:rsidR="00AA4979" w:rsidRPr="0062380C" w:rsidRDefault="00EA55A8" w:rsidP="00EA55A8">
            <w:pPr>
              <w:pStyle w:val="TableText"/>
              <w:numPr>
                <w:ilvl w:val="0"/>
                <w:numId w:val="44"/>
              </w:numPr>
              <w:ind w:left="357" w:hanging="357"/>
              <w:rPr>
                <w:sz w:val="22"/>
              </w:rPr>
            </w:pPr>
            <w:r w:rsidRPr="0062380C">
              <w:rPr>
                <w:sz w:val="22"/>
              </w:rPr>
              <w:t>Command and control of the site response by the site’s duty Duly Authorised Person (DAP) in concert with CNC OPERATIONAL commanders (where deployed).</w:t>
            </w:r>
          </w:p>
          <w:p w14:paraId="1B383F7D" w14:textId="77777777" w:rsidR="00EA55A8" w:rsidRPr="0062380C" w:rsidRDefault="00133994" w:rsidP="00EA55A8">
            <w:pPr>
              <w:pStyle w:val="TableText"/>
              <w:numPr>
                <w:ilvl w:val="0"/>
                <w:numId w:val="44"/>
              </w:numPr>
              <w:ind w:left="357" w:hanging="357"/>
              <w:rPr>
                <w:sz w:val="22"/>
              </w:rPr>
            </w:pPr>
            <w:r w:rsidRPr="0062380C">
              <w:rPr>
                <w:sz w:val="22"/>
              </w:rPr>
              <w:lastRenderedPageBreak/>
              <w:t>Communicates with OPERATIONAL command nodes.</w:t>
            </w:r>
          </w:p>
          <w:p w14:paraId="1C8848A1" w14:textId="6EBC39FF" w:rsidR="00133994" w:rsidRPr="0062380C" w:rsidRDefault="00133994" w:rsidP="00EA55A8">
            <w:pPr>
              <w:pStyle w:val="TableText"/>
              <w:numPr>
                <w:ilvl w:val="0"/>
                <w:numId w:val="44"/>
              </w:numPr>
              <w:ind w:left="357" w:hanging="357"/>
              <w:rPr>
                <w:sz w:val="22"/>
              </w:rPr>
            </w:pPr>
            <w:r w:rsidRPr="0062380C">
              <w:rPr>
                <w:sz w:val="22"/>
              </w:rPr>
              <w:t>If the site is required to have an Emergency Control Centre (ECC), the DAP will handover command to the ECC/Alternate ECC (AECC) once established (normally after the immediate response phase). However, it must have the capability and be prepared to, maintain command if the ECC/AECC cannot operate.</w:t>
            </w:r>
          </w:p>
        </w:tc>
      </w:tr>
      <w:tr w:rsidR="002F7093" w14:paraId="2A3990D3" w14:textId="77777777" w:rsidTr="00255696">
        <w:trPr>
          <w:trHeight w:val="295"/>
        </w:trPr>
        <w:tc>
          <w:tcPr>
            <w:tcW w:w="2410" w:type="dxa"/>
          </w:tcPr>
          <w:p w14:paraId="7B931642" w14:textId="5F73FDB7" w:rsidR="002F7093" w:rsidRPr="0062380C" w:rsidRDefault="002F7093" w:rsidP="002F7093">
            <w:pPr>
              <w:pStyle w:val="TableText"/>
              <w:rPr>
                <w:sz w:val="22"/>
              </w:rPr>
            </w:pPr>
            <w:r w:rsidRPr="0062380C">
              <w:rPr>
                <w:sz w:val="22"/>
              </w:rPr>
              <w:lastRenderedPageBreak/>
              <w:t>Police Control Room (PCR) (where established).</w:t>
            </w:r>
          </w:p>
        </w:tc>
        <w:tc>
          <w:tcPr>
            <w:tcW w:w="2217" w:type="dxa"/>
          </w:tcPr>
          <w:p w14:paraId="54C9E925" w14:textId="7FD937C8" w:rsidR="002F7093" w:rsidRPr="0062380C" w:rsidRDefault="002F7093" w:rsidP="002F7093">
            <w:pPr>
              <w:pStyle w:val="TableText"/>
              <w:rPr>
                <w:sz w:val="22"/>
              </w:rPr>
            </w:pPr>
            <w:r w:rsidRPr="0062380C">
              <w:rPr>
                <w:sz w:val="22"/>
              </w:rPr>
              <w:t>OPERATIONAL</w:t>
            </w:r>
          </w:p>
        </w:tc>
        <w:tc>
          <w:tcPr>
            <w:tcW w:w="4445" w:type="dxa"/>
          </w:tcPr>
          <w:p w14:paraId="4B2B441C" w14:textId="77777777" w:rsidR="002F7093" w:rsidRPr="0062380C" w:rsidRDefault="002F7093" w:rsidP="002F7093">
            <w:pPr>
              <w:pStyle w:val="TableText"/>
              <w:numPr>
                <w:ilvl w:val="0"/>
                <w:numId w:val="44"/>
              </w:numPr>
              <w:ind w:left="357" w:hanging="357"/>
              <w:rPr>
                <w:sz w:val="22"/>
              </w:rPr>
            </w:pPr>
            <w:r w:rsidRPr="0062380C">
              <w:rPr>
                <w:sz w:val="22"/>
              </w:rPr>
              <w:t>Delivers situational awareness to CNC first responders.</w:t>
            </w:r>
          </w:p>
          <w:p w14:paraId="6102245B" w14:textId="5EC08A9E" w:rsidR="002F7093" w:rsidRPr="0062380C" w:rsidRDefault="002F7093" w:rsidP="002F7093">
            <w:pPr>
              <w:pStyle w:val="TableText"/>
              <w:numPr>
                <w:ilvl w:val="0"/>
                <w:numId w:val="44"/>
              </w:numPr>
              <w:ind w:left="357" w:hanging="357"/>
              <w:rPr>
                <w:sz w:val="22"/>
              </w:rPr>
            </w:pPr>
            <w:r w:rsidRPr="0062380C">
              <w:rPr>
                <w:sz w:val="22"/>
              </w:rPr>
              <w:t>Depending on the site, could be subordinate to the CNC Force Incident Manager (FIM), based at the CNC Command and Communication Centre (CCC).</w:t>
            </w:r>
          </w:p>
        </w:tc>
      </w:tr>
      <w:tr w:rsidR="008158D0" w14:paraId="5BBF4D1A" w14:textId="77777777" w:rsidTr="00255696">
        <w:trPr>
          <w:trHeight w:val="295"/>
        </w:trPr>
        <w:tc>
          <w:tcPr>
            <w:tcW w:w="2410" w:type="dxa"/>
          </w:tcPr>
          <w:p w14:paraId="7D75B95A" w14:textId="261302C1" w:rsidR="008158D0" w:rsidRPr="0062380C" w:rsidRDefault="008158D0" w:rsidP="008158D0">
            <w:pPr>
              <w:pStyle w:val="TableText"/>
              <w:rPr>
                <w:sz w:val="22"/>
              </w:rPr>
            </w:pPr>
            <w:r w:rsidRPr="0062380C">
              <w:rPr>
                <w:sz w:val="22"/>
              </w:rPr>
              <w:t>Emergency Control Centre (ECC)</w:t>
            </w:r>
          </w:p>
        </w:tc>
        <w:tc>
          <w:tcPr>
            <w:tcW w:w="2217" w:type="dxa"/>
          </w:tcPr>
          <w:p w14:paraId="2854B592" w14:textId="425D7C5B" w:rsidR="008158D0" w:rsidRPr="0062380C" w:rsidRDefault="008158D0" w:rsidP="008158D0">
            <w:pPr>
              <w:pStyle w:val="TableText"/>
              <w:rPr>
                <w:sz w:val="22"/>
              </w:rPr>
            </w:pPr>
            <w:r w:rsidRPr="0062380C">
              <w:rPr>
                <w:sz w:val="22"/>
              </w:rPr>
              <w:t>TACTICAL</w:t>
            </w:r>
          </w:p>
        </w:tc>
        <w:tc>
          <w:tcPr>
            <w:tcW w:w="4445" w:type="dxa"/>
          </w:tcPr>
          <w:p w14:paraId="6320F944" w14:textId="77777777" w:rsidR="008158D0" w:rsidRPr="0062380C" w:rsidRDefault="008158D0" w:rsidP="008158D0">
            <w:pPr>
              <w:pStyle w:val="TableText"/>
              <w:numPr>
                <w:ilvl w:val="0"/>
                <w:numId w:val="44"/>
              </w:numPr>
              <w:ind w:left="357" w:hanging="357"/>
              <w:rPr>
                <w:sz w:val="22"/>
              </w:rPr>
            </w:pPr>
            <w:r w:rsidRPr="0062380C">
              <w:rPr>
                <w:sz w:val="22"/>
              </w:rPr>
              <w:t>Command and control of the integrated (safety and security) SEO response to deliver the event management and consequence management phases of a NSE.</w:t>
            </w:r>
          </w:p>
          <w:p w14:paraId="54C66FE3" w14:textId="108563BF" w:rsidR="008158D0" w:rsidRPr="0062380C" w:rsidRDefault="00E57E06" w:rsidP="008158D0">
            <w:pPr>
              <w:pStyle w:val="TableText"/>
              <w:numPr>
                <w:ilvl w:val="0"/>
                <w:numId w:val="44"/>
              </w:numPr>
              <w:ind w:left="357" w:hanging="357"/>
              <w:rPr>
                <w:sz w:val="22"/>
              </w:rPr>
            </w:pPr>
            <w:r w:rsidRPr="0062380C">
              <w:rPr>
                <w:sz w:val="22"/>
              </w:rPr>
              <w:t>Commanded by the site’s senior duty DAP in concert with CNC FIM (where appropriate).</w:t>
            </w:r>
          </w:p>
        </w:tc>
      </w:tr>
      <w:tr w:rsidR="00FB6391" w14:paraId="4D8DE546" w14:textId="77777777" w:rsidTr="00255696">
        <w:trPr>
          <w:trHeight w:val="295"/>
        </w:trPr>
        <w:tc>
          <w:tcPr>
            <w:tcW w:w="2410" w:type="dxa"/>
          </w:tcPr>
          <w:p w14:paraId="301A0F47" w14:textId="718323DF" w:rsidR="00FB6391" w:rsidRPr="0062380C" w:rsidRDefault="00FB6391" w:rsidP="00FB6391">
            <w:pPr>
              <w:pStyle w:val="TableText"/>
              <w:rPr>
                <w:sz w:val="22"/>
              </w:rPr>
            </w:pPr>
            <w:r w:rsidRPr="0062380C">
              <w:rPr>
                <w:sz w:val="22"/>
              </w:rPr>
              <w:t>Alternate ECC (AECC)</w:t>
            </w:r>
          </w:p>
        </w:tc>
        <w:tc>
          <w:tcPr>
            <w:tcW w:w="2217" w:type="dxa"/>
          </w:tcPr>
          <w:p w14:paraId="72C8D881" w14:textId="4F041DB8" w:rsidR="00FB6391" w:rsidRPr="0062380C" w:rsidRDefault="00FB6391" w:rsidP="00FB6391">
            <w:pPr>
              <w:pStyle w:val="TableText"/>
              <w:rPr>
                <w:sz w:val="22"/>
              </w:rPr>
            </w:pPr>
            <w:r w:rsidRPr="0062380C">
              <w:rPr>
                <w:sz w:val="22"/>
              </w:rPr>
              <w:t>TACTICAL</w:t>
            </w:r>
          </w:p>
        </w:tc>
        <w:tc>
          <w:tcPr>
            <w:tcW w:w="4445" w:type="dxa"/>
          </w:tcPr>
          <w:p w14:paraId="4FB40254" w14:textId="77777777" w:rsidR="00FB6391" w:rsidRPr="0062380C" w:rsidRDefault="00FB6391" w:rsidP="00FB6391">
            <w:pPr>
              <w:pStyle w:val="TableText"/>
              <w:numPr>
                <w:ilvl w:val="0"/>
                <w:numId w:val="44"/>
              </w:numPr>
              <w:ind w:left="357" w:hanging="357"/>
              <w:rPr>
                <w:sz w:val="22"/>
              </w:rPr>
            </w:pPr>
            <w:r w:rsidRPr="0062380C">
              <w:rPr>
                <w:sz w:val="22"/>
              </w:rPr>
              <w:t>Delivers the function of the ECC when it is not operational for any reason.</w:t>
            </w:r>
          </w:p>
          <w:p w14:paraId="1E26B22B" w14:textId="7E7CDF3B" w:rsidR="00FB6391" w:rsidRPr="0062380C" w:rsidRDefault="00FB6391" w:rsidP="00FB6391">
            <w:pPr>
              <w:pStyle w:val="TableText"/>
              <w:numPr>
                <w:ilvl w:val="0"/>
                <w:numId w:val="44"/>
              </w:numPr>
              <w:ind w:left="357" w:hanging="357"/>
              <w:rPr>
                <w:sz w:val="22"/>
              </w:rPr>
            </w:pPr>
            <w:r w:rsidRPr="0062380C">
              <w:rPr>
                <w:sz w:val="22"/>
              </w:rPr>
              <w:t>It should replicate the purpose and effect of the ECC.</w:t>
            </w:r>
          </w:p>
        </w:tc>
      </w:tr>
      <w:tr w:rsidR="0062380C" w14:paraId="71067654" w14:textId="77777777" w:rsidTr="00255696">
        <w:trPr>
          <w:trHeight w:val="295"/>
        </w:trPr>
        <w:tc>
          <w:tcPr>
            <w:tcW w:w="2410" w:type="dxa"/>
          </w:tcPr>
          <w:p w14:paraId="57A19D79" w14:textId="4966AD88" w:rsidR="0062380C" w:rsidRPr="0062380C" w:rsidRDefault="0062380C" w:rsidP="0062380C">
            <w:pPr>
              <w:pStyle w:val="TableText"/>
              <w:rPr>
                <w:sz w:val="22"/>
              </w:rPr>
            </w:pPr>
            <w:r w:rsidRPr="0062380C">
              <w:rPr>
                <w:sz w:val="22"/>
              </w:rPr>
              <w:t>Centralised Command Facility (CCF)</w:t>
            </w:r>
          </w:p>
        </w:tc>
        <w:tc>
          <w:tcPr>
            <w:tcW w:w="2217" w:type="dxa"/>
          </w:tcPr>
          <w:p w14:paraId="6E230C23" w14:textId="031C1F1D" w:rsidR="0062380C" w:rsidRPr="0062380C" w:rsidRDefault="0062380C" w:rsidP="0062380C">
            <w:pPr>
              <w:pStyle w:val="TableText"/>
              <w:rPr>
                <w:sz w:val="22"/>
              </w:rPr>
            </w:pPr>
            <w:r w:rsidRPr="0062380C">
              <w:rPr>
                <w:sz w:val="22"/>
              </w:rPr>
              <w:t>OPERATIONAL AND TACTICAL</w:t>
            </w:r>
          </w:p>
        </w:tc>
        <w:tc>
          <w:tcPr>
            <w:tcW w:w="4445" w:type="dxa"/>
          </w:tcPr>
          <w:p w14:paraId="64B4E930" w14:textId="6C974389" w:rsidR="0062380C" w:rsidRPr="0062380C" w:rsidRDefault="0062380C" w:rsidP="0062380C">
            <w:pPr>
              <w:pStyle w:val="TableText"/>
              <w:numPr>
                <w:ilvl w:val="0"/>
                <w:numId w:val="44"/>
              </w:numPr>
              <w:ind w:left="357" w:hanging="357"/>
              <w:rPr>
                <w:sz w:val="22"/>
              </w:rPr>
            </w:pPr>
            <w:r w:rsidRPr="0062380C">
              <w:rPr>
                <w:sz w:val="22"/>
              </w:rPr>
              <w:t xml:space="preserve">Contains the SSCR, ECC and PCR function. Either liaises with/or subsumes the CCR/ACP function. Commands all three phases of the site response to a nuclear security event. </w:t>
            </w:r>
          </w:p>
          <w:p w14:paraId="51958B1B" w14:textId="5D12034A" w:rsidR="0062380C" w:rsidRPr="0062380C" w:rsidRDefault="0062380C" w:rsidP="0062380C">
            <w:pPr>
              <w:pStyle w:val="TableText"/>
              <w:numPr>
                <w:ilvl w:val="0"/>
                <w:numId w:val="44"/>
              </w:numPr>
              <w:ind w:left="357" w:hanging="357"/>
              <w:rPr>
                <w:sz w:val="22"/>
              </w:rPr>
            </w:pPr>
            <w:r w:rsidRPr="0062380C">
              <w:rPr>
                <w:sz w:val="22"/>
              </w:rPr>
              <w:t>Commanded by the site’s senior duty DAP in concert with CNC FIM (where appropriate).</w:t>
            </w:r>
          </w:p>
        </w:tc>
      </w:tr>
    </w:tbl>
    <w:p w14:paraId="61A9296A" w14:textId="4691D2C4" w:rsidR="00593B7D" w:rsidRDefault="00FB5760" w:rsidP="00D353E8">
      <w:pPr>
        <w:pStyle w:val="F9-Paragraph"/>
        <w:numPr>
          <w:ilvl w:val="0"/>
          <w:numId w:val="0"/>
        </w:numPr>
        <w:ind w:left="851"/>
      </w:pPr>
      <w:r w:rsidRPr="003469C7">
        <w:rPr>
          <w:b/>
        </w:rPr>
        <w:t xml:space="preserve">Command </w:t>
      </w:r>
    </w:p>
    <w:p w14:paraId="63F83D6E" w14:textId="6A8463BB" w:rsidR="00593B7D" w:rsidRDefault="001469BB" w:rsidP="000A51C3">
      <w:pPr>
        <w:pStyle w:val="F9-Paragraph"/>
      </w:pPr>
      <w:r>
        <w:t>T</w:t>
      </w:r>
      <w:r w:rsidR="00FB5760">
        <w:t>he dutyholder should:</w:t>
      </w:r>
    </w:p>
    <w:p w14:paraId="2B105535" w14:textId="2C5BFB85" w:rsidR="00FB5760" w:rsidRDefault="00110CE6" w:rsidP="00FB5760">
      <w:pPr>
        <w:pStyle w:val="Bulletlist1"/>
      </w:pPr>
      <w:r>
        <w:t>Define command node roles and relationships.</w:t>
      </w:r>
    </w:p>
    <w:p w14:paraId="5FCCD776" w14:textId="03DE760A" w:rsidR="00110CE6" w:rsidRDefault="00110CE6" w:rsidP="00FB5760">
      <w:pPr>
        <w:pStyle w:val="Bulletlist1"/>
      </w:pPr>
      <w:r>
        <w:lastRenderedPageBreak/>
        <w:t>Through a memorandum of understanding (or equivalent) Identify stakeholders who will undertake the lead organisation responsibilities in delivering a response to an NSE. Each stakeholder should understand each other’s legal responsibilities and obligations.</w:t>
      </w:r>
    </w:p>
    <w:p w14:paraId="08630D84" w14:textId="7583BB8B" w:rsidR="00110CE6" w:rsidRDefault="00110CE6" w:rsidP="00FB5760">
      <w:pPr>
        <w:pStyle w:val="Bulletlist1"/>
      </w:pPr>
      <w:r>
        <w:t xml:space="preserve">Describe the roles and responsibilities of </w:t>
      </w:r>
      <w:r w:rsidR="00835F77">
        <w:t>controllers</w:t>
      </w:r>
      <w:r>
        <w:t xml:space="preserve"> and subordinate personnel.</w:t>
      </w:r>
    </w:p>
    <w:p w14:paraId="40E5D8CD" w14:textId="7240C43C" w:rsidR="00684FAE" w:rsidRDefault="00110CE6">
      <w:pPr>
        <w:pStyle w:val="F9-Paragraph"/>
        <w:numPr>
          <w:ilvl w:val="0"/>
          <w:numId w:val="0"/>
        </w:numPr>
        <w:rPr>
          <w:b/>
        </w:rPr>
      </w:pPr>
      <w:r>
        <w:t>Ensure k</w:t>
      </w:r>
      <w:r w:rsidRPr="008E6168">
        <w:t xml:space="preserve">ey command nodes </w:t>
      </w:r>
      <w:r>
        <w:t>ar</w:t>
      </w:r>
      <w:r w:rsidRPr="008E6168">
        <w:t>e</w:t>
      </w:r>
      <w:r>
        <w:t>, as appropriate, staffed by Suitably Q</w:t>
      </w:r>
      <w:r w:rsidRPr="008E6168">
        <w:t>ua</w:t>
      </w:r>
      <w:r>
        <w:t>lified and Experienced Persons (SQEP)</w:t>
      </w:r>
      <w:r w:rsidR="00CE4AFB">
        <w:t>.</w:t>
      </w:r>
      <w:r w:rsidR="00FD51A6">
        <w:t xml:space="preserve"> </w:t>
      </w:r>
    </w:p>
    <w:p w14:paraId="57F39FEC" w14:textId="176CB844" w:rsidR="00110CE6" w:rsidRPr="00110CE6" w:rsidRDefault="00110CE6" w:rsidP="00110CE6">
      <w:pPr>
        <w:pStyle w:val="F9-Paragraph"/>
        <w:numPr>
          <w:ilvl w:val="0"/>
          <w:numId w:val="0"/>
        </w:numPr>
        <w:ind w:left="851"/>
      </w:pPr>
      <w:r w:rsidRPr="00211185">
        <w:rPr>
          <w:b/>
        </w:rPr>
        <w:t>Communications</w:t>
      </w:r>
    </w:p>
    <w:p w14:paraId="2A3E880B" w14:textId="6D76DA4D" w:rsidR="00325EA6" w:rsidRPr="00325EA6" w:rsidRDefault="00110CE6" w:rsidP="000A51C3">
      <w:pPr>
        <w:pStyle w:val="F9-Paragraph"/>
      </w:pPr>
      <w:r w:rsidRPr="00060A26">
        <w:t>Dutyholders</w:t>
      </w:r>
      <w:r>
        <w:t xml:space="preserve"> should have a communications strategy that:</w:t>
      </w:r>
    </w:p>
    <w:p w14:paraId="058D18E2" w14:textId="426F7169" w:rsidR="00325EA6" w:rsidRDefault="00110CE6" w:rsidP="00325EA6">
      <w:pPr>
        <w:pStyle w:val="Bulletlist1"/>
      </w:pPr>
      <w:r>
        <w:t>Enables all elements of the SEO to communicate effectively and deliver a timely response to a NSE at all times.</w:t>
      </w:r>
    </w:p>
    <w:p w14:paraId="485EAADA" w14:textId="0226922B" w:rsidR="00110CE6" w:rsidRDefault="00897A98" w:rsidP="00325EA6">
      <w:pPr>
        <w:pStyle w:val="Bulletlist1"/>
      </w:pPr>
      <w:r>
        <w:t>Supports external stakeholder’s activities in respect of their C3 integration with the SEO response to a NSE.</w:t>
      </w:r>
    </w:p>
    <w:p w14:paraId="2F5C2FF7" w14:textId="6F742D26" w:rsidR="00110CE6" w:rsidRDefault="00897A98" w:rsidP="00325EA6">
      <w:pPr>
        <w:pStyle w:val="Bulletlist1"/>
      </w:pPr>
      <w:r>
        <w:t>Provides the CNC, where deployed or established, with a communication system capable of supporting all their tasks whether on or off site.</w:t>
      </w:r>
    </w:p>
    <w:p w14:paraId="56F4FA39" w14:textId="4338771E" w:rsidR="00897A98" w:rsidRDefault="00897A98" w:rsidP="00325EA6">
      <w:pPr>
        <w:pStyle w:val="Bulletlist1"/>
      </w:pPr>
      <w:r>
        <w:t xml:space="preserve">Prevents any </w:t>
      </w:r>
      <w:r w:rsidRPr="00060A26">
        <w:t>adverse impact on</w:t>
      </w:r>
      <w:r>
        <w:t xml:space="preserve"> key</w:t>
      </w:r>
      <w:r w:rsidRPr="00060A26">
        <w:t xml:space="preserve"> safety or security systems</w:t>
      </w:r>
      <w:r>
        <w:t>.</w:t>
      </w:r>
    </w:p>
    <w:p w14:paraId="015B9521" w14:textId="6AE156C2" w:rsidR="00897A98" w:rsidRDefault="00897A98" w:rsidP="00A121BD">
      <w:pPr>
        <w:pStyle w:val="Bulletlist1"/>
      </w:pPr>
      <w:r>
        <w:t>Includes an assurance process that tests and maintains the system to ensure a site’s response to an NSE is effective.</w:t>
      </w:r>
    </w:p>
    <w:p w14:paraId="304F5A91" w14:textId="77777777" w:rsidR="001469BB" w:rsidRDefault="001469BB" w:rsidP="001469BB">
      <w:pPr>
        <w:pStyle w:val="F9-Paragraph"/>
        <w:numPr>
          <w:ilvl w:val="0"/>
          <w:numId w:val="0"/>
        </w:numPr>
        <w:ind w:left="851"/>
      </w:pPr>
      <w:r w:rsidRPr="0017012B">
        <w:rPr>
          <w:b/>
        </w:rPr>
        <w:t>Resilience</w:t>
      </w:r>
    </w:p>
    <w:p w14:paraId="6F523295" w14:textId="77777777" w:rsidR="001469BB" w:rsidRDefault="001469BB" w:rsidP="001469BB">
      <w:pPr>
        <w:pStyle w:val="F9-Paragraph"/>
      </w:pPr>
      <w:r>
        <w:t>Dutyholders should ensure that all command nodes are:</w:t>
      </w:r>
    </w:p>
    <w:p w14:paraId="3F6B6A07" w14:textId="77777777" w:rsidR="001469BB" w:rsidRDefault="001469BB" w:rsidP="001469BB">
      <w:pPr>
        <w:pStyle w:val="Bulletlist1"/>
      </w:pPr>
      <w:r>
        <w:t>Resilient to any unacceptable interruption or loss of its function due to, for example, the loss of security technology, communications or key utilities whether on or off-site.</w:t>
      </w:r>
    </w:p>
    <w:p w14:paraId="16CF579A" w14:textId="77777777" w:rsidR="001469BB" w:rsidRDefault="001469BB" w:rsidP="001469BB">
      <w:pPr>
        <w:pStyle w:val="Bulletlist1"/>
      </w:pPr>
      <w:r>
        <w:t>Capable of sustaining personnel for the time it takes to deal with an NSE, including the consequence management phase.</w:t>
      </w:r>
    </w:p>
    <w:p w14:paraId="2B60663E" w14:textId="77777777" w:rsidR="001469BB" w:rsidRDefault="001469BB" w:rsidP="001469BB">
      <w:pPr>
        <w:pStyle w:val="Bulletlist1"/>
      </w:pPr>
      <w:r>
        <w:t>Supported by enough SQEP to relieve command node staff whenever required, particularly during a protracted event.</w:t>
      </w:r>
    </w:p>
    <w:p w14:paraId="468F55C1" w14:textId="77777777" w:rsidR="001469BB" w:rsidRPr="00897A98" w:rsidRDefault="001469BB" w:rsidP="00195D09">
      <w:pPr>
        <w:pStyle w:val="Bulletlist1"/>
        <w:numPr>
          <w:ilvl w:val="0"/>
          <w:numId w:val="0"/>
        </w:numPr>
      </w:pPr>
    </w:p>
    <w:p w14:paraId="631958AA" w14:textId="1FBACA17" w:rsidR="001D0427" w:rsidRDefault="00897A98" w:rsidP="00A95DC4">
      <w:pPr>
        <w:pStyle w:val="Heading1"/>
        <w:keepNext w:val="0"/>
        <w:pageBreakBefore/>
      </w:pPr>
      <w:bookmarkStart w:id="11" w:name="_Toc477451942"/>
      <w:bookmarkStart w:id="12" w:name="_Toc189131195"/>
      <w:r>
        <w:lastRenderedPageBreak/>
        <w:t>Command, Control and Communications Infrastructure</w:t>
      </w:r>
      <w:bookmarkEnd w:id="11"/>
      <w:bookmarkEnd w:id="12"/>
    </w:p>
    <w:p w14:paraId="5E60D062" w14:textId="6A1ADB1E" w:rsidR="00897A98" w:rsidRPr="00897A98" w:rsidRDefault="00897A98" w:rsidP="00897A98">
      <w:pPr>
        <w:pStyle w:val="F9-Paragraph"/>
        <w:numPr>
          <w:ilvl w:val="0"/>
          <w:numId w:val="0"/>
        </w:numPr>
        <w:ind w:left="851"/>
      </w:pPr>
      <w:r w:rsidRPr="00967054">
        <w:rPr>
          <w:b/>
        </w:rPr>
        <w:t>Security</w:t>
      </w:r>
    </w:p>
    <w:p w14:paraId="568A8F61" w14:textId="6D779F03" w:rsidR="001D0427" w:rsidRDefault="00897A98" w:rsidP="000A51C3">
      <w:pPr>
        <w:pStyle w:val="F9-Paragraph"/>
      </w:pPr>
      <w:r>
        <w:t>Command nodes should</w:t>
      </w:r>
      <w:r w:rsidRPr="00967054">
        <w:t xml:space="preserve"> have physical and protective security measu</w:t>
      </w:r>
      <w:r>
        <w:t xml:space="preserve">res that are adequate and proportionate </w:t>
      </w:r>
      <w:r w:rsidR="00FD51A6">
        <w:t>and support the dutyholder in</w:t>
      </w:r>
      <w:r>
        <w:t xml:space="preserve"> achieving the required Physical Protection System (PPS) outcome. Other factors for consideration </w:t>
      </w:r>
      <w:r w:rsidR="00390C84">
        <w:t xml:space="preserve">should </w:t>
      </w:r>
      <w:r>
        <w:t xml:space="preserve"> include:</w:t>
      </w:r>
    </w:p>
    <w:p w14:paraId="38346608" w14:textId="7697EE50" w:rsidR="001051B0" w:rsidRDefault="001051B0" w:rsidP="001051B0">
      <w:pPr>
        <w:pStyle w:val="Bulletlist1"/>
      </w:pPr>
      <w:r w:rsidRPr="001051B0">
        <w:t xml:space="preserve"> </w:t>
      </w:r>
      <w:r>
        <w:t>The Design Basis Threat (DBT).</w:t>
      </w:r>
    </w:p>
    <w:p w14:paraId="608DA6A8" w14:textId="733354AE" w:rsidR="00897A98" w:rsidRDefault="00425176" w:rsidP="00897A98">
      <w:pPr>
        <w:pStyle w:val="Bulletlist1"/>
      </w:pPr>
      <w:r>
        <w:t>The security classification of information or apparatus held within it.</w:t>
      </w:r>
    </w:p>
    <w:p w14:paraId="13448A4E" w14:textId="022E5975" w:rsidR="00425176" w:rsidRDefault="00425176" w:rsidP="00897A98">
      <w:pPr>
        <w:pStyle w:val="Bulletlist1"/>
      </w:pPr>
      <w:r>
        <w:t>The anticipated response times from both on and off-site security responders.</w:t>
      </w:r>
    </w:p>
    <w:p w14:paraId="472AA223" w14:textId="56595EC4" w:rsidR="00425176" w:rsidRDefault="00425176" w:rsidP="00425176">
      <w:pPr>
        <w:pStyle w:val="F9-Paragraph"/>
        <w:numPr>
          <w:ilvl w:val="0"/>
          <w:numId w:val="0"/>
        </w:numPr>
        <w:ind w:left="851"/>
      </w:pPr>
      <w:r w:rsidRPr="00F4450B">
        <w:rPr>
          <w:b/>
        </w:rPr>
        <w:t>Ergonomics</w:t>
      </w:r>
    </w:p>
    <w:p w14:paraId="7FD48932" w14:textId="323E64F1" w:rsidR="00425176" w:rsidRDefault="00425176" w:rsidP="00425176">
      <w:pPr>
        <w:pStyle w:val="F9-Paragraph"/>
      </w:pPr>
      <w:r>
        <w:t>Each command node should have enough space, equipment and furniture to concurrently enable:</w:t>
      </w:r>
    </w:p>
    <w:p w14:paraId="1EB3354A" w14:textId="6072E865" w:rsidR="00425176" w:rsidRDefault="00425176" w:rsidP="00425176">
      <w:pPr>
        <w:pStyle w:val="Bulletlist1"/>
      </w:pPr>
      <w:r>
        <w:t>Staff and stakeholders to undertake individual or collective activity effectively.</w:t>
      </w:r>
    </w:p>
    <w:p w14:paraId="41939B7E" w14:textId="627A8629" w:rsidR="00FE773E" w:rsidRDefault="006A7772" w:rsidP="00425176">
      <w:pPr>
        <w:pStyle w:val="Bulletlist1"/>
      </w:pPr>
      <w:r>
        <w:t xml:space="preserve">Situational awareness to be </w:t>
      </w:r>
      <w:r w:rsidR="001E6235">
        <w:t>maintained.</w:t>
      </w:r>
    </w:p>
    <w:p w14:paraId="334A66EC" w14:textId="5DC07712" w:rsidR="00425176" w:rsidRDefault="00425176" w:rsidP="00425176">
      <w:pPr>
        <w:pStyle w:val="Bulletlist1"/>
      </w:pPr>
      <w:r>
        <w:t>The operation of all information, communication and technology systems and associated apparatus so that the command node can always deliver its function</w:t>
      </w:r>
      <w:r w:rsidR="00964DFB">
        <w:t>s</w:t>
      </w:r>
      <w:r>
        <w:t>.</w:t>
      </w:r>
    </w:p>
    <w:p w14:paraId="3F87453A" w14:textId="77777777" w:rsidR="00684FAE" w:rsidRDefault="00684FAE" w:rsidP="00425176">
      <w:pPr>
        <w:pStyle w:val="F9-Paragraph"/>
        <w:numPr>
          <w:ilvl w:val="0"/>
          <w:numId w:val="0"/>
        </w:numPr>
        <w:ind w:left="851"/>
        <w:rPr>
          <w:b/>
        </w:rPr>
      </w:pPr>
    </w:p>
    <w:p w14:paraId="62BCFA9C" w14:textId="55531597" w:rsidR="00425176" w:rsidRDefault="00425176" w:rsidP="00425176">
      <w:pPr>
        <w:pStyle w:val="F9-Paragraph"/>
        <w:numPr>
          <w:ilvl w:val="0"/>
          <w:numId w:val="0"/>
        </w:numPr>
        <w:ind w:left="851"/>
        <w:rPr>
          <w:b/>
        </w:rPr>
      </w:pPr>
      <w:r w:rsidRPr="0025491B">
        <w:rPr>
          <w:b/>
        </w:rPr>
        <w:t>Inspectors should consider</w:t>
      </w:r>
    </w:p>
    <w:p w14:paraId="0134F617" w14:textId="454E2BE0" w:rsidR="00E9177D" w:rsidRPr="008E0632" w:rsidRDefault="0090387B" w:rsidP="00C06803">
      <w:pPr>
        <w:pStyle w:val="F9-Paragraph"/>
      </w:pPr>
      <w:r>
        <w:t>The following should be considered:</w:t>
      </w:r>
    </w:p>
    <w:p w14:paraId="17BCBB6E" w14:textId="39050CAE" w:rsidR="00425176" w:rsidRPr="00425176" w:rsidRDefault="00425176" w:rsidP="00F866F2">
      <w:pPr>
        <w:pStyle w:val="Bulletlist1"/>
      </w:pPr>
      <w:r>
        <w:t>Are there appropriate arrangements for C3 to be maintained throughout all phases of emergency response?</w:t>
      </w:r>
    </w:p>
    <w:p w14:paraId="1C2D996C" w14:textId="6D54D3CB" w:rsidR="00425176" w:rsidRPr="00425176" w:rsidRDefault="00425176" w:rsidP="00F866F2">
      <w:pPr>
        <w:pStyle w:val="Bulletlist1"/>
      </w:pPr>
      <w:r>
        <w:t>Is there an appropriate structured network of command nodes to enable delivery of an effective response</w:t>
      </w:r>
      <w:r w:rsidR="00FD51A6">
        <w:t xml:space="preserve"> and is that defined in the </w:t>
      </w:r>
      <w:r w:rsidR="001E6235">
        <w:t>security plan and associated documents</w:t>
      </w:r>
      <w:r w:rsidR="002B2EEB">
        <w:t xml:space="preserve"> such as a</w:t>
      </w:r>
      <w:r w:rsidR="001E6235">
        <w:t xml:space="preserve"> </w:t>
      </w:r>
      <w:r w:rsidR="00FD51A6">
        <w:t>Security Contingency Plan (SCP)</w:t>
      </w:r>
      <w:r>
        <w:t>?</w:t>
      </w:r>
    </w:p>
    <w:p w14:paraId="24A667B9" w14:textId="2A95ADCF" w:rsidR="00425176" w:rsidRPr="00425176" w:rsidRDefault="00425176" w:rsidP="00F866F2">
      <w:pPr>
        <w:pStyle w:val="Bulletlist1"/>
      </w:pPr>
      <w:r>
        <w:t xml:space="preserve">Does the </w:t>
      </w:r>
      <w:r w:rsidR="002B2EEB">
        <w:t xml:space="preserve">security plan or </w:t>
      </w:r>
      <w:r>
        <w:t>SCP identify lead-coordination agency stakeholders and describe the roles and responsibilities of commanders and subordinate staffs?</w:t>
      </w:r>
    </w:p>
    <w:p w14:paraId="2CC5AC0C" w14:textId="75DF6AED" w:rsidR="00425176" w:rsidRPr="00425176" w:rsidRDefault="001051B0" w:rsidP="00F866F2">
      <w:pPr>
        <w:pStyle w:val="Bulletlist1"/>
      </w:pPr>
      <w:r>
        <w:t>How</w:t>
      </w:r>
      <w:r w:rsidR="008917BD">
        <w:t xml:space="preserve"> </w:t>
      </w:r>
      <w:r w:rsidR="00425176">
        <w:t xml:space="preserve">the command nodes </w:t>
      </w:r>
      <w:r>
        <w:t xml:space="preserve">will be </w:t>
      </w:r>
      <w:r w:rsidR="00425176">
        <w:t>staffed by SQEP personnel?</w:t>
      </w:r>
    </w:p>
    <w:p w14:paraId="45CCDF77" w14:textId="73A5ADCD" w:rsidR="00425176" w:rsidRPr="00425176" w:rsidRDefault="00D806DF" w:rsidP="00F866F2">
      <w:pPr>
        <w:pStyle w:val="Bulletlist1"/>
      </w:pPr>
      <w:r>
        <w:lastRenderedPageBreak/>
        <w:t>Are the command nodes resilient to loss of function (e.g. utilities) and capable of being staffed continuously, including for protracted NSEs?</w:t>
      </w:r>
    </w:p>
    <w:p w14:paraId="78583A11" w14:textId="669EE03A" w:rsidR="00425176" w:rsidRDefault="00D806DF" w:rsidP="00F866F2">
      <w:pPr>
        <w:pStyle w:val="Bulletlist1"/>
      </w:pPr>
      <w:r>
        <w:t xml:space="preserve">Are communication arrangements and command node functions </w:t>
      </w:r>
      <w:r w:rsidR="00FD51A6">
        <w:t>adequately</w:t>
      </w:r>
      <w:r>
        <w:t xml:space="preserve"> tested</w:t>
      </w:r>
      <w:r w:rsidR="009A6885">
        <w:t xml:space="preserve"> and exercised</w:t>
      </w:r>
      <w:r>
        <w:t>?</w:t>
      </w:r>
    </w:p>
    <w:p w14:paraId="4F52713E" w14:textId="078FAF11" w:rsidR="00D806DF" w:rsidRPr="00D806DF" w:rsidRDefault="00D806DF" w:rsidP="00F866F2">
      <w:pPr>
        <w:pStyle w:val="Bulletlist1"/>
      </w:pPr>
      <w:r>
        <w:t xml:space="preserve">Are the command nodes afforded appropriate physical protection to ensure that the required PPS outcome </w:t>
      </w:r>
      <w:r w:rsidR="00FD51A6">
        <w:t>can be</w:t>
      </w:r>
      <w:r>
        <w:t xml:space="preserve"> achieved</w:t>
      </w:r>
      <w:r w:rsidR="00FD51A6">
        <w:t xml:space="preserve"> and that they are adequately protected</w:t>
      </w:r>
      <w:r>
        <w:t>?</w:t>
      </w:r>
    </w:p>
    <w:p w14:paraId="11E12A04" w14:textId="2E3BE5C2" w:rsidR="00D806DF" w:rsidRDefault="00D806DF" w:rsidP="00F866F2">
      <w:pPr>
        <w:pStyle w:val="Bulletlist1"/>
      </w:pPr>
      <w:r>
        <w:t>Are the interiors of the command nodes ergonomically designed to support delivery of the required functions?</w:t>
      </w:r>
    </w:p>
    <w:p w14:paraId="55A7A1A4" w14:textId="3319E00B" w:rsidR="00D806DF" w:rsidRPr="00D806DF" w:rsidRDefault="00D806DF" w:rsidP="00F866F2">
      <w:pPr>
        <w:pStyle w:val="Bulletlist1"/>
      </w:pPr>
      <w:r>
        <w:t>Does the dutyholder adopt a common lexicon that can be understood by all SEO agencies and e</w:t>
      </w:r>
      <w:r w:rsidR="00650B28">
        <w:t>xternal first</w:t>
      </w:r>
      <w:r>
        <w:t xml:space="preserve"> responders?</w:t>
      </w:r>
    </w:p>
    <w:p w14:paraId="28D995B3" w14:textId="3B60E610" w:rsidR="00593B7D" w:rsidRDefault="00FD51A6" w:rsidP="00D806DF">
      <w:pPr>
        <w:pStyle w:val="Bulletlist1"/>
      </w:pPr>
      <w:r>
        <w:t>Has the dutyholder adopted the Joint Emergency Services Interoperability Programme (JESIP) principles</w:t>
      </w:r>
      <w:r w:rsidR="0014333F">
        <w:t xml:space="preserve"> (or </w:t>
      </w:r>
      <w:r w:rsidR="00C266D7">
        <w:t>appropriate alternatives)</w:t>
      </w:r>
      <w:r>
        <w:t>?</w:t>
      </w:r>
    </w:p>
    <w:p w14:paraId="6FC0E55E" w14:textId="3D92518C" w:rsidR="00C06769" w:rsidRPr="00CE4AFB" w:rsidRDefault="00A029F0" w:rsidP="00D806DF">
      <w:pPr>
        <w:pStyle w:val="Bulletlist1"/>
      </w:pPr>
      <w:r w:rsidRPr="00CE4AFB">
        <w:t xml:space="preserve">Are C3 arrangements enabled by appropriate situational awareness </w:t>
      </w:r>
      <w:r w:rsidR="007E657F" w:rsidRPr="00CE4AFB">
        <w:t xml:space="preserve"> provided by the PPS</w:t>
      </w:r>
      <w:r w:rsidR="00A8254A">
        <w:t>?</w:t>
      </w:r>
    </w:p>
    <w:p w14:paraId="4F40E890" w14:textId="7BB151B2" w:rsidR="00E15050" w:rsidRPr="000A08A4" w:rsidRDefault="00E15050" w:rsidP="00D806DF">
      <w:pPr>
        <w:pStyle w:val="Bulletlist1"/>
      </w:pPr>
      <w:r w:rsidRPr="00CE4AFB">
        <w:t xml:space="preserve">Do the C3 arrangements provide appropriate siutuational-awareness to support external ‘first responders’ and enable </w:t>
      </w:r>
      <w:r w:rsidR="0014333F" w:rsidRPr="000A08A4">
        <w:t xml:space="preserve">decision-making and </w:t>
      </w:r>
      <w:r w:rsidRPr="00CE4AFB">
        <w:t>PPSO</w:t>
      </w:r>
      <w:r w:rsidR="00C06769" w:rsidRPr="00CE4AFB">
        <w:t>s to be achieved</w:t>
      </w:r>
      <w:r w:rsidR="00503443" w:rsidRPr="000A08A4">
        <w:t>?</w:t>
      </w:r>
    </w:p>
    <w:p w14:paraId="3AF44906" w14:textId="4C0112E6" w:rsidR="007E657F" w:rsidRPr="000A08A4" w:rsidRDefault="007E657F" w:rsidP="00D806DF">
      <w:pPr>
        <w:pStyle w:val="Bulletlist1"/>
      </w:pPr>
      <w:r w:rsidRPr="000A08A4">
        <w:t xml:space="preserve">Have </w:t>
      </w:r>
      <w:r w:rsidR="00503443" w:rsidRPr="000A08A4">
        <w:t>C3 arrangements involving external ‘first responders been appropriately exercised?</w:t>
      </w:r>
    </w:p>
    <w:p w14:paraId="011F59E0" w14:textId="0722BB68" w:rsidR="00C266D7" w:rsidRPr="00693447" w:rsidRDefault="00C266D7" w:rsidP="00A8254A">
      <w:pPr>
        <w:pStyle w:val="Bulletlist1"/>
      </w:pPr>
      <w:r w:rsidRPr="000A08A4">
        <w:t>Do C3 arrangements follow</w:t>
      </w:r>
      <w:r w:rsidR="00A8254A">
        <w:t xml:space="preserve"> relevant</w:t>
      </w:r>
      <w:r w:rsidRPr="00693447">
        <w:t xml:space="preserve"> ‘good practice’</w:t>
      </w:r>
      <w:r w:rsidR="00A8254A">
        <w:t>?</w:t>
      </w:r>
    </w:p>
    <w:p w14:paraId="2DA29B15" w14:textId="2568CE10" w:rsidR="00033297" w:rsidRPr="00CE4AFB" w:rsidRDefault="00392F3B" w:rsidP="00D806DF">
      <w:pPr>
        <w:pStyle w:val="Bulletlist1"/>
      </w:pPr>
      <w:r w:rsidRPr="00693447">
        <w:t>Are any ‘remotely’</w:t>
      </w:r>
      <w:r w:rsidR="005739D0" w:rsidRPr="00693447">
        <w:t xml:space="preserve"> delivered C3 functions appropriate?</w:t>
      </w:r>
    </w:p>
    <w:bookmarkStart w:id="13" w:name="_Toc189131196" w:displacedByCustomXml="next"/>
    <w:sdt>
      <w:sdtPr>
        <w:rPr>
          <w:color w:val="auto"/>
          <w:sz w:val="24"/>
        </w:rPr>
        <w:id w:val="968394949"/>
        <w:docPartObj>
          <w:docPartGallery w:val="Bibliographies"/>
          <w:docPartUnique/>
        </w:docPartObj>
      </w:sdtPr>
      <w:sdtEndPr>
        <w:rPr>
          <w:color w:val="22413A"/>
          <w:sz w:val="48"/>
        </w:rPr>
      </w:sdtEndPr>
      <w:sdtContent>
        <w:p w14:paraId="37835314" w14:textId="77777777" w:rsidR="00A60988" w:rsidDel="00A60988" w:rsidRDefault="00A60988" w:rsidP="00A60988">
          <w:pPr>
            <w:pStyle w:val="Heading1"/>
            <w:numPr>
              <w:ilvl w:val="0"/>
              <w:numId w:val="0"/>
            </w:numPr>
            <w:spacing w:after="0"/>
            <w:ind w:left="851" w:hanging="851"/>
          </w:pPr>
        </w:p>
        <w:p w14:paraId="7D4FF22D" w14:textId="0F5F4AD1" w:rsidR="00FB385A" w:rsidRDefault="005B1BE6" w:rsidP="00C06803">
          <w:pPr>
            <w:pStyle w:val="Heading1"/>
            <w:numPr>
              <w:ilvl w:val="0"/>
              <w:numId w:val="0"/>
            </w:numPr>
            <w:spacing w:after="0"/>
            <w:ind w:left="851" w:hanging="851"/>
          </w:pPr>
        </w:p>
        <w:bookmarkEnd w:id="13" w:displacedByCustomXml="next"/>
      </w:sdtContent>
    </w:sdt>
    <w:p w14:paraId="219D2C71" w14:textId="77777777" w:rsidR="007B1D15" w:rsidRDefault="007B1D15" w:rsidP="007B1D15">
      <w:pPr>
        <w:spacing w:after="0"/>
      </w:pPr>
    </w:p>
    <w:p w14:paraId="467A011B" w14:textId="77777777" w:rsidR="00F7687C" w:rsidRDefault="00F7687C" w:rsidP="00F7687C"/>
    <w:p w14:paraId="5DA100FC" w14:textId="77777777" w:rsidR="00FC49F4" w:rsidRDefault="00FC49F4" w:rsidP="00F7687C"/>
    <w:p w14:paraId="647CDF5D" w14:textId="0800F104" w:rsidR="00FC49F4" w:rsidRDefault="00FC49F4" w:rsidP="00F7687C"/>
    <w:p w14:paraId="1F47291D" w14:textId="77777777" w:rsidR="00FC49F4" w:rsidRDefault="00FC49F4" w:rsidP="00F7687C"/>
    <w:p w14:paraId="78BFFAAF" w14:textId="77777777" w:rsidR="00F24669" w:rsidRDefault="00F24669" w:rsidP="00F7687C"/>
    <w:bookmarkStart w:id="14" w:name="_Toc128481444" w:displacedByCustomXml="next"/>
    <w:sdt>
      <w:sdtPr>
        <w:rPr>
          <w:color w:val="auto"/>
          <w:sz w:val="24"/>
        </w:rPr>
        <w:id w:val="-402143531"/>
        <w:docPartObj>
          <w:docPartGallery w:val="Bibliographies"/>
          <w:docPartUnique/>
        </w:docPartObj>
      </w:sdtPr>
      <w:sdtEndPr/>
      <w:sdtContent>
        <w:p w14:paraId="41E0C3A2" w14:textId="77777777" w:rsidR="00F24669" w:rsidRDefault="00F24669" w:rsidP="00F24669">
          <w:pPr>
            <w:pStyle w:val="Heading1"/>
            <w:spacing w:after="0"/>
          </w:pPr>
          <w:r>
            <w:t>References</w:t>
          </w:r>
          <w:bookmarkEnd w:id="14"/>
        </w:p>
        <w:sdt>
          <w:sdtPr>
            <w:id w:val="1348054180"/>
            <w:bibliography/>
          </w:sdtPr>
          <w:sdtEndPr/>
          <w:sdtContent>
            <w:p w14:paraId="66BE02DA" w14:textId="77777777" w:rsidR="00F24669" w:rsidRDefault="00F24669" w:rsidP="00F24669">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24669" w14:paraId="1FB30846" w14:textId="77777777" w:rsidTr="00693447">
                <w:trPr>
                  <w:tblCellSpacing w:w="15" w:type="dxa"/>
                </w:trPr>
                <w:tc>
                  <w:tcPr>
                    <w:tcW w:w="165" w:type="pct"/>
                    <w:hideMark/>
                  </w:tcPr>
                  <w:p w14:paraId="22805FB5" w14:textId="77777777" w:rsidR="00F24669" w:rsidRDefault="00F24669" w:rsidP="0063145B">
                    <w:pPr>
                      <w:pStyle w:val="Bibliography"/>
                      <w:rPr>
                        <w:noProof/>
                        <w:szCs w:val="24"/>
                      </w:rPr>
                    </w:pPr>
                    <w:r>
                      <w:rPr>
                        <w:noProof/>
                      </w:rPr>
                      <w:t xml:space="preserve">[1] </w:t>
                    </w:r>
                  </w:p>
                </w:tc>
                <w:tc>
                  <w:tcPr>
                    <w:tcW w:w="0" w:type="auto"/>
                    <w:hideMark/>
                  </w:tcPr>
                  <w:p w14:paraId="31E4558E" w14:textId="77777777" w:rsidR="00F24669" w:rsidRDefault="00F24669" w:rsidP="0063145B">
                    <w:pPr>
                      <w:pStyle w:val="Bibliography"/>
                      <w:rPr>
                        <w:noProof/>
                      </w:rPr>
                    </w:pPr>
                    <w:r>
                      <w:rPr>
                        <w:noProof/>
                      </w:rPr>
                      <w:t xml:space="preserve">“Security Assessment Principles.,” [Online]. Available: </w:t>
                    </w:r>
                    <w:hyperlink r:id="rId17" w:history="1">
                      <w:r w:rsidRPr="008F66F3">
                        <w:rPr>
                          <w:color w:val="0000FF"/>
                          <w:u w:val="single"/>
                        </w:rPr>
                        <w:t>Security Assessment Principles for the Civil Nuclear Industry</w:t>
                      </w:r>
                    </w:hyperlink>
                    <w:r>
                      <w:t xml:space="preserve"> .</w:t>
                    </w:r>
                  </w:p>
                </w:tc>
              </w:tr>
              <w:tr w:rsidR="00F24669" w14:paraId="6BA8DF8B" w14:textId="77777777" w:rsidTr="00693447">
                <w:trPr>
                  <w:tblCellSpacing w:w="15" w:type="dxa"/>
                </w:trPr>
                <w:tc>
                  <w:tcPr>
                    <w:tcW w:w="165" w:type="pct"/>
                    <w:hideMark/>
                  </w:tcPr>
                  <w:p w14:paraId="3251172F" w14:textId="77777777" w:rsidR="00F24669" w:rsidRDefault="00F24669" w:rsidP="0063145B">
                    <w:pPr>
                      <w:pStyle w:val="Bibliography"/>
                      <w:rPr>
                        <w:noProof/>
                      </w:rPr>
                    </w:pPr>
                    <w:r>
                      <w:rPr>
                        <w:noProof/>
                      </w:rPr>
                      <w:t xml:space="preserve">[2] </w:t>
                    </w:r>
                  </w:p>
                </w:tc>
                <w:tc>
                  <w:tcPr>
                    <w:tcW w:w="0" w:type="auto"/>
                    <w:hideMark/>
                  </w:tcPr>
                  <w:p w14:paraId="6BF330ED" w14:textId="77777777" w:rsidR="00F24669" w:rsidRDefault="00F24669" w:rsidP="0063145B">
                    <w:pPr>
                      <w:pStyle w:val="Bibliography"/>
                      <w:rPr>
                        <w:noProof/>
                      </w:rPr>
                    </w:pPr>
                    <w:r>
                      <w:rPr>
                        <w:noProof/>
                      </w:rPr>
                      <w:t xml:space="preserve">Nuclear Industries Security Regulations 2003. Statutory Instrument 2003 No. 403. </w:t>
                    </w:r>
                  </w:p>
                </w:tc>
              </w:tr>
              <w:tr w:rsidR="00F24669" w:rsidRPr="00B35C8F" w14:paraId="31CA1497" w14:textId="77777777" w:rsidTr="00693447">
                <w:trPr>
                  <w:tblCellSpacing w:w="15" w:type="dxa"/>
                </w:trPr>
                <w:tc>
                  <w:tcPr>
                    <w:tcW w:w="165" w:type="pct"/>
                    <w:hideMark/>
                  </w:tcPr>
                  <w:p w14:paraId="4894C39E" w14:textId="77777777" w:rsidR="00F24669" w:rsidRDefault="00F24669" w:rsidP="0063145B">
                    <w:pPr>
                      <w:pStyle w:val="Bibliography"/>
                      <w:rPr>
                        <w:noProof/>
                      </w:rPr>
                    </w:pPr>
                    <w:r>
                      <w:rPr>
                        <w:noProof/>
                      </w:rPr>
                      <w:t xml:space="preserve">[3] </w:t>
                    </w:r>
                  </w:p>
                </w:tc>
                <w:tc>
                  <w:tcPr>
                    <w:tcW w:w="0" w:type="auto"/>
                    <w:hideMark/>
                  </w:tcPr>
                  <w:p w14:paraId="0E216270" w14:textId="24E87B4D" w:rsidR="00F24669" w:rsidRPr="006A18C9" w:rsidRDefault="00F24669" w:rsidP="0063145B">
                    <w:pPr>
                      <w:pStyle w:val="Bibliography"/>
                      <w:rPr>
                        <w:noProof/>
                        <w:lang w:val="fr-FR"/>
                      </w:rPr>
                    </w:pPr>
                    <w:r>
                      <w:rPr>
                        <w:noProof/>
                      </w:rPr>
                      <w:t xml:space="preserve">“Convention on the Physical Protection of Nuclear Material (CPPNM),” [Online]. </w:t>
                    </w:r>
                    <w:r w:rsidRPr="006A18C9">
                      <w:rPr>
                        <w:noProof/>
                        <w:lang w:val="fr-FR"/>
                      </w:rPr>
                      <w:t xml:space="preserve">Available: </w:t>
                    </w:r>
                    <w:hyperlink r:id="rId18" w:history="1">
                      <w:r w:rsidRPr="00B35C8F">
                        <w:rPr>
                          <w:rStyle w:val="Hyperlink"/>
                          <w:noProof/>
                          <w:lang w:val="fr-FR"/>
                        </w:rPr>
                        <w:t>https://ola.iaea.org/ola/treaties/documents/FullText.pdf</w:t>
                      </w:r>
                    </w:hyperlink>
                    <w:r w:rsidRPr="006A18C9">
                      <w:rPr>
                        <w:noProof/>
                        <w:lang w:val="fr-FR"/>
                      </w:rPr>
                      <w:t>.</w:t>
                    </w:r>
                  </w:p>
                </w:tc>
              </w:tr>
              <w:tr w:rsidR="00F24669" w:rsidRPr="00B35C8F" w14:paraId="27CBE62A" w14:textId="77777777" w:rsidTr="00693447">
                <w:trPr>
                  <w:tblCellSpacing w:w="15" w:type="dxa"/>
                </w:trPr>
                <w:tc>
                  <w:tcPr>
                    <w:tcW w:w="165" w:type="pct"/>
                    <w:hideMark/>
                  </w:tcPr>
                  <w:p w14:paraId="3084BDA6" w14:textId="77777777" w:rsidR="00F24669" w:rsidRDefault="00F24669" w:rsidP="0063145B">
                    <w:pPr>
                      <w:pStyle w:val="Bibliography"/>
                      <w:rPr>
                        <w:noProof/>
                      </w:rPr>
                    </w:pPr>
                    <w:r>
                      <w:rPr>
                        <w:noProof/>
                      </w:rPr>
                      <w:t xml:space="preserve">[4] </w:t>
                    </w:r>
                  </w:p>
                </w:tc>
                <w:tc>
                  <w:tcPr>
                    <w:tcW w:w="0" w:type="auto"/>
                    <w:hideMark/>
                  </w:tcPr>
                  <w:p w14:paraId="6F6C4625" w14:textId="6189A665" w:rsidR="00F24669" w:rsidRPr="006A18C9" w:rsidRDefault="00F24669" w:rsidP="0063145B">
                    <w:pPr>
                      <w:pStyle w:val="Bibliography"/>
                      <w:rPr>
                        <w:noProof/>
                        <w:lang w:val="fr-FR"/>
                      </w:rPr>
                    </w:pPr>
                    <w:r>
                      <w:rPr>
                        <w:noProof/>
                      </w:rPr>
                      <w:t xml:space="preserve">“IAEA Nuclear Security Series No. 20. Objective and Essential Elements of a State’s Nuclear Security Regime.,” [Online]. </w:t>
                    </w:r>
                    <w:r w:rsidRPr="006A18C9">
                      <w:rPr>
                        <w:noProof/>
                        <w:lang w:val="fr-FR"/>
                      </w:rPr>
                      <w:t xml:space="preserve">Available: </w:t>
                    </w:r>
                    <w:hyperlink r:id="rId19" w:history="1">
                      <w:r w:rsidRPr="00B35C8F">
                        <w:rPr>
                          <w:rStyle w:val="Hyperlink"/>
                          <w:noProof/>
                          <w:lang w:val="fr-FR"/>
                        </w:rPr>
                        <w:t>http://www-pub.iaea.org/MTCD/Publications/PDF/Pub1590_web.pdf</w:t>
                      </w:r>
                    </w:hyperlink>
                    <w:r w:rsidRPr="006A18C9">
                      <w:rPr>
                        <w:noProof/>
                        <w:lang w:val="fr-FR"/>
                      </w:rPr>
                      <w:t>.</w:t>
                    </w:r>
                  </w:p>
                </w:tc>
              </w:tr>
              <w:tr w:rsidR="00F24669" w14:paraId="0BF5F8FF" w14:textId="77777777" w:rsidTr="00693447">
                <w:trPr>
                  <w:tblCellSpacing w:w="15" w:type="dxa"/>
                </w:trPr>
                <w:tc>
                  <w:tcPr>
                    <w:tcW w:w="165" w:type="pct"/>
                    <w:hideMark/>
                  </w:tcPr>
                  <w:p w14:paraId="5449A250" w14:textId="77777777" w:rsidR="00F24669" w:rsidRDefault="00F24669" w:rsidP="0063145B">
                    <w:pPr>
                      <w:pStyle w:val="Bibliography"/>
                      <w:rPr>
                        <w:noProof/>
                      </w:rPr>
                    </w:pPr>
                    <w:r>
                      <w:rPr>
                        <w:noProof/>
                      </w:rPr>
                      <w:t xml:space="preserve">[5] </w:t>
                    </w:r>
                  </w:p>
                </w:tc>
                <w:tc>
                  <w:tcPr>
                    <w:tcW w:w="0" w:type="auto"/>
                    <w:hideMark/>
                  </w:tcPr>
                  <w:p w14:paraId="27E4B4BA" w14:textId="1F1308B5" w:rsidR="00F24669" w:rsidRDefault="00F24669" w:rsidP="0063145B">
                    <w:pPr>
                      <w:pStyle w:val="Bibliography"/>
                      <w:rPr>
                        <w:noProof/>
                      </w:rPr>
                    </w:pPr>
                    <w:r>
                      <w:rPr>
                        <w:noProof/>
                      </w:rPr>
                      <w:t xml:space="preserve">“IAEA Nuclear Security Series No. 13. Nuclear Security Recommendations on Physical Protection of Nuclear Material and Nuclear Facilities (INFCIRC/225/Revision 5). January 2011.,” [Online]. Available: </w:t>
                    </w:r>
                    <w:hyperlink r:id="rId20" w:history="1">
                      <w:r w:rsidRPr="00B35C8F">
                        <w:rPr>
                          <w:rStyle w:val="Hyperlink"/>
                          <w:noProof/>
                        </w:rPr>
                        <w:t>www-pub.iaea.org/MTCD/Publications/PDF/Pub1481_web.pdf</w:t>
                      </w:r>
                    </w:hyperlink>
                    <w:r>
                      <w:rPr>
                        <w:noProof/>
                      </w:rPr>
                      <w:t>.</w:t>
                    </w:r>
                  </w:p>
                </w:tc>
              </w:tr>
              <w:tr w:rsidR="004464CF" w:rsidRPr="00FE66C7" w14:paraId="45CC0F42" w14:textId="77777777" w:rsidTr="00A60988">
                <w:trPr>
                  <w:tblCellSpacing w:w="15" w:type="dxa"/>
                </w:trPr>
                <w:tc>
                  <w:tcPr>
                    <w:tcW w:w="165" w:type="pct"/>
                  </w:tcPr>
                  <w:p w14:paraId="49693F1A" w14:textId="01F65272" w:rsidR="004464CF" w:rsidRDefault="004464CF" w:rsidP="0063145B">
                    <w:pPr>
                      <w:pStyle w:val="Bibliography"/>
                      <w:rPr>
                        <w:noProof/>
                      </w:rPr>
                    </w:pPr>
                    <w:r>
                      <w:rPr>
                        <w:noProof/>
                      </w:rPr>
                      <w:t>[6]</w:t>
                    </w:r>
                  </w:p>
                </w:tc>
                <w:tc>
                  <w:tcPr>
                    <w:tcW w:w="0" w:type="auto"/>
                  </w:tcPr>
                  <w:p w14:paraId="65A6A9C6" w14:textId="3B14D81B" w:rsidR="004464CF" w:rsidRPr="00CE7942" w:rsidRDefault="004464CF" w:rsidP="0063145B">
                    <w:pPr>
                      <w:pStyle w:val="Bibliography"/>
                      <w:rPr>
                        <w:noProof/>
                        <w:lang w:val="fr-FR"/>
                      </w:rPr>
                    </w:pPr>
                    <w:r w:rsidRPr="004464CF">
                      <w:rPr>
                        <w:noProof/>
                      </w:rPr>
                      <w:t xml:space="preserve">Government Functional Standard 007: Security" </w:t>
                    </w:r>
                    <w:r w:rsidR="00FE66C7">
                      <w:rPr>
                        <w:noProof/>
                      </w:rPr>
                      <w:t xml:space="preserve">(GovS 007) </w:t>
                    </w:r>
                    <w:r w:rsidRPr="004464CF">
                      <w:rPr>
                        <w:noProof/>
                      </w:rPr>
                      <w:t xml:space="preserve">[Online]. </w:t>
                    </w:r>
                    <w:r w:rsidRPr="00CE7942">
                      <w:rPr>
                        <w:noProof/>
                        <w:lang w:val="fr-FR"/>
                      </w:rPr>
                      <w:t xml:space="preserve">Available: </w:t>
                    </w:r>
                    <w:hyperlink r:id="rId21" w:history="1">
                      <w:r w:rsidRPr="00B35C8F">
                        <w:rPr>
                          <w:rStyle w:val="Hyperlink"/>
                          <w:noProof/>
                          <w:lang w:val="fr-FR"/>
                        </w:rPr>
                        <w:t>https://www.gov.uk/government/publications/government-functional-standard-govs-007-security</w:t>
                      </w:r>
                    </w:hyperlink>
                    <w:r w:rsidRPr="00CE7942">
                      <w:rPr>
                        <w:noProof/>
                        <w:lang w:val="fr-FR"/>
                      </w:rPr>
                      <w:t>.</w:t>
                    </w:r>
                  </w:p>
                </w:tc>
              </w:tr>
              <w:tr w:rsidR="00F24669" w:rsidRPr="00B23261" w14:paraId="1C35BCA3" w14:textId="77777777" w:rsidTr="00CE7942">
                <w:trPr>
                  <w:tblCellSpacing w:w="15" w:type="dxa"/>
                </w:trPr>
                <w:tc>
                  <w:tcPr>
                    <w:tcW w:w="165" w:type="pct"/>
                    <w:hideMark/>
                  </w:tcPr>
                  <w:p w14:paraId="0E6192F6" w14:textId="00610F70" w:rsidR="00F24669" w:rsidRDefault="00F24669" w:rsidP="0063145B">
                    <w:pPr>
                      <w:pStyle w:val="Bibliography"/>
                      <w:rPr>
                        <w:noProof/>
                      </w:rPr>
                    </w:pPr>
                    <w:r>
                      <w:rPr>
                        <w:noProof/>
                      </w:rPr>
                      <w:t>[</w:t>
                    </w:r>
                    <w:r w:rsidR="0037078F">
                      <w:rPr>
                        <w:noProof/>
                      </w:rPr>
                      <w:t>7</w:t>
                    </w:r>
                    <w:r>
                      <w:rPr>
                        <w:noProof/>
                      </w:rPr>
                      <w:t xml:space="preserve">] </w:t>
                    </w:r>
                  </w:p>
                </w:tc>
                <w:tc>
                  <w:tcPr>
                    <w:tcW w:w="0" w:type="auto"/>
                    <w:hideMark/>
                  </w:tcPr>
                  <w:p w14:paraId="504FB092" w14:textId="77777777" w:rsidR="00F24669" w:rsidRPr="006A18C9" w:rsidRDefault="00F24669" w:rsidP="0063145B">
                    <w:pPr>
                      <w:pStyle w:val="Bibliography"/>
                      <w:rPr>
                        <w:noProof/>
                        <w:lang w:val="fr-FR"/>
                      </w:rPr>
                    </w:pPr>
                    <w:r>
                      <w:rPr>
                        <w:noProof/>
                      </w:rPr>
                      <w:t xml:space="preserve">“NISR 2003 Classification Policy for the Civil Nuclear Industry (Oct 24),” [Online]. </w:t>
                    </w:r>
                    <w:r w:rsidRPr="006A18C9">
                      <w:rPr>
                        <w:noProof/>
                        <w:lang w:val="fr-FR"/>
                      </w:rPr>
                      <w:t xml:space="preserve">Available: </w:t>
                    </w:r>
                    <w:hyperlink r:id="rId22" w:history="1">
                      <w:r w:rsidRPr="00047B94">
                        <w:rPr>
                          <w:color w:val="0000FF"/>
                          <w:u w:val="single"/>
                          <w:lang w:val="fr-FR"/>
                        </w:rPr>
                        <w:t>onr-cnss-pol-001-the-nuclear-industries-security-regulations-2003-nisr-2003-classification-policy-for-the-civil-nuclear-ind.docx</w:t>
                      </w:r>
                    </w:hyperlink>
                    <w:r w:rsidRPr="006A18C9">
                      <w:rPr>
                        <w:noProof/>
                        <w:lang w:val="fr-FR"/>
                      </w:rPr>
                      <w:t xml:space="preserve"> </w:t>
                    </w:r>
                    <w:r>
                      <w:rPr>
                        <w:noProof/>
                        <w:lang w:val="fr-FR"/>
                      </w:rPr>
                      <w:t>.</w:t>
                    </w:r>
                  </w:p>
                </w:tc>
              </w:tr>
            </w:tbl>
            <w:p w14:paraId="54928CC2" w14:textId="77777777" w:rsidR="00F24669" w:rsidRDefault="00F24669" w:rsidP="00F24669">
              <w:pPr>
                <w:spacing w:after="0"/>
              </w:pPr>
              <w:r>
                <w:rPr>
                  <w:b/>
                  <w:bCs/>
                  <w:noProof/>
                </w:rPr>
                <w:fldChar w:fldCharType="end"/>
              </w:r>
            </w:p>
          </w:sdtContent>
        </w:sdt>
      </w:sdtContent>
    </w:sdt>
    <w:p w14:paraId="291EDA22" w14:textId="77777777" w:rsidR="00F24669" w:rsidRDefault="00F24669" w:rsidP="00F7687C"/>
    <w:p w14:paraId="2B1EFD0D" w14:textId="77777777" w:rsidR="00A60988" w:rsidRPr="00110879" w:rsidRDefault="00A60988" w:rsidP="00A60988">
      <w:pPr>
        <w:rPr>
          <w:i/>
          <w:iCs/>
        </w:rPr>
      </w:pPr>
      <w:r w:rsidRPr="00110879">
        <w:rPr>
          <w:i/>
          <w:iCs/>
          <w:sz w:val="22"/>
          <w:szCs w:val="20"/>
        </w:rPr>
        <w:t>Note: ONR staff should access the above internal ONR references via the How2 Business Management System.</w:t>
      </w:r>
    </w:p>
    <w:p w14:paraId="1DC90079" w14:textId="77777777" w:rsidR="00A60988" w:rsidRDefault="00A60988" w:rsidP="00F7687C">
      <w:pPr>
        <w:sectPr w:rsidR="00A60988" w:rsidSect="000B2BCD">
          <w:headerReference w:type="default" r:id="rId23"/>
          <w:footerReference w:type="default" r:id="rId24"/>
          <w:pgSz w:w="11906" w:h="16838" w:code="9"/>
          <w:pgMar w:top="1440" w:right="1440" w:bottom="1440" w:left="1440" w:header="397" w:footer="397" w:gutter="0"/>
          <w:cols w:space="312"/>
          <w:docGrid w:linePitch="360"/>
        </w:sectPr>
      </w:pPr>
    </w:p>
    <w:p w14:paraId="4323F5E0" w14:textId="790C18C6" w:rsidR="00F7687C" w:rsidRPr="003B4701" w:rsidRDefault="00F7687C" w:rsidP="00ED0098">
      <w:pPr>
        <w:pStyle w:val="Heading1"/>
        <w:numPr>
          <w:ilvl w:val="0"/>
          <w:numId w:val="0"/>
        </w:numPr>
        <w:ind w:left="851" w:hanging="851"/>
      </w:pPr>
      <w:bookmarkStart w:id="15" w:name="_Toc89268373"/>
      <w:bookmarkStart w:id="16" w:name="_Toc189131197"/>
      <w:r w:rsidRPr="003B4701">
        <w:lastRenderedPageBreak/>
        <w:t>Glossary and Abbreviations</w:t>
      </w:r>
      <w:bookmarkEnd w:id="15"/>
      <w:bookmarkEnd w:id="16"/>
    </w:p>
    <w:p w14:paraId="65D9A2C0" w14:textId="77777777" w:rsidR="009D09E5" w:rsidRDefault="009D09E5" w:rsidP="009D09E5">
      <w:pPr>
        <w:tabs>
          <w:tab w:val="left" w:pos="1440"/>
        </w:tabs>
        <w:spacing w:line="240" w:lineRule="auto"/>
        <w:contextualSpacing/>
      </w:pPr>
      <w:r>
        <w:t>ACP</w:t>
      </w:r>
      <w:r>
        <w:tab/>
        <w:t>Access Control Point</w:t>
      </w:r>
    </w:p>
    <w:p w14:paraId="69457C5C" w14:textId="77777777" w:rsidR="009D09E5" w:rsidRDefault="009D09E5" w:rsidP="009D09E5">
      <w:pPr>
        <w:tabs>
          <w:tab w:val="left" w:pos="1440"/>
        </w:tabs>
        <w:spacing w:line="240" w:lineRule="auto"/>
        <w:contextualSpacing/>
      </w:pPr>
      <w:r>
        <w:t>AECC</w:t>
      </w:r>
      <w:r>
        <w:tab/>
        <w:t>Alternate Emergency Control Centre</w:t>
      </w:r>
    </w:p>
    <w:p w14:paraId="29C0C2BE" w14:textId="77777777" w:rsidR="009D09E5" w:rsidRDefault="009D09E5" w:rsidP="009D09E5">
      <w:pPr>
        <w:tabs>
          <w:tab w:val="left" w:pos="1440"/>
        </w:tabs>
        <w:spacing w:line="240" w:lineRule="auto"/>
        <w:contextualSpacing/>
      </w:pPr>
      <w:r>
        <w:t>C3</w:t>
      </w:r>
      <w:r>
        <w:tab/>
        <w:t>Command, Control and Communications</w:t>
      </w:r>
    </w:p>
    <w:p w14:paraId="62FBCD63" w14:textId="77777777" w:rsidR="009D09E5" w:rsidRDefault="009D09E5" w:rsidP="009D09E5">
      <w:pPr>
        <w:tabs>
          <w:tab w:val="left" w:pos="1440"/>
        </w:tabs>
        <w:spacing w:line="240" w:lineRule="auto"/>
        <w:contextualSpacing/>
      </w:pPr>
      <w:r>
        <w:t>CCC</w:t>
      </w:r>
      <w:r>
        <w:tab/>
        <w:t>Constabulary Communications Centre</w:t>
      </w:r>
    </w:p>
    <w:p w14:paraId="71032B0D" w14:textId="77777777" w:rsidR="009D09E5" w:rsidRDefault="009D09E5" w:rsidP="009D09E5">
      <w:pPr>
        <w:tabs>
          <w:tab w:val="left" w:pos="1440"/>
        </w:tabs>
        <w:spacing w:line="240" w:lineRule="auto"/>
        <w:contextualSpacing/>
      </w:pPr>
      <w:r>
        <w:t>CCF</w:t>
      </w:r>
      <w:r>
        <w:tab/>
        <w:t>Centralised Command Facility</w:t>
      </w:r>
    </w:p>
    <w:p w14:paraId="219774A1" w14:textId="77777777" w:rsidR="009D09E5" w:rsidRDefault="009D09E5" w:rsidP="009D09E5">
      <w:pPr>
        <w:tabs>
          <w:tab w:val="left" w:pos="1440"/>
        </w:tabs>
        <w:spacing w:line="240" w:lineRule="auto"/>
        <w:contextualSpacing/>
      </w:pPr>
      <w:r>
        <w:t>CCR</w:t>
      </w:r>
      <w:r>
        <w:tab/>
        <w:t>Central Control Room</w:t>
      </w:r>
    </w:p>
    <w:p w14:paraId="4A621556" w14:textId="77777777" w:rsidR="009D09E5" w:rsidRDefault="009D09E5" w:rsidP="009D09E5">
      <w:pPr>
        <w:tabs>
          <w:tab w:val="left" w:pos="1440"/>
        </w:tabs>
        <w:spacing w:line="240" w:lineRule="auto"/>
        <w:contextualSpacing/>
      </w:pPr>
      <w:r>
        <w:t>CNC</w:t>
      </w:r>
      <w:r>
        <w:tab/>
        <w:t>Civil Nuclear Constabulary</w:t>
      </w:r>
    </w:p>
    <w:p w14:paraId="2FD95DB5" w14:textId="77777777" w:rsidR="009D09E5" w:rsidRDefault="009D09E5" w:rsidP="009D09E5">
      <w:pPr>
        <w:tabs>
          <w:tab w:val="left" w:pos="1440"/>
        </w:tabs>
        <w:spacing w:line="240" w:lineRule="auto"/>
        <w:contextualSpacing/>
      </w:pPr>
      <w:r>
        <w:t>CNS</w:t>
      </w:r>
      <w:r>
        <w:tab/>
        <w:t>Civil Nuclear Security</w:t>
      </w:r>
    </w:p>
    <w:p w14:paraId="40ECBDF3" w14:textId="77777777" w:rsidR="009D09E5" w:rsidRDefault="009D09E5" w:rsidP="009D09E5">
      <w:pPr>
        <w:tabs>
          <w:tab w:val="left" w:pos="1440"/>
        </w:tabs>
        <w:spacing w:line="240" w:lineRule="auto"/>
        <w:contextualSpacing/>
      </w:pPr>
      <w:r>
        <w:t>CPPNM</w:t>
      </w:r>
      <w:r>
        <w:tab/>
        <w:t>Convention on the Physical Protection of Nuclear Material</w:t>
      </w:r>
    </w:p>
    <w:p w14:paraId="553FDAE8" w14:textId="465E17AD" w:rsidR="009D09E5" w:rsidRDefault="009D09E5" w:rsidP="009D09E5">
      <w:pPr>
        <w:tabs>
          <w:tab w:val="left" w:pos="1440"/>
        </w:tabs>
        <w:spacing w:line="240" w:lineRule="auto"/>
        <w:contextualSpacing/>
      </w:pPr>
      <w:r>
        <w:t>CS&amp;IA</w:t>
      </w:r>
      <w:r>
        <w:tab/>
        <w:t>Cyber Security and Information Assurance</w:t>
      </w:r>
    </w:p>
    <w:p w14:paraId="0DBDE900" w14:textId="77777777" w:rsidR="009D09E5" w:rsidRDefault="009D09E5" w:rsidP="009D09E5">
      <w:pPr>
        <w:tabs>
          <w:tab w:val="left" w:pos="1440"/>
        </w:tabs>
        <w:spacing w:line="240" w:lineRule="auto"/>
        <w:contextualSpacing/>
      </w:pPr>
      <w:r>
        <w:t>DAP</w:t>
      </w:r>
      <w:r>
        <w:tab/>
        <w:t>Duly Authorised Person</w:t>
      </w:r>
    </w:p>
    <w:p w14:paraId="61A17CE4" w14:textId="73704CE8" w:rsidR="00650B28" w:rsidRDefault="00650B28" w:rsidP="009D09E5">
      <w:pPr>
        <w:tabs>
          <w:tab w:val="left" w:pos="1440"/>
        </w:tabs>
        <w:spacing w:line="240" w:lineRule="auto"/>
        <w:contextualSpacing/>
      </w:pPr>
      <w:r>
        <w:t>DBT</w:t>
      </w:r>
      <w:r>
        <w:tab/>
        <w:t>Design Basis Threat</w:t>
      </w:r>
    </w:p>
    <w:p w14:paraId="49A05BFF" w14:textId="77777777" w:rsidR="009D09E5" w:rsidRDefault="009D09E5" w:rsidP="009D09E5">
      <w:pPr>
        <w:tabs>
          <w:tab w:val="left" w:pos="1440"/>
        </w:tabs>
        <w:spacing w:line="240" w:lineRule="auto"/>
        <w:contextualSpacing/>
      </w:pPr>
      <w:r>
        <w:t>ECC</w:t>
      </w:r>
      <w:r>
        <w:tab/>
        <w:t>Emergency Control Centre</w:t>
      </w:r>
    </w:p>
    <w:p w14:paraId="27F62BEA" w14:textId="77777777" w:rsidR="009D09E5" w:rsidRDefault="009D09E5" w:rsidP="009D09E5">
      <w:pPr>
        <w:tabs>
          <w:tab w:val="left" w:pos="1440"/>
        </w:tabs>
        <w:spacing w:line="240" w:lineRule="auto"/>
        <w:contextualSpacing/>
      </w:pPr>
      <w:r>
        <w:t>FIM</w:t>
      </w:r>
      <w:r>
        <w:tab/>
        <w:t>Force Incident Manager</w:t>
      </w:r>
    </w:p>
    <w:p w14:paraId="29FF8787" w14:textId="06D1FBB1" w:rsidR="009D09E5" w:rsidRDefault="009D09E5" w:rsidP="009D09E5">
      <w:pPr>
        <w:tabs>
          <w:tab w:val="left" w:pos="1440"/>
        </w:tabs>
        <w:spacing w:line="240" w:lineRule="auto"/>
        <w:contextualSpacing/>
      </w:pPr>
      <w:r>
        <w:t>FSyP</w:t>
      </w:r>
      <w:r>
        <w:tab/>
        <w:t>Fundamental Security Principle</w:t>
      </w:r>
    </w:p>
    <w:p w14:paraId="40B163FB" w14:textId="12A765D8" w:rsidR="0075315B" w:rsidRDefault="0075315B" w:rsidP="009D09E5">
      <w:pPr>
        <w:tabs>
          <w:tab w:val="left" w:pos="1440"/>
        </w:tabs>
        <w:spacing w:line="240" w:lineRule="auto"/>
        <w:contextualSpacing/>
      </w:pPr>
      <w:r>
        <w:t>HMG</w:t>
      </w:r>
      <w:r>
        <w:tab/>
        <w:t>His Majesty’s Government</w:t>
      </w:r>
    </w:p>
    <w:p w14:paraId="4AFEFF83" w14:textId="1121515E" w:rsidR="009D09E5" w:rsidRDefault="009D09E5" w:rsidP="009D09E5">
      <w:pPr>
        <w:tabs>
          <w:tab w:val="left" w:pos="1440"/>
        </w:tabs>
        <w:spacing w:line="240" w:lineRule="auto"/>
        <w:contextualSpacing/>
      </w:pPr>
      <w:r>
        <w:t>IAEA</w:t>
      </w:r>
      <w:r>
        <w:tab/>
        <w:t>International Atomic Energy Agency</w:t>
      </w:r>
    </w:p>
    <w:p w14:paraId="463B49A8" w14:textId="21ECE7AE" w:rsidR="00FD51A6" w:rsidRDefault="00FD51A6" w:rsidP="009D09E5">
      <w:pPr>
        <w:tabs>
          <w:tab w:val="left" w:pos="1440"/>
        </w:tabs>
        <w:spacing w:line="240" w:lineRule="auto"/>
        <w:contextualSpacing/>
      </w:pPr>
      <w:r>
        <w:t>JESIP</w:t>
      </w:r>
      <w:r>
        <w:tab/>
        <w:t>Joint Emergency Services Interoperability Programme</w:t>
      </w:r>
    </w:p>
    <w:p w14:paraId="339D2AA5" w14:textId="77777777" w:rsidR="009D09E5" w:rsidRDefault="009D09E5" w:rsidP="009D09E5">
      <w:pPr>
        <w:tabs>
          <w:tab w:val="left" w:pos="1440"/>
        </w:tabs>
        <w:spacing w:line="240" w:lineRule="auto"/>
        <w:contextualSpacing/>
      </w:pPr>
      <w:r>
        <w:t>NISR</w:t>
      </w:r>
      <w:r>
        <w:tab/>
        <w:t>Nuclear Industries Security Regulations</w:t>
      </w:r>
    </w:p>
    <w:p w14:paraId="2F79BE8E" w14:textId="77777777" w:rsidR="009D09E5" w:rsidRDefault="009D09E5" w:rsidP="009D09E5">
      <w:pPr>
        <w:tabs>
          <w:tab w:val="left" w:pos="1440"/>
        </w:tabs>
        <w:spacing w:line="240" w:lineRule="auto"/>
        <w:contextualSpacing/>
      </w:pPr>
      <w:r>
        <w:t>NSE</w:t>
      </w:r>
      <w:r>
        <w:tab/>
        <w:t>Nuclear Security Event</w:t>
      </w:r>
    </w:p>
    <w:p w14:paraId="6C90136B" w14:textId="77777777" w:rsidR="009D09E5" w:rsidRDefault="009D09E5" w:rsidP="009D09E5">
      <w:pPr>
        <w:tabs>
          <w:tab w:val="left" w:pos="1440"/>
        </w:tabs>
        <w:spacing w:line="240" w:lineRule="auto"/>
        <w:contextualSpacing/>
      </w:pPr>
      <w:r>
        <w:t>NSS</w:t>
      </w:r>
      <w:r>
        <w:tab/>
        <w:t>Nuclear Security Series</w:t>
      </w:r>
    </w:p>
    <w:p w14:paraId="6E45D4CC" w14:textId="77777777" w:rsidR="009D09E5" w:rsidRDefault="009D09E5" w:rsidP="009D09E5">
      <w:pPr>
        <w:tabs>
          <w:tab w:val="left" w:pos="1440"/>
        </w:tabs>
        <w:spacing w:line="240" w:lineRule="auto"/>
        <w:contextualSpacing/>
      </w:pPr>
      <w:r>
        <w:t>ONR</w:t>
      </w:r>
      <w:r>
        <w:tab/>
        <w:t>Office for Nuclear Regulation</w:t>
      </w:r>
    </w:p>
    <w:p w14:paraId="080189BA" w14:textId="77777777" w:rsidR="009D09E5" w:rsidRDefault="009D09E5" w:rsidP="009D09E5">
      <w:pPr>
        <w:tabs>
          <w:tab w:val="left" w:pos="1440"/>
        </w:tabs>
        <w:spacing w:line="240" w:lineRule="auto"/>
        <w:contextualSpacing/>
      </w:pPr>
      <w:r>
        <w:t>PCR</w:t>
      </w:r>
      <w:r>
        <w:tab/>
        <w:t>Police Control Room</w:t>
      </w:r>
    </w:p>
    <w:p w14:paraId="3E0D6289" w14:textId="2B34171D" w:rsidR="009D09E5" w:rsidRDefault="009D09E5" w:rsidP="009D09E5">
      <w:pPr>
        <w:tabs>
          <w:tab w:val="left" w:pos="1440"/>
        </w:tabs>
        <w:spacing w:line="240" w:lineRule="auto"/>
        <w:contextualSpacing/>
      </w:pPr>
      <w:r>
        <w:t>PPS</w:t>
      </w:r>
      <w:r>
        <w:tab/>
        <w:t>Physical Protection System</w:t>
      </w:r>
    </w:p>
    <w:p w14:paraId="23C572FE" w14:textId="3D7FC492" w:rsidR="009D09E5" w:rsidRDefault="009D09E5" w:rsidP="009D09E5">
      <w:pPr>
        <w:tabs>
          <w:tab w:val="left" w:pos="1440"/>
        </w:tabs>
        <w:spacing w:line="240" w:lineRule="auto"/>
        <w:contextualSpacing/>
      </w:pPr>
      <w:r>
        <w:t>SCP</w:t>
      </w:r>
      <w:r>
        <w:tab/>
        <w:t>Security Contingency Plan</w:t>
      </w:r>
    </w:p>
    <w:p w14:paraId="68D93038" w14:textId="77777777" w:rsidR="009D09E5" w:rsidRDefault="009D09E5" w:rsidP="009D09E5">
      <w:pPr>
        <w:tabs>
          <w:tab w:val="left" w:pos="1440"/>
        </w:tabs>
        <w:spacing w:line="240" w:lineRule="auto"/>
        <w:contextualSpacing/>
      </w:pPr>
      <w:r>
        <w:t>SEO</w:t>
      </w:r>
      <w:r>
        <w:tab/>
        <w:t>Site Emergency Organisation</w:t>
      </w:r>
    </w:p>
    <w:p w14:paraId="6F1BCC27" w14:textId="77777777" w:rsidR="009D09E5" w:rsidRDefault="009D09E5" w:rsidP="009D09E5">
      <w:pPr>
        <w:tabs>
          <w:tab w:val="left" w:pos="1440"/>
        </w:tabs>
        <w:spacing w:line="240" w:lineRule="auto"/>
        <w:contextualSpacing/>
      </w:pPr>
      <w:r>
        <w:t>SNI</w:t>
      </w:r>
      <w:r>
        <w:tab/>
        <w:t>Sensitive Nuclear Information</w:t>
      </w:r>
    </w:p>
    <w:p w14:paraId="1873DF05" w14:textId="77777777" w:rsidR="009D09E5" w:rsidRDefault="009D09E5" w:rsidP="009D09E5">
      <w:pPr>
        <w:tabs>
          <w:tab w:val="left" w:pos="1440"/>
        </w:tabs>
        <w:spacing w:line="240" w:lineRule="auto"/>
        <w:contextualSpacing/>
      </w:pPr>
      <w:r>
        <w:t>SPF</w:t>
      </w:r>
      <w:r>
        <w:tab/>
        <w:t>Security Policy Framework</w:t>
      </w:r>
    </w:p>
    <w:p w14:paraId="303F7731" w14:textId="5B900616" w:rsidR="009D09E5" w:rsidRDefault="009D09E5" w:rsidP="009D09E5">
      <w:pPr>
        <w:tabs>
          <w:tab w:val="left" w:pos="1440"/>
        </w:tabs>
        <w:spacing w:line="240" w:lineRule="auto"/>
        <w:contextualSpacing/>
      </w:pPr>
      <w:r>
        <w:t>SQEP</w:t>
      </w:r>
      <w:r>
        <w:tab/>
        <w:t>Suitably Qualified and Experienced</w:t>
      </w:r>
    </w:p>
    <w:p w14:paraId="0C98EC10" w14:textId="20508E10" w:rsidR="00A60988" w:rsidRDefault="00A60988" w:rsidP="009D09E5">
      <w:pPr>
        <w:tabs>
          <w:tab w:val="left" w:pos="1440"/>
        </w:tabs>
        <w:spacing w:line="240" w:lineRule="auto"/>
        <w:contextualSpacing/>
      </w:pPr>
      <w:r>
        <w:t>SCC</w:t>
      </w:r>
      <w:r>
        <w:tab/>
        <w:t>Strategic C</w:t>
      </w:r>
      <w:r w:rsidR="00AD5ABA">
        <w:t>o</w:t>
      </w:r>
      <w:r w:rsidR="00247406">
        <w:t>ordination</w:t>
      </w:r>
      <w:r>
        <w:t xml:space="preserve"> Centre</w:t>
      </w:r>
    </w:p>
    <w:p w14:paraId="0DCC6B5F" w14:textId="77777777" w:rsidR="009D09E5" w:rsidRDefault="009D09E5" w:rsidP="009D09E5">
      <w:pPr>
        <w:tabs>
          <w:tab w:val="left" w:pos="1440"/>
        </w:tabs>
        <w:spacing w:line="240" w:lineRule="auto"/>
        <w:contextualSpacing/>
      </w:pPr>
      <w:r>
        <w:t>SSCR</w:t>
      </w:r>
      <w:r>
        <w:tab/>
        <w:t>Site Security Control Room</w:t>
      </w:r>
    </w:p>
    <w:p w14:paraId="3A9D066F" w14:textId="43B39511" w:rsidR="00F95A32" w:rsidRDefault="00F95A32" w:rsidP="009D09E5">
      <w:pPr>
        <w:tabs>
          <w:tab w:val="left" w:pos="1440"/>
        </w:tabs>
        <w:spacing w:line="240" w:lineRule="auto"/>
        <w:contextualSpacing/>
      </w:pPr>
      <w:r>
        <w:t>SCG</w:t>
      </w:r>
      <w:r>
        <w:tab/>
        <w:t xml:space="preserve">Strategic </w:t>
      </w:r>
      <w:r w:rsidR="00247406">
        <w:t>Coordination Group</w:t>
      </w:r>
    </w:p>
    <w:p w14:paraId="763FC372" w14:textId="77777777" w:rsidR="009D09E5" w:rsidRDefault="009D09E5" w:rsidP="009D09E5">
      <w:pPr>
        <w:tabs>
          <w:tab w:val="left" w:pos="1440"/>
        </w:tabs>
        <w:spacing w:line="240" w:lineRule="auto"/>
        <w:contextualSpacing/>
      </w:pPr>
      <w:r>
        <w:t>SyAPs</w:t>
      </w:r>
      <w:r>
        <w:tab/>
        <w:t>Security Assessment Principles</w:t>
      </w:r>
    </w:p>
    <w:p w14:paraId="0739E581" w14:textId="77777777" w:rsidR="009D09E5" w:rsidRDefault="009D09E5" w:rsidP="009D09E5">
      <w:pPr>
        <w:tabs>
          <w:tab w:val="left" w:pos="1440"/>
        </w:tabs>
        <w:spacing w:line="240" w:lineRule="auto"/>
        <w:contextualSpacing/>
      </w:pPr>
      <w:r>
        <w:t>SyDP</w:t>
      </w:r>
      <w:r>
        <w:tab/>
        <w:t>Security Delivery Principle</w:t>
      </w:r>
    </w:p>
    <w:p w14:paraId="0C0493EB" w14:textId="5326275B" w:rsidR="007B1D15" w:rsidRDefault="009D09E5" w:rsidP="009D09E5">
      <w:pPr>
        <w:tabs>
          <w:tab w:val="left" w:pos="1440"/>
        </w:tabs>
        <w:spacing w:line="240" w:lineRule="auto"/>
        <w:contextualSpacing/>
      </w:pPr>
      <w:r>
        <w:t>TAG</w:t>
      </w:r>
      <w:r>
        <w:tab/>
        <w:t>Technical Assessment Guide</w:t>
      </w:r>
    </w:p>
    <w:sectPr w:rsidR="007B1D15"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338D2" w14:textId="77777777" w:rsidR="00EC4B7C" w:rsidRDefault="00EC4B7C" w:rsidP="007D199A">
      <w:pPr>
        <w:spacing w:after="0"/>
      </w:pPr>
      <w:r>
        <w:separator/>
      </w:r>
    </w:p>
    <w:p w14:paraId="36B7DC1B" w14:textId="77777777" w:rsidR="00EC4B7C" w:rsidRDefault="00EC4B7C"/>
    <w:p w14:paraId="4683CF8D" w14:textId="77777777" w:rsidR="00EC4B7C" w:rsidRDefault="00EC4B7C"/>
  </w:endnote>
  <w:endnote w:type="continuationSeparator" w:id="0">
    <w:p w14:paraId="1E422146" w14:textId="77777777" w:rsidR="00EC4B7C" w:rsidRDefault="00EC4B7C" w:rsidP="007D199A">
      <w:pPr>
        <w:spacing w:after="0"/>
      </w:pPr>
      <w:r>
        <w:continuationSeparator/>
      </w:r>
    </w:p>
    <w:p w14:paraId="6A033E2A" w14:textId="77777777" w:rsidR="00EC4B7C" w:rsidRDefault="00EC4B7C"/>
    <w:p w14:paraId="1974B2E4" w14:textId="77777777" w:rsidR="00EC4B7C" w:rsidRDefault="00EC4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292497B" w:rsidR="007C3C1D" w:rsidRPr="006A525B" w:rsidRDefault="00682B15" w:rsidP="007C3C1D">
    <w:pPr>
      <w:pStyle w:val="Footer"/>
      <w:jc w:val="left"/>
      <w:rPr>
        <w:szCs w:val="24"/>
      </w:rPr>
    </w:pPr>
    <w:r>
      <w:rPr>
        <w:szCs w:val="24"/>
      </w:rPr>
      <w:t>ONR-DOC-TEMP-002 (Issue 5.</w:t>
    </w:r>
    <w:r w:rsidR="007B3CAD">
      <w:rPr>
        <w:szCs w:val="24"/>
      </w:rPr>
      <w:t>6</w:t>
    </w:r>
    <w:r>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A4EF1" w14:textId="77777777" w:rsidR="00EC4B7C" w:rsidRPr="005E0344" w:rsidRDefault="00EC4B7C" w:rsidP="005E0344">
      <w:pPr>
        <w:spacing w:after="120"/>
        <w:rPr>
          <w:color w:val="000000" w:themeColor="text2"/>
        </w:rPr>
      </w:pPr>
      <w:r w:rsidRPr="005E0344">
        <w:rPr>
          <w:color w:val="000000" w:themeColor="text2"/>
        </w:rPr>
        <w:separator/>
      </w:r>
    </w:p>
    <w:p w14:paraId="543334AA" w14:textId="77777777" w:rsidR="00EC4B7C" w:rsidRDefault="00EC4B7C"/>
  </w:footnote>
  <w:footnote w:type="continuationSeparator" w:id="0">
    <w:p w14:paraId="5D16A478" w14:textId="77777777" w:rsidR="00EC4B7C" w:rsidRPr="005E0344" w:rsidRDefault="00EC4B7C" w:rsidP="0090581D">
      <w:pPr>
        <w:spacing w:after="120"/>
        <w:rPr>
          <w:color w:val="000000" w:themeColor="text2"/>
        </w:rPr>
      </w:pPr>
      <w:r w:rsidRPr="005E0344">
        <w:rPr>
          <w:color w:val="000000" w:themeColor="text2"/>
        </w:rPr>
        <w:continuationSeparator/>
      </w:r>
    </w:p>
    <w:p w14:paraId="48B07BA4" w14:textId="77777777" w:rsidR="00EC4B7C" w:rsidRDefault="00EC4B7C"/>
    <w:p w14:paraId="35841992" w14:textId="77777777" w:rsidR="00EC4B7C" w:rsidRDefault="00EC4B7C"/>
  </w:footnote>
  <w:footnote w:type="continuationNotice" w:id="1">
    <w:p w14:paraId="4FEB240A" w14:textId="77777777" w:rsidR="00EC4B7C" w:rsidRDefault="00EC4B7C">
      <w:pPr>
        <w:spacing w:after="0"/>
      </w:pPr>
    </w:p>
    <w:p w14:paraId="0AD279FD" w14:textId="77777777" w:rsidR="00EC4B7C" w:rsidRDefault="00EC4B7C"/>
    <w:p w14:paraId="479E9708" w14:textId="77777777" w:rsidR="00EC4B7C" w:rsidRDefault="00EC4B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58FFBBA" w:rsidR="00177666" w:rsidRPr="00046936" w:rsidRDefault="005B1BE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5315B">
          <w:rPr>
            <w:sz w:val="20"/>
            <w:szCs w:val="24"/>
          </w:rPr>
          <w:t>Clarity of Command, Control and Communications Arrangements During and Post a Nuclear Security Event</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576C6">
          <w:rPr>
            <w:sz w:val="20"/>
            <w:szCs w:val="24"/>
          </w:rPr>
          <w:t>3.1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47E90594" w:rsidR="000B2BCD" w:rsidRPr="00046936" w:rsidRDefault="005B1BE6"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75315B">
          <w:rPr>
            <w:sz w:val="20"/>
            <w:szCs w:val="24"/>
          </w:rPr>
          <w:t>Clarity of Command, Control and Communications Arrangements During and Post a Nuclear Security Event</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4576C6">
          <w:rPr>
            <w:sz w:val="20"/>
            <w:szCs w:val="24"/>
          </w:rPr>
          <w:t>3.1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3E2330B"/>
    <w:multiLevelType w:val="hybridMultilevel"/>
    <w:tmpl w:val="5F300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9529BE"/>
    <w:multiLevelType w:val="hybridMultilevel"/>
    <w:tmpl w:val="FF20F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676DB2"/>
    <w:multiLevelType w:val="hybridMultilevel"/>
    <w:tmpl w:val="11FC692C"/>
    <w:lvl w:ilvl="0" w:tplc="08090001">
      <w:start w:val="1"/>
      <w:numFmt w:val="bullet"/>
      <w:lvlText w:val=""/>
      <w:lvlJc w:val="left"/>
      <w:pPr>
        <w:ind w:left="1781" w:hanging="360"/>
      </w:pPr>
      <w:rPr>
        <w:rFonts w:ascii="Symbol" w:hAnsi="Symbol" w:hint="default"/>
      </w:rPr>
    </w:lvl>
    <w:lvl w:ilvl="1" w:tplc="08090003" w:tentative="1">
      <w:start w:val="1"/>
      <w:numFmt w:val="bullet"/>
      <w:lvlText w:val="o"/>
      <w:lvlJc w:val="left"/>
      <w:pPr>
        <w:ind w:left="2501" w:hanging="360"/>
      </w:pPr>
      <w:rPr>
        <w:rFonts w:ascii="Courier New" w:hAnsi="Courier New" w:cs="Courier New" w:hint="default"/>
      </w:rPr>
    </w:lvl>
    <w:lvl w:ilvl="2" w:tplc="08090005" w:tentative="1">
      <w:start w:val="1"/>
      <w:numFmt w:val="bullet"/>
      <w:lvlText w:val=""/>
      <w:lvlJc w:val="left"/>
      <w:pPr>
        <w:ind w:left="3221" w:hanging="360"/>
      </w:pPr>
      <w:rPr>
        <w:rFonts w:ascii="Wingdings" w:hAnsi="Wingdings" w:hint="default"/>
      </w:rPr>
    </w:lvl>
    <w:lvl w:ilvl="3" w:tplc="08090001" w:tentative="1">
      <w:start w:val="1"/>
      <w:numFmt w:val="bullet"/>
      <w:lvlText w:val=""/>
      <w:lvlJc w:val="left"/>
      <w:pPr>
        <w:ind w:left="3941" w:hanging="360"/>
      </w:pPr>
      <w:rPr>
        <w:rFonts w:ascii="Symbol" w:hAnsi="Symbol" w:hint="default"/>
      </w:rPr>
    </w:lvl>
    <w:lvl w:ilvl="4" w:tplc="08090003" w:tentative="1">
      <w:start w:val="1"/>
      <w:numFmt w:val="bullet"/>
      <w:lvlText w:val="o"/>
      <w:lvlJc w:val="left"/>
      <w:pPr>
        <w:ind w:left="4661" w:hanging="360"/>
      </w:pPr>
      <w:rPr>
        <w:rFonts w:ascii="Courier New" w:hAnsi="Courier New" w:cs="Courier New" w:hint="default"/>
      </w:rPr>
    </w:lvl>
    <w:lvl w:ilvl="5" w:tplc="08090005" w:tentative="1">
      <w:start w:val="1"/>
      <w:numFmt w:val="bullet"/>
      <w:lvlText w:val=""/>
      <w:lvlJc w:val="left"/>
      <w:pPr>
        <w:ind w:left="5381" w:hanging="360"/>
      </w:pPr>
      <w:rPr>
        <w:rFonts w:ascii="Wingdings" w:hAnsi="Wingdings" w:hint="default"/>
      </w:rPr>
    </w:lvl>
    <w:lvl w:ilvl="6" w:tplc="08090001" w:tentative="1">
      <w:start w:val="1"/>
      <w:numFmt w:val="bullet"/>
      <w:lvlText w:val=""/>
      <w:lvlJc w:val="left"/>
      <w:pPr>
        <w:ind w:left="6101" w:hanging="360"/>
      </w:pPr>
      <w:rPr>
        <w:rFonts w:ascii="Symbol" w:hAnsi="Symbol" w:hint="default"/>
      </w:rPr>
    </w:lvl>
    <w:lvl w:ilvl="7" w:tplc="08090003" w:tentative="1">
      <w:start w:val="1"/>
      <w:numFmt w:val="bullet"/>
      <w:lvlText w:val="o"/>
      <w:lvlJc w:val="left"/>
      <w:pPr>
        <w:ind w:left="6821" w:hanging="360"/>
      </w:pPr>
      <w:rPr>
        <w:rFonts w:ascii="Courier New" w:hAnsi="Courier New" w:cs="Courier New" w:hint="default"/>
      </w:rPr>
    </w:lvl>
    <w:lvl w:ilvl="8" w:tplc="08090005" w:tentative="1">
      <w:start w:val="1"/>
      <w:numFmt w:val="bullet"/>
      <w:lvlText w:val=""/>
      <w:lvlJc w:val="left"/>
      <w:pPr>
        <w:ind w:left="7541" w:hanging="360"/>
      </w:pPr>
      <w:rPr>
        <w:rFonts w:ascii="Wingdings" w:hAnsi="Wingdings" w:hint="default"/>
      </w:rPr>
    </w:lvl>
  </w:abstractNum>
  <w:abstractNum w:abstractNumId="18" w15:restartNumberingAfterBreak="0">
    <w:nsid w:val="29706A39"/>
    <w:multiLevelType w:val="multilevel"/>
    <w:tmpl w:val="F1CCDDB2"/>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i w:val="0"/>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05B46BF"/>
    <w:multiLevelType w:val="hybridMultilevel"/>
    <w:tmpl w:val="69F8B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4C1D0A"/>
    <w:multiLevelType w:val="hybridMultilevel"/>
    <w:tmpl w:val="58D68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C21445"/>
    <w:multiLevelType w:val="hybridMultilevel"/>
    <w:tmpl w:val="7F8CBEEE"/>
    <w:lvl w:ilvl="0" w:tplc="08090001">
      <w:start w:val="1"/>
      <w:numFmt w:val="bullet"/>
      <w:lvlText w:val=""/>
      <w:lvlJc w:val="left"/>
      <w:pPr>
        <w:ind w:left="1781" w:hanging="360"/>
      </w:pPr>
      <w:rPr>
        <w:rFonts w:ascii="Symbol" w:hAnsi="Symbol" w:hint="default"/>
      </w:rPr>
    </w:lvl>
    <w:lvl w:ilvl="1" w:tplc="08090003" w:tentative="1">
      <w:start w:val="1"/>
      <w:numFmt w:val="bullet"/>
      <w:lvlText w:val="o"/>
      <w:lvlJc w:val="left"/>
      <w:pPr>
        <w:ind w:left="2501" w:hanging="360"/>
      </w:pPr>
      <w:rPr>
        <w:rFonts w:ascii="Courier New" w:hAnsi="Courier New" w:cs="Courier New" w:hint="default"/>
      </w:rPr>
    </w:lvl>
    <w:lvl w:ilvl="2" w:tplc="08090005" w:tentative="1">
      <w:start w:val="1"/>
      <w:numFmt w:val="bullet"/>
      <w:lvlText w:val=""/>
      <w:lvlJc w:val="left"/>
      <w:pPr>
        <w:ind w:left="3221" w:hanging="360"/>
      </w:pPr>
      <w:rPr>
        <w:rFonts w:ascii="Wingdings" w:hAnsi="Wingdings" w:hint="default"/>
      </w:rPr>
    </w:lvl>
    <w:lvl w:ilvl="3" w:tplc="08090001" w:tentative="1">
      <w:start w:val="1"/>
      <w:numFmt w:val="bullet"/>
      <w:lvlText w:val=""/>
      <w:lvlJc w:val="left"/>
      <w:pPr>
        <w:ind w:left="3941" w:hanging="360"/>
      </w:pPr>
      <w:rPr>
        <w:rFonts w:ascii="Symbol" w:hAnsi="Symbol" w:hint="default"/>
      </w:rPr>
    </w:lvl>
    <w:lvl w:ilvl="4" w:tplc="08090003" w:tentative="1">
      <w:start w:val="1"/>
      <w:numFmt w:val="bullet"/>
      <w:lvlText w:val="o"/>
      <w:lvlJc w:val="left"/>
      <w:pPr>
        <w:ind w:left="4661" w:hanging="360"/>
      </w:pPr>
      <w:rPr>
        <w:rFonts w:ascii="Courier New" w:hAnsi="Courier New" w:cs="Courier New" w:hint="default"/>
      </w:rPr>
    </w:lvl>
    <w:lvl w:ilvl="5" w:tplc="08090005" w:tentative="1">
      <w:start w:val="1"/>
      <w:numFmt w:val="bullet"/>
      <w:lvlText w:val=""/>
      <w:lvlJc w:val="left"/>
      <w:pPr>
        <w:ind w:left="5381" w:hanging="360"/>
      </w:pPr>
      <w:rPr>
        <w:rFonts w:ascii="Wingdings" w:hAnsi="Wingdings" w:hint="default"/>
      </w:rPr>
    </w:lvl>
    <w:lvl w:ilvl="6" w:tplc="08090001" w:tentative="1">
      <w:start w:val="1"/>
      <w:numFmt w:val="bullet"/>
      <w:lvlText w:val=""/>
      <w:lvlJc w:val="left"/>
      <w:pPr>
        <w:ind w:left="6101" w:hanging="360"/>
      </w:pPr>
      <w:rPr>
        <w:rFonts w:ascii="Symbol" w:hAnsi="Symbol" w:hint="default"/>
      </w:rPr>
    </w:lvl>
    <w:lvl w:ilvl="7" w:tplc="08090003" w:tentative="1">
      <w:start w:val="1"/>
      <w:numFmt w:val="bullet"/>
      <w:lvlText w:val="o"/>
      <w:lvlJc w:val="left"/>
      <w:pPr>
        <w:ind w:left="6821" w:hanging="360"/>
      </w:pPr>
      <w:rPr>
        <w:rFonts w:ascii="Courier New" w:hAnsi="Courier New" w:cs="Courier New" w:hint="default"/>
      </w:rPr>
    </w:lvl>
    <w:lvl w:ilvl="8" w:tplc="08090005" w:tentative="1">
      <w:start w:val="1"/>
      <w:numFmt w:val="bullet"/>
      <w:lvlText w:val=""/>
      <w:lvlJc w:val="left"/>
      <w:pPr>
        <w:ind w:left="7541" w:hanging="360"/>
      </w:pPr>
      <w:rPr>
        <w:rFonts w:ascii="Wingdings" w:hAnsi="Wingdings" w:hint="default"/>
      </w:rPr>
    </w:lvl>
  </w:abstractNum>
  <w:abstractNum w:abstractNumId="25"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2184B"/>
    <w:multiLevelType w:val="hybridMultilevel"/>
    <w:tmpl w:val="8818A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35290A"/>
    <w:multiLevelType w:val="hybridMultilevel"/>
    <w:tmpl w:val="49164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057F0D"/>
    <w:multiLevelType w:val="hybridMultilevel"/>
    <w:tmpl w:val="F59E6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3C59CB"/>
    <w:multiLevelType w:val="hybridMultilevel"/>
    <w:tmpl w:val="F5E4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3D2D6E"/>
    <w:multiLevelType w:val="hybridMultilevel"/>
    <w:tmpl w:val="0068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35"/>
  </w:num>
  <w:num w:numId="13" w16cid:durableId="1367565994">
    <w:abstractNumId w:val="22"/>
  </w:num>
  <w:num w:numId="14" w16cid:durableId="1174225926">
    <w:abstractNumId w:val="16"/>
  </w:num>
  <w:num w:numId="15" w16cid:durableId="150562503">
    <w:abstractNumId w:val="35"/>
    <w:lvlOverride w:ilvl="0">
      <w:startOverride w:val="1"/>
    </w:lvlOverride>
  </w:num>
  <w:num w:numId="16" w16cid:durableId="708191280">
    <w:abstractNumId w:val="22"/>
    <w:lvlOverride w:ilvl="0">
      <w:startOverride w:val="1"/>
    </w:lvlOverride>
  </w:num>
  <w:num w:numId="17" w16cid:durableId="735981639">
    <w:abstractNumId w:val="16"/>
    <w:lvlOverride w:ilvl="0">
      <w:startOverride w:val="1"/>
    </w:lvlOverride>
  </w:num>
  <w:num w:numId="18" w16cid:durableId="966933876">
    <w:abstractNumId w:val="33"/>
  </w:num>
  <w:num w:numId="19" w16cid:durableId="985626502">
    <w:abstractNumId w:val="27"/>
  </w:num>
  <w:num w:numId="20" w16cid:durableId="2086879214">
    <w:abstractNumId w:val="14"/>
  </w:num>
  <w:num w:numId="21" w16cid:durableId="399718409">
    <w:abstractNumId w:val="37"/>
  </w:num>
  <w:num w:numId="22" w16cid:durableId="999388671">
    <w:abstractNumId w:val="26"/>
  </w:num>
  <w:num w:numId="23" w16cid:durableId="14912149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6"/>
  </w:num>
  <w:num w:numId="25" w16cid:durableId="20966315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8"/>
  </w:num>
  <w:num w:numId="27" w16cid:durableId="561334936">
    <w:abstractNumId w:val="12"/>
  </w:num>
  <w:num w:numId="28" w16cid:durableId="391512796">
    <w:abstractNumId w:val="10"/>
  </w:num>
  <w:num w:numId="29" w16cid:durableId="1960188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3"/>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5"/>
  </w:num>
  <w:num w:numId="33" w16cid:durableId="7413421">
    <w:abstractNumId w:val="36"/>
  </w:num>
  <w:num w:numId="34" w16cid:durableId="377974685">
    <w:abstractNumId w:val="31"/>
  </w:num>
  <w:num w:numId="35" w16cid:durableId="922030000">
    <w:abstractNumId w:val="21"/>
  </w:num>
  <w:num w:numId="36" w16cid:durableId="2014601345">
    <w:abstractNumId w:val="18"/>
  </w:num>
  <w:num w:numId="37" w16cid:durableId="1840079688">
    <w:abstractNumId w:val="28"/>
  </w:num>
  <w:num w:numId="38" w16cid:durableId="537165718">
    <w:abstractNumId w:val="15"/>
  </w:num>
  <w:num w:numId="39" w16cid:durableId="1670522096">
    <w:abstractNumId w:val="20"/>
  </w:num>
  <w:num w:numId="40" w16cid:durableId="1466507560">
    <w:abstractNumId w:val="29"/>
  </w:num>
  <w:num w:numId="41" w16cid:durableId="730229680">
    <w:abstractNumId w:val="19"/>
  </w:num>
  <w:num w:numId="42" w16cid:durableId="2072263250">
    <w:abstractNumId w:val="11"/>
  </w:num>
  <w:num w:numId="43" w16cid:durableId="461652954">
    <w:abstractNumId w:val="30"/>
  </w:num>
  <w:num w:numId="44" w16cid:durableId="851458567">
    <w:abstractNumId w:val="32"/>
  </w:num>
  <w:num w:numId="45" w16cid:durableId="221142261">
    <w:abstractNumId w:val="34"/>
  </w:num>
  <w:num w:numId="46" w16cid:durableId="2052923050">
    <w:abstractNumId w:val="17"/>
  </w:num>
  <w:num w:numId="47" w16cid:durableId="1364559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06B3A"/>
    <w:rsid w:val="00011177"/>
    <w:rsid w:val="00014814"/>
    <w:rsid w:val="00024522"/>
    <w:rsid w:val="00024B2E"/>
    <w:rsid w:val="00027F4F"/>
    <w:rsid w:val="00030430"/>
    <w:rsid w:val="0003078E"/>
    <w:rsid w:val="00031B89"/>
    <w:rsid w:val="000324ED"/>
    <w:rsid w:val="00033297"/>
    <w:rsid w:val="000334DD"/>
    <w:rsid w:val="000340C1"/>
    <w:rsid w:val="0003693D"/>
    <w:rsid w:val="000375A2"/>
    <w:rsid w:val="00037EE2"/>
    <w:rsid w:val="0004440F"/>
    <w:rsid w:val="00046936"/>
    <w:rsid w:val="00046C92"/>
    <w:rsid w:val="00052980"/>
    <w:rsid w:val="00052C8A"/>
    <w:rsid w:val="000548C8"/>
    <w:rsid w:val="00055898"/>
    <w:rsid w:val="00075605"/>
    <w:rsid w:val="00075C66"/>
    <w:rsid w:val="00081114"/>
    <w:rsid w:val="00082879"/>
    <w:rsid w:val="00091EEA"/>
    <w:rsid w:val="000950B3"/>
    <w:rsid w:val="000958F7"/>
    <w:rsid w:val="000A08A4"/>
    <w:rsid w:val="000A51C3"/>
    <w:rsid w:val="000B2BCD"/>
    <w:rsid w:val="000B4E4A"/>
    <w:rsid w:val="000B6C61"/>
    <w:rsid w:val="000C2DDC"/>
    <w:rsid w:val="000D2FD4"/>
    <w:rsid w:val="000E21E1"/>
    <w:rsid w:val="000F1B7B"/>
    <w:rsid w:val="000F2ED4"/>
    <w:rsid w:val="000F3932"/>
    <w:rsid w:val="001028E8"/>
    <w:rsid w:val="001051B0"/>
    <w:rsid w:val="001071EC"/>
    <w:rsid w:val="00110879"/>
    <w:rsid w:val="00110CE6"/>
    <w:rsid w:val="00113155"/>
    <w:rsid w:val="00122FCC"/>
    <w:rsid w:val="00126752"/>
    <w:rsid w:val="001305C8"/>
    <w:rsid w:val="0013074E"/>
    <w:rsid w:val="00130B30"/>
    <w:rsid w:val="00131E06"/>
    <w:rsid w:val="001321E2"/>
    <w:rsid w:val="00133994"/>
    <w:rsid w:val="00136064"/>
    <w:rsid w:val="00140E1C"/>
    <w:rsid w:val="0014333F"/>
    <w:rsid w:val="001447A9"/>
    <w:rsid w:val="001469BB"/>
    <w:rsid w:val="00147AE4"/>
    <w:rsid w:val="0015407B"/>
    <w:rsid w:val="0015432B"/>
    <w:rsid w:val="001571E5"/>
    <w:rsid w:val="00160C6A"/>
    <w:rsid w:val="00172740"/>
    <w:rsid w:val="00177666"/>
    <w:rsid w:val="00182957"/>
    <w:rsid w:val="001849CA"/>
    <w:rsid w:val="00185410"/>
    <w:rsid w:val="00192352"/>
    <w:rsid w:val="00195D09"/>
    <w:rsid w:val="001A0905"/>
    <w:rsid w:val="001A7655"/>
    <w:rsid w:val="001C4BB5"/>
    <w:rsid w:val="001C4D63"/>
    <w:rsid w:val="001D0427"/>
    <w:rsid w:val="001D0DE0"/>
    <w:rsid w:val="001D5AFF"/>
    <w:rsid w:val="001D74B4"/>
    <w:rsid w:val="001E03E1"/>
    <w:rsid w:val="001E478B"/>
    <w:rsid w:val="001E6235"/>
    <w:rsid w:val="001F059F"/>
    <w:rsid w:val="00200811"/>
    <w:rsid w:val="00200CA1"/>
    <w:rsid w:val="00203C56"/>
    <w:rsid w:val="002123C4"/>
    <w:rsid w:val="0021338D"/>
    <w:rsid w:val="00214D43"/>
    <w:rsid w:val="00221ED0"/>
    <w:rsid w:val="002238B4"/>
    <w:rsid w:val="002242B6"/>
    <w:rsid w:val="002319AB"/>
    <w:rsid w:val="002319AC"/>
    <w:rsid w:val="00234342"/>
    <w:rsid w:val="00234BAF"/>
    <w:rsid w:val="0023523C"/>
    <w:rsid w:val="0024040D"/>
    <w:rsid w:val="00242E9B"/>
    <w:rsid w:val="00245A0D"/>
    <w:rsid w:val="00247406"/>
    <w:rsid w:val="00255696"/>
    <w:rsid w:val="00255FA3"/>
    <w:rsid w:val="00257288"/>
    <w:rsid w:val="00261FB6"/>
    <w:rsid w:val="002629F8"/>
    <w:rsid w:val="00263396"/>
    <w:rsid w:val="00265585"/>
    <w:rsid w:val="002659FA"/>
    <w:rsid w:val="00267815"/>
    <w:rsid w:val="0027099A"/>
    <w:rsid w:val="002709A3"/>
    <w:rsid w:val="00280DDF"/>
    <w:rsid w:val="00283FEB"/>
    <w:rsid w:val="002847C5"/>
    <w:rsid w:val="002917FF"/>
    <w:rsid w:val="00292ADF"/>
    <w:rsid w:val="002A0DEC"/>
    <w:rsid w:val="002A4490"/>
    <w:rsid w:val="002B1C53"/>
    <w:rsid w:val="002B2EEB"/>
    <w:rsid w:val="002C273F"/>
    <w:rsid w:val="002C62C8"/>
    <w:rsid w:val="002E0BE4"/>
    <w:rsid w:val="002E3B58"/>
    <w:rsid w:val="002E3E8A"/>
    <w:rsid w:val="002E6A6A"/>
    <w:rsid w:val="002F3397"/>
    <w:rsid w:val="002F7093"/>
    <w:rsid w:val="0030380D"/>
    <w:rsid w:val="00303C2B"/>
    <w:rsid w:val="003040C8"/>
    <w:rsid w:val="0031177D"/>
    <w:rsid w:val="00312411"/>
    <w:rsid w:val="00323E71"/>
    <w:rsid w:val="00325EA6"/>
    <w:rsid w:val="00341F46"/>
    <w:rsid w:val="00346C8E"/>
    <w:rsid w:val="00347CA8"/>
    <w:rsid w:val="00356655"/>
    <w:rsid w:val="00357A80"/>
    <w:rsid w:val="00366DE7"/>
    <w:rsid w:val="00367BD5"/>
    <w:rsid w:val="0037078F"/>
    <w:rsid w:val="0037176F"/>
    <w:rsid w:val="0038761F"/>
    <w:rsid w:val="00390327"/>
    <w:rsid w:val="00390C84"/>
    <w:rsid w:val="00392F3B"/>
    <w:rsid w:val="00393B78"/>
    <w:rsid w:val="003970B0"/>
    <w:rsid w:val="003A01E9"/>
    <w:rsid w:val="003A0E96"/>
    <w:rsid w:val="003B36E8"/>
    <w:rsid w:val="003C0306"/>
    <w:rsid w:val="003C0DD8"/>
    <w:rsid w:val="003C114C"/>
    <w:rsid w:val="003C18C4"/>
    <w:rsid w:val="003C465D"/>
    <w:rsid w:val="003D495D"/>
    <w:rsid w:val="003E098E"/>
    <w:rsid w:val="003E2586"/>
    <w:rsid w:val="003E2F1A"/>
    <w:rsid w:val="003E2FAE"/>
    <w:rsid w:val="003F0F45"/>
    <w:rsid w:val="00402110"/>
    <w:rsid w:val="00404B0C"/>
    <w:rsid w:val="00405E9C"/>
    <w:rsid w:val="00407CF7"/>
    <w:rsid w:val="0041358B"/>
    <w:rsid w:val="00415ED6"/>
    <w:rsid w:val="00417CAF"/>
    <w:rsid w:val="00420A11"/>
    <w:rsid w:val="00422265"/>
    <w:rsid w:val="00425176"/>
    <w:rsid w:val="0042657E"/>
    <w:rsid w:val="004317FE"/>
    <w:rsid w:val="004373A7"/>
    <w:rsid w:val="004378B9"/>
    <w:rsid w:val="00437D94"/>
    <w:rsid w:val="0044030C"/>
    <w:rsid w:val="004464CF"/>
    <w:rsid w:val="0044730A"/>
    <w:rsid w:val="00450375"/>
    <w:rsid w:val="0045595E"/>
    <w:rsid w:val="004576C6"/>
    <w:rsid w:val="004629A6"/>
    <w:rsid w:val="004633B6"/>
    <w:rsid w:val="00463529"/>
    <w:rsid w:val="004638C7"/>
    <w:rsid w:val="004648A4"/>
    <w:rsid w:val="00471380"/>
    <w:rsid w:val="00483D13"/>
    <w:rsid w:val="004845A6"/>
    <w:rsid w:val="00485126"/>
    <w:rsid w:val="00487812"/>
    <w:rsid w:val="00494F0D"/>
    <w:rsid w:val="00496BFD"/>
    <w:rsid w:val="004A3DF2"/>
    <w:rsid w:val="004A4C3D"/>
    <w:rsid w:val="004B0CEB"/>
    <w:rsid w:val="004B4A91"/>
    <w:rsid w:val="004C361D"/>
    <w:rsid w:val="004C4891"/>
    <w:rsid w:val="004D2C89"/>
    <w:rsid w:val="004E3932"/>
    <w:rsid w:val="004E6CB9"/>
    <w:rsid w:val="004F1E79"/>
    <w:rsid w:val="004F20A5"/>
    <w:rsid w:val="004F311B"/>
    <w:rsid w:val="004F5F33"/>
    <w:rsid w:val="0050103A"/>
    <w:rsid w:val="00503443"/>
    <w:rsid w:val="00511B0F"/>
    <w:rsid w:val="00536241"/>
    <w:rsid w:val="00536721"/>
    <w:rsid w:val="005467CE"/>
    <w:rsid w:val="00547EDB"/>
    <w:rsid w:val="005504C2"/>
    <w:rsid w:val="0055388E"/>
    <w:rsid w:val="005739D0"/>
    <w:rsid w:val="005754AE"/>
    <w:rsid w:val="005763D7"/>
    <w:rsid w:val="00577FB5"/>
    <w:rsid w:val="005852D1"/>
    <w:rsid w:val="00587A22"/>
    <w:rsid w:val="00587E35"/>
    <w:rsid w:val="00590AC6"/>
    <w:rsid w:val="0059299D"/>
    <w:rsid w:val="00593B7D"/>
    <w:rsid w:val="00595C8C"/>
    <w:rsid w:val="00597747"/>
    <w:rsid w:val="005A4CDD"/>
    <w:rsid w:val="005B1747"/>
    <w:rsid w:val="005B1BE6"/>
    <w:rsid w:val="005B4693"/>
    <w:rsid w:val="005B57E4"/>
    <w:rsid w:val="005B5ABD"/>
    <w:rsid w:val="005B5DD1"/>
    <w:rsid w:val="005B7798"/>
    <w:rsid w:val="005B7FC8"/>
    <w:rsid w:val="005C140A"/>
    <w:rsid w:val="005C6763"/>
    <w:rsid w:val="005D2F9D"/>
    <w:rsid w:val="005D3164"/>
    <w:rsid w:val="005E0344"/>
    <w:rsid w:val="005E17B4"/>
    <w:rsid w:val="005E211F"/>
    <w:rsid w:val="005E440B"/>
    <w:rsid w:val="005F2C85"/>
    <w:rsid w:val="00605ADB"/>
    <w:rsid w:val="00611C9F"/>
    <w:rsid w:val="00621BF6"/>
    <w:rsid w:val="0062380C"/>
    <w:rsid w:val="00627555"/>
    <w:rsid w:val="00627B76"/>
    <w:rsid w:val="006316C4"/>
    <w:rsid w:val="00631E05"/>
    <w:rsid w:val="006322A0"/>
    <w:rsid w:val="006361FD"/>
    <w:rsid w:val="006364C6"/>
    <w:rsid w:val="0063772E"/>
    <w:rsid w:val="00637B24"/>
    <w:rsid w:val="0064226F"/>
    <w:rsid w:val="00650B28"/>
    <w:rsid w:val="00651F02"/>
    <w:rsid w:val="00653298"/>
    <w:rsid w:val="006576E9"/>
    <w:rsid w:val="00663A7C"/>
    <w:rsid w:val="00666422"/>
    <w:rsid w:val="00667DF2"/>
    <w:rsid w:val="00670DF1"/>
    <w:rsid w:val="00671345"/>
    <w:rsid w:val="00672A9B"/>
    <w:rsid w:val="00674646"/>
    <w:rsid w:val="00675884"/>
    <w:rsid w:val="00680650"/>
    <w:rsid w:val="00682B15"/>
    <w:rsid w:val="006837F5"/>
    <w:rsid w:val="00684FAE"/>
    <w:rsid w:val="00692062"/>
    <w:rsid w:val="00693447"/>
    <w:rsid w:val="006966CA"/>
    <w:rsid w:val="00696D09"/>
    <w:rsid w:val="00696EE0"/>
    <w:rsid w:val="00697980"/>
    <w:rsid w:val="00697FE8"/>
    <w:rsid w:val="006A19EF"/>
    <w:rsid w:val="006A43D5"/>
    <w:rsid w:val="006A525B"/>
    <w:rsid w:val="006A7772"/>
    <w:rsid w:val="006B097C"/>
    <w:rsid w:val="006C045F"/>
    <w:rsid w:val="006C4196"/>
    <w:rsid w:val="006C63B0"/>
    <w:rsid w:val="006C76A2"/>
    <w:rsid w:val="006C792E"/>
    <w:rsid w:val="006D0577"/>
    <w:rsid w:val="006D116C"/>
    <w:rsid w:val="006E200C"/>
    <w:rsid w:val="006E22C1"/>
    <w:rsid w:val="006E7C42"/>
    <w:rsid w:val="006F168A"/>
    <w:rsid w:val="006F5076"/>
    <w:rsid w:val="006F6009"/>
    <w:rsid w:val="006F6D5C"/>
    <w:rsid w:val="0070321D"/>
    <w:rsid w:val="007068BA"/>
    <w:rsid w:val="00716AB1"/>
    <w:rsid w:val="007171A7"/>
    <w:rsid w:val="0072005C"/>
    <w:rsid w:val="00721D63"/>
    <w:rsid w:val="00730D89"/>
    <w:rsid w:val="00732C7B"/>
    <w:rsid w:val="00734B5F"/>
    <w:rsid w:val="00734D2B"/>
    <w:rsid w:val="00737705"/>
    <w:rsid w:val="007405B2"/>
    <w:rsid w:val="007408D4"/>
    <w:rsid w:val="007420AC"/>
    <w:rsid w:val="00742617"/>
    <w:rsid w:val="00751FBD"/>
    <w:rsid w:val="0075315B"/>
    <w:rsid w:val="007723BD"/>
    <w:rsid w:val="00783AFA"/>
    <w:rsid w:val="00785427"/>
    <w:rsid w:val="00790540"/>
    <w:rsid w:val="007968CA"/>
    <w:rsid w:val="007A43FF"/>
    <w:rsid w:val="007B1D15"/>
    <w:rsid w:val="007B3918"/>
    <w:rsid w:val="007B3CAD"/>
    <w:rsid w:val="007C09A9"/>
    <w:rsid w:val="007C0AD9"/>
    <w:rsid w:val="007C3C1D"/>
    <w:rsid w:val="007C7611"/>
    <w:rsid w:val="007D199A"/>
    <w:rsid w:val="007D29D4"/>
    <w:rsid w:val="007D2EBE"/>
    <w:rsid w:val="007E1A31"/>
    <w:rsid w:val="007E1C07"/>
    <w:rsid w:val="007E61AE"/>
    <w:rsid w:val="007E657F"/>
    <w:rsid w:val="007F24B6"/>
    <w:rsid w:val="007F2A70"/>
    <w:rsid w:val="007F5EFE"/>
    <w:rsid w:val="007F6460"/>
    <w:rsid w:val="00803D94"/>
    <w:rsid w:val="00806D68"/>
    <w:rsid w:val="008152F5"/>
    <w:rsid w:val="008158D0"/>
    <w:rsid w:val="00816657"/>
    <w:rsid w:val="00817C0C"/>
    <w:rsid w:val="008229BA"/>
    <w:rsid w:val="00835F77"/>
    <w:rsid w:val="00836C85"/>
    <w:rsid w:val="00845390"/>
    <w:rsid w:val="0084601B"/>
    <w:rsid w:val="00847596"/>
    <w:rsid w:val="00852356"/>
    <w:rsid w:val="008606F0"/>
    <w:rsid w:val="00863E37"/>
    <w:rsid w:val="00865489"/>
    <w:rsid w:val="0086553D"/>
    <w:rsid w:val="00874FEB"/>
    <w:rsid w:val="00881B6F"/>
    <w:rsid w:val="00882AA4"/>
    <w:rsid w:val="00883E22"/>
    <w:rsid w:val="00884E43"/>
    <w:rsid w:val="00887EC6"/>
    <w:rsid w:val="0089084C"/>
    <w:rsid w:val="0089096C"/>
    <w:rsid w:val="008917BD"/>
    <w:rsid w:val="00893409"/>
    <w:rsid w:val="00893D9F"/>
    <w:rsid w:val="008967F9"/>
    <w:rsid w:val="00897A98"/>
    <w:rsid w:val="008A2379"/>
    <w:rsid w:val="008A4329"/>
    <w:rsid w:val="008A578E"/>
    <w:rsid w:val="008A7638"/>
    <w:rsid w:val="008B1519"/>
    <w:rsid w:val="008B69E3"/>
    <w:rsid w:val="008B7BCC"/>
    <w:rsid w:val="008C50C3"/>
    <w:rsid w:val="008C7094"/>
    <w:rsid w:val="008D2B97"/>
    <w:rsid w:val="008D49A5"/>
    <w:rsid w:val="008D54BE"/>
    <w:rsid w:val="008D6C81"/>
    <w:rsid w:val="008E0632"/>
    <w:rsid w:val="008E3044"/>
    <w:rsid w:val="008E57B6"/>
    <w:rsid w:val="008E62E3"/>
    <w:rsid w:val="008E6CF0"/>
    <w:rsid w:val="008F1439"/>
    <w:rsid w:val="008F3424"/>
    <w:rsid w:val="008F660E"/>
    <w:rsid w:val="008F7051"/>
    <w:rsid w:val="008F75EF"/>
    <w:rsid w:val="009001C9"/>
    <w:rsid w:val="009033A9"/>
    <w:rsid w:val="0090387B"/>
    <w:rsid w:val="00904152"/>
    <w:rsid w:val="0090581D"/>
    <w:rsid w:val="00913A33"/>
    <w:rsid w:val="0091439C"/>
    <w:rsid w:val="00920572"/>
    <w:rsid w:val="00920BF2"/>
    <w:rsid w:val="009255FB"/>
    <w:rsid w:val="00926DE4"/>
    <w:rsid w:val="00927379"/>
    <w:rsid w:val="009349A9"/>
    <w:rsid w:val="00936C52"/>
    <w:rsid w:val="00944941"/>
    <w:rsid w:val="0095489B"/>
    <w:rsid w:val="00964DFB"/>
    <w:rsid w:val="00966FB9"/>
    <w:rsid w:val="009671CD"/>
    <w:rsid w:val="009751A9"/>
    <w:rsid w:val="00980F9C"/>
    <w:rsid w:val="00985B5F"/>
    <w:rsid w:val="0098632B"/>
    <w:rsid w:val="00997BFB"/>
    <w:rsid w:val="009A2747"/>
    <w:rsid w:val="009A6885"/>
    <w:rsid w:val="009A7348"/>
    <w:rsid w:val="009B462C"/>
    <w:rsid w:val="009B61E8"/>
    <w:rsid w:val="009C15F3"/>
    <w:rsid w:val="009C7351"/>
    <w:rsid w:val="009D09E5"/>
    <w:rsid w:val="009D49EC"/>
    <w:rsid w:val="009D69BC"/>
    <w:rsid w:val="009E07C2"/>
    <w:rsid w:val="009E0E52"/>
    <w:rsid w:val="009F61F6"/>
    <w:rsid w:val="009F72F9"/>
    <w:rsid w:val="00A00205"/>
    <w:rsid w:val="00A00AF0"/>
    <w:rsid w:val="00A029F0"/>
    <w:rsid w:val="00A11091"/>
    <w:rsid w:val="00A14B5A"/>
    <w:rsid w:val="00A3567F"/>
    <w:rsid w:val="00A37698"/>
    <w:rsid w:val="00A41ED3"/>
    <w:rsid w:val="00A479EF"/>
    <w:rsid w:val="00A50335"/>
    <w:rsid w:val="00A5351A"/>
    <w:rsid w:val="00A54BB4"/>
    <w:rsid w:val="00A56C01"/>
    <w:rsid w:val="00A60988"/>
    <w:rsid w:val="00A70952"/>
    <w:rsid w:val="00A75580"/>
    <w:rsid w:val="00A81D82"/>
    <w:rsid w:val="00A8254A"/>
    <w:rsid w:val="00A8606E"/>
    <w:rsid w:val="00A91AFF"/>
    <w:rsid w:val="00A934AA"/>
    <w:rsid w:val="00A93E33"/>
    <w:rsid w:val="00A95DC4"/>
    <w:rsid w:val="00AA4979"/>
    <w:rsid w:val="00AA6D10"/>
    <w:rsid w:val="00AB4683"/>
    <w:rsid w:val="00AB6970"/>
    <w:rsid w:val="00AC1939"/>
    <w:rsid w:val="00AC4514"/>
    <w:rsid w:val="00AC6791"/>
    <w:rsid w:val="00AC7C05"/>
    <w:rsid w:val="00AC7CAA"/>
    <w:rsid w:val="00AD167C"/>
    <w:rsid w:val="00AD17C7"/>
    <w:rsid w:val="00AD4041"/>
    <w:rsid w:val="00AD5ABA"/>
    <w:rsid w:val="00AD66C4"/>
    <w:rsid w:val="00AD78FC"/>
    <w:rsid w:val="00AE302B"/>
    <w:rsid w:val="00AE4F54"/>
    <w:rsid w:val="00AF31F0"/>
    <w:rsid w:val="00B1110C"/>
    <w:rsid w:val="00B259DF"/>
    <w:rsid w:val="00B27E40"/>
    <w:rsid w:val="00B35C8F"/>
    <w:rsid w:val="00B44B1F"/>
    <w:rsid w:val="00B50450"/>
    <w:rsid w:val="00B615F5"/>
    <w:rsid w:val="00B64141"/>
    <w:rsid w:val="00B64E72"/>
    <w:rsid w:val="00B73194"/>
    <w:rsid w:val="00B77913"/>
    <w:rsid w:val="00B824FB"/>
    <w:rsid w:val="00B82646"/>
    <w:rsid w:val="00B8495A"/>
    <w:rsid w:val="00B921B3"/>
    <w:rsid w:val="00B92E1A"/>
    <w:rsid w:val="00B97359"/>
    <w:rsid w:val="00B97A8F"/>
    <w:rsid w:val="00BA4E58"/>
    <w:rsid w:val="00BA7074"/>
    <w:rsid w:val="00BB302A"/>
    <w:rsid w:val="00BB5EBA"/>
    <w:rsid w:val="00BB7829"/>
    <w:rsid w:val="00BD1457"/>
    <w:rsid w:val="00BD3825"/>
    <w:rsid w:val="00BD47A3"/>
    <w:rsid w:val="00BE1999"/>
    <w:rsid w:val="00BE2AD9"/>
    <w:rsid w:val="00BF1DF3"/>
    <w:rsid w:val="00BF27FE"/>
    <w:rsid w:val="00BF4526"/>
    <w:rsid w:val="00C043B3"/>
    <w:rsid w:val="00C06769"/>
    <w:rsid w:val="00C06803"/>
    <w:rsid w:val="00C079AB"/>
    <w:rsid w:val="00C102D0"/>
    <w:rsid w:val="00C10AEE"/>
    <w:rsid w:val="00C10E61"/>
    <w:rsid w:val="00C14787"/>
    <w:rsid w:val="00C1596D"/>
    <w:rsid w:val="00C15B8D"/>
    <w:rsid w:val="00C17010"/>
    <w:rsid w:val="00C20562"/>
    <w:rsid w:val="00C215C3"/>
    <w:rsid w:val="00C217B6"/>
    <w:rsid w:val="00C23A96"/>
    <w:rsid w:val="00C249C6"/>
    <w:rsid w:val="00C266D7"/>
    <w:rsid w:val="00C31A2C"/>
    <w:rsid w:val="00C32CC1"/>
    <w:rsid w:val="00C35D86"/>
    <w:rsid w:val="00C40D8E"/>
    <w:rsid w:val="00C426EC"/>
    <w:rsid w:val="00C53B86"/>
    <w:rsid w:val="00C54F6C"/>
    <w:rsid w:val="00C57F95"/>
    <w:rsid w:val="00C64817"/>
    <w:rsid w:val="00C6483C"/>
    <w:rsid w:val="00C64AE9"/>
    <w:rsid w:val="00C70CFF"/>
    <w:rsid w:val="00C718FE"/>
    <w:rsid w:val="00C75F45"/>
    <w:rsid w:val="00C85E85"/>
    <w:rsid w:val="00C8773D"/>
    <w:rsid w:val="00C87ABB"/>
    <w:rsid w:val="00C91831"/>
    <w:rsid w:val="00C953DF"/>
    <w:rsid w:val="00C95C12"/>
    <w:rsid w:val="00C96905"/>
    <w:rsid w:val="00CA0306"/>
    <w:rsid w:val="00CA2905"/>
    <w:rsid w:val="00CA7B44"/>
    <w:rsid w:val="00CD48E3"/>
    <w:rsid w:val="00CD5C5D"/>
    <w:rsid w:val="00CE1DB2"/>
    <w:rsid w:val="00CE2709"/>
    <w:rsid w:val="00CE2D64"/>
    <w:rsid w:val="00CE4AFB"/>
    <w:rsid w:val="00CE6198"/>
    <w:rsid w:val="00CE7942"/>
    <w:rsid w:val="00CF6230"/>
    <w:rsid w:val="00CF6A52"/>
    <w:rsid w:val="00CF7771"/>
    <w:rsid w:val="00D017FC"/>
    <w:rsid w:val="00D0226A"/>
    <w:rsid w:val="00D1256B"/>
    <w:rsid w:val="00D13147"/>
    <w:rsid w:val="00D353E8"/>
    <w:rsid w:val="00D568F8"/>
    <w:rsid w:val="00D5715A"/>
    <w:rsid w:val="00D573FF"/>
    <w:rsid w:val="00D71687"/>
    <w:rsid w:val="00D74813"/>
    <w:rsid w:val="00D806DF"/>
    <w:rsid w:val="00DA301D"/>
    <w:rsid w:val="00DA30BC"/>
    <w:rsid w:val="00DA69C2"/>
    <w:rsid w:val="00DA6D70"/>
    <w:rsid w:val="00DB6050"/>
    <w:rsid w:val="00DC2C34"/>
    <w:rsid w:val="00DC4909"/>
    <w:rsid w:val="00DE2C87"/>
    <w:rsid w:val="00DE459A"/>
    <w:rsid w:val="00DF27DA"/>
    <w:rsid w:val="00DF4DBE"/>
    <w:rsid w:val="00DF7F12"/>
    <w:rsid w:val="00E01077"/>
    <w:rsid w:val="00E13ED1"/>
    <w:rsid w:val="00E15050"/>
    <w:rsid w:val="00E20B32"/>
    <w:rsid w:val="00E221DC"/>
    <w:rsid w:val="00E34607"/>
    <w:rsid w:val="00E34850"/>
    <w:rsid w:val="00E40820"/>
    <w:rsid w:val="00E4658F"/>
    <w:rsid w:val="00E54A67"/>
    <w:rsid w:val="00E57DB9"/>
    <w:rsid w:val="00E57E06"/>
    <w:rsid w:val="00E601E1"/>
    <w:rsid w:val="00E61C0D"/>
    <w:rsid w:val="00E63EB4"/>
    <w:rsid w:val="00E640BE"/>
    <w:rsid w:val="00E64912"/>
    <w:rsid w:val="00E660F3"/>
    <w:rsid w:val="00E66160"/>
    <w:rsid w:val="00E67022"/>
    <w:rsid w:val="00E71329"/>
    <w:rsid w:val="00E8363B"/>
    <w:rsid w:val="00E84966"/>
    <w:rsid w:val="00E90780"/>
    <w:rsid w:val="00E9177D"/>
    <w:rsid w:val="00E92383"/>
    <w:rsid w:val="00E9489D"/>
    <w:rsid w:val="00EA1605"/>
    <w:rsid w:val="00EA1B3A"/>
    <w:rsid w:val="00EA2109"/>
    <w:rsid w:val="00EA55A8"/>
    <w:rsid w:val="00EA639F"/>
    <w:rsid w:val="00EC4B7C"/>
    <w:rsid w:val="00EC66EC"/>
    <w:rsid w:val="00ED0098"/>
    <w:rsid w:val="00ED4D4E"/>
    <w:rsid w:val="00EE00AE"/>
    <w:rsid w:val="00EE0C77"/>
    <w:rsid w:val="00EE4E54"/>
    <w:rsid w:val="00F034BF"/>
    <w:rsid w:val="00F06B58"/>
    <w:rsid w:val="00F222CA"/>
    <w:rsid w:val="00F24669"/>
    <w:rsid w:val="00F246AF"/>
    <w:rsid w:val="00F309CB"/>
    <w:rsid w:val="00F3284E"/>
    <w:rsid w:val="00F37740"/>
    <w:rsid w:val="00F436BB"/>
    <w:rsid w:val="00F44BEF"/>
    <w:rsid w:val="00F47145"/>
    <w:rsid w:val="00F5198F"/>
    <w:rsid w:val="00F545BF"/>
    <w:rsid w:val="00F56152"/>
    <w:rsid w:val="00F61B86"/>
    <w:rsid w:val="00F63AA5"/>
    <w:rsid w:val="00F71B56"/>
    <w:rsid w:val="00F7679E"/>
    <w:rsid w:val="00F7687C"/>
    <w:rsid w:val="00F832C8"/>
    <w:rsid w:val="00F851B8"/>
    <w:rsid w:val="00F866F2"/>
    <w:rsid w:val="00F873B3"/>
    <w:rsid w:val="00F90BF6"/>
    <w:rsid w:val="00F95A32"/>
    <w:rsid w:val="00FA42B9"/>
    <w:rsid w:val="00FA4B69"/>
    <w:rsid w:val="00FA6C31"/>
    <w:rsid w:val="00FA755A"/>
    <w:rsid w:val="00FB01F4"/>
    <w:rsid w:val="00FB2B0F"/>
    <w:rsid w:val="00FB385A"/>
    <w:rsid w:val="00FB3F53"/>
    <w:rsid w:val="00FB4F6B"/>
    <w:rsid w:val="00FB5760"/>
    <w:rsid w:val="00FB5FE1"/>
    <w:rsid w:val="00FB6391"/>
    <w:rsid w:val="00FC0E8D"/>
    <w:rsid w:val="00FC345F"/>
    <w:rsid w:val="00FC46EF"/>
    <w:rsid w:val="00FC49F4"/>
    <w:rsid w:val="00FD31B3"/>
    <w:rsid w:val="00FD418B"/>
    <w:rsid w:val="00FD4204"/>
    <w:rsid w:val="00FD45B7"/>
    <w:rsid w:val="00FD51A6"/>
    <w:rsid w:val="00FE66C7"/>
    <w:rsid w:val="00FE72C3"/>
    <w:rsid w:val="00FE773E"/>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2B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E21E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E21E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E21E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0E21E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E21E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E21E1"/>
    <w:rPr>
      <w:rFonts w:ascii="Arial" w:eastAsia="Times New Roman" w:hAnsi="Arial"/>
      <w:sz w:val="22"/>
      <w:szCs w:val="22"/>
      <w:lang w:eastAsia="en-US"/>
    </w:rPr>
  </w:style>
  <w:style w:type="paragraph" w:customStyle="1" w:styleId="TSHeadingNumbered1">
    <w:name w:val="TS Heading Numbered 1"/>
    <w:basedOn w:val="Normal"/>
    <w:rsid w:val="000E21E1"/>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E21E1"/>
  </w:style>
  <w:style w:type="paragraph" w:customStyle="1" w:styleId="TSHeadingNumbered111">
    <w:name w:val="TS Heading Numbered 1.1.1"/>
    <w:basedOn w:val="TSHeadingNumbered1"/>
    <w:rsid w:val="000E21E1"/>
  </w:style>
  <w:style w:type="paragraph" w:customStyle="1" w:styleId="TSHeadingNumbered1111">
    <w:name w:val="TS Heading Numbered 1.1.1.1"/>
    <w:basedOn w:val="TSHeadingNumbered1"/>
    <w:rsid w:val="000E21E1"/>
  </w:style>
  <w:style w:type="paragraph" w:customStyle="1" w:styleId="TSNumberedParagraph11">
    <w:name w:val="TS Numbered Paragraph 1.1"/>
    <w:basedOn w:val="TSHeadingNumbered11"/>
    <w:rsid w:val="000E21E1"/>
    <w:pPr>
      <w:numPr>
        <w:ilvl w:val="1"/>
      </w:numPr>
      <w:tabs>
        <w:tab w:val="num" w:pos="-31680"/>
      </w:tabs>
      <w:ind w:left="720" w:hanging="720"/>
    </w:pPr>
    <w:rPr>
      <w:rFonts w:ascii="Arial" w:hAnsi="Arial"/>
      <w:b w:val="0"/>
      <w:caps w:val="0"/>
    </w:rPr>
  </w:style>
  <w:style w:type="paragraph" w:styleId="Revision">
    <w:name w:val="Revision"/>
    <w:hidden/>
    <w:uiPriority w:val="99"/>
    <w:semiHidden/>
    <w:rsid w:val="007E61A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2945931">
      <w:bodyDiv w:val="1"/>
      <w:marLeft w:val="0"/>
      <w:marRight w:val="0"/>
      <w:marTop w:val="0"/>
      <w:marBottom w:val="0"/>
      <w:divBdr>
        <w:top w:val="none" w:sz="0" w:space="0" w:color="auto"/>
        <w:left w:val="none" w:sz="0" w:space="0" w:color="auto"/>
        <w:bottom w:val="none" w:sz="0" w:space="0" w:color="auto"/>
        <w:right w:val="none" w:sz="0" w:space="0" w:color="auto"/>
      </w:divBdr>
    </w:div>
    <w:div w:id="31618921">
      <w:bodyDiv w:val="1"/>
      <w:marLeft w:val="0"/>
      <w:marRight w:val="0"/>
      <w:marTop w:val="0"/>
      <w:marBottom w:val="0"/>
      <w:divBdr>
        <w:top w:val="none" w:sz="0" w:space="0" w:color="auto"/>
        <w:left w:val="none" w:sz="0" w:space="0" w:color="auto"/>
        <w:bottom w:val="none" w:sz="0" w:space="0" w:color="auto"/>
        <w:right w:val="none" w:sz="0" w:space="0" w:color="auto"/>
      </w:divBdr>
    </w:div>
    <w:div w:id="737450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090527">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63446947">
      <w:bodyDiv w:val="1"/>
      <w:marLeft w:val="0"/>
      <w:marRight w:val="0"/>
      <w:marTop w:val="0"/>
      <w:marBottom w:val="0"/>
      <w:divBdr>
        <w:top w:val="none" w:sz="0" w:space="0" w:color="auto"/>
        <w:left w:val="none" w:sz="0" w:space="0" w:color="auto"/>
        <w:bottom w:val="none" w:sz="0" w:space="0" w:color="auto"/>
        <w:right w:val="none" w:sz="0" w:space="0" w:color="auto"/>
      </w:divBdr>
    </w:div>
    <w:div w:id="16825986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155789">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6837471">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612075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31718614">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34461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45369035">
      <w:bodyDiv w:val="1"/>
      <w:marLeft w:val="0"/>
      <w:marRight w:val="0"/>
      <w:marTop w:val="0"/>
      <w:marBottom w:val="0"/>
      <w:divBdr>
        <w:top w:val="none" w:sz="0" w:space="0" w:color="auto"/>
        <w:left w:val="none" w:sz="0" w:space="0" w:color="auto"/>
        <w:bottom w:val="none" w:sz="0" w:space="0" w:color="auto"/>
        <w:right w:val="none" w:sz="0" w:space="0" w:color="auto"/>
      </w:divBdr>
    </w:div>
    <w:div w:id="9407223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2923727">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825876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384452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747025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759318">
      <w:bodyDiv w:val="1"/>
      <w:marLeft w:val="0"/>
      <w:marRight w:val="0"/>
      <w:marTop w:val="0"/>
      <w:marBottom w:val="0"/>
      <w:divBdr>
        <w:top w:val="none" w:sz="0" w:space="0" w:color="auto"/>
        <w:left w:val="none" w:sz="0" w:space="0" w:color="auto"/>
        <w:bottom w:val="none" w:sz="0" w:space="0" w:color="auto"/>
        <w:right w:val="none" w:sz="0" w:space="0" w:color="auto"/>
      </w:divBdr>
    </w:div>
    <w:div w:id="1307930171">
      <w:bodyDiv w:val="1"/>
      <w:marLeft w:val="0"/>
      <w:marRight w:val="0"/>
      <w:marTop w:val="0"/>
      <w:marBottom w:val="0"/>
      <w:divBdr>
        <w:top w:val="none" w:sz="0" w:space="0" w:color="auto"/>
        <w:left w:val="none" w:sz="0" w:space="0" w:color="auto"/>
        <w:bottom w:val="none" w:sz="0" w:space="0" w:color="auto"/>
        <w:right w:val="none" w:sz="0" w:space="0" w:color="auto"/>
      </w:divBdr>
    </w:div>
    <w:div w:id="133202333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79110818">
      <w:bodyDiv w:val="1"/>
      <w:marLeft w:val="0"/>
      <w:marRight w:val="0"/>
      <w:marTop w:val="0"/>
      <w:marBottom w:val="0"/>
      <w:divBdr>
        <w:top w:val="none" w:sz="0" w:space="0" w:color="auto"/>
        <w:left w:val="none" w:sz="0" w:space="0" w:color="auto"/>
        <w:bottom w:val="none" w:sz="0" w:space="0" w:color="auto"/>
        <w:right w:val="none" w:sz="0" w:space="0" w:color="auto"/>
      </w:divBdr>
    </w:div>
    <w:div w:id="1505776683">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89731475">
      <w:bodyDiv w:val="1"/>
      <w:marLeft w:val="0"/>
      <w:marRight w:val="0"/>
      <w:marTop w:val="0"/>
      <w:marBottom w:val="0"/>
      <w:divBdr>
        <w:top w:val="none" w:sz="0" w:space="0" w:color="auto"/>
        <w:left w:val="none" w:sz="0" w:space="0" w:color="auto"/>
        <w:bottom w:val="none" w:sz="0" w:space="0" w:color="auto"/>
        <w:right w:val="none" w:sz="0" w:space="0" w:color="auto"/>
      </w:divBdr>
    </w:div>
    <w:div w:id="1601908049">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88622303">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0003816">
      <w:bodyDiv w:val="1"/>
      <w:marLeft w:val="0"/>
      <w:marRight w:val="0"/>
      <w:marTop w:val="0"/>
      <w:marBottom w:val="0"/>
      <w:divBdr>
        <w:top w:val="none" w:sz="0" w:space="0" w:color="auto"/>
        <w:left w:val="none" w:sz="0" w:space="0" w:color="auto"/>
        <w:bottom w:val="none" w:sz="0" w:space="0" w:color="auto"/>
        <w:right w:val="none" w:sz="0" w:space="0" w:color="auto"/>
      </w:divBdr>
    </w:div>
    <w:div w:id="1854297825">
      <w:bodyDiv w:val="1"/>
      <w:marLeft w:val="0"/>
      <w:marRight w:val="0"/>
      <w:marTop w:val="0"/>
      <w:marBottom w:val="0"/>
      <w:divBdr>
        <w:top w:val="none" w:sz="0" w:space="0" w:color="auto"/>
        <w:left w:val="none" w:sz="0" w:space="0" w:color="auto"/>
        <w:bottom w:val="none" w:sz="0" w:space="0" w:color="auto"/>
        <w:right w:val="none" w:sz="0" w:space="0" w:color="auto"/>
      </w:divBdr>
    </w:div>
    <w:div w:id="1908223734">
      <w:bodyDiv w:val="1"/>
      <w:marLeft w:val="0"/>
      <w:marRight w:val="0"/>
      <w:marTop w:val="0"/>
      <w:marBottom w:val="0"/>
      <w:divBdr>
        <w:top w:val="none" w:sz="0" w:space="0" w:color="auto"/>
        <w:left w:val="none" w:sz="0" w:space="0" w:color="auto"/>
        <w:bottom w:val="none" w:sz="0" w:space="0" w:color="auto"/>
        <w:right w:val="none" w:sz="0" w:space="0" w:color="auto"/>
      </w:divBdr>
    </w:div>
    <w:div w:id="198384459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ola.iaea.org/ola/treaties/documents/FullText.pdf" TargetMode="Externa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s://www.gov.uk/government/publications/government-functional-standard-govs-007-security"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onr.org.uk/media/g05fszjn/security-assessment-principles.pdf"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file:///C:\Users\ldunning\AppData\Local\Microsoft\Windows\INetCache\Content.Outlook\GB4OVQLW\www-pub.iaea.org\MTCD\Publications\PDF\Pub1481_web.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603"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www-pub.iaea.org/MTCD/Publications/PDF/Pub1590_web.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view.officeapps.live.com/op/view.aspx?src=https%3A%2F%2Fwww.onr.org.uk%2Fmedia%2Ffyrdhw5g%2Fonr-cnss-pol-001-the-nuclear-industries-security-regulations-2003-nisr-2003-classification-policy-for-the-civil-nuclear-ind.docx&amp;wdOrigin=BROWSELIN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3BB"/>
    <w:rsid w:val="000340C1"/>
    <w:rsid w:val="000A0C3B"/>
    <w:rsid w:val="00164B5A"/>
    <w:rsid w:val="00252452"/>
    <w:rsid w:val="002550FD"/>
    <w:rsid w:val="00350199"/>
    <w:rsid w:val="003A0E96"/>
    <w:rsid w:val="003C6B6F"/>
    <w:rsid w:val="0041358B"/>
    <w:rsid w:val="004629A6"/>
    <w:rsid w:val="004845A6"/>
    <w:rsid w:val="0052671E"/>
    <w:rsid w:val="005B1747"/>
    <w:rsid w:val="0063772E"/>
    <w:rsid w:val="00666422"/>
    <w:rsid w:val="007154C5"/>
    <w:rsid w:val="00730D89"/>
    <w:rsid w:val="00780C80"/>
    <w:rsid w:val="00835E07"/>
    <w:rsid w:val="00972B41"/>
    <w:rsid w:val="00985B5F"/>
    <w:rsid w:val="009C7351"/>
    <w:rsid w:val="00A9560E"/>
    <w:rsid w:val="00C102D0"/>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xsl" StyleName="IEEE"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HMG1</b:Tag>
    <b:SourceType>DocumentFromInternetSite</b:SourceType>
    <b:Guid>{0FEC8A4B-F535-4908-B6D7-FB618F884830}</b:Guid>
    <b:Title>HMG Security Policy Framework. Cabinet Office.</b:Title>
    <b:URL>https://www.gov.uk/government/publications/security-policy-framework/hmg-security-policy-framework</b:URL>
    <b:RefOrder>5</b:RefOrder>
  </b:Source>
  <b:Source>
    <b:Tag>NIS1</b:Tag>
    <b:SourceType>DocumentFromInternetSite</b:SourceType>
    <b:Guid>{B9DB2822-992A-49FF-85CE-BD964AA1236E}</b:Guid>
    <b:Title>NISR 2003 Classification Policy for the Civil Nuclear Industry. ONR.  </b:Title>
    <b:URL>http://www.onr.org.uk/documents/classification-policy.pdf</b:URL>
    <b:RefOrder>6</b:RefOrder>
  </b:Source>
  <b:Source>
    <b:Tag>Sec1</b:Tag>
    <b:SourceType>DocumentFromInternetSite</b:SourceType>
    <b:Guid>{906EEE08-7DD8-4A79-9021-05608F18CE2D}</b:Guid>
    <b:Title>Security Assessment Principles. </b:Title>
    <b:URL>http://www.onr.org.uk/syaps/</b:URL>
    <b:RefOrder>7</b:RefOrder>
  </b:Source>
  <b:Source>
    <b:Tag>IAE4</b:Tag>
    <b:SourceType>DocumentFromInternetSite</b:SourceType>
    <b:Guid>{CA1CBBAD-1FFF-43C4-8692-5EA446C26A91}</b:Guid>
    <b:Title>IAEA Nuclear Security Series No 26G. Security of Nuclear Material in Transport.</b:Title>
    <b:URL>https://www.iaea.org/publications/10792/security-of-nuclear-material-in-transport</b:URL>
    <b:RefOrder>6</b:RefOrder>
  </b:Source>
  <b:Source>
    <b:Tag>NIS</b:Tag>
    <b:SourceType>DocumentFromInternetSite</b:SourceType>
    <b:Guid>{1C695B5F-73FF-4F2F-B1BA-1D3C7FA19B2D}</b:Guid>
    <b:Title>NISR 2003 Classification Policy for the Civil Nuclear Industry (Nov 17) </b:Title>
    <b:URL>http://www.onr.org.uk/documents/classification-policy.pdf</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2855A6-95EE-40D8-BDB4-A49C9CAF8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3151</Words>
  <Characters>17964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Clarity of Command, Control and Communications Arrangements During and Post a Nuclear Security Event</vt:lpstr>
    </vt:vector>
  </TitlesOfParts>
  <Manager>Office for Nuclear Regulation</Manager>
  <Company>Office for Nuclear Regulation</Company>
  <LinksUpToDate>false</LinksUpToDate>
  <CharactersWithSpaces>21073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Clarity of Command, Control and Communications Arrangements During and Post a Nuclear Security Event</dc:title>
  <dc:subject>[Subtitle or description]</dc:subject>
  <cp:keywords>[Key words separated by commas]</cp:keywords>
  <dc:description/>
  <cp:revision>2</cp:revision>
  <cp:lastPrinted>2016-11-28T11:35:00Z</cp:lastPrinted>
  <dcterms:created xsi:type="dcterms:W3CDTF">2025-04-04T12:26:00Z</dcterms:created>
  <dcterms:modified xsi:type="dcterms:W3CDTF">2025-04-04T12:26:00Z</dcterms:modified>
  <cp:contentStatus>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