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364843">
        <w:trPr>
          <w:trHeight w:hRule="exact" w:val="4162"/>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48"/>
                <w:szCs w:val="48"/>
              </w:rPr>
              <w:id w:val="1228188510"/>
              <w:placeholder>
                <w:docPart w:val="DefaultPlaceholder_-1854013440"/>
              </w:placeholder>
            </w:sdtPr>
            <w:sdtEndPr/>
            <w:sdtContent>
              <w:p w14:paraId="7C4EA414" w14:textId="4BB28EE7" w:rsidR="00D0226A" w:rsidRPr="001E03E1" w:rsidRDefault="00E90276"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B061F" w:rsidRPr="008B061F">
                      <w:rPr>
                        <w:sz w:val="56"/>
                        <w:szCs w:val="56"/>
                      </w:rPr>
                      <w:t>Guidance on the Nuclear Reactors (Environmental Impact Assessment for Decommissioning) Regulations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30D194FA"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8B061F">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779E782" w:rsidR="00004C16" w:rsidRDefault="008B061F" w:rsidP="00004C16">
          <w:r>
            <w:rPr>
              <w:rStyle w:val="Style2"/>
            </w:rPr>
            <w:t>Guidance on the Nuclear Reactors (Environmental Impact Assessment for Decommissioning) Regulations</w:t>
          </w:r>
        </w:p>
      </w:sdtContent>
    </w:sdt>
    <w:p w14:paraId="61A25C0F" w14:textId="39EC7DBA" w:rsidR="00004C16" w:rsidRDefault="00004C16" w:rsidP="00004C16">
      <w:pPr>
        <w:rPr>
          <w:sz w:val="28"/>
          <w:szCs w:val="28"/>
        </w:rPr>
      </w:pPr>
    </w:p>
    <w:p w14:paraId="4D99E381" w14:textId="408CA7C8"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A97264">
        <w:rPr>
          <w:sz w:val="28"/>
          <w:szCs w:val="28"/>
        </w:rPr>
        <w:t>Nuclear Liabilities Regulation (NLR)</w:t>
      </w:r>
      <w:r w:rsidR="00364843">
        <w:rPr>
          <w:sz w:val="28"/>
          <w:szCs w:val="28"/>
        </w:rPr>
        <w:t xml:space="preserve"> Specialist Inspector</w:t>
      </w:r>
    </w:p>
    <w:p w14:paraId="23B9A867" w14:textId="114AB3B1"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364843">
        <w:rPr>
          <w:sz w:val="28"/>
          <w:szCs w:val="28"/>
        </w:rPr>
        <w:t>Professional Lead</w:t>
      </w:r>
      <w:r w:rsidR="008B061F">
        <w:rPr>
          <w:sz w:val="28"/>
          <w:szCs w:val="28"/>
        </w:rPr>
        <w:t xml:space="preserve"> - NLR</w:t>
      </w:r>
    </w:p>
    <w:p w14:paraId="7E744BD8" w14:textId="77777777" w:rsidR="003A7E1C" w:rsidRDefault="003A7E1C" w:rsidP="00004C16">
      <w:pPr>
        <w:rPr>
          <w:sz w:val="28"/>
          <w:szCs w:val="28"/>
        </w:rPr>
      </w:pPr>
    </w:p>
    <w:p w14:paraId="247E3769" w14:textId="2EED007B"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B061F">
            <w:rPr>
              <w:sz w:val="28"/>
              <w:szCs w:val="28"/>
            </w:rPr>
            <w:t>1</w:t>
          </w:r>
        </w:sdtContent>
      </w:sdt>
    </w:p>
    <w:p w14:paraId="19206F45" w14:textId="03426743" w:rsidR="00004C16" w:rsidRPr="008B061F" w:rsidRDefault="00004C16" w:rsidP="00004C16">
      <w:pPr>
        <w:rPr>
          <w:sz w:val="28"/>
          <w:szCs w:val="28"/>
        </w:rPr>
      </w:pPr>
      <w:r w:rsidRPr="008B061F">
        <w:rPr>
          <w:sz w:val="28"/>
          <w:szCs w:val="28"/>
        </w:rPr>
        <w:t xml:space="preserve">Publication Date: </w:t>
      </w:r>
      <w:r w:rsidR="00A97264">
        <w:rPr>
          <w:sz w:val="28"/>
          <w:szCs w:val="28"/>
        </w:rPr>
        <w:t>Mar</w:t>
      </w:r>
      <w:r w:rsidR="008B061F" w:rsidRPr="008B061F">
        <w:rPr>
          <w:sz w:val="28"/>
          <w:szCs w:val="28"/>
        </w:rPr>
        <w:t>-202</w:t>
      </w:r>
      <w:r w:rsidR="00A97264">
        <w:rPr>
          <w:sz w:val="28"/>
          <w:szCs w:val="28"/>
        </w:rPr>
        <w:t>3</w:t>
      </w:r>
    </w:p>
    <w:p w14:paraId="22297511" w14:textId="258015C9" w:rsidR="005C1E52" w:rsidRPr="00004C16" w:rsidRDefault="005C1E52" w:rsidP="00004C16">
      <w:pPr>
        <w:rPr>
          <w:sz w:val="28"/>
          <w:szCs w:val="28"/>
        </w:rPr>
      </w:pPr>
      <w:r w:rsidRPr="008B061F">
        <w:rPr>
          <w:sz w:val="28"/>
          <w:szCs w:val="28"/>
        </w:rPr>
        <w:t xml:space="preserve">Next Major Review Date: </w:t>
      </w:r>
      <w:r w:rsidR="008B061F" w:rsidRPr="008B061F">
        <w:rPr>
          <w:sz w:val="28"/>
          <w:szCs w:val="28"/>
        </w:rPr>
        <w:t>Oct-202</w:t>
      </w:r>
      <w:r w:rsidR="00A97264">
        <w:rPr>
          <w:sz w:val="28"/>
          <w:szCs w:val="28"/>
        </w:rPr>
        <w:t>6</w:t>
      </w:r>
    </w:p>
    <w:p w14:paraId="48A3F547" w14:textId="05E8F477" w:rsidR="00004C16" w:rsidRPr="00004C16" w:rsidRDefault="00004C16" w:rsidP="00004C16">
      <w:pPr>
        <w:rPr>
          <w:sz w:val="28"/>
          <w:szCs w:val="28"/>
        </w:rPr>
      </w:pPr>
      <w:r w:rsidRPr="00004C16">
        <w:rPr>
          <w:sz w:val="28"/>
          <w:szCs w:val="28"/>
        </w:rPr>
        <w:t xml:space="preserve">Doc. Ref. No.: </w:t>
      </w:r>
      <w:r w:rsidR="00C82CC2">
        <w:rPr>
          <w:sz w:val="28"/>
          <w:szCs w:val="28"/>
        </w:rPr>
        <w:t>ONR-NLR-GD-001</w:t>
      </w:r>
    </w:p>
    <w:p w14:paraId="55057C62" w14:textId="2371545C" w:rsidR="00004C16" w:rsidRPr="00004C16" w:rsidRDefault="00004C16" w:rsidP="00004C16">
      <w:pPr>
        <w:rPr>
          <w:sz w:val="28"/>
          <w:szCs w:val="28"/>
        </w:rPr>
      </w:pPr>
      <w:r w:rsidRPr="00004C16">
        <w:rPr>
          <w:sz w:val="28"/>
          <w:szCs w:val="28"/>
        </w:rPr>
        <w:t xml:space="preserve">Record Ref. No.: </w:t>
      </w:r>
      <w:r w:rsidR="003E0491">
        <w:rPr>
          <w:sz w:val="28"/>
          <w:szCs w:val="28"/>
        </w:rPr>
        <w:t>2023/19877</w:t>
      </w:r>
    </w:p>
    <w:p w14:paraId="39BC0EA4" w14:textId="77777777" w:rsidR="00420A11" w:rsidRDefault="00420A11" w:rsidP="00323E71"/>
    <w:p w14:paraId="394437F7" w14:textId="71043D76" w:rsidR="008B061F" w:rsidRPr="00740504" w:rsidRDefault="008B061F" w:rsidP="00740504">
      <w:pPr>
        <w:pStyle w:val="Regulationpara"/>
        <w:numPr>
          <w:ilvl w:val="0"/>
          <w:numId w:val="0"/>
        </w:numPr>
        <w:rPr>
          <w:b/>
          <w:bCs/>
        </w:rPr>
      </w:pPr>
      <w:r w:rsidRPr="00740504">
        <w:rPr>
          <w:b/>
          <w:bCs/>
        </w:rPr>
        <w:t>Revision Commentary</w:t>
      </w:r>
    </w:p>
    <w:tbl>
      <w:tblPr>
        <w:tblStyle w:val="ONRTable1"/>
        <w:tblW w:w="0" w:type="auto"/>
        <w:tblInd w:w="10" w:type="dxa"/>
        <w:tblLook w:val="04A0" w:firstRow="1" w:lastRow="0" w:firstColumn="1" w:lastColumn="0" w:noHBand="0" w:noVBand="1"/>
      </w:tblPr>
      <w:tblGrid>
        <w:gridCol w:w="1408"/>
        <w:gridCol w:w="7608"/>
      </w:tblGrid>
      <w:tr w:rsidR="00595C8C" w:rsidRPr="008B061F" w14:paraId="116B87DF" w14:textId="77777777" w:rsidTr="00FE55E6">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8B061F" w:rsidRDefault="00595C8C" w:rsidP="00595C8C">
            <w:pPr>
              <w:spacing w:before="60" w:after="60"/>
              <w:rPr>
                <w:b w:val="0"/>
                <w:bCs/>
              </w:rPr>
            </w:pPr>
            <w:r w:rsidRPr="008B061F">
              <w:rPr>
                <w:b w:val="0"/>
                <w:bCs/>
              </w:rPr>
              <w:t>Issue</w:t>
            </w:r>
            <w:r w:rsidR="004E3932" w:rsidRPr="008B061F">
              <w:rPr>
                <w:b w:val="0"/>
                <w:bCs/>
              </w:rPr>
              <w:t xml:space="preserve"> No.</w:t>
            </w:r>
          </w:p>
        </w:tc>
        <w:tc>
          <w:tcPr>
            <w:tcW w:w="7608" w:type="dxa"/>
          </w:tcPr>
          <w:p w14:paraId="2D00C3FD" w14:textId="26176D05" w:rsidR="00595C8C" w:rsidRPr="008B061F" w:rsidRDefault="00595C8C" w:rsidP="00595C8C">
            <w:pPr>
              <w:spacing w:before="60" w:after="60"/>
              <w:rPr>
                <w:b w:val="0"/>
                <w:bCs/>
              </w:rPr>
            </w:pPr>
            <w:r w:rsidRPr="008B061F">
              <w:rPr>
                <w:b w:val="0"/>
                <w:bCs/>
              </w:rPr>
              <w:t>Description of Update(s)</w:t>
            </w:r>
          </w:p>
        </w:tc>
      </w:tr>
      <w:tr w:rsidR="00595C8C" w14:paraId="0B4E4E42" w14:textId="77777777" w:rsidTr="00FE55E6">
        <w:tc>
          <w:tcPr>
            <w:tcW w:w="1408" w:type="dxa"/>
          </w:tcPr>
          <w:p w14:paraId="65482A03" w14:textId="78CB7D3F" w:rsidR="00595C8C" w:rsidRDefault="008B061F" w:rsidP="00595C8C">
            <w:pPr>
              <w:spacing w:before="60" w:after="60"/>
            </w:pPr>
            <w:r>
              <w:t>1</w:t>
            </w:r>
          </w:p>
        </w:tc>
        <w:tc>
          <w:tcPr>
            <w:tcW w:w="7608" w:type="dxa"/>
          </w:tcPr>
          <w:p w14:paraId="59794776" w14:textId="77777777" w:rsidR="00FE55E6" w:rsidRDefault="00FE55E6" w:rsidP="00FE55E6">
            <w:pPr>
              <w:spacing w:before="60" w:after="60"/>
            </w:pPr>
            <w:r>
              <w:t>Updates to reflect legal advice received on interpretation of the regulations since the last revision.</w:t>
            </w:r>
          </w:p>
          <w:p w14:paraId="18B83EB9" w14:textId="77777777" w:rsidR="00FE55E6" w:rsidRDefault="00FE55E6" w:rsidP="00FE55E6">
            <w:pPr>
              <w:spacing w:before="60" w:after="60"/>
            </w:pPr>
            <w:r>
              <w:t xml:space="preserve">Updates to reflect the changes to the regulations </w:t>
            </w:r>
            <w:proofErr w:type="gramStart"/>
            <w:r>
              <w:t>as a result of</w:t>
            </w:r>
            <w:proofErr w:type="gramEnd"/>
            <w:r>
              <w:t xml:space="preserve"> the Ionising Radiation (Environmental and Public Protection) (Miscellaneous Amendments) (EU Exit) Regulations 2019 which came into force on 1st January 2021.</w:t>
            </w:r>
          </w:p>
          <w:p w14:paraId="1C80912E" w14:textId="31805143" w:rsidR="004A444C" w:rsidRDefault="004A444C" w:rsidP="00FE55E6">
            <w:pPr>
              <w:spacing w:before="60" w:after="60"/>
            </w:pPr>
            <w:r>
              <w:t xml:space="preserve">Updates to formatting </w:t>
            </w:r>
            <w:r w:rsidR="0004459C">
              <w:t xml:space="preserve">to reflect new ONR formatting style. </w:t>
            </w:r>
          </w:p>
        </w:tc>
      </w:tr>
    </w:tbl>
    <w:p w14:paraId="1FDB4B56" w14:textId="6C10B266" w:rsidR="00595C8C" w:rsidRDefault="00595C8C" w:rsidP="00323E71">
      <w:pPr>
        <w:sectPr w:rsidR="00595C8C" w:rsidSect="00652F1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40" w:right="1440" w:bottom="1440" w:left="1440" w:header="397" w:footer="397" w:gutter="0"/>
          <w:cols w:space="312"/>
          <w:titlePg/>
          <w:docGrid w:linePitch="360"/>
        </w:sectPr>
      </w:pPr>
    </w:p>
    <w:p w14:paraId="2F078108" w14:textId="77777777" w:rsidR="00740504" w:rsidRDefault="00740504" w:rsidP="00EE0C77">
      <w:pPr>
        <w:pStyle w:val="ContentsHeading"/>
        <w:sectPr w:rsidR="00740504" w:rsidSect="00652F10">
          <w:headerReference w:type="even" r:id="rId17"/>
          <w:headerReference w:type="default" r:id="rId18"/>
          <w:footerReference w:type="even" r:id="rId19"/>
          <w:footerReference w:type="default" r:id="rId20"/>
          <w:type w:val="continuous"/>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81D3DC2" w14:textId="43029BBC" w:rsidR="00BE622F" w:rsidRDefault="00F17B56">
      <w:pPr>
        <w:pStyle w:val="TOC1"/>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4416309" w:history="1">
        <w:r w:rsidR="00BE622F" w:rsidRPr="009358CF">
          <w:rPr>
            <w:rStyle w:val="Hyperlink"/>
          </w:rPr>
          <w:t>Abbreviations</w:t>
        </w:r>
        <w:r w:rsidR="00BE622F">
          <w:rPr>
            <w:webHidden/>
          </w:rPr>
          <w:tab/>
        </w:r>
        <w:r w:rsidR="00BE622F">
          <w:rPr>
            <w:webHidden/>
          </w:rPr>
          <w:fldChar w:fldCharType="begin"/>
        </w:r>
        <w:r w:rsidR="00BE622F">
          <w:rPr>
            <w:webHidden/>
          </w:rPr>
          <w:instrText xml:space="preserve"> PAGEREF _Toc124416309 \h </w:instrText>
        </w:r>
        <w:r w:rsidR="00BE622F">
          <w:rPr>
            <w:webHidden/>
          </w:rPr>
        </w:r>
        <w:r w:rsidR="00BE622F">
          <w:rPr>
            <w:webHidden/>
          </w:rPr>
          <w:fldChar w:fldCharType="separate"/>
        </w:r>
        <w:r w:rsidR="00BE622F">
          <w:rPr>
            <w:webHidden/>
          </w:rPr>
          <w:t>5</w:t>
        </w:r>
        <w:r w:rsidR="00BE622F">
          <w:rPr>
            <w:webHidden/>
          </w:rPr>
          <w:fldChar w:fldCharType="end"/>
        </w:r>
      </w:hyperlink>
    </w:p>
    <w:p w14:paraId="54D7135E" w14:textId="28E7C55C" w:rsidR="00BE622F" w:rsidRDefault="00E90276">
      <w:pPr>
        <w:pStyle w:val="TOC1"/>
        <w:rPr>
          <w:rFonts w:asciiTheme="minorHAnsi" w:eastAsiaTheme="minorEastAsia" w:hAnsiTheme="minorHAnsi" w:cstheme="minorBidi"/>
          <w:sz w:val="22"/>
          <w:lang w:eastAsia="en-GB" w:bidi="ar-SA"/>
        </w:rPr>
      </w:pPr>
      <w:hyperlink w:anchor="_Toc124416310" w:history="1">
        <w:r w:rsidR="00BE622F" w:rsidRPr="009358CF">
          <w:rPr>
            <w:rStyle w:val="Hyperlink"/>
          </w:rPr>
          <w:t>Introduction</w:t>
        </w:r>
        <w:r w:rsidR="00BE622F">
          <w:rPr>
            <w:webHidden/>
          </w:rPr>
          <w:tab/>
        </w:r>
        <w:r w:rsidR="00BE622F">
          <w:rPr>
            <w:webHidden/>
          </w:rPr>
          <w:fldChar w:fldCharType="begin"/>
        </w:r>
        <w:r w:rsidR="00BE622F">
          <w:rPr>
            <w:webHidden/>
          </w:rPr>
          <w:instrText xml:space="preserve"> PAGEREF _Toc124416310 \h </w:instrText>
        </w:r>
        <w:r w:rsidR="00BE622F">
          <w:rPr>
            <w:webHidden/>
          </w:rPr>
        </w:r>
        <w:r w:rsidR="00BE622F">
          <w:rPr>
            <w:webHidden/>
          </w:rPr>
          <w:fldChar w:fldCharType="separate"/>
        </w:r>
        <w:r w:rsidR="00BE622F">
          <w:rPr>
            <w:webHidden/>
          </w:rPr>
          <w:t>6</w:t>
        </w:r>
        <w:r w:rsidR="00BE622F">
          <w:rPr>
            <w:webHidden/>
          </w:rPr>
          <w:fldChar w:fldCharType="end"/>
        </w:r>
      </w:hyperlink>
    </w:p>
    <w:p w14:paraId="5A0ED975" w14:textId="3D401707" w:rsidR="00BE622F" w:rsidRDefault="00E90276">
      <w:pPr>
        <w:pStyle w:val="TOC2"/>
        <w:rPr>
          <w:rFonts w:asciiTheme="minorHAnsi" w:eastAsiaTheme="minorEastAsia" w:hAnsiTheme="minorHAnsi" w:cstheme="minorBidi"/>
          <w:sz w:val="22"/>
          <w:lang w:eastAsia="en-GB" w:bidi="ar-SA"/>
        </w:rPr>
      </w:pPr>
      <w:hyperlink w:anchor="_Toc124416311" w:history="1">
        <w:r w:rsidR="00BE622F" w:rsidRPr="009358CF">
          <w:rPr>
            <w:rStyle w:val="Hyperlink"/>
          </w:rPr>
          <w:t>Purpose</w:t>
        </w:r>
        <w:r w:rsidR="00BE622F">
          <w:rPr>
            <w:webHidden/>
          </w:rPr>
          <w:tab/>
        </w:r>
        <w:r w:rsidR="00BE622F">
          <w:rPr>
            <w:webHidden/>
          </w:rPr>
          <w:fldChar w:fldCharType="begin"/>
        </w:r>
        <w:r w:rsidR="00BE622F">
          <w:rPr>
            <w:webHidden/>
          </w:rPr>
          <w:instrText xml:space="preserve"> PAGEREF _Toc124416311 \h </w:instrText>
        </w:r>
        <w:r w:rsidR="00BE622F">
          <w:rPr>
            <w:webHidden/>
          </w:rPr>
        </w:r>
        <w:r w:rsidR="00BE622F">
          <w:rPr>
            <w:webHidden/>
          </w:rPr>
          <w:fldChar w:fldCharType="separate"/>
        </w:r>
        <w:r w:rsidR="00BE622F">
          <w:rPr>
            <w:webHidden/>
          </w:rPr>
          <w:t>6</w:t>
        </w:r>
        <w:r w:rsidR="00BE622F">
          <w:rPr>
            <w:webHidden/>
          </w:rPr>
          <w:fldChar w:fldCharType="end"/>
        </w:r>
      </w:hyperlink>
    </w:p>
    <w:p w14:paraId="06B95551" w14:textId="3763D4EB" w:rsidR="00BE622F" w:rsidRDefault="00E90276">
      <w:pPr>
        <w:pStyle w:val="TOC2"/>
        <w:rPr>
          <w:rFonts w:asciiTheme="minorHAnsi" w:eastAsiaTheme="minorEastAsia" w:hAnsiTheme="minorHAnsi" w:cstheme="minorBidi"/>
          <w:sz w:val="22"/>
          <w:lang w:eastAsia="en-GB" w:bidi="ar-SA"/>
        </w:rPr>
      </w:pPr>
      <w:hyperlink w:anchor="_Toc124416312" w:history="1">
        <w:r w:rsidR="00BE622F" w:rsidRPr="009358CF">
          <w:rPr>
            <w:rStyle w:val="Hyperlink"/>
          </w:rPr>
          <w:t>Background to the regulations</w:t>
        </w:r>
        <w:r w:rsidR="00BE622F">
          <w:rPr>
            <w:webHidden/>
          </w:rPr>
          <w:tab/>
        </w:r>
        <w:r w:rsidR="00BE622F">
          <w:rPr>
            <w:webHidden/>
          </w:rPr>
          <w:fldChar w:fldCharType="begin"/>
        </w:r>
        <w:r w:rsidR="00BE622F">
          <w:rPr>
            <w:webHidden/>
          </w:rPr>
          <w:instrText xml:space="preserve"> PAGEREF _Toc124416312 \h </w:instrText>
        </w:r>
        <w:r w:rsidR="00BE622F">
          <w:rPr>
            <w:webHidden/>
          </w:rPr>
        </w:r>
        <w:r w:rsidR="00BE622F">
          <w:rPr>
            <w:webHidden/>
          </w:rPr>
          <w:fldChar w:fldCharType="separate"/>
        </w:r>
        <w:r w:rsidR="00BE622F">
          <w:rPr>
            <w:webHidden/>
          </w:rPr>
          <w:t>7</w:t>
        </w:r>
        <w:r w:rsidR="00BE622F">
          <w:rPr>
            <w:webHidden/>
          </w:rPr>
          <w:fldChar w:fldCharType="end"/>
        </w:r>
      </w:hyperlink>
    </w:p>
    <w:p w14:paraId="0F0AC8EA" w14:textId="5ED2140E" w:rsidR="00BE622F" w:rsidRDefault="00E90276">
      <w:pPr>
        <w:pStyle w:val="TOC2"/>
        <w:rPr>
          <w:rFonts w:asciiTheme="minorHAnsi" w:eastAsiaTheme="minorEastAsia" w:hAnsiTheme="minorHAnsi" w:cstheme="minorBidi"/>
          <w:sz w:val="22"/>
          <w:lang w:eastAsia="en-GB" w:bidi="ar-SA"/>
        </w:rPr>
      </w:pPr>
      <w:hyperlink w:anchor="_Toc124416313" w:history="1">
        <w:r w:rsidR="00BE622F" w:rsidRPr="009358CF">
          <w:rPr>
            <w:rStyle w:val="Hyperlink"/>
          </w:rPr>
          <w:t>Purpose of EIADR</w:t>
        </w:r>
        <w:r w:rsidR="00BE622F">
          <w:rPr>
            <w:webHidden/>
          </w:rPr>
          <w:tab/>
        </w:r>
        <w:r w:rsidR="00BE622F">
          <w:rPr>
            <w:webHidden/>
          </w:rPr>
          <w:fldChar w:fldCharType="begin"/>
        </w:r>
        <w:r w:rsidR="00BE622F">
          <w:rPr>
            <w:webHidden/>
          </w:rPr>
          <w:instrText xml:space="preserve"> PAGEREF _Toc124416313 \h </w:instrText>
        </w:r>
        <w:r w:rsidR="00BE622F">
          <w:rPr>
            <w:webHidden/>
          </w:rPr>
        </w:r>
        <w:r w:rsidR="00BE622F">
          <w:rPr>
            <w:webHidden/>
          </w:rPr>
          <w:fldChar w:fldCharType="separate"/>
        </w:r>
        <w:r w:rsidR="00BE622F">
          <w:rPr>
            <w:webHidden/>
          </w:rPr>
          <w:t>7</w:t>
        </w:r>
        <w:r w:rsidR="00BE622F">
          <w:rPr>
            <w:webHidden/>
          </w:rPr>
          <w:fldChar w:fldCharType="end"/>
        </w:r>
      </w:hyperlink>
    </w:p>
    <w:p w14:paraId="2BCA6D3C" w14:textId="31BC81AE" w:rsidR="00BE622F" w:rsidRDefault="00E90276">
      <w:pPr>
        <w:pStyle w:val="TOC2"/>
        <w:rPr>
          <w:rFonts w:asciiTheme="minorHAnsi" w:eastAsiaTheme="minorEastAsia" w:hAnsiTheme="minorHAnsi" w:cstheme="minorBidi"/>
          <w:sz w:val="22"/>
          <w:lang w:eastAsia="en-GB" w:bidi="ar-SA"/>
        </w:rPr>
      </w:pPr>
      <w:hyperlink w:anchor="_Toc124416314" w:history="1">
        <w:r w:rsidR="00BE622F" w:rsidRPr="009358CF">
          <w:rPr>
            <w:rStyle w:val="Hyperlink"/>
          </w:rPr>
          <w:t>Application of EIADR</w:t>
        </w:r>
        <w:r w:rsidR="00BE622F">
          <w:rPr>
            <w:webHidden/>
          </w:rPr>
          <w:tab/>
        </w:r>
        <w:r w:rsidR="00BE622F">
          <w:rPr>
            <w:webHidden/>
          </w:rPr>
          <w:fldChar w:fldCharType="begin"/>
        </w:r>
        <w:r w:rsidR="00BE622F">
          <w:rPr>
            <w:webHidden/>
          </w:rPr>
          <w:instrText xml:space="preserve"> PAGEREF _Toc124416314 \h </w:instrText>
        </w:r>
        <w:r w:rsidR="00BE622F">
          <w:rPr>
            <w:webHidden/>
          </w:rPr>
        </w:r>
        <w:r w:rsidR="00BE622F">
          <w:rPr>
            <w:webHidden/>
          </w:rPr>
          <w:fldChar w:fldCharType="separate"/>
        </w:r>
        <w:r w:rsidR="00BE622F">
          <w:rPr>
            <w:webHidden/>
          </w:rPr>
          <w:t>7</w:t>
        </w:r>
        <w:r w:rsidR="00BE622F">
          <w:rPr>
            <w:webHidden/>
          </w:rPr>
          <w:fldChar w:fldCharType="end"/>
        </w:r>
      </w:hyperlink>
    </w:p>
    <w:p w14:paraId="0FCD616E" w14:textId="058C59AC" w:rsidR="00BE622F" w:rsidRDefault="00E90276">
      <w:pPr>
        <w:pStyle w:val="TOC2"/>
        <w:rPr>
          <w:rFonts w:asciiTheme="minorHAnsi" w:eastAsiaTheme="minorEastAsia" w:hAnsiTheme="minorHAnsi" w:cstheme="minorBidi"/>
          <w:sz w:val="22"/>
          <w:lang w:eastAsia="en-GB" w:bidi="ar-SA"/>
        </w:rPr>
      </w:pPr>
      <w:hyperlink w:anchor="_Toc124416315" w:history="1">
        <w:r w:rsidR="00BE622F" w:rsidRPr="009358CF">
          <w:rPr>
            <w:rStyle w:val="Hyperlink"/>
          </w:rPr>
          <w:t>EIADR Process</w:t>
        </w:r>
        <w:r w:rsidR="00BE622F">
          <w:rPr>
            <w:webHidden/>
          </w:rPr>
          <w:tab/>
        </w:r>
        <w:r w:rsidR="00BE622F">
          <w:rPr>
            <w:webHidden/>
          </w:rPr>
          <w:fldChar w:fldCharType="begin"/>
        </w:r>
        <w:r w:rsidR="00BE622F">
          <w:rPr>
            <w:webHidden/>
          </w:rPr>
          <w:instrText xml:space="preserve"> PAGEREF _Toc124416315 \h </w:instrText>
        </w:r>
        <w:r w:rsidR="00BE622F">
          <w:rPr>
            <w:webHidden/>
          </w:rPr>
        </w:r>
        <w:r w:rsidR="00BE622F">
          <w:rPr>
            <w:webHidden/>
          </w:rPr>
          <w:fldChar w:fldCharType="separate"/>
        </w:r>
        <w:r w:rsidR="00BE622F">
          <w:rPr>
            <w:webHidden/>
          </w:rPr>
          <w:t>9</w:t>
        </w:r>
        <w:r w:rsidR="00BE622F">
          <w:rPr>
            <w:webHidden/>
          </w:rPr>
          <w:fldChar w:fldCharType="end"/>
        </w:r>
      </w:hyperlink>
    </w:p>
    <w:p w14:paraId="551F6924" w14:textId="40C4BE5B" w:rsidR="00BE622F" w:rsidRDefault="00E90276">
      <w:pPr>
        <w:pStyle w:val="TOC1"/>
        <w:rPr>
          <w:rFonts w:asciiTheme="minorHAnsi" w:eastAsiaTheme="minorEastAsia" w:hAnsiTheme="minorHAnsi" w:cstheme="minorBidi"/>
          <w:sz w:val="22"/>
          <w:lang w:eastAsia="en-GB" w:bidi="ar-SA"/>
        </w:rPr>
      </w:pPr>
      <w:hyperlink w:anchor="_Toc124416316" w:history="1">
        <w:r w:rsidR="00BE622F" w:rsidRPr="009358CF">
          <w:rPr>
            <w:rStyle w:val="Hyperlink"/>
          </w:rPr>
          <w:t>Guidance</w:t>
        </w:r>
        <w:r w:rsidR="00BE622F">
          <w:rPr>
            <w:webHidden/>
          </w:rPr>
          <w:tab/>
        </w:r>
        <w:r w:rsidR="00BE622F">
          <w:rPr>
            <w:webHidden/>
          </w:rPr>
          <w:fldChar w:fldCharType="begin"/>
        </w:r>
        <w:r w:rsidR="00BE622F">
          <w:rPr>
            <w:webHidden/>
          </w:rPr>
          <w:instrText xml:space="preserve"> PAGEREF _Toc124416316 \h </w:instrText>
        </w:r>
        <w:r w:rsidR="00BE622F">
          <w:rPr>
            <w:webHidden/>
          </w:rPr>
        </w:r>
        <w:r w:rsidR="00BE622F">
          <w:rPr>
            <w:webHidden/>
          </w:rPr>
          <w:fldChar w:fldCharType="separate"/>
        </w:r>
        <w:r w:rsidR="00BE622F">
          <w:rPr>
            <w:webHidden/>
          </w:rPr>
          <w:t>11</w:t>
        </w:r>
        <w:r w:rsidR="00BE622F">
          <w:rPr>
            <w:webHidden/>
          </w:rPr>
          <w:fldChar w:fldCharType="end"/>
        </w:r>
      </w:hyperlink>
    </w:p>
    <w:p w14:paraId="31115C0D" w14:textId="644B866E" w:rsidR="00BE622F" w:rsidRDefault="00E90276">
      <w:pPr>
        <w:pStyle w:val="TOC2"/>
        <w:rPr>
          <w:rFonts w:asciiTheme="minorHAnsi" w:eastAsiaTheme="minorEastAsia" w:hAnsiTheme="minorHAnsi" w:cstheme="minorBidi"/>
          <w:sz w:val="22"/>
          <w:lang w:eastAsia="en-GB" w:bidi="ar-SA"/>
        </w:rPr>
      </w:pPr>
      <w:hyperlink w:anchor="_Toc124416317" w:history="1">
        <w:r w:rsidR="00BE622F" w:rsidRPr="009358CF">
          <w:rPr>
            <w:rStyle w:val="Hyperlink"/>
          </w:rPr>
          <w:t>Regulation 1 Citation and Commencement</w:t>
        </w:r>
        <w:r w:rsidR="00BE622F">
          <w:rPr>
            <w:webHidden/>
          </w:rPr>
          <w:tab/>
        </w:r>
        <w:r w:rsidR="00BE622F">
          <w:rPr>
            <w:webHidden/>
          </w:rPr>
          <w:fldChar w:fldCharType="begin"/>
        </w:r>
        <w:r w:rsidR="00BE622F">
          <w:rPr>
            <w:webHidden/>
          </w:rPr>
          <w:instrText xml:space="preserve"> PAGEREF _Toc124416317 \h </w:instrText>
        </w:r>
        <w:r w:rsidR="00BE622F">
          <w:rPr>
            <w:webHidden/>
          </w:rPr>
        </w:r>
        <w:r w:rsidR="00BE622F">
          <w:rPr>
            <w:webHidden/>
          </w:rPr>
          <w:fldChar w:fldCharType="separate"/>
        </w:r>
        <w:r w:rsidR="00BE622F">
          <w:rPr>
            <w:webHidden/>
          </w:rPr>
          <w:t>11</w:t>
        </w:r>
        <w:r w:rsidR="00BE622F">
          <w:rPr>
            <w:webHidden/>
          </w:rPr>
          <w:fldChar w:fldCharType="end"/>
        </w:r>
      </w:hyperlink>
    </w:p>
    <w:p w14:paraId="02052DA0" w14:textId="6AB4DC54" w:rsidR="00BE622F" w:rsidRDefault="00E90276">
      <w:pPr>
        <w:pStyle w:val="TOC2"/>
        <w:rPr>
          <w:rFonts w:asciiTheme="minorHAnsi" w:eastAsiaTheme="minorEastAsia" w:hAnsiTheme="minorHAnsi" w:cstheme="minorBidi"/>
          <w:sz w:val="22"/>
          <w:lang w:eastAsia="en-GB" w:bidi="ar-SA"/>
        </w:rPr>
      </w:pPr>
      <w:hyperlink w:anchor="_Toc124416318" w:history="1">
        <w:r w:rsidR="00BE622F" w:rsidRPr="009358CF">
          <w:rPr>
            <w:rStyle w:val="Hyperlink"/>
          </w:rPr>
          <w:t>Regulation 2 Definitions</w:t>
        </w:r>
        <w:r w:rsidR="00BE622F">
          <w:rPr>
            <w:webHidden/>
          </w:rPr>
          <w:tab/>
        </w:r>
        <w:r w:rsidR="00BE622F">
          <w:rPr>
            <w:webHidden/>
          </w:rPr>
          <w:fldChar w:fldCharType="begin"/>
        </w:r>
        <w:r w:rsidR="00BE622F">
          <w:rPr>
            <w:webHidden/>
          </w:rPr>
          <w:instrText xml:space="preserve"> PAGEREF _Toc124416318 \h </w:instrText>
        </w:r>
        <w:r w:rsidR="00BE622F">
          <w:rPr>
            <w:webHidden/>
          </w:rPr>
        </w:r>
        <w:r w:rsidR="00BE622F">
          <w:rPr>
            <w:webHidden/>
          </w:rPr>
          <w:fldChar w:fldCharType="separate"/>
        </w:r>
        <w:r w:rsidR="00BE622F">
          <w:rPr>
            <w:webHidden/>
          </w:rPr>
          <w:t>11</w:t>
        </w:r>
        <w:r w:rsidR="00BE622F">
          <w:rPr>
            <w:webHidden/>
          </w:rPr>
          <w:fldChar w:fldCharType="end"/>
        </w:r>
      </w:hyperlink>
    </w:p>
    <w:p w14:paraId="1BB410DE" w14:textId="0DD593CB" w:rsidR="00BE622F" w:rsidRDefault="00E90276">
      <w:pPr>
        <w:pStyle w:val="TOC2"/>
        <w:rPr>
          <w:rFonts w:asciiTheme="minorHAnsi" w:eastAsiaTheme="minorEastAsia" w:hAnsiTheme="minorHAnsi" w:cstheme="minorBidi"/>
          <w:sz w:val="22"/>
          <w:lang w:eastAsia="en-GB" w:bidi="ar-SA"/>
        </w:rPr>
      </w:pPr>
      <w:hyperlink w:anchor="_Toc124416319" w:history="1">
        <w:r w:rsidR="00BE622F" w:rsidRPr="009358CF">
          <w:rPr>
            <w:rStyle w:val="Hyperlink"/>
          </w:rPr>
          <w:t>Regulation 3 Application</w:t>
        </w:r>
        <w:r w:rsidR="00BE622F">
          <w:rPr>
            <w:webHidden/>
          </w:rPr>
          <w:tab/>
        </w:r>
        <w:r w:rsidR="00BE622F">
          <w:rPr>
            <w:webHidden/>
          </w:rPr>
          <w:fldChar w:fldCharType="begin"/>
        </w:r>
        <w:r w:rsidR="00BE622F">
          <w:rPr>
            <w:webHidden/>
          </w:rPr>
          <w:instrText xml:space="preserve"> PAGEREF _Toc124416319 \h </w:instrText>
        </w:r>
        <w:r w:rsidR="00BE622F">
          <w:rPr>
            <w:webHidden/>
          </w:rPr>
        </w:r>
        <w:r w:rsidR="00BE622F">
          <w:rPr>
            <w:webHidden/>
          </w:rPr>
          <w:fldChar w:fldCharType="separate"/>
        </w:r>
        <w:r w:rsidR="00BE622F">
          <w:rPr>
            <w:webHidden/>
          </w:rPr>
          <w:t>16</w:t>
        </w:r>
        <w:r w:rsidR="00BE622F">
          <w:rPr>
            <w:webHidden/>
          </w:rPr>
          <w:fldChar w:fldCharType="end"/>
        </w:r>
      </w:hyperlink>
    </w:p>
    <w:p w14:paraId="65F7E1E6" w14:textId="74233431" w:rsidR="00BE622F" w:rsidRDefault="00E90276">
      <w:pPr>
        <w:pStyle w:val="TOC2"/>
        <w:rPr>
          <w:rFonts w:asciiTheme="minorHAnsi" w:eastAsiaTheme="minorEastAsia" w:hAnsiTheme="minorHAnsi" w:cstheme="minorBidi"/>
          <w:sz w:val="22"/>
          <w:lang w:eastAsia="en-GB" w:bidi="ar-SA"/>
        </w:rPr>
      </w:pPr>
      <w:hyperlink w:anchor="_Toc124416320" w:history="1">
        <w:r w:rsidR="00BE622F" w:rsidRPr="009358CF">
          <w:rPr>
            <w:rStyle w:val="Hyperlink"/>
          </w:rPr>
          <w:t>Regulation 4 Consent for Dismantling or Decommissioning</w:t>
        </w:r>
        <w:r w:rsidR="00BE622F">
          <w:rPr>
            <w:webHidden/>
          </w:rPr>
          <w:tab/>
        </w:r>
        <w:r w:rsidR="00BE622F">
          <w:rPr>
            <w:webHidden/>
          </w:rPr>
          <w:fldChar w:fldCharType="begin"/>
        </w:r>
        <w:r w:rsidR="00BE622F">
          <w:rPr>
            <w:webHidden/>
          </w:rPr>
          <w:instrText xml:space="preserve"> PAGEREF _Toc124416320 \h </w:instrText>
        </w:r>
        <w:r w:rsidR="00BE622F">
          <w:rPr>
            <w:webHidden/>
          </w:rPr>
        </w:r>
        <w:r w:rsidR="00BE622F">
          <w:rPr>
            <w:webHidden/>
          </w:rPr>
          <w:fldChar w:fldCharType="separate"/>
        </w:r>
        <w:r w:rsidR="00BE622F">
          <w:rPr>
            <w:webHidden/>
          </w:rPr>
          <w:t>20</w:t>
        </w:r>
        <w:r w:rsidR="00BE622F">
          <w:rPr>
            <w:webHidden/>
          </w:rPr>
          <w:fldChar w:fldCharType="end"/>
        </w:r>
      </w:hyperlink>
    </w:p>
    <w:p w14:paraId="71A22FCF" w14:textId="3828CD22" w:rsidR="00BE622F" w:rsidRDefault="00E90276">
      <w:pPr>
        <w:pStyle w:val="TOC2"/>
        <w:rPr>
          <w:rFonts w:asciiTheme="minorHAnsi" w:eastAsiaTheme="minorEastAsia" w:hAnsiTheme="minorHAnsi" w:cstheme="minorBidi"/>
          <w:sz w:val="22"/>
          <w:lang w:eastAsia="en-GB" w:bidi="ar-SA"/>
        </w:rPr>
      </w:pPr>
      <w:hyperlink w:anchor="_Toc124416321" w:history="1">
        <w:r w:rsidR="00BE622F" w:rsidRPr="009358CF">
          <w:rPr>
            <w:rStyle w:val="Hyperlink"/>
          </w:rPr>
          <w:t>Regulation 4A Coordination with Other Assessments</w:t>
        </w:r>
        <w:r w:rsidR="00BE622F">
          <w:rPr>
            <w:webHidden/>
          </w:rPr>
          <w:tab/>
        </w:r>
        <w:r w:rsidR="00BE622F">
          <w:rPr>
            <w:webHidden/>
          </w:rPr>
          <w:fldChar w:fldCharType="begin"/>
        </w:r>
        <w:r w:rsidR="00BE622F">
          <w:rPr>
            <w:webHidden/>
          </w:rPr>
          <w:instrText xml:space="preserve"> PAGEREF _Toc124416321 \h </w:instrText>
        </w:r>
        <w:r w:rsidR="00BE622F">
          <w:rPr>
            <w:webHidden/>
          </w:rPr>
        </w:r>
        <w:r w:rsidR="00BE622F">
          <w:rPr>
            <w:webHidden/>
          </w:rPr>
          <w:fldChar w:fldCharType="separate"/>
        </w:r>
        <w:r w:rsidR="00BE622F">
          <w:rPr>
            <w:webHidden/>
          </w:rPr>
          <w:t>20</w:t>
        </w:r>
        <w:r w:rsidR="00BE622F">
          <w:rPr>
            <w:webHidden/>
          </w:rPr>
          <w:fldChar w:fldCharType="end"/>
        </w:r>
      </w:hyperlink>
    </w:p>
    <w:p w14:paraId="761110AE" w14:textId="55B12AE2" w:rsidR="00BE622F" w:rsidRDefault="00E90276">
      <w:pPr>
        <w:pStyle w:val="TOC2"/>
        <w:rPr>
          <w:rFonts w:asciiTheme="minorHAnsi" w:eastAsiaTheme="minorEastAsia" w:hAnsiTheme="minorHAnsi" w:cstheme="minorBidi"/>
          <w:sz w:val="22"/>
          <w:lang w:eastAsia="en-GB" w:bidi="ar-SA"/>
        </w:rPr>
      </w:pPr>
      <w:hyperlink w:anchor="_Toc124416322" w:history="1">
        <w:r w:rsidR="00BE622F" w:rsidRPr="009358CF">
          <w:rPr>
            <w:rStyle w:val="Hyperlink"/>
          </w:rPr>
          <w:t>Regulation 5 Provision of an Environmental Statement</w:t>
        </w:r>
        <w:r w:rsidR="00BE622F">
          <w:rPr>
            <w:webHidden/>
          </w:rPr>
          <w:tab/>
        </w:r>
        <w:r w:rsidR="00BE622F">
          <w:rPr>
            <w:webHidden/>
          </w:rPr>
          <w:fldChar w:fldCharType="begin"/>
        </w:r>
        <w:r w:rsidR="00BE622F">
          <w:rPr>
            <w:webHidden/>
          </w:rPr>
          <w:instrText xml:space="preserve"> PAGEREF _Toc124416322 \h </w:instrText>
        </w:r>
        <w:r w:rsidR="00BE622F">
          <w:rPr>
            <w:webHidden/>
          </w:rPr>
        </w:r>
        <w:r w:rsidR="00BE622F">
          <w:rPr>
            <w:webHidden/>
          </w:rPr>
          <w:fldChar w:fldCharType="separate"/>
        </w:r>
        <w:r w:rsidR="00BE622F">
          <w:rPr>
            <w:webHidden/>
          </w:rPr>
          <w:t>21</w:t>
        </w:r>
        <w:r w:rsidR="00BE622F">
          <w:rPr>
            <w:webHidden/>
          </w:rPr>
          <w:fldChar w:fldCharType="end"/>
        </w:r>
      </w:hyperlink>
    </w:p>
    <w:p w14:paraId="07B9E66A" w14:textId="5A0B73AF" w:rsidR="00BE622F" w:rsidRDefault="00E90276">
      <w:pPr>
        <w:pStyle w:val="TOC2"/>
        <w:rPr>
          <w:rFonts w:asciiTheme="minorHAnsi" w:eastAsiaTheme="minorEastAsia" w:hAnsiTheme="minorHAnsi" w:cstheme="minorBidi"/>
          <w:sz w:val="22"/>
          <w:lang w:eastAsia="en-GB" w:bidi="ar-SA"/>
        </w:rPr>
      </w:pPr>
      <w:hyperlink w:anchor="_Toc124416323" w:history="1">
        <w:r w:rsidR="00BE622F" w:rsidRPr="009358CF">
          <w:rPr>
            <w:rStyle w:val="Hyperlink"/>
          </w:rPr>
          <w:t>Regulation 6 Pre-Application Opinion as to the Content of the Environmental Statement</w:t>
        </w:r>
        <w:r w:rsidR="00BE622F">
          <w:rPr>
            <w:webHidden/>
          </w:rPr>
          <w:tab/>
        </w:r>
        <w:r w:rsidR="00BE622F">
          <w:rPr>
            <w:webHidden/>
          </w:rPr>
          <w:fldChar w:fldCharType="begin"/>
        </w:r>
        <w:r w:rsidR="00BE622F">
          <w:rPr>
            <w:webHidden/>
          </w:rPr>
          <w:instrText xml:space="preserve"> PAGEREF _Toc124416323 \h </w:instrText>
        </w:r>
        <w:r w:rsidR="00BE622F">
          <w:rPr>
            <w:webHidden/>
          </w:rPr>
        </w:r>
        <w:r w:rsidR="00BE622F">
          <w:rPr>
            <w:webHidden/>
          </w:rPr>
          <w:fldChar w:fldCharType="separate"/>
        </w:r>
        <w:r w:rsidR="00BE622F">
          <w:rPr>
            <w:webHidden/>
          </w:rPr>
          <w:t>31</w:t>
        </w:r>
        <w:r w:rsidR="00BE622F">
          <w:rPr>
            <w:webHidden/>
          </w:rPr>
          <w:fldChar w:fldCharType="end"/>
        </w:r>
      </w:hyperlink>
    </w:p>
    <w:p w14:paraId="01C92616" w14:textId="47C4A405" w:rsidR="00BE622F" w:rsidRDefault="00E90276">
      <w:pPr>
        <w:pStyle w:val="TOC2"/>
        <w:rPr>
          <w:rFonts w:asciiTheme="minorHAnsi" w:eastAsiaTheme="minorEastAsia" w:hAnsiTheme="minorHAnsi" w:cstheme="minorBidi"/>
          <w:sz w:val="22"/>
          <w:lang w:eastAsia="en-GB" w:bidi="ar-SA"/>
        </w:rPr>
      </w:pPr>
      <w:hyperlink w:anchor="_Toc124416324" w:history="1">
        <w:r w:rsidR="00BE622F" w:rsidRPr="009358CF">
          <w:rPr>
            <w:rStyle w:val="Hyperlink"/>
          </w:rPr>
          <w:t>Regulation 7 Provision of Information to Licensee</w:t>
        </w:r>
        <w:r w:rsidR="00BE622F">
          <w:rPr>
            <w:webHidden/>
          </w:rPr>
          <w:tab/>
        </w:r>
        <w:r w:rsidR="00BE622F">
          <w:rPr>
            <w:webHidden/>
          </w:rPr>
          <w:fldChar w:fldCharType="begin"/>
        </w:r>
        <w:r w:rsidR="00BE622F">
          <w:rPr>
            <w:webHidden/>
          </w:rPr>
          <w:instrText xml:space="preserve"> PAGEREF _Toc124416324 \h </w:instrText>
        </w:r>
        <w:r w:rsidR="00BE622F">
          <w:rPr>
            <w:webHidden/>
          </w:rPr>
        </w:r>
        <w:r w:rsidR="00BE622F">
          <w:rPr>
            <w:webHidden/>
          </w:rPr>
          <w:fldChar w:fldCharType="separate"/>
        </w:r>
        <w:r w:rsidR="00BE622F">
          <w:rPr>
            <w:webHidden/>
          </w:rPr>
          <w:t>34</w:t>
        </w:r>
        <w:r w:rsidR="00BE622F">
          <w:rPr>
            <w:webHidden/>
          </w:rPr>
          <w:fldChar w:fldCharType="end"/>
        </w:r>
      </w:hyperlink>
    </w:p>
    <w:p w14:paraId="1CC6C89A" w14:textId="358DD05E" w:rsidR="00BE622F" w:rsidRDefault="00E90276">
      <w:pPr>
        <w:pStyle w:val="TOC2"/>
        <w:rPr>
          <w:rFonts w:asciiTheme="minorHAnsi" w:eastAsiaTheme="minorEastAsia" w:hAnsiTheme="minorHAnsi" w:cstheme="minorBidi"/>
          <w:sz w:val="22"/>
          <w:lang w:eastAsia="en-GB" w:bidi="ar-SA"/>
        </w:rPr>
      </w:pPr>
      <w:hyperlink w:anchor="_Toc124416325" w:history="1">
        <w:r w:rsidR="00BE622F" w:rsidRPr="009358CF">
          <w:rPr>
            <w:rStyle w:val="Hyperlink"/>
          </w:rPr>
          <w:t>Regulation 8 Consultation by the ONR</w:t>
        </w:r>
        <w:r w:rsidR="00BE622F">
          <w:rPr>
            <w:webHidden/>
          </w:rPr>
          <w:tab/>
        </w:r>
        <w:r w:rsidR="00BE622F">
          <w:rPr>
            <w:webHidden/>
          </w:rPr>
          <w:fldChar w:fldCharType="begin"/>
        </w:r>
        <w:r w:rsidR="00BE622F">
          <w:rPr>
            <w:webHidden/>
          </w:rPr>
          <w:instrText xml:space="preserve"> PAGEREF _Toc124416325 \h </w:instrText>
        </w:r>
        <w:r w:rsidR="00BE622F">
          <w:rPr>
            <w:webHidden/>
          </w:rPr>
        </w:r>
        <w:r w:rsidR="00BE622F">
          <w:rPr>
            <w:webHidden/>
          </w:rPr>
          <w:fldChar w:fldCharType="separate"/>
        </w:r>
        <w:r w:rsidR="00BE622F">
          <w:rPr>
            <w:webHidden/>
          </w:rPr>
          <w:t>34</w:t>
        </w:r>
        <w:r w:rsidR="00BE622F">
          <w:rPr>
            <w:webHidden/>
          </w:rPr>
          <w:fldChar w:fldCharType="end"/>
        </w:r>
      </w:hyperlink>
    </w:p>
    <w:p w14:paraId="110A6EAD" w14:textId="6B77759B" w:rsidR="00BE622F" w:rsidRDefault="00E90276">
      <w:pPr>
        <w:pStyle w:val="TOC2"/>
        <w:rPr>
          <w:rFonts w:asciiTheme="minorHAnsi" w:eastAsiaTheme="minorEastAsia" w:hAnsiTheme="minorHAnsi" w:cstheme="minorBidi"/>
          <w:sz w:val="22"/>
          <w:lang w:eastAsia="en-GB" w:bidi="ar-SA"/>
        </w:rPr>
      </w:pPr>
      <w:hyperlink w:anchor="_Toc124416326" w:history="1">
        <w:r w:rsidR="00BE622F" w:rsidRPr="009358CF">
          <w:rPr>
            <w:rStyle w:val="Hyperlink"/>
          </w:rPr>
          <w:t>Regulation 9 Publicity</w:t>
        </w:r>
        <w:r w:rsidR="00BE622F">
          <w:rPr>
            <w:webHidden/>
          </w:rPr>
          <w:tab/>
        </w:r>
        <w:r w:rsidR="00BE622F">
          <w:rPr>
            <w:webHidden/>
          </w:rPr>
          <w:fldChar w:fldCharType="begin"/>
        </w:r>
        <w:r w:rsidR="00BE622F">
          <w:rPr>
            <w:webHidden/>
          </w:rPr>
          <w:instrText xml:space="preserve"> PAGEREF _Toc124416326 \h </w:instrText>
        </w:r>
        <w:r w:rsidR="00BE622F">
          <w:rPr>
            <w:webHidden/>
          </w:rPr>
        </w:r>
        <w:r w:rsidR="00BE622F">
          <w:rPr>
            <w:webHidden/>
          </w:rPr>
          <w:fldChar w:fldCharType="separate"/>
        </w:r>
        <w:r w:rsidR="00BE622F">
          <w:rPr>
            <w:webHidden/>
          </w:rPr>
          <w:t>37</w:t>
        </w:r>
        <w:r w:rsidR="00BE622F">
          <w:rPr>
            <w:webHidden/>
          </w:rPr>
          <w:fldChar w:fldCharType="end"/>
        </w:r>
      </w:hyperlink>
    </w:p>
    <w:p w14:paraId="5844AC34" w14:textId="27278606" w:rsidR="00BE622F" w:rsidRDefault="00E90276">
      <w:pPr>
        <w:pStyle w:val="TOC2"/>
        <w:rPr>
          <w:rFonts w:asciiTheme="minorHAnsi" w:eastAsiaTheme="minorEastAsia" w:hAnsiTheme="minorHAnsi" w:cstheme="minorBidi"/>
          <w:sz w:val="22"/>
          <w:lang w:eastAsia="en-GB" w:bidi="ar-SA"/>
        </w:rPr>
      </w:pPr>
      <w:hyperlink w:anchor="_Toc124416327" w:history="1">
        <w:r w:rsidR="00BE622F" w:rsidRPr="009358CF">
          <w:rPr>
            <w:rStyle w:val="Hyperlink"/>
          </w:rPr>
          <w:t>Regulation 9A ONR’s Website</w:t>
        </w:r>
        <w:r w:rsidR="00BE622F">
          <w:rPr>
            <w:webHidden/>
          </w:rPr>
          <w:tab/>
        </w:r>
        <w:r w:rsidR="00BE622F">
          <w:rPr>
            <w:webHidden/>
          </w:rPr>
          <w:fldChar w:fldCharType="begin"/>
        </w:r>
        <w:r w:rsidR="00BE622F">
          <w:rPr>
            <w:webHidden/>
          </w:rPr>
          <w:instrText xml:space="preserve"> PAGEREF _Toc124416327 \h </w:instrText>
        </w:r>
        <w:r w:rsidR="00BE622F">
          <w:rPr>
            <w:webHidden/>
          </w:rPr>
        </w:r>
        <w:r w:rsidR="00BE622F">
          <w:rPr>
            <w:webHidden/>
          </w:rPr>
          <w:fldChar w:fldCharType="separate"/>
        </w:r>
        <w:r w:rsidR="00BE622F">
          <w:rPr>
            <w:webHidden/>
          </w:rPr>
          <w:t>39</w:t>
        </w:r>
        <w:r w:rsidR="00BE622F">
          <w:rPr>
            <w:webHidden/>
          </w:rPr>
          <w:fldChar w:fldCharType="end"/>
        </w:r>
      </w:hyperlink>
    </w:p>
    <w:p w14:paraId="5D8F1A0F" w14:textId="4A0056E6" w:rsidR="00BE622F" w:rsidRDefault="00E90276">
      <w:pPr>
        <w:pStyle w:val="TOC2"/>
        <w:rPr>
          <w:rFonts w:asciiTheme="minorHAnsi" w:eastAsiaTheme="minorEastAsia" w:hAnsiTheme="minorHAnsi" w:cstheme="minorBidi"/>
          <w:sz w:val="22"/>
          <w:lang w:eastAsia="en-GB" w:bidi="ar-SA"/>
        </w:rPr>
      </w:pPr>
      <w:hyperlink w:anchor="_Toc124416328" w:history="1">
        <w:r w:rsidR="00BE622F" w:rsidRPr="009358CF">
          <w:rPr>
            <w:rStyle w:val="Hyperlink"/>
          </w:rPr>
          <w:t>Regulation 10 Further Information: Provision to ONR and Newspaper Publicity</w:t>
        </w:r>
        <w:r w:rsidR="00BE622F">
          <w:rPr>
            <w:webHidden/>
          </w:rPr>
          <w:tab/>
        </w:r>
        <w:r w:rsidR="00BE622F">
          <w:rPr>
            <w:webHidden/>
          </w:rPr>
          <w:fldChar w:fldCharType="begin"/>
        </w:r>
        <w:r w:rsidR="00BE622F">
          <w:rPr>
            <w:webHidden/>
          </w:rPr>
          <w:instrText xml:space="preserve"> PAGEREF _Toc124416328 \h </w:instrText>
        </w:r>
        <w:r w:rsidR="00BE622F">
          <w:rPr>
            <w:webHidden/>
          </w:rPr>
        </w:r>
        <w:r w:rsidR="00BE622F">
          <w:rPr>
            <w:webHidden/>
          </w:rPr>
          <w:fldChar w:fldCharType="separate"/>
        </w:r>
        <w:r w:rsidR="00BE622F">
          <w:rPr>
            <w:webHidden/>
          </w:rPr>
          <w:t>40</w:t>
        </w:r>
        <w:r w:rsidR="00BE622F">
          <w:rPr>
            <w:webHidden/>
          </w:rPr>
          <w:fldChar w:fldCharType="end"/>
        </w:r>
      </w:hyperlink>
    </w:p>
    <w:p w14:paraId="55E7A31D" w14:textId="7FDEC5D6" w:rsidR="00BE622F" w:rsidRDefault="00E90276">
      <w:pPr>
        <w:pStyle w:val="TOC2"/>
        <w:rPr>
          <w:rFonts w:asciiTheme="minorHAnsi" w:eastAsiaTheme="minorEastAsia" w:hAnsiTheme="minorHAnsi" w:cstheme="minorBidi"/>
          <w:sz w:val="22"/>
          <w:lang w:eastAsia="en-GB" w:bidi="ar-SA"/>
        </w:rPr>
      </w:pPr>
      <w:hyperlink w:anchor="_Toc124416329" w:history="1">
        <w:r w:rsidR="00BE622F" w:rsidRPr="009358CF">
          <w:rPr>
            <w:rStyle w:val="Hyperlink"/>
          </w:rPr>
          <w:t>Regulation 10A Further Information: ONR Obligations and Website Publicity</w:t>
        </w:r>
        <w:r w:rsidR="00BE622F">
          <w:rPr>
            <w:webHidden/>
          </w:rPr>
          <w:tab/>
        </w:r>
        <w:r w:rsidR="00BE622F">
          <w:rPr>
            <w:webHidden/>
          </w:rPr>
          <w:fldChar w:fldCharType="begin"/>
        </w:r>
        <w:r w:rsidR="00BE622F">
          <w:rPr>
            <w:webHidden/>
          </w:rPr>
          <w:instrText xml:space="preserve"> PAGEREF _Toc124416329 \h </w:instrText>
        </w:r>
        <w:r w:rsidR="00BE622F">
          <w:rPr>
            <w:webHidden/>
          </w:rPr>
        </w:r>
        <w:r w:rsidR="00BE622F">
          <w:rPr>
            <w:webHidden/>
          </w:rPr>
          <w:fldChar w:fldCharType="separate"/>
        </w:r>
        <w:r w:rsidR="00BE622F">
          <w:rPr>
            <w:webHidden/>
          </w:rPr>
          <w:t>43</w:t>
        </w:r>
        <w:r w:rsidR="00BE622F">
          <w:rPr>
            <w:webHidden/>
          </w:rPr>
          <w:fldChar w:fldCharType="end"/>
        </w:r>
      </w:hyperlink>
    </w:p>
    <w:p w14:paraId="32697E6E" w14:textId="4CDC647B" w:rsidR="00BE622F" w:rsidRDefault="00E90276">
      <w:pPr>
        <w:pStyle w:val="TOC2"/>
        <w:rPr>
          <w:rFonts w:asciiTheme="minorHAnsi" w:eastAsiaTheme="minorEastAsia" w:hAnsiTheme="minorHAnsi" w:cstheme="minorBidi"/>
          <w:sz w:val="22"/>
          <w:lang w:eastAsia="en-GB" w:bidi="ar-SA"/>
        </w:rPr>
      </w:pPr>
      <w:hyperlink w:anchor="_Toc124416330" w:history="1">
        <w:r w:rsidR="00BE622F" w:rsidRPr="009358CF">
          <w:rPr>
            <w:rStyle w:val="Hyperlink"/>
          </w:rPr>
          <w:t>Regulation 10B Conclusion about Environmental Impact</w:t>
        </w:r>
        <w:r w:rsidR="00BE622F">
          <w:rPr>
            <w:webHidden/>
          </w:rPr>
          <w:tab/>
        </w:r>
        <w:r w:rsidR="00BE622F">
          <w:rPr>
            <w:webHidden/>
          </w:rPr>
          <w:fldChar w:fldCharType="begin"/>
        </w:r>
        <w:r w:rsidR="00BE622F">
          <w:rPr>
            <w:webHidden/>
          </w:rPr>
          <w:instrText xml:space="preserve"> PAGEREF _Toc124416330 \h </w:instrText>
        </w:r>
        <w:r w:rsidR="00BE622F">
          <w:rPr>
            <w:webHidden/>
          </w:rPr>
        </w:r>
        <w:r w:rsidR="00BE622F">
          <w:rPr>
            <w:webHidden/>
          </w:rPr>
          <w:fldChar w:fldCharType="separate"/>
        </w:r>
        <w:r w:rsidR="00BE622F">
          <w:rPr>
            <w:webHidden/>
          </w:rPr>
          <w:t>44</w:t>
        </w:r>
        <w:r w:rsidR="00BE622F">
          <w:rPr>
            <w:webHidden/>
          </w:rPr>
          <w:fldChar w:fldCharType="end"/>
        </w:r>
      </w:hyperlink>
    </w:p>
    <w:p w14:paraId="14241536" w14:textId="14E36E8F" w:rsidR="00BE622F" w:rsidRDefault="00E90276">
      <w:pPr>
        <w:pStyle w:val="TOC2"/>
        <w:rPr>
          <w:rFonts w:asciiTheme="minorHAnsi" w:eastAsiaTheme="minorEastAsia" w:hAnsiTheme="minorHAnsi" w:cstheme="minorBidi"/>
          <w:sz w:val="22"/>
          <w:lang w:eastAsia="en-GB" w:bidi="ar-SA"/>
        </w:rPr>
      </w:pPr>
      <w:hyperlink w:anchor="_Toc124416331" w:history="1">
        <w:r w:rsidR="00BE622F" w:rsidRPr="009358CF">
          <w:rPr>
            <w:rStyle w:val="Hyperlink"/>
          </w:rPr>
          <w:t>Regulation 10C Procedure Relating to Consent Decision</w:t>
        </w:r>
        <w:r w:rsidR="00BE622F">
          <w:rPr>
            <w:webHidden/>
          </w:rPr>
          <w:tab/>
        </w:r>
        <w:r w:rsidR="00BE622F">
          <w:rPr>
            <w:webHidden/>
          </w:rPr>
          <w:fldChar w:fldCharType="begin"/>
        </w:r>
        <w:r w:rsidR="00BE622F">
          <w:rPr>
            <w:webHidden/>
          </w:rPr>
          <w:instrText xml:space="preserve"> PAGEREF _Toc124416331 \h </w:instrText>
        </w:r>
        <w:r w:rsidR="00BE622F">
          <w:rPr>
            <w:webHidden/>
          </w:rPr>
        </w:r>
        <w:r w:rsidR="00BE622F">
          <w:rPr>
            <w:webHidden/>
          </w:rPr>
          <w:fldChar w:fldCharType="separate"/>
        </w:r>
        <w:r w:rsidR="00BE622F">
          <w:rPr>
            <w:webHidden/>
          </w:rPr>
          <w:t>45</w:t>
        </w:r>
        <w:r w:rsidR="00BE622F">
          <w:rPr>
            <w:webHidden/>
          </w:rPr>
          <w:fldChar w:fldCharType="end"/>
        </w:r>
      </w:hyperlink>
    </w:p>
    <w:p w14:paraId="474E6486" w14:textId="544B94AE" w:rsidR="00BE622F" w:rsidRDefault="00E90276">
      <w:pPr>
        <w:pStyle w:val="TOC2"/>
        <w:rPr>
          <w:rFonts w:asciiTheme="minorHAnsi" w:eastAsiaTheme="minorEastAsia" w:hAnsiTheme="minorHAnsi" w:cstheme="minorBidi"/>
          <w:sz w:val="22"/>
          <w:lang w:eastAsia="en-GB" w:bidi="ar-SA"/>
        </w:rPr>
      </w:pPr>
      <w:hyperlink w:anchor="_Toc124416332" w:history="1">
        <w:r w:rsidR="00BE622F" w:rsidRPr="009358CF">
          <w:rPr>
            <w:rStyle w:val="Hyperlink"/>
          </w:rPr>
          <w:t>Regulation 11 Information as to Decisions</w:t>
        </w:r>
        <w:r w:rsidR="00BE622F">
          <w:rPr>
            <w:webHidden/>
          </w:rPr>
          <w:tab/>
        </w:r>
        <w:r w:rsidR="00BE622F">
          <w:rPr>
            <w:webHidden/>
          </w:rPr>
          <w:fldChar w:fldCharType="begin"/>
        </w:r>
        <w:r w:rsidR="00BE622F">
          <w:rPr>
            <w:webHidden/>
          </w:rPr>
          <w:instrText xml:space="preserve"> PAGEREF _Toc124416332 \h </w:instrText>
        </w:r>
        <w:r w:rsidR="00BE622F">
          <w:rPr>
            <w:webHidden/>
          </w:rPr>
        </w:r>
        <w:r w:rsidR="00BE622F">
          <w:rPr>
            <w:webHidden/>
          </w:rPr>
          <w:fldChar w:fldCharType="separate"/>
        </w:r>
        <w:r w:rsidR="00BE622F">
          <w:rPr>
            <w:webHidden/>
          </w:rPr>
          <w:t>47</w:t>
        </w:r>
        <w:r w:rsidR="00BE622F">
          <w:rPr>
            <w:webHidden/>
          </w:rPr>
          <w:fldChar w:fldCharType="end"/>
        </w:r>
      </w:hyperlink>
    </w:p>
    <w:p w14:paraId="25735374" w14:textId="7CE85782" w:rsidR="00BE622F" w:rsidRDefault="00E90276">
      <w:pPr>
        <w:pStyle w:val="TOC2"/>
        <w:rPr>
          <w:rFonts w:asciiTheme="minorHAnsi" w:eastAsiaTheme="minorEastAsia" w:hAnsiTheme="minorHAnsi" w:cstheme="minorBidi"/>
          <w:sz w:val="22"/>
          <w:lang w:eastAsia="en-GB" w:bidi="ar-SA"/>
        </w:rPr>
      </w:pPr>
      <w:hyperlink w:anchor="_Toc124416333" w:history="1">
        <w:r w:rsidR="00BE622F" w:rsidRPr="009358CF">
          <w:rPr>
            <w:rStyle w:val="Hyperlink"/>
          </w:rPr>
          <w:t>Regulation 12 Projects Likely to have Significant Effects on the Environment in an EEA State</w:t>
        </w:r>
        <w:r w:rsidR="00BE622F">
          <w:rPr>
            <w:webHidden/>
          </w:rPr>
          <w:tab/>
        </w:r>
        <w:r w:rsidR="00BE622F">
          <w:rPr>
            <w:webHidden/>
          </w:rPr>
          <w:fldChar w:fldCharType="begin"/>
        </w:r>
        <w:r w:rsidR="00BE622F">
          <w:rPr>
            <w:webHidden/>
          </w:rPr>
          <w:instrText xml:space="preserve"> PAGEREF _Toc124416333 \h </w:instrText>
        </w:r>
        <w:r w:rsidR="00BE622F">
          <w:rPr>
            <w:webHidden/>
          </w:rPr>
        </w:r>
        <w:r w:rsidR="00BE622F">
          <w:rPr>
            <w:webHidden/>
          </w:rPr>
          <w:fldChar w:fldCharType="separate"/>
        </w:r>
        <w:r w:rsidR="00BE622F">
          <w:rPr>
            <w:webHidden/>
          </w:rPr>
          <w:t>49</w:t>
        </w:r>
        <w:r w:rsidR="00BE622F">
          <w:rPr>
            <w:webHidden/>
          </w:rPr>
          <w:fldChar w:fldCharType="end"/>
        </w:r>
      </w:hyperlink>
    </w:p>
    <w:p w14:paraId="54555CC2" w14:textId="569C0955" w:rsidR="00BE622F" w:rsidRDefault="00E90276">
      <w:pPr>
        <w:pStyle w:val="TOC2"/>
        <w:rPr>
          <w:rFonts w:asciiTheme="minorHAnsi" w:eastAsiaTheme="minorEastAsia" w:hAnsiTheme="minorHAnsi" w:cstheme="minorBidi"/>
          <w:sz w:val="22"/>
          <w:lang w:eastAsia="en-GB" w:bidi="ar-SA"/>
        </w:rPr>
      </w:pPr>
      <w:hyperlink w:anchor="_Toc124416334" w:history="1">
        <w:r w:rsidR="00BE622F" w:rsidRPr="009358CF">
          <w:rPr>
            <w:rStyle w:val="Hyperlink"/>
          </w:rPr>
          <w:t>Regulation 13 Change or Extension of Project</w:t>
        </w:r>
        <w:r w:rsidR="00BE622F">
          <w:rPr>
            <w:webHidden/>
          </w:rPr>
          <w:tab/>
        </w:r>
        <w:r w:rsidR="00BE622F">
          <w:rPr>
            <w:webHidden/>
          </w:rPr>
          <w:fldChar w:fldCharType="begin"/>
        </w:r>
        <w:r w:rsidR="00BE622F">
          <w:rPr>
            <w:webHidden/>
          </w:rPr>
          <w:instrText xml:space="preserve"> PAGEREF _Toc124416334 \h </w:instrText>
        </w:r>
        <w:r w:rsidR="00BE622F">
          <w:rPr>
            <w:webHidden/>
          </w:rPr>
        </w:r>
        <w:r w:rsidR="00BE622F">
          <w:rPr>
            <w:webHidden/>
          </w:rPr>
          <w:fldChar w:fldCharType="separate"/>
        </w:r>
        <w:r w:rsidR="00BE622F">
          <w:rPr>
            <w:webHidden/>
          </w:rPr>
          <w:t>52</w:t>
        </w:r>
        <w:r w:rsidR="00BE622F">
          <w:rPr>
            <w:webHidden/>
          </w:rPr>
          <w:fldChar w:fldCharType="end"/>
        </w:r>
      </w:hyperlink>
    </w:p>
    <w:p w14:paraId="69D47396" w14:textId="42FC7C15" w:rsidR="00BE622F" w:rsidRDefault="00E90276">
      <w:pPr>
        <w:pStyle w:val="TOC2"/>
        <w:rPr>
          <w:rFonts w:asciiTheme="minorHAnsi" w:eastAsiaTheme="minorEastAsia" w:hAnsiTheme="minorHAnsi" w:cstheme="minorBidi"/>
          <w:sz w:val="22"/>
          <w:lang w:eastAsia="en-GB" w:bidi="ar-SA"/>
        </w:rPr>
      </w:pPr>
      <w:hyperlink w:anchor="_Toc124416335" w:history="1">
        <w:r w:rsidR="00BE622F" w:rsidRPr="009358CF">
          <w:rPr>
            <w:rStyle w:val="Hyperlink"/>
          </w:rPr>
          <w:t>Regulation 14 Limitation on Disclosure</w:t>
        </w:r>
        <w:r w:rsidR="00BE622F">
          <w:rPr>
            <w:webHidden/>
          </w:rPr>
          <w:tab/>
        </w:r>
        <w:r w:rsidR="00BE622F">
          <w:rPr>
            <w:webHidden/>
          </w:rPr>
          <w:fldChar w:fldCharType="begin"/>
        </w:r>
        <w:r w:rsidR="00BE622F">
          <w:rPr>
            <w:webHidden/>
          </w:rPr>
          <w:instrText xml:space="preserve"> PAGEREF _Toc124416335 \h </w:instrText>
        </w:r>
        <w:r w:rsidR="00BE622F">
          <w:rPr>
            <w:webHidden/>
          </w:rPr>
        </w:r>
        <w:r w:rsidR="00BE622F">
          <w:rPr>
            <w:webHidden/>
          </w:rPr>
          <w:fldChar w:fldCharType="separate"/>
        </w:r>
        <w:r w:rsidR="00BE622F">
          <w:rPr>
            <w:webHidden/>
          </w:rPr>
          <w:t>60</w:t>
        </w:r>
        <w:r w:rsidR="00BE622F">
          <w:rPr>
            <w:webHidden/>
          </w:rPr>
          <w:fldChar w:fldCharType="end"/>
        </w:r>
      </w:hyperlink>
    </w:p>
    <w:p w14:paraId="16633E07" w14:textId="59CC54CB" w:rsidR="00BE622F" w:rsidRDefault="00E90276">
      <w:pPr>
        <w:pStyle w:val="TOC2"/>
        <w:rPr>
          <w:rFonts w:asciiTheme="minorHAnsi" w:eastAsiaTheme="minorEastAsia" w:hAnsiTheme="minorHAnsi" w:cstheme="minorBidi"/>
          <w:sz w:val="22"/>
          <w:lang w:eastAsia="en-GB" w:bidi="ar-SA"/>
        </w:rPr>
      </w:pPr>
      <w:hyperlink w:anchor="_Toc124416336" w:history="1">
        <w:r w:rsidR="00BE622F" w:rsidRPr="009358CF">
          <w:rPr>
            <w:rStyle w:val="Hyperlink"/>
          </w:rPr>
          <w:t>Regulation 15 Recovery of Expenses by the ONR</w:t>
        </w:r>
        <w:r w:rsidR="00BE622F">
          <w:rPr>
            <w:webHidden/>
          </w:rPr>
          <w:tab/>
        </w:r>
        <w:r w:rsidR="00BE622F">
          <w:rPr>
            <w:webHidden/>
          </w:rPr>
          <w:fldChar w:fldCharType="begin"/>
        </w:r>
        <w:r w:rsidR="00BE622F">
          <w:rPr>
            <w:webHidden/>
          </w:rPr>
          <w:instrText xml:space="preserve"> PAGEREF _Toc124416336 \h </w:instrText>
        </w:r>
        <w:r w:rsidR="00BE622F">
          <w:rPr>
            <w:webHidden/>
          </w:rPr>
        </w:r>
        <w:r w:rsidR="00BE622F">
          <w:rPr>
            <w:webHidden/>
          </w:rPr>
          <w:fldChar w:fldCharType="separate"/>
        </w:r>
        <w:r w:rsidR="00BE622F">
          <w:rPr>
            <w:webHidden/>
          </w:rPr>
          <w:t>60</w:t>
        </w:r>
        <w:r w:rsidR="00BE622F">
          <w:rPr>
            <w:webHidden/>
          </w:rPr>
          <w:fldChar w:fldCharType="end"/>
        </w:r>
      </w:hyperlink>
    </w:p>
    <w:p w14:paraId="784F41AB" w14:textId="307854DD" w:rsidR="00BE622F" w:rsidRDefault="00E90276">
      <w:pPr>
        <w:pStyle w:val="TOC2"/>
        <w:rPr>
          <w:rFonts w:asciiTheme="minorHAnsi" w:eastAsiaTheme="minorEastAsia" w:hAnsiTheme="minorHAnsi" w:cstheme="minorBidi"/>
          <w:sz w:val="22"/>
          <w:lang w:eastAsia="en-GB" w:bidi="ar-SA"/>
        </w:rPr>
      </w:pPr>
      <w:hyperlink w:anchor="_Toc124416337" w:history="1">
        <w:r w:rsidR="00BE622F" w:rsidRPr="009358CF">
          <w:rPr>
            <w:rStyle w:val="Hyperlink"/>
          </w:rPr>
          <w:t>Regulation 16 Enforcement</w:t>
        </w:r>
        <w:r w:rsidR="00BE622F">
          <w:rPr>
            <w:webHidden/>
          </w:rPr>
          <w:tab/>
        </w:r>
        <w:r w:rsidR="00BE622F">
          <w:rPr>
            <w:webHidden/>
          </w:rPr>
          <w:fldChar w:fldCharType="begin"/>
        </w:r>
        <w:r w:rsidR="00BE622F">
          <w:rPr>
            <w:webHidden/>
          </w:rPr>
          <w:instrText xml:space="preserve"> PAGEREF _Toc124416337 \h </w:instrText>
        </w:r>
        <w:r w:rsidR="00BE622F">
          <w:rPr>
            <w:webHidden/>
          </w:rPr>
        </w:r>
        <w:r w:rsidR="00BE622F">
          <w:rPr>
            <w:webHidden/>
          </w:rPr>
          <w:fldChar w:fldCharType="separate"/>
        </w:r>
        <w:r w:rsidR="00BE622F">
          <w:rPr>
            <w:webHidden/>
          </w:rPr>
          <w:t>61</w:t>
        </w:r>
        <w:r w:rsidR="00BE622F">
          <w:rPr>
            <w:webHidden/>
          </w:rPr>
          <w:fldChar w:fldCharType="end"/>
        </w:r>
      </w:hyperlink>
    </w:p>
    <w:p w14:paraId="139746FE" w14:textId="651C646A" w:rsidR="00BE622F" w:rsidRDefault="00E90276">
      <w:pPr>
        <w:pStyle w:val="TOC2"/>
        <w:rPr>
          <w:rFonts w:asciiTheme="minorHAnsi" w:eastAsiaTheme="minorEastAsia" w:hAnsiTheme="minorHAnsi" w:cstheme="minorBidi"/>
          <w:sz w:val="22"/>
          <w:lang w:eastAsia="en-GB" w:bidi="ar-SA"/>
        </w:rPr>
      </w:pPr>
      <w:hyperlink w:anchor="_Toc124416338" w:history="1">
        <w:r w:rsidR="00BE622F" w:rsidRPr="009358CF">
          <w:rPr>
            <w:rStyle w:val="Hyperlink"/>
          </w:rPr>
          <w:t>Schedule 1</w:t>
        </w:r>
        <w:r w:rsidR="00BE622F">
          <w:rPr>
            <w:webHidden/>
          </w:rPr>
          <w:tab/>
        </w:r>
        <w:r w:rsidR="00BE622F">
          <w:rPr>
            <w:webHidden/>
          </w:rPr>
          <w:fldChar w:fldCharType="begin"/>
        </w:r>
        <w:r w:rsidR="00BE622F">
          <w:rPr>
            <w:webHidden/>
          </w:rPr>
          <w:instrText xml:space="preserve"> PAGEREF _Toc124416338 \h </w:instrText>
        </w:r>
        <w:r w:rsidR="00BE622F">
          <w:rPr>
            <w:webHidden/>
          </w:rPr>
        </w:r>
        <w:r w:rsidR="00BE622F">
          <w:rPr>
            <w:webHidden/>
          </w:rPr>
          <w:fldChar w:fldCharType="separate"/>
        </w:r>
        <w:r w:rsidR="00BE622F">
          <w:rPr>
            <w:webHidden/>
          </w:rPr>
          <w:t>63</w:t>
        </w:r>
        <w:r w:rsidR="00BE622F">
          <w:rPr>
            <w:webHidden/>
          </w:rPr>
          <w:fldChar w:fldCharType="end"/>
        </w:r>
      </w:hyperlink>
    </w:p>
    <w:p w14:paraId="2D8B3A25" w14:textId="3DACB4A9" w:rsidR="00BE622F" w:rsidRDefault="00E90276">
      <w:pPr>
        <w:pStyle w:val="TOC2"/>
        <w:rPr>
          <w:rFonts w:asciiTheme="minorHAnsi" w:eastAsiaTheme="minorEastAsia" w:hAnsiTheme="minorHAnsi" w:cstheme="minorBidi"/>
          <w:sz w:val="22"/>
          <w:lang w:eastAsia="en-GB" w:bidi="ar-SA"/>
        </w:rPr>
      </w:pPr>
      <w:hyperlink w:anchor="_Toc124416339" w:history="1">
        <w:r w:rsidR="00BE622F" w:rsidRPr="009358CF">
          <w:rPr>
            <w:rStyle w:val="Hyperlink"/>
          </w:rPr>
          <w:t>Schedule 2</w:t>
        </w:r>
        <w:r w:rsidR="00BE622F">
          <w:rPr>
            <w:webHidden/>
          </w:rPr>
          <w:tab/>
        </w:r>
        <w:r w:rsidR="00BE622F">
          <w:rPr>
            <w:webHidden/>
          </w:rPr>
          <w:fldChar w:fldCharType="begin"/>
        </w:r>
        <w:r w:rsidR="00BE622F">
          <w:rPr>
            <w:webHidden/>
          </w:rPr>
          <w:instrText xml:space="preserve"> PAGEREF _Toc124416339 \h </w:instrText>
        </w:r>
        <w:r w:rsidR="00BE622F">
          <w:rPr>
            <w:webHidden/>
          </w:rPr>
        </w:r>
        <w:r w:rsidR="00BE622F">
          <w:rPr>
            <w:webHidden/>
          </w:rPr>
          <w:fldChar w:fldCharType="separate"/>
        </w:r>
        <w:r w:rsidR="00BE622F">
          <w:rPr>
            <w:webHidden/>
          </w:rPr>
          <w:t>66</w:t>
        </w:r>
        <w:r w:rsidR="00BE622F">
          <w:rPr>
            <w:webHidden/>
          </w:rPr>
          <w:fldChar w:fldCharType="end"/>
        </w:r>
      </w:hyperlink>
    </w:p>
    <w:p w14:paraId="514255F0" w14:textId="4555B826" w:rsidR="00BE622F" w:rsidRDefault="00E90276">
      <w:pPr>
        <w:pStyle w:val="TOC2"/>
        <w:rPr>
          <w:rFonts w:asciiTheme="minorHAnsi" w:eastAsiaTheme="minorEastAsia" w:hAnsiTheme="minorHAnsi" w:cstheme="minorBidi"/>
          <w:sz w:val="22"/>
          <w:lang w:eastAsia="en-GB" w:bidi="ar-SA"/>
        </w:rPr>
      </w:pPr>
      <w:hyperlink w:anchor="_Toc124416340" w:history="1">
        <w:r w:rsidR="00BE622F" w:rsidRPr="009358CF">
          <w:rPr>
            <w:rStyle w:val="Hyperlink"/>
          </w:rPr>
          <w:t>Schedule 3</w:t>
        </w:r>
        <w:r w:rsidR="00BE622F">
          <w:rPr>
            <w:webHidden/>
          </w:rPr>
          <w:tab/>
        </w:r>
        <w:r w:rsidR="00BE622F">
          <w:rPr>
            <w:webHidden/>
          </w:rPr>
          <w:fldChar w:fldCharType="begin"/>
        </w:r>
        <w:r w:rsidR="00BE622F">
          <w:rPr>
            <w:webHidden/>
          </w:rPr>
          <w:instrText xml:space="preserve"> PAGEREF _Toc124416340 \h </w:instrText>
        </w:r>
        <w:r w:rsidR="00BE622F">
          <w:rPr>
            <w:webHidden/>
          </w:rPr>
        </w:r>
        <w:r w:rsidR="00BE622F">
          <w:rPr>
            <w:webHidden/>
          </w:rPr>
          <w:fldChar w:fldCharType="separate"/>
        </w:r>
        <w:r w:rsidR="00BE622F">
          <w:rPr>
            <w:webHidden/>
          </w:rPr>
          <w:t>68</w:t>
        </w:r>
        <w:r w:rsidR="00BE622F">
          <w:rPr>
            <w:webHidden/>
          </w:rPr>
          <w:fldChar w:fldCharType="end"/>
        </w:r>
      </w:hyperlink>
    </w:p>
    <w:p w14:paraId="78E7B060" w14:textId="079140BF" w:rsidR="00BE622F" w:rsidRDefault="00E90276">
      <w:pPr>
        <w:pStyle w:val="TOC2"/>
        <w:rPr>
          <w:rFonts w:asciiTheme="minorHAnsi" w:eastAsiaTheme="minorEastAsia" w:hAnsiTheme="minorHAnsi" w:cstheme="minorBidi"/>
          <w:sz w:val="22"/>
          <w:lang w:eastAsia="en-GB" w:bidi="ar-SA"/>
        </w:rPr>
      </w:pPr>
      <w:hyperlink w:anchor="_Toc124416341" w:history="1">
        <w:r w:rsidR="00BE622F" w:rsidRPr="009358CF">
          <w:rPr>
            <w:rStyle w:val="Hyperlink"/>
          </w:rPr>
          <w:t>Amendment to the Town and Country Planning (Environmental Impact Assessment) Regulations 2017</w:t>
        </w:r>
        <w:r w:rsidR="00BE622F">
          <w:rPr>
            <w:webHidden/>
          </w:rPr>
          <w:tab/>
        </w:r>
        <w:r w:rsidR="00BE622F">
          <w:rPr>
            <w:webHidden/>
          </w:rPr>
          <w:fldChar w:fldCharType="begin"/>
        </w:r>
        <w:r w:rsidR="00BE622F">
          <w:rPr>
            <w:webHidden/>
          </w:rPr>
          <w:instrText xml:space="preserve"> PAGEREF _Toc124416341 \h </w:instrText>
        </w:r>
        <w:r w:rsidR="00BE622F">
          <w:rPr>
            <w:webHidden/>
          </w:rPr>
        </w:r>
        <w:r w:rsidR="00BE622F">
          <w:rPr>
            <w:webHidden/>
          </w:rPr>
          <w:fldChar w:fldCharType="separate"/>
        </w:r>
        <w:r w:rsidR="00BE622F">
          <w:rPr>
            <w:webHidden/>
          </w:rPr>
          <w:t>69</w:t>
        </w:r>
        <w:r w:rsidR="00BE622F">
          <w:rPr>
            <w:webHidden/>
          </w:rPr>
          <w:fldChar w:fldCharType="end"/>
        </w:r>
      </w:hyperlink>
    </w:p>
    <w:p w14:paraId="6B664B0F" w14:textId="56794542" w:rsidR="00BE622F" w:rsidRDefault="00E90276">
      <w:pPr>
        <w:pStyle w:val="TOC2"/>
        <w:rPr>
          <w:rFonts w:asciiTheme="minorHAnsi" w:eastAsiaTheme="minorEastAsia" w:hAnsiTheme="minorHAnsi" w:cstheme="minorBidi"/>
          <w:sz w:val="22"/>
          <w:lang w:eastAsia="en-GB" w:bidi="ar-SA"/>
        </w:rPr>
      </w:pPr>
      <w:hyperlink w:anchor="_Toc124416342" w:history="1">
        <w:r w:rsidR="00BE622F" w:rsidRPr="009358CF">
          <w:rPr>
            <w:rStyle w:val="Hyperlink"/>
          </w:rPr>
          <w:t>Amendment to the Infrastructure Planning (Environmental Impact Assessment) Regulations 2017</w:t>
        </w:r>
        <w:r w:rsidR="00BE622F">
          <w:rPr>
            <w:webHidden/>
          </w:rPr>
          <w:tab/>
        </w:r>
        <w:r w:rsidR="00BE622F">
          <w:rPr>
            <w:webHidden/>
          </w:rPr>
          <w:fldChar w:fldCharType="begin"/>
        </w:r>
        <w:r w:rsidR="00BE622F">
          <w:rPr>
            <w:webHidden/>
          </w:rPr>
          <w:instrText xml:space="preserve"> PAGEREF _Toc124416342 \h </w:instrText>
        </w:r>
        <w:r w:rsidR="00BE622F">
          <w:rPr>
            <w:webHidden/>
          </w:rPr>
        </w:r>
        <w:r w:rsidR="00BE622F">
          <w:rPr>
            <w:webHidden/>
          </w:rPr>
          <w:fldChar w:fldCharType="separate"/>
        </w:r>
        <w:r w:rsidR="00BE622F">
          <w:rPr>
            <w:webHidden/>
          </w:rPr>
          <w:t>69</w:t>
        </w:r>
        <w:r w:rsidR="00BE622F">
          <w:rPr>
            <w:webHidden/>
          </w:rPr>
          <w:fldChar w:fldCharType="end"/>
        </w:r>
      </w:hyperlink>
    </w:p>
    <w:p w14:paraId="4E5A65C6" w14:textId="0AB44720" w:rsidR="00BE622F" w:rsidRDefault="00E90276">
      <w:pPr>
        <w:pStyle w:val="TOC1"/>
        <w:rPr>
          <w:rFonts w:asciiTheme="minorHAnsi" w:eastAsiaTheme="minorEastAsia" w:hAnsiTheme="minorHAnsi" w:cstheme="minorBidi"/>
          <w:sz w:val="22"/>
          <w:lang w:eastAsia="en-GB" w:bidi="ar-SA"/>
        </w:rPr>
      </w:pPr>
      <w:hyperlink w:anchor="_Toc124416343" w:history="1">
        <w:r w:rsidR="00BE622F" w:rsidRPr="009358CF">
          <w:rPr>
            <w:rStyle w:val="Hyperlink"/>
          </w:rPr>
          <w:t>Appendix 1 – EIADR Process Flowchart</w:t>
        </w:r>
        <w:r w:rsidR="00BE622F">
          <w:rPr>
            <w:webHidden/>
          </w:rPr>
          <w:tab/>
        </w:r>
        <w:r w:rsidR="00BE622F">
          <w:rPr>
            <w:webHidden/>
          </w:rPr>
          <w:fldChar w:fldCharType="begin"/>
        </w:r>
        <w:r w:rsidR="00BE622F">
          <w:rPr>
            <w:webHidden/>
          </w:rPr>
          <w:instrText xml:space="preserve"> PAGEREF _Toc124416343 \h </w:instrText>
        </w:r>
        <w:r w:rsidR="00BE622F">
          <w:rPr>
            <w:webHidden/>
          </w:rPr>
        </w:r>
        <w:r w:rsidR="00BE622F">
          <w:rPr>
            <w:webHidden/>
          </w:rPr>
          <w:fldChar w:fldCharType="separate"/>
        </w:r>
        <w:r w:rsidR="00BE622F">
          <w:rPr>
            <w:webHidden/>
          </w:rPr>
          <w:t>70</w:t>
        </w:r>
        <w:r w:rsidR="00BE622F">
          <w:rPr>
            <w:webHidden/>
          </w:rPr>
          <w:fldChar w:fldCharType="end"/>
        </w:r>
      </w:hyperlink>
    </w:p>
    <w:p w14:paraId="7CFF4959" w14:textId="71F05308" w:rsidR="00BE622F" w:rsidRDefault="00E90276">
      <w:pPr>
        <w:pStyle w:val="TOC1"/>
        <w:rPr>
          <w:rFonts w:asciiTheme="minorHAnsi" w:eastAsiaTheme="minorEastAsia" w:hAnsiTheme="minorHAnsi" w:cstheme="minorBidi"/>
          <w:sz w:val="22"/>
          <w:lang w:eastAsia="en-GB" w:bidi="ar-SA"/>
        </w:rPr>
      </w:pPr>
      <w:hyperlink w:anchor="_Toc124416344" w:history="1">
        <w:r w:rsidR="00BE622F" w:rsidRPr="009358CF">
          <w:rPr>
            <w:rStyle w:val="Hyperlink"/>
          </w:rPr>
          <w:t>Appendix 2 – Interfaces</w:t>
        </w:r>
        <w:r w:rsidR="00BE622F">
          <w:rPr>
            <w:webHidden/>
          </w:rPr>
          <w:tab/>
        </w:r>
        <w:r w:rsidR="00BE622F">
          <w:rPr>
            <w:webHidden/>
          </w:rPr>
          <w:fldChar w:fldCharType="begin"/>
        </w:r>
        <w:r w:rsidR="00BE622F">
          <w:rPr>
            <w:webHidden/>
          </w:rPr>
          <w:instrText xml:space="preserve"> PAGEREF _Toc124416344 \h </w:instrText>
        </w:r>
        <w:r w:rsidR="00BE622F">
          <w:rPr>
            <w:webHidden/>
          </w:rPr>
        </w:r>
        <w:r w:rsidR="00BE622F">
          <w:rPr>
            <w:webHidden/>
          </w:rPr>
          <w:fldChar w:fldCharType="separate"/>
        </w:r>
        <w:r w:rsidR="00BE622F">
          <w:rPr>
            <w:webHidden/>
          </w:rPr>
          <w:t>71</w:t>
        </w:r>
        <w:r w:rsidR="00BE622F">
          <w:rPr>
            <w:webHidden/>
          </w:rPr>
          <w:fldChar w:fldCharType="end"/>
        </w:r>
      </w:hyperlink>
    </w:p>
    <w:p w14:paraId="68ADD52A" w14:textId="0E80A4F0" w:rsidR="00BE622F" w:rsidRDefault="00E90276">
      <w:pPr>
        <w:pStyle w:val="TOC2"/>
        <w:rPr>
          <w:rFonts w:asciiTheme="minorHAnsi" w:eastAsiaTheme="minorEastAsia" w:hAnsiTheme="minorHAnsi" w:cstheme="minorBidi"/>
          <w:sz w:val="22"/>
          <w:lang w:eastAsia="en-GB" w:bidi="ar-SA"/>
        </w:rPr>
      </w:pPr>
      <w:hyperlink w:anchor="_Toc124416345" w:history="1">
        <w:r w:rsidR="00BE622F" w:rsidRPr="009358CF">
          <w:rPr>
            <w:rStyle w:val="Hyperlink"/>
          </w:rPr>
          <w:t>Interfaces with Town and Country Planning</w:t>
        </w:r>
        <w:r w:rsidR="00BE622F">
          <w:rPr>
            <w:webHidden/>
          </w:rPr>
          <w:tab/>
        </w:r>
        <w:r w:rsidR="00BE622F">
          <w:rPr>
            <w:webHidden/>
          </w:rPr>
          <w:fldChar w:fldCharType="begin"/>
        </w:r>
        <w:r w:rsidR="00BE622F">
          <w:rPr>
            <w:webHidden/>
          </w:rPr>
          <w:instrText xml:space="preserve"> PAGEREF _Toc124416345 \h </w:instrText>
        </w:r>
        <w:r w:rsidR="00BE622F">
          <w:rPr>
            <w:webHidden/>
          </w:rPr>
        </w:r>
        <w:r w:rsidR="00BE622F">
          <w:rPr>
            <w:webHidden/>
          </w:rPr>
          <w:fldChar w:fldCharType="separate"/>
        </w:r>
        <w:r w:rsidR="00BE622F">
          <w:rPr>
            <w:webHidden/>
          </w:rPr>
          <w:t>71</w:t>
        </w:r>
        <w:r w:rsidR="00BE622F">
          <w:rPr>
            <w:webHidden/>
          </w:rPr>
          <w:fldChar w:fldCharType="end"/>
        </w:r>
      </w:hyperlink>
    </w:p>
    <w:p w14:paraId="6FD79395" w14:textId="3022449C" w:rsidR="00BE622F" w:rsidRDefault="00E90276">
      <w:pPr>
        <w:pStyle w:val="TOC2"/>
        <w:rPr>
          <w:rFonts w:asciiTheme="minorHAnsi" w:eastAsiaTheme="minorEastAsia" w:hAnsiTheme="minorHAnsi" w:cstheme="minorBidi"/>
          <w:sz w:val="22"/>
          <w:lang w:eastAsia="en-GB" w:bidi="ar-SA"/>
        </w:rPr>
      </w:pPr>
      <w:hyperlink w:anchor="_Toc124416346" w:history="1">
        <w:r w:rsidR="00BE622F" w:rsidRPr="009358CF">
          <w:rPr>
            <w:rStyle w:val="Hyperlink"/>
          </w:rPr>
          <w:t>Interfaces with security, health, safety and environment legislation</w:t>
        </w:r>
        <w:r w:rsidR="00BE622F">
          <w:rPr>
            <w:webHidden/>
          </w:rPr>
          <w:tab/>
        </w:r>
        <w:r w:rsidR="00BE622F">
          <w:rPr>
            <w:webHidden/>
          </w:rPr>
          <w:fldChar w:fldCharType="begin"/>
        </w:r>
        <w:r w:rsidR="00BE622F">
          <w:rPr>
            <w:webHidden/>
          </w:rPr>
          <w:instrText xml:space="preserve"> PAGEREF _Toc124416346 \h </w:instrText>
        </w:r>
        <w:r w:rsidR="00BE622F">
          <w:rPr>
            <w:webHidden/>
          </w:rPr>
        </w:r>
        <w:r w:rsidR="00BE622F">
          <w:rPr>
            <w:webHidden/>
          </w:rPr>
          <w:fldChar w:fldCharType="separate"/>
        </w:r>
        <w:r w:rsidR="00BE622F">
          <w:rPr>
            <w:webHidden/>
          </w:rPr>
          <w:t>71</w:t>
        </w:r>
        <w:r w:rsidR="00BE622F">
          <w:rPr>
            <w:webHidden/>
          </w:rPr>
          <w:fldChar w:fldCharType="end"/>
        </w:r>
      </w:hyperlink>
    </w:p>
    <w:p w14:paraId="3C45A77A" w14:textId="20555975" w:rsidR="00BE622F" w:rsidRDefault="00E90276">
      <w:pPr>
        <w:pStyle w:val="TOC2"/>
        <w:rPr>
          <w:rFonts w:asciiTheme="minorHAnsi" w:eastAsiaTheme="minorEastAsia" w:hAnsiTheme="minorHAnsi" w:cstheme="minorBidi"/>
          <w:sz w:val="22"/>
          <w:lang w:eastAsia="en-GB" w:bidi="ar-SA"/>
        </w:rPr>
      </w:pPr>
      <w:hyperlink w:anchor="_Toc124416347" w:history="1">
        <w:r w:rsidR="00BE622F" w:rsidRPr="009358CF">
          <w:rPr>
            <w:rStyle w:val="Hyperlink"/>
          </w:rPr>
          <w:t>Treatment of wastes</w:t>
        </w:r>
        <w:r w:rsidR="00BE622F">
          <w:rPr>
            <w:webHidden/>
          </w:rPr>
          <w:tab/>
        </w:r>
        <w:r w:rsidR="00BE622F">
          <w:rPr>
            <w:webHidden/>
          </w:rPr>
          <w:fldChar w:fldCharType="begin"/>
        </w:r>
        <w:r w:rsidR="00BE622F">
          <w:rPr>
            <w:webHidden/>
          </w:rPr>
          <w:instrText xml:space="preserve"> PAGEREF _Toc124416347 \h </w:instrText>
        </w:r>
        <w:r w:rsidR="00BE622F">
          <w:rPr>
            <w:webHidden/>
          </w:rPr>
        </w:r>
        <w:r w:rsidR="00BE622F">
          <w:rPr>
            <w:webHidden/>
          </w:rPr>
          <w:fldChar w:fldCharType="separate"/>
        </w:r>
        <w:r w:rsidR="00BE622F">
          <w:rPr>
            <w:webHidden/>
          </w:rPr>
          <w:t>73</w:t>
        </w:r>
        <w:r w:rsidR="00BE622F">
          <w:rPr>
            <w:webHidden/>
          </w:rPr>
          <w:fldChar w:fldCharType="end"/>
        </w:r>
      </w:hyperlink>
    </w:p>
    <w:p w14:paraId="5736BFF9" w14:textId="7B45501D" w:rsidR="00BE622F" w:rsidRDefault="00E90276">
      <w:pPr>
        <w:pStyle w:val="TOC2"/>
        <w:rPr>
          <w:rFonts w:asciiTheme="minorHAnsi" w:eastAsiaTheme="minorEastAsia" w:hAnsiTheme="minorHAnsi" w:cstheme="minorBidi"/>
          <w:sz w:val="22"/>
          <w:lang w:eastAsia="en-GB" w:bidi="ar-SA"/>
        </w:rPr>
      </w:pPr>
      <w:hyperlink w:anchor="_Toc124416348" w:history="1">
        <w:r w:rsidR="00BE622F" w:rsidRPr="009358CF">
          <w:rPr>
            <w:rStyle w:val="Hyperlink"/>
          </w:rPr>
          <w:t>Government policy on radioactive waste management</w:t>
        </w:r>
        <w:r w:rsidR="00BE622F">
          <w:rPr>
            <w:webHidden/>
          </w:rPr>
          <w:tab/>
        </w:r>
        <w:r w:rsidR="00BE622F">
          <w:rPr>
            <w:webHidden/>
          </w:rPr>
          <w:fldChar w:fldCharType="begin"/>
        </w:r>
        <w:r w:rsidR="00BE622F">
          <w:rPr>
            <w:webHidden/>
          </w:rPr>
          <w:instrText xml:space="preserve"> PAGEREF _Toc124416348 \h </w:instrText>
        </w:r>
        <w:r w:rsidR="00BE622F">
          <w:rPr>
            <w:webHidden/>
          </w:rPr>
        </w:r>
        <w:r w:rsidR="00BE622F">
          <w:rPr>
            <w:webHidden/>
          </w:rPr>
          <w:fldChar w:fldCharType="separate"/>
        </w:r>
        <w:r w:rsidR="00BE622F">
          <w:rPr>
            <w:webHidden/>
          </w:rPr>
          <w:t>73</w:t>
        </w:r>
        <w:r w:rsidR="00BE622F">
          <w:rPr>
            <w:webHidden/>
          </w:rPr>
          <w:fldChar w:fldCharType="end"/>
        </w:r>
      </w:hyperlink>
    </w:p>
    <w:p w14:paraId="6A6F8653" w14:textId="012A873E" w:rsidR="00BE622F" w:rsidRDefault="00E90276">
      <w:pPr>
        <w:pStyle w:val="TOC2"/>
        <w:rPr>
          <w:rFonts w:asciiTheme="minorHAnsi" w:eastAsiaTheme="minorEastAsia" w:hAnsiTheme="minorHAnsi" w:cstheme="minorBidi"/>
          <w:sz w:val="22"/>
          <w:lang w:eastAsia="en-GB" w:bidi="ar-SA"/>
        </w:rPr>
      </w:pPr>
      <w:hyperlink w:anchor="_Toc124416349" w:history="1">
        <w:r w:rsidR="00BE622F" w:rsidRPr="009358CF">
          <w:rPr>
            <w:rStyle w:val="Hyperlink"/>
          </w:rPr>
          <w:t>Government policy on decommissioning the UK’s nuclear facilities</w:t>
        </w:r>
        <w:r w:rsidR="00BE622F">
          <w:rPr>
            <w:webHidden/>
          </w:rPr>
          <w:tab/>
        </w:r>
        <w:r w:rsidR="00BE622F">
          <w:rPr>
            <w:webHidden/>
          </w:rPr>
          <w:fldChar w:fldCharType="begin"/>
        </w:r>
        <w:r w:rsidR="00BE622F">
          <w:rPr>
            <w:webHidden/>
          </w:rPr>
          <w:instrText xml:space="preserve"> PAGEREF _Toc124416349 \h </w:instrText>
        </w:r>
        <w:r w:rsidR="00BE622F">
          <w:rPr>
            <w:webHidden/>
          </w:rPr>
        </w:r>
        <w:r w:rsidR="00BE622F">
          <w:rPr>
            <w:webHidden/>
          </w:rPr>
          <w:fldChar w:fldCharType="separate"/>
        </w:r>
        <w:r w:rsidR="00BE622F">
          <w:rPr>
            <w:webHidden/>
          </w:rPr>
          <w:t>74</w:t>
        </w:r>
        <w:r w:rsidR="00BE622F">
          <w:rPr>
            <w:webHidden/>
          </w:rPr>
          <w:fldChar w:fldCharType="end"/>
        </w:r>
      </w:hyperlink>
    </w:p>
    <w:p w14:paraId="53811A4F" w14:textId="7FA741BC" w:rsidR="00BE622F" w:rsidRDefault="00E90276">
      <w:pPr>
        <w:pStyle w:val="TOC2"/>
        <w:rPr>
          <w:rFonts w:asciiTheme="minorHAnsi" w:eastAsiaTheme="minorEastAsia" w:hAnsiTheme="minorHAnsi" w:cstheme="minorBidi"/>
          <w:sz w:val="22"/>
          <w:lang w:eastAsia="en-GB" w:bidi="ar-SA"/>
        </w:rPr>
      </w:pPr>
      <w:hyperlink w:anchor="_Toc124416350" w:history="1">
        <w:r w:rsidR="00BE622F" w:rsidRPr="009358CF">
          <w:rPr>
            <w:rStyle w:val="Hyperlink"/>
          </w:rPr>
          <w:t>European Commission Activities</w:t>
        </w:r>
        <w:r w:rsidR="00BE622F">
          <w:rPr>
            <w:webHidden/>
          </w:rPr>
          <w:tab/>
        </w:r>
        <w:r w:rsidR="00BE622F">
          <w:rPr>
            <w:webHidden/>
          </w:rPr>
          <w:fldChar w:fldCharType="begin"/>
        </w:r>
        <w:r w:rsidR="00BE622F">
          <w:rPr>
            <w:webHidden/>
          </w:rPr>
          <w:instrText xml:space="preserve"> PAGEREF _Toc124416350 \h </w:instrText>
        </w:r>
        <w:r w:rsidR="00BE622F">
          <w:rPr>
            <w:webHidden/>
          </w:rPr>
        </w:r>
        <w:r w:rsidR="00BE622F">
          <w:rPr>
            <w:webHidden/>
          </w:rPr>
          <w:fldChar w:fldCharType="separate"/>
        </w:r>
        <w:r w:rsidR="00BE622F">
          <w:rPr>
            <w:webHidden/>
          </w:rPr>
          <w:t>74</w:t>
        </w:r>
        <w:r w:rsidR="00BE622F">
          <w:rPr>
            <w:webHidden/>
          </w:rPr>
          <w:fldChar w:fldCharType="end"/>
        </w:r>
      </w:hyperlink>
    </w:p>
    <w:p w14:paraId="1ADB21B7" w14:textId="53062643" w:rsidR="00BE622F" w:rsidRDefault="00E90276">
      <w:pPr>
        <w:pStyle w:val="TOC1"/>
        <w:rPr>
          <w:rFonts w:asciiTheme="minorHAnsi" w:eastAsiaTheme="minorEastAsia" w:hAnsiTheme="minorHAnsi" w:cstheme="minorBidi"/>
          <w:sz w:val="22"/>
          <w:lang w:eastAsia="en-GB" w:bidi="ar-SA"/>
        </w:rPr>
      </w:pPr>
      <w:hyperlink w:anchor="_Toc124416351" w:history="1">
        <w:r w:rsidR="00BE622F" w:rsidRPr="009358CF">
          <w:rPr>
            <w:rStyle w:val="Hyperlink"/>
          </w:rPr>
          <w:t>Appendix 3 – Screening for Changes or Extensions to the Decommissioning of Nuclear Reactors</w:t>
        </w:r>
        <w:r w:rsidR="00BE622F">
          <w:rPr>
            <w:webHidden/>
          </w:rPr>
          <w:tab/>
        </w:r>
        <w:r w:rsidR="00BE622F">
          <w:rPr>
            <w:webHidden/>
          </w:rPr>
          <w:fldChar w:fldCharType="begin"/>
        </w:r>
        <w:r w:rsidR="00BE622F">
          <w:rPr>
            <w:webHidden/>
          </w:rPr>
          <w:instrText xml:space="preserve"> PAGEREF _Toc124416351 \h </w:instrText>
        </w:r>
        <w:r w:rsidR="00BE622F">
          <w:rPr>
            <w:webHidden/>
          </w:rPr>
        </w:r>
        <w:r w:rsidR="00BE622F">
          <w:rPr>
            <w:webHidden/>
          </w:rPr>
          <w:fldChar w:fldCharType="separate"/>
        </w:r>
        <w:r w:rsidR="00BE622F">
          <w:rPr>
            <w:webHidden/>
          </w:rPr>
          <w:t>76</w:t>
        </w:r>
        <w:r w:rsidR="00BE622F">
          <w:rPr>
            <w:webHidden/>
          </w:rPr>
          <w:fldChar w:fldCharType="end"/>
        </w:r>
      </w:hyperlink>
    </w:p>
    <w:p w14:paraId="63A93B3A" w14:textId="0CEC604B" w:rsidR="00BE622F" w:rsidRDefault="00E90276">
      <w:pPr>
        <w:pStyle w:val="TOC1"/>
        <w:rPr>
          <w:rFonts w:asciiTheme="minorHAnsi" w:eastAsiaTheme="minorEastAsia" w:hAnsiTheme="minorHAnsi" w:cstheme="minorBidi"/>
          <w:sz w:val="22"/>
          <w:lang w:eastAsia="en-GB" w:bidi="ar-SA"/>
        </w:rPr>
      </w:pPr>
      <w:hyperlink w:anchor="_Toc124416352" w:history="1">
        <w:r w:rsidR="00BE622F" w:rsidRPr="009358CF">
          <w:rPr>
            <w:rStyle w:val="Hyperlink"/>
          </w:rPr>
          <w:t>Appendix 4 – Procedures for Screening Changes or Extensions to the Decommissioning of Nuclear Reactors</w:t>
        </w:r>
        <w:r w:rsidR="00BE622F">
          <w:rPr>
            <w:webHidden/>
          </w:rPr>
          <w:tab/>
        </w:r>
        <w:r w:rsidR="00BE622F">
          <w:rPr>
            <w:webHidden/>
          </w:rPr>
          <w:fldChar w:fldCharType="begin"/>
        </w:r>
        <w:r w:rsidR="00BE622F">
          <w:rPr>
            <w:webHidden/>
          </w:rPr>
          <w:instrText xml:space="preserve"> PAGEREF _Toc124416352 \h </w:instrText>
        </w:r>
        <w:r w:rsidR="00BE622F">
          <w:rPr>
            <w:webHidden/>
          </w:rPr>
        </w:r>
        <w:r w:rsidR="00BE622F">
          <w:rPr>
            <w:webHidden/>
          </w:rPr>
          <w:fldChar w:fldCharType="separate"/>
        </w:r>
        <w:r w:rsidR="00BE622F">
          <w:rPr>
            <w:webHidden/>
          </w:rPr>
          <w:t>77</w:t>
        </w:r>
        <w:r w:rsidR="00BE622F">
          <w:rPr>
            <w:webHidden/>
          </w:rPr>
          <w:fldChar w:fldCharType="end"/>
        </w:r>
      </w:hyperlink>
    </w:p>
    <w:p w14:paraId="6E52006D" w14:textId="30551846" w:rsidR="00BE622F" w:rsidRDefault="00E90276">
      <w:pPr>
        <w:pStyle w:val="TOC1"/>
        <w:rPr>
          <w:rFonts w:asciiTheme="minorHAnsi" w:eastAsiaTheme="minorEastAsia" w:hAnsiTheme="minorHAnsi" w:cstheme="minorBidi"/>
          <w:sz w:val="22"/>
          <w:lang w:eastAsia="en-GB" w:bidi="ar-SA"/>
        </w:rPr>
      </w:pPr>
      <w:hyperlink w:anchor="_Toc124416353" w:history="1">
        <w:r w:rsidR="00BE622F" w:rsidRPr="009358CF">
          <w:rPr>
            <w:rStyle w:val="Hyperlink"/>
          </w:rPr>
          <w:t>Appendix 5 – Proforma for Finding of No Significant Effects (FONSE) Report</w:t>
        </w:r>
        <w:r w:rsidR="00BE622F">
          <w:rPr>
            <w:webHidden/>
          </w:rPr>
          <w:tab/>
        </w:r>
        <w:r w:rsidR="00BE622F">
          <w:rPr>
            <w:webHidden/>
          </w:rPr>
          <w:fldChar w:fldCharType="begin"/>
        </w:r>
        <w:r w:rsidR="00BE622F">
          <w:rPr>
            <w:webHidden/>
          </w:rPr>
          <w:instrText xml:space="preserve"> PAGEREF _Toc124416353 \h </w:instrText>
        </w:r>
        <w:r w:rsidR="00BE622F">
          <w:rPr>
            <w:webHidden/>
          </w:rPr>
        </w:r>
        <w:r w:rsidR="00BE622F">
          <w:rPr>
            <w:webHidden/>
          </w:rPr>
          <w:fldChar w:fldCharType="separate"/>
        </w:r>
        <w:r w:rsidR="00BE622F">
          <w:rPr>
            <w:webHidden/>
          </w:rPr>
          <w:t>87</w:t>
        </w:r>
        <w:r w:rsidR="00BE622F">
          <w:rPr>
            <w:webHidden/>
          </w:rPr>
          <w:fldChar w:fldCharType="end"/>
        </w:r>
      </w:hyperlink>
    </w:p>
    <w:p w14:paraId="5AE74610" w14:textId="3544FA35" w:rsidR="00BE622F" w:rsidRDefault="00E90276">
      <w:pPr>
        <w:pStyle w:val="TOC1"/>
        <w:rPr>
          <w:rFonts w:asciiTheme="minorHAnsi" w:eastAsiaTheme="minorEastAsia" w:hAnsiTheme="minorHAnsi" w:cstheme="minorBidi"/>
          <w:sz w:val="22"/>
          <w:lang w:eastAsia="en-GB" w:bidi="ar-SA"/>
        </w:rPr>
      </w:pPr>
      <w:hyperlink w:anchor="_Toc124416354" w:history="1">
        <w:r w:rsidR="00BE622F" w:rsidRPr="009358CF">
          <w:rPr>
            <w:rStyle w:val="Hyperlink"/>
          </w:rPr>
          <w:t>References</w:t>
        </w:r>
        <w:r w:rsidR="00BE622F">
          <w:rPr>
            <w:webHidden/>
          </w:rPr>
          <w:tab/>
        </w:r>
        <w:r w:rsidR="00BE622F">
          <w:rPr>
            <w:webHidden/>
          </w:rPr>
          <w:fldChar w:fldCharType="begin"/>
        </w:r>
        <w:r w:rsidR="00BE622F">
          <w:rPr>
            <w:webHidden/>
          </w:rPr>
          <w:instrText xml:space="preserve"> PAGEREF _Toc124416354 \h </w:instrText>
        </w:r>
        <w:r w:rsidR="00BE622F">
          <w:rPr>
            <w:webHidden/>
          </w:rPr>
        </w:r>
        <w:r w:rsidR="00BE622F">
          <w:rPr>
            <w:webHidden/>
          </w:rPr>
          <w:fldChar w:fldCharType="separate"/>
        </w:r>
        <w:r w:rsidR="00BE622F">
          <w:rPr>
            <w:webHidden/>
          </w:rPr>
          <w:t>89</w:t>
        </w:r>
        <w:r w:rsidR="00BE622F">
          <w:rPr>
            <w:webHidden/>
          </w:rPr>
          <w:fldChar w:fldCharType="end"/>
        </w:r>
      </w:hyperlink>
    </w:p>
    <w:p w14:paraId="0CC4B54A" w14:textId="7577C660" w:rsidR="00267815" w:rsidRDefault="00F17B56" w:rsidP="00267815">
      <w:r>
        <w:rPr>
          <w:noProof/>
        </w:rPr>
        <w:fldChar w:fldCharType="end"/>
      </w:r>
    </w:p>
    <w:p w14:paraId="716B9A7E" w14:textId="77777777" w:rsidR="003E098E" w:rsidRDefault="003E098E" w:rsidP="00267815"/>
    <w:p w14:paraId="4812BFF8" w14:textId="113399D1" w:rsidR="003E098E" w:rsidRDefault="003E098E" w:rsidP="00267815">
      <w:pPr>
        <w:sectPr w:rsidR="003E098E" w:rsidSect="00740504">
          <w:pgSz w:w="11906" w:h="16838" w:code="9"/>
          <w:pgMar w:top="1440" w:right="1440" w:bottom="1440" w:left="1440" w:header="397" w:footer="397" w:gutter="0"/>
          <w:cols w:space="312"/>
          <w:docGrid w:linePitch="360"/>
        </w:sectPr>
      </w:pPr>
    </w:p>
    <w:bookmarkEnd w:id="0"/>
    <w:p w14:paraId="650B8A88" w14:textId="77777777" w:rsidR="00652F10" w:rsidRDefault="00652F10" w:rsidP="00B8256D">
      <w:pPr>
        <w:pStyle w:val="Heading1"/>
        <w:numPr>
          <w:ilvl w:val="0"/>
          <w:numId w:val="0"/>
        </w:numPr>
        <w:ind w:left="360" w:hanging="360"/>
        <w:sectPr w:rsidR="00652F10" w:rsidSect="00652F10">
          <w:headerReference w:type="even" r:id="rId21"/>
          <w:headerReference w:type="default" r:id="rId22"/>
          <w:footerReference w:type="even" r:id="rId23"/>
          <w:type w:val="continuous"/>
          <w:pgSz w:w="11906" w:h="16838" w:code="9"/>
          <w:pgMar w:top="1440" w:right="1440" w:bottom="1440" w:left="1440" w:header="397" w:footer="397" w:gutter="0"/>
          <w:cols w:space="312"/>
          <w:docGrid w:linePitch="360"/>
        </w:sectPr>
      </w:pPr>
    </w:p>
    <w:p w14:paraId="36A05C0B" w14:textId="77777777" w:rsidR="00B8256D" w:rsidRPr="00B8256D" w:rsidRDefault="00B8256D" w:rsidP="00B8256D">
      <w:pPr>
        <w:pStyle w:val="Heading1"/>
        <w:numPr>
          <w:ilvl w:val="0"/>
          <w:numId w:val="0"/>
        </w:numPr>
      </w:pPr>
      <w:bookmarkStart w:id="1" w:name="_Toc124416309"/>
      <w:r w:rsidRPr="00B8256D">
        <w:lastRenderedPageBreak/>
        <w:t>Abbreviations</w:t>
      </w:r>
      <w:bookmarkEnd w:id="1"/>
    </w:p>
    <w:p w14:paraId="40F7D463" w14:textId="77777777" w:rsidR="00B8256D" w:rsidRPr="0083170B" w:rsidRDefault="00B8256D" w:rsidP="00AC09CD">
      <w:pPr>
        <w:spacing w:after="120"/>
      </w:pPr>
      <w:r w:rsidRPr="0083170B">
        <w:t>ALARP</w:t>
      </w:r>
      <w:r w:rsidRPr="0083170B">
        <w:tab/>
        <w:t xml:space="preserve">As Low </w:t>
      </w:r>
      <w:proofErr w:type="gramStart"/>
      <w:r w:rsidRPr="0083170B">
        <w:t>As</w:t>
      </w:r>
      <w:proofErr w:type="gramEnd"/>
      <w:r w:rsidRPr="0083170B">
        <w:t xml:space="preserve"> Reasonably Practicable</w:t>
      </w:r>
    </w:p>
    <w:p w14:paraId="339EB66B" w14:textId="77777777" w:rsidR="00B8256D" w:rsidRPr="0083170B" w:rsidRDefault="00B8256D" w:rsidP="00AC09CD">
      <w:pPr>
        <w:spacing w:after="120"/>
      </w:pPr>
      <w:r>
        <w:t>C&amp;M</w:t>
      </w:r>
      <w:r>
        <w:tab/>
      </w:r>
      <w:r>
        <w:tab/>
        <w:t>Care and Maintenance</w:t>
      </w:r>
    </w:p>
    <w:p w14:paraId="6AC8F3D2" w14:textId="77777777" w:rsidR="00B8256D" w:rsidRDefault="00B8256D" w:rsidP="00AC09CD">
      <w:pPr>
        <w:spacing w:after="120"/>
      </w:pPr>
      <w:proofErr w:type="spellStart"/>
      <w:r w:rsidRPr="0083170B">
        <w:t>cSAC</w:t>
      </w:r>
      <w:proofErr w:type="spellEnd"/>
      <w:r w:rsidRPr="0083170B">
        <w:tab/>
      </w:r>
      <w:r w:rsidRPr="0083170B">
        <w:tab/>
        <w:t>Candidate Special Area of Conservation</w:t>
      </w:r>
    </w:p>
    <w:p w14:paraId="3A3EAE09" w14:textId="77777777" w:rsidR="00B8256D" w:rsidRDefault="00B8256D" w:rsidP="00AC09CD">
      <w:pPr>
        <w:spacing w:after="120"/>
      </w:pPr>
      <w:r>
        <w:t>DLUHC</w:t>
      </w:r>
      <w:r>
        <w:tab/>
        <w:t>Department of Levelling Up, Housing &amp; Communities</w:t>
      </w:r>
    </w:p>
    <w:p w14:paraId="71CC765A" w14:textId="6EA5ACC7" w:rsidR="007530F5" w:rsidRPr="0083170B" w:rsidRDefault="007530F5" w:rsidP="00AC09CD">
      <w:pPr>
        <w:spacing w:after="120"/>
      </w:pPr>
      <w:r>
        <w:t>DESNZ</w:t>
      </w:r>
      <w:r>
        <w:tab/>
        <w:t>Department for Energy</w:t>
      </w:r>
      <w:r w:rsidR="00B0167A">
        <w:t xml:space="preserve"> Security and Net Zero</w:t>
      </w:r>
    </w:p>
    <w:p w14:paraId="11A754BB" w14:textId="77777777" w:rsidR="00B8256D" w:rsidRPr="0083170B" w:rsidRDefault="00B8256D" w:rsidP="00AC09CD">
      <w:pPr>
        <w:spacing w:after="120"/>
      </w:pPr>
      <w:r w:rsidRPr="0083170B">
        <w:t>EA</w:t>
      </w:r>
      <w:r w:rsidRPr="0083170B">
        <w:tab/>
      </w:r>
      <w:r w:rsidRPr="0083170B">
        <w:tab/>
        <w:t>Environment Agency</w:t>
      </w:r>
    </w:p>
    <w:p w14:paraId="5B6A4C05" w14:textId="77777777" w:rsidR="00B8256D" w:rsidRPr="0083170B" w:rsidRDefault="00B8256D" w:rsidP="00AC09CD">
      <w:pPr>
        <w:spacing w:after="120"/>
      </w:pPr>
      <w:r w:rsidRPr="0083170B">
        <w:t>EEA</w:t>
      </w:r>
      <w:r w:rsidRPr="0083170B">
        <w:tab/>
      </w:r>
      <w:r w:rsidRPr="0083170B">
        <w:tab/>
        <w:t>European Economic Area</w:t>
      </w:r>
    </w:p>
    <w:p w14:paraId="17F33D9A" w14:textId="77777777" w:rsidR="00B8256D" w:rsidRPr="0083170B" w:rsidRDefault="00B8256D" w:rsidP="00AC09CD">
      <w:pPr>
        <w:spacing w:after="120"/>
      </w:pPr>
      <w:r w:rsidRPr="0083170B">
        <w:t>EIA</w:t>
      </w:r>
      <w:r w:rsidRPr="0083170B">
        <w:tab/>
      </w:r>
      <w:r w:rsidRPr="0083170B">
        <w:tab/>
        <w:t>Environmental Impact Assessment</w:t>
      </w:r>
    </w:p>
    <w:p w14:paraId="698EF1FE" w14:textId="77777777" w:rsidR="00B8256D" w:rsidRPr="0083170B" w:rsidRDefault="00B8256D" w:rsidP="00AC09CD">
      <w:pPr>
        <w:spacing w:after="120"/>
      </w:pPr>
      <w:r w:rsidRPr="0083170B">
        <w:t>EIADR</w:t>
      </w:r>
      <w:r w:rsidRPr="0083170B">
        <w:tab/>
        <w:t>Environmental Impact Assessment for Decommissioning Regulations</w:t>
      </w:r>
    </w:p>
    <w:p w14:paraId="2BE68E31" w14:textId="77777777" w:rsidR="00B8256D" w:rsidRPr="0083170B" w:rsidRDefault="00B8256D" w:rsidP="00AC09CD">
      <w:pPr>
        <w:spacing w:after="120"/>
      </w:pPr>
      <w:r w:rsidRPr="0083170B">
        <w:t>EMP</w:t>
      </w:r>
      <w:r w:rsidRPr="0083170B">
        <w:tab/>
      </w:r>
      <w:r w:rsidRPr="0083170B">
        <w:tab/>
        <w:t>Environmental Management Plan</w:t>
      </w:r>
    </w:p>
    <w:p w14:paraId="46E9BD60" w14:textId="77777777" w:rsidR="00B8256D" w:rsidRPr="0083170B" w:rsidRDefault="00B8256D" w:rsidP="00AC09CD">
      <w:pPr>
        <w:spacing w:after="120"/>
      </w:pPr>
      <w:r w:rsidRPr="0083170B">
        <w:t>ES</w:t>
      </w:r>
      <w:r w:rsidRPr="0083170B">
        <w:tab/>
      </w:r>
      <w:r w:rsidRPr="0083170B">
        <w:tab/>
        <w:t>Environmental Statement</w:t>
      </w:r>
    </w:p>
    <w:p w14:paraId="1012E1F9" w14:textId="77777777" w:rsidR="00B8256D" w:rsidRPr="0083170B" w:rsidRDefault="00B8256D" w:rsidP="00AC09CD">
      <w:pPr>
        <w:spacing w:after="120"/>
      </w:pPr>
      <w:r w:rsidRPr="0083170B">
        <w:t>FONSE</w:t>
      </w:r>
      <w:r w:rsidRPr="0083170B">
        <w:tab/>
        <w:t>Finding of No Significant Effect</w:t>
      </w:r>
    </w:p>
    <w:p w14:paraId="3F73B59E" w14:textId="77777777" w:rsidR="00B8256D" w:rsidRPr="0083170B" w:rsidRDefault="00B8256D" w:rsidP="00AC09CD">
      <w:pPr>
        <w:spacing w:after="120"/>
      </w:pPr>
      <w:r w:rsidRPr="0083170B">
        <w:t>HSWA</w:t>
      </w:r>
      <w:r w:rsidRPr="0083170B">
        <w:tab/>
        <w:t>Health and Safety at Work Act 1974</w:t>
      </w:r>
      <w:r w:rsidRPr="0083170B">
        <w:tab/>
      </w:r>
      <w:r w:rsidRPr="0083170B">
        <w:tab/>
      </w:r>
    </w:p>
    <w:p w14:paraId="550B5606" w14:textId="77777777" w:rsidR="00B8256D" w:rsidRPr="0083170B" w:rsidRDefault="00B8256D" w:rsidP="00AC09CD">
      <w:pPr>
        <w:spacing w:after="120"/>
      </w:pPr>
      <w:r w:rsidRPr="0083170B">
        <w:t>ILSAE</w:t>
      </w:r>
      <w:r w:rsidRPr="0083170B">
        <w:tab/>
      </w:r>
      <w:r w:rsidRPr="0083170B">
        <w:tab/>
        <w:t>Indicator of Likely Significant Adverse Effects</w:t>
      </w:r>
    </w:p>
    <w:p w14:paraId="2EF0060A" w14:textId="77777777" w:rsidR="00B8256D" w:rsidRPr="0083170B" w:rsidRDefault="00B8256D" w:rsidP="00AC09CD">
      <w:pPr>
        <w:spacing w:after="120"/>
      </w:pPr>
      <w:r w:rsidRPr="0083170B">
        <w:t>INSAE</w:t>
      </w:r>
      <w:r w:rsidRPr="0083170B">
        <w:tab/>
        <w:t>Indicator of No Significant Adverse Effects</w:t>
      </w:r>
    </w:p>
    <w:p w14:paraId="492469A6" w14:textId="77777777" w:rsidR="00B8256D" w:rsidRPr="0083170B" w:rsidRDefault="00B8256D" w:rsidP="00AC09CD">
      <w:pPr>
        <w:spacing w:after="120"/>
      </w:pPr>
      <w:r w:rsidRPr="0083170B">
        <w:t>MOD</w:t>
      </w:r>
      <w:r w:rsidRPr="0083170B">
        <w:tab/>
      </w:r>
      <w:r w:rsidRPr="0083170B">
        <w:tab/>
        <w:t>Ministry of Defence</w:t>
      </w:r>
    </w:p>
    <w:p w14:paraId="14F5F21B" w14:textId="77777777" w:rsidR="00B8256D" w:rsidRPr="0083170B" w:rsidRDefault="00B8256D" w:rsidP="00AC09CD">
      <w:pPr>
        <w:spacing w:after="120"/>
      </w:pPr>
      <w:r w:rsidRPr="0083170B">
        <w:t>NDA</w:t>
      </w:r>
      <w:r w:rsidRPr="0083170B">
        <w:tab/>
      </w:r>
      <w:r w:rsidRPr="0083170B">
        <w:tab/>
        <w:t>Nuclear Decommissioning Authority</w:t>
      </w:r>
    </w:p>
    <w:p w14:paraId="3A559F65" w14:textId="77777777" w:rsidR="00B8256D" w:rsidRPr="0083170B" w:rsidRDefault="00B8256D" w:rsidP="00AC09CD">
      <w:pPr>
        <w:spacing w:after="120"/>
      </w:pPr>
      <w:r w:rsidRPr="0083170B">
        <w:t>NGO</w:t>
      </w:r>
      <w:r w:rsidRPr="0083170B">
        <w:tab/>
      </w:r>
      <w:r w:rsidRPr="0083170B">
        <w:tab/>
        <w:t>Non-Governmental Organisation</w:t>
      </w:r>
    </w:p>
    <w:p w14:paraId="01D0B844" w14:textId="77777777" w:rsidR="00B8256D" w:rsidRPr="0083170B" w:rsidRDefault="00B8256D" w:rsidP="00AC09CD">
      <w:pPr>
        <w:spacing w:after="120"/>
      </w:pPr>
      <w:r w:rsidRPr="0083170B">
        <w:t>NIA65</w:t>
      </w:r>
      <w:r w:rsidRPr="0083170B">
        <w:tab/>
      </w:r>
      <w:r w:rsidRPr="0083170B">
        <w:tab/>
        <w:t>Nuclear Installations Act 1965</w:t>
      </w:r>
    </w:p>
    <w:p w14:paraId="3F39C2A0" w14:textId="77777777" w:rsidR="00B8256D" w:rsidRPr="0083170B" w:rsidRDefault="00B8256D" w:rsidP="00AC09CD">
      <w:pPr>
        <w:spacing w:after="120"/>
      </w:pPr>
      <w:r w:rsidRPr="0083170B">
        <w:t>ONR</w:t>
      </w:r>
      <w:r w:rsidRPr="0083170B">
        <w:tab/>
      </w:r>
      <w:r w:rsidRPr="0083170B">
        <w:tab/>
        <w:t>Office for Nuclear Regulation</w:t>
      </w:r>
    </w:p>
    <w:p w14:paraId="25EC3744" w14:textId="77777777" w:rsidR="00B8256D" w:rsidRPr="0083170B" w:rsidRDefault="00B8256D" w:rsidP="00AC09CD">
      <w:pPr>
        <w:spacing w:after="120"/>
      </w:pPr>
      <w:r w:rsidRPr="0083170B">
        <w:t>PAO</w:t>
      </w:r>
      <w:r w:rsidRPr="0083170B">
        <w:tab/>
      </w:r>
      <w:r w:rsidRPr="0083170B">
        <w:tab/>
        <w:t>Pre-Application Opinion</w:t>
      </w:r>
    </w:p>
    <w:p w14:paraId="7210EC97" w14:textId="77777777" w:rsidR="00B8256D" w:rsidRPr="0083170B" w:rsidRDefault="00B8256D" w:rsidP="00AC09CD">
      <w:pPr>
        <w:spacing w:after="120"/>
      </w:pPr>
      <w:r w:rsidRPr="0083170B">
        <w:t>SAC</w:t>
      </w:r>
      <w:r w:rsidRPr="0083170B">
        <w:tab/>
      </w:r>
      <w:r w:rsidRPr="0083170B">
        <w:tab/>
        <w:t>Special Area of Conservation</w:t>
      </w:r>
    </w:p>
    <w:p w14:paraId="0E51423D" w14:textId="77777777" w:rsidR="00B8256D" w:rsidRPr="0083170B" w:rsidRDefault="00B8256D" w:rsidP="00AC09CD">
      <w:pPr>
        <w:spacing w:after="120"/>
      </w:pPr>
      <w:r w:rsidRPr="0083170B">
        <w:t>SEA</w:t>
      </w:r>
      <w:r w:rsidRPr="0083170B">
        <w:tab/>
      </w:r>
      <w:r w:rsidRPr="0083170B">
        <w:tab/>
        <w:t>Strategic Environmental Assessment</w:t>
      </w:r>
    </w:p>
    <w:p w14:paraId="5E66C87E" w14:textId="77777777" w:rsidR="00B8256D" w:rsidRPr="0083170B" w:rsidRDefault="00B8256D" w:rsidP="00AC09CD">
      <w:pPr>
        <w:spacing w:after="120"/>
      </w:pPr>
      <w:r w:rsidRPr="0083170B">
        <w:t>SEPA</w:t>
      </w:r>
      <w:r w:rsidRPr="0083170B">
        <w:tab/>
      </w:r>
      <w:r w:rsidRPr="0083170B">
        <w:tab/>
        <w:t>Scottish Environment Protection Agency</w:t>
      </w:r>
    </w:p>
    <w:p w14:paraId="28267BAB" w14:textId="77777777" w:rsidR="00B8256D" w:rsidRPr="0083170B" w:rsidRDefault="00B8256D" w:rsidP="00AC09CD">
      <w:pPr>
        <w:spacing w:after="120"/>
      </w:pPr>
      <w:r w:rsidRPr="0083170B">
        <w:t>SoS</w:t>
      </w:r>
      <w:r w:rsidRPr="0083170B">
        <w:tab/>
      </w:r>
      <w:r w:rsidRPr="0083170B">
        <w:tab/>
        <w:t>Secretary of State</w:t>
      </w:r>
    </w:p>
    <w:p w14:paraId="67630631" w14:textId="77777777" w:rsidR="00B8256D" w:rsidRPr="0083170B" w:rsidRDefault="00B8256D" w:rsidP="00AC09CD">
      <w:pPr>
        <w:spacing w:after="120"/>
      </w:pPr>
      <w:r w:rsidRPr="0083170B">
        <w:t>SPA</w:t>
      </w:r>
      <w:r w:rsidRPr="0083170B">
        <w:tab/>
      </w:r>
      <w:r w:rsidRPr="0083170B">
        <w:tab/>
        <w:t>Special Protection Area</w:t>
      </w:r>
    </w:p>
    <w:p w14:paraId="5CF1730B" w14:textId="77777777" w:rsidR="00B8256D" w:rsidRPr="0083170B" w:rsidRDefault="00B8256D" w:rsidP="00AC09CD">
      <w:pPr>
        <w:spacing w:after="120"/>
      </w:pPr>
      <w:r w:rsidRPr="0083170B">
        <w:t>SQEP</w:t>
      </w:r>
      <w:r w:rsidRPr="0083170B">
        <w:tab/>
      </w:r>
      <w:r w:rsidRPr="0083170B">
        <w:tab/>
        <w:t>Suitably Qualified and Experienced Person</w:t>
      </w:r>
    </w:p>
    <w:p w14:paraId="35D766C1" w14:textId="77777777" w:rsidR="00B8256D" w:rsidRDefault="00B8256D" w:rsidP="00AC09CD">
      <w:pPr>
        <w:spacing w:after="120"/>
      </w:pPr>
      <w:r w:rsidRPr="0083170B">
        <w:t>SSSI</w:t>
      </w:r>
      <w:r w:rsidRPr="0083170B">
        <w:tab/>
      </w:r>
      <w:r w:rsidRPr="0083170B">
        <w:tab/>
        <w:t>Site of Special Scientific Interest</w:t>
      </w:r>
    </w:p>
    <w:p w14:paraId="238DDA53" w14:textId="77777777" w:rsidR="00B8256D" w:rsidRDefault="00B8256D" w:rsidP="00AC09CD">
      <w:pPr>
        <w:spacing w:after="120"/>
      </w:pPr>
      <w:r w:rsidRPr="0083170B">
        <w:t>TCP</w:t>
      </w:r>
      <w:r w:rsidRPr="0083170B">
        <w:tab/>
        <w:t>Town and Country Planning</w:t>
      </w:r>
      <w:r>
        <w:t xml:space="preserve"> (Environmental Impact Assessment)</w:t>
      </w:r>
      <w:r w:rsidRPr="0083170B">
        <w:t xml:space="preserve"> Regulations</w:t>
      </w:r>
    </w:p>
    <w:p w14:paraId="434D0757" w14:textId="77777777" w:rsidR="00B8256D" w:rsidRDefault="00B8256D">
      <w:pPr>
        <w:spacing w:after="0" w:line="240" w:lineRule="auto"/>
        <w:rPr>
          <w:color w:val="22413A"/>
          <w:sz w:val="48"/>
        </w:rPr>
      </w:pPr>
      <w:r>
        <w:br w:type="page"/>
      </w:r>
    </w:p>
    <w:p w14:paraId="43A875A4" w14:textId="0FFBA09B" w:rsidR="008D49A5" w:rsidRPr="00223090" w:rsidRDefault="008D49A5" w:rsidP="00DD67B8">
      <w:pPr>
        <w:pStyle w:val="Heading1"/>
        <w:numPr>
          <w:ilvl w:val="0"/>
          <w:numId w:val="0"/>
        </w:numPr>
      </w:pPr>
      <w:bookmarkStart w:id="2" w:name="_Toc124416310"/>
      <w:r w:rsidRPr="00223090">
        <w:lastRenderedPageBreak/>
        <w:t>Introduction</w:t>
      </w:r>
      <w:bookmarkEnd w:id="2"/>
    </w:p>
    <w:p w14:paraId="616F197D" w14:textId="77777777" w:rsidR="008D49A5" w:rsidRPr="00FA33FE" w:rsidRDefault="008D49A5" w:rsidP="00740504">
      <w:pPr>
        <w:pStyle w:val="Heading2"/>
        <w:ind w:left="0" w:firstLine="0"/>
      </w:pPr>
      <w:bookmarkStart w:id="3" w:name="_Toc124416311"/>
      <w:r w:rsidRPr="00FA33FE">
        <w:t>Purpose</w:t>
      </w:r>
      <w:bookmarkEnd w:id="3"/>
    </w:p>
    <w:p w14:paraId="7FBFE555" w14:textId="00FC1F60" w:rsidR="00364843" w:rsidRPr="007F49CC" w:rsidRDefault="00364843" w:rsidP="008B061F">
      <w:r w:rsidRPr="007F49CC">
        <w:t xml:space="preserve">The purpose of this document is to provide guidance on compliance with the Nuclear Reactors (Environmental Impact Assessment for Decommissioning) Regulations 1999 (EIADR99) </w:t>
      </w:r>
      <w:sdt>
        <w:sdtPr>
          <w:id w:val="-1837990711"/>
          <w:citation/>
        </w:sdtPr>
        <w:sdtEndPr/>
        <w:sdtContent>
          <w:r w:rsidR="008B061F">
            <w:fldChar w:fldCharType="begin"/>
          </w:r>
          <w:r w:rsidR="008B061F">
            <w:instrText xml:space="preserve"> CITATION HMG991 \l 2057 </w:instrText>
          </w:r>
          <w:r w:rsidR="008B061F">
            <w:fldChar w:fldCharType="separate"/>
          </w:r>
          <w:r w:rsidR="000416A5" w:rsidRPr="000416A5">
            <w:rPr>
              <w:noProof/>
            </w:rPr>
            <w:t>[1]</w:t>
          </w:r>
          <w:r w:rsidR="008B061F">
            <w:fldChar w:fldCharType="end"/>
          </w:r>
        </w:sdtContent>
      </w:sdt>
      <w:r w:rsidRPr="007F49CC">
        <w:t>, as amended by the Nuclear Reactors (Environmental Impact Assessment for Decommissioning) (Amendment) Regulations 2018 (EIADR18)</w:t>
      </w:r>
      <w:r w:rsidR="008B061F">
        <w:t xml:space="preserve"> </w:t>
      </w:r>
      <w:sdt>
        <w:sdtPr>
          <w:id w:val="1297791293"/>
          <w:citation/>
        </w:sdtPr>
        <w:sdtEndPr/>
        <w:sdtContent>
          <w:r w:rsidR="008B061F">
            <w:fldChar w:fldCharType="begin"/>
          </w:r>
          <w:r w:rsidR="008B061F">
            <w:instrText xml:space="preserve">CITATION HMG183 \l 2057 </w:instrText>
          </w:r>
          <w:r w:rsidR="008B061F">
            <w:fldChar w:fldCharType="separate"/>
          </w:r>
          <w:r w:rsidR="000416A5" w:rsidRPr="000416A5">
            <w:rPr>
              <w:noProof/>
            </w:rPr>
            <w:t>[2]</w:t>
          </w:r>
          <w:r w:rsidR="008B061F">
            <w:fldChar w:fldCharType="end"/>
          </w:r>
        </w:sdtContent>
      </w:sdt>
      <w:r w:rsidRPr="007F49CC">
        <w:t xml:space="preserve"> and by the Ionising Radiation (Environmental and Public Protection) (Miscellaneous Amendments) (EU Exit) Regulations 2019 </w:t>
      </w:r>
      <w:sdt>
        <w:sdtPr>
          <w:id w:val="32785146"/>
          <w:citation/>
        </w:sdtPr>
        <w:sdtEndPr/>
        <w:sdtContent>
          <w:r w:rsidR="008B061F">
            <w:fldChar w:fldCharType="begin"/>
          </w:r>
          <w:r w:rsidR="008B061F">
            <w:instrText xml:space="preserve"> CITATION HMG191 \l 2057 </w:instrText>
          </w:r>
          <w:r w:rsidR="008B061F">
            <w:fldChar w:fldCharType="separate"/>
          </w:r>
          <w:r w:rsidR="000416A5" w:rsidRPr="000416A5">
            <w:rPr>
              <w:noProof/>
            </w:rPr>
            <w:t>[3]</w:t>
          </w:r>
          <w:r w:rsidR="008B061F">
            <w:fldChar w:fldCharType="end"/>
          </w:r>
        </w:sdtContent>
      </w:sdt>
      <w:r w:rsidRPr="007F49CC">
        <w:t>. The competent authority for EIADR</w:t>
      </w:r>
      <w:r w:rsidRPr="0083170B">
        <w:rPr>
          <w:rStyle w:val="FootnoteReference"/>
        </w:rPr>
        <w:footnoteReference w:id="2"/>
      </w:r>
      <w:r w:rsidRPr="007F49CC">
        <w:t xml:space="preserve"> in Great Britain is the Office for Nuclear Regulation (ONR). </w:t>
      </w:r>
    </w:p>
    <w:p w14:paraId="7FCDFD4A" w14:textId="1EE0D636" w:rsidR="00364843" w:rsidRDefault="00364843" w:rsidP="00364843">
      <w:r w:rsidRPr="007F49CC">
        <w:t>This guidance is intended to be of use to nuclear site licensees</w:t>
      </w:r>
      <w:r w:rsidRPr="0083170B">
        <w:rPr>
          <w:rStyle w:val="FootnoteReference"/>
        </w:rPr>
        <w:footnoteReference w:id="3"/>
      </w:r>
      <w:r w:rsidRPr="007F49CC">
        <w:t>, statutory consultation bodies, other organisations and members of the public who have an interest in the environmental impact of the decommissioning of nuclear reactors.</w:t>
      </w:r>
    </w:p>
    <w:p w14:paraId="328697B5" w14:textId="499146B0" w:rsidR="002F6607" w:rsidRPr="007F49CC" w:rsidRDefault="00327065" w:rsidP="00364843">
      <w:r>
        <w:rPr>
          <w:b/>
          <w:bCs/>
        </w:rPr>
        <w:t xml:space="preserve">Note: </w:t>
      </w:r>
      <w:r w:rsidR="002F6607" w:rsidRPr="002F6607">
        <w:t>Following th</w:t>
      </w:r>
      <w:r w:rsidR="00B8256D">
        <w:t>is</w:t>
      </w:r>
      <w:r w:rsidR="002F6607" w:rsidRPr="002F6607">
        <w:t xml:space="preserve"> guidance is not compulsory, unless specifically stated, and you are free to take other action. But if you do follow the guidance, you will normally be doing enough to comply with the law. ONR inspectors seek to secure compliance with the law and may refer to this guidance.</w:t>
      </w:r>
    </w:p>
    <w:p w14:paraId="1C7AF333" w14:textId="77777777" w:rsidR="00364843" w:rsidRPr="0083170B" w:rsidRDefault="00364843" w:rsidP="00364843">
      <w:r w:rsidRPr="0083170B">
        <w:t>The regulations have been reproduced in the same sequential order that can be found in EIADR, followed by an explanation and advice on compliance and ONR procedures.</w:t>
      </w:r>
    </w:p>
    <w:p w14:paraId="33D0B3FC" w14:textId="77777777" w:rsidR="00364843" w:rsidRPr="0083170B" w:rsidRDefault="00364843" w:rsidP="00364843">
      <w:r w:rsidRPr="0083170B">
        <w:t>Additionally, there are five appendices:</w:t>
      </w:r>
    </w:p>
    <w:p w14:paraId="689596D2" w14:textId="77777777" w:rsidR="00364843" w:rsidRPr="0083170B" w:rsidRDefault="00364843" w:rsidP="00364843">
      <w:pPr>
        <w:pStyle w:val="Bulletlist1"/>
      </w:pPr>
      <w:r w:rsidRPr="00740504">
        <w:rPr>
          <w:b/>
          <w:bCs/>
        </w:rPr>
        <w:t>Appendix 1</w:t>
      </w:r>
      <w:r w:rsidRPr="0083170B">
        <w:t xml:space="preserve"> is a flow chart showing the EIADR process;</w:t>
      </w:r>
    </w:p>
    <w:p w14:paraId="4DC7F30B" w14:textId="77777777" w:rsidR="00364843" w:rsidRPr="0083170B" w:rsidRDefault="00364843" w:rsidP="00364843">
      <w:pPr>
        <w:pStyle w:val="Bulletlist1"/>
      </w:pPr>
      <w:r w:rsidRPr="00740504">
        <w:rPr>
          <w:b/>
          <w:bCs/>
        </w:rPr>
        <w:t>Appendix 2</w:t>
      </w:r>
      <w:r w:rsidRPr="0083170B">
        <w:t xml:space="preserve"> provides an explanation of the interfaces with other legislation and Government policy;</w:t>
      </w:r>
    </w:p>
    <w:p w14:paraId="0AC3D766" w14:textId="77777777" w:rsidR="00364843" w:rsidRPr="0083170B" w:rsidRDefault="00364843" w:rsidP="00364843">
      <w:pPr>
        <w:pStyle w:val="Bulletlist1"/>
      </w:pPr>
      <w:r w:rsidRPr="00740504">
        <w:rPr>
          <w:b/>
          <w:bCs/>
        </w:rPr>
        <w:t>Appendix 3</w:t>
      </w:r>
      <w:r w:rsidRPr="0083170B">
        <w:t xml:space="preserve"> is a flow chart demonstrating the screening process for changes or extensions which may have a significant adverse effect on the environment;</w:t>
      </w:r>
    </w:p>
    <w:p w14:paraId="162B14D6" w14:textId="77777777" w:rsidR="00364843" w:rsidRPr="0083170B" w:rsidRDefault="00364843" w:rsidP="00364843">
      <w:pPr>
        <w:pStyle w:val="Bulletlist1"/>
      </w:pPr>
      <w:r w:rsidRPr="00740504">
        <w:rPr>
          <w:b/>
          <w:bCs/>
        </w:rPr>
        <w:t>Appendix 4</w:t>
      </w:r>
      <w:r w:rsidRPr="0083170B">
        <w:t xml:space="preserve"> provides a tool for screening changes or extensions to the decommissioning project; and,</w:t>
      </w:r>
    </w:p>
    <w:p w14:paraId="0DCB12BD" w14:textId="77777777" w:rsidR="00364843" w:rsidRPr="0083170B" w:rsidRDefault="00364843" w:rsidP="00364843">
      <w:pPr>
        <w:pStyle w:val="Bulletlist1"/>
      </w:pPr>
      <w:r w:rsidRPr="00740504">
        <w:rPr>
          <w:b/>
          <w:bCs/>
        </w:rPr>
        <w:lastRenderedPageBreak/>
        <w:t>Appendix 5</w:t>
      </w:r>
      <w:r w:rsidRPr="0083170B">
        <w:t xml:space="preserve"> is a proforma for recording results of negative screening, when the licensee has determined that the change or extension to the decommissioning project will not result in significant adverse effects on the environment.</w:t>
      </w:r>
    </w:p>
    <w:p w14:paraId="429A8A97" w14:textId="6EBE1D7F" w:rsidR="00364843" w:rsidRPr="0083170B" w:rsidRDefault="00364843" w:rsidP="00364843">
      <w:r w:rsidRPr="0083170B">
        <w:t xml:space="preserve">Further advice </w:t>
      </w:r>
      <w:r w:rsidR="008B061F">
        <w:t xml:space="preserve">on EIADR can be found on the </w:t>
      </w:r>
      <w:hyperlink r:id="rId24" w:history="1">
        <w:r w:rsidR="008B061F" w:rsidRPr="008B061F">
          <w:rPr>
            <w:rStyle w:val="Hyperlink"/>
          </w:rPr>
          <w:t>ONR website</w:t>
        </w:r>
      </w:hyperlink>
      <w:r w:rsidR="008B061F">
        <w:t xml:space="preserve"> and </w:t>
      </w:r>
      <w:r w:rsidRPr="0083170B">
        <w:t>may be obtained from the Office for Nuclear Regulatio</w:t>
      </w:r>
      <w:r w:rsidR="008B061F">
        <w:t xml:space="preserve">n at </w:t>
      </w:r>
      <w:r>
        <w:t xml:space="preserve">Building 4, </w:t>
      </w:r>
      <w:r w:rsidRPr="0083170B">
        <w:t>Redgrave Court, Merton Road, Bootle, Merseyside, L20 7HS</w:t>
      </w:r>
      <w:r w:rsidR="008B061F">
        <w:t>.</w:t>
      </w:r>
    </w:p>
    <w:p w14:paraId="7C61BD8D" w14:textId="2BB95B77" w:rsidR="00364843" w:rsidRPr="002050C1" w:rsidRDefault="00364843" w:rsidP="00A01C3E">
      <w:pPr>
        <w:pStyle w:val="Heading2"/>
      </w:pPr>
      <w:bookmarkStart w:id="4" w:name="_Toc82166927"/>
      <w:bookmarkStart w:id="5" w:name="_Toc124416312"/>
      <w:r>
        <w:t>Background to the regulations</w:t>
      </w:r>
      <w:bookmarkEnd w:id="4"/>
      <w:bookmarkEnd w:id="5"/>
      <w:r>
        <w:t xml:space="preserve"> </w:t>
      </w:r>
    </w:p>
    <w:p w14:paraId="4CB1BA77" w14:textId="0AA7FEB7" w:rsidR="00364843" w:rsidRPr="0083170B" w:rsidRDefault="00364843" w:rsidP="00364843">
      <w:r>
        <w:t>Prior to the UK leaving the European Union</w:t>
      </w:r>
      <w:r w:rsidR="008B061F">
        <w:t xml:space="preserve"> (EU)</w:t>
      </w:r>
      <w:r>
        <w:t>, EIADR implemented the Environmental Impact Assessment (EIA) Directive (</w:t>
      </w:r>
      <w:r w:rsidRPr="0083170B">
        <w:t>European Council Directive 2011/92/EU</w:t>
      </w:r>
      <w:r w:rsidR="008B061F">
        <w:t xml:space="preserve"> </w:t>
      </w:r>
      <w:sdt>
        <w:sdtPr>
          <w:id w:val="1756857434"/>
          <w:citation/>
        </w:sdtPr>
        <w:sdtEndPr/>
        <w:sdtContent>
          <w:r w:rsidR="008B061F">
            <w:fldChar w:fldCharType="begin"/>
          </w:r>
          <w:r w:rsidR="008B061F">
            <w:instrText xml:space="preserve"> CITATION Eur11 \l 2057 </w:instrText>
          </w:r>
          <w:r w:rsidR="008B061F">
            <w:fldChar w:fldCharType="separate"/>
          </w:r>
          <w:r w:rsidR="000416A5" w:rsidRPr="000416A5">
            <w:rPr>
              <w:noProof/>
            </w:rPr>
            <w:t>[4]</w:t>
          </w:r>
          <w:r w:rsidR="008B061F">
            <w:fldChar w:fldCharType="end"/>
          </w:r>
        </w:sdtContent>
      </w:sdt>
      <w:r w:rsidRPr="0083170B">
        <w:t xml:space="preserve">, as amended by Council Directive 2014/52/EU </w:t>
      </w:r>
      <w:sdt>
        <w:sdtPr>
          <w:id w:val="1571312146"/>
          <w:citation/>
        </w:sdtPr>
        <w:sdtEndPr/>
        <w:sdtContent>
          <w:r w:rsidR="008B061F">
            <w:fldChar w:fldCharType="begin"/>
          </w:r>
          <w:r w:rsidR="008B061F">
            <w:instrText xml:space="preserve"> CITATION Eur14 \l 2057 </w:instrText>
          </w:r>
          <w:r w:rsidR="008B061F">
            <w:fldChar w:fldCharType="separate"/>
          </w:r>
          <w:r w:rsidR="000416A5" w:rsidRPr="000416A5">
            <w:rPr>
              <w:noProof/>
            </w:rPr>
            <w:t>[5]</w:t>
          </w:r>
          <w:r w:rsidR="008B061F">
            <w:fldChar w:fldCharType="end"/>
          </w:r>
        </w:sdtContent>
      </w:sdt>
      <w:r w:rsidR="008B061F">
        <w:t>)</w:t>
      </w:r>
      <w:r>
        <w:t>.</w:t>
      </w:r>
      <w:r w:rsidRPr="0083170B">
        <w:t xml:space="preserve"> </w:t>
      </w:r>
      <w:r>
        <w:t xml:space="preserve">This Directive </w:t>
      </w:r>
      <w:r w:rsidRPr="0083170B">
        <w:t>sets out a framework on the assessment of the effects of certain public and private projects on the environment and on public participation in respect of the drawing up of certain plans and projects relating to the environment.</w:t>
      </w:r>
      <w:r>
        <w:t xml:space="preserve"> Following the UK’s exit from the European Union, EIADR has remained in UK domestic legislation as retained EU Law</w:t>
      </w:r>
      <w:r>
        <w:rPr>
          <w:rStyle w:val="FootnoteReference"/>
        </w:rPr>
        <w:footnoteReference w:id="4"/>
      </w:r>
      <w:r>
        <w:t>.</w:t>
      </w:r>
      <w:r w:rsidRPr="0083170B">
        <w:t xml:space="preserve"> </w:t>
      </w:r>
    </w:p>
    <w:p w14:paraId="594B44F7" w14:textId="77777777" w:rsidR="00364843" w:rsidRPr="002050C1" w:rsidRDefault="00364843" w:rsidP="00A01C3E">
      <w:pPr>
        <w:pStyle w:val="Heading2"/>
      </w:pPr>
      <w:bookmarkStart w:id="6" w:name="_Toc82166928"/>
      <w:bookmarkStart w:id="7" w:name="_Toc124416313"/>
      <w:r>
        <w:t>Purpose of EIADR</w:t>
      </w:r>
      <w:bookmarkEnd w:id="6"/>
      <w:bookmarkEnd w:id="7"/>
    </w:p>
    <w:p w14:paraId="37A19A7D" w14:textId="09074E2C" w:rsidR="00364843" w:rsidRDefault="00364843" w:rsidP="00364843">
      <w:r w:rsidRPr="0083170B">
        <w:t xml:space="preserve">The purpose of EIADR is to require assessment of the potential environmental impacts of projects to decommission nuclear power stations and nuclear reactors (except research installations whose maximum power does not exceed </w:t>
      </w:r>
      <w:r w:rsidR="008B061F">
        <w:t>one</w:t>
      </w:r>
      <w:r w:rsidRPr="0083170B">
        <w:t xml:space="preserve"> kilowatt continuous thermal load). In addition, the intention is to make the </w:t>
      </w:r>
      <w:r w:rsidR="008B061F" w:rsidRPr="0083170B">
        <w:t>decision-making</w:t>
      </w:r>
      <w:r w:rsidRPr="0083170B">
        <w:t xml:space="preserve"> process open and transparent. EIADR require that the public and other relevant stakeholders be consulted from an early stage, regarding the environmental impacts of the options being considered for a proposed decommissioning project.</w:t>
      </w:r>
    </w:p>
    <w:p w14:paraId="4DB07052" w14:textId="77777777" w:rsidR="00364843" w:rsidRPr="002050C1" w:rsidRDefault="00364843" w:rsidP="00A01C3E">
      <w:pPr>
        <w:pStyle w:val="Heading2"/>
      </w:pPr>
      <w:bookmarkStart w:id="8" w:name="_Toc82166929"/>
      <w:bookmarkStart w:id="9" w:name="_Toc124416314"/>
      <w:r>
        <w:t>Application of EIADR</w:t>
      </w:r>
      <w:bookmarkEnd w:id="8"/>
      <w:bookmarkEnd w:id="9"/>
    </w:p>
    <w:p w14:paraId="04D1DB80" w14:textId="77777777" w:rsidR="00364843" w:rsidRDefault="00364843" w:rsidP="00364843">
      <w:r w:rsidRPr="00082DA1">
        <w:t>The duties in the EIADR regulations are imposed on “the licensee</w:t>
      </w:r>
      <w:r w:rsidRPr="00494E0A">
        <w:t>”</w:t>
      </w:r>
      <w:r>
        <w:t>, as defined by Regulation 2. As a result,</w:t>
      </w:r>
      <w:r w:rsidRPr="00DD54CC">
        <w:t xml:space="preserve"> </w:t>
      </w:r>
      <w:r w:rsidRPr="0083170B">
        <w:t>EIADR appl</w:t>
      </w:r>
      <w:r>
        <w:t>ies</w:t>
      </w:r>
      <w:r w:rsidRPr="0083170B">
        <w:t xml:space="preserve"> to decommissioning and dismantling of nuclear power stations or other nuclear reactors</w:t>
      </w:r>
      <w:r>
        <w:t xml:space="preserve"> where the activities will take place on a site holding a nuclear site licence, as issued under Section 1 of the Nuclear Installations Act 1965 (NIA65).  EIADR therefore does not apply to decommissioning projects conducted on ‘Authorised Defence Sites’, which are under control of the Crown, where no nuclear site licence has been issued. </w:t>
      </w:r>
    </w:p>
    <w:p w14:paraId="01DE6B96" w14:textId="77777777" w:rsidR="00364843" w:rsidRPr="0083170B" w:rsidRDefault="00364843" w:rsidP="00364843">
      <w:r>
        <w:t>EIADR</w:t>
      </w:r>
      <w:r w:rsidRPr="0083170B">
        <w:t xml:space="preserve"> appl</w:t>
      </w:r>
      <w:r>
        <w:t>y</w:t>
      </w:r>
      <w:r w:rsidRPr="0083170B">
        <w:t xml:space="preserve"> to all </w:t>
      </w:r>
      <w:r>
        <w:t xml:space="preserve">in scope </w:t>
      </w:r>
      <w:r w:rsidRPr="0083170B">
        <w:t>decommissioning projects that began after the</w:t>
      </w:r>
      <w:r>
        <w:t xml:space="preserve"> regulations</w:t>
      </w:r>
      <w:r w:rsidRPr="0083170B">
        <w:t xml:space="preserve"> came into force on 19 November 1999, and to existing </w:t>
      </w:r>
      <w:r>
        <w:t xml:space="preserve">in scope </w:t>
      </w:r>
      <w:r w:rsidRPr="0083170B">
        <w:t xml:space="preserve">decommissioning projects (those that commenced prior to 19 November 1999) that are subject to a change or extension, which may have significant adverse effects on </w:t>
      </w:r>
      <w:r w:rsidRPr="0083170B">
        <w:lastRenderedPageBreak/>
        <w:t>the environment. In cases where a project is subject to such a change, the licensee must apply to ONR for a determination as to whether an environmental impact assessment (EIA) is required</w:t>
      </w:r>
      <w:r>
        <w:t xml:space="preserve"> under Regulation 13. Detailed guidance on this Regulation is provided in the relevant section of this guidance document. </w:t>
      </w:r>
    </w:p>
    <w:p w14:paraId="4CD201CE" w14:textId="77777777" w:rsidR="00364843" w:rsidRPr="00494E0A" w:rsidRDefault="00364843" w:rsidP="00364843">
      <w:pPr>
        <w:rPr>
          <w:u w:val="single"/>
        </w:rPr>
      </w:pPr>
      <w:r>
        <w:t xml:space="preserve">The regulations apply to the decommissioning and dismantling of nuclear power stations; the regulations do not define what a nuclear power station is, but it is usually taken to include the whole site. This will include </w:t>
      </w:r>
      <w:r w:rsidRPr="0083170B">
        <w:t>the reactor</w:t>
      </w:r>
      <w:r>
        <w:t>(</w:t>
      </w:r>
      <w:r w:rsidRPr="0083170B">
        <w:t>s</w:t>
      </w:r>
      <w:r>
        <w:t>)</w:t>
      </w:r>
      <w:r w:rsidRPr="0083170B">
        <w:t xml:space="preserve">, plant associated with power production and removal of related wastes, </w:t>
      </w:r>
      <w:r>
        <w:t xml:space="preserve">on-site disposals of wastes arising from the decommissioning project </w:t>
      </w:r>
      <w:r w:rsidRPr="0083170B">
        <w:t xml:space="preserve">and </w:t>
      </w:r>
      <w:r>
        <w:t xml:space="preserve">any </w:t>
      </w:r>
      <w:r w:rsidRPr="0083170B">
        <w:t>buildings</w:t>
      </w:r>
      <w:r>
        <w:t xml:space="preserve"> or</w:t>
      </w:r>
      <w:r w:rsidRPr="0083170B">
        <w:t xml:space="preserve"> land contaminated </w:t>
      </w:r>
      <w:proofErr w:type="gramStart"/>
      <w:r w:rsidRPr="0083170B">
        <w:t>as a result of</w:t>
      </w:r>
      <w:proofErr w:type="gramEnd"/>
      <w:r w:rsidRPr="0083170B">
        <w:t xml:space="preserve"> the operation of the </w:t>
      </w:r>
      <w:r>
        <w:t xml:space="preserve">power station. Where necessary, ONR will make a regulatory judgement on what could reasonably </w:t>
      </w:r>
      <w:proofErr w:type="gramStart"/>
      <w:r>
        <w:t>be considered to be</w:t>
      </w:r>
      <w:proofErr w:type="gramEnd"/>
      <w:r>
        <w:t xml:space="preserve"> part of the power station and therefore what is included in the scope of the EIADR project.</w:t>
      </w:r>
    </w:p>
    <w:p w14:paraId="2F9C0B0A" w14:textId="77777777" w:rsidR="00364843" w:rsidRDefault="00364843" w:rsidP="00364843">
      <w:r>
        <w:t>W</w:t>
      </w:r>
      <w:r w:rsidRPr="00AC7424">
        <w:t>here there is a reactor but not a nuclear power station on the site, EIADR is concerned only with the dismantling and decommissioning of the reactor</w:t>
      </w:r>
      <w:r>
        <w:t xml:space="preserve">; </w:t>
      </w:r>
      <w:r w:rsidRPr="00AC7424">
        <w:t xml:space="preserve">ONR would make a regulatory judgement on what could reasonably </w:t>
      </w:r>
      <w:proofErr w:type="gramStart"/>
      <w:r w:rsidRPr="00AC7424">
        <w:t>be considered to be</w:t>
      </w:r>
      <w:proofErr w:type="gramEnd"/>
      <w:r w:rsidRPr="00AC7424">
        <w:t xml:space="preserve"> part of the nuclear reactor</w:t>
      </w:r>
      <w:r>
        <w:t>,</w:t>
      </w:r>
      <w:r w:rsidRPr="00AC7424">
        <w:t xml:space="preserve"> and therefore in scope of the regulations.</w:t>
      </w:r>
    </w:p>
    <w:p w14:paraId="106048E4" w14:textId="55362B02" w:rsidR="00364843" w:rsidRDefault="00364843" w:rsidP="00364843">
      <w:r w:rsidRPr="0083170B">
        <w:t xml:space="preserve">The regulations </w:t>
      </w:r>
      <w:r>
        <w:t>do</w:t>
      </w:r>
      <w:r w:rsidRPr="0083170B">
        <w:t xml:space="preserve"> apply to projects or part of a project serving national defence as its sole purpose and projects whose sole purpose is the response to a civil emergency</w:t>
      </w:r>
      <w:r>
        <w:t xml:space="preserve"> </w:t>
      </w:r>
      <w:r w:rsidR="00F44C4B">
        <w:t>if the activities are</w:t>
      </w:r>
      <w:r>
        <w:t xml:space="preserve"> conducted on a nuclear licenced site</w:t>
      </w:r>
      <w:r w:rsidRPr="0083170B">
        <w:t xml:space="preserve">, unless the Secretary of State </w:t>
      </w:r>
      <w:r>
        <w:t xml:space="preserve">(SoS) </w:t>
      </w:r>
      <w:r w:rsidRPr="0083170B">
        <w:t>is of the opinion that the application of these Regulations would have an adverse effect on that purpose. Licensees may also apply to the</w:t>
      </w:r>
      <w:r>
        <w:t xml:space="preserve"> relevant SoS</w:t>
      </w:r>
      <w:r w:rsidRPr="0083170B">
        <w:t xml:space="preserve"> for an exemption in the case that certain conditions, described in </w:t>
      </w:r>
      <w:r>
        <w:t>R</w:t>
      </w:r>
      <w:r w:rsidRPr="0083170B">
        <w:t xml:space="preserve">egulation </w:t>
      </w:r>
      <w:r>
        <w:t>2</w:t>
      </w:r>
      <w:r w:rsidRPr="0083170B">
        <w:t xml:space="preserve"> of EIADR</w:t>
      </w:r>
      <w:r>
        <w:t>,</w:t>
      </w:r>
      <w:r w:rsidRPr="0083170B">
        <w:t xml:space="preserve"> are met</w:t>
      </w:r>
      <w:r>
        <w:t>, further guidance on this is given on this regulation below.</w:t>
      </w:r>
    </w:p>
    <w:p w14:paraId="58D90687" w14:textId="77777777" w:rsidR="00364843" w:rsidRDefault="00364843" w:rsidP="00364843">
      <w:r>
        <w:t xml:space="preserve">EIADR does apply to the decommissioning of nuclear submarines where the above exemption does not apply and where the decommissioning project is carried out on a nuclear licenced site. </w:t>
      </w:r>
      <w:r w:rsidRPr="00AC7424">
        <w:t>In th</w:t>
      </w:r>
      <w:r>
        <w:t>is</w:t>
      </w:r>
      <w:r w:rsidRPr="00AC7424">
        <w:t xml:space="preserve"> case</w:t>
      </w:r>
      <w:r>
        <w:t>,</w:t>
      </w:r>
      <w:r w:rsidRPr="00AC7424">
        <w:t xml:space="preserve"> ONR</w:t>
      </w:r>
      <w:r>
        <w:t>’s position</w:t>
      </w:r>
      <w:r w:rsidRPr="00AC7424">
        <w:t xml:space="preserve"> is that the definition of ‘nuclear reactor’ does not equate to the whole submarine, and that it is the reactor which is expressly caught by EIADR.</w:t>
      </w:r>
      <w:r>
        <w:t xml:space="preserve"> EIADR is generally considered to apply only to the reactor compartment and reactor systems on the submarine, and the removal of all radioactivity including any contamination, </w:t>
      </w:r>
      <w:proofErr w:type="gramStart"/>
      <w:r>
        <w:t>as a result of</w:t>
      </w:r>
      <w:proofErr w:type="gramEnd"/>
      <w:r>
        <w:t xml:space="preserve"> operating the nuclear reactor.</w:t>
      </w:r>
    </w:p>
    <w:p w14:paraId="18DC4F9F" w14:textId="77777777" w:rsidR="00364843" w:rsidRDefault="00364843" w:rsidP="00364843">
      <w:r w:rsidRPr="0083170B">
        <w:t>Some activities, when carried out as part of routine or normal operati</w:t>
      </w:r>
      <w:r>
        <w:t>o</w:t>
      </w:r>
      <w:r w:rsidRPr="0083170B">
        <w:t>n</w:t>
      </w:r>
      <w:r>
        <w:t>s</w:t>
      </w:r>
      <w:r w:rsidRPr="0083170B">
        <w:t>, are not subject to EIADR. These activities are listed in regulation 2 and include the removal of waste from, or decontamination work on, a power station or reactor, and the removal of fuel elements, neutron absorber cartridges or control rods, carried out as part of routine operations and not intended to be part of final dismantling or decommissioning.</w:t>
      </w:r>
    </w:p>
    <w:p w14:paraId="56E753C9" w14:textId="77777777" w:rsidR="00364843" w:rsidRPr="0083170B" w:rsidRDefault="00364843" w:rsidP="00364843">
      <w:r w:rsidRPr="00366938">
        <w:t>It should be noted that consent under EIADR does not remove the requirement for permissions under other regulations and therefore once consent has been granted the licensee can begin work on all parts of a decommissioning project so long as the work undertaken does not require additional permissions under TCP or other relevant legislation</w:t>
      </w:r>
      <w:r>
        <w:t xml:space="preserve"> (see Appendix 2)</w:t>
      </w:r>
      <w:r w:rsidRPr="00366938">
        <w:t>.</w:t>
      </w:r>
    </w:p>
    <w:p w14:paraId="03863BBC" w14:textId="77777777" w:rsidR="00364843" w:rsidRPr="002050C1" w:rsidRDefault="00364843" w:rsidP="00A01C3E">
      <w:pPr>
        <w:pStyle w:val="Heading2"/>
      </w:pPr>
      <w:bookmarkStart w:id="10" w:name="_Toc82166930"/>
      <w:bookmarkStart w:id="11" w:name="_Toc124416315"/>
      <w:r>
        <w:lastRenderedPageBreak/>
        <w:t>EIADR Process</w:t>
      </w:r>
      <w:bookmarkEnd w:id="10"/>
      <w:bookmarkEnd w:id="11"/>
    </w:p>
    <w:p w14:paraId="4FAE5C7C" w14:textId="6D90F75E" w:rsidR="00364843" w:rsidRDefault="00364843" w:rsidP="00364843">
      <w:r w:rsidRPr="0083170B">
        <w:t xml:space="preserve">The flow chart in Appendix 1 summarises the </w:t>
      </w:r>
      <w:r>
        <w:t xml:space="preserve">process for getting an </w:t>
      </w:r>
      <w:r w:rsidRPr="0083170B">
        <w:t xml:space="preserve">EIADR </w:t>
      </w:r>
      <w:r>
        <w:t>consent</w:t>
      </w:r>
      <w:r w:rsidRPr="0083170B">
        <w:t xml:space="preserve">. </w:t>
      </w:r>
      <w:r w:rsidR="008F2043">
        <w:br/>
      </w:r>
      <w:r w:rsidRPr="0083170B">
        <w:t>Under the regulations, any licensee wishing to begin to decommission or dismantle a nuclear power station, or other nuclear reactor,</w:t>
      </w:r>
      <w:r>
        <w:t xml:space="preserve"> in scope of the regulations,</w:t>
      </w:r>
      <w:r w:rsidRPr="0083170B">
        <w:t xml:space="preserve"> must apply to ONR for consent to carry out a decommissioning project and prepare an environmental statement which fulfils requirements specified in regulation 5, including a description of the project and its likely significant effects on the environment.  If ONR considers that additional information is required to enable it to </w:t>
      </w:r>
      <w:proofErr w:type="gramStart"/>
      <w:r w:rsidRPr="0083170B">
        <w:t>make a decision</w:t>
      </w:r>
      <w:proofErr w:type="gramEnd"/>
      <w:r w:rsidRPr="0083170B">
        <w:t xml:space="preserve">, such information will be requested and must be supplied by the licensee. </w:t>
      </w:r>
    </w:p>
    <w:p w14:paraId="6F1EDBEF" w14:textId="3ABFB321" w:rsidR="00364843" w:rsidRPr="0083170B" w:rsidRDefault="00364843" w:rsidP="00364843">
      <w:r w:rsidRPr="0083170B">
        <w:t>When planning to undertake an EIA, there is an optional stage where the licensee may request from ONR an opinion on what the environmental statement should contain (called a pre-application opinion or PAO). In such a case, the licensee must provide information (usually in the form of a scoping report) to inform the opinion.</w:t>
      </w:r>
      <w:r>
        <w:t xml:space="preserve"> This is an opportunity for the licensee to set out the scope of the EIADR project and define the point at which the project is considered to have commenced and the end point of the decommissioning project. This will ensure common understanding and agreement with ONR on the scope of the EIADR project moving forward. </w:t>
      </w:r>
    </w:p>
    <w:p w14:paraId="0DE84654" w14:textId="77777777" w:rsidR="00364843" w:rsidRPr="0083170B" w:rsidRDefault="00364843" w:rsidP="00364843">
      <w:r w:rsidRPr="0083170B">
        <w:t xml:space="preserve">ONR must </w:t>
      </w:r>
      <w:proofErr w:type="gramStart"/>
      <w:r w:rsidRPr="0083170B">
        <w:t>take into account</w:t>
      </w:r>
      <w:proofErr w:type="gramEnd"/>
      <w:r w:rsidRPr="0083170B">
        <w:t xml:space="preserve"> the views of the consultation bodies identified in EIADR, both when formulating its PAO on what the environmental statement should contain and when deciding whether or not to grant consent.</w:t>
      </w:r>
    </w:p>
    <w:p w14:paraId="22DECA93" w14:textId="4EAA43B8" w:rsidR="00364843" w:rsidRPr="0083170B" w:rsidRDefault="00364843" w:rsidP="00364843">
      <w:r w:rsidRPr="0083170B">
        <w:t xml:space="preserve">Additionally, ONR will consult with a range of other organisations and individuals that have expertise, </w:t>
      </w:r>
      <w:proofErr w:type="gramStart"/>
      <w:r w:rsidRPr="0083170B">
        <w:t>knowledge</w:t>
      </w:r>
      <w:proofErr w:type="gramEnd"/>
      <w:r w:rsidRPr="0083170B">
        <w:t xml:space="preserve"> or interest in nuclear, planning and environmental matters, and </w:t>
      </w:r>
      <w:r w:rsidR="008F2043" w:rsidRPr="0083170B">
        <w:t>include</w:t>
      </w:r>
      <w:r w:rsidRPr="0083170B">
        <w:t xml:space="preserve"> government departments; the devolved administrations; agencies and bodies; non-governmental organisations (NGOs); and local </w:t>
      </w:r>
      <w:r>
        <w:t xml:space="preserve">stakeholder and other interest </w:t>
      </w:r>
      <w:r w:rsidRPr="0083170B">
        <w:t>groups.</w:t>
      </w:r>
      <w:r>
        <w:t xml:space="preserve"> Consultation responses will be managed by ONR in accordance with the requirements of General Data Protection Regulation (GDPR). </w:t>
      </w:r>
    </w:p>
    <w:p w14:paraId="580E3CDF" w14:textId="77777777" w:rsidR="00364843" w:rsidRPr="0083170B" w:rsidRDefault="00364843" w:rsidP="00364843">
      <w:r w:rsidRPr="0083170B">
        <w:t xml:space="preserve">The regulations include provision for cases when a proposed decommissioning project is likely to have significant effects on the environment of a European Economic Area (EEA) State. In such a case, the State must be informed and consulted on likely environmental impacts of the project and the results of this consultation must be </w:t>
      </w:r>
      <w:proofErr w:type="gramStart"/>
      <w:r w:rsidRPr="0083170B">
        <w:t>taken into account</w:t>
      </w:r>
      <w:proofErr w:type="gramEnd"/>
      <w:r w:rsidRPr="0083170B">
        <w:t xml:space="preserve"> by ONR when deciding whether or not to grant consent.</w:t>
      </w:r>
    </w:p>
    <w:p w14:paraId="35421E30" w14:textId="1A1CD381" w:rsidR="00364843" w:rsidRPr="0083170B" w:rsidRDefault="00364843" w:rsidP="00364843">
      <w:r w:rsidRPr="0083170B">
        <w:t xml:space="preserve">EIADR provides ONR with the power to attach conditions to any consent it grants, as </w:t>
      </w:r>
      <w:r w:rsidR="00F44C4B">
        <w:t>considered</w:t>
      </w:r>
      <w:r w:rsidRPr="0083170B">
        <w:t xml:space="preserve"> necessary or desirable in the interests of limiting the impact of that project on the environment. Such conditions may require</w:t>
      </w:r>
      <w:r>
        <w:t>,</w:t>
      </w:r>
      <w:r w:rsidRPr="0083170B">
        <w:t xml:space="preserve"> for example, the licensee to prepare and implement an environmental management plan. Such a plan identifies mitigation measures, describes the implementation and effectiveness of mitigation measures, and describes changes to mitigation measures and reasons for changes </w:t>
      </w:r>
      <w:proofErr w:type="gramStart"/>
      <w:r w:rsidRPr="0083170B">
        <w:t>in light of</w:t>
      </w:r>
      <w:proofErr w:type="gramEnd"/>
      <w:r w:rsidRPr="0083170B">
        <w:t xml:space="preserve"> experience. In such circumstances a copy of the environmental management plan and its subsequent revisions must be sent to ONR and made </w:t>
      </w:r>
      <w:r w:rsidRPr="0083170B">
        <w:lastRenderedPageBreak/>
        <w:t xml:space="preserve">available to the public. ONR must also be notified in advance of any proposed significant changes to the mitigation measures in the plan. </w:t>
      </w:r>
      <w:r w:rsidR="008F2043">
        <w:br/>
      </w:r>
      <w:r w:rsidRPr="0083170B">
        <w:t>The purpose of this is to aid transparency associated with the project and give stakeholders confidence that the licensee is taking a responsible attitude. EIADR also provide ONR with powers under Health and Safety at Work (etc</w:t>
      </w:r>
      <w:r>
        <w:t>.</w:t>
      </w:r>
      <w:r w:rsidRPr="0083170B">
        <w:t>) Act 1974 [6] to enforce such conditions.</w:t>
      </w:r>
    </w:p>
    <w:p w14:paraId="448CF5D9" w14:textId="715D9C7A" w:rsidR="00364843" w:rsidRPr="0083170B" w:rsidRDefault="00364843" w:rsidP="00364843">
      <w:r w:rsidRPr="0083170B">
        <w:t>At the end of an application process</w:t>
      </w:r>
      <w:r>
        <w:t xml:space="preserve"> (Appendix 1)</w:t>
      </w:r>
      <w:r w:rsidRPr="0083170B">
        <w:t>, when ONR has made its decision on whether or not to grant a consent for the decommissioning project</w:t>
      </w:r>
      <w:r>
        <w:t xml:space="preserve">, </w:t>
      </w:r>
      <w:r w:rsidRPr="0083170B">
        <w:t xml:space="preserve">ONR informs the licensee and the </w:t>
      </w:r>
      <w:r>
        <w:t>SoS</w:t>
      </w:r>
      <w:r w:rsidRPr="0083170B">
        <w:t xml:space="preserve"> of the decision; informs the public by publishing a notice in a local newspaper; and makes </w:t>
      </w:r>
      <w:r>
        <w:t>its assessment report, stating its decision on whether or not to grant consent and the reasons for this decision, available</w:t>
      </w:r>
      <w:r w:rsidRPr="0083170B">
        <w:t xml:space="preserve"> for public inspection</w:t>
      </w:r>
      <w:r>
        <w:t xml:space="preserve"> via the </w:t>
      </w:r>
      <w:hyperlink r:id="rId25" w:history="1">
        <w:r w:rsidRPr="008F2043">
          <w:rPr>
            <w:rStyle w:val="Hyperlink"/>
          </w:rPr>
          <w:t>ONR website</w:t>
        </w:r>
      </w:hyperlink>
      <w:r w:rsidRPr="0083170B">
        <w:t>.</w:t>
      </w:r>
    </w:p>
    <w:p w14:paraId="6F13B7C4" w14:textId="77777777" w:rsidR="00652F10" w:rsidRDefault="00652F10" w:rsidP="00364843">
      <w:pPr>
        <w:pStyle w:val="Heading1"/>
        <w:sectPr w:rsidR="00652F10" w:rsidSect="00407D49">
          <w:pgSz w:w="11906" w:h="16838" w:code="9"/>
          <w:pgMar w:top="1440" w:right="1440" w:bottom="1440" w:left="1440" w:header="397" w:footer="397" w:gutter="0"/>
          <w:cols w:space="312"/>
          <w:docGrid w:linePitch="360"/>
        </w:sectPr>
      </w:pPr>
    </w:p>
    <w:p w14:paraId="3A7D26A8" w14:textId="77777777" w:rsidR="00407D49" w:rsidRDefault="00407D49" w:rsidP="00364843">
      <w:pPr>
        <w:pStyle w:val="Heading1"/>
        <w:sectPr w:rsidR="00407D49" w:rsidSect="00652F10">
          <w:type w:val="continuous"/>
          <w:pgSz w:w="11906" w:h="16838" w:code="9"/>
          <w:pgMar w:top="1440" w:right="1440" w:bottom="1440" w:left="1440" w:header="397" w:footer="397" w:gutter="0"/>
          <w:cols w:space="312"/>
          <w:docGrid w:linePitch="360"/>
        </w:sectPr>
      </w:pPr>
    </w:p>
    <w:p w14:paraId="1837F960" w14:textId="77777777" w:rsidR="00364843" w:rsidRDefault="00364843" w:rsidP="00DD67B8">
      <w:pPr>
        <w:pStyle w:val="Heading1"/>
        <w:numPr>
          <w:ilvl w:val="0"/>
          <w:numId w:val="0"/>
        </w:numPr>
      </w:pPr>
      <w:bookmarkStart w:id="12" w:name="_Toc124416316"/>
      <w:r>
        <w:lastRenderedPageBreak/>
        <w:t>Guidance</w:t>
      </w:r>
      <w:bookmarkEnd w:id="12"/>
    </w:p>
    <w:p w14:paraId="43D6DD4E" w14:textId="0DB86191" w:rsidR="00364843" w:rsidRDefault="00364843" w:rsidP="00A01C3E">
      <w:pPr>
        <w:pStyle w:val="Heading2"/>
      </w:pPr>
      <w:bookmarkStart w:id="13" w:name="_Toc124416317"/>
      <w:r>
        <w:t>Regulation 1 Citation and Commencement</w:t>
      </w:r>
      <w:bookmarkEnd w:id="1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350"/>
        <w:gridCol w:w="7312"/>
      </w:tblGrid>
      <w:tr w:rsidR="00EC143B" w:rsidRPr="008B061F" w14:paraId="33E7FB91" w14:textId="77777777" w:rsidTr="00652F10">
        <w:tc>
          <w:tcPr>
            <w:tcW w:w="752" w:type="pct"/>
          </w:tcPr>
          <w:p w14:paraId="5AE70435" w14:textId="77777777" w:rsidR="00EC143B" w:rsidRPr="008B061F" w:rsidRDefault="00EC143B" w:rsidP="008B061F">
            <w:r w:rsidRPr="008B061F">
              <w:t>Regulation</w:t>
            </w:r>
          </w:p>
        </w:tc>
        <w:tc>
          <w:tcPr>
            <w:tcW w:w="194" w:type="pct"/>
          </w:tcPr>
          <w:p w14:paraId="6B995F16" w14:textId="77777777" w:rsidR="00EC143B" w:rsidRPr="008B061F" w:rsidRDefault="00EC143B" w:rsidP="008B061F">
            <w:pPr>
              <w:rPr>
                <w:sz w:val="28"/>
                <w:szCs w:val="28"/>
              </w:rPr>
            </w:pPr>
            <w:bookmarkStart w:id="14" w:name="_Toc82166933"/>
            <w:bookmarkStart w:id="15" w:name="_Toc117773660"/>
            <w:bookmarkStart w:id="16" w:name="_Toc117773958"/>
            <w:bookmarkStart w:id="17" w:name="_Toc117774078"/>
            <w:r w:rsidRPr="008B061F">
              <w:t>1</w:t>
            </w:r>
            <w:bookmarkEnd w:id="14"/>
            <w:bookmarkEnd w:id="15"/>
            <w:bookmarkEnd w:id="16"/>
            <w:bookmarkEnd w:id="17"/>
          </w:p>
        </w:tc>
        <w:tc>
          <w:tcPr>
            <w:tcW w:w="4054" w:type="pct"/>
          </w:tcPr>
          <w:tbl>
            <w:tblPr>
              <w:tblStyle w:val="TableGrid"/>
              <w:tblW w:w="5000" w:type="pct"/>
              <w:tblLook w:val="04A0" w:firstRow="1" w:lastRow="0" w:firstColumn="1" w:lastColumn="0" w:noHBand="0" w:noVBand="1"/>
            </w:tblPr>
            <w:tblGrid>
              <w:gridCol w:w="764"/>
              <w:gridCol w:w="6332"/>
            </w:tblGrid>
            <w:tr w:rsidR="00EC143B" w:rsidRPr="008B061F" w14:paraId="4A8ADD98" w14:textId="77777777" w:rsidTr="008F2043">
              <w:tc>
                <w:tcPr>
                  <w:tcW w:w="538" w:type="pct"/>
                  <w:tcBorders>
                    <w:top w:val="nil"/>
                    <w:left w:val="nil"/>
                    <w:bottom w:val="nil"/>
                    <w:right w:val="nil"/>
                  </w:tcBorders>
                </w:tcPr>
                <w:p w14:paraId="75E1B62A" w14:textId="77777777" w:rsidR="00EC143B" w:rsidRPr="008B061F" w:rsidRDefault="00EC143B" w:rsidP="008B061F">
                  <w:r w:rsidRPr="008B061F">
                    <w:t>1.(1)</w:t>
                  </w:r>
                </w:p>
              </w:tc>
              <w:tc>
                <w:tcPr>
                  <w:tcW w:w="4462" w:type="pct"/>
                  <w:tcBorders>
                    <w:top w:val="nil"/>
                    <w:left w:val="nil"/>
                    <w:bottom w:val="nil"/>
                    <w:right w:val="nil"/>
                  </w:tcBorders>
                </w:tcPr>
                <w:p w14:paraId="6F166E1A" w14:textId="77777777" w:rsidR="00EC143B" w:rsidRPr="008B061F" w:rsidRDefault="00EC143B" w:rsidP="008B061F">
                  <w:r w:rsidRPr="008B061F">
                    <w:t>These Regulations may be cited as the Nuclear Reactors (Environmental Impact Assessment for Decommissioning) (Amendment) Regulations 2018.</w:t>
                  </w:r>
                </w:p>
              </w:tc>
            </w:tr>
            <w:tr w:rsidR="00EC143B" w:rsidRPr="008B061F" w14:paraId="5C55C501" w14:textId="77777777" w:rsidTr="008F2043">
              <w:tc>
                <w:tcPr>
                  <w:tcW w:w="538" w:type="pct"/>
                  <w:tcBorders>
                    <w:top w:val="nil"/>
                    <w:left w:val="nil"/>
                    <w:bottom w:val="nil"/>
                    <w:right w:val="nil"/>
                  </w:tcBorders>
                </w:tcPr>
                <w:p w14:paraId="4C63FDB0" w14:textId="77777777" w:rsidR="00EC143B" w:rsidRPr="008B061F" w:rsidRDefault="00EC143B" w:rsidP="008B061F">
                  <w:r w:rsidRPr="008B061F">
                    <w:t>1.(2)</w:t>
                  </w:r>
                </w:p>
              </w:tc>
              <w:tc>
                <w:tcPr>
                  <w:tcW w:w="4462" w:type="pct"/>
                  <w:tcBorders>
                    <w:top w:val="nil"/>
                    <w:left w:val="nil"/>
                    <w:bottom w:val="nil"/>
                    <w:right w:val="nil"/>
                  </w:tcBorders>
                </w:tcPr>
                <w:p w14:paraId="3308313D" w14:textId="1E83EB92" w:rsidR="00EC143B" w:rsidRPr="008B061F" w:rsidRDefault="00EC143B" w:rsidP="008B061F">
                  <w:r w:rsidRPr="008B061F">
                    <w:t>These Regulations come into force on 6</w:t>
                  </w:r>
                  <w:r w:rsidR="00A6544D" w:rsidRPr="00A6544D">
                    <w:rPr>
                      <w:vertAlign w:val="superscript"/>
                    </w:rPr>
                    <w:t>th</w:t>
                  </w:r>
                  <w:r w:rsidRPr="008B061F">
                    <w:t xml:space="preserve"> August 2018.</w:t>
                  </w:r>
                </w:p>
              </w:tc>
            </w:tr>
            <w:tr w:rsidR="00EC143B" w:rsidRPr="008B061F" w14:paraId="73992260" w14:textId="77777777" w:rsidTr="008F2043">
              <w:tc>
                <w:tcPr>
                  <w:tcW w:w="538" w:type="pct"/>
                  <w:tcBorders>
                    <w:top w:val="nil"/>
                    <w:left w:val="nil"/>
                    <w:bottom w:val="nil"/>
                    <w:right w:val="nil"/>
                  </w:tcBorders>
                </w:tcPr>
                <w:p w14:paraId="61739B04" w14:textId="77777777" w:rsidR="00EC143B" w:rsidRPr="008B061F" w:rsidRDefault="00EC143B" w:rsidP="008B061F">
                  <w:r w:rsidRPr="008B061F">
                    <w:t>1.(3)</w:t>
                  </w:r>
                </w:p>
              </w:tc>
              <w:tc>
                <w:tcPr>
                  <w:tcW w:w="4462" w:type="pct"/>
                  <w:tcBorders>
                    <w:top w:val="nil"/>
                    <w:left w:val="nil"/>
                    <w:bottom w:val="nil"/>
                    <w:right w:val="nil"/>
                  </w:tcBorders>
                </w:tcPr>
                <w:p w14:paraId="2B0ED89F" w14:textId="77777777" w:rsidR="00EC143B" w:rsidRPr="008B061F" w:rsidRDefault="00EC143B" w:rsidP="008B061F">
                  <w:r w:rsidRPr="008B061F">
                    <w:t>In these Regulations, “the NREIAR 1999” means the Nuclear Reactors (Environmental Impact Assessment for Decommissioning) Regulations 1999.</w:t>
                  </w:r>
                </w:p>
              </w:tc>
            </w:tr>
          </w:tbl>
          <w:p w14:paraId="54C8BC2D" w14:textId="77777777" w:rsidR="00EC143B" w:rsidRPr="008B061F" w:rsidRDefault="00EC143B" w:rsidP="008B061F"/>
        </w:tc>
      </w:tr>
    </w:tbl>
    <w:p w14:paraId="0EF3287F" w14:textId="5A6BC4C2" w:rsidR="00364843" w:rsidRDefault="00364843" w:rsidP="00A01C3E">
      <w:pPr>
        <w:pStyle w:val="Heading2"/>
      </w:pPr>
      <w:bookmarkStart w:id="18" w:name="_Toc124416318"/>
      <w:r>
        <w:t>Regulation 2 Definitions</w:t>
      </w:r>
      <w:bookmarkEnd w:id="1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359"/>
        <w:gridCol w:w="7264"/>
      </w:tblGrid>
      <w:tr w:rsidR="00485A4A" w14:paraId="2EB6AE3D" w14:textId="77777777" w:rsidTr="00407D49">
        <w:tc>
          <w:tcPr>
            <w:tcW w:w="777" w:type="pct"/>
          </w:tcPr>
          <w:p w14:paraId="3CC4CD04" w14:textId="77777777" w:rsidR="00485A4A" w:rsidRPr="00C069CA" w:rsidRDefault="00485A4A" w:rsidP="00407D49">
            <w:r w:rsidRPr="00C069CA">
              <w:t>Regulation</w:t>
            </w:r>
          </w:p>
        </w:tc>
        <w:tc>
          <w:tcPr>
            <w:tcW w:w="199" w:type="pct"/>
          </w:tcPr>
          <w:p w14:paraId="64F9D4D6" w14:textId="77777777" w:rsidR="00485A4A" w:rsidRPr="00907EFD" w:rsidRDefault="00485A4A" w:rsidP="008B061F">
            <w:pPr>
              <w:rPr>
                <w:szCs w:val="24"/>
              </w:rPr>
            </w:pPr>
            <w:bookmarkStart w:id="19" w:name="_Toc82166935"/>
            <w:bookmarkStart w:id="20" w:name="_Toc117773662"/>
            <w:bookmarkStart w:id="21" w:name="_Toc117773960"/>
            <w:bookmarkStart w:id="22" w:name="_Toc117774080"/>
            <w:r w:rsidRPr="00907EFD">
              <w:t>2</w:t>
            </w:r>
            <w:bookmarkEnd w:id="19"/>
            <w:bookmarkEnd w:id="20"/>
            <w:bookmarkEnd w:id="21"/>
            <w:bookmarkEnd w:id="22"/>
          </w:p>
        </w:tc>
        <w:tc>
          <w:tcPr>
            <w:tcW w:w="4023" w:type="pct"/>
          </w:tcPr>
          <w:tbl>
            <w:tblPr>
              <w:tblStyle w:val="TableGrid"/>
              <w:tblW w:w="5000" w:type="pct"/>
              <w:tblLook w:val="04A0" w:firstRow="1" w:lastRow="0" w:firstColumn="1" w:lastColumn="0" w:noHBand="0" w:noVBand="1"/>
            </w:tblPr>
            <w:tblGrid>
              <w:gridCol w:w="710"/>
              <w:gridCol w:w="6338"/>
            </w:tblGrid>
            <w:tr w:rsidR="00485A4A" w:rsidRPr="0083170B" w14:paraId="00C1343C" w14:textId="77777777" w:rsidTr="008B061F">
              <w:tc>
                <w:tcPr>
                  <w:tcW w:w="501" w:type="pct"/>
                  <w:tcBorders>
                    <w:top w:val="nil"/>
                    <w:left w:val="nil"/>
                    <w:bottom w:val="nil"/>
                    <w:right w:val="nil"/>
                  </w:tcBorders>
                </w:tcPr>
                <w:p w14:paraId="5F671365" w14:textId="77777777" w:rsidR="00485A4A" w:rsidRPr="00C069CA" w:rsidRDefault="00485A4A" w:rsidP="008B061F">
                  <w:r w:rsidRPr="00C069CA">
                    <w:t>2.(1)</w:t>
                  </w:r>
                </w:p>
              </w:tc>
              <w:tc>
                <w:tcPr>
                  <w:tcW w:w="4499" w:type="pct"/>
                  <w:tcBorders>
                    <w:top w:val="nil"/>
                    <w:left w:val="nil"/>
                    <w:bottom w:val="nil"/>
                    <w:right w:val="nil"/>
                  </w:tcBorders>
                </w:tcPr>
                <w:p w14:paraId="105FFAFC" w14:textId="77777777" w:rsidR="00485A4A" w:rsidRPr="00C069CA" w:rsidRDefault="00485A4A" w:rsidP="008B061F">
                  <w:r w:rsidRPr="00C069CA">
                    <w:t>In these Regulations unless the context otherwise requires –</w:t>
                  </w:r>
                </w:p>
                <w:p w14:paraId="4D2C6199" w14:textId="77777777" w:rsidR="00485A4A" w:rsidRPr="00C069CA" w:rsidRDefault="00485A4A" w:rsidP="008B061F">
                  <w:r w:rsidRPr="00C069CA">
                    <w:t>“</w:t>
                  </w:r>
                  <w:proofErr w:type="gramStart"/>
                  <w:r w:rsidRPr="00C069CA">
                    <w:t>the</w:t>
                  </w:r>
                  <w:proofErr w:type="gramEnd"/>
                  <w:r w:rsidRPr="00C069CA">
                    <w:t xml:space="preserve"> HSWA” means the Health and Safety at Work etc Act 1974;</w:t>
                  </w:r>
                </w:p>
                <w:p w14:paraId="3AA9126F" w14:textId="77777777" w:rsidR="00485A4A" w:rsidRPr="00C069CA" w:rsidRDefault="00485A4A" w:rsidP="008B061F">
                  <w:r w:rsidRPr="00C069CA">
                    <w:t>“</w:t>
                  </w:r>
                  <w:proofErr w:type="gramStart"/>
                  <w:r w:rsidRPr="00C069CA">
                    <w:t>the</w:t>
                  </w:r>
                  <w:proofErr w:type="gramEnd"/>
                  <w:r w:rsidRPr="00C069CA">
                    <w:t xml:space="preserve"> Directive” means Directive 2011/92/EU of the European Parliament and of the Council on the assessment of the effects of certain public and private projects on the environment as amended by Directive 2014/52/EU of the European Parliament and of the Council;</w:t>
                  </w:r>
                </w:p>
                <w:p w14:paraId="0334FCBA" w14:textId="5E0D7D2A" w:rsidR="00485A4A" w:rsidRPr="00C069CA" w:rsidRDefault="00485A4A" w:rsidP="008B061F">
                  <w:r w:rsidRPr="00C069CA">
                    <w:t>“</w:t>
                  </w:r>
                  <w:proofErr w:type="gramStart"/>
                  <w:r w:rsidRPr="00C069CA">
                    <w:t>the</w:t>
                  </w:r>
                  <w:proofErr w:type="gramEnd"/>
                  <w:r w:rsidRPr="00C069CA">
                    <w:t xml:space="preserve"> Habitats Directive” means Council Directive 92/43/EEC on the conservation of natural habitats and of wild fauna and flora, </w:t>
                  </w:r>
                  <w:r w:rsidR="008F2043" w:rsidRPr="00C069CA">
                    <w:t>as last</w:t>
                  </w:r>
                  <w:r w:rsidRPr="00C069CA">
                    <w:t xml:space="preserve"> amended by Council Directive 2013/17/EU;</w:t>
                  </w:r>
                </w:p>
                <w:p w14:paraId="22D01B3A" w14:textId="77777777" w:rsidR="00485A4A" w:rsidRPr="00C069CA" w:rsidRDefault="00485A4A" w:rsidP="008B061F">
                  <w:r w:rsidRPr="00C069CA">
                    <w:t>“</w:t>
                  </w:r>
                  <w:proofErr w:type="gramStart"/>
                  <w:r w:rsidRPr="00C069CA">
                    <w:t>the</w:t>
                  </w:r>
                  <w:proofErr w:type="gramEnd"/>
                  <w:r w:rsidRPr="00C069CA">
                    <w:t xml:space="preserve"> Wild Birds Directive” means Directive 2009/147/EC of the European Parliament and of the Council on the conservation of wild birds, as amended by Council Directive 2013/17/EU;</w:t>
                  </w:r>
                </w:p>
                <w:p w14:paraId="24B147A2" w14:textId="77777777" w:rsidR="00485A4A" w:rsidRPr="00C069CA" w:rsidRDefault="00485A4A" w:rsidP="008B061F">
                  <w:r w:rsidRPr="00C069CA">
                    <w:t xml:space="preserve">‘‘any particular person’’ includes any non-governmental organisation promoting environmental </w:t>
                  </w:r>
                  <w:proofErr w:type="gramStart"/>
                  <w:r w:rsidRPr="00C069CA">
                    <w:t>protection;</w:t>
                  </w:r>
                  <w:proofErr w:type="gramEnd"/>
                </w:p>
                <w:p w14:paraId="4015C7E0" w14:textId="77777777" w:rsidR="00485A4A" w:rsidRPr="00C069CA" w:rsidRDefault="00485A4A" w:rsidP="008B061F">
                  <w:r w:rsidRPr="00C069CA">
                    <w:t>"</w:t>
                  </w:r>
                  <w:proofErr w:type="gramStart"/>
                  <w:r w:rsidRPr="00C069CA">
                    <w:t>the</w:t>
                  </w:r>
                  <w:proofErr w:type="gramEnd"/>
                  <w:r w:rsidRPr="00C069CA">
                    <w:t xml:space="preserve"> consultation bodies" means –</w:t>
                  </w:r>
                </w:p>
                <w:p w14:paraId="1EA1B4CB" w14:textId="6FA38681" w:rsidR="00485A4A" w:rsidRPr="00C069CA" w:rsidRDefault="00485A4A" w:rsidP="00DE19A2">
                  <w:pPr>
                    <w:pStyle w:val="ListParagraph"/>
                    <w:numPr>
                      <w:ilvl w:val="0"/>
                      <w:numId w:val="101"/>
                    </w:numPr>
                  </w:pPr>
                  <w:r w:rsidRPr="00C069CA">
                    <w:t xml:space="preserve">the local planning </w:t>
                  </w:r>
                  <w:proofErr w:type="gramStart"/>
                  <w:r w:rsidRPr="00C069CA">
                    <w:t>authority;</w:t>
                  </w:r>
                  <w:proofErr w:type="gramEnd"/>
                  <w:r w:rsidRPr="00C069CA">
                    <w:t xml:space="preserve"> </w:t>
                  </w:r>
                </w:p>
                <w:p w14:paraId="3CA1901C" w14:textId="2E9959D4" w:rsidR="00485A4A" w:rsidRPr="00C069CA" w:rsidRDefault="00485A4A" w:rsidP="00DE19A2">
                  <w:pPr>
                    <w:pStyle w:val="ListParagraph"/>
                    <w:numPr>
                      <w:ilvl w:val="0"/>
                      <w:numId w:val="101"/>
                    </w:numPr>
                  </w:pPr>
                  <w:r w:rsidRPr="00C069CA">
                    <w:t xml:space="preserve">the local highway </w:t>
                  </w:r>
                  <w:proofErr w:type="gramStart"/>
                  <w:r w:rsidRPr="00C069CA">
                    <w:t>authority;</w:t>
                  </w:r>
                  <w:proofErr w:type="gramEnd"/>
                  <w:r w:rsidRPr="00C069CA">
                    <w:t xml:space="preserve"> </w:t>
                  </w:r>
                </w:p>
                <w:p w14:paraId="1D225D23" w14:textId="6DC824C6" w:rsidR="00485A4A" w:rsidRPr="00C069CA" w:rsidRDefault="00485A4A" w:rsidP="00DE19A2">
                  <w:pPr>
                    <w:pStyle w:val="ListParagraph"/>
                    <w:numPr>
                      <w:ilvl w:val="0"/>
                      <w:numId w:val="101"/>
                    </w:numPr>
                  </w:pPr>
                  <w:r w:rsidRPr="00C069CA">
                    <w:lastRenderedPageBreak/>
                    <w:t xml:space="preserve">any principal council for the area in which the site where the project is to be carried out, if not the local planning </w:t>
                  </w:r>
                  <w:proofErr w:type="gramStart"/>
                  <w:r w:rsidRPr="00C069CA">
                    <w:t>authority;</w:t>
                  </w:r>
                  <w:proofErr w:type="gramEnd"/>
                  <w:r w:rsidRPr="00C069CA">
                    <w:t xml:space="preserve"> </w:t>
                  </w:r>
                </w:p>
                <w:p w14:paraId="4A5BCED2" w14:textId="3349B1B6" w:rsidR="00485A4A" w:rsidRPr="00C069CA" w:rsidRDefault="00485A4A" w:rsidP="00DE19A2">
                  <w:pPr>
                    <w:pStyle w:val="ListParagraph"/>
                    <w:numPr>
                      <w:ilvl w:val="0"/>
                      <w:numId w:val="101"/>
                    </w:numPr>
                  </w:pPr>
                  <w:r w:rsidRPr="00C069CA">
                    <w:t>in England</w:t>
                  </w:r>
                </w:p>
                <w:p w14:paraId="3F1A3697" w14:textId="1D0B53DE" w:rsidR="00485A4A" w:rsidRPr="00C069CA" w:rsidRDefault="00485A4A" w:rsidP="00DE19A2">
                  <w:pPr>
                    <w:pStyle w:val="ListParagraph"/>
                    <w:numPr>
                      <w:ilvl w:val="0"/>
                      <w:numId w:val="104"/>
                    </w:numPr>
                  </w:pPr>
                  <w:r w:rsidRPr="00C069CA">
                    <w:t xml:space="preserve">the Environment </w:t>
                  </w:r>
                  <w:proofErr w:type="gramStart"/>
                  <w:r w:rsidRPr="00C069CA">
                    <w:t>Agency;</w:t>
                  </w:r>
                  <w:proofErr w:type="gramEnd"/>
                  <w:r w:rsidRPr="00C069CA">
                    <w:t xml:space="preserve"> </w:t>
                  </w:r>
                </w:p>
                <w:p w14:paraId="6BAD12B3" w14:textId="3C75837B" w:rsidR="00485A4A" w:rsidRPr="00C069CA" w:rsidRDefault="00485A4A" w:rsidP="00DE19A2">
                  <w:pPr>
                    <w:pStyle w:val="ListParagraph"/>
                    <w:numPr>
                      <w:ilvl w:val="0"/>
                      <w:numId w:val="104"/>
                    </w:numPr>
                  </w:pPr>
                  <w:r w:rsidRPr="00C069CA">
                    <w:t>Natural England</w:t>
                  </w:r>
                </w:p>
                <w:p w14:paraId="69B340AE" w14:textId="47394636" w:rsidR="00485A4A" w:rsidRPr="00C069CA" w:rsidRDefault="00485A4A" w:rsidP="00DE19A2">
                  <w:pPr>
                    <w:pStyle w:val="ListParagraph"/>
                    <w:numPr>
                      <w:ilvl w:val="0"/>
                      <w:numId w:val="101"/>
                    </w:numPr>
                  </w:pPr>
                  <w:r w:rsidRPr="00C069CA">
                    <w:t>in Wales, the Natural Resources Body for Wales; and</w:t>
                  </w:r>
                </w:p>
                <w:p w14:paraId="1CC54388" w14:textId="6ED53898" w:rsidR="00485A4A" w:rsidRPr="00C069CA" w:rsidRDefault="00485A4A" w:rsidP="00DE19A2">
                  <w:pPr>
                    <w:pStyle w:val="ListParagraph"/>
                    <w:numPr>
                      <w:ilvl w:val="0"/>
                      <w:numId w:val="101"/>
                    </w:numPr>
                  </w:pPr>
                  <w:r w:rsidRPr="00C069CA">
                    <w:t xml:space="preserve">in Scotland, Scottish Natural Heritage and the Scottish Environment Protection </w:t>
                  </w:r>
                  <w:proofErr w:type="gramStart"/>
                  <w:r w:rsidRPr="00C069CA">
                    <w:t>Agency;</w:t>
                  </w:r>
                  <w:proofErr w:type="gramEnd"/>
                </w:p>
                <w:p w14:paraId="56BC7698" w14:textId="680569EA" w:rsidR="00485A4A" w:rsidRPr="00C069CA" w:rsidRDefault="00485A4A" w:rsidP="00DE19A2">
                  <w:pPr>
                    <w:pStyle w:val="ListParagraph"/>
                    <w:numPr>
                      <w:ilvl w:val="0"/>
                      <w:numId w:val="101"/>
                    </w:numPr>
                  </w:pPr>
                  <w:r w:rsidRPr="00C069CA">
                    <w:t xml:space="preserve">any other body with environmental or public health responsibilities or local or regional competencies with whom the ONR considers it appropriate to </w:t>
                  </w:r>
                  <w:proofErr w:type="gramStart"/>
                  <w:r w:rsidRPr="00C069CA">
                    <w:t>consult;</w:t>
                  </w:r>
                  <w:proofErr w:type="gramEnd"/>
                </w:p>
                <w:p w14:paraId="171E9C48" w14:textId="77777777" w:rsidR="00485A4A" w:rsidRPr="00C069CA" w:rsidRDefault="00485A4A" w:rsidP="008B061F">
                  <w:r w:rsidRPr="00C069CA">
                    <w:t>"EEA State" means a State party to the Agreement on the European Economic Area</w:t>
                  </w:r>
                  <w:r w:rsidRPr="00C069CA">
                    <w:rPr>
                      <w:rStyle w:val="FootnoteReference"/>
                      <w:i/>
                      <w:iCs/>
                    </w:rPr>
                    <w:footnoteReference w:id="5"/>
                  </w:r>
                  <w:r w:rsidRPr="00C069CA">
                    <w:t>;</w:t>
                  </w:r>
                </w:p>
                <w:p w14:paraId="0C5E41B0" w14:textId="77777777" w:rsidR="00485A4A" w:rsidRPr="00C069CA" w:rsidRDefault="00485A4A" w:rsidP="008B061F">
                  <w:r w:rsidRPr="00C069CA">
                    <w:t>"</w:t>
                  </w:r>
                  <w:proofErr w:type="gramStart"/>
                  <w:r w:rsidRPr="00C069CA">
                    <w:t>environmental</w:t>
                  </w:r>
                  <w:proofErr w:type="gramEnd"/>
                  <w:r w:rsidRPr="00C069CA">
                    <w:t xml:space="preserve"> impact assessment" means, in relation to a project</w:t>
                  </w:r>
                </w:p>
                <w:p w14:paraId="170AB403" w14:textId="2F5AC631" w:rsidR="00485A4A" w:rsidRPr="00C069CA" w:rsidRDefault="00485A4A" w:rsidP="00DE19A2">
                  <w:pPr>
                    <w:pStyle w:val="ListParagraph"/>
                    <w:numPr>
                      <w:ilvl w:val="0"/>
                      <w:numId w:val="105"/>
                    </w:numPr>
                  </w:pPr>
                  <w:r w:rsidRPr="00C069CA">
                    <w:t xml:space="preserve">the preparation of an environmental statement by the licensee under regulations 5 and </w:t>
                  </w:r>
                  <w:proofErr w:type="gramStart"/>
                  <w:r w:rsidRPr="00C069CA">
                    <w:t>6;</w:t>
                  </w:r>
                  <w:proofErr w:type="gramEnd"/>
                </w:p>
                <w:p w14:paraId="10A89DFA" w14:textId="733D5294" w:rsidR="00485A4A" w:rsidRPr="00C069CA" w:rsidRDefault="00485A4A" w:rsidP="00DE19A2">
                  <w:pPr>
                    <w:pStyle w:val="ListParagraph"/>
                    <w:numPr>
                      <w:ilvl w:val="0"/>
                      <w:numId w:val="105"/>
                    </w:numPr>
                  </w:pPr>
                  <w:r w:rsidRPr="00C069CA">
                    <w:t xml:space="preserve">the carrying out of any consultations under regulations 8 to 10A, and </w:t>
                  </w:r>
                  <w:proofErr w:type="gramStart"/>
                  <w:r w:rsidRPr="00C069CA">
                    <w:t>12;</w:t>
                  </w:r>
                  <w:proofErr w:type="gramEnd"/>
                </w:p>
                <w:p w14:paraId="2FC12CDB" w14:textId="713F39B7" w:rsidR="00485A4A" w:rsidRPr="00C069CA" w:rsidRDefault="00485A4A" w:rsidP="00DE19A2">
                  <w:pPr>
                    <w:pStyle w:val="ListParagraph"/>
                    <w:numPr>
                      <w:ilvl w:val="0"/>
                      <w:numId w:val="105"/>
                    </w:numPr>
                  </w:pPr>
                  <w:r w:rsidRPr="00C069CA">
                    <w:t>the ONR’s consideration of the information about the likely significant effects of the project on the environment under regulation 10</w:t>
                  </w:r>
                  <w:proofErr w:type="gramStart"/>
                  <w:r w:rsidRPr="00C069CA">
                    <w:t>B(</w:t>
                  </w:r>
                  <w:proofErr w:type="gramEnd"/>
                  <w:r w:rsidRPr="00C069CA">
                    <w:t>2);</w:t>
                  </w:r>
                </w:p>
                <w:p w14:paraId="20E28768" w14:textId="3A90377C" w:rsidR="00485A4A" w:rsidRPr="00C069CA" w:rsidRDefault="00485A4A" w:rsidP="00DE19A2">
                  <w:pPr>
                    <w:pStyle w:val="ListParagraph"/>
                    <w:numPr>
                      <w:ilvl w:val="0"/>
                      <w:numId w:val="105"/>
                    </w:numPr>
                  </w:pPr>
                  <w:r w:rsidRPr="00C069CA">
                    <w:t>the ONR reaching a conclusion about the significant effects of the project on the environment under regulation 10</w:t>
                  </w:r>
                  <w:proofErr w:type="gramStart"/>
                  <w:r w:rsidRPr="00C069CA">
                    <w:t>B(</w:t>
                  </w:r>
                  <w:proofErr w:type="gramEnd"/>
                  <w:r w:rsidRPr="00C069CA">
                    <w:t>3); and</w:t>
                  </w:r>
                </w:p>
                <w:p w14:paraId="2D715CF3" w14:textId="15607521" w:rsidR="00485A4A" w:rsidRPr="00C069CA" w:rsidRDefault="00485A4A" w:rsidP="00DE19A2">
                  <w:pPr>
                    <w:pStyle w:val="ListParagraph"/>
                    <w:numPr>
                      <w:ilvl w:val="0"/>
                      <w:numId w:val="105"/>
                    </w:numPr>
                  </w:pPr>
                  <w:r w:rsidRPr="00C069CA">
                    <w:t>the ONR’s consideration of that conclusion under regulation 10</w:t>
                  </w:r>
                  <w:proofErr w:type="gramStart"/>
                  <w:r w:rsidRPr="00C069CA">
                    <w:t>C(</w:t>
                  </w:r>
                  <w:proofErr w:type="gramEnd"/>
                  <w:r w:rsidRPr="00C069CA">
                    <w:t xml:space="preserve">1) when determining the application. </w:t>
                  </w:r>
                </w:p>
                <w:p w14:paraId="7107AAA5" w14:textId="77777777" w:rsidR="00485A4A" w:rsidRPr="00C069CA" w:rsidRDefault="00485A4A" w:rsidP="008B061F">
                  <w:r w:rsidRPr="00C069CA">
                    <w:t>“</w:t>
                  </w:r>
                  <w:proofErr w:type="gramStart"/>
                  <w:r w:rsidRPr="00C069CA">
                    <w:t>environmental</w:t>
                  </w:r>
                  <w:proofErr w:type="gramEnd"/>
                  <w:r w:rsidRPr="00C069CA">
                    <w:t xml:space="preserve"> statement” is to be read in accordance with regulation 5;</w:t>
                  </w:r>
                </w:p>
                <w:p w14:paraId="4E2A6A03" w14:textId="77777777" w:rsidR="00485A4A" w:rsidRPr="00C069CA" w:rsidRDefault="00485A4A" w:rsidP="008B061F">
                  <w:r w:rsidRPr="00C069CA">
                    <w:t xml:space="preserve">“EU environmental assessment” means an assessment of the effect of anything on the environment carried out under retained EU law other than any law of any part of the United Kingdom that implemented the Directive. </w:t>
                  </w:r>
                </w:p>
                <w:p w14:paraId="4C31C87C" w14:textId="77777777" w:rsidR="00485A4A" w:rsidRPr="00C069CA" w:rsidRDefault="00485A4A" w:rsidP="008B061F">
                  <w:r w:rsidRPr="00C069CA">
                    <w:lastRenderedPageBreak/>
                    <w:t>"licensee" means a person to whom a nuclear site licence has been granted under the Nuclear Installations Act 1965</w:t>
                  </w:r>
                  <w:r w:rsidRPr="00C069CA">
                    <w:rPr>
                      <w:rStyle w:val="FootnoteReference"/>
                      <w:i/>
                      <w:iCs/>
                    </w:rPr>
                    <w:footnoteReference w:id="6"/>
                  </w:r>
                  <w:r w:rsidRPr="00C069CA">
                    <w:t xml:space="preserve"> whether or not that licence remains in </w:t>
                  </w:r>
                  <w:proofErr w:type="gramStart"/>
                  <w:r w:rsidRPr="00C069CA">
                    <w:t>force;</w:t>
                  </w:r>
                  <w:proofErr w:type="gramEnd"/>
                </w:p>
                <w:p w14:paraId="2CE51D42" w14:textId="77777777" w:rsidR="00485A4A" w:rsidRPr="00C069CA" w:rsidRDefault="00485A4A" w:rsidP="008B061F">
                  <w:r w:rsidRPr="00C069CA">
                    <w:t>"</w:t>
                  </w:r>
                  <w:proofErr w:type="gramStart"/>
                  <w:r w:rsidRPr="00C069CA">
                    <w:t>local</w:t>
                  </w:r>
                  <w:proofErr w:type="gramEnd"/>
                  <w:r w:rsidRPr="00C069CA">
                    <w:t xml:space="preserve"> planning authority" means, in England and Wales a local planning authority within the meaning of Part I of the Town and Country Planning Act 1990</w:t>
                  </w:r>
                  <w:r w:rsidRPr="00C069CA">
                    <w:rPr>
                      <w:rStyle w:val="FootnoteReference"/>
                      <w:i/>
                      <w:iCs/>
                    </w:rPr>
                    <w:footnoteReference w:id="7"/>
                  </w:r>
                  <w:r w:rsidRPr="00C069CA">
                    <w:t xml:space="preserve"> and in Scotland, a planning authority within the meaning of Part I of the Town and Country Planning (Scotland) Act 1997</w:t>
                  </w:r>
                  <w:r w:rsidRPr="00C069CA">
                    <w:rPr>
                      <w:rStyle w:val="FootnoteReference"/>
                      <w:i/>
                      <w:iCs/>
                    </w:rPr>
                    <w:footnoteReference w:id="8"/>
                  </w:r>
                  <w:r w:rsidRPr="00C069CA">
                    <w:t>;</w:t>
                  </w:r>
                </w:p>
                <w:p w14:paraId="6CA02924" w14:textId="77777777" w:rsidR="00485A4A" w:rsidRPr="00C069CA" w:rsidRDefault="00485A4A" w:rsidP="008B061F">
                  <w:r w:rsidRPr="00C069CA">
                    <w:t>“</w:t>
                  </w:r>
                  <w:proofErr w:type="gramStart"/>
                  <w:r w:rsidRPr="00C069CA">
                    <w:t>the</w:t>
                  </w:r>
                  <w:proofErr w:type="gramEnd"/>
                  <w:r w:rsidRPr="00C069CA">
                    <w:t xml:space="preserve"> ONR” means the Office for Nuclear Regulation;</w:t>
                  </w:r>
                </w:p>
                <w:p w14:paraId="575744CF" w14:textId="77777777" w:rsidR="00485A4A" w:rsidRPr="00C069CA" w:rsidRDefault="00485A4A" w:rsidP="008B061F">
                  <w:r w:rsidRPr="00C069CA">
                    <w:t>“</w:t>
                  </w:r>
                  <w:proofErr w:type="gramStart"/>
                  <w:r w:rsidRPr="00C069CA">
                    <w:t>environmental</w:t>
                  </w:r>
                  <w:proofErr w:type="gramEnd"/>
                  <w:r w:rsidRPr="00C069CA">
                    <w:t xml:space="preserve"> assessment” (except in the phrase “EU environmental assessment”) means an assessment carried out in accordance with an obligation under the law of any part of the United Kingdom of the effect of anything on the environment;</w:t>
                  </w:r>
                </w:p>
                <w:p w14:paraId="49F7A76B" w14:textId="77777777" w:rsidR="00485A4A" w:rsidRPr="00C069CA" w:rsidRDefault="00485A4A" w:rsidP="008B061F">
                  <w:r w:rsidRPr="00C069CA">
                    <w:t xml:space="preserve">"project" means the carrying out of any dismantling or decommissioning work on any nuclear power station or nuclear reactor to which these Regulations apply by virtue of regulation 3(1), but it does not include – </w:t>
                  </w:r>
                </w:p>
                <w:p w14:paraId="3CDE9521" w14:textId="2F3C1501" w:rsidR="00485A4A" w:rsidRPr="00C069CA" w:rsidRDefault="00485A4A" w:rsidP="00DE19A2">
                  <w:pPr>
                    <w:pStyle w:val="ListParagraph"/>
                    <w:numPr>
                      <w:ilvl w:val="0"/>
                      <w:numId w:val="106"/>
                    </w:numPr>
                  </w:pPr>
                  <w:r w:rsidRPr="00C069CA">
                    <w:t xml:space="preserve">the removal from a power station or reactor of fuel elements, neutron absorption cartridges or control rods carried out in accordance with normal operating procedures; or  </w:t>
                  </w:r>
                </w:p>
                <w:p w14:paraId="420BE3FC" w14:textId="5921EEB3" w:rsidR="00485A4A" w:rsidRPr="00C069CA" w:rsidRDefault="00485A4A" w:rsidP="00DE19A2">
                  <w:pPr>
                    <w:pStyle w:val="ListParagraph"/>
                    <w:numPr>
                      <w:ilvl w:val="0"/>
                      <w:numId w:val="106"/>
                    </w:numPr>
                  </w:pPr>
                  <w:r w:rsidRPr="00C069CA">
                    <w:t xml:space="preserve">the removal of waste from, or decontamination work on, a power station or reactor when such an activity is carried out as part of routine operations not intended to be part of final dismantling or decontamination of that station or </w:t>
                  </w:r>
                  <w:proofErr w:type="gramStart"/>
                  <w:r w:rsidRPr="00C069CA">
                    <w:t>reactor;</w:t>
                  </w:r>
                  <w:proofErr w:type="gramEnd"/>
                </w:p>
                <w:p w14:paraId="5D3621F2" w14:textId="77777777" w:rsidR="00485A4A" w:rsidRPr="00C069CA" w:rsidRDefault="00485A4A" w:rsidP="008B061F">
                  <w:r w:rsidRPr="00C069CA">
                    <w:t>and for the purposes of this definition dismantling or decommissioning of a nuclear power station or nuclear reactor shall not be treated as having commenced unless plant or equipment is disabled or removed for the purpose of permanently preventing the continued operation of that station or reactor.</w:t>
                  </w:r>
                </w:p>
              </w:tc>
            </w:tr>
          </w:tbl>
          <w:p w14:paraId="0EFD83D1" w14:textId="77777777" w:rsidR="00485A4A" w:rsidRDefault="00485A4A" w:rsidP="00D328FC">
            <w:pPr>
              <w:pStyle w:val="NumberedParagraph"/>
              <w:numPr>
                <w:ilvl w:val="0"/>
                <w:numId w:val="0"/>
              </w:numPr>
            </w:pPr>
          </w:p>
        </w:tc>
      </w:tr>
      <w:tr w:rsidR="00485A4A" w14:paraId="6F9C252C" w14:textId="77777777" w:rsidTr="00407D49">
        <w:tc>
          <w:tcPr>
            <w:tcW w:w="777" w:type="pct"/>
            <w:shd w:val="clear" w:color="auto" w:fill="008080"/>
          </w:tcPr>
          <w:p w14:paraId="314719D0" w14:textId="77777777" w:rsidR="00485A4A" w:rsidRPr="008F2043" w:rsidRDefault="00485A4A" w:rsidP="008F2043">
            <w:pPr>
              <w:rPr>
                <w:color w:val="FFFFFF" w:themeColor="background1"/>
              </w:rPr>
            </w:pPr>
            <w:r w:rsidRPr="008F2043">
              <w:rPr>
                <w:color w:val="FFFFFF" w:themeColor="background1"/>
              </w:rPr>
              <w:lastRenderedPageBreak/>
              <w:t xml:space="preserve">Guidance </w:t>
            </w:r>
          </w:p>
        </w:tc>
        <w:tc>
          <w:tcPr>
            <w:tcW w:w="199" w:type="pct"/>
            <w:shd w:val="clear" w:color="auto" w:fill="008080"/>
          </w:tcPr>
          <w:p w14:paraId="0FB612E0" w14:textId="77777777" w:rsidR="00485A4A" w:rsidRPr="008F2043" w:rsidRDefault="00485A4A" w:rsidP="008F2043">
            <w:pPr>
              <w:rPr>
                <w:color w:val="FFFFFF" w:themeColor="background1"/>
              </w:rPr>
            </w:pPr>
            <w:bookmarkStart w:id="23" w:name="_Toc82166936"/>
            <w:bookmarkStart w:id="24" w:name="_Toc117773663"/>
            <w:bookmarkStart w:id="25" w:name="_Toc117773961"/>
            <w:bookmarkStart w:id="26" w:name="_Toc117774081"/>
            <w:r w:rsidRPr="008F2043">
              <w:rPr>
                <w:color w:val="FFFFFF" w:themeColor="background1"/>
              </w:rPr>
              <w:t>2</w:t>
            </w:r>
            <w:bookmarkEnd w:id="23"/>
            <w:bookmarkEnd w:id="24"/>
            <w:bookmarkEnd w:id="25"/>
            <w:bookmarkEnd w:id="26"/>
          </w:p>
        </w:tc>
        <w:tc>
          <w:tcPr>
            <w:tcW w:w="4023" w:type="pct"/>
          </w:tcPr>
          <w:p w14:paraId="56FED016" w14:textId="77777777" w:rsidR="00485A4A" w:rsidRPr="00280DD8" w:rsidRDefault="00485A4A" w:rsidP="00315CF2">
            <w:pPr>
              <w:pStyle w:val="Regulationpara"/>
            </w:pPr>
            <w:r w:rsidRPr="00280DD8">
              <w:t xml:space="preserve">At the time of publication, the consultation bodies are: </w:t>
            </w:r>
          </w:p>
          <w:p w14:paraId="0881C0BD" w14:textId="77777777" w:rsidR="00485A4A" w:rsidRPr="00280DD8" w:rsidRDefault="00485A4A" w:rsidP="00DE19A2">
            <w:pPr>
              <w:pStyle w:val="Bulletlist1"/>
              <w:ind w:left="697" w:hanging="357"/>
            </w:pPr>
            <w:r w:rsidRPr="00280DD8">
              <w:lastRenderedPageBreak/>
              <w:t>the local planning authority and principal council (if different from the local planning authority);</w:t>
            </w:r>
          </w:p>
          <w:p w14:paraId="74CBBB45" w14:textId="77777777" w:rsidR="00485A4A" w:rsidRPr="00280DD8" w:rsidRDefault="00485A4A" w:rsidP="00DE19A2">
            <w:pPr>
              <w:pStyle w:val="Bulletlist1"/>
              <w:ind w:left="697" w:hanging="357"/>
            </w:pPr>
            <w:r w:rsidRPr="00280DD8">
              <w:t>the local highway authority;</w:t>
            </w:r>
          </w:p>
          <w:p w14:paraId="46DC3124" w14:textId="77777777" w:rsidR="00485A4A" w:rsidRPr="00280DD8" w:rsidRDefault="00485A4A" w:rsidP="00DE19A2">
            <w:pPr>
              <w:pStyle w:val="Bulletlist1"/>
              <w:ind w:left="697" w:hanging="357"/>
            </w:pPr>
            <w:r w:rsidRPr="00280DD8">
              <w:t>in England, Natural England and the Environment Agency;</w:t>
            </w:r>
          </w:p>
          <w:p w14:paraId="0855FB49" w14:textId="77777777" w:rsidR="00485A4A" w:rsidRPr="00280DD8" w:rsidRDefault="00485A4A" w:rsidP="00DE19A2">
            <w:pPr>
              <w:pStyle w:val="Bulletlist1"/>
              <w:ind w:left="697" w:hanging="357"/>
            </w:pPr>
            <w:r w:rsidRPr="00280DD8">
              <w:t>in Scotland, the Scottish Environment Protection Agency and Scottish Natural Heritage; and</w:t>
            </w:r>
          </w:p>
          <w:p w14:paraId="6595E4C0" w14:textId="77777777" w:rsidR="00485A4A" w:rsidRPr="00280DD8" w:rsidRDefault="00485A4A" w:rsidP="00DE19A2">
            <w:pPr>
              <w:pStyle w:val="Bulletlist1"/>
              <w:ind w:left="697" w:hanging="357"/>
            </w:pPr>
            <w:r w:rsidRPr="00280DD8">
              <w:t>in Wales, the Natural Resources Body for Wales</w:t>
            </w:r>
          </w:p>
          <w:p w14:paraId="427593A9" w14:textId="77777777" w:rsidR="00485A4A" w:rsidRPr="00280DD8" w:rsidRDefault="00485A4A" w:rsidP="00DE19A2">
            <w:pPr>
              <w:pStyle w:val="Bulletlist1"/>
              <w:ind w:left="697" w:hanging="357"/>
            </w:pPr>
            <w:r w:rsidRPr="00280DD8">
              <w:t xml:space="preserve">any other body with environmental or public health responsibilities or local or regional competencies with whom ONR considers it appropriate to consult. </w:t>
            </w:r>
          </w:p>
          <w:p w14:paraId="33AE822D" w14:textId="77777777" w:rsidR="00485A4A" w:rsidRPr="00315CF2" w:rsidRDefault="00485A4A" w:rsidP="00315CF2">
            <w:pPr>
              <w:pStyle w:val="Regulationpara"/>
            </w:pPr>
            <w:r w:rsidRPr="00315CF2">
              <w:t>If any of the consultation bodies are subject to change of name or re-organisation, the organisation taking on the role that is currently carried out by the body listed in Regulation 2, will become the consultation body.</w:t>
            </w:r>
          </w:p>
          <w:p w14:paraId="48C4D2A3" w14:textId="77777777" w:rsidR="00485A4A" w:rsidRPr="00315CF2" w:rsidRDefault="00485A4A" w:rsidP="00315CF2">
            <w:pPr>
              <w:pStyle w:val="Regulationpara"/>
            </w:pPr>
            <w:r w:rsidRPr="00315CF2">
              <w:t>Local planning is usually the responsibility of a locally elected authority. There are different systems of local government across Great Britain, when there is some doubt regarding which tier of local authority provides the planning function, ONR will consult all relevant levels.</w:t>
            </w:r>
          </w:p>
          <w:p w14:paraId="41D18C55" w14:textId="4BD014EC" w:rsidR="00485A4A" w:rsidRPr="00315CF2" w:rsidRDefault="00485A4A" w:rsidP="00315CF2">
            <w:pPr>
              <w:pStyle w:val="Regulationpara"/>
            </w:pPr>
            <w:r w:rsidRPr="00315CF2">
              <w:t xml:space="preserve">An "EEA state" means a country that has signed-up to the Agreement on the European Economic Area. The EEA consists of the European Union member states plus Norway, </w:t>
            </w:r>
            <w:proofErr w:type="gramStart"/>
            <w:r w:rsidRPr="00315CF2">
              <w:t>Iceland</w:t>
            </w:r>
            <w:proofErr w:type="gramEnd"/>
            <w:r w:rsidRPr="00315CF2">
              <w:t xml:space="preserve"> and Liechtenstein. The ‘EU Exit’ Regulations 2019 amend this aspect of the regulations to reflect that the UK is no longer an EEA State </w:t>
            </w:r>
            <w:sdt>
              <w:sdtPr>
                <w:id w:val="-1253036943"/>
                <w:citation/>
              </w:sdtPr>
              <w:sdtEndPr/>
              <w:sdtContent>
                <w:r w:rsidR="00D01E22">
                  <w:fldChar w:fldCharType="begin"/>
                </w:r>
                <w:r w:rsidR="00D01E22">
                  <w:instrText xml:space="preserve"> CITATION HMG191 \l 2057 </w:instrText>
                </w:r>
                <w:r w:rsidR="00D01E22">
                  <w:fldChar w:fldCharType="separate"/>
                </w:r>
                <w:r w:rsidR="000416A5" w:rsidRPr="000416A5">
                  <w:rPr>
                    <w:noProof/>
                  </w:rPr>
                  <w:t>[3]</w:t>
                </w:r>
                <w:r w:rsidR="00D01E22">
                  <w:fldChar w:fldCharType="end"/>
                </w:r>
              </w:sdtContent>
            </w:sdt>
            <w:r w:rsidRPr="00315CF2">
              <w:t>.</w:t>
            </w:r>
          </w:p>
          <w:p w14:paraId="1F017FE8" w14:textId="77777777" w:rsidR="00485A4A" w:rsidRPr="008F2043" w:rsidRDefault="00485A4A" w:rsidP="008F2043">
            <w:pPr>
              <w:rPr>
                <w:b/>
                <w:bCs/>
              </w:rPr>
            </w:pPr>
            <w:r w:rsidRPr="008F2043">
              <w:rPr>
                <w:b/>
                <w:bCs/>
              </w:rPr>
              <w:t>Activities in scope of EIADR</w:t>
            </w:r>
          </w:p>
          <w:p w14:paraId="1794B7C2" w14:textId="47FAD46A" w:rsidR="00485A4A" w:rsidRDefault="00485A4A" w:rsidP="00407D49">
            <w:pPr>
              <w:pStyle w:val="Regulationpara"/>
            </w:pPr>
            <w:r>
              <w:t>Under Regulation 2(1), the definition of ‘project’ explicitly excludes defueling carried out in accordance with normal operating procedures. However, w</w:t>
            </w:r>
            <w:r w:rsidRPr="00280DD8">
              <w:t xml:space="preserve">here </w:t>
            </w:r>
            <w:r>
              <w:t xml:space="preserve">there are circumstances that </w:t>
            </w:r>
            <w:r w:rsidRPr="00280DD8">
              <w:t>the removal of fuel elements, neutron absorber cartridges or control rods</w:t>
            </w:r>
            <w:r>
              <w:t xml:space="preserve"> might not be carried out under normal operating procedures, then the exemption would not </w:t>
            </w:r>
            <w:r w:rsidR="008F2043">
              <w:t>apply,</w:t>
            </w:r>
            <w:r>
              <w:t xml:space="preserve"> and such defueling could form part of the project. </w:t>
            </w:r>
          </w:p>
          <w:p w14:paraId="3F5A441A" w14:textId="77777777" w:rsidR="00485A4A" w:rsidRDefault="00485A4A" w:rsidP="00407D49">
            <w:pPr>
              <w:pStyle w:val="Regulationpara"/>
            </w:pPr>
            <w:r w:rsidRPr="00280DD8">
              <w:t xml:space="preserve">Dismantling or decommissioning of a nuclear power station or nuclear reactor shall not be treated as having commenced unless plant or equipment is disabled or removed for the purpose of permanently preventing the </w:t>
            </w:r>
            <w:r w:rsidRPr="00280DD8">
              <w:lastRenderedPageBreak/>
              <w:t>continued operation of the station or reactor.</w:t>
            </w:r>
            <w:r>
              <w:t xml:space="preserve"> The licensee would therefore need to be clear on the ‘purpose’ of activities to disable or remove plant or equipment following end of generation, </w:t>
            </w:r>
            <w:proofErr w:type="gramStart"/>
            <w:r>
              <w:t>in order to</w:t>
            </w:r>
            <w:proofErr w:type="gramEnd"/>
            <w:r>
              <w:t xml:space="preserve"> understand whether such activity commences the EIADR project. When applying for consent, the description of the EIADR project will define the action which commences the EIADR project. </w:t>
            </w:r>
          </w:p>
          <w:p w14:paraId="04F35CE2" w14:textId="77777777" w:rsidR="00485A4A" w:rsidRDefault="00485A4A" w:rsidP="00407D49">
            <w:pPr>
              <w:pStyle w:val="Regulationpara"/>
            </w:pPr>
            <w:r w:rsidRPr="00280DD8">
              <w:t>When the removal of waste from, or decontamination work on, a power station or reactor is carried out as part of routine operations, not intended to be part of final dismantling or decommissioning, then these activities are not subject to EIADR. For example, if waste originates from routine operations, then this may</w:t>
            </w:r>
            <w:r>
              <w:t xml:space="preserve"> continue to be managed and processed </w:t>
            </w:r>
            <w:r w:rsidRPr="00280DD8">
              <w:t xml:space="preserve">before consent to begin the decommissioning project is granted. Similarly, emptying vaults of operational waste is not subject to EIADR, if the work was already in progress before the cessation of operation. </w:t>
            </w:r>
          </w:p>
          <w:p w14:paraId="073F0FDD" w14:textId="77777777" w:rsidR="00485A4A" w:rsidRPr="008F2043" w:rsidRDefault="00485A4A" w:rsidP="008F2043">
            <w:pPr>
              <w:rPr>
                <w:b/>
                <w:bCs/>
              </w:rPr>
            </w:pPr>
            <w:r w:rsidRPr="008F2043">
              <w:rPr>
                <w:b/>
                <w:bCs/>
              </w:rPr>
              <w:t>Offsite Structures</w:t>
            </w:r>
          </w:p>
          <w:p w14:paraId="195048E2" w14:textId="50777DF8" w:rsidR="00485A4A" w:rsidRPr="009C2F5B" w:rsidRDefault="00485A4A" w:rsidP="005368AB">
            <w:pPr>
              <w:pStyle w:val="Regulationpara"/>
              <w:rPr>
                <w:rStyle w:val="Hyperlink"/>
              </w:rPr>
            </w:pPr>
            <w:r w:rsidRPr="0083170B">
              <w:t xml:space="preserve">EIADR is considered to apply to structures, systems and any associated infrastructure situated off </w:t>
            </w:r>
            <w:r>
              <w:t>the</w:t>
            </w:r>
            <w:r w:rsidRPr="0083170B">
              <w:t xml:space="preserve"> licen</w:t>
            </w:r>
            <w:r>
              <w:t>c</w:t>
            </w:r>
            <w:r w:rsidRPr="0083170B">
              <w:t>ed</w:t>
            </w:r>
            <w:r>
              <w:t xml:space="preserve"> nuclear</w:t>
            </w:r>
            <w:r w:rsidRPr="0083170B">
              <w:t xml:space="preserve"> site, that were an integral part of the normal operation of the nuclear reactor or power station, </w:t>
            </w:r>
            <w:r w:rsidR="00EA040A">
              <w:t>for example</w:t>
            </w:r>
            <w:r w:rsidR="008F2043" w:rsidRPr="0083170B">
              <w:t>,</w:t>
            </w:r>
            <w:r w:rsidRPr="0083170B">
              <w:t xml:space="preserve"> a discharge pipeline</w:t>
            </w:r>
            <w:r>
              <w:t>, unless there is an argument as to why this should not be the case</w:t>
            </w:r>
            <w:r w:rsidRPr="0083170B">
              <w:t>. ONR has produced a position statement on the application of EIADR to offsite structures</w:t>
            </w:r>
            <w:r>
              <w:t xml:space="preserve"> that is</w:t>
            </w:r>
            <w:r w:rsidRPr="0083170B">
              <w:t xml:space="preserve"> available on the </w:t>
            </w:r>
            <w:hyperlink r:id="rId26" w:history="1">
              <w:r w:rsidRPr="008F2043">
                <w:rPr>
                  <w:rStyle w:val="Hyperlink"/>
                </w:rPr>
                <w:t>ONR’s website</w:t>
              </w:r>
            </w:hyperlink>
            <w:r w:rsidR="005D4D7D">
              <w:rPr>
                <w:rStyle w:val="Hyperlink"/>
              </w:rPr>
              <w:t xml:space="preserve"> </w:t>
            </w:r>
            <w:sdt>
              <w:sdtPr>
                <w:rPr>
                  <w:rStyle w:val="Hyperlink"/>
                </w:rPr>
                <w:id w:val="1377429305"/>
                <w:citation/>
              </w:sdtPr>
              <w:sdtEndPr>
                <w:rPr>
                  <w:rStyle w:val="Hyperlink"/>
                </w:rPr>
              </w:sdtEndPr>
              <w:sdtContent>
                <w:r w:rsidR="005D4D7D">
                  <w:rPr>
                    <w:rStyle w:val="Hyperlink"/>
                  </w:rPr>
                  <w:fldChar w:fldCharType="begin"/>
                </w:r>
                <w:r w:rsidR="005D4D7D">
                  <w:rPr>
                    <w:rStyle w:val="Hyperlink"/>
                  </w:rPr>
                  <w:instrText xml:space="preserve"> CITATION ONR18 \l 2057 </w:instrText>
                </w:r>
                <w:r w:rsidR="005D4D7D">
                  <w:rPr>
                    <w:rStyle w:val="Hyperlink"/>
                  </w:rPr>
                  <w:fldChar w:fldCharType="separate"/>
                </w:r>
                <w:r w:rsidR="000416A5" w:rsidRPr="000416A5">
                  <w:rPr>
                    <w:noProof/>
                    <w:color w:val="0563C1"/>
                  </w:rPr>
                  <w:t>[6]</w:t>
                </w:r>
                <w:r w:rsidR="005D4D7D">
                  <w:rPr>
                    <w:rStyle w:val="Hyperlink"/>
                  </w:rPr>
                  <w:fldChar w:fldCharType="end"/>
                </w:r>
              </w:sdtContent>
            </w:sdt>
            <w:r>
              <w:rPr>
                <w:rStyle w:val="Hyperlink"/>
              </w:rPr>
              <w:t>.</w:t>
            </w:r>
          </w:p>
          <w:p w14:paraId="3808D766" w14:textId="77777777" w:rsidR="00485A4A" w:rsidRPr="008F2043" w:rsidRDefault="00485A4A" w:rsidP="008F2043">
            <w:pPr>
              <w:rPr>
                <w:b/>
                <w:bCs/>
              </w:rPr>
            </w:pPr>
            <w:r w:rsidRPr="008F2043">
              <w:rPr>
                <w:b/>
                <w:bCs/>
              </w:rPr>
              <w:t>Facilities supporting the decommissioning project</w:t>
            </w:r>
          </w:p>
          <w:p w14:paraId="463C40F7" w14:textId="77777777" w:rsidR="00485A4A" w:rsidRDefault="00485A4A" w:rsidP="00407D49">
            <w:pPr>
              <w:pStyle w:val="Regulationpara"/>
            </w:pPr>
            <w:r>
              <w:t>EIADR consent is not required for the construction of w</w:t>
            </w:r>
            <w:r w:rsidRPr="00D4757A">
              <w:t xml:space="preserve">aste processing facilities </w:t>
            </w:r>
            <w:r>
              <w:t xml:space="preserve">that will be required to facilitate the decommissioning work, where these facilities are constructed </w:t>
            </w:r>
            <w:r w:rsidRPr="00D4757A">
              <w:t xml:space="preserve">prior to the </w:t>
            </w:r>
            <w:r>
              <w:t xml:space="preserve">commencement of the EIADR project. </w:t>
            </w:r>
            <w:r w:rsidRPr="00D4757A">
              <w:t>However, once the EIADR project has commenced, the construction of waste facilities</w:t>
            </w:r>
            <w:r>
              <w:t xml:space="preserve"> to facilitate the decommissioning project, and the use of that facility to manage wastes arising from decommissioning operations, will be in scope.</w:t>
            </w:r>
          </w:p>
          <w:p w14:paraId="10952690" w14:textId="49E68028" w:rsidR="00485A4A" w:rsidRPr="008F2043" w:rsidRDefault="00485A4A" w:rsidP="008F2043">
            <w:pPr>
              <w:rPr>
                <w:b/>
                <w:bCs/>
              </w:rPr>
            </w:pPr>
            <w:r w:rsidRPr="008F2043">
              <w:rPr>
                <w:b/>
                <w:bCs/>
              </w:rPr>
              <w:t>On-site disposal of radioactive waste</w:t>
            </w:r>
          </w:p>
          <w:p w14:paraId="44F52C31" w14:textId="385C09D2" w:rsidR="00485A4A" w:rsidRDefault="00485A4A" w:rsidP="00407D49">
            <w:pPr>
              <w:pStyle w:val="Regulationpara"/>
            </w:pPr>
            <w:r>
              <w:t>On</w:t>
            </w:r>
            <w:r w:rsidR="00EA040A">
              <w:t>-</w:t>
            </w:r>
            <w:r>
              <w:t xml:space="preserve">site disposals of radioactive waste that form part of the decommissioning projects, for example the in-situ disposal of structures on site, or the onsite disposal of wastes arising from decommissioning, </w:t>
            </w:r>
            <w:proofErr w:type="gramStart"/>
            <w:r>
              <w:t>are considered to be</w:t>
            </w:r>
            <w:proofErr w:type="gramEnd"/>
            <w:r>
              <w:t xml:space="preserve"> part of </w:t>
            </w:r>
            <w:r>
              <w:lastRenderedPageBreak/>
              <w:t>the scope of the decommissioning project. ONR notes that the licensee will be required to obtain an authorisation from the relevant environment agency before any on</w:t>
            </w:r>
            <w:r w:rsidR="00EA040A">
              <w:t>-</w:t>
            </w:r>
            <w:r>
              <w:t xml:space="preserve">site disposal can be made, and that onsite disposals </w:t>
            </w:r>
            <w:r w:rsidRPr="002846D5">
              <w:t>may also be subject to planning permission under the Town &amp; Country Planning Act</w:t>
            </w:r>
            <w:r>
              <w:t xml:space="preserve">; further guidance on this is available in Appendix 2 of this guidance document. </w:t>
            </w:r>
          </w:p>
          <w:p w14:paraId="0CAD3164" w14:textId="77777777" w:rsidR="00485A4A" w:rsidRPr="008F2043" w:rsidRDefault="00485A4A" w:rsidP="008F2043">
            <w:pPr>
              <w:rPr>
                <w:b/>
                <w:bCs/>
              </w:rPr>
            </w:pPr>
            <w:r w:rsidRPr="008F2043">
              <w:rPr>
                <w:b/>
                <w:bCs/>
              </w:rPr>
              <w:t>The end of the decommissioning project</w:t>
            </w:r>
          </w:p>
          <w:p w14:paraId="6B4C77C8" w14:textId="027398F9" w:rsidR="00485A4A" w:rsidRPr="00C7239F" w:rsidRDefault="00485A4A" w:rsidP="00407D49">
            <w:pPr>
              <w:pStyle w:val="Regulationpara"/>
            </w:pPr>
            <w:r>
              <w:t xml:space="preserve">The EIADR do not define what the ‘end state’ of the decommissioning project should be, however, from ONR’s perspective this is likely to be the point at which there is no longer a practical need to enforce EIADR, </w:t>
            </w:r>
            <w:r w:rsidR="008F2043">
              <w:t>i.e.,</w:t>
            </w:r>
            <w:r>
              <w:t xml:space="preserve"> the point at which decommissioning activity has completed so there can no longer be significant adverse effects on the environment </w:t>
            </w:r>
            <w:proofErr w:type="gramStart"/>
            <w:r>
              <w:t>as a result of</w:t>
            </w:r>
            <w:proofErr w:type="gramEnd"/>
            <w:r>
              <w:t xml:space="preserve"> </w:t>
            </w:r>
            <w:r w:rsidR="00EA040A">
              <w:t xml:space="preserve">the </w:t>
            </w:r>
            <w:r>
              <w:t xml:space="preserve">decommissioning activity. ONR will engage with the licensee during the application process to ensure that the end point of the decommissioning project is defined in the project scope. The end point of the EIADR project may not align with the timing of delicensing the site; in the case that the EIADR project continues post-delicensing then ONR would continue to regulate compliance with EIADR until the project is complete. </w:t>
            </w:r>
          </w:p>
        </w:tc>
      </w:tr>
      <w:tr w:rsidR="00485A4A" w:rsidRPr="008F2043" w14:paraId="6E96CB16" w14:textId="77777777" w:rsidTr="00407D49">
        <w:tc>
          <w:tcPr>
            <w:tcW w:w="777" w:type="pct"/>
          </w:tcPr>
          <w:p w14:paraId="544AEA04" w14:textId="77777777" w:rsidR="00485A4A" w:rsidRPr="008F2043" w:rsidRDefault="00485A4A" w:rsidP="008F2043">
            <w:r w:rsidRPr="008F2043">
              <w:lastRenderedPageBreak/>
              <w:t>Regulation</w:t>
            </w:r>
          </w:p>
        </w:tc>
        <w:tc>
          <w:tcPr>
            <w:tcW w:w="199" w:type="pct"/>
          </w:tcPr>
          <w:p w14:paraId="59007DFC" w14:textId="77777777" w:rsidR="00485A4A" w:rsidRPr="008F2043" w:rsidRDefault="00485A4A" w:rsidP="008F2043">
            <w:bookmarkStart w:id="27" w:name="_Toc82166937"/>
            <w:bookmarkStart w:id="28" w:name="_Toc117773664"/>
            <w:bookmarkStart w:id="29" w:name="_Toc117773962"/>
            <w:bookmarkStart w:id="30" w:name="_Toc117774082"/>
            <w:r w:rsidRPr="008F2043">
              <w:t>2</w:t>
            </w:r>
            <w:bookmarkEnd w:id="27"/>
            <w:bookmarkEnd w:id="28"/>
            <w:bookmarkEnd w:id="29"/>
            <w:bookmarkEnd w:id="30"/>
          </w:p>
        </w:tc>
        <w:tc>
          <w:tcPr>
            <w:tcW w:w="4023" w:type="pct"/>
          </w:tcPr>
          <w:tbl>
            <w:tblPr>
              <w:tblStyle w:val="TableGrid"/>
              <w:tblpPr w:leftFromText="180" w:rightFromText="180" w:vertAnchor="text" w:tblpY="-23"/>
              <w:tblOverlap w:val="never"/>
              <w:tblW w:w="0" w:type="auto"/>
              <w:tblLook w:val="04A0" w:firstRow="1" w:lastRow="0" w:firstColumn="1" w:lastColumn="0" w:noHBand="0" w:noVBand="1"/>
            </w:tblPr>
            <w:tblGrid>
              <w:gridCol w:w="710"/>
              <w:gridCol w:w="5885"/>
            </w:tblGrid>
            <w:tr w:rsidR="00485A4A" w:rsidRPr="008F2043" w14:paraId="2EB148C1" w14:textId="77777777" w:rsidTr="00D328FC">
              <w:tc>
                <w:tcPr>
                  <w:tcW w:w="710" w:type="dxa"/>
                  <w:tcBorders>
                    <w:top w:val="nil"/>
                    <w:left w:val="nil"/>
                    <w:bottom w:val="nil"/>
                    <w:right w:val="nil"/>
                  </w:tcBorders>
                </w:tcPr>
                <w:p w14:paraId="02EE00EC" w14:textId="77777777" w:rsidR="00485A4A" w:rsidRPr="008F2043" w:rsidRDefault="00485A4A" w:rsidP="008F2043">
                  <w:r w:rsidRPr="008F2043">
                    <w:t>2.(2)</w:t>
                  </w:r>
                </w:p>
              </w:tc>
              <w:tc>
                <w:tcPr>
                  <w:tcW w:w="5885" w:type="dxa"/>
                  <w:tcBorders>
                    <w:top w:val="nil"/>
                    <w:left w:val="nil"/>
                    <w:bottom w:val="nil"/>
                    <w:right w:val="nil"/>
                  </w:tcBorders>
                </w:tcPr>
                <w:p w14:paraId="7FA5FF13" w14:textId="77777777" w:rsidR="00485A4A" w:rsidRPr="008F2043" w:rsidRDefault="00485A4A" w:rsidP="008F2043">
                  <w:r w:rsidRPr="008F2043">
                    <w:t>Unless the context otherwise requires, any reference in these Regulations to –</w:t>
                  </w:r>
                </w:p>
                <w:p w14:paraId="1E377597" w14:textId="53DC8352" w:rsidR="00485A4A" w:rsidRPr="008F2043" w:rsidRDefault="00485A4A" w:rsidP="00DE19A2">
                  <w:pPr>
                    <w:pStyle w:val="ListParagraph"/>
                    <w:numPr>
                      <w:ilvl w:val="0"/>
                      <w:numId w:val="107"/>
                    </w:numPr>
                  </w:pPr>
                  <w:r w:rsidRPr="008F2043">
                    <w:t xml:space="preserve">a numbered regulation or Schedule is a reference to the regulation or Schedule in these Regulations so numbered; and </w:t>
                  </w:r>
                </w:p>
                <w:p w14:paraId="50A6EBCF" w14:textId="52C15023" w:rsidR="00485A4A" w:rsidRPr="008F2043" w:rsidRDefault="00485A4A" w:rsidP="00DE19A2">
                  <w:pPr>
                    <w:pStyle w:val="ListParagraph"/>
                    <w:numPr>
                      <w:ilvl w:val="0"/>
                      <w:numId w:val="107"/>
                    </w:numPr>
                  </w:pPr>
                  <w:r w:rsidRPr="008F2043">
                    <w:t>a numbered paragraph is a reference to the paragraph so numbered in the regulation or Schedule in which the reference appears.</w:t>
                  </w:r>
                </w:p>
              </w:tc>
            </w:tr>
          </w:tbl>
          <w:p w14:paraId="6240E4CF" w14:textId="77777777" w:rsidR="00485A4A" w:rsidRPr="008F2043" w:rsidRDefault="00485A4A" w:rsidP="008F2043"/>
        </w:tc>
      </w:tr>
    </w:tbl>
    <w:p w14:paraId="4A5F0F42" w14:textId="03139B01" w:rsidR="004243BF" w:rsidRDefault="004243BF" w:rsidP="00A01C3E">
      <w:pPr>
        <w:pStyle w:val="Heading2"/>
      </w:pPr>
      <w:bookmarkStart w:id="31" w:name="_Toc124416319"/>
      <w:r>
        <w:t>Regulation 3 Application</w:t>
      </w:r>
      <w:bookmarkEnd w:id="3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350"/>
        <w:gridCol w:w="7307"/>
      </w:tblGrid>
      <w:tr w:rsidR="00CC518A" w14:paraId="6E206627" w14:textId="77777777" w:rsidTr="008F2043">
        <w:tc>
          <w:tcPr>
            <w:tcW w:w="758" w:type="pct"/>
          </w:tcPr>
          <w:p w14:paraId="3671733B" w14:textId="77777777" w:rsidR="00CC518A" w:rsidRPr="00C069CA" w:rsidRDefault="00CC518A" w:rsidP="008F2043">
            <w:r>
              <w:t>Regulation</w:t>
            </w:r>
          </w:p>
        </w:tc>
        <w:tc>
          <w:tcPr>
            <w:tcW w:w="194" w:type="pct"/>
          </w:tcPr>
          <w:p w14:paraId="395E664A" w14:textId="77777777" w:rsidR="00CC518A" w:rsidRPr="00907EFD" w:rsidRDefault="00CC518A" w:rsidP="008F2043">
            <w:pPr>
              <w:rPr>
                <w:szCs w:val="24"/>
              </w:rPr>
            </w:pPr>
            <w:bookmarkStart w:id="32" w:name="_Toc82166939"/>
            <w:bookmarkStart w:id="33" w:name="_Toc117773666"/>
            <w:bookmarkStart w:id="34" w:name="_Toc117773964"/>
            <w:bookmarkStart w:id="35" w:name="_Toc117774084"/>
            <w:r>
              <w:t>3</w:t>
            </w:r>
            <w:bookmarkEnd w:id="32"/>
            <w:bookmarkEnd w:id="33"/>
            <w:bookmarkEnd w:id="34"/>
            <w:bookmarkEnd w:id="35"/>
          </w:p>
        </w:tc>
        <w:tc>
          <w:tcPr>
            <w:tcW w:w="4048" w:type="pct"/>
          </w:tcPr>
          <w:tbl>
            <w:tblPr>
              <w:tblStyle w:val="TableGrid"/>
              <w:tblW w:w="0" w:type="auto"/>
              <w:tblLook w:val="04A0" w:firstRow="1" w:lastRow="0" w:firstColumn="1" w:lastColumn="0" w:noHBand="0" w:noVBand="1"/>
            </w:tblPr>
            <w:tblGrid>
              <w:gridCol w:w="710"/>
              <w:gridCol w:w="6374"/>
            </w:tblGrid>
            <w:tr w:rsidR="00CC518A" w:rsidRPr="0083170B" w14:paraId="15231462" w14:textId="77777777" w:rsidTr="00D328FC">
              <w:tc>
                <w:tcPr>
                  <w:tcW w:w="710" w:type="dxa"/>
                  <w:tcBorders>
                    <w:top w:val="nil"/>
                    <w:left w:val="nil"/>
                    <w:bottom w:val="nil"/>
                    <w:right w:val="nil"/>
                  </w:tcBorders>
                </w:tcPr>
                <w:p w14:paraId="75870623" w14:textId="77777777" w:rsidR="00CC518A" w:rsidRPr="008359D5" w:rsidRDefault="00CC518A" w:rsidP="008F2043">
                  <w:pPr>
                    <w:rPr>
                      <w:i/>
                      <w:iCs/>
                    </w:rPr>
                  </w:pPr>
                  <w:r w:rsidRPr="008359D5">
                    <w:rPr>
                      <w:i/>
                      <w:iCs/>
                    </w:rPr>
                    <w:t>3.(1)</w:t>
                  </w:r>
                </w:p>
              </w:tc>
              <w:tc>
                <w:tcPr>
                  <w:tcW w:w="6374" w:type="dxa"/>
                  <w:tcBorders>
                    <w:top w:val="nil"/>
                    <w:left w:val="nil"/>
                    <w:bottom w:val="nil"/>
                    <w:right w:val="nil"/>
                  </w:tcBorders>
                </w:tcPr>
                <w:p w14:paraId="58036413" w14:textId="77777777" w:rsidR="00CC518A" w:rsidRPr="008359D5" w:rsidRDefault="00CC518A" w:rsidP="008F2043">
                  <w:pPr>
                    <w:rPr>
                      <w:i/>
                      <w:iCs/>
                    </w:rPr>
                  </w:pPr>
                  <w:r w:rsidRPr="008359D5">
                    <w:rPr>
                      <w:i/>
                      <w:iCs/>
                    </w:rPr>
                    <w:t>These Regulations shall apply to nuclear power stations and other nuclear reactors (except research installations for the production and conversion of fissionable and fertile materials, whose maximum power does not exceed 1 kilowatt continuous thermal load).</w:t>
                  </w:r>
                </w:p>
              </w:tc>
            </w:tr>
          </w:tbl>
          <w:p w14:paraId="7DD1A128" w14:textId="77777777" w:rsidR="00CC518A" w:rsidRDefault="00CC518A" w:rsidP="008F2043"/>
        </w:tc>
      </w:tr>
      <w:tr w:rsidR="00CC518A" w14:paraId="073CDE76" w14:textId="77777777" w:rsidTr="008F2043">
        <w:tc>
          <w:tcPr>
            <w:tcW w:w="758" w:type="pct"/>
            <w:shd w:val="clear" w:color="auto" w:fill="008080"/>
          </w:tcPr>
          <w:p w14:paraId="6BFBD24A" w14:textId="77777777" w:rsidR="00CC518A" w:rsidRPr="008F2043" w:rsidRDefault="00CC518A" w:rsidP="008F2043">
            <w:pPr>
              <w:rPr>
                <w:color w:val="FFFFFF" w:themeColor="background1"/>
              </w:rPr>
            </w:pPr>
            <w:r w:rsidRPr="008F2043">
              <w:rPr>
                <w:color w:val="FFFFFF" w:themeColor="background1"/>
              </w:rPr>
              <w:t>Guidance</w:t>
            </w:r>
          </w:p>
        </w:tc>
        <w:tc>
          <w:tcPr>
            <w:tcW w:w="194" w:type="pct"/>
            <w:shd w:val="clear" w:color="auto" w:fill="008080"/>
          </w:tcPr>
          <w:p w14:paraId="36BF3EEB" w14:textId="77777777" w:rsidR="00CC518A" w:rsidRPr="008F2043" w:rsidRDefault="00CC518A" w:rsidP="008F2043">
            <w:pPr>
              <w:rPr>
                <w:color w:val="FFFFFF" w:themeColor="background1"/>
                <w:szCs w:val="24"/>
              </w:rPr>
            </w:pPr>
            <w:bookmarkStart w:id="36" w:name="_Toc82166940"/>
            <w:bookmarkStart w:id="37" w:name="_Toc117773667"/>
            <w:bookmarkStart w:id="38" w:name="_Toc117773965"/>
            <w:bookmarkStart w:id="39" w:name="_Toc117774085"/>
            <w:r w:rsidRPr="008F2043">
              <w:rPr>
                <w:color w:val="FFFFFF" w:themeColor="background1"/>
              </w:rPr>
              <w:t>3</w:t>
            </w:r>
            <w:bookmarkEnd w:id="36"/>
            <w:bookmarkEnd w:id="37"/>
            <w:bookmarkEnd w:id="38"/>
            <w:bookmarkEnd w:id="39"/>
          </w:p>
        </w:tc>
        <w:tc>
          <w:tcPr>
            <w:tcW w:w="4048" w:type="pct"/>
          </w:tcPr>
          <w:p w14:paraId="61DD95B6" w14:textId="3CF1B0B1" w:rsidR="00CC518A" w:rsidRDefault="00CC518A" w:rsidP="005368AB">
            <w:pPr>
              <w:pStyle w:val="Regulationpara"/>
            </w:pPr>
            <w:r w:rsidRPr="00280DD8">
              <w:t>EIADR apply to decommissioning and dismantling of nuclear power stations on nuclear licenced sites, including the reactors, plant associated with power production both on and off the nuclear licensed site (</w:t>
            </w:r>
            <w:r w:rsidR="008F2043" w:rsidRPr="00280DD8">
              <w:t>e.g.,</w:t>
            </w:r>
            <w:r w:rsidRPr="00280DD8">
              <w:t xml:space="preserve"> discharge </w:t>
            </w:r>
            <w:r w:rsidRPr="00280DD8">
              <w:lastRenderedPageBreak/>
              <w:t xml:space="preserve">pipelines), and removal of related wastes, and buildings and land contaminated </w:t>
            </w:r>
            <w:proofErr w:type="gramStart"/>
            <w:r w:rsidRPr="00280DD8">
              <w:t>as a result of</w:t>
            </w:r>
            <w:proofErr w:type="gramEnd"/>
            <w:r w:rsidRPr="00280DD8">
              <w:t xml:space="preserve"> the operation of the reactor(s). In the case of other reactors (whose maximum power exceeds 1kilowatt), which are not used in the production of power, EIADR apply only to the decommissioning and dismantling of the reactor, including the remediation of buildings and land contaminated </w:t>
            </w:r>
            <w:proofErr w:type="gramStart"/>
            <w:r w:rsidRPr="00280DD8">
              <w:t>as a result of</w:t>
            </w:r>
            <w:proofErr w:type="gramEnd"/>
            <w:r w:rsidRPr="00280DD8">
              <w:t xml:space="preserve"> the reactor operation </w:t>
            </w:r>
            <w:r w:rsidR="008F2043" w:rsidRPr="00280DD8">
              <w:t>e.g.,</w:t>
            </w:r>
            <w:r w:rsidRPr="00280DD8">
              <w:t xml:space="preserve"> such as reactor hall and cooling plant. EIADR only apply where there is, or has been, a nuclear site licence issued under Section 1 of the NIA65, and therefore do not apply to ‘Authorised Defence Sites’.</w:t>
            </w:r>
          </w:p>
          <w:p w14:paraId="0CC546E1" w14:textId="631561E8" w:rsidR="00CC518A" w:rsidRDefault="00CC518A" w:rsidP="005368AB">
            <w:pPr>
              <w:pStyle w:val="Regulationpara"/>
            </w:pPr>
            <w:r w:rsidRPr="00CC1E59">
              <w:t xml:space="preserve">EIADR consent is explicitly for projects to carry out dismantling or decommissioning work on a nuclear power station or nuclear reactor. EIADR does not preclude other works that are independent to the decommissioning project from being carried out on site concurrently with the decommissioning project. Any other activities can be taken forward through normal site </w:t>
            </w:r>
            <w:r w:rsidR="008F2043" w:rsidRPr="00CC1E59">
              <w:t>arrangements and</w:t>
            </w:r>
            <w:r w:rsidRPr="00CC1E59">
              <w:t xml:space="preserve"> should be progressed with full compliance with relevant health and safety, nuclear safety and environmental protection legislation, or other relevant legislation</w:t>
            </w:r>
            <w:r>
              <w:t>.</w:t>
            </w:r>
          </w:p>
        </w:tc>
      </w:tr>
      <w:tr w:rsidR="00CC518A" w:rsidRPr="008F2043" w14:paraId="4D25EE5B" w14:textId="77777777" w:rsidTr="008F2043">
        <w:tc>
          <w:tcPr>
            <w:tcW w:w="758" w:type="pct"/>
          </w:tcPr>
          <w:p w14:paraId="452F1B99" w14:textId="77777777" w:rsidR="00CC518A" w:rsidRPr="008F2043" w:rsidRDefault="00CC518A" w:rsidP="008F2043">
            <w:r w:rsidRPr="008F2043">
              <w:lastRenderedPageBreak/>
              <w:t>Regulation</w:t>
            </w:r>
          </w:p>
        </w:tc>
        <w:tc>
          <w:tcPr>
            <w:tcW w:w="194" w:type="pct"/>
          </w:tcPr>
          <w:p w14:paraId="3B42A868" w14:textId="77777777" w:rsidR="00CC518A" w:rsidRPr="008F2043" w:rsidRDefault="00CC518A" w:rsidP="008F2043">
            <w:pPr>
              <w:rPr>
                <w:szCs w:val="24"/>
              </w:rPr>
            </w:pPr>
            <w:bookmarkStart w:id="40" w:name="_Toc82166941"/>
            <w:bookmarkStart w:id="41" w:name="_Toc117773668"/>
            <w:bookmarkStart w:id="42" w:name="_Toc117773966"/>
            <w:bookmarkStart w:id="43" w:name="_Toc117774086"/>
            <w:r w:rsidRPr="008F2043">
              <w:t>3</w:t>
            </w:r>
            <w:bookmarkEnd w:id="40"/>
            <w:bookmarkEnd w:id="41"/>
            <w:bookmarkEnd w:id="42"/>
            <w:bookmarkEnd w:id="43"/>
          </w:p>
        </w:tc>
        <w:tc>
          <w:tcPr>
            <w:tcW w:w="4048" w:type="pct"/>
          </w:tcPr>
          <w:tbl>
            <w:tblPr>
              <w:tblStyle w:val="TableGrid"/>
              <w:tblW w:w="0" w:type="auto"/>
              <w:tblLook w:val="04A0" w:firstRow="1" w:lastRow="0" w:firstColumn="1" w:lastColumn="0" w:noHBand="0" w:noVBand="1"/>
            </w:tblPr>
            <w:tblGrid>
              <w:gridCol w:w="843"/>
              <w:gridCol w:w="5752"/>
            </w:tblGrid>
            <w:tr w:rsidR="00CC518A" w:rsidRPr="008F2043" w14:paraId="268DBC60" w14:textId="77777777" w:rsidTr="00D328FC">
              <w:tc>
                <w:tcPr>
                  <w:tcW w:w="843" w:type="dxa"/>
                  <w:tcBorders>
                    <w:top w:val="nil"/>
                    <w:left w:val="nil"/>
                    <w:bottom w:val="nil"/>
                    <w:right w:val="nil"/>
                  </w:tcBorders>
                </w:tcPr>
                <w:p w14:paraId="07435FDF" w14:textId="77777777" w:rsidR="00CC518A" w:rsidRPr="008F2043" w:rsidRDefault="00CC518A" w:rsidP="008F2043">
                  <w:r w:rsidRPr="008F2043">
                    <w:t>3.(2)</w:t>
                  </w:r>
                </w:p>
              </w:tc>
              <w:tc>
                <w:tcPr>
                  <w:tcW w:w="5752" w:type="dxa"/>
                  <w:tcBorders>
                    <w:top w:val="nil"/>
                    <w:left w:val="nil"/>
                    <w:bottom w:val="nil"/>
                    <w:right w:val="nil"/>
                  </w:tcBorders>
                </w:tcPr>
                <w:p w14:paraId="3EC1A96E" w14:textId="77777777" w:rsidR="00CC518A" w:rsidRPr="008F2043" w:rsidRDefault="00CC518A" w:rsidP="008F2043">
                  <w:r w:rsidRPr="008F2043">
                    <w:t>Without prejudice to paragraph (1), save for the purpose of regulation 13 these Regulations shall not apply to the carrying out of dismantling or decommissioning work on a nuclear power station or nuclear reactor commenced prior to the coming into force of these Regulations.</w:t>
                  </w:r>
                </w:p>
              </w:tc>
            </w:tr>
            <w:tr w:rsidR="00CC518A" w:rsidRPr="008F2043" w14:paraId="291B9DDD" w14:textId="77777777" w:rsidTr="00D328FC">
              <w:tc>
                <w:tcPr>
                  <w:tcW w:w="843" w:type="dxa"/>
                  <w:tcBorders>
                    <w:top w:val="nil"/>
                    <w:left w:val="nil"/>
                    <w:bottom w:val="nil"/>
                    <w:right w:val="nil"/>
                  </w:tcBorders>
                </w:tcPr>
                <w:p w14:paraId="2680796E" w14:textId="77777777" w:rsidR="00CC518A" w:rsidRPr="008F2043" w:rsidRDefault="00CC518A" w:rsidP="008F2043">
                  <w:r w:rsidRPr="008F2043">
                    <w:t>3.(3)</w:t>
                  </w:r>
                </w:p>
              </w:tc>
              <w:tc>
                <w:tcPr>
                  <w:tcW w:w="5752" w:type="dxa"/>
                  <w:tcBorders>
                    <w:top w:val="nil"/>
                    <w:left w:val="nil"/>
                    <w:bottom w:val="nil"/>
                    <w:right w:val="nil"/>
                  </w:tcBorders>
                </w:tcPr>
                <w:p w14:paraId="29BF4089" w14:textId="77777777" w:rsidR="00CC518A" w:rsidRPr="008F2043" w:rsidRDefault="00CC518A" w:rsidP="008F2043">
                  <w:r w:rsidRPr="008F2043">
                    <w:t>These Regulations shall not apply to any project or part of a project serving national defence as its sole purpose where the Secretary of State is of the opinion that the application of these Regulations would have an adverse effect on that purpose.</w:t>
                  </w:r>
                </w:p>
              </w:tc>
            </w:tr>
            <w:tr w:rsidR="00CC518A" w:rsidRPr="008F2043" w14:paraId="18A59983" w14:textId="77777777" w:rsidTr="00D328FC">
              <w:tc>
                <w:tcPr>
                  <w:tcW w:w="843" w:type="dxa"/>
                  <w:tcBorders>
                    <w:top w:val="nil"/>
                    <w:left w:val="nil"/>
                    <w:bottom w:val="nil"/>
                    <w:right w:val="nil"/>
                  </w:tcBorders>
                </w:tcPr>
                <w:p w14:paraId="2383F5D0" w14:textId="77777777" w:rsidR="00CC518A" w:rsidRPr="008F2043" w:rsidRDefault="00CC518A" w:rsidP="008F2043">
                  <w:r w:rsidRPr="008F2043">
                    <w:t>3.(4)</w:t>
                  </w:r>
                </w:p>
              </w:tc>
              <w:tc>
                <w:tcPr>
                  <w:tcW w:w="5752" w:type="dxa"/>
                  <w:tcBorders>
                    <w:top w:val="nil"/>
                    <w:left w:val="nil"/>
                    <w:bottom w:val="nil"/>
                    <w:right w:val="nil"/>
                  </w:tcBorders>
                </w:tcPr>
                <w:p w14:paraId="1879EDD4" w14:textId="77777777" w:rsidR="00CC518A" w:rsidRPr="008F2043" w:rsidRDefault="00CC518A" w:rsidP="008F2043">
                  <w:r w:rsidRPr="008F2043">
                    <w:t>The reference to these Regulations not applying to part of a project serving national defence as its sole purpose is a reference to that part of the project being disregarded in the environmental impact assessment of the project.</w:t>
                  </w:r>
                </w:p>
              </w:tc>
            </w:tr>
            <w:tr w:rsidR="00CC518A" w:rsidRPr="008F2043" w14:paraId="5ED308C1" w14:textId="77777777" w:rsidTr="00D328FC">
              <w:tc>
                <w:tcPr>
                  <w:tcW w:w="843" w:type="dxa"/>
                  <w:tcBorders>
                    <w:top w:val="nil"/>
                    <w:left w:val="nil"/>
                    <w:bottom w:val="nil"/>
                    <w:right w:val="nil"/>
                  </w:tcBorders>
                </w:tcPr>
                <w:p w14:paraId="23FEF29C" w14:textId="77777777" w:rsidR="00CC518A" w:rsidRPr="008F2043" w:rsidRDefault="00CC518A" w:rsidP="008F2043">
                  <w:r w:rsidRPr="008F2043">
                    <w:t>3.(5)</w:t>
                  </w:r>
                </w:p>
              </w:tc>
              <w:tc>
                <w:tcPr>
                  <w:tcW w:w="5752" w:type="dxa"/>
                  <w:tcBorders>
                    <w:top w:val="nil"/>
                    <w:left w:val="nil"/>
                    <w:bottom w:val="nil"/>
                    <w:right w:val="nil"/>
                  </w:tcBorders>
                </w:tcPr>
                <w:p w14:paraId="06AE111C" w14:textId="77777777" w:rsidR="00CC518A" w:rsidRPr="008F2043" w:rsidRDefault="00CC518A" w:rsidP="008F2043">
                  <w:r w:rsidRPr="008F2043">
                    <w:t>These Regulations do not apply to any project having the response to a civil emergency as its sole purpose where the Secretary of State is of the opinion that the application of these Regulations would have an adverse effect on that purpose.</w:t>
                  </w:r>
                </w:p>
              </w:tc>
            </w:tr>
            <w:tr w:rsidR="00CC518A" w:rsidRPr="008F2043" w14:paraId="0A56EE15" w14:textId="77777777" w:rsidTr="00D328FC">
              <w:tc>
                <w:tcPr>
                  <w:tcW w:w="843" w:type="dxa"/>
                  <w:tcBorders>
                    <w:top w:val="nil"/>
                    <w:left w:val="nil"/>
                    <w:bottom w:val="nil"/>
                    <w:right w:val="nil"/>
                  </w:tcBorders>
                </w:tcPr>
                <w:p w14:paraId="6103CD0C" w14:textId="77777777" w:rsidR="00CC518A" w:rsidRPr="008F2043" w:rsidRDefault="00CC518A" w:rsidP="008F2043">
                  <w:r w:rsidRPr="008F2043">
                    <w:lastRenderedPageBreak/>
                    <w:t>3.(6)</w:t>
                  </w:r>
                </w:p>
              </w:tc>
              <w:tc>
                <w:tcPr>
                  <w:tcW w:w="5752" w:type="dxa"/>
                  <w:tcBorders>
                    <w:top w:val="nil"/>
                    <w:left w:val="nil"/>
                    <w:bottom w:val="nil"/>
                    <w:right w:val="nil"/>
                  </w:tcBorders>
                </w:tcPr>
                <w:p w14:paraId="69DE25A4" w14:textId="77777777" w:rsidR="00CC518A" w:rsidRPr="008F2043" w:rsidRDefault="00CC518A" w:rsidP="008F2043">
                  <w:r w:rsidRPr="008F2043">
                    <w:t>These Regulations do not apply to any project where the Secretary of State is of the opinion that conditions A to C are met.</w:t>
                  </w:r>
                </w:p>
              </w:tc>
            </w:tr>
            <w:tr w:rsidR="00CC518A" w:rsidRPr="008F2043" w14:paraId="6F21A611" w14:textId="77777777" w:rsidTr="00D328FC">
              <w:tc>
                <w:tcPr>
                  <w:tcW w:w="843" w:type="dxa"/>
                  <w:tcBorders>
                    <w:top w:val="nil"/>
                    <w:left w:val="nil"/>
                    <w:bottom w:val="nil"/>
                    <w:right w:val="nil"/>
                  </w:tcBorders>
                </w:tcPr>
                <w:p w14:paraId="43F84584" w14:textId="77777777" w:rsidR="00CC518A" w:rsidRPr="008F2043" w:rsidRDefault="00CC518A" w:rsidP="008F2043">
                  <w:r w:rsidRPr="008F2043">
                    <w:t>3.(7)</w:t>
                  </w:r>
                </w:p>
              </w:tc>
              <w:tc>
                <w:tcPr>
                  <w:tcW w:w="5752" w:type="dxa"/>
                  <w:tcBorders>
                    <w:top w:val="nil"/>
                    <w:left w:val="nil"/>
                    <w:bottom w:val="nil"/>
                    <w:right w:val="nil"/>
                  </w:tcBorders>
                </w:tcPr>
                <w:p w14:paraId="268FA109" w14:textId="77777777" w:rsidR="00CC518A" w:rsidRPr="008F2043" w:rsidRDefault="00CC518A" w:rsidP="008F2043">
                  <w:r w:rsidRPr="008F2043">
                    <w:t xml:space="preserve">Condition A is that the project is an exceptional </w:t>
                  </w:r>
                  <w:proofErr w:type="gramStart"/>
                  <w:r w:rsidRPr="008F2043">
                    <w:t>case</w:t>
                  </w:r>
                  <w:proofErr w:type="gramEnd"/>
                  <w:r w:rsidRPr="008F2043">
                    <w:t xml:space="preserve"> and that the application of these Regulations would result in adversely affecting the purpose of the project.</w:t>
                  </w:r>
                </w:p>
              </w:tc>
            </w:tr>
            <w:tr w:rsidR="00CC518A" w:rsidRPr="008F2043" w14:paraId="108D910E" w14:textId="77777777" w:rsidTr="00D328FC">
              <w:tc>
                <w:tcPr>
                  <w:tcW w:w="843" w:type="dxa"/>
                  <w:tcBorders>
                    <w:top w:val="nil"/>
                    <w:left w:val="nil"/>
                    <w:bottom w:val="nil"/>
                    <w:right w:val="nil"/>
                  </w:tcBorders>
                </w:tcPr>
                <w:p w14:paraId="78ECC52C" w14:textId="77777777" w:rsidR="00CC518A" w:rsidRPr="008F2043" w:rsidRDefault="00CC518A" w:rsidP="008F2043">
                  <w:r w:rsidRPr="008F2043">
                    <w:t>3.(8)</w:t>
                  </w:r>
                </w:p>
              </w:tc>
              <w:tc>
                <w:tcPr>
                  <w:tcW w:w="5752" w:type="dxa"/>
                  <w:tcBorders>
                    <w:top w:val="nil"/>
                    <w:left w:val="nil"/>
                    <w:bottom w:val="nil"/>
                    <w:right w:val="nil"/>
                  </w:tcBorders>
                </w:tcPr>
                <w:p w14:paraId="2E551183" w14:textId="77777777" w:rsidR="00CC518A" w:rsidRPr="008F2043" w:rsidRDefault="00CC518A" w:rsidP="008F2043">
                  <w:r w:rsidRPr="008F2043">
                    <w:t>Condition B is that the objectives of the Directive as it applied in the United Kingdom immediately before exit day will be met despite these Regulations not applying to the project.</w:t>
                  </w:r>
                </w:p>
              </w:tc>
            </w:tr>
            <w:tr w:rsidR="00CC518A" w:rsidRPr="008F2043" w14:paraId="4A2FB67C" w14:textId="77777777" w:rsidTr="00D328FC">
              <w:tc>
                <w:tcPr>
                  <w:tcW w:w="843" w:type="dxa"/>
                  <w:tcBorders>
                    <w:top w:val="nil"/>
                    <w:left w:val="nil"/>
                    <w:bottom w:val="nil"/>
                    <w:right w:val="nil"/>
                  </w:tcBorders>
                </w:tcPr>
                <w:p w14:paraId="22027DFC" w14:textId="77777777" w:rsidR="00CC518A" w:rsidRPr="008F2043" w:rsidRDefault="00CC518A" w:rsidP="008F2043">
                  <w:r w:rsidRPr="008F2043">
                    <w:t>3.(9)</w:t>
                  </w:r>
                </w:p>
              </w:tc>
              <w:tc>
                <w:tcPr>
                  <w:tcW w:w="5752" w:type="dxa"/>
                  <w:tcBorders>
                    <w:top w:val="nil"/>
                    <w:left w:val="nil"/>
                    <w:bottom w:val="nil"/>
                    <w:right w:val="nil"/>
                  </w:tcBorders>
                </w:tcPr>
                <w:p w14:paraId="54A7F35A" w14:textId="77777777" w:rsidR="00CC518A" w:rsidRPr="008F2043" w:rsidRDefault="00CC518A" w:rsidP="008F2043">
                  <w:r w:rsidRPr="008F2043">
                    <w:t>Condition C is that the project is unlikely to have significant effects on the environment in an EEA State.</w:t>
                  </w:r>
                </w:p>
              </w:tc>
            </w:tr>
            <w:tr w:rsidR="00CC518A" w:rsidRPr="008F2043" w14:paraId="0A5DAACD" w14:textId="77777777" w:rsidTr="00D328FC">
              <w:tc>
                <w:tcPr>
                  <w:tcW w:w="843" w:type="dxa"/>
                  <w:tcBorders>
                    <w:top w:val="nil"/>
                    <w:left w:val="nil"/>
                    <w:bottom w:val="nil"/>
                    <w:right w:val="nil"/>
                  </w:tcBorders>
                </w:tcPr>
                <w:p w14:paraId="23789761" w14:textId="77777777" w:rsidR="00CC518A" w:rsidRPr="008F2043" w:rsidRDefault="00CC518A" w:rsidP="008F2043">
                  <w:r w:rsidRPr="008F2043">
                    <w:t>3.(10)</w:t>
                  </w:r>
                </w:p>
              </w:tc>
              <w:tc>
                <w:tcPr>
                  <w:tcW w:w="5752" w:type="dxa"/>
                  <w:tcBorders>
                    <w:top w:val="nil"/>
                    <w:left w:val="nil"/>
                    <w:bottom w:val="nil"/>
                    <w:right w:val="nil"/>
                  </w:tcBorders>
                </w:tcPr>
                <w:p w14:paraId="64542007" w14:textId="77777777" w:rsidR="00CC518A" w:rsidRPr="008F2043" w:rsidRDefault="00CC518A" w:rsidP="008F2043">
                  <w:r w:rsidRPr="008F2043">
                    <w:t>Where the Secretary of State is of the opinion referred to in paragraph (3), (5) or (6), the Secretary of State must as soon as possible after forming the opinion notify in writing the ONR and the licensee.</w:t>
                  </w:r>
                </w:p>
              </w:tc>
            </w:tr>
            <w:tr w:rsidR="00CC518A" w:rsidRPr="008F2043" w14:paraId="38A3AE0F" w14:textId="77777777" w:rsidTr="00D328FC">
              <w:tc>
                <w:tcPr>
                  <w:tcW w:w="843" w:type="dxa"/>
                  <w:tcBorders>
                    <w:top w:val="nil"/>
                    <w:left w:val="nil"/>
                    <w:bottom w:val="nil"/>
                    <w:right w:val="nil"/>
                  </w:tcBorders>
                </w:tcPr>
                <w:p w14:paraId="466E306C" w14:textId="77777777" w:rsidR="00CC518A" w:rsidRPr="008F2043" w:rsidRDefault="00CC518A" w:rsidP="008F2043">
                  <w:r w:rsidRPr="008F2043">
                    <w:t>3.(11)</w:t>
                  </w:r>
                </w:p>
              </w:tc>
              <w:tc>
                <w:tcPr>
                  <w:tcW w:w="5752" w:type="dxa"/>
                  <w:tcBorders>
                    <w:top w:val="nil"/>
                    <w:left w:val="nil"/>
                    <w:bottom w:val="nil"/>
                    <w:right w:val="nil"/>
                  </w:tcBorders>
                </w:tcPr>
                <w:p w14:paraId="0C4470AF" w14:textId="77777777" w:rsidR="00CC518A" w:rsidRPr="008F2043" w:rsidRDefault="00CC518A" w:rsidP="008F2043">
                  <w:r w:rsidRPr="008F2043">
                    <w:t>Where the Secretary of State is of the opinion referred to in paragraph (6), the Secretary of State must consider whether another form of assessment would be appropriate.</w:t>
                  </w:r>
                </w:p>
              </w:tc>
            </w:tr>
            <w:tr w:rsidR="00CC518A" w:rsidRPr="008F2043" w14:paraId="3A8F51A7" w14:textId="77777777" w:rsidTr="00D328FC">
              <w:tc>
                <w:tcPr>
                  <w:tcW w:w="843" w:type="dxa"/>
                  <w:tcBorders>
                    <w:top w:val="nil"/>
                    <w:left w:val="nil"/>
                    <w:bottom w:val="nil"/>
                    <w:right w:val="nil"/>
                  </w:tcBorders>
                </w:tcPr>
                <w:p w14:paraId="7A595009" w14:textId="77777777" w:rsidR="00CC518A" w:rsidRPr="008F2043" w:rsidRDefault="00CC518A" w:rsidP="008F2043">
                  <w:r w:rsidRPr="008F2043">
                    <w:t>3.(12)</w:t>
                  </w:r>
                </w:p>
              </w:tc>
              <w:tc>
                <w:tcPr>
                  <w:tcW w:w="5752" w:type="dxa"/>
                  <w:tcBorders>
                    <w:top w:val="nil"/>
                    <w:left w:val="nil"/>
                    <w:bottom w:val="nil"/>
                    <w:right w:val="nil"/>
                  </w:tcBorders>
                </w:tcPr>
                <w:p w14:paraId="4F605A43" w14:textId="77777777" w:rsidR="00CC518A" w:rsidRPr="008F2043" w:rsidRDefault="00CC518A" w:rsidP="008F2043">
                  <w:r w:rsidRPr="008F2043">
                    <w:t>Notification under paragraph (10) must—</w:t>
                  </w:r>
                </w:p>
                <w:p w14:paraId="3E7392E2" w14:textId="6419743B" w:rsidR="00CC518A" w:rsidRPr="008F2043" w:rsidRDefault="00CC518A" w:rsidP="00DE19A2">
                  <w:pPr>
                    <w:pStyle w:val="ListParagraph"/>
                    <w:numPr>
                      <w:ilvl w:val="0"/>
                      <w:numId w:val="108"/>
                    </w:numPr>
                  </w:pPr>
                  <w:r w:rsidRPr="008F2043">
                    <w:t>State that the Secretary of State is of the opinion referred to in paragraph (3), (5) or (6</w:t>
                  </w:r>
                  <w:proofErr w:type="gramStart"/>
                  <w:r w:rsidRPr="008F2043">
                    <w:t>);</w:t>
                  </w:r>
                  <w:proofErr w:type="gramEnd"/>
                </w:p>
                <w:p w14:paraId="72D6BA12" w14:textId="481E6B3B" w:rsidR="00CC518A" w:rsidRPr="008F2043" w:rsidRDefault="00CC518A" w:rsidP="00DE19A2">
                  <w:pPr>
                    <w:pStyle w:val="ListParagraph"/>
                    <w:numPr>
                      <w:ilvl w:val="0"/>
                      <w:numId w:val="108"/>
                    </w:numPr>
                  </w:pPr>
                  <w:r w:rsidRPr="008F2043">
                    <w:t>state that these Regulations do not apply to the project, or in a case where the Secretary of State is of the opinion referred to in paragraph (3) in respect of part of a project, explain the effect of paragraph (4</w:t>
                  </w:r>
                  <w:proofErr w:type="gramStart"/>
                  <w:r w:rsidRPr="008F2043">
                    <w:t>);</w:t>
                  </w:r>
                  <w:proofErr w:type="gramEnd"/>
                </w:p>
                <w:p w14:paraId="32AD39CE" w14:textId="7E3843F4" w:rsidR="00CC518A" w:rsidRPr="008F2043" w:rsidRDefault="00CC518A" w:rsidP="00DE19A2">
                  <w:pPr>
                    <w:pStyle w:val="ListParagraph"/>
                    <w:numPr>
                      <w:ilvl w:val="0"/>
                      <w:numId w:val="108"/>
                    </w:numPr>
                  </w:pPr>
                  <w:r w:rsidRPr="008F2043">
                    <w:t>where the Secretary of State considers that another form of assessment is appropriate in accordance with paragraph (11), give the details of that assessment and explain how the results of the assessment may be obtained.</w:t>
                  </w:r>
                </w:p>
              </w:tc>
            </w:tr>
            <w:tr w:rsidR="00CC518A" w:rsidRPr="008F2043" w14:paraId="1BDFCB29" w14:textId="77777777" w:rsidTr="00D328FC">
              <w:tc>
                <w:tcPr>
                  <w:tcW w:w="843" w:type="dxa"/>
                  <w:tcBorders>
                    <w:top w:val="nil"/>
                    <w:left w:val="nil"/>
                    <w:bottom w:val="nil"/>
                    <w:right w:val="nil"/>
                  </w:tcBorders>
                </w:tcPr>
                <w:p w14:paraId="273C47E4" w14:textId="77777777" w:rsidR="00CC518A" w:rsidRPr="008F2043" w:rsidRDefault="00CC518A" w:rsidP="008F2043">
                  <w:r w:rsidRPr="008F2043">
                    <w:t>3.(13)</w:t>
                  </w:r>
                </w:p>
              </w:tc>
              <w:tc>
                <w:tcPr>
                  <w:tcW w:w="5752" w:type="dxa"/>
                  <w:tcBorders>
                    <w:top w:val="nil"/>
                    <w:left w:val="nil"/>
                    <w:bottom w:val="nil"/>
                    <w:right w:val="nil"/>
                  </w:tcBorders>
                </w:tcPr>
                <w:p w14:paraId="4E9EAF99" w14:textId="77777777" w:rsidR="00CC518A" w:rsidRPr="008F2043" w:rsidRDefault="00CC518A" w:rsidP="008F2043">
                  <w:r w:rsidRPr="008F2043">
                    <w:t xml:space="preserve">Where the ONR is notified that the Secretary of State is of the opinion referred to in paragraph (6) in </w:t>
                  </w:r>
                  <w:r w:rsidRPr="008F2043">
                    <w:lastRenderedPageBreak/>
                    <w:t>accordance with paragraph (12), the ONR must make available to the public concerned—</w:t>
                  </w:r>
                </w:p>
                <w:p w14:paraId="38C35C25" w14:textId="384234A1" w:rsidR="00CC518A" w:rsidRPr="008F2043" w:rsidRDefault="00CC518A" w:rsidP="00DE19A2">
                  <w:pPr>
                    <w:pStyle w:val="ListParagraph"/>
                    <w:numPr>
                      <w:ilvl w:val="0"/>
                      <w:numId w:val="109"/>
                    </w:numPr>
                  </w:pPr>
                  <w:r w:rsidRPr="008F2043">
                    <w:t>the information relating to the opinion referred to in paragraph (6) including the reasons for that opinion; and</w:t>
                  </w:r>
                </w:p>
                <w:p w14:paraId="39B2CFEF" w14:textId="748AB541" w:rsidR="00CC518A" w:rsidRPr="008F2043" w:rsidRDefault="00CC518A" w:rsidP="00DE19A2">
                  <w:pPr>
                    <w:pStyle w:val="ListParagraph"/>
                    <w:numPr>
                      <w:ilvl w:val="0"/>
                      <w:numId w:val="109"/>
                    </w:numPr>
                  </w:pPr>
                  <w:r w:rsidRPr="008F2043">
                    <w:t>the information obtained under any assessment considered appropriate in accordance with paragraph (11).</w:t>
                  </w:r>
                </w:p>
              </w:tc>
            </w:tr>
          </w:tbl>
          <w:p w14:paraId="7381945F" w14:textId="77777777" w:rsidR="00CC518A" w:rsidRPr="008F2043" w:rsidRDefault="00CC518A" w:rsidP="008F2043"/>
        </w:tc>
      </w:tr>
      <w:tr w:rsidR="00CC518A" w14:paraId="0E216A17" w14:textId="77777777" w:rsidTr="008F2043">
        <w:tc>
          <w:tcPr>
            <w:tcW w:w="758" w:type="pct"/>
            <w:shd w:val="clear" w:color="auto" w:fill="008080"/>
          </w:tcPr>
          <w:p w14:paraId="4335FDFD" w14:textId="77777777" w:rsidR="00CC518A" w:rsidRPr="008F2043" w:rsidRDefault="00CC518A" w:rsidP="008F2043">
            <w:pPr>
              <w:rPr>
                <w:color w:val="FFFFFF" w:themeColor="background1"/>
              </w:rPr>
            </w:pPr>
            <w:r w:rsidRPr="008F2043">
              <w:rPr>
                <w:color w:val="FFFFFF" w:themeColor="background1"/>
              </w:rPr>
              <w:lastRenderedPageBreak/>
              <w:t>Guidance</w:t>
            </w:r>
          </w:p>
        </w:tc>
        <w:tc>
          <w:tcPr>
            <w:tcW w:w="194" w:type="pct"/>
            <w:shd w:val="clear" w:color="auto" w:fill="008080"/>
          </w:tcPr>
          <w:p w14:paraId="095DA017" w14:textId="77777777" w:rsidR="00CC518A" w:rsidRPr="008F2043" w:rsidRDefault="00CC518A" w:rsidP="008F2043">
            <w:pPr>
              <w:rPr>
                <w:color w:val="FFFFFF" w:themeColor="background1"/>
                <w:szCs w:val="24"/>
              </w:rPr>
            </w:pPr>
            <w:bookmarkStart w:id="44" w:name="_Toc82166942"/>
            <w:bookmarkStart w:id="45" w:name="_Toc117773669"/>
            <w:bookmarkStart w:id="46" w:name="_Toc117773967"/>
            <w:bookmarkStart w:id="47" w:name="_Toc117774087"/>
            <w:r w:rsidRPr="008F2043">
              <w:rPr>
                <w:color w:val="FFFFFF" w:themeColor="background1"/>
                <w:szCs w:val="24"/>
              </w:rPr>
              <w:t>3</w:t>
            </w:r>
            <w:bookmarkEnd w:id="44"/>
            <w:bookmarkEnd w:id="45"/>
            <w:bookmarkEnd w:id="46"/>
            <w:bookmarkEnd w:id="47"/>
          </w:p>
        </w:tc>
        <w:tc>
          <w:tcPr>
            <w:tcW w:w="4048" w:type="pct"/>
          </w:tcPr>
          <w:p w14:paraId="67D34947" w14:textId="77777777" w:rsidR="00CC518A" w:rsidRPr="008359D5" w:rsidRDefault="00CC518A" w:rsidP="002E24C8">
            <w:pPr>
              <w:pStyle w:val="Regulationpara"/>
            </w:pPr>
            <w:bookmarkStart w:id="48" w:name="_Toc82166943"/>
            <w:proofErr w:type="gramStart"/>
            <w:r w:rsidRPr="008359D5">
              <w:t>For the purpose of</w:t>
            </w:r>
            <w:proofErr w:type="gramEnd"/>
            <w:r w:rsidRPr="008359D5">
              <w:t xml:space="preserve"> these regulations, plant and sites that are currently owned by, or operated on behalf of, the Ministry of Defence (MOD), are considered to be projects serving national defence purposes. EIADR apply to projects on nuclear licenced sites serving national defence as their sole purpose unless the </w:t>
            </w:r>
            <w:r>
              <w:t>SoS</w:t>
            </w:r>
            <w:r w:rsidRPr="008359D5">
              <w:t xml:space="preserve"> is of the opinion that application of these Regulations would have an adverse effect on the defence purposes of the project and then he or she may grant an exemption for the individual project. This is also the case for projects having the response to a civil emergency as its sole purpose or projects meeting conditions A-C in regulations 3(7) – 3(9).</w:t>
            </w:r>
            <w:bookmarkEnd w:id="48"/>
          </w:p>
          <w:p w14:paraId="2FAF081A" w14:textId="77777777" w:rsidR="00CC518A" w:rsidRDefault="00CC518A" w:rsidP="002E24C8">
            <w:pPr>
              <w:pStyle w:val="Regulationpara"/>
            </w:pPr>
            <w:bookmarkStart w:id="49" w:name="_Toc82166944"/>
            <w:r w:rsidRPr="008359D5">
              <w:t>Condition A concerns projects that are ‘exceptional cases’; ONR does not anticipate that there will be any exceptions to EIADR, or that any exceptions would be appropriate, given that EIADR is tightly scoped on nuclear power stations and reactors above a defined output.</w:t>
            </w:r>
            <w:bookmarkEnd w:id="49"/>
            <w:r w:rsidRPr="008359D5">
              <w:t xml:space="preserve"> </w:t>
            </w:r>
          </w:p>
          <w:p w14:paraId="68D6A915" w14:textId="7EDB5687" w:rsidR="00CC518A" w:rsidRPr="009A42D6" w:rsidRDefault="00CC518A" w:rsidP="002E24C8">
            <w:pPr>
              <w:pStyle w:val="Regulationpara"/>
            </w:pPr>
            <w:r w:rsidRPr="009A42D6">
              <w:t xml:space="preserve">The </w:t>
            </w:r>
            <w:r>
              <w:t>SoS</w:t>
            </w:r>
            <w:r w:rsidRPr="009A42D6">
              <w:t xml:space="preserve"> for the Department for</w:t>
            </w:r>
            <w:r w:rsidR="00B563FD">
              <w:t xml:space="preserve"> Energy Security and Net Zero (DESNZ)</w:t>
            </w:r>
            <w:r w:rsidRPr="009A42D6">
              <w:t xml:space="preserve"> is responsible for exercising the exemption and must notify ONR of this. The onus is on the licensee to apply to the </w:t>
            </w:r>
            <w:r>
              <w:t>SoS</w:t>
            </w:r>
            <w:r w:rsidRPr="009A42D6">
              <w:t xml:space="preserve"> for an exemption. </w:t>
            </w:r>
          </w:p>
        </w:tc>
      </w:tr>
    </w:tbl>
    <w:p w14:paraId="63F7E5BA" w14:textId="77777777" w:rsidR="00DD311A" w:rsidRDefault="00DD311A" w:rsidP="00A01C3E">
      <w:pPr>
        <w:pStyle w:val="Heading2"/>
        <w:sectPr w:rsidR="00DD311A" w:rsidSect="002E24C8">
          <w:pgSz w:w="11906" w:h="16838" w:code="9"/>
          <w:pgMar w:top="1440" w:right="1440" w:bottom="1440" w:left="1440" w:header="397" w:footer="397" w:gutter="0"/>
          <w:cols w:space="312"/>
          <w:docGrid w:linePitch="360"/>
        </w:sectPr>
      </w:pPr>
    </w:p>
    <w:p w14:paraId="092310F4" w14:textId="40F2AD88" w:rsidR="00CC518A" w:rsidRDefault="00CC518A" w:rsidP="00DD311A">
      <w:pPr>
        <w:pStyle w:val="Heading2"/>
        <w:ind w:left="0" w:firstLine="0"/>
      </w:pPr>
      <w:bookmarkStart w:id="50" w:name="_Toc124416320"/>
      <w:r>
        <w:lastRenderedPageBreak/>
        <w:t>Regulation 4 Consent for Dismantling or Decommissioning</w:t>
      </w:r>
      <w:bookmarkEnd w:id="5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350"/>
        <w:gridCol w:w="7312"/>
      </w:tblGrid>
      <w:tr w:rsidR="00562C17" w:rsidRPr="008F2043" w14:paraId="74F02FB1" w14:textId="77777777" w:rsidTr="008F2043">
        <w:tc>
          <w:tcPr>
            <w:tcW w:w="752" w:type="pct"/>
          </w:tcPr>
          <w:p w14:paraId="22E431D9" w14:textId="77777777" w:rsidR="00562C17" w:rsidRPr="008F2043" w:rsidRDefault="00562C17" w:rsidP="008F2043">
            <w:r w:rsidRPr="008F2043">
              <w:t>Regulation</w:t>
            </w:r>
          </w:p>
        </w:tc>
        <w:tc>
          <w:tcPr>
            <w:tcW w:w="189" w:type="pct"/>
          </w:tcPr>
          <w:p w14:paraId="27590ADB" w14:textId="77777777" w:rsidR="00562C17" w:rsidRPr="008F2043" w:rsidRDefault="00562C17" w:rsidP="008F2043">
            <w:pPr>
              <w:rPr>
                <w:szCs w:val="24"/>
              </w:rPr>
            </w:pPr>
            <w:bookmarkStart w:id="51" w:name="_Toc82166946"/>
            <w:bookmarkStart w:id="52" w:name="_Toc117773671"/>
            <w:bookmarkStart w:id="53" w:name="_Toc117773969"/>
            <w:bookmarkStart w:id="54" w:name="_Toc117774089"/>
            <w:r w:rsidRPr="008F2043">
              <w:t>4</w:t>
            </w:r>
            <w:bookmarkEnd w:id="51"/>
            <w:bookmarkEnd w:id="52"/>
            <w:bookmarkEnd w:id="53"/>
            <w:bookmarkEnd w:id="54"/>
          </w:p>
        </w:tc>
        <w:tc>
          <w:tcPr>
            <w:tcW w:w="4059" w:type="pct"/>
          </w:tcPr>
          <w:tbl>
            <w:tblPr>
              <w:tblStyle w:val="TableGrid"/>
              <w:tblW w:w="0" w:type="auto"/>
              <w:tblLook w:val="04A0" w:firstRow="1" w:lastRow="0" w:firstColumn="1" w:lastColumn="0" w:noHBand="0" w:noVBand="1"/>
            </w:tblPr>
            <w:tblGrid>
              <w:gridCol w:w="767"/>
              <w:gridCol w:w="6317"/>
            </w:tblGrid>
            <w:tr w:rsidR="00562C17" w:rsidRPr="008F2043" w14:paraId="42ED3A38" w14:textId="77777777" w:rsidTr="00D328FC">
              <w:tc>
                <w:tcPr>
                  <w:tcW w:w="767" w:type="dxa"/>
                  <w:tcBorders>
                    <w:top w:val="nil"/>
                    <w:left w:val="nil"/>
                    <w:bottom w:val="nil"/>
                    <w:right w:val="nil"/>
                  </w:tcBorders>
                </w:tcPr>
                <w:p w14:paraId="1E022FCE" w14:textId="77777777" w:rsidR="00562C17" w:rsidRPr="008F2043" w:rsidRDefault="00562C17" w:rsidP="008F2043">
                  <w:r w:rsidRPr="008F2043">
                    <w:t>4.(1)</w:t>
                  </w:r>
                </w:p>
              </w:tc>
              <w:tc>
                <w:tcPr>
                  <w:tcW w:w="6317" w:type="dxa"/>
                  <w:tcBorders>
                    <w:top w:val="nil"/>
                    <w:left w:val="nil"/>
                    <w:bottom w:val="nil"/>
                    <w:right w:val="nil"/>
                  </w:tcBorders>
                </w:tcPr>
                <w:p w14:paraId="54F0A6CF" w14:textId="77777777" w:rsidR="00562C17" w:rsidRPr="008F2043" w:rsidRDefault="00562C17" w:rsidP="008F2043">
                  <w:r w:rsidRPr="008F2043">
                    <w:t>A licensee shall not commence a project unless –</w:t>
                  </w:r>
                </w:p>
                <w:p w14:paraId="2F3C3D26" w14:textId="30D8FB14" w:rsidR="00562C17" w:rsidRPr="008F2043" w:rsidRDefault="00562C17" w:rsidP="00DE19A2">
                  <w:pPr>
                    <w:pStyle w:val="ListParagraph"/>
                    <w:numPr>
                      <w:ilvl w:val="0"/>
                      <w:numId w:val="110"/>
                    </w:numPr>
                  </w:pPr>
                  <w:r w:rsidRPr="008F2043">
                    <w:t xml:space="preserve">he has applied to the ONR for a consent to carry out the project; and </w:t>
                  </w:r>
                </w:p>
                <w:p w14:paraId="3502AE80" w14:textId="7660AF56" w:rsidR="00562C17" w:rsidRPr="008F2043" w:rsidRDefault="00562C17" w:rsidP="00DE19A2">
                  <w:pPr>
                    <w:pStyle w:val="ListParagraph"/>
                    <w:numPr>
                      <w:ilvl w:val="0"/>
                      <w:numId w:val="110"/>
                    </w:numPr>
                  </w:pPr>
                  <w:r w:rsidRPr="008F2043">
                    <w:t>a consent to carry out the project has been granted for the purposes of this paragraph by the ONR.</w:t>
                  </w:r>
                </w:p>
              </w:tc>
            </w:tr>
            <w:tr w:rsidR="00562C17" w:rsidRPr="008F2043" w14:paraId="3DD33026" w14:textId="77777777" w:rsidTr="00D328FC">
              <w:tc>
                <w:tcPr>
                  <w:tcW w:w="767" w:type="dxa"/>
                  <w:tcBorders>
                    <w:top w:val="nil"/>
                    <w:left w:val="nil"/>
                    <w:bottom w:val="nil"/>
                    <w:right w:val="nil"/>
                  </w:tcBorders>
                </w:tcPr>
                <w:p w14:paraId="21DF4864" w14:textId="77777777" w:rsidR="00562C17" w:rsidRPr="008F2043" w:rsidRDefault="00562C17" w:rsidP="008F2043">
                  <w:r w:rsidRPr="008F2043">
                    <w:t>4.(2)</w:t>
                  </w:r>
                </w:p>
              </w:tc>
              <w:tc>
                <w:tcPr>
                  <w:tcW w:w="6317" w:type="dxa"/>
                  <w:tcBorders>
                    <w:top w:val="nil"/>
                    <w:left w:val="nil"/>
                    <w:bottom w:val="nil"/>
                    <w:right w:val="nil"/>
                  </w:tcBorders>
                </w:tcPr>
                <w:p w14:paraId="0DE8FA33" w14:textId="77777777" w:rsidR="00562C17" w:rsidRPr="008F2043" w:rsidRDefault="00562C17" w:rsidP="008F2043">
                  <w:r w:rsidRPr="008F2043">
                    <w:t>The ONR may require the licensee to provide the application in an electronic form.</w:t>
                  </w:r>
                </w:p>
              </w:tc>
            </w:tr>
          </w:tbl>
          <w:p w14:paraId="69EAEF6E" w14:textId="77777777" w:rsidR="00562C17" w:rsidRPr="008F2043" w:rsidRDefault="00562C17" w:rsidP="008F2043"/>
        </w:tc>
      </w:tr>
      <w:tr w:rsidR="00562C17" w14:paraId="2F4A52CB" w14:textId="77777777" w:rsidTr="008F2043">
        <w:tc>
          <w:tcPr>
            <w:tcW w:w="752" w:type="pct"/>
            <w:shd w:val="clear" w:color="auto" w:fill="008080"/>
          </w:tcPr>
          <w:p w14:paraId="3D62863F" w14:textId="77777777" w:rsidR="00562C17" w:rsidRPr="008F2043" w:rsidRDefault="00562C17" w:rsidP="008F2043">
            <w:pPr>
              <w:rPr>
                <w:color w:val="FFFFFF" w:themeColor="background1"/>
              </w:rPr>
            </w:pPr>
            <w:r w:rsidRPr="008F2043">
              <w:rPr>
                <w:color w:val="FFFFFF" w:themeColor="background1"/>
              </w:rPr>
              <w:t>Guidance</w:t>
            </w:r>
          </w:p>
        </w:tc>
        <w:tc>
          <w:tcPr>
            <w:tcW w:w="189" w:type="pct"/>
            <w:shd w:val="clear" w:color="auto" w:fill="008080"/>
          </w:tcPr>
          <w:p w14:paraId="07C4FCED" w14:textId="77777777" w:rsidR="00562C17" w:rsidRPr="008F2043" w:rsidRDefault="00562C17" w:rsidP="008F2043">
            <w:pPr>
              <w:rPr>
                <w:color w:val="FFFFFF" w:themeColor="background1"/>
                <w:szCs w:val="24"/>
              </w:rPr>
            </w:pPr>
            <w:bookmarkStart w:id="55" w:name="_Toc82166947"/>
            <w:bookmarkStart w:id="56" w:name="_Toc117773672"/>
            <w:bookmarkStart w:id="57" w:name="_Toc117773970"/>
            <w:bookmarkStart w:id="58" w:name="_Toc117774090"/>
            <w:r w:rsidRPr="008F2043">
              <w:rPr>
                <w:color w:val="FFFFFF" w:themeColor="background1"/>
              </w:rPr>
              <w:t>4</w:t>
            </w:r>
            <w:bookmarkEnd w:id="55"/>
            <w:bookmarkEnd w:id="56"/>
            <w:bookmarkEnd w:id="57"/>
            <w:bookmarkEnd w:id="58"/>
          </w:p>
        </w:tc>
        <w:tc>
          <w:tcPr>
            <w:tcW w:w="4059" w:type="pct"/>
          </w:tcPr>
          <w:p w14:paraId="2B27C200" w14:textId="1C54865F" w:rsidR="00562C17" w:rsidRDefault="00562C17" w:rsidP="002E24C8">
            <w:pPr>
              <w:pStyle w:val="Regulationpara"/>
            </w:pPr>
            <w:r w:rsidRPr="00280DD8">
              <w:t>Compliance with the Health and Safety at Work Act 1974</w:t>
            </w:r>
            <w:r w:rsidR="005D4D7D">
              <w:t xml:space="preserve"> </w:t>
            </w:r>
            <w:r w:rsidRPr="00280DD8">
              <w:t xml:space="preserve"> </w:t>
            </w:r>
            <w:sdt>
              <w:sdtPr>
                <w:id w:val="981278348"/>
                <w:citation/>
              </w:sdtPr>
              <w:sdtEndPr/>
              <w:sdtContent>
                <w:r w:rsidR="008F2043">
                  <w:fldChar w:fldCharType="begin"/>
                </w:r>
                <w:r w:rsidR="008F2043">
                  <w:instrText xml:space="preserve"> CITATION HMG74 \l 2057 </w:instrText>
                </w:r>
                <w:r w:rsidR="008F2043">
                  <w:fldChar w:fldCharType="separate"/>
                </w:r>
                <w:r w:rsidR="000416A5" w:rsidRPr="000416A5">
                  <w:rPr>
                    <w:noProof/>
                  </w:rPr>
                  <w:t>[7]</w:t>
                </w:r>
                <w:r w:rsidR="008F2043">
                  <w:fldChar w:fldCharType="end"/>
                </w:r>
              </w:sdtContent>
            </w:sdt>
            <w:r w:rsidRPr="00280DD8">
              <w:t xml:space="preserve"> and the Nuclear Installations Act 1965 </w:t>
            </w:r>
            <w:sdt>
              <w:sdtPr>
                <w:id w:val="-854260316"/>
                <w:citation/>
              </w:sdtPr>
              <w:sdtEndPr/>
              <w:sdtContent>
                <w:r w:rsidR="008F2043">
                  <w:fldChar w:fldCharType="begin"/>
                </w:r>
                <w:r w:rsidR="008F2043">
                  <w:instrText xml:space="preserve"> CITATION HMG65 \l 2057 </w:instrText>
                </w:r>
                <w:r w:rsidR="008F2043">
                  <w:fldChar w:fldCharType="separate"/>
                </w:r>
                <w:r w:rsidR="000416A5" w:rsidRPr="000416A5">
                  <w:rPr>
                    <w:noProof/>
                  </w:rPr>
                  <w:t>[8]</w:t>
                </w:r>
                <w:r w:rsidR="008F2043">
                  <w:fldChar w:fldCharType="end"/>
                </w:r>
              </w:sdtContent>
            </w:sdt>
            <w:r w:rsidR="002E24C8">
              <w:t xml:space="preserve"> </w:t>
            </w:r>
            <w:r w:rsidRPr="00280DD8">
              <w:t xml:space="preserve">requires the licensee to control nuclear and other hazards in a way that ensures that the risk is reduced so far as reasonably practicable (or is as low as reasonably practicable, ALARP) at all times. There may be some limited instances </w:t>
            </w:r>
            <w:r w:rsidR="008F2043" w:rsidRPr="00280DD8">
              <w:t>were</w:t>
            </w:r>
            <w:r w:rsidRPr="00280DD8">
              <w:t xml:space="preserve"> delaying non-routine waste removal or decontamination, until consent is granted, would result in additional risks to health, </w:t>
            </w:r>
            <w:proofErr w:type="gramStart"/>
            <w:r w:rsidRPr="00280DD8">
              <w:t>safety</w:t>
            </w:r>
            <w:proofErr w:type="gramEnd"/>
            <w:r w:rsidRPr="00280DD8">
              <w:t xml:space="preserve"> or the environment. In such cases, the licensee shall consult with ONR before commencing such work, to decide whether the work can proceed before consent under EIADR is granted. If undertaken, work must be carried out in compliance with relevant health and safety, nuclear safety and environmental protection legislation, or other relevant legislation and will be limited to that necessary to remediate the specific hazard.</w:t>
            </w:r>
          </w:p>
        </w:tc>
      </w:tr>
    </w:tbl>
    <w:p w14:paraId="0D50C352" w14:textId="6832066B" w:rsidR="00562C17" w:rsidRDefault="00562C17" w:rsidP="00A01C3E">
      <w:pPr>
        <w:pStyle w:val="Heading2"/>
      </w:pPr>
      <w:bookmarkStart w:id="59" w:name="_Toc124416321"/>
      <w:r>
        <w:t>Regulation 4A Coordination with Other Assessments</w:t>
      </w:r>
      <w:bookmarkEnd w:id="5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10"/>
        <w:gridCol w:w="7152"/>
      </w:tblGrid>
      <w:tr w:rsidR="00B96988" w:rsidRPr="008F2043" w14:paraId="36BAED36" w14:textId="77777777" w:rsidTr="008F2043">
        <w:tc>
          <w:tcPr>
            <w:tcW w:w="752" w:type="pct"/>
          </w:tcPr>
          <w:p w14:paraId="4CCFA5CB" w14:textId="77777777" w:rsidR="00B96988" w:rsidRPr="008F2043" w:rsidRDefault="00B96988" w:rsidP="008F2043">
            <w:r w:rsidRPr="008F2043">
              <w:t>Regulation</w:t>
            </w:r>
          </w:p>
        </w:tc>
        <w:tc>
          <w:tcPr>
            <w:tcW w:w="277" w:type="pct"/>
          </w:tcPr>
          <w:p w14:paraId="55183071" w14:textId="77777777" w:rsidR="00B96988" w:rsidRPr="008F2043" w:rsidRDefault="00B96988" w:rsidP="008F2043">
            <w:pPr>
              <w:rPr>
                <w:szCs w:val="24"/>
              </w:rPr>
            </w:pPr>
            <w:bookmarkStart w:id="60" w:name="_Toc82166949"/>
            <w:bookmarkStart w:id="61" w:name="_Toc117773674"/>
            <w:bookmarkStart w:id="62" w:name="_Toc117773972"/>
            <w:bookmarkStart w:id="63" w:name="_Toc117774092"/>
            <w:r w:rsidRPr="008F2043">
              <w:t>4A</w:t>
            </w:r>
            <w:bookmarkEnd w:id="60"/>
            <w:bookmarkEnd w:id="61"/>
            <w:bookmarkEnd w:id="62"/>
            <w:bookmarkEnd w:id="63"/>
          </w:p>
        </w:tc>
        <w:tc>
          <w:tcPr>
            <w:tcW w:w="3971" w:type="pct"/>
          </w:tcPr>
          <w:tbl>
            <w:tblPr>
              <w:tblStyle w:val="TableGrid"/>
              <w:tblW w:w="0" w:type="auto"/>
              <w:tblLook w:val="04A0" w:firstRow="1" w:lastRow="0" w:firstColumn="1" w:lastColumn="0" w:noHBand="0" w:noVBand="1"/>
            </w:tblPr>
            <w:tblGrid>
              <w:gridCol w:w="870"/>
              <w:gridCol w:w="6055"/>
            </w:tblGrid>
            <w:tr w:rsidR="00B96988" w:rsidRPr="008F2043" w14:paraId="617BCBE7" w14:textId="77777777" w:rsidTr="00D328FC">
              <w:tc>
                <w:tcPr>
                  <w:tcW w:w="870" w:type="dxa"/>
                  <w:tcBorders>
                    <w:top w:val="nil"/>
                    <w:left w:val="nil"/>
                    <w:bottom w:val="nil"/>
                    <w:right w:val="nil"/>
                  </w:tcBorders>
                </w:tcPr>
                <w:p w14:paraId="1C0734C5" w14:textId="77777777" w:rsidR="00B96988" w:rsidRPr="008F2043" w:rsidRDefault="00B96988" w:rsidP="008F2043">
                  <w:r w:rsidRPr="008F2043">
                    <w:t>4</w:t>
                  </w:r>
                  <w:proofErr w:type="gramStart"/>
                  <w:r w:rsidRPr="008F2043">
                    <w:t>A.(</w:t>
                  </w:r>
                  <w:proofErr w:type="gramEnd"/>
                  <w:r w:rsidRPr="008F2043">
                    <w:t>1)</w:t>
                  </w:r>
                </w:p>
              </w:tc>
              <w:tc>
                <w:tcPr>
                  <w:tcW w:w="6055" w:type="dxa"/>
                  <w:tcBorders>
                    <w:top w:val="nil"/>
                    <w:left w:val="nil"/>
                    <w:bottom w:val="nil"/>
                    <w:right w:val="nil"/>
                  </w:tcBorders>
                </w:tcPr>
                <w:p w14:paraId="5B803B9D" w14:textId="77777777" w:rsidR="00B96988" w:rsidRPr="008F2043" w:rsidRDefault="00B96988" w:rsidP="008F2043">
                  <w:r w:rsidRPr="008F2043">
                    <w:t>This regulation applies where an environmental impact assessment and an assessment under regulation 24 or 63 of the Conservation of Habitats and Species Regulations 2017 are required in respect of the same project.</w:t>
                  </w:r>
                </w:p>
              </w:tc>
            </w:tr>
            <w:tr w:rsidR="00B96988" w:rsidRPr="008F2043" w14:paraId="1ED2B03B" w14:textId="77777777" w:rsidTr="00D328FC">
              <w:tc>
                <w:tcPr>
                  <w:tcW w:w="870" w:type="dxa"/>
                  <w:tcBorders>
                    <w:top w:val="nil"/>
                    <w:left w:val="nil"/>
                    <w:bottom w:val="nil"/>
                    <w:right w:val="nil"/>
                  </w:tcBorders>
                </w:tcPr>
                <w:p w14:paraId="654A3CE6" w14:textId="77777777" w:rsidR="00B96988" w:rsidRPr="008F2043" w:rsidRDefault="00B96988" w:rsidP="008F2043">
                  <w:r w:rsidRPr="008F2043">
                    <w:t>4</w:t>
                  </w:r>
                  <w:proofErr w:type="gramStart"/>
                  <w:r w:rsidRPr="008F2043">
                    <w:t>A.(</w:t>
                  </w:r>
                  <w:proofErr w:type="gramEnd"/>
                  <w:r w:rsidRPr="008F2043">
                    <w:t>2)</w:t>
                  </w:r>
                </w:p>
              </w:tc>
              <w:tc>
                <w:tcPr>
                  <w:tcW w:w="6055" w:type="dxa"/>
                  <w:tcBorders>
                    <w:top w:val="nil"/>
                    <w:left w:val="nil"/>
                    <w:bottom w:val="nil"/>
                    <w:right w:val="nil"/>
                  </w:tcBorders>
                </w:tcPr>
                <w:p w14:paraId="6C0F378B" w14:textId="77777777" w:rsidR="00B96988" w:rsidRPr="008F2043" w:rsidRDefault="00B96988" w:rsidP="008F2043">
                  <w:r w:rsidRPr="008F2043">
                    <w:t xml:space="preserve">The ONR must, where appropriate ensure that the environmental impact assessment and the other assessment or assessments are coordinated.  </w:t>
                  </w:r>
                </w:p>
              </w:tc>
            </w:tr>
          </w:tbl>
          <w:p w14:paraId="13BF8E18" w14:textId="77777777" w:rsidR="00B96988" w:rsidRPr="008F2043" w:rsidRDefault="00B96988" w:rsidP="008F2043"/>
        </w:tc>
      </w:tr>
      <w:tr w:rsidR="00B96988" w:rsidRPr="008F2043" w14:paraId="64C015D5" w14:textId="77777777" w:rsidTr="008F2043">
        <w:tc>
          <w:tcPr>
            <w:tcW w:w="752" w:type="pct"/>
            <w:shd w:val="clear" w:color="auto" w:fill="008080"/>
          </w:tcPr>
          <w:p w14:paraId="3C2AF6D3" w14:textId="77777777" w:rsidR="00B96988" w:rsidRPr="008F2043" w:rsidRDefault="00B96988" w:rsidP="008F2043">
            <w:r w:rsidRPr="008F2043">
              <w:rPr>
                <w:color w:val="FFFFFF" w:themeColor="background1"/>
              </w:rPr>
              <w:lastRenderedPageBreak/>
              <w:t>Guidance</w:t>
            </w:r>
          </w:p>
        </w:tc>
        <w:tc>
          <w:tcPr>
            <w:tcW w:w="277" w:type="pct"/>
            <w:shd w:val="clear" w:color="auto" w:fill="008080"/>
          </w:tcPr>
          <w:p w14:paraId="574BDE0F" w14:textId="77777777" w:rsidR="00B96988" w:rsidRPr="008F2043" w:rsidRDefault="00B96988" w:rsidP="008F2043">
            <w:pPr>
              <w:rPr>
                <w:szCs w:val="24"/>
              </w:rPr>
            </w:pPr>
            <w:bookmarkStart w:id="64" w:name="_Toc82166950"/>
            <w:bookmarkStart w:id="65" w:name="_Toc117773675"/>
            <w:bookmarkStart w:id="66" w:name="_Toc117773973"/>
            <w:bookmarkStart w:id="67" w:name="_Toc117774093"/>
            <w:r w:rsidRPr="008F2043">
              <w:rPr>
                <w:color w:val="FFFFFF" w:themeColor="background1"/>
              </w:rPr>
              <w:t>4A</w:t>
            </w:r>
            <w:bookmarkEnd w:id="64"/>
            <w:bookmarkEnd w:id="65"/>
            <w:bookmarkEnd w:id="66"/>
            <w:bookmarkEnd w:id="67"/>
          </w:p>
        </w:tc>
        <w:tc>
          <w:tcPr>
            <w:tcW w:w="3971" w:type="pct"/>
          </w:tcPr>
          <w:p w14:paraId="1492C463" w14:textId="1F1AD3C6" w:rsidR="00B96988" w:rsidRPr="008F2043" w:rsidRDefault="00B96988" w:rsidP="002E24C8">
            <w:pPr>
              <w:pStyle w:val="Regulationpara"/>
            </w:pPr>
            <w:r w:rsidRPr="008F2043">
              <w:t xml:space="preserve">The Conservation of Habitats and Species Regulations 2017 </w:t>
            </w:r>
            <w:sdt>
              <w:sdtPr>
                <w:id w:val="1248617383"/>
                <w:citation/>
              </w:sdtPr>
              <w:sdtEndPr/>
              <w:sdtContent>
                <w:r w:rsidR="008F2043">
                  <w:fldChar w:fldCharType="begin"/>
                </w:r>
                <w:r w:rsidR="008F2043">
                  <w:instrText xml:space="preserve"> CITATION HMG176 \l 2057 </w:instrText>
                </w:r>
                <w:r w:rsidR="008F2043">
                  <w:fldChar w:fldCharType="separate"/>
                </w:r>
                <w:r w:rsidR="000416A5" w:rsidRPr="000416A5">
                  <w:rPr>
                    <w:noProof/>
                  </w:rPr>
                  <w:t>[9]</w:t>
                </w:r>
                <w:r w:rsidR="008F2043">
                  <w:fldChar w:fldCharType="end"/>
                </w:r>
              </w:sdtContent>
            </w:sdt>
            <w:r w:rsidRPr="008F2043">
              <w:t xml:space="preserve"> transpose European Council Habitats Directive</w:t>
            </w:r>
            <w:r w:rsidRPr="008F2043">
              <w:rPr>
                <w:rStyle w:val="FootnoteReference"/>
              </w:rPr>
              <w:footnoteReference w:id="9"/>
            </w:r>
            <w:r w:rsidRPr="008F2043">
              <w:t xml:space="preserve"> in England and Wales. They also transpose elements of the EU Wild Birds Directive in England and Wales. In Scotland, the Habitats Directive is transposed through a combination of the Habitats Regulations 2010 </w:t>
            </w:r>
            <w:sdt>
              <w:sdtPr>
                <w:id w:val="-875541778"/>
                <w:citation/>
              </w:sdtPr>
              <w:sdtEndPr/>
              <w:sdtContent>
                <w:r w:rsidR="008F2043">
                  <w:fldChar w:fldCharType="begin"/>
                </w:r>
                <w:r w:rsidR="008F2043">
                  <w:instrText xml:space="preserve"> CITATION HMG102 \l 2057 </w:instrText>
                </w:r>
                <w:r w:rsidR="008F2043">
                  <w:fldChar w:fldCharType="separate"/>
                </w:r>
                <w:r w:rsidR="000416A5" w:rsidRPr="000416A5">
                  <w:rPr>
                    <w:noProof/>
                  </w:rPr>
                  <w:t>[10]</w:t>
                </w:r>
                <w:r w:rsidR="008F2043">
                  <w:fldChar w:fldCharType="end"/>
                </w:r>
              </w:sdtContent>
            </w:sdt>
            <w:r w:rsidRPr="008F2043">
              <w:t xml:space="preserve"> and the Conservation (Natural Habitats &amp;c.) Regulations 1994 (as amended)</w:t>
            </w:r>
            <w:sdt>
              <w:sdtPr>
                <w:id w:val="-701089750"/>
                <w:citation/>
              </w:sdtPr>
              <w:sdtEndPr/>
              <w:sdtContent>
                <w:r w:rsidR="005D4D7D">
                  <w:fldChar w:fldCharType="begin"/>
                </w:r>
                <w:r w:rsidR="005D4D7D">
                  <w:instrText xml:space="preserve"> CITATION HMG176 \l 2057 </w:instrText>
                </w:r>
                <w:r w:rsidR="005D4D7D">
                  <w:fldChar w:fldCharType="separate"/>
                </w:r>
                <w:r w:rsidR="000416A5">
                  <w:rPr>
                    <w:noProof/>
                  </w:rPr>
                  <w:t xml:space="preserve"> </w:t>
                </w:r>
                <w:r w:rsidR="000416A5" w:rsidRPr="000416A5">
                  <w:rPr>
                    <w:noProof/>
                  </w:rPr>
                  <w:t>[9]</w:t>
                </w:r>
                <w:r w:rsidR="005D4D7D">
                  <w:fldChar w:fldCharType="end"/>
                </w:r>
              </w:sdtContent>
            </w:sdt>
            <w:r w:rsidRPr="008F2043">
              <w:t xml:space="preserve"> ; this is summarised in an explanatory memorandum to the 2017 Habitats Regulations</w:t>
            </w:r>
            <w:sdt>
              <w:sdtPr>
                <w:id w:val="-121776029"/>
                <w:citation/>
              </w:sdtPr>
              <w:sdtEndPr/>
              <w:sdtContent>
                <w:r w:rsidR="005D4D7D">
                  <w:fldChar w:fldCharType="begin"/>
                </w:r>
                <w:r w:rsidR="005D4D7D">
                  <w:instrText xml:space="preserve"> CITATION HMG177 \l 2057 </w:instrText>
                </w:r>
                <w:r w:rsidR="005D4D7D">
                  <w:fldChar w:fldCharType="separate"/>
                </w:r>
                <w:r w:rsidR="000416A5">
                  <w:rPr>
                    <w:noProof/>
                  </w:rPr>
                  <w:t xml:space="preserve"> </w:t>
                </w:r>
                <w:r w:rsidR="000416A5" w:rsidRPr="000416A5">
                  <w:rPr>
                    <w:noProof/>
                  </w:rPr>
                  <w:t>[11]</w:t>
                </w:r>
                <w:r w:rsidR="005D4D7D">
                  <w:fldChar w:fldCharType="end"/>
                </w:r>
              </w:sdtContent>
            </w:sdt>
            <w:sdt>
              <w:sdtPr>
                <w:id w:val="-1771779797"/>
                <w:citation/>
              </w:sdtPr>
              <w:sdtEndPr/>
              <w:sdtContent>
                <w:r w:rsidR="008F2043">
                  <w:fldChar w:fldCharType="begin"/>
                </w:r>
                <w:r w:rsidR="008F2043">
                  <w:instrText xml:space="preserve">CITATION HMG177 \l 2057 </w:instrText>
                </w:r>
                <w:r w:rsidR="008F2043">
                  <w:fldChar w:fldCharType="separate"/>
                </w:r>
                <w:r w:rsidR="000416A5">
                  <w:rPr>
                    <w:noProof/>
                  </w:rPr>
                  <w:t xml:space="preserve"> </w:t>
                </w:r>
                <w:r w:rsidR="000416A5" w:rsidRPr="000416A5">
                  <w:rPr>
                    <w:noProof/>
                  </w:rPr>
                  <w:t>[11]</w:t>
                </w:r>
                <w:r w:rsidR="008F2043">
                  <w:fldChar w:fldCharType="end"/>
                </w:r>
              </w:sdtContent>
            </w:sdt>
            <w:r w:rsidRPr="008F2043">
              <w:t xml:space="preserve">. </w:t>
            </w:r>
          </w:p>
          <w:p w14:paraId="5D84C2C2" w14:textId="7D3BE35B" w:rsidR="00B96988" w:rsidRPr="008F2043" w:rsidRDefault="00B96988" w:rsidP="002E24C8">
            <w:pPr>
              <w:pStyle w:val="Regulationpara"/>
            </w:pPr>
            <w:r w:rsidRPr="008F2043">
              <w:t xml:space="preserve">Regulation 63 of the Habitats Regulations 2017 </w:t>
            </w:r>
            <w:sdt>
              <w:sdtPr>
                <w:id w:val="-216747977"/>
                <w:citation/>
              </w:sdtPr>
              <w:sdtEndPr/>
              <w:sdtContent>
                <w:r w:rsidR="0072072C">
                  <w:fldChar w:fldCharType="begin"/>
                </w:r>
                <w:r w:rsidR="0072072C">
                  <w:instrText xml:space="preserve"> CITATION HMG176 \l 2057 </w:instrText>
                </w:r>
                <w:r w:rsidR="0072072C">
                  <w:fldChar w:fldCharType="separate"/>
                </w:r>
                <w:r w:rsidR="000416A5" w:rsidRPr="000416A5">
                  <w:rPr>
                    <w:noProof/>
                  </w:rPr>
                  <w:t>[9]</w:t>
                </w:r>
                <w:r w:rsidR="0072072C">
                  <w:fldChar w:fldCharType="end"/>
                </w:r>
              </w:sdtContent>
            </w:sdt>
            <w:r w:rsidRPr="008F2043">
              <w:t xml:space="preserve"> (in England and Wales), and regulation 48 of the Habitats Regulation 1994 (as amended)</w:t>
            </w:r>
            <w:sdt>
              <w:sdtPr>
                <w:id w:val="1578785314"/>
                <w:citation/>
              </w:sdtPr>
              <w:sdtEndPr/>
              <w:sdtContent>
                <w:r w:rsidR="005D4D7D">
                  <w:fldChar w:fldCharType="begin"/>
                </w:r>
                <w:r w:rsidR="005D4D7D">
                  <w:instrText xml:space="preserve"> CITATION HMG94 \l 2057 </w:instrText>
                </w:r>
                <w:r w:rsidR="005D4D7D">
                  <w:fldChar w:fldCharType="separate"/>
                </w:r>
                <w:r w:rsidR="000416A5">
                  <w:rPr>
                    <w:noProof/>
                  </w:rPr>
                  <w:t xml:space="preserve"> </w:t>
                </w:r>
                <w:r w:rsidR="000416A5" w:rsidRPr="000416A5">
                  <w:rPr>
                    <w:noProof/>
                  </w:rPr>
                  <w:t>[12]</w:t>
                </w:r>
                <w:r w:rsidR="005D4D7D">
                  <w:fldChar w:fldCharType="end"/>
                </w:r>
              </w:sdtContent>
            </w:sdt>
            <w:r w:rsidRPr="008F2043">
              <w:t xml:space="preserve">(in Scotland) requires that the competent authorities for the regulations make an appropriate assessment of the implications of the project on a European Site. </w:t>
            </w:r>
          </w:p>
          <w:p w14:paraId="4930808A" w14:textId="64DB5C94" w:rsidR="00B96988" w:rsidRPr="008F2043" w:rsidRDefault="00B96988" w:rsidP="002E24C8">
            <w:pPr>
              <w:pStyle w:val="Regulationpara"/>
            </w:pPr>
            <w:r w:rsidRPr="008F2043">
              <w:t>ONR recognises that some issues relevant to the environmental statement will be adequately covered elsewhere, under the requirements of other legislation (</w:t>
            </w:r>
            <w:r w:rsidR="008F2043" w:rsidRPr="008F2043">
              <w:t>e.g.,</w:t>
            </w:r>
            <w:r w:rsidRPr="008F2043">
              <w:t xml:space="preserve"> the Habitats Regulations). Rather than repeating this work, an environmental statement can provide links with these issues, and sufficient information to put them into context with a decommissioning project. ONR will make the licensee aware of the possibility to coordinate with other assessments through early engagement on EIADR.</w:t>
            </w:r>
          </w:p>
        </w:tc>
      </w:tr>
    </w:tbl>
    <w:p w14:paraId="4F72BAFC" w14:textId="65990A2F" w:rsidR="00B96988" w:rsidRDefault="00B96988" w:rsidP="00A01C3E">
      <w:pPr>
        <w:pStyle w:val="Heading2"/>
      </w:pPr>
      <w:bookmarkStart w:id="68" w:name="_Toc124416322"/>
      <w:r>
        <w:t>Regulation 5 Provision of an Environmental Statement</w:t>
      </w:r>
      <w:bookmarkEnd w:id="68"/>
    </w:p>
    <w:tbl>
      <w:tblPr>
        <w:tblStyle w:val="TableGrid"/>
        <w:tblW w:w="5000" w:type="pct"/>
        <w:tblLook w:val="04A0" w:firstRow="1" w:lastRow="0" w:firstColumn="1" w:lastColumn="0" w:noHBand="0" w:noVBand="1"/>
      </w:tblPr>
      <w:tblGrid>
        <w:gridCol w:w="1365"/>
        <w:gridCol w:w="496"/>
        <w:gridCol w:w="7165"/>
      </w:tblGrid>
      <w:tr w:rsidR="0092209D" w:rsidRPr="0072072C" w14:paraId="3DB5B259" w14:textId="77777777" w:rsidTr="002E24C8">
        <w:tc>
          <w:tcPr>
            <w:tcW w:w="756" w:type="pct"/>
            <w:tcBorders>
              <w:top w:val="nil"/>
              <w:left w:val="nil"/>
              <w:bottom w:val="nil"/>
              <w:right w:val="nil"/>
            </w:tcBorders>
          </w:tcPr>
          <w:p w14:paraId="215B9C2D" w14:textId="77777777" w:rsidR="0092209D" w:rsidRPr="0072072C" w:rsidRDefault="0092209D" w:rsidP="0072072C">
            <w:r w:rsidRPr="0072072C">
              <w:t>Regulation</w:t>
            </w:r>
          </w:p>
        </w:tc>
        <w:tc>
          <w:tcPr>
            <w:tcW w:w="275" w:type="pct"/>
            <w:tcBorders>
              <w:top w:val="nil"/>
              <w:left w:val="nil"/>
              <w:bottom w:val="nil"/>
              <w:right w:val="nil"/>
            </w:tcBorders>
          </w:tcPr>
          <w:p w14:paraId="52832C35" w14:textId="77777777" w:rsidR="0092209D" w:rsidRPr="0072072C" w:rsidRDefault="0092209D" w:rsidP="0072072C">
            <w:pPr>
              <w:rPr>
                <w:szCs w:val="24"/>
              </w:rPr>
            </w:pPr>
            <w:bookmarkStart w:id="69" w:name="_Toc82166952"/>
            <w:bookmarkStart w:id="70" w:name="_Toc117773677"/>
            <w:bookmarkStart w:id="71" w:name="_Toc117773975"/>
            <w:bookmarkStart w:id="72" w:name="_Toc117774095"/>
            <w:r w:rsidRPr="0072072C">
              <w:rPr>
                <w:szCs w:val="24"/>
              </w:rPr>
              <w:t>5</w:t>
            </w:r>
            <w:bookmarkEnd w:id="69"/>
            <w:bookmarkEnd w:id="70"/>
            <w:bookmarkEnd w:id="71"/>
            <w:bookmarkEnd w:id="72"/>
          </w:p>
        </w:tc>
        <w:tc>
          <w:tcPr>
            <w:tcW w:w="3969" w:type="pct"/>
            <w:tcBorders>
              <w:top w:val="nil"/>
              <w:left w:val="nil"/>
              <w:bottom w:val="nil"/>
              <w:right w:val="nil"/>
            </w:tcBorders>
          </w:tcPr>
          <w:tbl>
            <w:tblPr>
              <w:tblStyle w:val="TableGrid"/>
              <w:tblW w:w="0" w:type="auto"/>
              <w:tblLook w:val="04A0" w:firstRow="1" w:lastRow="0" w:firstColumn="1" w:lastColumn="0" w:noHBand="0" w:noVBand="1"/>
            </w:tblPr>
            <w:tblGrid>
              <w:gridCol w:w="779"/>
              <w:gridCol w:w="6146"/>
            </w:tblGrid>
            <w:tr w:rsidR="0092209D" w:rsidRPr="0072072C" w14:paraId="0E5CA538" w14:textId="77777777" w:rsidTr="00D328FC">
              <w:tc>
                <w:tcPr>
                  <w:tcW w:w="779" w:type="dxa"/>
                  <w:tcBorders>
                    <w:top w:val="nil"/>
                    <w:left w:val="nil"/>
                    <w:bottom w:val="nil"/>
                    <w:right w:val="nil"/>
                  </w:tcBorders>
                </w:tcPr>
                <w:p w14:paraId="0D43E07F" w14:textId="77777777" w:rsidR="0092209D" w:rsidRPr="0072072C" w:rsidRDefault="0092209D" w:rsidP="0072072C">
                  <w:r w:rsidRPr="0072072C">
                    <w:t>5.(1)</w:t>
                  </w:r>
                </w:p>
              </w:tc>
              <w:tc>
                <w:tcPr>
                  <w:tcW w:w="6146" w:type="dxa"/>
                  <w:tcBorders>
                    <w:top w:val="nil"/>
                    <w:left w:val="nil"/>
                    <w:bottom w:val="nil"/>
                    <w:right w:val="nil"/>
                  </w:tcBorders>
                </w:tcPr>
                <w:p w14:paraId="0008298E" w14:textId="2DE0DA4C" w:rsidR="0092209D" w:rsidRPr="0072072C" w:rsidRDefault="0092209D" w:rsidP="0072072C">
                  <w:r w:rsidRPr="0072072C">
                    <w:t xml:space="preserve">A licensee who applies for a consent under regulation 4(1)(a) shall provide to the ONR an environmental statement, being </w:t>
                  </w:r>
                  <w:r w:rsidR="0072072C" w:rsidRPr="0072072C">
                    <w:t>a statement,</w:t>
                  </w:r>
                  <w:r w:rsidRPr="0072072C">
                    <w:t xml:space="preserve"> which includes–</w:t>
                  </w:r>
                </w:p>
                <w:p w14:paraId="542ECFA7" w14:textId="1AF18E56" w:rsidR="0092209D" w:rsidRPr="0072072C" w:rsidRDefault="0092209D" w:rsidP="00DE19A2">
                  <w:pPr>
                    <w:pStyle w:val="ListParagraph"/>
                    <w:numPr>
                      <w:ilvl w:val="0"/>
                      <w:numId w:val="111"/>
                    </w:numPr>
                  </w:pPr>
                  <w:r w:rsidRPr="0072072C">
                    <w:t xml:space="preserve">a description of the project comprising information on the site, design, size and other relevant features of the </w:t>
                  </w:r>
                  <w:proofErr w:type="gramStart"/>
                  <w:r w:rsidRPr="0072072C">
                    <w:t>project;</w:t>
                  </w:r>
                  <w:proofErr w:type="gramEnd"/>
                </w:p>
                <w:p w14:paraId="22E113CF" w14:textId="2D753ED8" w:rsidR="0092209D" w:rsidRPr="0072072C" w:rsidRDefault="0092209D" w:rsidP="00DE19A2">
                  <w:pPr>
                    <w:pStyle w:val="ListParagraph"/>
                    <w:numPr>
                      <w:ilvl w:val="0"/>
                      <w:numId w:val="111"/>
                    </w:numPr>
                  </w:pPr>
                  <w:r w:rsidRPr="0072072C">
                    <w:t xml:space="preserve">a description of the likely significant effects of the project on the </w:t>
                  </w:r>
                  <w:proofErr w:type="gramStart"/>
                  <w:r w:rsidRPr="0072072C">
                    <w:t>environment;</w:t>
                  </w:r>
                  <w:proofErr w:type="gramEnd"/>
                </w:p>
                <w:p w14:paraId="2FC1C105" w14:textId="10E5D0D1" w:rsidR="0092209D" w:rsidRPr="0072072C" w:rsidRDefault="0092209D" w:rsidP="00DE19A2">
                  <w:pPr>
                    <w:pStyle w:val="ListParagraph"/>
                    <w:numPr>
                      <w:ilvl w:val="0"/>
                      <w:numId w:val="111"/>
                    </w:numPr>
                  </w:pPr>
                  <w:r w:rsidRPr="0072072C">
                    <w:t xml:space="preserve">a description of any features of the project or measures envisaged to avoid, prevent or reduce and, if possible, offset, any likely significant adverse effects on the </w:t>
                  </w:r>
                  <w:proofErr w:type="gramStart"/>
                  <w:r w:rsidRPr="0072072C">
                    <w:t>environment;</w:t>
                  </w:r>
                  <w:proofErr w:type="gramEnd"/>
                </w:p>
                <w:p w14:paraId="3716A7F8" w14:textId="431425B0" w:rsidR="0092209D" w:rsidRPr="0072072C" w:rsidRDefault="0092209D" w:rsidP="00DE19A2">
                  <w:pPr>
                    <w:pStyle w:val="ListParagraph"/>
                    <w:numPr>
                      <w:ilvl w:val="0"/>
                      <w:numId w:val="111"/>
                    </w:numPr>
                  </w:pPr>
                  <w:r w:rsidRPr="0072072C">
                    <w:t xml:space="preserve">a description of the reasonable alternatives studied by the licensee, which are relevant to the </w:t>
                  </w:r>
                  <w:r w:rsidRPr="0072072C">
                    <w:lastRenderedPageBreak/>
                    <w:t xml:space="preserve">project and its specific characteristics, and an indication of the main reasons for the option chosen, taking into account the likely significant effects of the project on the </w:t>
                  </w:r>
                  <w:proofErr w:type="gramStart"/>
                  <w:r w:rsidRPr="0072072C">
                    <w:t>environment;</w:t>
                  </w:r>
                  <w:proofErr w:type="gramEnd"/>
                </w:p>
                <w:p w14:paraId="7B36B60C" w14:textId="3117F66C" w:rsidR="0092209D" w:rsidRPr="0072072C" w:rsidRDefault="0092209D" w:rsidP="00DE19A2">
                  <w:pPr>
                    <w:pStyle w:val="ListParagraph"/>
                    <w:numPr>
                      <w:ilvl w:val="0"/>
                      <w:numId w:val="111"/>
                    </w:numPr>
                  </w:pPr>
                  <w:r w:rsidRPr="0072072C">
                    <w:t>a non-technical summary of the information referred to in sub-paragraphs (a) to (d); and</w:t>
                  </w:r>
                </w:p>
                <w:p w14:paraId="7CF2EC35" w14:textId="6713FAA0" w:rsidR="0092209D" w:rsidRPr="0072072C" w:rsidRDefault="0092209D" w:rsidP="00DE19A2">
                  <w:pPr>
                    <w:pStyle w:val="ListParagraph"/>
                    <w:numPr>
                      <w:ilvl w:val="0"/>
                      <w:numId w:val="111"/>
                    </w:numPr>
                  </w:pPr>
                  <w:r w:rsidRPr="0072072C">
                    <w:t>any further information specified in Schedule 1 relevant to the specific characteristics of a particular project or type of project and to the environmental features likely to be affected.</w:t>
                  </w:r>
                </w:p>
              </w:tc>
            </w:tr>
            <w:tr w:rsidR="0092209D" w:rsidRPr="0072072C" w14:paraId="2F76C966" w14:textId="77777777" w:rsidTr="00D328FC">
              <w:tc>
                <w:tcPr>
                  <w:tcW w:w="779" w:type="dxa"/>
                  <w:tcBorders>
                    <w:top w:val="nil"/>
                    <w:left w:val="nil"/>
                    <w:bottom w:val="nil"/>
                    <w:right w:val="nil"/>
                  </w:tcBorders>
                </w:tcPr>
                <w:p w14:paraId="133B017B" w14:textId="77777777" w:rsidR="0092209D" w:rsidRPr="0072072C" w:rsidRDefault="0092209D" w:rsidP="0072072C">
                  <w:r w:rsidRPr="0072072C">
                    <w:lastRenderedPageBreak/>
                    <w:t>5.(2)</w:t>
                  </w:r>
                </w:p>
              </w:tc>
              <w:tc>
                <w:tcPr>
                  <w:tcW w:w="6146" w:type="dxa"/>
                  <w:tcBorders>
                    <w:top w:val="nil"/>
                    <w:left w:val="nil"/>
                    <w:bottom w:val="nil"/>
                    <w:right w:val="nil"/>
                  </w:tcBorders>
                </w:tcPr>
                <w:p w14:paraId="59B47EA2" w14:textId="77777777" w:rsidR="0092209D" w:rsidRPr="0072072C" w:rsidRDefault="0092209D" w:rsidP="0072072C">
                  <w:r w:rsidRPr="0072072C">
                    <w:t>The environmental statement shall –</w:t>
                  </w:r>
                </w:p>
                <w:p w14:paraId="7C6AFA78" w14:textId="710E450B" w:rsidR="0092209D" w:rsidRPr="0072072C" w:rsidRDefault="0092209D" w:rsidP="00DE19A2">
                  <w:pPr>
                    <w:pStyle w:val="ListParagraph"/>
                    <w:numPr>
                      <w:ilvl w:val="0"/>
                      <w:numId w:val="112"/>
                    </w:numPr>
                  </w:pPr>
                  <w:r w:rsidRPr="0072072C">
                    <w:t xml:space="preserve">be prepared by a competent person and state the relevant expertise and qualifications of that </w:t>
                  </w:r>
                  <w:proofErr w:type="gramStart"/>
                  <w:r w:rsidRPr="0072072C">
                    <w:t>person;</w:t>
                  </w:r>
                  <w:proofErr w:type="gramEnd"/>
                </w:p>
                <w:p w14:paraId="2F17C3D5" w14:textId="6ABD9A90" w:rsidR="0092209D" w:rsidRPr="0072072C" w:rsidRDefault="0092209D" w:rsidP="00DE19A2">
                  <w:pPr>
                    <w:pStyle w:val="ListParagraph"/>
                    <w:numPr>
                      <w:ilvl w:val="0"/>
                      <w:numId w:val="112"/>
                    </w:numPr>
                  </w:pPr>
                  <w:r w:rsidRPr="0072072C">
                    <w:t xml:space="preserve">be based on any opinion given under regulation 6 in respect of the </w:t>
                  </w:r>
                  <w:proofErr w:type="gramStart"/>
                  <w:r w:rsidRPr="0072072C">
                    <w:t>project;</w:t>
                  </w:r>
                  <w:proofErr w:type="gramEnd"/>
                </w:p>
                <w:p w14:paraId="3DC08E22" w14:textId="0411BC47" w:rsidR="0092209D" w:rsidRPr="0072072C" w:rsidRDefault="0092209D" w:rsidP="00DE19A2">
                  <w:pPr>
                    <w:pStyle w:val="ListParagraph"/>
                    <w:numPr>
                      <w:ilvl w:val="0"/>
                      <w:numId w:val="112"/>
                    </w:numPr>
                  </w:pPr>
                  <w:r w:rsidRPr="0072072C">
                    <w:t xml:space="preserve">include the information reasonably required for reaching a reasoned conclusion on the significant effects of the project on the environment, taking into account current knowledge and methods of </w:t>
                  </w:r>
                  <w:proofErr w:type="gramStart"/>
                  <w:r w:rsidRPr="0072072C">
                    <w:t>assessment;</w:t>
                  </w:r>
                  <w:proofErr w:type="gramEnd"/>
                </w:p>
                <w:p w14:paraId="1F197A55" w14:textId="387F766F" w:rsidR="0092209D" w:rsidRPr="0072072C" w:rsidRDefault="0092209D" w:rsidP="00DE19A2">
                  <w:pPr>
                    <w:pStyle w:val="ListParagraph"/>
                    <w:numPr>
                      <w:ilvl w:val="0"/>
                      <w:numId w:val="112"/>
                    </w:numPr>
                  </w:pPr>
                  <w:proofErr w:type="gramStart"/>
                  <w:r w:rsidRPr="0072072C">
                    <w:t>take into account</w:t>
                  </w:r>
                  <w:proofErr w:type="gramEnd"/>
                  <w:r w:rsidRPr="0072072C">
                    <w:t xml:space="preserve"> the results of any relevant environmental assessment which are reasonably available to the licensee.</w:t>
                  </w:r>
                </w:p>
              </w:tc>
            </w:tr>
            <w:tr w:rsidR="0092209D" w:rsidRPr="0072072C" w14:paraId="365C9283" w14:textId="77777777" w:rsidTr="00D328FC">
              <w:tc>
                <w:tcPr>
                  <w:tcW w:w="779" w:type="dxa"/>
                  <w:tcBorders>
                    <w:top w:val="nil"/>
                    <w:left w:val="nil"/>
                    <w:bottom w:val="nil"/>
                    <w:right w:val="nil"/>
                  </w:tcBorders>
                </w:tcPr>
                <w:p w14:paraId="7B192292" w14:textId="77777777" w:rsidR="0092209D" w:rsidRPr="0072072C" w:rsidRDefault="0092209D" w:rsidP="0072072C">
                  <w:r w:rsidRPr="0072072C">
                    <w:t>5.(3)</w:t>
                  </w:r>
                </w:p>
              </w:tc>
              <w:tc>
                <w:tcPr>
                  <w:tcW w:w="6146" w:type="dxa"/>
                  <w:tcBorders>
                    <w:top w:val="nil"/>
                    <w:left w:val="nil"/>
                    <w:bottom w:val="nil"/>
                    <w:right w:val="nil"/>
                  </w:tcBorders>
                </w:tcPr>
                <w:p w14:paraId="0E50370C" w14:textId="77777777" w:rsidR="0092209D" w:rsidRPr="0072072C" w:rsidRDefault="0092209D" w:rsidP="0072072C">
                  <w:r w:rsidRPr="0072072C">
                    <w:t>The ONR may require the licensee to provide the environmental statement in an electronic form.</w:t>
                  </w:r>
                </w:p>
              </w:tc>
            </w:tr>
          </w:tbl>
          <w:p w14:paraId="186D8C8D" w14:textId="77777777" w:rsidR="0092209D" w:rsidRPr="0072072C" w:rsidRDefault="0092209D" w:rsidP="0072072C"/>
        </w:tc>
      </w:tr>
      <w:tr w:rsidR="0092209D" w:rsidRPr="0072072C" w14:paraId="200E288E" w14:textId="77777777" w:rsidTr="002E24C8">
        <w:tc>
          <w:tcPr>
            <w:tcW w:w="756" w:type="pct"/>
            <w:tcBorders>
              <w:top w:val="nil"/>
              <w:left w:val="nil"/>
              <w:bottom w:val="nil"/>
              <w:right w:val="nil"/>
            </w:tcBorders>
            <w:shd w:val="clear" w:color="auto" w:fill="008080"/>
          </w:tcPr>
          <w:p w14:paraId="7E87D1DA" w14:textId="77777777" w:rsidR="0092209D" w:rsidRPr="0072072C" w:rsidRDefault="0092209D" w:rsidP="0072072C">
            <w:pPr>
              <w:rPr>
                <w:color w:val="FFFFFF" w:themeColor="background1"/>
              </w:rPr>
            </w:pPr>
            <w:r w:rsidRPr="0072072C">
              <w:rPr>
                <w:color w:val="FFFFFF" w:themeColor="background1"/>
              </w:rPr>
              <w:lastRenderedPageBreak/>
              <w:t xml:space="preserve">Guidance </w:t>
            </w:r>
          </w:p>
        </w:tc>
        <w:tc>
          <w:tcPr>
            <w:tcW w:w="275" w:type="pct"/>
            <w:tcBorders>
              <w:top w:val="nil"/>
              <w:left w:val="nil"/>
              <w:bottom w:val="nil"/>
              <w:right w:val="nil"/>
            </w:tcBorders>
            <w:shd w:val="clear" w:color="auto" w:fill="008080"/>
          </w:tcPr>
          <w:p w14:paraId="3B8A8A03" w14:textId="77777777" w:rsidR="0092209D" w:rsidRPr="0072072C" w:rsidRDefault="0092209D" w:rsidP="0072072C">
            <w:pPr>
              <w:rPr>
                <w:color w:val="FFFFFF" w:themeColor="background1"/>
                <w:szCs w:val="24"/>
              </w:rPr>
            </w:pPr>
            <w:bookmarkStart w:id="73" w:name="_Toc82166953"/>
            <w:bookmarkStart w:id="74" w:name="_Toc117773678"/>
            <w:bookmarkStart w:id="75" w:name="_Toc117773976"/>
            <w:bookmarkStart w:id="76" w:name="_Toc117774096"/>
            <w:r w:rsidRPr="0072072C">
              <w:rPr>
                <w:color w:val="FFFFFF" w:themeColor="background1"/>
                <w:szCs w:val="24"/>
              </w:rPr>
              <w:t>5</w:t>
            </w:r>
            <w:bookmarkEnd w:id="73"/>
            <w:bookmarkEnd w:id="74"/>
            <w:bookmarkEnd w:id="75"/>
            <w:bookmarkEnd w:id="76"/>
          </w:p>
        </w:tc>
        <w:tc>
          <w:tcPr>
            <w:tcW w:w="3969" w:type="pct"/>
            <w:tcBorders>
              <w:top w:val="nil"/>
              <w:left w:val="nil"/>
              <w:bottom w:val="nil"/>
              <w:right w:val="nil"/>
            </w:tcBorders>
          </w:tcPr>
          <w:p w14:paraId="4CDD6BA2" w14:textId="666D733E" w:rsidR="0092209D" w:rsidRPr="0072072C" w:rsidRDefault="0092209D" w:rsidP="002E24C8">
            <w:pPr>
              <w:pStyle w:val="Regulationpara"/>
            </w:pPr>
            <w:r w:rsidRPr="0072072C">
              <w:t xml:space="preserve">The environmental statement forms the written report of the environmental impact assessment (EIA) carried out by the licensee. The EIA assesses the potential significant effects of the proposed decommissioning project on the environment, and identifies the mitigation measures required to avoid, prevent, reduce and if </w:t>
            </w:r>
            <w:r w:rsidR="0072072C" w:rsidRPr="0072072C">
              <w:t>possible,</w:t>
            </w:r>
            <w:r w:rsidRPr="0072072C">
              <w:t xml:space="preserve"> offset any significant adverse effects. The environmental statement must also detail any consideration of different options undertaken by the licensee in relation to the project as detailed in paragraph 2 of Schedule 1. The environmental statement must provide information as detailed in Schedule 1 as is reasonably required to assess the environmental effects of the proposed project. Further, more detailed guidance on carrying out environmental impact assessments and preparing environmental statements is provided elsewhere </w:t>
            </w:r>
            <w:r w:rsidR="0072072C">
              <w:br/>
            </w:r>
            <w:sdt>
              <w:sdtPr>
                <w:id w:val="1493451648"/>
                <w:citation/>
              </w:sdtPr>
              <w:sdtEndPr/>
              <w:sdtContent>
                <w:r w:rsidR="0072072C">
                  <w:fldChar w:fldCharType="begin"/>
                </w:r>
                <w:r w:rsidR="0072072C">
                  <w:instrText xml:space="preserve">CITATION Min17 \l 2057 </w:instrText>
                </w:r>
                <w:r w:rsidR="0072072C">
                  <w:fldChar w:fldCharType="separate"/>
                </w:r>
                <w:r w:rsidR="000416A5" w:rsidRPr="000416A5">
                  <w:rPr>
                    <w:noProof/>
                  </w:rPr>
                  <w:t>[13]</w:t>
                </w:r>
                <w:r w:rsidR="0072072C">
                  <w:fldChar w:fldCharType="end"/>
                </w:r>
              </w:sdtContent>
            </w:sdt>
            <w:r w:rsidR="0072072C">
              <w:t xml:space="preserve"> </w:t>
            </w:r>
            <w:sdt>
              <w:sdtPr>
                <w:id w:val="-654832143"/>
                <w:citation/>
              </w:sdtPr>
              <w:sdtEndPr/>
              <w:sdtContent>
                <w:r w:rsidR="0072072C">
                  <w:fldChar w:fldCharType="begin"/>
                </w:r>
                <w:r w:rsidR="0072072C">
                  <w:instrText xml:space="preserve">CITATION IAE36 \l 2057 </w:instrText>
                </w:r>
                <w:r w:rsidR="0072072C">
                  <w:fldChar w:fldCharType="separate"/>
                </w:r>
                <w:r w:rsidR="000416A5" w:rsidRPr="000416A5">
                  <w:rPr>
                    <w:noProof/>
                  </w:rPr>
                  <w:t>[14]</w:t>
                </w:r>
                <w:r w:rsidR="0072072C">
                  <w:fldChar w:fldCharType="end"/>
                </w:r>
              </w:sdtContent>
            </w:sdt>
            <w:r w:rsidR="0072072C">
              <w:t xml:space="preserve"> </w:t>
            </w:r>
            <w:sdt>
              <w:sdtPr>
                <w:id w:val="-1801761576"/>
                <w:citation/>
              </w:sdtPr>
              <w:sdtEndPr/>
              <w:sdtContent>
                <w:r w:rsidR="0072072C">
                  <w:fldChar w:fldCharType="begin"/>
                </w:r>
                <w:r w:rsidR="0072072C">
                  <w:instrText xml:space="preserve"> CITATION Eur17 \l 2057 </w:instrText>
                </w:r>
                <w:r w:rsidR="0072072C">
                  <w:fldChar w:fldCharType="separate"/>
                </w:r>
                <w:r w:rsidR="000416A5" w:rsidRPr="000416A5">
                  <w:rPr>
                    <w:noProof/>
                  </w:rPr>
                  <w:t>[15]</w:t>
                </w:r>
                <w:r w:rsidR="0072072C">
                  <w:fldChar w:fldCharType="end"/>
                </w:r>
              </w:sdtContent>
            </w:sdt>
            <w:r w:rsidR="0072072C">
              <w:t xml:space="preserve"> </w:t>
            </w:r>
            <w:sdt>
              <w:sdtPr>
                <w:id w:val="-204104197"/>
                <w:citation/>
              </w:sdtPr>
              <w:sdtEndPr/>
              <w:sdtContent>
                <w:r w:rsidR="0072072C">
                  <w:fldChar w:fldCharType="begin"/>
                </w:r>
                <w:r w:rsidR="0072072C">
                  <w:instrText xml:space="preserve"> CITATION Eur171 \l 2057 </w:instrText>
                </w:r>
                <w:r w:rsidR="0072072C">
                  <w:fldChar w:fldCharType="separate"/>
                </w:r>
                <w:r w:rsidR="000416A5" w:rsidRPr="000416A5">
                  <w:rPr>
                    <w:noProof/>
                  </w:rPr>
                  <w:t>[16]</w:t>
                </w:r>
                <w:r w:rsidR="0072072C">
                  <w:fldChar w:fldCharType="end"/>
                </w:r>
              </w:sdtContent>
            </w:sdt>
            <w:r w:rsidR="0072072C">
              <w:t xml:space="preserve"> </w:t>
            </w:r>
            <w:sdt>
              <w:sdtPr>
                <w:id w:val="-1311477102"/>
                <w:citation/>
              </w:sdtPr>
              <w:sdtEndPr/>
              <w:sdtContent>
                <w:r w:rsidR="0072072C">
                  <w:fldChar w:fldCharType="begin"/>
                </w:r>
                <w:r w:rsidR="0072072C">
                  <w:instrText xml:space="preserve"> CITATION Eur172 \l 2057 </w:instrText>
                </w:r>
                <w:r w:rsidR="0072072C">
                  <w:fldChar w:fldCharType="separate"/>
                </w:r>
                <w:r w:rsidR="000416A5" w:rsidRPr="000416A5">
                  <w:rPr>
                    <w:noProof/>
                  </w:rPr>
                  <w:t>[17]</w:t>
                </w:r>
                <w:r w:rsidR="0072072C">
                  <w:fldChar w:fldCharType="end"/>
                </w:r>
              </w:sdtContent>
            </w:sdt>
            <w:r w:rsidR="0072072C">
              <w:t>.</w:t>
            </w:r>
          </w:p>
          <w:p w14:paraId="6576F7D2" w14:textId="77777777" w:rsidR="0092209D" w:rsidRPr="0072072C" w:rsidRDefault="0092209D" w:rsidP="002E24C8">
            <w:pPr>
              <w:pStyle w:val="Regulationpara"/>
            </w:pPr>
            <w:r w:rsidRPr="0072072C">
              <w:lastRenderedPageBreak/>
              <w:t xml:space="preserve">The licensee is responsible for providing the environmental statement, which must be submitted in relation to the application for consent to commence the decommissioning project. The environmental statement must be prepared by a competent person and state the relevant expertise and qualifications of that person. ONR expects the licensees to have in place sufficient suitably qualified and experienced person (SQEP) resource for compliance with EIADR. However, the licensee may choose to engage consultants for some or </w:t>
            </w:r>
            <w:proofErr w:type="gramStart"/>
            <w:r w:rsidRPr="0072072C">
              <w:t>all of</w:t>
            </w:r>
            <w:proofErr w:type="gramEnd"/>
            <w:r w:rsidRPr="0072072C">
              <w:t xml:space="preserve"> the work to ensure that a suitable and sufficient assessment is undertaken. It should be noted that the requirement for a SQEP person to prepare the Environmental Statement still applies; ONR will expect the licensee to confirm that any external contractor engaged has the relevant expertise and qualifications to enable them to prepare the Environmental Statement. </w:t>
            </w:r>
          </w:p>
        </w:tc>
      </w:tr>
      <w:tr w:rsidR="0092209D" w:rsidRPr="0072072C" w14:paraId="7966CDFE" w14:textId="77777777" w:rsidTr="002E24C8">
        <w:tc>
          <w:tcPr>
            <w:tcW w:w="756" w:type="pct"/>
            <w:tcBorders>
              <w:top w:val="nil"/>
              <w:left w:val="nil"/>
              <w:bottom w:val="nil"/>
              <w:right w:val="nil"/>
            </w:tcBorders>
            <w:shd w:val="clear" w:color="auto" w:fill="008080"/>
          </w:tcPr>
          <w:p w14:paraId="5A368D53" w14:textId="77777777" w:rsidR="0092209D" w:rsidRPr="0072072C" w:rsidRDefault="0092209D" w:rsidP="0072072C">
            <w:pPr>
              <w:rPr>
                <w:color w:val="FFFFFF" w:themeColor="background1"/>
              </w:rPr>
            </w:pPr>
            <w:r w:rsidRPr="0072072C">
              <w:rPr>
                <w:color w:val="FFFFFF" w:themeColor="background1"/>
              </w:rPr>
              <w:lastRenderedPageBreak/>
              <w:t xml:space="preserve">Guidance </w:t>
            </w:r>
          </w:p>
        </w:tc>
        <w:tc>
          <w:tcPr>
            <w:tcW w:w="275" w:type="pct"/>
            <w:tcBorders>
              <w:top w:val="nil"/>
              <w:left w:val="nil"/>
              <w:bottom w:val="nil"/>
              <w:right w:val="nil"/>
            </w:tcBorders>
            <w:shd w:val="clear" w:color="auto" w:fill="008080"/>
          </w:tcPr>
          <w:p w14:paraId="79D89CC3" w14:textId="77777777" w:rsidR="0092209D" w:rsidRPr="0072072C" w:rsidRDefault="0092209D" w:rsidP="0072072C">
            <w:pPr>
              <w:rPr>
                <w:color w:val="FFFFFF" w:themeColor="background1"/>
                <w:szCs w:val="24"/>
              </w:rPr>
            </w:pPr>
            <w:bookmarkStart w:id="77" w:name="_Toc82166954"/>
            <w:bookmarkStart w:id="78" w:name="_Toc117773679"/>
            <w:bookmarkStart w:id="79" w:name="_Toc117773977"/>
            <w:bookmarkStart w:id="80" w:name="_Toc117774097"/>
            <w:r w:rsidRPr="0072072C">
              <w:rPr>
                <w:color w:val="FFFFFF" w:themeColor="background1"/>
                <w:szCs w:val="24"/>
              </w:rPr>
              <w:t>5</w:t>
            </w:r>
            <w:bookmarkEnd w:id="77"/>
            <w:bookmarkEnd w:id="78"/>
            <w:bookmarkEnd w:id="79"/>
            <w:bookmarkEnd w:id="80"/>
          </w:p>
        </w:tc>
        <w:tc>
          <w:tcPr>
            <w:tcW w:w="3969" w:type="pct"/>
            <w:tcBorders>
              <w:top w:val="nil"/>
              <w:left w:val="nil"/>
              <w:bottom w:val="nil"/>
              <w:right w:val="nil"/>
            </w:tcBorders>
          </w:tcPr>
          <w:p w14:paraId="0602EF76" w14:textId="77777777" w:rsidR="0092209D" w:rsidRPr="0072072C" w:rsidRDefault="0092209D" w:rsidP="0072072C">
            <w:pPr>
              <w:rPr>
                <w:b/>
                <w:bCs/>
              </w:rPr>
            </w:pPr>
            <w:r w:rsidRPr="0072072C">
              <w:rPr>
                <w:b/>
                <w:bCs/>
              </w:rPr>
              <w:t>General content of the environmental statement</w:t>
            </w:r>
          </w:p>
          <w:p w14:paraId="39A936D8" w14:textId="24B975F0" w:rsidR="0092209D" w:rsidRPr="0072072C" w:rsidRDefault="0092209D" w:rsidP="002E24C8">
            <w:pPr>
              <w:pStyle w:val="Regulationpara"/>
            </w:pPr>
            <w:r w:rsidRPr="0072072C">
              <w:t xml:space="preserve">The statement must provide a clear picture of the project as required by EIADR and include at least the information specified in Schedule 1. This includes a description of the physical characteristics of the project together with an outline of the main alternatives (or options) considered by the licensee, describing the environmental effects of each option. Regulation 14 provides a limit on disclosure, so that the licensee is not required to disclose information which is capable of being treated as confidential or must be so under regulations 12 and 13 of the Environmental Information Regulations 2004 </w:t>
            </w:r>
            <w:sdt>
              <w:sdtPr>
                <w:id w:val="1454447020"/>
                <w:citation/>
              </w:sdtPr>
              <w:sdtEndPr/>
              <w:sdtContent>
                <w:r w:rsidR="0072072C">
                  <w:fldChar w:fldCharType="begin"/>
                </w:r>
                <w:r w:rsidR="0072072C">
                  <w:instrText xml:space="preserve"> CITATION HMG042 \l 2057 </w:instrText>
                </w:r>
                <w:r w:rsidR="0072072C">
                  <w:fldChar w:fldCharType="separate"/>
                </w:r>
                <w:r w:rsidR="000416A5" w:rsidRPr="000416A5">
                  <w:rPr>
                    <w:noProof/>
                  </w:rPr>
                  <w:t>[18]</w:t>
                </w:r>
                <w:r w:rsidR="0072072C">
                  <w:fldChar w:fldCharType="end"/>
                </w:r>
              </w:sdtContent>
            </w:sdt>
            <w:r w:rsidRPr="0072072C">
              <w:t xml:space="preserve"> or regulation 10 and 11 of the Environmental Information (Scotland) Regulations 2004 </w:t>
            </w:r>
            <w:sdt>
              <w:sdtPr>
                <w:id w:val="-1393879148"/>
                <w:citation/>
              </w:sdtPr>
              <w:sdtEndPr/>
              <w:sdtContent>
                <w:r w:rsidR="0072072C">
                  <w:fldChar w:fldCharType="begin"/>
                </w:r>
                <w:r w:rsidR="0072072C">
                  <w:instrText xml:space="preserve"> CITATION HMG043 \l 2057 </w:instrText>
                </w:r>
                <w:r w:rsidR="0072072C">
                  <w:fldChar w:fldCharType="separate"/>
                </w:r>
                <w:r w:rsidR="000416A5" w:rsidRPr="000416A5">
                  <w:rPr>
                    <w:noProof/>
                  </w:rPr>
                  <w:t>[19]</w:t>
                </w:r>
                <w:r w:rsidR="0072072C">
                  <w:fldChar w:fldCharType="end"/>
                </w:r>
              </w:sdtContent>
            </w:sdt>
            <w:r w:rsidRPr="0072072C">
              <w:t>. Further guidance on regulation 14 is given in paragraph 101.</w:t>
            </w:r>
          </w:p>
          <w:p w14:paraId="2BA9C00E" w14:textId="754F6066" w:rsidR="0092209D" w:rsidRPr="0072072C" w:rsidRDefault="0092209D" w:rsidP="002E24C8">
            <w:pPr>
              <w:pStyle w:val="Regulationpara"/>
            </w:pPr>
            <w:r w:rsidRPr="0072072C">
              <w:t xml:space="preserve">The whole project includes dismantling and site clearance. While it may not be possible, at the time when consent is requested, to be definitive about the later stages of decommissioning, the statement should cover the strategic intention for eventual completion of decommissioning. Details should be given of the range of options being considered, describing the environmental effects of each option. Where there is uncertainty in later stages, this must be indicated. ONR acknowledges that the length of the decommissioning project (possibly many decades) means that the amount of detail which can reasonably be provided by the licensee regarding site clearance and dismantling may be limited. Schedule 1 of </w:t>
            </w:r>
            <w:r w:rsidRPr="0072072C">
              <w:lastRenderedPageBreak/>
              <w:t xml:space="preserve">the regulations takes this into account. Should circumstances change during the period of decommissioning and result in the need for a change or extension to the project, which may have significant adverse environmental effects, then the licensee must apply (as per the requirements of regulation 13) to ONR for a determination as to whether the project should be made subject to an EIA. If so, the licensee would be required to apply for consent to carry out that change to the decommissioning </w:t>
            </w:r>
            <w:r w:rsidR="0072072C" w:rsidRPr="0072072C">
              <w:t>project and</w:t>
            </w:r>
            <w:r w:rsidRPr="0072072C">
              <w:t xml:space="preserve"> prepare an environmental statement for public consultation under EIADR. Further guidance on changes and extensions to projects is given in paragraphs 80 to 100. </w:t>
            </w:r>
          </w:p>
          <w:p w14:paraId="2A39ACC8" w14:textId="0507CEAB" w:rsidR="0092209D" w:rsidRPr="0072072C" w:rsidRDefault="0092209D" w:rsidP="002E24C8">
            <w:pPr>
              <w:pStyle w:val="Regulationpara"/>
            </w:pPr>
            <w:r w:rsidRPr="0072072C">
              <w:t xml:space="preserve">The environmental statement should cover all the likely effects on the environment: direct, indirect, secondary, cumulative, short, </w:t>
            </w:r>
            <w:proofErr w:type="gramStart"/>
            <w:r w:rsidRPr="0072072C">
              <w:t>medium</w:t>
            </w:r>
            <w:proofErr w:type="gramEnd"/>
            <w:r w:rsidRPr="0072072C">
              <w:t xml:space="preserve"> and long term, permanent and temporary, and positive and negative effects. Any technical deficiencies or lack of know-how encountered in compiling the information should be made clear within the statement. The consideration of the cumulative nature of effects should include assessment of the added impact of the decommissioning project to existing developments of works, even when unrelated to the project. In addition, the cumulative effects on the environment from different aspects of the project must be assessed and clearly described within the statement. For example, if a large construction project (unrelated to the decommissioning project) is planned on or close to the licensed site during the period of decommissioning, the EIA should take this into account when considering the environmental effects of the decommissioning project. Consideration of any likely significant effects of the project should be </w:t>
            </w:r>
            <w:proofErr w:type="gramStart"/>
            <w:r w:rsidRPr="0072072C">
              <w:t>taken into account</w:t>
            </w:r>
            <w:proofErr w:type="gramEnd"/>
            <w:r w:rsidRPr="0072072C">
              <w:t xml:space="preserve"> in the assessment</w:t>
            </w:r>
            <w:r w:rsidR="0072072C">
              <w:t xml:space="preserve"> </w:t>
            </w:r>
            <w:sdt>
              <w:sdtPr>
                <w:id w:val="-1526703520"/>
                <w:citation/>
              </w:sdtPr>
              <w:sdtEndPr/>
              <w:sdtContent>
                <w:r w:rsidR="0072072C">
                  <w:fldChar w:fldCharType="begin"/>
                </w:r>
                <w:r w:rsidR="0072072C">
                  <w:instrText xml:space="preserve"> CITATION Min17 \l 2057 </w:instrText>
                </w:r>
                <w:r w:rsidR="0072072C">
                  <w:fldChar w:fldCharType="separate"/>
                </w:r>
                <w:r w:rsidR="000416A5" w:rsidRPr="000416A5">
                  <w:rPr>
                    <w:noProof/>
                  </w:rPr>
                  <w:t>[13]</w:t>
                </w:r>
                <w:r w:rsidR="0072072C">
                  <w:fldChar w:fldCharType="end"/>
                </w:r>
              </w:sdtContent>
            </w:sdt>
            <w:r w:rsidRPr="0072072C">
              <w:t>.</w:t>
            </w:r>
          </w:p>
          <w:p w14:paraId="01A64A61" w14:textId="77777777" w:rsidR="0092209D" w:rsidRPr="0072072C" w:rsidRDefault="0092209D" w:rsidP="002E24C8">
            <w:pPr>
              <w:pStyle w:val="Regulationpara"/>
            </w:pPr>
            <w:r w:rsidRPr="0072072C">
              <w:t xml:space="preserve">The environmental statement should include the information that the licensee would reasonably require </w:t>
            </w:r>
            <w:proofErr w:type="gramStart"/>
            <w:r w:rsidRPr="0072072C">
              <w:t>in order to</w:t>
            </w:r>
            <w:proofErr w:type="gramEnd"/>
            <w:r w:rsidRPr="0072072C">
              <w:t xml:space="preserve"> reach a conclusion on the significant effects of the project on the environment and should take into account the current knowledge and methods of assessment. The licensee should also consider the results of any relevant environmental assessments that are reasonably available. </w:t>
            </w:r>
          </w:p>
          <w:p w14:paraId="638016EB" w14:textId="77777777" w:rsidR="0092209D" w:rsidRPr="0072072C" w:rsidRDefault="0092209D" w:rsidP="002E24C8">
            <w:pPr>
              <w:pStyle w:val="Regulationpara"/>
            </w:pPr>
            <w:r w:rsidRPr="0072072C">
              <w:t xml:space="preserve">The statement must address, amongst other things, accidental or abnormal occurrences and the nature and potential for adverse environmental effects arising from these, and reasonably foreseeable events during the whole decommissioning period. Once again, ONR </w:t>
            </w:r>
            <w:r w:rsidRPr="0072072C">
              <w:lastRenderedPageBreak/>
              <w:t xml:space="preserve">recognises the possible limitations of such considerations for the later stages of projects and the guidance of paragraph 25 should be </w:t>
            </w:r>
            <w:proofErr w:type="gramStart"/>
            <w:r w:rsidRPr="0072072C">
              <w:t>taken into account</w:t>
            </w:r>
            <w:proofErr w:type="gramEnd"/>
            <w:r w:rsidRPr="0072072C">
              <w:t>.</w:t>
            </w:r>
          </w:p>
          <w:p w14:paraId="43FC319A" w14:textId="54D8D0C0" w:rsidR="0092209D" w:rsidRPr="0072072C" w:rsidRDefault="0092209D" w:rsidP="002E24C8">
            <w:pPr>
              <w:pStyle w:val="Regulationpara"/>
            </w:pPr>
            <w:r w:rsidRPr="0072072C">
              <w:t xml:space="preserve">The environmental statement must describe measures envisaged to avoid, reduce and, if possible, remediate significant adverse effects on the environment. </w:t>
            </w:r>
            <w:r w:rsidRPr="0072072C">
              <w:rPr>
                <w:b/>
                <w:bCs/>
              </w:rPr>
              <w:t>Note</w:t>
            </w:r>
            <w:r w:rsidR="0072072C">
              <w:rPr>
                <w:b/>
                <w:bCs/>
              </w:rPr>
              <w:t>:</w:t>
            </w:r>
            <w:r w:rsidRPr="0072072C">
              <w:t xml:space="preserve"> ONR may attach conditions to the consent (if granted), which may require the licensee to implement an environmental management plan. Further guidance on environmental management plans is given in paragraph 62.</w:t>
            </w:r>
          </w:p>
          <w:p w14:paraId="3D07CC65" w14:textId="77777777" w:rsidR="0092209D" w:rsidRPr="0072072C" w:rsidRDefault="0092209D" w:rsidP="002E24C8">
            <w:pPr>
              <w:pStyle w:val="Regulationpara"/>
            </w:pPr>
            <w:r w:rsidRPr="0072072C">
              <w:t>The environmental statement must include a non-technical summary of the information provided. The non-technical summary provided by the licensee must be in a form that is easily understood by non-experts, although supporting material should also be made available. This will enable the reader (expert or non-expert) to understand the conclusions in the environment statement and form their own judgements on the significance of the environmental issues raised by the project.</w:t>
            </w:r>
          </w:p>
          <w:p w14:paraId="6F39044C" w14:textId="77777777" w:rsidR="0092209D" w:rsidRPr="0072072C" w:rsidRDefault="0092209D" w:rsidP="002E24C8">
            <w:pPr>
              <w:pStyle w:val="Regulationpara"/>
            </w:pPr>
            <w:r w:rsidRPr="0072072C">
              <w:t xml:space="preserve">If the licensee seeks a pre-application opinion from the regulator, indicating the scope and level of detail of the information they are required to supply, the environmental statement must be based on this information. </w:t>
            </w:r>
          </w:p>
        </w:tc>
      </w:tr>
      <w:tr w:rsidR="0092209D" w:rsidRPr="0072072C" w14:paraId="039BAEA4" w14:textId="77777777" w:rsidTr="002E24C8">
        <w:tc>
          <w:tcPr>
            <w:tcW w:w="756" w:type="pct"/>
            <w:tcBorders>
              <w:top w:val="nil"/>
              <w:left w:val="nil"/>
              <w:bottom w:val="nil"/>
              <w:right w:val="nil"/>
            </w:tcBorders>
            <w:shd w:val="clear" w:color="auto" w:fill="008080"/>
          </w:tcPr>
          <w:p w14:paraId="77F9892C" w14:textId="77777777" w:rsidR="0092209D" w:rsidRPr="0072072C" w:rsidRDefault="0092209D" w:rsidP="0072072C">
            <w:pPr>
              <w:rPr>
                <w:color w:val="FFFFFF" w:themeColor="background1"/>
              </w:rPr>
            </w:pPr>
            <w:r w:rsidRPr="0072072C">
              <w:rPr>
                <w:color w:val="FFFFFF" w:themeColor="background1"/>
              </w:rPr>
              <w:lastRenderedPageBreak/>
              <w:t xml:space="preserve">Guidance </w:t>
            </w:r>
          </w:p>
        </w:tc>
        <w:tc>
          <w:tcPr>
            <w:tcW w:w="275" w:type="pct"/>
            <w:tcBorders>
              <w:top w:val="nil"/>
              <w:left w:val="nil"/>
              <w:bottom w:val="nil"/>
              <w:right w:val="nil"/>
            </w:tcBorders>
            <w:shd w:val="clear" w:color="auto" w:fill="008080"/>
          </w:tcPr>
          <w:p w14:paraId="3B105F96" w14:textId="77777777" w:rsidR="0092209D" w:rsidRPr="0072072C" w:rsidRDefault="0092209D" w:rsidP="0072072C">
            <w:pPr>
              <w:rPr>
                <w:color w:val="FFFFFF" w:themeColor="background1"/>
                <w:szCs w:val="24"/>
              </w:rPr>
            </w:pPr>
            <w:bookmarkStart w:id="81" w:name="_Toc82166955"/>
            <w:bookmarkStart w:id="82" w:name="_Toc117773680"/>
            <w:bookmarkStart w:id="83" w:name="_Toc117773978"/>
            <w:bookmarkStart w:id="84" w:name="_Toc117774098"/>
            <w:r w:rsidRPr="0072072C">
              <w:rPr>
                <w:color w:val="FFFFFF" w:themeColor="background1"/>
                <w:szCs w:val="24"/>
              </w:rPr>
              <w:t>5</w:t>
            </w:r>
            <w:bookmarkEnd w:id="81"/>
            <w:bookmarkEnd w:id="82"/>
            <w:bookmarkEnd w:id="83"/>
            <w:bookmarkEnd w:id="84"/>
          </w:p>
        </w:tc>
        <w:tc>
          <w:tcPr>
            <w:tcW w:w="3969" w:type="pct"/>
            <w:tcBorders>
              <w:top w:val="nil"/>
              <w:left w:val="nil"/>
              <w:bottom w:val="nil"/>
              <w:right w:val="nil"/>
            </w:tcBorders>
          </w:tcPr>
          <w:p w14:paraId="7E2FC80B" w14:textId="77777777" w:rsidR="0092209D" w:rsidRPr="0072072C" w:rsidRDefault="0092209D" w:rsidP="0072072C">
            <w:pPr>
              <w:rPr>
                <w:b/>
                <w:bCs/>
              </w:rPr>
            </w:pPr>
            <w:r w:rsidRPr="0072072C">
              <w:rPr>
                <w:b/>
                <w:bCs/>
              </w:rPr>
              <w:t>Baseline Description</w:t>
            </w:r>
          </w:p>
          <w:p w14:paraId="0A1A43F0" w14:textId="2A4FF359" w:rsidR="0092209D" w:rsidRPr="0072072C" w:rsidRDefault="0092209D" w:rsidP="002E24C8">
            <w:pPr>
              <w:pStyle w:val="Regulationpara"/>
            </w:pPr>
            <w:r w:rsidRPr="0072072C">
              <w:t xml:space="preserve">The environmental statement should include a baseline description; that is the state of the environment as it exists before the decommissioning project begins, for example details of any non-radioactive and radioactive land contamination that exist. If the baseline is not static this should be reflected. The environmental statement must include sufficient detail to provide a basis for the assessment of impacts arising from the decommissioning project </w:t>
            </w:r>
            <w:sdt>
              <w:sdtPr>
                <w:id w:val="1736499176"/>
                <w:citation/>
              </w:sdtPr>
              <w:sdtEndPr/>
              <w:sdtContent>
                <w:r w:rsidR="0072072C">
                  <w:fldChar w:fldCharType="begin"/>
                </w:r>
                <w:r w:rsidR="0072072C">
                  <w:instrText xml:space="preserve">CITATION IAE36 \l 2057 </w:instrText>
                </w:r>
                <w:r w:rsidR="0072072C">
                  <w:fldChar w:fldCharType="separate"/>
                </w:r>
                <w:r w:rsidR="000416A5" w:rsidRPr="000416A5">
                  <w:rPr>
                    <w:noProof/>
                  </w:rPr>
                  <w:t>[14]</w:t>
                </w:r>
                <w:r w:rsidR="0072072C">
                  <w:fldChar w:fldCharType="end"/>
                </w:r>
              </w:sdtContent>
            </w:sdt>
            <w:r w:rsidRPr="0072072C">
              <w:t xml:space="preserve">. Existing data should be used where these are available and known to be accurate and the competent authorities and organisations in the affected area should be consulted to obtain such data. When data obtained </w:t>
            </w:r>
            <w:proofErr w:type="gramStart"/>
            <w:r w:rsidRPr="0072072C">
              <w:t>a number of</w:t>
            </w:r>
            <w:proofErr w:type="gramEnd"/>
            <w:r w:rsidRPr="0072072C">
              <w:t xml:space="preserve"> years ago are used, the environmental statement should provide sufficient justification that it is still relevant.</w:t>
            </w:r>
          </w:p>
          <w:p w14:paraId="2CACFE11" w14:textId="2BF1ADBB" w:rsidR="0092209D" w:rsidRPr="0072072C" w:rsidRDefault="0092209D" w:rsidP="002E24C8">
            <w:pPr>
              <w:pStyle w:val="Regulationpara"/>
            </w:pPr>
            <w:r w:rsidRPr="0072072C">
              <w:t xml:space="preserve">Where data from surveys are used as part of a baseline description, care must be taken to ensure that the surveys were carried out at optimal times of day, </w:t>
            </w:r>
            <w:proofErr w:type="gramStart"/>
            <w:r w:rsidRPr="0072072C">
              <w:t>week</w:t>
            </w:r>
            <w:proofErr w:type="gramEnd"/>
            <w:r w:rsidRPr="0072072C">
              <w:t xml:space="preserve"> or year, for the aspect of the environment being assessed. Further </w:t>
            </w:r>
            <w:r w:rsidRPr="0072072C">
              <w:lastRenderedPageBreak/>
              <w:t xml:space="preserve">detailed guidance on baseline description is given in chapter 5 of the European Commission guidance </w:t>
            </w:r>
            <w:sdt>
              <w:sdtPr>
                <w:id w:val="1501394942"/>
                <w:citation/>
              </w:sdtPr>
              <w:sdtEndPr/>
              <w:sdtContent>
                <w:r w:rsidR="0072072C">
                  <w:fldChar w:fldCharType="begin"/>
                </w:r>
                <w:r w:rsidR="0072072C">
                  <w:instrText xml:space="preserve">CITATION IAE36 \l 2057 </w:instrText>
                </w:r>
                <w:r w:rsidR="0072072C">
                  <w:fldChar w:fldCharType="separate"/>
                </w:r>
                <w:r w:rsidR="000416A5" w:rsidRPr="000416A5">
                  <w:rPr>
                    <w:noProof/>
                  </w:rPr>
                  <w:t>[14]</w:t>
                </w:r>
                <w:r w:rsidR="0072072C">
                  <w:fldChar w:fldCharType="end"/>
                </w:r>
              </w:sdtContent>
            </w:sdt>
            <w:r w:rsidRPr="0072072C">
              <w:t>.</w:t>
            </w:r>
          </w:p>
        </w:tc>
      </w:tr>
      <w:tr w:rsidR="0092209D" w:rsidRPr="0072072C" w14:paraId="33886F8D" w14:textId="77777777" w:rsidTr="002E24C8">
        <w:tc>
          <w:tcPr>
            <w:tcW w:w="756" w:type="pct"/>
            <w:tcBorders>
              <w:top w:val="nil"/>
              <w:left w:val="nil"/>
              <w:bottom w:val="nil"/>
              <w:right w:val="nil"/>
            </w:tcBorders>
            <w:shd w:val="clear" w:color="auto" w:fill="008080"/>
          </w:tcPr>
          <w:p w14:paraId="0687829A" w14:textId="77777777" w:rsidR="0092209D" w:rsidRPr="0072072C" w:rsidRDefault="0092209D" w:rsidP="0072072C">
            <w:pPr>
              <w:rPr>
                <w:color w:val="FFFFFF" w:themeColor="background1"/>
              </w:rPr>
            </w:pPr>
            <w:r w:rsidRPr="0072072C">
              <w:rPr>
                <w:color w:val="FFFFFF" w:themeColor="background1"/>
              </w:rPr>
              <w:lastRenderedPageBreak/>
              <w:t>Guidance</w:t>
            </w:r>
          </w:p>
        </w:tc>
        <w:tc>
          <w:tcPr>
            <w:tcW w:w="275" w:type="pct"/>
            <w:tcBorders>
              <w:top w:val="nil"/>
              <w:left w:val="nil"/>
              <w:bottom w:val="nil"/>
              <w:right w:val="nil"/>
            </w:tcBorders>
            <w:shd w:val="clear" w:color="auto" w:fill="008080"/>
          </w:tcPr>
          <w:p w14:paraId="17AA0A31" w14:textId="77777777" w:rsidR="0092209D" w:rsidRPr="0072072C" w:rsidRDefault="0092209D" w:rsidP="0072072C">
            <w:pPr>
              <w:rPr>
                <w:color w:val="FFFFFF" w:themeColor="background1"/>
                <w:szCs w:val="24"/>
              </w:rPr>
            </w:pPr>
            <w:bookmarkStart w:id="85" w:name="_Toc82166956"/>
            <w:bookmarkStart w:id="86" w:name="_Toc117773681"/>
            <w:bookmarkStart w:id="87" w:name="_Toc117773979"/>
            <w:bookmarkStart w:id="88" w:name="_Toc117774099"/>
            <w:r w:rsidRPr="0072072C">
              <w:rPr>
                <w:color w:val="FFFFFF" w:themeColor="background1"/>
                <w:szCs w:val="24"/>
              </w:rPr>
              <w:t>5</w:t>
            </w:r>
            <w:bookmarkEnd w:id="85"/>
            <w:bookmarkEnd w:id="86"/>
            <w:bookmarkEnd w:id="87"/>
            <w:bookmarkEnd w:id="88"/>
          </w:p>
        </w:tc>
        <w:tc>
          <w:tcPr>
            <w:tcW w:w="3969" w:type="pct"/>
            <w:tcBorders>
              <w:top w:val="nil"/>
              <w:left w:val="nil"/>
              <w:bottom w:val="nil"/>
              <w:right w:val="nil"/>
            </w:tcBorders>
          </w:tcPr>
          <w:p w14:paraId="7155AEC6" w14:textId="77777777" w:rsidR="0092209D" w:rsidRPr="0072072C" w:rsidRDefault="0092209D" w:rsidP="0072072C">
            <w:pPr>
              <w:rPr>
                <w:b/>
                <w:bCs/>
              </w:rPr>
            </w:pPr>
            <w:r w:rsidRPr="0072072C">
              <w:rPr>
                <w:b/>
                <w:bCs/>
              </w:rPr>
              <w:t>Interface with policies and other legislation</w:t>
            </w:r>
          </w:p>
          <w:p w14:paraId="7F1ECBE0" w14:textId="77777777" w:rsidR="0092209D" w:rsidRPr="0072072C" w:rsidRDefault="0092209D" w:rsidP="002E24C8">
            <w:pPr>
              <w:pStyle w:val="Regulationpara"/>
            </w:pPr>
            <w:r w:rsidRPr="0072072C">
              <w:t>As noted above, the environmental statement needs to be comprehensive. However, ONR recognises that some issues relevant to the environmental statement will be adequately covered elsewhere, in particular: town and country planning matters; compliance with security, health, safety and environment legislation; decommissioning timetables relating to Government policy; and international legislation where appropriate.</w:t>
            </w:r>
          </w:p>
          <w:p w14:paraId="5B804A95" w14:textId="77777777" w:rsidR="0092209D" w:rsidRPr="0072072C" w:rsidRDefault="0092209D" w:rsidP="002E24C8">
            <w:pPr>
              <w:pStyle w:val="Regulationpara"/>
            </w:pPr>
            <w:r w:rsidRPr="0072072C">
              <w:t xml:space="preserve">Rather than repeating this work, an environmental statement can provide links with these issues, and sufficient information to put them into context with the decommissioning project. An environmental statement should describe related town and country planning legislation and provide adequate (but not necessarily detailed) information on developments covered by that legislation. A statement should describe main related security, health, </w:t>
            </w:r>
            <w:proofErr w:type="gramStart"/>
            <w:r w:rsidRPr="0072072C">
              <w:t>safety</w:t>
            </w:r>
            <w:proofErr w:type="gramEnd"/>
            <w:r w:rsidRPr="0072072C">
              <w:t xml:space="preserve"> and environment legislation and provide adequate (but not necessarily detailed) information on topics covered by that legislation. In addition, a statement should describe the options for the timing of decommissioning, and it is helpful to put these within the context of Government policy. Further detail on such interfaces is provided in Appendix 2.</w:t>
            </w:r>
          </w:p>
          <w:p w14:paraId="63BA19DB" w14:textId="77777777" w:rsidR="0092209D" w:rsidRPr="0072072C" w:rsidRDefault="0092209D" w:rsidP="002E24C8">
            <w:pPr>
              <w:pStyle w:val="Regulationpara"/>
            </w:pPr>
            <w:r w:rsidRPr="0072072C">
              <w:t>All relevant health, safety and environmental protection law will apply during decommissioning work for example:</w:t>
            </w:r>
          </w:p>
          <w:p w14:paraId="757EDDB1" w14:textId="2FCBAA03" w:rsidR="0092209D" w:rsidRPr="0072072C" w:rsidRDefault="0092209D" w:rsidP="00DE19A2">
            <w:pPr>
              <w:pStyle w:val="Bulletlist1"/>
              <w:ind w:left="697" w:hanging="357"/>
            </w:pPr>
            <w:r w:rsidRPr="0072072C">
              <w:t>Health and Safety at Work (etc</w:t>
            </w:r>
            <w:r w:rsidR="0072072C">
              <w:t>.</w:t>
            </w:r>
            <w:r w:rsidRPr="0072072C">
              <w:t xml:space="preserve">) Act 1974 </w:t>
            </w:r>
            <w:sdt>
              <w:sdtPr>
                <w:id w:val="-24487803"/>
                <w:citation/>
              </w:sdtPr>
              <w:sdtEndPr/>
              <w:sdtContent>
                <w:r w:rsidR="0072072C">
                  <w:fldChar w:fldCharType="begin"/>
                </w:r>
                <w:r w:rsidR="0072072C">
                  <w:instrText xml:space="preserve"> CITATION HMG74 \l 2057 </w:instrText>
                </w:r>
                <w:r w:rsidR="0072072C">
                  <w:fldChar w:fldCharType="separate"/>
                </w:r>
                <w:r w:rsidR="000416A5" w:rsidRPr="000416A5">
                  <w:t>[7]</w:t>
                </w:r>
                <w:r w:rsidR="0072072C">
                  <w:fldChar w:fldCharType="end"/>
                </w:r>
              </w:sdtContent>
            </w:sdt>
            <w:r w:rsidRPr="0072072C">
              <w:t>;</w:t>
            </w:r>
          </w:p>
          <w:p w14:paraId="1FEE7DCC" w14:textId="7D04B835" w:rsidR="0072072C" w:rsidRPr="0072072C" w:rsidRDefault="0072072C" w:rsidP="00DE19A2">
            <w:pPr>
              <w:pStyle w:val="Bulletlist1"/>
              <w:ind w:left="697" w:hanging="357"/>
            </w:pPr>
            <w:r w:rsidRPr="0072072C">
              <w:t xml:space="preserve">Nuclear Installations Act 1965 (as amended) </w:t>
            </w:r>
            <w:sdt>
              <w:sdtPr>
                <w:id w:val="7644871"/>
                <w:citation/>
              </w:sdtPr>
              <w:sdtEndPr/>
              <w:sdtContent>
                <w:r>
                  <w:fldChar w:fldCharType="begin"/>
                </w:r>
                <w:r>
                  <w:instrText xml:space="preserve"> CITATION HMG65 \l 2057 </w:instrText>
                </w:r>
                <w:r>
                  <w:fldChar w:fldCharType="separate"/>
                </w:r>
                <w:r w:rsidR="000416A5" w:rsidRPr="000416A5">
                  <w:t>[8]</w:t>
                </w:r>
                <w:r>
                  <w:fldChar w:fldCharType="end"/>
                </w:r>
              </w:sdtContent>
            </w:sdt>
            <w:r w:rsidRPr="0072072C">
              <w:t>;</w:t>
            </w:r>
          </w:p>
          <w:p w14:paraId="1F0BC82A" w14:textId="3579B50D" w:rsidR="0092209D" w:rsidRPr="0072072C" w:rsidRDefault="0072072C" w:rsidP="00DE19A2">
            <w:pPr>
              <w:pStyle w:val="Bulletlist1"/>
              <w:ind w:left="697" w:hanging="357"/>
            </w:pPr>
            <w:r>
              <w:t xml:space="preserve">The </w:t>
            </w:r>
            <w:r w:rsidR="0092209D" w:rsidRPr="0072072C">
              <w:t xml:space="preserve">Management of Health and Safety at Work Regulations 1999 </w:t>
            </w:r>
            <w:sdt>
              <w:sdtPr>
                <w:id w:val="1156189184"/>
                <w:citation/>
              </w:sdtPr>
              <w:sdtEndPr/>
              <w:sdtContent>
                <w:r>
                  <w:fldChar w:fldCharType="begin"/>
                </w:r>
                <w:r>
                  <w:instrText xml:space="preserve"> CITATION HMG99 \l 2057 </w:instrText>
                </w:r>
                <w:r>
                  <w:fldChar w:fldCharType="separate"/>
                </w:r>
                <w:r w:rsidR="000416A5" w:rsidRPr="000416A5">
                  <w:t>[20]</w:t>
                </w:r>
                <w:r>
                  <w:fldChar w:fldCharType="end"/>
                </w:r>
              </w:sdtContent>
            </w:sdt>
            <w:r w:rsidR="0092209D" w:rsidRPr="0072072C">
              <w:t>;</w:t>
            </w:r>
          </w:p>
          <w:p w14:paraId="220AA649" w14:textId="6AC9B008" w:rsidR="0092209D" w:rsidRPr="0072072C" w:rsidRDefault="0072072C" w:rsidP="00DE19A2">
            <w:pPr>
              <w:pStyle w:val="Bulletlist1"/>
              <w:ind w:left="697" w:hanging="357"/>
            </w:pPr>
            <w:r>
              <w:t xml:space="preserve">The </w:t>
            </w:r>
            <w:r w:rsidR="0092209D" w:rsidRPr="0072072C">
              <w:t xml:space="preserve">Construction (Design and Management) Regulations 2015 </w:t>
            </w:r>
            <w:sdt>
              <w:sdtPr>
                <w:id w:val="-892580845"/>
                <w:citation/>
              </w:sdtPr>
              <w:sdtEndPr/>
              <w:sdtContent>
                <w:r>
                  <w:fldChar w:fldCharType="begin"/>
                </w:r>
                <w:r>
                  <w:instrText xml:space="preserve"> CITATION HMG8 \l 2057 </w:instrText>
                </w:r>
                <w:r>
                  <w:fldChar w:fldCharType="separate"/>
                </w:r>
                <w:r w:rsidR="000416A5" w:rsidRPr="000416A5">
                  <w:t>[21]</w:t>
                </w:r>
                <w:r>
                  <w:fldChar w:fldCharType="end"/>
                </w:r>
              </w:sdtContent>
            </w:sdt>
            <w:r w:rsidR="0092209D" w:rsidRPr="0072072C">
              <w:t>;</w:t>
            </w:r>
          </w:p>
          <w:p w14:paraId="0D9A0CC0" w14:textId="4F6C6234" w:rsidR="0092209D" w:rsidRPr="0072072C" w:rsidRDefault="0072072C" w:rsidP="00DE19A2">
            <w:pPr>
              <w:pStyle w:val="Bulletlist1"/>
              <w:ind w:left="697" w:hanging="357"/>
            </w:pPr>
            <w:r>
              <w:t xml:space="preserve">The </w:t>
            </w:r>
            <w:r w:rsidR="0092209D" w:rsidRPr="0072072C">
              <w:t xml:space="preserve">Ionising Radiation Regulations 2017 </w:t>
            </w:r>
            <w:sdt>
              <w:sdtPr>
                <w:id w:val="964614335"/>
                <w:citation/>
              </w:sdtPr>
              <w:sdtEndPr/>
              <w:sdtContent>
                <w:r>
                  <w:fldChar w:fldCharType="begin"/>
                </w:r>
                <w:r>
                  <w:instrText xml:space="preserve"> CITATION HMG17 \l 2057 </w:instrText>
                </w:r>
                <w:r>
                  <w:fldChar w:fldCharType="separate"/>
                </w:r>
                <w:r w:rsidR="000416A5" w:rsidRPr="000416A5">
                  <w:t>[22]</w:t>
                </w:r>
                <w:r>
                  <w:fldChar w:fldCharType="end"/>
                </w:r>
              </w:sdtContent>
            </w:sdt>
            <w:r w:rsidR="0092209D" w:rsidRPr="0072072C">
              <w:t>;</w:t>
            </w:r>
          </w:p>
          <w:p w14:paraId="7BCF7C0D" w14:textId="6A5C5D61" w:rsidR="0092209D" w:rsidRPr="0072072C" w:rsidRDefault="0072072C" w:rsidP="00DE19A2">
            <w:pPr>
              <w:pStyle w:val="Bulletlist1"/>
              <w:ind w:left="697" w:hanging="357"/>
            </w:pPr>
            <w:r>
              <w:t xml:space="preserve">The </w:t>
            </w:r>
            <w:r w:rsidR="0092209D" w:rsidRPr="0072072C">
              <w:t xml:space="preserve">Environmental Authorisations (Scotland) Regulations 2018 </w:t>
            </w:r>
            <w:sdt>
              <w:sdtPr>
                <w:id w:val="-302312893"/>
                <w:citation/>
              </w:sdtPr>
              <w:sdtEndPr/>
              <w:sdtContent>
                <w:r w:rsidR="00484EEC">
                  <w:fldChar w:fldCharType="begin"/>
                </w:r>
                <w:r w:rsidR="00484EEC">
                  <w:instrText xml:space="preserve"> CITATION HMG184 \l 2057 </w:instrText>
                </w:r>
                <w:r w:rsidR="00484EEC">
                  <w:fldChar w:fldCharType="separate"/>
                </w:r>
                <w:r w:rsidR="000416A5" w:rsidRPr="000416A5">
                  <w:t>[23]</w:t>
                </w:r>
                <w:r w:rsidR="00484EEC">
                  <w:fldChar w:fldCharType="end"/>
                </w:r>
              </w:sdtContent>
            </w:sdt>
            <w:r w:rsidR="0092209D" w:rsidRPr="0072072C">
              <w:t>;</w:t>
            </w:r>
            <w:r>
              <w:t xml:space="preserve"> and,</w:t>
            </w:r>
          </w:p>
          <w:p w14:paraId="61D705F7" w14:textId="6A66C6E0" w:rsidR="0092209D" w:rsidRPr="0072072C" w:rsidRDefault="0092209D" w:rsidP="00DE19A2">
            <w:pPr>
              <w:pStyle w:val="Bulletlist1"/>
              <w:ind w:left="697" w:hanging="357"/>
            </w:pPr>
            <w:r w:rsidRPr="0072072C">
              <w:lastRenderedPageBreak/>
              <w:t>Environmental Protection Act 1990</w:t>
            </w:r>
            <w:r w:rsidR="00484EEC">
              <w:t xml:space="preserve"> </w:t>
            </w:r>
            <w:sdt>
              <w:sdtPr>
                <w:id w:val="-703708503"/>
                <w:citation/>
              </w:sdtPr>
              <w:sdtEndPr/>
              <w:sdtContent>
                <w:r w:rsidR="00484EEC">
                  <w:fldChar w:fldCharType="begin"/>
                </w:r>
                <w:r w:rsidR="00484EEC">
                  <w:instrText xml:space="preserve"> CITATION HMG90 \l 2057 </w:instrText>
                </w:r>
                <w:r w:rsidR="00484EEC">
                  <w:fldChar w:fldCharType="separate"/>
                </w:r>
                <w:r w:rsidR="000416A5" w:rsidRPr="000416A5">
                  <w:t>[24]</w:t>
                </w:r>
                <w:r w:rsidR="00484EEC">
                  <w:fldChar w:fldCharType="end"/>
                </w:r>
              </w:sdtContent>
            </w:sdt>
            <w:r w:rsidR="00484EEC">
              <w:t>.</w:t>
            </w:r>
          </w:p>
          <w:p w14:paraId="110CCFB1" w14:textId="77777777" w:rsidR="0092209D" w:rsidRPr="0072072C" w:rsidRDefault="0092209D" w:rsidP="002E24C8">
            <w:pPr>
              <w:pStyle w:val="Regulationpara"/>
              <w:numPr>
                <w:ilvl w:val="0"/>
                <w:numId w:val="0"/>
              </w:numPr>
              <w:ind w:left="714"/>
            </w:pPr>
            <w:r w:rsidRPr="0072072C">
              <w:t>Appropriate plans, risk assessments and control measures, as required by such laws, must be implemented. Consent to begin decommissioning under EIADR does not remove any such duties from licensees and / or employers, nor does this in anyway restrict or otherwise limit the ability of other regulators to fulfil their statutory duties.</w:t>
            </w:r>
          </w:p>
        </w:tc>
      </w:tr>
      <w:tr w:rsidR="0092209D" w:rsidRPr="0072072C" w14:paraId="2EEC8EC7" w14:textId="77777777" w:rsidTr="002E24C8">
        <w:tc>
          <w:tcPr>
            <w:tcW w:w="756" w:type="pct"/>
            <w:tcBorders>
              <w:top w:val="nil"/>
              <w:left w:val="nil"/>
              <w:bottom w:val="nil"/>
              <w:right w:val="nil"/>
            </w:tcBorders>
            <w:shd w:val="clear" w:color="auto" w:fill="008080"/>
          </w:tcPr>
          <w:p w14:paraId="142C3B2F" w14:textId="77777777" w:rsidR="0092209D" w:rsidRPr="0072072C" w:rsidRDefault="0092209D" w:rsidP="0072072C">
            <w:pPr>
              <w:rPr>
                <w:color w:val="FFFFFF" w:themeColor="background1"/>
              </w:rPr>
            </w:pPr>
            <w:r w:rsidRPr="0072072C">
              <w:rPr>
                <w:color w:val="FFFFFF" w:themeColor="background1"/>
              </w:rPr>
              <w:lastRenderedPageBreak/>
              <w:t>Guidance</w:t>
            </w:r>
          </w:p>
        </w:tc>
        <w:tc>
          <w:tcPr>
            <w:tcW w:w="275" w:type="pct"/>
            <w:tcBorders>
              <w:top w:val="nil"/>
              <w:left w:val="nil"/>
              <w:bottom w:val="nil"/>
              <w:right w:val="nil"/>
            </w:tcBorders>
            <w:shd w:val="clear" w:color="auto" w:fill="008080"/>
          </w:tcPr>
          <w:p w14:paraId="7FE72E12" w14:textId="77777777" w:rsidR="0092209D" w:rsidRPr="0072072C" w:rsidRDefault="0092209D" w:rsidP="0072072C">
            <w:pPr>
              <w:rPr>
                <w:color w:val="FFFFFF" w:themeColor="background1"/>
                <w:szCs w:val="24"/>
              </w:rPr>
            </w:pPr>
            <w:bookmarkStart w:id="89" w:name="_Toc82166957"/>
            <w:bookmarkStart w:id="90" w:name="_Toc117773682"/>
            <w:bookmarkStart w:id="91" w:name="_Toc117773980"/>
            <w:bookmarkStart w:id="92" w:name="_Toc117774100"/>
            <w:r w:rsidRPr="0072072C">
              <w:rPr>
                <w:color w:val="FFFFFF" w:themeColor="background1"/>
                <w:szCs w:val="24"/>
              </w:rPr>
              <w:t>5</w:t>
            </w:r>
            <w:bookmarkEnd w:id="89"/>
            <w:bookmarkEnd w:id="90"/>
            <w:bookmarkEnd w:id="91"/>
            <w:bookmarkEnd w:id="92"/>
          </w:p>
        </w:tc>
        <w:tc>
          <w:tcPr>
            <w:tcW w:w="3969" w:type="pct"/>
            <w:tcBorders>
              <w:top w:val="nil"/>
              <w:left w:val="nil"/>
              <w:bottom w:val="nil"/>
              <w:right w:val="nil"/>
            </w:tcBorders>
          </w:tcPr>
          <w:p w14:paraId="62DF6AFD" w14:textId="77777777" w:rsidR="0092209D" w:rsidRPr="00484EEC" w:rsidRDefault="0092209D" w:rsidP="0072072C">
            <w:pPr>
              <w:rPr>
                <w:b/>
                <w:bCs/>
              </w:rPr>
            </w:pPr>
            <w:r w:rsidRPr="00484EEC">
              <w:rPr>
                <w:b/>
                <w:bCs/>
              </w:rPr>
              <w:t>Requirements for sites offered protection under European Law</w:t>
            </w:r>
          </w:p>
          <w:p w14:paraId="30184EE4" w14:textId="7B6DF766" w:rsidR="0092209D" w:rsidRPr="0072072C" w:rsidRDefault="0092209D" w:rsidP="002E24C8">
            <w:pPr>
              <w:pStyle w:val="Regulationpara"/>
            </w:pPr>
            <w:r w:rsidRPr="0072072C">
              <w:t xml:space="preserve">Regulation 48 of the Habitats Regulations 1994 (as amended) </w:t>
            </w:r>
            <w:sdt>
              <w:sdtPr>
                <w:id w:val="130214905"/>
                <w:citation/>
              </w:sdtPr>
              <w:sdtEndPr/>
              <w:sdtContent>
                <w:r w:rsidR="00484EEC">
                  <w:fldChar w:fldCharType="begin"/>
                </w:r>
                <w:r w:rsidR="00484EEC">
                  <w:instrText xml:space="preserve">CITATION HMG94 \l 2057 </w:instrText>
                </w:r>
                <w:r w:rsidR="00484EEC">
                  <w:fldChar w:fldCharType="separate"/>
                </w:r>
                <w:r w:rsidR="000416A5" w:rsidRPr="000416A5">
                  <w:rPr>
                    <w:noProof/>
                  </w:rPr>
                  <w:t>[12]</w:t>
                </w:r>
                <w:r w:rsidR="00484EEC">
                  <w:fldChar w:fldCharType="end"/>
                </w:r>
              </w:sdtContent>
            </w:sdt>
            <w:r w:rsidRPr="0072072C">
              <w:t xml:space="preserve"> (in Scotland) and regulation 63 of the Habitats Regulations 2017 </w:t>
            </w:r>
            <w:sdt>
              <w:sdtPr>
                <w:id w:val="-768626749"/>
                <w:citation/>
              </w:sdtPr>
              <w:sdtEndPr/>
              <w:sdtContent>
                <w:r w:rsidR="00484EEC">
                  <w:fldChar w:fldCharType="begin"/>
                </w:r>
                <w:r w:rsidR="00484EEC">
                  <w:instrText xml:space="preserve"> CITATION HMG176 \l 2057 </w:instrText>
                </w:r>
                <w:r w:rsidR="00484EEC">
                  <w:fldChar w:fldCharType="separate"/>
                </w:r>
                <w:r w:rsidR="000416A5" w:rsidRPr="000416A5">
                  <w:rPr>
                    <w:noProof/>
                  </w:rPr>
                  <w:t>[9]</w:t>
                </w:r>
                <w:r w:rsidR="00484EEC">
                  <w:fldChar w:fldCharType="end"/>
                </w:r>
              </w:sdtContent>
            </w:sdt>
            <w:r w:rsidRPr="0072072C">
              <w:t xml:space="preserve"> (in England and Wales) requires that an appropriate assessment is carried out by the Competent Authority (ONR) on plans or projects which are likely to have a significant effect on a European site, being either a Special Protection Area (SPA)</w:t>
            </w:r>
            <w:r w:rsidRPr="0072072C">
              <w:rPr>
                <w:rStyle w:val="FootnoteReference"/>
              </w:rPr>
              <w:footnoteReference w:id="10"/>
            </w:r>
            <w:r w:rsidRPr="0072072C">
              <w:t>, Special Area of Conservation (SAC) or candidate Special Area of Conservation (</w:t>
            </w:r>
            <w:proofErr w:type="spellStart"/>
            <w:r w:rsidRPr="0072072C">
              <w:t>cSAC</w:t>
            </w:r>
            <w:proofErr w:type="spellEnd"/>
            <w:r w:rsidRPr="0072072C">
              <w:t>)</w:t>
            </w:r>
            <w:r w:rsidRPr="0072072C">
              <w:rPr>
                <w:rStyle w:val="FootnoteReference"/>
              </w:rPr>
              <w:footnoteReference w:id="11"/>
            </w:r>
            <w:r w:rsidRPr="0072072C">
              <w:t xml:space="preserve"> before consent is given to any such plan or project. In practice ONR would make an appropriate assessment when considering the EIA carried out for applications for consent made under EIADR, when there are likely to be significant effects on a European site. Information contained in the Environmental Statement will be used to inform the appropriate assessment required under the Habitats Regulations. To enable an assessment to be carried out further information may be requested from the licensee. ONR will take into consideration the views of the appropriate nature conservation bodies and environmental agencies when determining whether the information provided is sufficient for the purposes of the appropriate assessment.</w:t>
            </w:r>
          </w:p>
          <w:p w14:paraId="2F9758A5" w14:textId="7BBB88B2" w:rsidR="0092209D" w:rsidRPr="0072072C" w:rsidRDefault="0092209D" w:rsidP="002E24C8">
            <w:pPr>
              <w:pStyle w:val="Regulationpara"/>
            </w:pPr>
            <w:r w:rsidRPr="0072072C">
              <w:t xml:space="preserve">If the appropriate assessment undertaken cannot ascertain that the integrity of the European site will not be adversely affected and mitigation measures cannot avoid </w:t>
            </w:r>
            <w:r w:rsidRPr="0072072C">
              <w:lastRenderedPageBreak/>
              <w:t xml:space="preserve">the adverse effects that are foreseen, then before giving the consent two tests in Regulation 49 of the Habitats Regulations (as amended) 1994 </w:t>
            </w:r>
            <w:sdt>
              <w:sdtPr>
                <w:id w:val="273684771"/>
                <w:citation/>
              </w:sdtPr>
              <w:sdtEndPr/>
              <w:sdtContent>
                <w:r w:rsidR="00484EEC">
                  <w:fldChar w:fldCharType="begin"/>
                </w:r>
                <w:r w:rsidR="00484EEC">
                  <w:instrText xml:space="preserve"> CITATION HMG94 \l 2057 </w:instrText>
                </w:r>
                <w:r w:rsidR="00484EEC">
                  <w:fldChar w:fldCharType="separate"/>
                </w:r>
                <w:r w:rsidR="000416A5" w:rsidRPr="000416A5">
                  <w:rPr>
                    <w:noProof/>
                  </w:rPr>
                  <w:t>[12]</w:t>
                </w:r>
                <w:r w:rsidR="00484EEC">
                  <w:fldChar w:fldCharType="end"/>
                </w:r>
              </w:sdtContent>
            </w:sdt>
            <w:r w:rsidRPr="0072072C">
              <w:t xml:space="preserve"> (in Scotland), or Regulation 64 of the Habitats Regulations 2017 </w:t>
            </w:r>
            <w:sdt>
              <w:sdtPr>
                <w:id w:val="1875660771"/>
                <w:citation/>
              </w:sdtPr>
              <w:sdtEndPr/>
              <w:sdtContent>
                <w:r w:rsidR="00484EEC">
                  <w:fldChar w:fldCharType="begin"/>
                </w:r>
                <w:r w:rsidR="00484EEC">
                  <w:instrText xml:space="preserve"> CITATION HMG176 \l 2057 </w:instrText>
                </w:r>
                <w:r w:rsidR="00484EEC">
                  <w:fldChar w:fldCharType="separate"/>
                </w:r>
                <w:r w:rsidR="000416A5" w:rsidRPr="000416A5">
                  <w:rPr>
                    <w:noProof/>
                  </w:rPr>
                  <w:t>[9]</w:t>
                </w:r>
                <w:r w:rsidR="00484EEC">
                  <w:fldChar w:fldCharType="end"/>
                </w:r>
              </w:sdtContent>
            </w:sdt>
            <w:r w:rsidRPr="0072072C">
              <w:t xml:space="preserve"> (in England and Wales) would be required to be satisfied; the alternatives test and the overriding public interest test. If there are no alternative solutions and there are imperative reasons of overriding public interest for the decommissioning project to be carried out, then consent under EIADR may be granted notwithstanding a negative assessment of the implications for the European site. If consent is granted, necessary compensatory measures would be required to ensure that the overall coherence of the Natura 2000</w:t>
            </w:r>
            <w:r w:rsidRPr="0072072C">
              <w:rPr>
                <w:rStyle w:val="FootnoteReference"/>
              </w:rPr>
              <w:footnoteReference w:id="12"/>
            </w:r>
            <w:r w:rsidRPr="0072072C">
              <w:t xml:space="preserve"> is protected. Such compensatory measures would usually relate to the provision of alternative habitat and would need the approval of appropriate ministers.</w:t>
            </w:r>
          </w:p>
          <w:p w14:paraId="5C308749" w14:textId="2E041801" w:rsidR="0092209D" w:rsidRPr="0072072C" w:rsidRDefault="0092209D" w:rsidP="002E24C8">
            <w:pPr>
              <w:pStyle w:val="Regulationpara"/>
            </w:pPr>
            <w:r w:rsidRPr="0072072C">
              <w:t xml:space="preserve">In accordance with regulation 3(4) of the Habitats Regulations (as amended) 1994 </w:t>
            </w:r>
            <w:sdt>
              <w:sdtPr>
                <w:id w:val="1290938367"/>
                <w:citation/>
              </w:sdtPr>
              <w:sdtEndPr/>
              <w:sdtContent>
                <w:r w:rsidR="00484EEC">
                  <w:fldChar w:fldCharType="begin"/>
                </w:r>
                <w:r w:rsidR="00484EEC">
                  <w:instrText xml:space="preserve"> CITATION HMG94 \l 2057 </w:instrText>
                </w:r>
                <w:r w:rsidR="00484EEC">
                  <w:fldChar w:fldCharType="separate"/>
                </w:r>
                <w:r w:rsidR="000416A5" w:rsidRPr="000416A5">
                  <w:rPr>
                    <w:noProof/>
                  </w:rPr>
                  <w:t>[12]</w:t>
                </w:r>
                <w:r w:rsidR="00484EEC">
                  <w:fldChar w:fldCharType="end"/>
                </w:r>
              </w:sdtContent>
            </w:sdt>
            <w:r w:rsidRPr="0072072C">
              <w:t xml:space="preserve"> (in Scotland) and regulation 9(3) of the Habitats Regulations 2017 </w:t>
            </w:r>
            <w:sdt>
              <w:sdtPr>
                <w:id w:val="-512528102"/>
                <w:citation/>
              </w:sdtPr>
              <w:sdtEndPr/>
              <w:sdtContent>
                <w:r w:rsidR="00484EEC">
                  <w:fldChar w:fldCharType="begin"/>
                </w:r>
                <w:r w:rsidR="00484EEC">
                  <w:instrText xml:space="preserve"> CITATION HMG176 \l 2057 </w:instrText>
                </w:r>
                <w:r w:rsidR="00484EEC">
                  <w:fldChar w:fldCharType="separate"/>
                </w:r>
                <w:r w:rsidR="000416A5" w:rsidRPr="000416A5">
                  <w:rPr>
                    <w:noProof/>
                  </w:rPr>
                  <w:t>[9]</w:t>
                </w:r>
                <w:r w:rsidR="00484EEC">
                  <w:fldChar w:fldCharType="end"/>
                </w:r>
              </w:sdtContent>
            </w:sdt>
            <w:r w:rsidRPr="0072072C">
              <w:t xml:space="preserve"> (in England and Wales), ONR must have regard to the Habitats Directive when exercising its functions, for example, when considering applications for consent made under EIADR. The assessment process set out in the Habitats Regulations derives from obligations in the Habitats Directive and ONR will follow that process </w:t>
            </w:r>
            <w:proofErr w:type="gramStart"/>
            <w:r w:rsidRPr="0072072C">
              <w:t>in order to</w:t>
            </w:r>
            <w:proofErr w:type="gramEnd"/>
            <w:r w:rsidRPr="0072072C">
              <w:t xml:space="preserve"> meet the requirements of the Directive.</w:t>
            </w:r>
          </w:p>
          <w:p w14:paraId="4CC2D116" w14:textId="07D234DB" w:rsidR="0092209D" w:rsidRPr="0072072C" w:rsidRDefault="0092209D" w:rsidP="002E24C8">
            <w:pPr>
              <w:pStyle w:val="Regulationpara"/>
            </w:pPr>
            <w:r w:rsidRPr="0072072C">
              <w:t xml:space="preserve">In England and Wales, Section 28I of the Wildlife and Countryside Act </w:t>
            </w:r>
            <w:sdt>
              <w:sdtPr>
                <w:id w:val="-1369213273"/>
                <w:citation/>
              </w:sdtPr>
              <w:sdtEndPr/>
              <w:sdtContent>
                <w:r w:rsidR="00484EEC">
                  <w:fldChar w:fldCharType="begin"/>
                </w:r>
                <w:r w:rsidR="00484EEC">
                  <w:instrText xml:space="preserve"> CITATION HMG81 \l 2057 </w:instrText>
                </w:r>
                <w:r w:rsidR="00484EEC">
                  <w:fldChar w:fldCharType="separate"/>
                </w:r>
                <w:r w:rsidR="000416A5" w:rsidRPr="000416A5">
                  <w:rPr>
                    <w:noProof/>
                  </w:rPr>
                  <w:t>[25]</w:t>
                </w:r>
                <w:r w:rsidR="00484EEC">
                  <w:fldChar w:fldCharType="end"/>
                </w:r>
              </w:sdtContent>
            </w:sdt>
            <w:r w:rsidRPr="0072072C">
              <w:t xml:space="preserve"> as inserted by the Countryside and Rights of Way Act </w:t>
            </w:r>
            <w:sdt>
              <w:sdtPr>
                <w:id w:val="1717783534"/>
                <w:citation/>
              </w:sdtPr>
              <w:sdtEndPr/>
              <w:sdtContent>
                <w:r w:rsidR="00484EEC">
                  <w:fldChar w:fldCharType="begin"/>
                </w:r>
                <w:r w:rsidR="00484EEC">
                  <w:instrText xml:space="preserve"> CITATION HMG003 \l 2057 </w:instrText>
                </w:r>
                <w:r w:rsidR="00484EEC">
                  <w:fldChar w:fldCharType="separate"/>
                </w:r>
                <w:r w:rsidR="000416A5" w:rsidRPr="000416A5">
                  <w:rPr>
                    <w:noProof/>
                  </w:rPr>
                  <w:t>[26]</w:t>
                </w:r>
                <w:r w:rsidR="00484EEC">
                  <w:fldChar w:fldCharType="end"/>
                </w:r>
              </w:sdtContent>
            </w:sdt>
            <w:r w:rsidRPr="0072072C">
              <w:t xml:space="preserve"> requires Natural England to be given 28 days’ notice for operations which are likely to damage the special features of a Site of Special Scientific Interest (SSSI). In Scotland, the Nature Conservation (Scotland) Act 2004 </w:t>
            </w:r>
            <w:sdt>
              <w:sdtPr>
                <w:id w:val="-331153883"/>
                <w:citation/>
              </w:sdtPr>
              <w:sdtEndPr/>
              <w:sdtContent>
                <w:r w:rsidR="00484EEC">
                  <w:fldChar w:fldCharType="begin"/>
                </w:r>
                <w:r w:rsidR="00484EEC">
                  <w:instrText xml:space="preserve"> CITATION HMG044 \l 2057 </w:instrText>
                </w:r>
                <w:r w:rsidR="00484EEC">
                  <w:fldChar w:fldCharType="separate"/>
                </w:r>
                <w:r w:rsidR="000416A5" w:rsidRPr="000416A5">
                  <w:rPr>
                    <w:noProof/>
                  </w:rPr>
                  <w:t>[27]</w:t>
                </w:r>
                <w:r w:rsidR="00484EEC">
                  <w:fldChar w:fldCharType="end"/>
                </w:r>
              </w:sdtContent>
            </w:sdt>
            <w:r w:rsidRPr="0072072C">
              <w:t xml:space="preserve"> requires Scottish Natural Heritage to be given 28 days’ notice for operations which are likely to damage the special features of a SSSI. In accordance with the requirements of these Acts, ONR will give the appropriate nature conservation body at least 28 days’ notice before granting consent under EIADR when there are activities in a project which are likely to damage the special features of an SSSI. Activities carried out in accordance with a consent granted in this way under EIADR may be carried out by the licensee without further </w:t>
            </w:r>
            <w:r w:rsidRPr="0072072C">
              <w:lastRenderedPageBreak/>
              <w:t xml:space="preserve">notice from the licensee to the conservation body. If proposing to consent against the advice of Natural England, section 28I of the Wildlife and Countryside Act requires a second notice to be given stating how that advice has been taken into account and ONR must not allow the operation to commence within 21 days of the expiry of that second notice </w:t>
            </w:r>
            <w:sdt>
              <w:sdtPr>
                <w:id w:val="-320121647"/>
                <w:citation/>
              </w:sdtPr>
              <w:sdtEndPr/>
              <w:sdtContent>
                <w:r w:rsidR="00484EEC">
                  <w:fldChar w:fldCharType="begin"/>
                </w:r>
                <w:r w:rsidR="00484EEC">
                  <w:instrText xml:space="preserve"> CITATION HMG81 \l 2057 </w:instrText>
                </w:r>
                <w:r w:rsidR="00484EEC">
                  <w:fldChar w:fldCharType="separate"/>
                </w:r>
                <w:r w:rsidR="000416A5" w:rsidRPr="000416A5">
                  <w:rPr>
                    <w:noProof/>
                  </w:rPr>
                  <w:t>[25]</w:t>
                </w:r>
                <w:r w:rsidR="00484EEC">
                  <w:fldChar w:fldCharType="end"/>
                </w:r>
              </w:sdtContent>
            </w:sdt>
            <w:r w:rsidRPr="0072072C">
              <w:t>.</w:t>
            </w:r>
          </w:p>
          <w:p w14:paraId="68DC2377" w14:textId="2CFBA19B" w:rsidR="0092209D" w:rsidRPr="0072072C" w:rsidRDefault="0092209D" w:rsidP="002E24C8">
            <w:pPr>
              <w:pStyle w:val="Regulationpara"/>
            </w:pPr>
            <w:r w:rsidRPr="0072072C">
              <w:t>In accordance with the Natural Environment and Rural Communities Act 2006, section 40</w:t>
            </w:r>
            <w:r w:rsidR="00484EEC">
              <w:t xml:space="preserve"> </w:t>
            </w:r>
            <w:sdt>
              <w:sdtPr>
                <w:id w:val="1756010005"/>
                <w:citation/>
              </w:sdtPr>
              <w:sdtEndPr/>
              <w:sdtContent>
                <w:r w:rsidR="00484EEC">
                  <w:fldChar w:fldCharType="begin"/>
                </w:r>
                <w:r w:rsidR="00484EEC">
                  <w:instrText xml:space="preserve"> CITATION HMG062 \l 2057 </w:instrText>
                </w:r>
                <w:r w:rsidR="00484EEC">
                  <w:fldChar w:fldCharType="separate"/>
                </w:r>
                <w:r w:rsidR="000416A5" w:rsidRPr="000416A5">
                  <w:rPr>
                    <w:noProof/>
                  </w:rPr>
                  <w:t>[28]</w:t>
                </w:r>
                <w:r w:rsidR="00484EEC">
                  <w:fldChar w:fldCharType="end"/>
                </w:r>
              </w:sdtContent>
            </w:sdt>
            <w:r w:rsidRPr="0072072C">
              <w:t xml:space="preserve"> ONR will have regard to the purpose of conserving biodiversity, so far as is consistent with the proper exercise of their functions.</w:t>
            </w:r>
          </w:p>
          <w:p w14:paraId="60496A57" w14:textId="6715EEB5" w:rsidR="0092209D" w:rsidRPr="0072072C" w:rsidRDefault="0092209D" w:rsidP="002E24C8">
            <w:pPr>
              <w:pStyle w:val="Regulationpara"/>
            </w:pPr>
            <w:r w:rsidRPr="0072072C">
              <w:t>The Nature Conservation (Scotland) Act 2004</w:t>
            </w:r>
            <w:r w:rsidR="00484EEC">
              <w:t xml:space="preserve"> </w:t>
            </w:r>
            <w:sdt>
              <w:sdtPr>
                <w:id w:val="-1597781715"/>
                <w:citation/>
              </w:sdtPr>
              <w:sdtEndPr/>
              <w:sdtContent>
                <w:r w:rsidR="00484EEC">
                  <w:fldChar w:fldCharType="begin"/>
                </w:r>
                <w:r w:rsidR="00484EEC">
                  <w:instrText xml:space="preserve"> CITATION HMG044 \l 2057 </w:instrText>
                </w:r>
                <w:r w:rsidR="00484EEC">
                  <w:fldChar w:fldCharType="separate"/>
                </w:r>
                <w:r w:rsidR="000416A5" w:rsidRPr="000416A5">
                  <w:rPr>
                    <w:noProof/>
                  </w:rPr>
                  <w:t>[27]</w:t>
                </w:r>
                <w:r w:rsidR="00484EEC">
                  <w:fldChar w:fldCharType="end"/>
                </w:r>
              </w:sdtContent>
            </w:sdt>
            <w:r w:rsidRPr="0072072C">
              <w:t>, section 1, also requires that public bodies, in exercising any functions, further the conservation of biodiversity so far as is consistent with the proper exercise of those functions. In complying with this duty ONR will have regard to the Scottish biodiversity strategy.</w:t>
            </w:r>
          </w:p>
          <w:p w14:paraId="7B816AD6" w14:textId="48999A74" w:rsidR="0092209D" w:rsidRPr="0072072C" w:rsidRDefault="0092209D" w:rsidP="002E24C8">
            <w:pPr>
              <w:pStyle w:val="Regulationpara"/>
            </w:pPr>
            <w:r w:rsidRPr="0072072C">
              <w:t xml:space="preserve">In addition, there may be requirements in relation to the EU Water Framework Directive </w:t>
            </w:r>
            <w:sdt>
              <w:sdtPr>
                <w:id w:val="839124985"/>
                <w:citation/>
              </w:sdtPr>
              <w:sdtEndPr/>
              <w:sdtContent>
                <w:r w:rsidR="00484EEC">
                  <w:fldChar w:fldCharType="begin"/>
                </w:r>
                <w:r w:rsidR="00484EEC">
                  <w:instrText xml:space="preserve">CITATION Eur00 \l 2057 </w:instrText>
                </w:r>
                <w:r w:rsidR="00484EEC">
                  <w:fldChar w:fldCharType="separate"/>
                </w:r>
                <w:r w:rsidR="000416A5" w:rsidRPr="000416A5">
                  <w:rPr>
                    <w:noProof/>
                  </w:rPr>
                  <w:t>[29]</w:t>
                </w:r>
                <w:r w:rsidR="00484EEC">
                  <w:fldChar w:fldCharType="end"/>
                </w:r>
              </w:sdtContent>
            </w:sdt>
            <w:r w:rsidRPr="0072072C">
              <w:t xml:space="preserve"> regarding surface water and ground water that might be affected by pollution from the decommissioning project. The licensee should contact the Environment Agency (England and Wales) or the Scottish Environment Protection Agency (Scotland) for further advice.</w:t>
            </w:r>
          </w:p>
        </w:tc>
      </w:tr>
      <w:tr w:rsidR="0092209D" w:rsidRPr="0072072C" w14:paraId="1210D609" w14:textId="77777777" w:rsidTr="002E24C8">
        <w:tc>
          <w:tcPr>
            <w:tcW w:w="756" w:type="pct"/>
            <w:tcBorders>
              <w:top w:val="nil"/>
              <w:left w:val="nil"/>
              <w:bottom w:val="nil"/>
              <w:right w:val="nil"/>
            </w:tcBorders>
            <w:shd w:val="clear" w:color="auto" w:fill="008080"/>
          </w:tcPr>
          <w:p w14:paraId="442E25A9" w14:textId="77777777" w:rsidR="0092209D" w:rsidRPr="0072072C" w:rsidRDefault="0092209D" w:rsidP="0072072C">
            <w:pPr>
              <w:rPr>
                <w:color w:val="FFFFFF" w:themeColor="background1"/>
              </w:rPr>
            </w:pPr>
            <w:r w:rsidRPr="0072072C">
              <w:rPr>
                <w:color w:val="FFFFFF" w:themeColor="background1"/>
              </w:rPr>
              <w:lastRenderedPageBreak/>
              <w:t>Guidance</w:t>
            </w:r>
          </w:p>
        </w:tc>
        <w:tc>
          <w:tcPr>
            <w:tcW w:w="275" w:type="pct"/>
            <w:tcBorders>
              <w:top w:val="nil"/>
              <w:left w:val="nil"/>
              <w:bottom w:val="nil"/>
              <w:right w:val="nil"/>
            </w:tcBorders>
            <w:shd w:val="clear" w:color="auto" w:fill="008080"/>
          </w:tcPr>
          <w:p w14:paraId="3967952B" w14:textId="77777777" w:rsidR="0092209D" w:rsidRPr="0072072C" w:rsidRDefault="0092209D" w:rsidP="0072072C">
            <w:pPr>
              <w:rPr>
                <w:color w:val="FFFFFF" w:themeColor="background1"/>
                <w:szCs w:val="24"/>
              </w:rPr>
            </w:pPr>
            <w:bookmarkStart w:id="93" w:name="_Toc82166958"/>
            <w:bookmarkStart w:id="94" w:name="_Toc117773683"/>
            <w:bookmarkStart w:id="95" w:name="_Toc117773981"/>
            <w:bookmarkStart w:id="96" w:name="_Toc117774101"/>
            <w:r w:rsidRPr="0072072C">
              <w:rPr>
                <w:color w:val="FFFFFF" w:themeColor="background1"/>
                <w:szCs w:val="24"/>
              </w:rPr>
              <w:t>5</w:t>
            </w:r>
            <w:bookmarkEnd w:id="93"/>
            <w:bookmarkEnd w:id="94"/>
            <w:bookmarkEnd w:id="95"/>
            <w:bookmarkEnd w:id="96"/>
          </w:p>
        </w:tc>
        <w:tc>
          <w:tcPr>
            <w:tcW w:w="3969" w:type="pct"/>
            <w:tcBorders>
              <w:top w:val="nil"/>
              <w:left w:val="nil"/>
              <w:bottom w:val="nil"/>
              <w:right w:val="nil"/>
            </w:tcBorders>
          </w:tcPr>
          <w:p w14:paraId="55D2651E" w14:textId="77777777" w:rsidR="0092209D" w:rsidRPr="00484EEC" w:rsidRDefault="0092209D" w:rsidP="0072072C">
            <w:pPr>
              <w:rPr>
                <w:b/>
                <w:bCs/>
              </w:rPr>
            </w:pPr>
            <w:r w:rsidRPr="00484EEC">
              <w:rPr>
                <w:b/>
                <w:bCs/>
              </w:rPr>
              <w:t>Involving the public and other stakeholders in preparing the environmental statement</w:t>
            </w:r>
          </w:p>
          <w:p w14:paraId="037E0938" w14:textId="027417BA" w:rsidR="0092209D" w:rsidRPr="0072072C" w:rsidRDefault="0092209D" w:rsidP="002E24C8">
            <w:pPr>
              <w:pStyle w:val="Regulationpara"/>
            </w:pPr>
            <w:r w:rsidRPr="0072072C">
              <w:t xml:space="preserve">The intention of the EIA Directive and EIADR is to involve the public, through consultation, in considering the potential environmental impacts of reactor decommissioning projects and to make the </w:t>
            </w:r>
            <w:r w:rsidR="00484EEC" w:rsidRPr="0072072C">
              <w:t>decision-making</w:t>
            </w:r>
            <w:r w:rsidRPr="0072072C">
              <w:t xml:space="preserve"> process open and transparent. It is very useful for the licensee to engage with the public (as well as other stakeholders) from the earliest stages of the EIADR process. The advantage of early engagement of the public is that any adjustments resulting from justified public concerns can be made to plans before the environmental statement is submitted, thus facilitating consideration of the application and public participation.</w:t>
            </w:r>
          </w:p>
          <w:p w14:paraId="15344A3D" w14:textId="77777777" w:rsidR="0092209D" w:rsidRPr="0072072C" w:rsidRDefault="0092209D" w:rsidP="002E24C8">
            <w:pPr>
              <w:pStyle w:val="Regulationpara"/>
            </w:pPr>
            <w:r w:rsidRPr="0072072C">
              <w:t xml:space="preserve">The EIA process and preparation of the statement should be a collaborative exercise involving discussions with ONR, and other relevant organisations, such as statutory consultees, local site stakeholder and interest groups who have specialist local knowledge, and other statutory </w:t>
            </w:r>
            <w:r w:rsidRPr="0072072C">
              <w:lastRenderedPageBreak/>
              <w:t>organisations as well as members of the public. Where relevant appropriate EEA States should be contacted. The licensee should consider involving the local population in the development of the decommissioning programme</w:t>
            </w:r>
            <w:proofErr w:type="gramStart"/>
            <w:r w:rsidRPr="0072072C">
              <w:t>, in particular, discussing</w:t>
            </w:r>
            <w:proofErr w:type="gramEnd"/>
            <w:r w:rsidRPr="0072072C">
              <w:t xml:space="preserve"> concerns and expectations. Local government should be involved in discussions on changes in land use and asset disposal arrangements where relevant, with a view to benefiting the community.</w:t>
            </w:r>
          </w:p>
        </w:tc>
      </w:tr>
      <w:tr w:rsidR="0092209D" w:rsidRPr="0072072C" w14:paraId="2F9EA6D4" w14:textId="77777777" w:rsidTr="002E24C8">
        <w:tc>
          <w:tcPr>
            <w:tcW w:w="756" w:type="pct"/>
            <w:tcBorders>
              <w:top w:val="nil"/>
              <w:left w:val="nil"/>
              <w:bottom w:val="nil"/>
              <w:right w:val="nil"/>
            </w:tcBorders>
            <w:shd w:val="clear" w:color="auto" w:fill="008080"/>
          </w:tcPr>
          <w:p w14:paraId="2AEFE2E0" w14:textId="77777777" w:rsidR="0092209D" w:rsidRPr="0072072C" w:rsidRDefault="0092209D" w:rsidP="0072072C">
            <w:pPr>
              <w:rPr>
                <w:color w:val="FFFFFF" w:themeColor="background1"/>
              </w:rPr>
            </w:pPr>
            <w:r w:rsidRPr="0072072C">
              <w:rPr>
                <w:color w:val="FFFFFF" w:themeColor="background1"/>
              </w:rPr>
              <w:lastRenderedPageBreak/>
              <w:t xml:space="preserve">Guidance </w:t>
            </w:r>
          </w:p>
        </w:tc>
        <w:tc>
          <w:tcPr>
            <w:tcW w:w="275" w:type="pct"/>
            <w:tcBorders>
              <w:top w:val="nil"/>
              <w:left w:val="nil"/>
              <w:bottom w:val="nil"/>
              <w:right w:val="nil"/>
            </w:tcBorders>
            <w:shd w:val="clear" w:color="auto" w:fill="008080"/>
          </w:tcPr>
          <w:p w14:paraId="4FDF696A" w14:textId="77777777" w:rsidR="0092209D" w:rsidRPr="0072072C" w:rsidRDefault="0092209D" w:rsidP="0072072C">
            <w:pPr>
              <w:rPr>
                <w:color w:val="FFFFFF" w:themeColor="background1"/>
                <w:szCs w:val="24"/>
              </w:rPr>
            </w:pPr>
            <w:bookmarkStart w:id="97" w:name="_Toc82166959"/>
            <w:bookmarkStart w:id="98" w:name="_Toc117773684"/>
            <w:bookmarkStart w:id="99" w:name="_Toc117773982"/>
            <w:bookmarkStart w:id="100" w:name="_Toc117774102"/>
            <w:r w:rsidRPr="0072072C">
              <w:rPr>
                <w:color w:val="FFFFFF" w:themeColor="background1"/>
                <w:szCs w:val="24"/>
              </w:rPr>
              <w:t>5</w:t>
            </w:r>
            <w:bookmarkEnd w:id="97"/>
            <w:bookmarkEnd w:id="98"/>
            <w:bookmarkEnd w:id="99"/>
            <w:bookmarkEnd w:id="100"/>
          </w:p>
        </w:tc>
        <w:tc>
          <w:tcPr>
            <w:tcW w:w="3969" w:type="pct"/>
            <w:tcBorders>
              <w:top w:val="nil"/>
              <w:left w:val="nil"/>
              <w:bottom w:val="nil"/>
              <w:right w:val="nil"/>
            </w:tcBorders>
          </w:tcPr>
          <w:p w14:paraId="48DBF0A2" w14:textId="77777777" w:rsidR="0092209D" w:rsidRPr="00484EEC" w:rsidRDefault="0092209D" w:rsidP="0072072C">
            <w:pPr>
              <w:rPr>
                <w:b/>
                <w:bCs/>
              </w:rPr>
            </w:pPr>
            <w:r w:rsidRPr="00484EEC">
              <w:rPr>
                <w:b/>
                <w:bCs/>
              </w:rPr>
              <w:t>Good practice guide to the style of environmental statements</w:t>
            </w:r>
          </w:p>
          <w:p w14:paraId="38AB4A9F" w14:textId="1C35D150" w:rsidR="0092209D" w:rsidRPr="0072072C" w:rsidRDefault="0092209D" w:rsidP="002E24C8">
            <w:pPr>
              <w:pStyle w:val="Regulationpara"/>
            </w:pPr>
            <w:r w:rsidRPr="0072072C">
              <w:t xml:space="preserve">The aim of the EIA is to ensure that the public are given early and effective opportunities to participate in decision making procedures, therefore the main findings of the environmental statement must be set out in accessible, plain </w:t>
            </w:r>
            <w:r w:rsidR="001F7610">
              <w:t>E</w:t>
            </w:r>
            <w:r w:rsidR="001F7610" w:rsidRPr="0072072C">
              <w:t>nglish</w:t>
            </w:r>
            <w:r w:rsidRPr="0072072C">
              <w:t xml:space="preserve">, in a non-technical summary, to ensure that the findings can more readily be disseminated to the general public, and that the conclusions can be easily understood by non-experts as well as decision-makers (regulation 5(1)) </w:t>
            </w:r>
            <w:sdt>
              <w:sdtPr>
                <w:id w:val="588977699"/>
                <w:citation/>
              </w:sdtPr>
              <w:sdtEndPr/>
              <w:sdtContent>
                <w:r w:rsidR="00484EEC">
                  <w:fldChar w:fldCharType="begin"/>
                </w:r>
                <w:r w:rsidR="00484EEC">
                  <w:instrText xml:space="preserve"> CITATION Min17 \l 2057 </w:instrText>
                </w:r>
                <w:r w:rsidR="00484EEC">
                  <w:fldChar w:fldCharType="separate"/>
                </w:r>
                <w:r w:rsidR="000416A5" w:rsidRPr="000416A5">
                  <w:rPr>
                    <w:noProof/>
                  </w:rPr>
                  <w:t>[13]</w:t>
                </w:r>
                <w:r w:rsidR="00484EEC">
                  <w:fldChar w:fldCharType="end"/>
                </w:r>
              </w:sdtContent>
            </w:sdt>
            <w:r w:rsidRPr="0072072C">
              <w:t xml:space="preserve">. </w:t>
            </w:r>
          </w:p>
          <w:p w14:paraId="1E5A9273" w14:textId="323E0F50" w:rsidR="0092209D" w:rsidRPr="0072072C" w:rsidRDefault="0092209D" w:rsidP="002E24C8">
            <w:pPr>
              <w:pStyle w:val="Regulationpara"/>
            </w:pPr>
            <w:r w:rsidRPr="0072072C">
              <w:t xml:space="preserve">The environmental statement should help to inform the public on the substantive issues which ONR will have to consider in reaching a decision. One of the aims of a good environmental statement should be to enable readers to understand for themselves how its conclusions have been reached and to form their own judgements on the significance of the environmental issues raised by the project </w:t>
            </w:r>
            <w:sdt>
              <w:sdtPr>
                <w:id w:val="-651985153"/>
                <w:citation/>
              </w:sdtPr>
              <w:sdtEndPr/>
              <w:sdtContent>
                <w:r w:rsidR="00484EEC">
                  <w:fldChar w:fldCharType="begin"/>
                </w:r>
                <w:r w:rsidR="00484EEC">
                  <w:instrText xml:space="preserve"> CITATION Min17 \l 2057 </w:instrText>
                </w:r>
                <w:r w:rsidR="00484EEC">
                  <w:fldChar w:fldCharType="separate"/>
                </w:r>
                <w:r w:rsidR="000416A5" w:rsidRPr="000416A5">
                  <w:rPr>
                    <w:noProof/>
                  </w:rPr>
                  <w:t>[13]</w:t>
                </w:r>
                <w:r w:rsidR="00484EEC">
                  <w:fldChar w:fldCharType="end"/>
                </w:r>
              </w:sdtContent>
            </w:sdt>
            <w:sdt>
              <w:sdtPr>
                <w:id w:val="346993581"/>
                <w:citation/>
              </w:sdtPr>
              <w:sdtEndPr/>
              <w:sdtContent>
                <w:r w:rsidR="00484EEC">
                  <w:fldChar w:fldCharType="begin"/>
                </w:r>
                <w:r w:rsidR="00484EEC">
                  <w:instrText xml:space="preserve"> CITATION IAE36 \l 2057 </w:instrText>
                </w:r>
                <w:r w:rsidR="00484EEC">
                  <w:fldChar w:fldCharType="separate"/>
                </w:r>
                <w:r w:rsidR="000416A5">
                  <w:rPr>
                    <w:noProof/>
                  </w:rPr>
                  <w:t xml:space="preserve"> </w:t>
                </w:r>
                <w:r w:rsidR="000416A5" w:rsidRPr="000416A5">
                  <w:rPr>
                    <w:noProof/>
                  </w:rPr>
                  <w:t>[14]</w:t>
                </w:r>
                <w:r w:rsidR="00484EEC">
                  <w:fldChar w:fldCharType="end"/>
                </w:r>
              </w:sdtContent>
            </w:sdt>
            <w:r w:rsidRPr="0072072C">
              <w:t xml:space="preserve">. </w:t>
            </w:r>
            <w:proofErr w:type="gramStart"/>
            <w:r w:rsidRPr="0072072C">
              <w:t>In order for</w:t>
            </w:r>
            <w:proofErr w:type="gramEnd"/>
            <w:r w:rsidRPr="0072072C">
              <w:t xml:space="preserve"> public participation to be effective, it is important that (subject to security considerations), the public should have access to all relevant information needed to form an objective opinion and contribute to the process. </w:t>
            </w:r>
          </w:p>
          <w:p w14:paraId="13B113B5" w14:textId="77777777" w:rsidR="0092209D" w:rsidRPr="0072072C" w:rsidRDefault="0092209D" w:rsidP="002E24C8">
            <w:pPr>
              <w:pStyle w:val="Regulationpara"/>
            </w:pPr>
            <w:r w:rsidRPr="0072072C">
              <w:t xml:space="preserve">When preparing the environmental statement, the licensee may wish to </w:t>
            </w:r>
            <w:proofErr w:type="gramStart"/>
            <w:r w:rsidRPr="0072072C">
              <w:t>take into account</w:t>
            </w:r>
            <w:proofErr w:type="gramEnd"/>
            <w:r w:rsidRPr="0072072C">
              <w:t xml:space="preserve"> the points listed below, although these are not explicitly required in the statement. Following this advice should result in an environmental statement that is clear and thus aid consultees (and ONR) in forming views regarding the environmental impact of the proposed decommissioning project. Consideration could usefully be given to:</w:t>
            </w:r>
          </w:p>
          <w:p w14:paraId="0B4DB6A3" w14:textId="77777777" w:rsidR="0092209D" w:rsidRPr="0072072C" w:rsidRDefault="0092209D" w:rsidP="00DE19A2">
            <w:pPr>
              <w:pStyle w:val="Bulletlist1"/>
              <w:ind w:left="697" w:hanging="357"/>
            </w:pPr>
            <w:r w:rsidRPr="0072072C">
              <w:t>Describing the environmental effects of each option under consideration, showing that the chosen option will (at least) not result in significantly greater adverse impacts on the environment than other options;</w:t>
            </w:r>
          </w:p>
          <w:p w14:paraId="3F644150" w14:textId="77777777" w:rsidR="0092209D" w:rsidRPr="0072072C" w:rsidRDefault="0092209D" w:rsidP="00DE19A2">
            <w:pPr>
              <w:pStyle w:val="Bulletlist1"/>
              <w:ind w:left="697" w:hanging="357"/>
            </w:pPr>
            <w:r w:rsidRPr="0072072C">
              <w:lastRenderedPageBreak/>
              <w:t>Including strategies for monitoring the actual impacts of measures to be taken to avoid, reduce and, if possible, remediate significant adverse effects on the environment. This could cover gathering base-line data, and monitoring through the decommissioning project to demonstrate the effectiveness of the measures taken or to identify the need for measures to be reviewed and amended;</w:t>
            </w:r>
          </w:p>
          <w:p w14:paraId="042A7973" w14:textId="77777777" w:rsidR="0092209D" w:rsidRPr="0072072C" w:rsidRDefault="0092209D" w:rsidP="00DE19A2">
            <w:pPr>
              <w:pStyle w:val="Bulletlist1"/>
              <w:ind w:left="697" w:hanging="357"/>
            </w:pPr>
            <w:r w:rsidRPr="0072072C">
              <w:t>Providing a summary matrix of the different activities associated with the proposed work and the range of environmental parameters potentially affected, with some form of indication of the potential significance of any impact;</w:t>
            </w:r>
          </w:p>
          <w:p w14:paraId="6C81ED04" w14:textId="77777777" w:rsidR="0092209D" w:rsidRPr="0072072C" w:rsidRDefault="0092209D" w:rsidP="00DE19A2">
            <w:pPr>
              <w:pStyle w:val="Bulletlist1"/>
              <w:ind w:left="697" w:hanging="357"/>
            </w:pPr>
            <w:r w:rsidRPr="0072072C">
              <w:t>Providing a clear indication as to whether the project is likely to have significant effects on the environment of another European Economic Area State;</w:t>
            </w:r>
          </w:p>
          <w:p w14:paraId="4F6EB427" w14:textId="77777777" w:rsidR="0092209D" w:rsidRPr="0072072C" w:rsidRDefault="0092209D" w:rsidP="00DE19A2">
            <w:pPr>
              <w:pStyle w:val="Bulletlist1"/>
              <w:ind w:left="697" w:hanging="357"/>
            </w:pPr>
            <w:r w:rsidRPr="0072072C">
              <w:t>Ensuring that the strategy framework described includes up to date information regarding any relevant central government policy;</w:t>
            </w:r>
          </w:p>
          <w:p w14:paraId="65022631" w14:textId="77777777" w:rsidR="0092209D" w:rsidRPr="0072072C" w:rsidRDefault="0092209D" w:rsidP="00DE19A2">
            <w:pPr>
              <w:pStyle w:val="Bulletlist1"/>
              <w:ind w:left="697" w:hanging="357"/>
            </w:pPr>
            <w:r w:rsidRPr="0072072C">
              <w:t>Using photographs, figures and diagrams where appropriate to clarify text; and</w:t>
            </w:r>
          </w:p>
          <w:p w14:paraId="1E800077" w14:textId="07F5BAE9" w:rsidR="0092209D" w:rsidRPr="0072072C" w:rsidRDefault="0092209D" w:rsidP="00DE19A2">
            <w:pPr>
              <w:pStyle w:val="Bulletlist1"/>
              <w:ind w:left="697" w:hanging="357"/>
            </w:pPr>
            <w:r w:rsidRPr="0072072C">
              <w:t xml:space="preserve">Ensuring that potential benefits to the environment arising from the decommissioning project are adequately addressed (such as the </w:t>
            </w:r>
            <w:r w:rsidR="00484EEC" w:rsidRPr="0072072C">
              <w:t>long-term</w:t>
            </w:r>
            <w:r w:rsidRPr="0072072C">
              <w:t xml:space="preserve"> effect on visual impact due to removal of substantial buildings).</w:t>
            </w:r>
          </w:p>
        </w:tc>
      </w:tr>
    </w:tbl>
    <w:p w14:paraId="4F04086B" w14:textId="383D4F1B" w:rsidR="0092209D" w:rsidRDefault="0092209D" w:rsidP="00A01C3E">
      <w:pPr>
        <w:pStyle w:val="Heading2"/>
      </w:pPr>
      <w:bookmarkStart w:id="101" w:name="_Toc124416323"/>
      <w:r>
        <w:lastRenderedPageBreak/>
        <w:t>Regulation 6 Pre-Application Opinion as to the Content of the Environmental Statement</w:t>
      </w:r>
      <w:bookmarkEnd w:id="101"/>
    </w:p>
    <w:tbl>
      <w:tblPr>
        <w:tblStyle w:val="TableGrid"/>
        <w:tblW w:w="5000" w:type="pct"/>
        <w:tblLook w:val="04A0" w:firstRow="1" w:lastRow="0" w:firstColumn="1" w:lastColumn="0" w:noHBand="0" w:noVBand="1"/>
      </w:tblPr>
      <w:tblGrid>
        <w:gridCol w:w="1368"/>
        <w:gridCol w:w="500"/>
        <w:gridCol w:w="7158"/>
      </w:tblGrid>
      <w:tr w:rsidR="00C45685" w:rsidRPr="00484EEC" w14:paraId="6FEA3C36" w14:textId="77777777" w:rsidTr="00484EEC">
        <w:tc>
          <w:tcPr>
            <w:tcW w:w="758" w:type="pct"/>
            <w:tcBorders>
              <w:top w:val="nil"/>
              <w:left w:val="nil"/>
              <w:bottom w:val="nil"/>
              <w:right w:val="nil"/>
            </w:tcBorders>
          </w:tcPr>
          <w:p w14:paraId="7D9BE2ED" w14:textId="77777777" w:rsidR="00C45685" w:rsidRPr="00484EEC" w:rsidRDefault="00C45685" w:rsidP="00484EEC">
            <w:r w:rsidRPr="00484EEC">
              <w:t>Regulation</w:t>
            </w:r>
          </w:p>
        </w:tc>
        <w:tc>
          <w:tcPr>
            <w:tcW w:w="277" w:type="pct"/>
            <w:tcBorders>
              <w:top w:val="nil"/>
              <w:left w:val="nil"/>
              <w:bottom w:val="nil"/>
              <w:right w:val="nil"/>
            </w:tcBorders>
          </w:tcPr>
          <w:p w14:paraId="605DA81D" w14:textId="77777777" w:rsidR="00C45685" w:rsidRPr="00484EEC" w:rsidRDefault="00C45685" w:rsidP="00484EEC">
            <w:bookmarkStart w:id="102" w:name="_Toc82166961"/>
            <w:bookmarkStart w:id="103" w:name="_Toc117773686"/>
            <w:bookmarkStart w:id="104" w:name="_Toc117773984"/>
            <w:bookmarkStart w:id="105" w:name="_Toc117774104"/>
            <w:r w:rsidRPr="00484EEC">
              <w:t>6</w:t>
            </w:r>
            <w:bookmarkEnd w:id="102"/>
            <w:bookmarkEnd w:id="103"/>
            <w:bookmarkEnd w:id="104"/>
            <w:bookmarkEnd w:id="105"/>
          </w:p>
        </w:tc>
        <w:tc>
          <w:tcPr>
            <w:tcW w:w="3966" w:type="pct"/>
            <w:tcBorders>
              <w:top w:val="nil"/>
              <w:left w:val="nil"/>
              <w:bottom w:val="nil"/>
              <w:right w:val="nil"/>
            </w:tcBorders>
          </w:tcPr>
          <w:tbl>
            <w:tblPr>
              <w:tblStyle w:val="TableGrid"/>
              <w:tblW w:w="0" w:type="auto"/>
              <w:tblLook w:val="04A0" w:firstRow="1" w:lastRow="0" w:firstColumn="1" w:lastColumn="0" w:noHBand="0" w:noVBand="1"/>
            </w:tblPr>
            <w:tblGrid>
              <w:gridCol w:w="781"/>
              <w:gridCol w:w="6144"/>
            </w:tblGrid>
            <w:tr w:rsidR="00C45685" w:rsidRPr="00484EEC" w14:paraId="7DBE5972" w14:textId="77777777" w:rsidTr="00D328FC">
              <w:tc>
                <w:tcPr>
                  <w:tcW w:w="781" w:type="dxa"/>
                  <w:tcBorders>
                    <w:top w:val="nil"/>
                    <w:left w:val="nil"/>
                    <w:bottom w:val="nil"/>
                    <w:right w:val="nil"/>
                  </w:tcBorders>
                </w:tcPr>
                <w:p w14:paraId="040750DB" w14:textId="77777777" w:rsidR="00C45685" w:rsidRPr="00484EEC" w:rsidRDefault="00C45685" w:rsidP="00484EEC">
                  <w:r w:rsidRPr="00484EEC">
                    <w:t>6.(1)</w:t>
                  </w:r>
                </w:p>
              </w:tc>
              <w:tc>
                <w:tcPr>
                  <w:tcW w:w="6144" w:type="dxa"/>
                  <w:tcBorders>
                    <w:top w:val="nil"/>
                    <w:left w:val="nil"/>
                    <w:bottom w:val="nil"/>
                    <w:right w:val="nil"/>
                  </w:tcBorders>
                </w:tcPr>
                <w:p w14:paraId="27B59FC0" w14:textId="77777777" w:rsidR="00C45685" w:rsidRPr="00484EEC" w:rsidRDefault="00C45685" w:rsidP="00484EEC">
                  <w:r w:rsidRPr="00484EEC">
                    <w:t xml:space="preserve">Without prejudice to regulation 5, a licensee who is minded </w:t>
                  </w:r>
                  <w:proofErr w:type="gramStart"/>
                  <w:r w:rsidRPr="00484EEC">
                    <w:t>to apply</w:t>
                  </w:r>
                  <w:proofErr w:type="gramEnd"/>
                  <w:r w:rsidRPr="00484EEC">
                    <w:t xml:space="preserve"> for a consent to carry out a project may request the ONR to state in writing its opinion as to the scope and level of detail of the information to be provided in connection with that application.</w:t>
                  </w:r>
                </w:p>
              </w:tc>
            </w:tr>
            <w:tr w:rsidR="00C45685" w:rsidRPr="00484EEC" w14:paraId="4C01E7D0" w14:textId="77777777" w:rsidTr="00D328FC">
              <w:tc>
                <w:tcPr>
                  <w:tcW w:w="781" w:type="dxa"/>
                  <w:tcBorders>
                    <w:top w:val="nil"/>
                    <w:left w:val="nil"/>
                    <w:bottom w:val="nil"/>
                    <w:right w:val="nil"/>
                  </w:tcBorders>
                </w:tcPr>
                <w:p w14:paraId="0A7A5C4F" w14:textId="77777777" w:rsidR="00C45685" w:rsidRPr="00484EEC" w:rsidRDefault="00C45685" w:rsidP="00484EEC">
                  <w:r w:rsidRPr="00484EEC">
                    <w:t>6.(2)</w:t>
                  </w:r>
                </w:p>
              </w:tc>
              <w:tc>
                <w:tcPr>
                  <w:tcW w:w="6144" w:type="dxa"/>
                  <w:tcBorders>
                    <w:top w:val="nil"/>
                    <w:left w:val="nil"/>
                    <w:bottom w:val="nil"/>
                    <w:right w:val="nil"/>
                  </w:tcBorders>
                </w:tcPr>
                <w:p w14:paraId="1333F9C6" w14:textId="77777777" w:rsidR="00C45685" w:rsidRPr="00484EEC" w:rsidRDefault="00C45685" w:rsidP="00484EEC">
                  <w:r w:rsidRPr="00484EEC">
                    <w:t>The ONR shall, if it considers that it has not been provided with sufficient information to give an opinion on a request made under paragraph (1), notify the licensee of the matters in respect of which it requires further information and shall not be required to give an opinion under paragraph (1) until such further information has been provided.</w:t>
                  </w:r>
                </w:p>
              </w:tc>
            </w:tr>
          </w:tbl>
          <w:p w14:paraId="0026E9F6" w14:textId="77777777" w:rsidR="00C45685" w:rsidRPr="00484EEC" w:rsidRDefault="00C45685" w:rsidP="00484EEC"/>
        </w:tc>
      </w:tr>
      <w:tr w:rsidR="00C45685" w:rsidRPr="00484EEC" w14:paraId="7CEE356C" w14:textId="77777777" w:rsidTr="00484EEC">
        <w:tc>
          <w:tcPr>
            <w:tcW w:w="758" w:type="pct"/>
            <w:tcBorders>
              <w:top w:val="nil"/>
              <w:left w:val="nil"/>
              <w:bottom w:val="nil"/>
              <w:right w:val="nil"/>
            </w:tcBorders>
            <w:shd w:val="clear" w:color="auto" w:fill="008080"/>
          </w:tcPr>
          <w:p w14:paraId="0814C627" w14:textId="77777777" w:rsidR="00C45685" w:rsidRPr="00484EEC" w:rsidRDefault="00C45685" w:rsidP="00484EEC">
            <w:pPr>
              <w:rPr>
                <w:b/>
                <w:bCs/>
                <w:color w:val="FFFFFF" w:themeColor="background1"/>
                <w:sz w:val="22"/>
              </w:rPr>
            </w:pPr>
            <w:r w:rsidRPr="00484EEC">
              <w:rPr>
                <w:b/>
                <w:bCs/>
                <w:color w:val="FFFFFF" w:themeColor="background1"/>
                <w:sz w:val="22"/>
              </w:rPr>
              <w:lastRenderedPageBreak/>
              <w:t>Guidance</w:t>
            </w:r>
          </w:p>
        </w:tc>
        <w:tc>
          <w:tcPr>
            <w:tcW w:w="277" w:type="pct"/>
            <w:tcBorders>
              <w:top w:val="nil"/>
              <w:left w:val="nil"/>
              <w:bottom w:val="nil"/>
              <w:right w:val="nil"/>
            </w:tcBorders>
            <w:shd w:val="clear" w:color="auto" w:fill="008080"/>
          </w:tcPr>
          <w:p w14:paraId="200282A3" w14:textId="77777777" w:rsidR="00C45685" w:rsidRPr="00484EEC" w:rsidRDefault="00C45685" w:rsidP="00484EEC">
            <w:pPr>
              <w:rPr>
                <w:color w:val="FFFFFF" w:themeColor="background1"/>
                <w:sz w:val="22"/>
              </w:rPr>
            </w:pPr>
            <w:bookmarkStart w:id="106" w:name="_Toc82166962"/>
            <w:bookmarkStart w:id="107" w:name="_Toc117773687"/>
            <w:bookmarkStart w:id="108" w:name="_Toc117773985"/>
            <w:bookmarkStart w:id="109" w:name="_Toc117774105"/>
            <w:r w:rsidRPr="00484EEC">
              <w:rPr>
                <w:color w:val="FFFFFF" w:themeColor="background1"/>
                <w:sz w:val="22"/>
              </w:rPr>
              <w:t>6</w:t>
            </w:r>
            <w:bookmarkEnd w:id="106"/>
            <w:bookmarkEnd w:id="107"/>
            <w:bookmarkEnd w:id="108"/>
            <w:bookmarkEnd w:id="109"/>
          </w:p>
        </w:tc>
        <w:tc>
          <w:tcPr>
            <w:tcW w:w="3966" w:type="pct"/>
            <w:tcBorders>
              <w:top w:val="nil"/>
              <w:left w:val="nil"/>
              <w:bottom w:val="nil"/>
              <w:right w:val="nil"/>
            </w:tcBorders>
          </w:tcPr>
          <w:p w14:paraId="1B5A7119" w14:textId="77777777" w:rsidR="00C45685" w:rsidRPr="00484EEC" w:rsidRDefault="00C45685" w:rsidP="00A01C3E">
            <w:pPr>
              <w:pStyle w:val="Regulationpara"/>
            </w:pPr>
            <w:r w:rsidRPr="00484EEC">
              <w:t>The pre-application opinion provides guidance to the licensee on what ONR (</w:t>
            </w:r>
            <w:proofErr w:type="gramStart"/>
            <w:r w:rsidRPr="00484EEC">
              <w:t>taking into account</w:t>
            </w:r>
            <w:proofErr w:type="gramEnd"/>
            <w:r w:rsidRPr="00484EEC">
              <w:t xml:space="preserve"> the views of consultees) considers should be included in the EIA and environmental statement. </w:t>
            </w:r>
            <w:proofErr w:type="gramStart"/>
            <w:r w:rsidRPr="00484EEC">
              <w:t>In order to</w:t>
            </w:r>
            <w:proofErr w:type="gramEnd"/>
            <w:r w:rsidRPr="00484EEC">
              <w:t xml:space="preserve"> inform ONR’s pre-application opinion, the licensee should submit a scoping report. Whilst not being a formal requirement of EIADR, the pre-application opinion (or scoping) stage provides an opportunity for the licensee to define the intended scope of the EIA, including the start and end point of the decommissioning project under EIADR, and ensure common understanding on this point with ONR. </w:t>
            </w:r>
          </w:p>
          <w:p w14:paraId="77B1834D" w14:textId="47CFC8DB" w:rsidR="00C45685" w:rsidRPr="00484EEC" w:rsidRDefault="00C45685" w:rsidP="00A01C3E">
            <w:pPr>
              <w:pStyle w:val="Regulationpara"/>
            </w:pPr>
            <w:r w:rsidRPr="00484EEC">
              <w:t xml:space="preserve">At this stage, stakeholders should have an opportunity to express their opinions and concerns over the proposed decommissioning project and have them </w:t>
            </w:r>
            <w:proofErr w:type="gramStart"/>
            <w:r w:rsidRPr="00484EEC">
              <w:t>taken into account</w:t>
            </w:r>
            <w:proofErr w:type="gramEnd"/>
            <w:r w:rsidRPr="00484EEC">
              <w:t xml:space="preserve">. In addition, the decision-making procedures and criteria should be </w:t>
            </w:r>
            <w:r w:rsidR="00484EEC" w:rsidRPr="00484EEC">
              <w:t>described,</w:t>
            </w:r>
            <w:r w:rsidRPr="00484EEC">
              <w:t xml:space="preserve"> and feasible alternatives selected. Further guidance on the scoping process is given in the European Commission’s guidance </w:t>
            </w:r>
            <w:sdt>
              <w:sdtPr>
                <w:id w:val="-582296448"/>
                <w:citation/>
              </w:sdtPr>
              <w:sdtEndPr/>
              <w:sdtContent>
                <w:r w:rsidR="00484EEC">
                  <w:fldChar w:fldCharType="begin"/>
                </w:r>
                <w:r w:rsidR="00484EEC">
                  <w:instrText xml:space="preserve"> CITATION IAE36 \l 2057 </w:instrText>
                </w:r>
                <w:r w:rsidR="00484EEC">
                  <w:fldChar w:fldCharType="separate"/>
                </w:r>
                <w:r w:rsidR="000416A5" w:rsidRPr="000416A5">
                  <w:rPr>
                    <w:noProof/>
                  </w:rPr>
                  <w:t>[14]</w:t>
                </w:r>
                <w:r w:rsidR="00484EEC">
                  <w:fldChar w:fldCharType="end"/>
                </w:r>
              </w:sdtContent>
            </w:sdt>
            <w:sdt>
              <w:sdtPr>
                <w:id w:val="1189412725"/>
                <w:citation/>
              </w:sdtPr>
              <w:sdtEndPr/>
              <w:sdtContent>
                <w:r w:rsidR="00484EEC">
                  <w:fldChar w:fldCharType="begin"/>
                </w:r>
                <w:r w:rsidR="00484EEC">
                  <w:instrText xml:space="preserve"> CITATION Eur171 \l 2057 </w:instrText>
                </w:r>
                <w:r w:rsidR="00484EEC">
                  <w:fldChar w:fldCharType="separate"/>
                </w:r>
                <w:r w:rsidR="000416A5">
                  <w:rPr>
                    <w:noProof/>
                  </w:rPr>
                  <w:t xml:space="preserve"> </w:t>
                </w:r>
                <w:r w:rsidR="000416A5" w:rsidRPr="000416A5">
                  <w:rPr>
                    <w:noProof/>
                  </w:rPr>
                  <w:t>[16]</w:t>
                </w:r>
                <w:r w:rsidR="00484EEC">
                  <w:fldChar w:fldCharType="end"/>
                </w:r>
              </w:sdtContent>
            </w:sdt>
            <w:r w:rsidR="00484EEC">
              <w:t xml:space="preserve"> </w:t>
            </w:r>
            <w:r w:rsidRPr="00484EEC">
              <w:t>and covers:</w:t>
            </w:r>
          </w:p>
          <w:p w14:paraId="70071C27" w14:textId="77777777" w:rsidR="00C45685" w:rsidRPr="00484EEC" w:rsidRDefault="00C45685" w:rsidP="00DE19A2">
            <w:pPr>
              <w:pStyle w:val="Bulletlist1"/>
              <w:ind w:left="697" w:hanging="357"/>
            </w:pPr>
            <w:r w:rsidRPr="00484EEC">
              <w:t>identification of stakeholders (those parties who may have a justifiable interest in the decommissioning project);</w:t>
            </w:r>
          </w:p>
          <w:p w14:paraId="5BCFF5AF" w14:textId="77777777" w:rsidR="00C45685" w:rsidRPr="00484EEC" w:rsidRDefault="00C45685" w:rsidP="00DE19A2">
            <w:pPr>
              <w:pStyle w:val="Bulletlist1"/>
              <w:ind w:left="697" w:hanging="357"/>
            </w:pPr>
            <w:r w:rsidRPr="00484EEC">
              <w:t>outlining the feasible alternatives;</w:t>
            </w:r>
          </w:p>
          <w:p w14:paraId="54111B9B" w14:textId="77777777" w:rsidR="00C45685" w:rsidRPr="00484EEC" w:rsidRDefault="00C45685" w:rsidP="00DE19A2">
            <w:pPr>
              <w:pStyle w:val="Bulletlist1"/>
              <w:ind w:left="697" w:hanging="357"/>
            </w:pPr>
            <w:r w:rsidRPr="00484EEC">
              <w:t>defining decision making procedures and criteria;</w:t>
            </w:r>
          </w:p>
          <w:p w14:paraId="2F5CEBC4" w14:textId="41294211" w:rsidR="00C45685" w:rsidRPr="00484EEC" w:rsidRDefault="00C45685" w:rsidP="00DE19A2">
            <w:pPr>
              <w:pStyle w:val="Bulletlist1"/>
              <w:ind w:left="697" w:hanging="357"/>
            </w:pPr>
            <w:r w:rsidRPr="00484EEC">
              <w:t xml:space="preserve">screening the proposed feasible alternatives against the defined criteria (involving consultation with stakeholders). Alternatives which do not meet agreed </w:t>
            </w:r>
            <w:r w:rsidR="00484EEC" w:rsidRPr="00484EEC">
              <w:t>decision-making</w:t>
            </w:r>
            <w:r w:rsidRPr="00484EEC">
              <w:t xml:space="preserve"> criteria (such as unacceptable environmental risks or excessive cost) are rejected at this stage;</w:t>
            </w:r>
          </w:p>
          <w:p w14:paraId="1ACD8B9B" w14:textId="77777777" w:rsidR="00C45685" w:rsidRPr="00484EEC" w:rsidRDefault="00C45685" w:rsidP="00DE19A2">
            <w:pPr>
              <w:pStyle w:val="Bulletlist1"/>
              <w:ind w:left="697" w:hanging="357"/>
            </w:pPr>
            <w:r w:rsidRPr="00484EEC">
              <w:t>informing the public of the agreed decision making criteria and remaining alternatives;</w:t>
            </w:r>
          </w:p>
          <w:p w14:paraId="5A718522" w14:textId="77777777" w:rsidR="00C45685" w:rsidRPr="00484EEC" w:rsidRDefault="00C45685" w:rsidP="00DE19A2">
            <w:pPr>
              <w:pStyle w:val="Bulletlist1"/>
              <w:ind w:left="697" w:hanging="357"/>
            </w:pPr>
            <w:r w:rsidRPr="00484EEC">
              <w:t>scoping for impacts of the remaining alternatives, in order to select the final alternatives for the remainder of the EIA process; and</w:t>
            </w:r>
          </w:p>
          <w:p w14:paraId="500D62A9" w14:textId="77777777" w:rsidR="00C45685" w:rsidRPr="00484EEC" w:rsidRDefault="00C45685" w:rsidP="00DE19A2">
            <w:pPr>
              <w:pStyle w:val="Bulletlist1"/>
              <w:ind w:left="697" w:hanging="357"/>
            </w:pPr>
            <w:r w:rsidRPr="00484EEC">
              <w:t>discussion and agreement of the final scoping report.</w:t>
            </w:r>
          </w:p>
          <w:p w14:paraId="2C8ECA28" w14:textId="4BE74D9E" w:rsidR="00C45685" w:rsidRPr="00484EEC" w:rsidRDefault="00C45685" w:rsidP="00A01C3E">
            <w:pPr>
              <w:pStyle w:val="Regulationpara"/>
              <w:numPr>
                <w:ilvl w:val="0"/>
                <w:numId w:val="0"/>
              </w:numPr>
              <w:ind w:left="714"/>
            </w:pPr>
            <w:r w:rsidRPr="00484EEC">
              <w:t xml:space="preserve">ONR is of the opinion that the scoping exercise will be more effective if it characterises the existing environment (baseline) and identifies which aspects of the impact of the project on the environment need to be considered in detail within the EIA, and which require no further consideration (because the project will have negligible effect on these </w:t>
            </w:r>
            <w:r w:rsidRPr="00484EEC">
              <w:lastRenderedPageBreak/>
              <w:t xml:space="preserve">aspects). This will result in the EIA being focussed on the key issues. </w:t>
            </w:r>
            <w:r w:rsidR="00A816D3" w:rsidRPr="00484EEC">
              <w:t>Thus,</w:t>
            </w:r>
            <w:r w:rsidRPr="00484EEC">
              <w:t xml:space="preserve"> the environmental statement need not be made over-complicated by the inclusion of unnecessary information. ONR considers that early involvement of stakeholders in the scoping stage is vital.</w:t>
            </w:r>
          </w:p>
        </w:tc>
      </w:tr>
      <w:tr w:rsidR="00C45685" w:rsidRPr="00484EEC" w14:paraId="31EC7666" w14:textId="77777777" w:rsidTr="00484EEC">
        <w:tc>
          <w:tcPr>
            <w:tcW w:w="758" w:type="pct"/>
            <w:tcBorders>
              <w:top w:val="nil"/>
              <w:left w:val="nil"/>
              <w:bottom w:val="nil"/>
              <w:right w:val="nil"/>
            </w:tcBorders>
            <w:shd w:val="clear" w:color="auto" w:fill="FFFFFF" w:themeFill="background1"/>
          </w:tcPr>
          <w:p w14:paraId="598468B8" w14:textId="77777777" w:rsidR="00C45685" w:rsidRPr="00484EEC" w:rsidRDefault="00C45685" w:rsidP="00484EEC">
            <w:pPr>
              <w:rPr>
                <w:b/>
                <w:bCs/>
                <w:sz w:val="22"/>
              </w:rPr>
            </w:pPr>
            <w:r w:rsidRPr="00484EEC">
              <w:rPr>
                <w:b/>
                <w:bCs/>
                <w:sz w:val="22"/>
              </w:rPr>
              <w:lastRenderedPageBreak/>
              <w:t>Regulation</w:t>
            </w:r>
          </w:p>
        </w:tc>
        <w:tc>
          <w:tcPr>
            <w:tcW w:w="277" w:type="pct"/>
            <w:tcBorders>
              <w:top w:val="nil"/>
              <w:left w:val="nil"/>
              <w:bottom w:val="nil"/>
              <w:right w:val="nil"/>
            </w:tcBorders>
            <w:shd w:val="clear" w:color="auto" w:fill="FFFFFF" w:themeFill="background1"/>
          </w:tcPr>
          <w:p w14:paraId="47B237AE" w14:textId="77777777" w:rsidR="00C45685" w:rsidRPr="00484EEC" w:rsidRDefault="00C45685" w:rsidP="00484EEC">
            <w:pPr>
              <w:rPr>
                <w:sz w:val="22"/>
              </w:rPr>
            </w:pPr>
            <w:bookmarkStart w:id="110" w:name="_Toc82166963"/>
            <w:bookmarkStart w:id="111" w:name="_Toc117773688"/>
            <w:bookmarkStart w:id="112" w:name="_Toc117773986"/>
            <w:bookmarkStart w:id="113" w:name="_Toc117774106"/>
            <w:r w:rsidRPr="00484EEC">
              <w:rPr>
                <w:sz w:val="22"/>
              </w:rPr>
              <w:t>6</w:t>
            </w:r>
            <w:bookmarkEnd w:id="110"/>
            <w:bookmarkEnd w:id="111"/>
            <w:bookmarkEnd w:id="112"/>
            <w:bookmarkEnd w:id="113"/>
          </w:p>
        </w:tc>
        <w:tc>
          <w:tcPr>
            <w:tcW w:w="3966" w:type="pct"/>
            <w:tcBorders>
              <w:top w:val="nil"/>
              <w:left w:val="nil"/>
              <w:bottom w:val="nil"/>
              <w:right w:val="nil"/>
            </w:tcBorders>
            <w:shd w:val="clear" w:color="auto" w:fill="FFFFFF" w:themeFill="background1"/>
          </w:tcPr>
          <w:tbl>
            <w:tblPr>
              <w:tblStyle w:val="TableGrid"/>
              <w:tblW w:w="0" w:type="auto"/>
              <w:tblLook w:val="04A0" w:firstRow="1" w:lastRow="0" w:firstColumn="1" w:lastColumn="0" w:noHBand="0" w:noVBand="1"/>
            </w:tblPr>
            <w:tblGrid>
              <w:gridCol w:w="870"/>
              <w:gridCol w:w="6055"/>
            </w:tblGrid>
            <w:tr w:rsidR="00C45685" w:rsidRPr="00484EEC" w14:paraId="19FA8322" w14:textId="77777777" w:rsidTr="00D328FC">
              <w:tc>
                <w:tcPr>
                  <w:tcW w:w="870" w:type="dxa"/>
                  <w:tcBorders>
                    <w:top w:val="nil"/>
                    <w:left w:val="nil"/>
                    <w:bottom w:val="nil"/>
                    <w:right w:val="nil"/>
                  </w:tcBorders>
                </w:tcPr>
                <w:p w14:paraId="1B0EEA13" w14:textId="77777777" w:rsidR="00C45685" w:rsidRPr="00484EEC" w:rsidRDefault="00C45685" w:rsidP="00484EEC">
                  <w:r w:rsidRPr="00484EEC">
                    <w:t>6.(3)</w:t>
                  </w:r>
                </w:p>
              </w:tc>
              <w:tc>
                <w:tcPr>
                  <w:tcW w:w="6055" w:type="dxa"/>
                  <w:tcBorders>
                    <w:top w:val="nil"/>
                    <w:left w:val="nil"/>
                    <w:bottom w:val="nil"/>
                    <w:right w:val="nil"/>
                  </w:tcBorders>
                </w:tcPr>
                <w:p w14:paraId="2636A8E8" w14:textId="77777777" w:rsidR="00C45685" w:rsidRPr="00484EEC" w:rsidRDefault="00C45685" w:rsidP="00484EEC">
                  <w:r w:rsidRPr="00484EEC">
                    <w:t>The ONR shall not give an opinion in response to a request under paragraph (1) until it has consulted the licensee, the consultation bodies and such other bodies as appear to the ONR to be appropriate having regard to the circumstances of the case, but the ONR shall, subject to paragraph (2), respond to such request within 21 days of the end of the period allowed by the ONR for responding to such consultation.</w:t>
                  </w:r>
                </w:p>
              </w:tc>
            </w:tr>
            <w:tr w:rsidR="00C45685" w:rsidRPr="00484EEC" w14:paraId="05316385" w14:textId="77777777" w:rsidTr="00D328FC">
              <w:tc>
                <w:tcPr>
                  <w:tcW w:w="870" w:type="dxa"/>
                  <w:tcBorders>
                    <w:top w:val="nil"/>
                    <w:left w:val="nil"/>
                    <w:bottom w:val="nil"/>
                    <w:right w:val="nil"/>
                  </w:tcBorders>
                </w:tcPr>
                <w:p w14:paraId="3A856154" w14:textId="77777777" w:rsidR="00C45685" w:rsidRPr="00484EEC" w:rsidRDefault="00C45685" w:rsidP="00484EEC">
                  <w:r w:rsidRPr="00484EEC">
                    <w:t>6.(3A)</w:t>
                  </w:r>
                </w:p>
              </w:tc>
              <w:tc>
                <w:tcPr>
                  <w:tcW w:w="6055" w:type="dxa"/>
                  <w:tcBorders>
                    <w:top w:val="nil"/>
                    <w:left w:val="nil"/>
                    <w:bottom w:val="nil"/>
                    <w:right w:val="nil"/>
                  </w:tcBorders>
                </w:tcPr>
                <w:p w14:paraId="29F3B347" w14:textId="77777777" w:rsidR="00C45685" w:rsidRPr="00484EEC" w:rsidRDefault="00C45685" w:rsidP="00484EEC">
                  <w:r w:rsidRPr="00484EEC">
                    <w:t xml:space="preserve">The ONR shall not give an opinion in response to a request under paragraph (1) unless it has </w:t>
                  </w:r>
                  <w:proofErr w:type="gramStart"/>
                  <w:r w:rsidRPr="00484EEC">
                    <w:t>taken into account</w:t>
                  </w:r>
                  <w:proofErr w:type="gramEnd"/>
                  <w:r w:rsidRPr="00484EEC">
                    <w:t xml:space="preserve"> the information provided by the licensee, in particular on the specific characteristics of the project, including its location and technical capacity, and its likely impact on the environment.</w:t>
                  </w:r>
                </w:p>
              </w:tc>
            </w:tr>
          </w:tbl>
          <w:p w14:paraId="52C385AF" w14:textId="77777777" w:rsidR="00C45685" w:rsidRPr="00484EEC" w:rsidRDefault="00C45685" w:rsidP="00484EEC"/>
        </w:tc>
      </w:tr>
      <w:tr w:rsidR="00C45685" w:rsidRPr="00484EEC" w14:paraId="24051BAB" w14:textId="77777777" w:rsidTr="00484EEC">
        <w:tc>
          <w:tcPr>
            <w:tcW w:w="758" w:type="pct"/>
            <w:tcBorders>
              <w:top w:val="nil"/>
              <w:left w:val="nil"/>
              <w:bottom w:val="nil"/>
              <w:right w:val="nil"/>
            </w:tcBorders>
            <w:shd w:val="clear" w:color="auto" w:fill="008080"/>
          </w:tcPr>
          <w:p w14:paraId="5786E924" w14:textId="77777777" w:rsidR="00C45685" w:rsidRPr="00484EEC" w:rsidRDefault="00C45685" w:rsidP="00484EEC">
            <w:pPr>
              <w:rPr>
                <w:b/>
                <w:bCs/>
                <w:color w:val="FFFFFF" w:themeColor="background1"/>
                <w:sz w:val="22"/>
              </w:rPr>
            </w:pPr>
            <w:r w:rsidRPr="00484EEC">
              <w:rPr>
                <w:b/>
                <w:bCs/>
                <w:color w:val="FFFFFF" w:themeColor="background1"/>
                <w:sz w:val="22"/>
              </w:rPr>
              <w:t>Guidance</w:t>
            </w:r>
          </w:p>
        </w:tc>
        <w:tc>
          <w:tcPr>
            <w:tcW w:w="277" w:type="pct"/>
            <w:tcBorders>
              <w:top w:val="nil"/>
              <w:left w:val="nil"/>
              <w:bottom w:val="nil"/>
              <w:right w:val="nil"/>
            </w:tcBorders>
            <w:shd w:val="clear" w:color="auto" w:fill="008080"/>
          </w:tcPr>
          <w:p w14:paraId="6DAAEBDB" w14:textId="77777777" w:rsidR="00C45685" w:rsidRPr="00484EEC" w:rsidRDefault="00C45685" w:rsidP="00484EEC">
            <w:pPr>
              <w:rPr>
                <w:color w:val="FFFFFF" w:themeColor="background1"/>
                <w:sz w:val="22"/>
              </w:rPr>
            </w:pPr>
            <w:bookmarkStart w:id="114" w:name="_Toc82166964"/>
            <w:bookmarkStart w:id="115" w:name="_Toc117773689"/>
            <w:bookmarkStart w:id="116" w:name="_Toc117773987"/>
            <w:bookmarkStart w:id="117" w:name="_Toc117774107"/>
            <w:r w:rsidRPr="00484EEC">
              <w:rPr>
                <w:color w:val="FFFFFF" w:themeColor="background1"/>
                <w:sz w:val="22"/>
              </w:rPr>
              <w:t>6</w:t>
            </w:r>
            <w:bookmarkEnd w:id="114"/>
            <w:bookmarkEnd w:id="115"/>
            <w:bookmarkEnd w:id="116"/>
            <w:bookmarkEnd w:id="117"/>
          </w:p>
        </w:tc>
        <w:tc>
          <w:tcPr>
            <w:tcW w:w="3966" w:type="pct"/>
            <w:tcBorders>
              <w:top w:val="nil"/>
              <w:left w:val="nil"/>
              <w:bottom w:val="nil"/>
              <w:right w:val="nil"/>
            </w:tcBorders>
          </w:tcPr>
          <w:p w14:paraId="51273255" w14:textId="77777777" w:rsidR="00C45685" w:rsidRPr="00484EEC" w:rsidRDefault="00C45685" w:rsidP="00A01C3E">
            <w:pPr>
              <w:pStyle w:val="Regulationpara"/>
            </w:pPr>
            <w:r w:rsidRPr="00484EEC">
              <w:t xml:space="preserve">The normal consultation period on the submitted scoping report will be one month. The bodies consulted will normally be the same as those who will be consulted on the environmental statement (paragraph 56 of this guidance). ONR will publicise consultations on the pre-application opinion and deal with comments in the manner described in paragraph 57. ONR will inform the licensee of the bodies to be consulted. </w:t>
            </w:r>
          </w:p>
          <w:p w14:paraId="67C2D7CB" w14:textId="77777777" w:rsidR="00C45685" w:rsidRPr="00484EEC" w:rsidRDefault="00C45685" w:rsidP="00A01C3E">
            <w:pPr>
              <w:pStyle w:val="Regulationpara"/>
            </w:pPr>
            <w:r w:rsidRPr="00484EEC">
              <w:t>ONR will give a pre-application opinion based on the information provided by the licensee. ONR will post the pre-application opinion on its web site and make the consultees aware of its publication.</w:t>
            </w:r>
          </w:p>
          <w:p w14:paraId="38DD7CAF" w14:textId="77777777" w:rsidR="00C45685" w:rsidRPr="00484EEC" w:rsidRDefault="00C45685" w:rsidP="00A01C3E">
            <w:pPr>
              <w:pStyle w:val="Regulationpara"/>
            </w:pPr>
            <w:r w:rsidRPr="00484EEC">
              <w:t xml:space="preserve">ONR will manage consultation responses in accordance with the requirements of GDPR. </w:t>
            </w:r>
          </w:p>
        </w:tc>
      </w:tr>
      <w:tr w:rsidR="00C45685" w:rsidRPr="00484EEC" w14:paraId="6F9E8850" w14:textId="77777777" w:rsidTr="00484EEC">
        <w:tc>
          <w:tcPr>
            <w:tcW w:w="758" w:type="pct"/>
            <w:tcBorders>
              <w:top w:val="nil"/>
              <w:left w:val="nil"/>
              <w:bottom w:val="nil"/>
              <w:right w:val="nil"/>
            </w:tcBorders>
            <w:shd w:val="clear" w:color="auto" w:fill="FFFFFF" w:themeFill="background1"/>
          </w:tcPr>
          <w:p w14:paraId="73033DA5" w14:textId="77777777" w:rsidR="00C45685" w:rsidRPr="00484EEC" w:rsidRDefault="00C45685" w:rsidP="00484EEC">
            <w:pPr>
              <w:rPr>
                <w:b/>
                <w:bCs/>
                <w:sz w:val="22"/>
              </w:rPr>
            </w:pPr>
            <w:r w:rsidRPr="00484EEC">
              <w:rPr>
                <w:b/>
                <w:bCs/>
                <w:sz w:val="22"/>
              </w:rPr>
              <w:t>Regulation</w:t>
            </w:r>
          </w:p>
        </w:tc>
        <w:tc>
          <w:tcPr>
            <w:tcW w:w="277" w:type="pct"/>
            <w:tcBorders>
              <w:top w:val="nil"/>
              <w:left w:val="nil"/>
              <w:bottom w:val="nil"/>
              <w:right w:val="nil"/>
            </w:tcBorders>
            <w:shd w:val="clear" w:color="auto" w:fill="FFFFFF" w:themeFill="background1"/>
          </w:tcPr>
          <w:p w14:paraId="5E60CA91" w14:textId="77777777" w:rsidR="00C45685" w:rsidRPr="00484EEC" w:rsidRDefault="00C45685" w:rsidP="00484EEC">
            <w:pPr>
              <w:rPr>
                <w:sz w:val="22"/>
              </w:rPr>
            </w:pPr>
            <w:bookmarkStart w:id="118" w:name="_Toc82166965"/>
            <w:bookmarkStart w:id="119" w:name="_Toc117773690"/>
            <w:bookmarkStart w:id="120" w:name="_Toc117773988"/>
            <w:bookmarkStart w:id="121" w:name="_Toc117774108"/>
            <w:r w:rsidRPr="00484EEC">
              <w:rPr>
                <w:sz w:val="22"/>
              </w:rPr>
              <w:t>6</w:t>
            </w:r>
            <w:bookmarkEnd w:id="118"/>
            <w:bookmarkEnd w:id="119"/>
            <w:bookmarkEnd w:id="120"/>
            <w:bookmarkEnd w:id="121"/>
          </w:p>
        </w:tc>
        <w:tc>
          <w:tcPr>
            <w:tcW w:w="3966" w:type="pct"/>
            <w:tcBorders>
              <w:top w:val="nil"/>
              <w:left w:val="nil"/>
              <w:bottom w:val="nil"/>
              <w:right w:val="nil"/>
            </w:tcBorders>
            <w:shd w:val="clear" w:color="auto" w:fill="FFFFFF" w:themeFill="background1"/>
          </w:tcPr>
          <w:tbl>
            <w:tblPr>
              <w:tblStyle w:val="TableGrid"/>
              <w:tblW w:w="0" w:type="auto"/>
              <w:tblLook w:val="04A0" w:firstRow="1" w:lastRow="0" w:firstColumn="1" w:lastColumn="0" w:noHBand="0" w:noVBand="1"/>
            </w:tblPr>
            <w:tblGrid>
              <w:gridCol w:w="780"/>
              <w:gridCol w:w="6145"/>
            </w:tblGrid>
            <w:tr w:rsidR="00C45685" w:rsidRPr="00484EEC" w14:paraId="07853AB6" w14:textId="77777777" w:rsidTr="00D328FC">
              <w:tc>
                <w:tcPr>
                  <w:tcW w:w="780" w:type="dxa"/>
                  <w:tcBorders>
                    <w:top w:val="nil"/>
                    <w:left w:val="nil"/>
                    <w:bottom w:val="nil"/>
                    <w:right w:val="nil"/>
                  </w:tcBorders>
                </w:tcPr>
                <w:p w14:paraId="4247FE9B" w14:textId="77777777" w:rsidR="00C45685" w:rsidRPr="00484EEC" w:rsidRDefault="00C45685" w:rsidP="00484EEC">
                  <w:r w:rsidRPr="00484EEC">
                    <w:t>6.(4)</w:t>
                  </w:r>
                </w:p>
              </w:tc>
              <w:tc>
                <w:tcPr>
                  <w:tcW w:w="6145" w:type="dxa"/>
                  <w:tcBorders>
                    <w:top w:val="nil"/>
                    <w:left w:val="nil"/>
                    <w:bottom w:val="nil"/>
                    <w:right w:val="nil"/>
                  </w:tcBorders>
                </w:tcPr>
                <w:p w14:paraId="5EFF69A8" w14:textId="77777777" w:rsidR="00C45685" w:rsidRPr="00484EEC" w:rsidRDefault="00C45685" w:rsidP="00484EEC">
                  <w:r w:rsidRPr="00484EEC">
                    <w:t>An opinion given for the purposes of paragraph (1) shall not prevent the ONR subsequently requiring the licensee to submit further information.</w:t>
                  </w:r>
                </w:p>
              </w:tc>
            </w:tr>
          </w:tbl>
          <w:p w14:paraId="1D2A0214" w14:textId="77777777" w:rsidR="00C45685" w:rsidRPr="00484EEC" w:rsidRDefault="00C45685" w:rsidP="00484EEC"/>
        </w:tc>
      </w:tr>
      <w:tr w:rsidR="00C45685" w:rsidRPr="00484EEC" w14:paraId="28EDF363" w14:textId="77777777" w:rsidTr="00484EEC">
        <w:tc>
          <w:tcPr>
            <w:tcW w:w="758" w:type="pct"/>
            <w:tcBorders>
              <w:top w:val="nil"/>
              <w:left w:val="nil"/>
              <w:bottom w:val="nil"/>
              <w:right w:val="nil"/>
            </w:tcBorders>
            <w:shd w:val="clear" w:color="auto" w:fill="008080"/>
          </w:tcPr>
          <w:p w14:paraId="2FE0571B" w14:textId="77777777" w:rsidR="00C45685" w:rsidRPr="00484EEC" w:rsidRDefault="00C45685" w:rsidP="00484EEC">
            <w:pPr>
              <w:rPr>
                <w:b/>
                <w:bCs/>
                <w:color w:val="FFFFFF" w:themeColor="background1"/>
                <w:sz w:val="22"/>
              </w:rPr>
            </w:pPr>
            <w:r w:rsidRPr="00484EEC">
              <w:rPr>
                <w:b/>
                <w:bCs/>
                <w:color w:val="FFFFFF" w:themeColor="background1"/>
                <w:sz w:val="22"/>
              </w:rPr>
              <w:t>Guidance</w:t>
            </w:r>
          </w:p>
        </w:tc>
        <w:tc>
          <w:tcPr>
            <w:tcW w:w="277" w:type="pct"/>
            <w:tcBorders>
              <w:top w:val="nil"/>
              <w:left w:val="nil"/>
              <w:bottom w:val="nil"/>
              <w:right w:val="nil"/>
            </w:tcBorders>
            <w:shd w:val="clear" w:color="auto" w:fill="008080"/>
          </w:tcPr>
          <w:p w14:paraId="4C7A6BF8" w14:textId="77777777" w:rsidR="00C45685" w:rsidRPr="00484EEC" w:rsidRDefault="00C45685" w:rsidP="00484EEC">
            <w:pPr>
              <w:rPr>
                <w:color w:val="FFFFFF" w:themeColor="background1"/>
                <w:sz w:val="22"/>
              </w:rPr>
            </w:pPr>
            <w:bookmarkStart w:id="122" w:name="_Toc82166966"/>
            <w:bookmarkStart w:id="123" w:name="_Toc117773691"/>
            <w:bookmarkStart w:id="124" w:name="_Toc117773989"/>
            <w:bookmarkStart w:id="125" w:name="_Toc117774109"/>
            <w:r w:rsidRPr="00484EEC">
              <w:rPr>
                <w:color w:val="FFFFFF" w:themeColor="background1"/>
                <w:sz w:val="22"/>
              </w:rPr>
              <w:t>6</w:t>
            </w:r>
            <w:bookmarkEnd w:id="122"/>
            <w:bookmarkEnd w:id="123"/>
            <w:bookmarkEnd w:id="124"/>
            <w:bookmarkEnd w:id="125"/>
          </w:p>
        </w:tc>
        <w:tc>
          <w:tcPr>
            <w:tcW w:w="3966" w:type="pct"/>
            <w:tcBorders>
              <w:top w:val="nil"/>
              <w:left w:val="nil"/>
              <w:bottom w:val="nil"/>
              <w:right w:val="nil"/>
            </w:tcBorders>
          </w:tcPr>
          <w:p w14:paraId="0F8CD5AC" w14:textId="77777777" w:rsidR="00C45685" w:rsidRPr="00484EEC" w:rsidRDefault="00C45685" w:rsidP="00A01C3E">
            <w:pPr>
              <w:pStyle w:val="Regulationpara"/>
            </w:pPr>
            <w:r w:rsidRPr="00484EEC">
              <w:t>If, after issuing a pre-application opinion, ONR receives knowledge of potential effects on the environment that were not considered in the scoping report, it may ask for further information or evidence.</w:t>
            </w:r>
          </w:p>
        </w:tc>
      </w:tr>
    </w:tbl>
    <w:p w14:paraId="2310A05E" w14:textId="03997CDF" w:rsidR="0092209D" w:rsidRDefault="00C45685" w:rsidP="00A01C3E">
      <w:pPr>
        <w:pStyle w:val="Heading2"/>
      </w:pPr>
      <w:bookmarkStart w:id="126" w:name="_Toc124416324"/>
      <w:r>
        <w:lastRenderedPageBreak/>
        <w:t xml:space="preserve">Regulation </w:t>
      </w:r>
      <w:r w:rsidR="00CB4CCF">
        <w:t>7 Provision of Information to Licensee</w:t>
      </w:r>
      <w:bookmarkEnd w:id="12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497"/>
        <w:gridCol w:w="7165"/>
      </w:tblGrid>
      <w:tr w:rsidR="0055427D" w:rsidRPr="00A816D3" w14:paraId="460C87DF" w14:textId="77777777" w:rsidTr="00A816D3">
        <w:tc>
          <w:tcPr>
            <w:tcW w:w="752" w:type="pct"/>
          </w:tcPr>
          <w:p w14:paraId="5A3CC477" w14:textId="77777777" w:rsidR="0055427D" w:rsidRPr="00A816D3" w:rsidRDefault="0055427D" w:rsidP="00A816D3">
            <w:r w:rsidRPr="00A816D3">
              <w:t>Regulation</w:t>
            </w:r>
          </w:p>
        </w:tc>
        <w:tc>
          <w:tcPr>
            <w:tcW w:w="277" w:type="pct"/>
          </w:tcPr>
          <w:p w14:paraId="6849FBA5" w14:textId="77777777" w:rsidR="0055427D" w:rsidRPr="00A816D3" w:rsidRDefault="0055427D" w:rsidP="00A816D3">
            <w:pPr>
              <w:rPr>
                <w:szCs w:val="24"/>
              </w:rPr>
            </w:pPr>
            <w:bookmarkStart w:id="127" w:name="_Toc82166968"/>
            <w:bookmarkStart w:id="128" w:name="_Toc117773693"/>
            <w:bookmarkStart w:id="129" w:name="_Toc117773991"/>
            <w:bookmarkStart w:id="130" w:name="_Toc117774111"/>
            <w:r w:rsidRPr="00A816D3">
              <w:rPr>
                <w:szCs w:val="24"/>
              </w:rPr>
              <w:t>7</w:t>
            </w:r>
            <w:bookmarkEnd w:id="127"/>
            <w:bookmarkEnd w:id="128"/>
            <w:bookmarkEnd w:id="129"/>
            <w:bookmarkEnd w:id="130"/>
          </w:p>
        </w:tc>
        <w:tc>
          <w:tcPr>
            <w:tcW w:w="3971" w:type="pct"/>
          </w:tcPr>
          <w:tbl>
            <w:tblPr>
              <w:tblStyle w:val="TableGrid"/>
              <w:tblW w:w="0" w:type="auto"/>
              <w:tblLook w:val="04A0" w:firstRow="1" w:lastRow="0" w:firstColumn="1" w:lastColumn="0" w:noHBand="0" w:noVBand="1"/>
            </w:tblPr>
            <w:tblGrid>
              <w:gridCol w:w="686"/>
              <w:gridCol w:w="6239"/>
            </w:tblGrid>
            <w:tr w:rsidR="0055427D" w:rsidRPr="00A816D3" w14:paraId="52A17D88" w14:textId="77777777" w:rsidTr="00D328FC">
              <w:tc>
                <w:tcPr>
                  <w:tcW w:w="686" w:type="dxa"/>
                  <w:tcBorders>
                    <w:top w:val="nil"/>
                    <w:left w:val="nil"/>
                    <w:bottom w:val="nil"/>
                    <w:right w:val="nil"/>
                  </w:tcBorders>
                </w:tcPr>
                <w:p w14:paraId="7947D0CA" w14:textId="77777777" w:rsidR="0055427D" w:rsidRPr="00A816D3" w:rsidRDefault="0055427D" w:rsidP="00A816D3">
                  <w:r w:rsidRPr="00A816D3">
                    <w:t>7.</w:t>
                  </w:r>
                </w:p>
              </w:tc>
              <w:tc>
                <w:tcPr>
                  <w:tcW w:w="6239" w:type="dxa"/>
                  <w:tcBorders>
                    <w:top w:val="nil"/>
                    <w:left w:val="nil"/>
                    <w:bottom w:val="nil"/>
                    <w:right w:val="nil"/>
                  </w:tcBorders>
                </w:tcPr>
                <w:p w14:paraId="5321CC25" w14:textId="77777777" w:rsidR="0055427D" w:rsidRPr="00A816D3" w:rsidRDefault="0055427D" w:rsidP="00A816D3">
                  <w:r w:rsidRPr="00A816D3">
                    <w:t>The ONR and any other consultation body notified that a licensee has made or is proposing to make an application for consent under regulation 4(1)(a) shall, if requested by the licensee or may without such a request, enter into consultation with the licensee to determine whether the body has in its possession any information which the licensee or that body consider relevant to the preparation of an environmental statement and, if it has, the body shall make any such information available to the licensee.</w:t>
                  </w:r>
                </w:p>
              </w:tc>
            </w:tr>
          </w:tbl>
          <w:p w14:paraId="1859BF4C" w14:textId="77777777" w:rsidR="0055427D" w:rsidRPr="00A816D3" w:rsidRDefault="0055427D" w:rsidP="00A816D3"/>
        </w:tc>
      </w:tr>
      <w:tr w:rsidR="0055427D" w:rsidRPr="00A816D3" w14:paraId="76FDA08D" w14:textId="77777777" w:rsidTr="00A816D3">
        <w:tc>
          <w:tcPr>
            <w:tcW w:w="752" w:type="pct"/>
            <w:shd w:val="clear" w:color="auto" w:fill="008080"/>
          </w:tcPr>
          <w:p w14:paraId="69C557DE" w14:textId="77777777" w:rsidR="0055427D" w:rsidRPr="00A816D3" w:rsidRDefault="0055427D" w:rsidP="00A816D3">
            <w:pPr>
              <w:rPr>
                <w:color w:val="FFFFFF" w:themeColor="background1"/>
              </w:rPr>
            </w:pPr>
            <w:r w:rsidRPr="00A816D3">
              <w:rPr>
                <w:color w:val="FFFFFF" w:themeColor="background1"/>
              </w:rPr>
              <w:t>Guidance</w:t>
            </w:r>
          </w:p>
        </w:tc>
        <w:tc>
          <w:tcPr>
            <w:tcW w:w="277" w:type="pct"/>
            <w:shd w:val="clear" w:color="auto" w:fill="008080"/>
          </w:tcPr>
          <w:p w14:paraId="52C8C207" w14:textId="77777777" w:rsidR="0055427D" w:rsidRPr="00A816D3" w:rsidRDefault="0055427D" w:rsidP="00A816D3">
            <w:pPr>
              <w:rPr>
                <w:color w:val="FFFFFF" w:themeColor="background1"/>
                <w:szCs w:val="24"/>
              </w:rPr>
            </w:pPr>
            <w:bookmarkStart w:id="131" w:name="_Toc82166969"/>
            <w:bookmarkStart w:id="132" w:name="_Toc117773694"/>
            <w:bookmarkStart w:id="133" w:name="_Toc117773992"/>
            <w:bookmarkStart w:id="134" w:name="_Toc117774112"/>
            <w:r w:rsidRPr="00A816D3">
              <w:rPr>
                <w:color w:val="FFFFFF" w:themeColor="background1"/>
                <w:szCs w:val="24"/>
              </w:rPr>
              <w:t>7</w:t>
            </w:r>
            <w:bookmarkEnd w:id="131"/>
            <w:bookmarkEnd w:id="132"/>
            <w:bookmarkEnd w:id="133"/>
            <w:bookmarkEnd w:id="134"/>
          </w:p>
        </w:tc>
        <w:tc>
          <w:tcPr>
            <w:tcW w:w="3971" w:type="pct"/>
          </w:tcPr>
          <w:p w14:paraId="7AC87356" w14:textId="77777777" w:rsidR="0055427D" w:rsidRPr="00A816D3" w:rsidRDefault="0055427D" w:rsidP="00A01C3E">
            <w:pPr>
              <w:pStyle w:val="Regulationpara"/>
            </w:pPr>
            <w:r w:rsidRPr="00A816D3">
              <w:t>The consultation bodies are those listed in Regulation 2. ONR will consider all requests for information on an individual basis.</w:t>
            </w:r>
          </w:p>
        </w:tc>
      </w:tr>
    </w:tbl>
    <w:p w14:paraId="5CFE5450" w14:textId="1FCBDC8A" w:rsidR="0055427D" w:rsidRPr="00A01C3E" w:rsidRDefault="0055427D" w:rsidP="00A01C3E">
      <w:pPr>
        <w:pStyle w:val="Heading2"/>
      </w:pPr>
      <w:bookmarkStart w:id="135" w:name="_Toc124416325"/>
      <w:r w:rsidRPr="00A01C3E">
        <w:t>Regulation 8 Consultation by the ONR</w:t>
      </w:r>
      <w:bookmarkEnd w:id="13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500"/>
        <w:gridCol w:w="7158"/>
      </w:tblGrid>
      <w:tr w:rsidR="00442A7D" w:rsidRPr="00A816D3" w14:paraId="2A155BDE" w14:textId="77777777" w:rsidTr="00A816D3">
        <w:tc>
          <w:tcPr>
            <w:tcW w:w="758" w:type="pct"/>
          </w:tcPr>
          <w:p w14:paraId="0D514A43" w14:textId="77777777" w:rsidR="00442A7D" w:rsidRPr="00A816D3" w:rsidRDefault="00442A7D" w:rsidP="00A816D3">
            <w:r w:rsidRPr="00A816D3">
              <w:t>Regulation</w:t>
            </w:r>
          </w:p>
        </w:tc>
        <w:tc>
          <w:tcPr>
            <w:tcW w:w="277" w:type="pct"/>
          </w:tcPr>
          <w:p w14:paraId="029A9315" w14:textId="77777777" w:rsidR="00442A7D" w:rsidRPr="00A816D3" w:rsidRDefault="00442A7D" w:rsidP="00A816D3">
            <w:pPr>
              <w:rPr>
                <w:szCs w:val="24"/>
              </w:rPr>
            </w:pPr>
            <w:bookmarkStart w:id="136" w:name="_Toc82166971"/>
            <w:bookmarkStart w:id="137" w:name="_Toc117773696"/>
            <w:bookmarkStart w:id="138" w:name="_Toc117773994"/>
            <w:bookmarkStart w:id="139" w:name="_Toc117774114"/>
            <w:r w:rsidRPr="00A816D3">
              <w:rPr>
                <w:szCs w:val="24"/>
              </w:rPr>
              <w:t>8</w:t>
            </w:r>
            <w:bookmarkEnd w:id="136"/>
            <w:bookmarkEnd w:id="137"/>
            <w:bookmarkEnd w:id="138"/>
            <w:bookmarkEnd w:id="139"/>
          </w:p>
        </w:tc>
        <w:tc>
          <w:tcPr>
            <w:tcW w:w="3966" w:type="pct"/>
          </w:tcPr>
          <w:tbl>
            <w:tblPr>
              <w:tblStyle w:val="TableGrid"/>
              <w:tblW w:w="0" w:type="auto"/>
              <w:tblLook w:val="04A0" w:firstRow="1" w:lastRow="0" w:firstColumn="1" w:lastColumn="0" w:noHBand="0" w:noVBand="1"/>
            </w:tblPr>
            <w:tblGrid>
              <w:gridCol w:w="780"/>
              <w:gridCol w:w="6145"/>
            </w:tblGrid>
            <w:tr w:rsidR="00442A7D" w:rsidRPr="00A816D3" w14:paraId="2F75F3D5" w14:textId="77777777" w:rsidTr="00D328FC">
              <w:tc>
                <w:tcPr>
                  <w:tcW w:w="780" w:type="dxa"/>
                  <w:tcBorders>
                    <w:top w:val="nil"/>
                    <w:left w:val="nil"/>
                    <w:bottom w:val="nil"/>
                    <w:right w:val="nil"/>
                  </w:tcBorders>
                </w:tcPr>
                <w:p w14:paraId="7F093C94" w14:textId="77777777" w:rsidR="00442A7D" w:rsidRPr="00A816D3" w:rsidRDefault="00442A7D" w:rsidP="00A816D3">
                  <w:r w:rsidRPr="00A816D3">
                    <w:t>8.(1)</w:t>
                  </w:r>
                </w:p>
              </w:tc>
              <w:tc>
                <w:tcPr>
                  <w:tcW w:w="6145" w:type="dxa"/>
                  <w:tcBorders>
                    <w:top w:val="nil"/>
                    <w:left w:val="nil"/>
                    <w:bottom w:val="nil"/>
                    <w:right w:val="nil"/>
                  </w:tcBorders>
                </w:tcPr>
                <w:p w14:paraId="20660390" w14:textId="77777777" w:rsidR="00442A7D" w:rsidRPr="00A816D3" w:rsidRDefault="00442A7D" w:rsidP="00A816D3">
                  <w:r w:rsidRPr="00A816D3">
                    <w:t>Where the ONR receives in relation to a proposed project an application for a consent pursuant to regulation 4(1)(a) it shall –</w:t>
                  </w:r>
                </w:p>
                <w:p w14:paraId="04A37738" w14:textId="77777777" w:rsidR="00442A7D" w:rsidRPr="00A816D3" w:rsidRDefault="00442A7D" w:rsidP="00A816D3">
                  <w:r w:rsidRPr="00A816D3">
                    <w:t xml:space="preserve">within 21 days of the date of receipt of such application notify the consultation bodies in writing of the name and address of the licensee and of the duty imposed on them by regulation 7 to make information available to the </w:t>
                  </w:r>
                  <w:proofErr w:type="gramStart"/>
                  <w:r w:rsidRPr="00A816D3">
                    <w:t>licensee;</w:t>
                  </w:r>
                  <w:proofErr w:type="gramEnd"/>
                  <w:r w:rsidRPr="00A816D3">
                    <w:t xml:space="preserve"> and </w:t>
                  </w:r>
                </w:p>
                <w:p w14:paraId="0E2152E6" w14:textId="77777777" w:rsidR="00442A7D" w:rsidRPr="00A816D3" w:rsidRDefault="00442A7D" w:rsidP="00A816D3">
                  <w:r w:rsidRPr="00A816D3">
                    <w:t>inform the licensee of the names and addresses of the bodies notified under sub-paragraph (a) above.</w:t>
                  </w:r>
                </w:p>
              </w:tc>
            </w:tr>
            <w:tr w:rsidR="00442A7D" w:rsidRPr="00A816D3" w14:paraId="403FF05E" w14:textId="77777777" w:rsidTr="00D328FC">
              <w:tc>
                <w:tcPr>
                  <w:tcW w:w="780" w:type="dxa"/>
                  <w:tcBorders>
                    <w:top w:val="nil"/>
                    <w:left w:val="nil"/>
                    <w:bottom w:val="nil"/>
                    <w:right w:val="nil"/>
                  </w:tcBorders>
                </w:tcPr>
                <w:p w14:paraId="5B1807A5" w14:textId="77777777" w:rsidR="00442A7D" w:rsidRPr="00A816D3" w:rsidRDefault="00442A7D" w:rsidP="00A816D3">
                  <w:r w:rsidRPr="00A816D3">
                    <w:t>8.(2)</w:t>
                  </w:r>
                </w:p>
              </w:tc>
              <w:tc>
                <w:tcPr>
                  <w:tcW w:w="6145" w:type="dxa"/>
                  <w:tcBorders>
                    <w:top w:val="nil"/>
                    <w:left w:val="nil"/>
                    <w:bottom w:val="nil"/>
                    <w:right w:val="nil"/>
                  </w:tcBorders>
                </w:tcPr>
                <w:p w14:paraId="43EA39E8" w14:textId="77777777" w:rsidR="00442A7D" w:rsidRPr="00A816D3" w:rsidRDefault="00442A7D" w:rsidP="00A816D3">
                  <w:r w:rsidRPr="00A816D3">
                    <w:t>Where the ONR is provided with an environmental statement pursuant to regulation 5 it shall –</w:t>
                  </w:r>
                </w:p>
                <w:p w14:paraId="0BBC4184" w14:textId="77777777" w:rsidR="00442A7D" w:rsidRPr="00A816D3" w:rsidRDefault="00442A7D" w:rsidP="00A816D3">
                  <w:r w:rsidRPr="00A816D3">
                    <w:t xml:space="preserve">consult the consultation bodies as to the information contained in that statement and for that purpose shall within 21 days of the date of receipt of such statement provide to them the information contained in that </w:t>
                  </w:r>
                  <w:proofErr w:type="gramStart"/>
                  <w:r w:rsidRPr="00A816D3">
                    <w:t>statement;</w:t>
                  </w:r>
                  <w:proofErr w:type="gramEnd"/>
                </w:p>
                <w:p w14:paraId="502A1C53" w14:textId="77777777" w:rsidR="00442A7D" w:rsidRPr="00A816D3" w:rsidRDefault="00442A7D" w:rsidP="00A816D3">
                  <w:r w:rsidRPr="00A816D3">
                    <w:t xml:space="preserve">require any body consulted under sub-paragraph (a) to respond to the ONR within such reasonable time as the ONR may </w:t>
                  </w:r>
                  <w:proofErr w:type="gramStart"/>
                  <w:r w:rsidRPr="00A816D3">
                    <w:t>specify;</w:t>
                  </w:r>
                  <w:proofErr w:type="gramEnd"/>
                  <w:r w:rsidRPr="00A816D3">
                    <w:t xml:space="preserve"> </w:t>
                  </w:r>
                </w:p>
                <w:p w14:paraId="7A8D7EE8" w14:textId="77777777" w:rsidR="00442A7D" w:rsidRPr="00A816D3" w:rsidRDefault="00442A7D" w:rsidP="00A816D3">
                  <w:r w:rsidRPr="00A816D3">
                    <w:t xml:space="preserve">send a copy of the environmental statement to the Secretary of State stating </w:t>
                  </w:r>
                  <w:proofErr w:type="gramStart"/>
                  <w:r w:rsidRPr="00A816D3">
                    <w:t>whether or not</w:t>
                  </w:r>
                  <w:proofErr w:type="gramEnd"/>
                  <w:r w:rsidRPr="00A816D3">
                    <w:t xml:space="preserve"> in the opinion of the ONR the project to which the environmental </w:t>
                  </w:r>
                  <w:r w:rsidRPr="00A816D3">
                    <w:lastRenderedPageBreak/>
                    <w:t>statement relates is likely to have significant effects on the environment in another EEA State; and</w:t>
                  </w:r>
                </w:p>
                <w:p w14:paraId="214A738F" w14:textId="77777777" w:rsidR="00442A7D" w:rsidRPr="00A816D3" w:rsidRDefault="00442A7D" w:rsidP="00A816D3">
                  <w:r w:rsidRPr="00A816D3">
                    <w:t xml:space="preserve">shall inform any </w:t>
                  </w:r>
                  <w:proofErr w:type="gramStart"/>
                  <w:r w:rsidRPr="00A816D3">
                    <w:t>particular person</w:t>
                  </w:r>
                  <w:proofErr w:type="gramEnd"/>
                  <w:r w:rsidRPr="00A816D3">
                    <w:t xml:space="preserve"> who they are aware is or is likely to be affected by, or has an interest in, the application, who is unlikely to become aware of it by means of a local advertisement, by sending them a notice that contains those details set out in regulation 9(2) (j) and (l).</w:t>
                  </w:r>
                </w:p>
              </w:tc>
            </w:tr>
          </w:tbl>
          <w:p w14:paraId="6FF5218F" w14:textId="77777777" w:rsidR="00442A7D" w:rsidRPr="00A816D3" w:rsidRDefault="00442A7D" w:rsidP="00A816D3"/>
        </w:tc>
      </w:tr>
      <w:tr w:rsidR="00442A7D" w:rsidRPr="00A816D3" w14:paraId="309CE334" w14:textId="77777777" w:rsidTr="00A816D3">
        <w:tc>
          <w:tcPr>
            <w:tcW w:w="758" w:type="pct"/>
            <w:shd w:val="clear" w:color="auto" w:fill="008080"/>
          </w:tcPr>
          <w:p w14:paraId="1072234D" w14:textId="77777777" w:rsidR="00442A7D" w:rsidRPr="00A816D3" w:rsidRDefault="00442A7D" w:rsidP="00B65383">
            <w:r w:rsidRPr="00B65383">
              <w:rPr>
                <w:color w:val="FFFFFF" w:themeColor="background1"/>
              </w:rPr>
              <w:lastRenderedPageBreak/>
              <w:t>Guidance</w:t>
            </w:r>
          </w:p>
        </w:tc>
        <w:tc>
          <w:tcPr>
            <w:tcW w:w="277" w:type="pct"/>
            <w:shd w:val="clear" w:color="auto" w:fill="008080"/>
          </w:tcPr>
          <w:p w14:paraId="05C0F7AD" w14:textId="77777777" w:rsidR="00442A7D" w:rsidRPr="00A816D3" w:rsidRDefault="00442A7D" w:rsidP="00B65383">
            <w:bookmarkStart w:id="140" w:name="_Toc82166972"/>
            <w:bookmarkStart w:id="141" w:name="_Toc117773697"/>
            <w:bookmarkStart w:id="142" w:name="_Toc117773995"/>
            <w:bookmarkStart w:id="143" w:name="_Toc117774115"/>
            <w:r w:rsidRPr="00B65383">
              <w:rPr>
                <w:color w:val="FFFFFF" w:themeColor="background1"/>
              </w:rPr>
              <w:t>8</w:t>
            </w:r>
            <w:bookmarkEnd w:id="140"/>
            <w:bookmarkEnd w:id="141"/>
            <w:bookmarkEnd w:id="142"/>
            <w:bookmarkEnd w:id="143"/>
          </w:p>
        </w:tc>
        <w:tc>
          <w:tcPr>
            <w:tcW w:w="3966" w:type="pct"/>
          </w:tcPr>
          <w:p w14:paraId="56EA4BE3" w14:textId="77777777" w:rsidR="00442A7D" w:rsidRPr="00A816D3" w:rsidRDefault="00442A7D" w:rsidP="00A01C3E">
            <w:pPr>
              <w:pStyle w:val="Regulationpara"/>
            </w:pPr>
            <w:r w:rsidRPr="00A816D3">
              <w:t>The normal consultation period on the application for consent from the licensee to carry out a decommissioning project (and accompanying environmental statement) will be three months.</w:t>
            </w:r>
          </w:p>
          <w:p w14:paraId="756E2B76" w14:textId="77777777" w:rsidR="00442A7D" w:rsidRPr="00A816D3" w:rsidRDefault="00442A7D" w:rsidP="00A01C3E">
            <w:pPr>
              <w:pStyle w:val="Regulationpara"/>
            </w:pPr>
            <w:r w:rsidRPr="00A816D3">
              <w:t>In addition to the consultation bodies listed in Regulation 2, ONR may consult other bodies it considers appropriate, other bodies nominated by consultees, and other persons who ask to be involved in the consultation process. Examples of bodies that ONR may consult include:</w:t>
            </w:r>
          </w:p>
          <w:p w14:paraId="1E865291" w14:textId="77777777" w:rsidR="00442A7D" w:rsidRPr="00A816D3" w:rsidRDefault="00442A7D" w:rsidP="00DE19A2">
            <w:pPr>
              <w:pStyle w:val="Bulletlist1"/>
              <w:ind w:left="697" w:hanging="357"/>
            </w:pPr>
            <w:r w:rsidRPr="00A816D3">
              <w:t>government departments;</w:t>
            </w:r>
          </w:p>
          <w:p w14:paraId="221A5287" w14:textId="77777777" w:rsidR="00442A7D" w:rsidRPr="00A816D3" w:rsidRDefault="00442A7D" w:rsidP="00DE19A2">
            <w:pPr>
              <w:pStyle w:val="Bulletlist1"/>
              <w:ind w:left="697" w:hanging="357"/>
            </w:pPr>
            <w:r w:rsidRPr="00A816D3">
              <w:t>the devolved administrations;</w:t>
            </w:r>
          </w:p>
          <w:p w14:paraId="66DCD451" w14:textId="39FD33C2" w:rsidR="00442A7D" w:rsidRPr="00A816D3" w:rsidRDefault="00442A7D" w:rsidP="00DE19A2">
            <w:pPr>
              <w:pStyle w:val="Bulletlist1"/>
              <w:ind w:left="697" w:hanging="357"/>
            </w:pPr>
            <w:r w:rsidRPr="00A816D3">
              <w:t>agencies and bodies (such as the Department for</w:t>
            </w:r>
            <w:r w:rsidR="00B563FD">
              <w:t xml:space="preserve"> Energy Security and Net Zero</w:t>
            </w:r>
            <w:r w:rsidR="00541149">
              <w:t>;</w:t>
            </w:r>
            <w:r w:rsidRPr="00A816D3">
              <w:t xml:space="preserve"> Food Standards Agency and Public Health England);</w:t>
            </w:r>
          </w:p>
          <w:p w14:paraId="40CA0802" w14:textId="77777777" w:rsidR="00442A7D" w:rsidRPr="00A816D3" w:rsidRDefault="00442A7D" w:rsidP="00DE19A2">
            <w:pPr>
              <w:pStyle w:val="Bulletlist1"/>
              <w:ind w:left="697" w:hanging="357"/>
            </w:pPr>
            <w:r w:rsidRPr="00A816D3">
              <w:t>national organisations (such as the Nuclear Free Local Authorities);</w:t>
            </w:r>
          </w:p>
          <w:p w14:paraId="21A213BD" w14:textId="77777777" w:rsidR="00442A7D" w:rsidRPr="00A816D3" w:rsidRDefault="00442A7D" w:rsidP="00DE19A2">
            <w:pPr>
              <w:pStyle w:val="Bulletlist1"/>
              <w:ind w:left="697" w:hanging="357"/>
            </w:pPr>
            <w:r w:rsidRPr="00A816D3">
              <w:t>local groups</w:t>
            </w:r>
          </w:p>
          <w:p w14:paraId="61DBF96C" w14:textId="77777777" w:rsidR="00442A7D" w:rsidRPr="00A816D3" w:rsidRDefault="00442A7D" w:rsidP="00D328FC">
            <w:pPr>
              <w:ind w:left="502"/>
            </w:pPr>
            <w:r w:rsidRPr="00A816D3">
              <w:t xml:space="preserve">ONR will send a copy of the environmental statement and non-technical summary to each of the statutory consultation bodies and other consultees. </w:t>
            </w:r>
          </w:p>
          <w:p w14:paraId="4EFC942D" w14:textId="77777777" w:rsidR="00442A7D" w:rsidRPr="00A816D3" w:rsidRDefault="00442A7D" w:rsidP="00A01C3E">
            <w:pPr>
              <w:pStyle w:val="Regulationpara"/>
            </w:pPr>
            <w:r w:rsidRPr="00A816D3">
              <w:t xml:space="preserve">ONR will post details of the consultation on its web site. ONR will manage consultation responses and the details of the consultees in accordance with the requirements of GDPR. Consultees who comment on the environmental statement will be asked whether they are content for their comments to be made available to the public, the </w:t>
            </w:r>
            <w:proofErr w:type="gramStart"/>
            <w:r w:rsidRPr="00A816D3">
              <w:t>licensee</w:t>
            </w:r>
            <w:proofErr w:type="gramEnd"/>
            <w:r w:rsidRPr="00A816D3">
              <w:t xml:space="preserve"> and any other relevant bodies. When consultees are content for this to happen, their responses will be made publicly available via the ONR’s website (at the end of the consultation). The licensee is provided with copies of </w:t>
            </w:r>
            <w:r w:rsidRPr="00A816D3">
              <w:lastRenderedPageBreak/>
              <w:t>responses upon receipt (when consultees have consented).</w:t>
            </w:r>
          </w:p>
          <w:p w14:paraId="4ACD6A6C" w14:textId="77777777" w:rsidR="00442A7D" w:rsidRPr="00A816D3" w:rsidRDefault="00442A7D" w:rsidP="00F25C88">
            <w:pPr>
              <w:pStyle w:val="Regulationpara"/>
            </w:pPr>
            <w:r w:rsidRPr="00A816D3">
              <w:t xml:space="preserve">ONR will also reflect consultee responses in its assessment report for the EIADR consent; where the consultees have not consented to their response being made publicly available, their responses will be reflected in such a way so that the consultee cannot be identified. </w:t>
            </w:r>
          </w:p>
          <w:p w14:paraId="4578968A" w14:textId="77777777" w:rsidR="00442A7D" w:rsidRPr="00A816D3" w:rsidRDefault="00442A7D" w:rsidP="00F25C88">
            <w:pPr>
              <w:pStyle w:val="Regulationpara"/>
            </w:pPr>
            <w:r w:rsidRPr="00A816D3">
              <w:t>Early in the consultation process, ONR will review the environmental statement and make an initial assessment regarding the likelihood of the decommissioning project having a significant effect on the environment of another EEA state.</w:t>
            </w:r>
          </w:p>
          <w:p w14:paraId="3E33F5CA" w14:textId="77777777" w:rsidR="00442A7D" w:rsidRPr="00A816D3" w:rsidRDefault="00442A7D" w:rsidP="00F25C88">
            <w:pPr>
              <w:pStyle w:val="Regulationpara"/>
            </w:pPr>
            <w:r w:rsidRPr="00A816D3">
              <w:t>ONR will inform the SoS of this initial decision. If the results of the consultation on the environmental statement cause ONR to change its opinion, ONR will inform the SoS accordingly. If during the consultation on the environmental statement, the government of another EEA state informs ONR that it believes the decommissioning project is likely to have a significant effect on its environment, then ONR will inform the SoS of this representation.</w:t>
            </w:r>
          </w:p>
          <w:p w14:paraId="6A690F10" w14:textId="77777777" w:rsidR="00442A7D" w:rsidRPr="00A816D3" w:rsidRDefault="00442A7D" w:rsidP="00F25C88">
            <w:pPr>
              <w:pStyle w:val="Regulationpara"/>
            </w:pPr>
            <w:r w:rsidRPr="00A816D3">
              <w:t>If another EEA state has been consulted in accordance with regulation 12, ONR will take account of any responses received, and may seek the views of the appropriate statutory consultees in the UK, before reaching its final decision on whether to grant consent for the decommissioning project.</w:t>
            </w:r>
          </w:p>
          <w:p w14:paraId="5B73B9FE" w14:textId="2C16D0C6" w:rsidR="00442A7D" w:rsidRPr="00A816D3" w:rsidRDefault="00442A7D" w:rsidP="00F25C88">
            <w:pPr>
              <w:pStyle w:val="Regulationpara"/>
            </w:pPr>
            <w:r w:rsidRPr="00A816D3">
              <w:t xml:space="preserve">If a decision is taken to grant consent for a decommissioning project, ONR may attach conditions to that consent. Such conditions may require, for example, the licensee to prepare and implement an environmental management plan that identifies mitigation measures, describes the implementation and effectiveness of mitigation measures, and describes changes to mitigation measures and reasons for changes </w:t>
            </w:r>
            <w:proofErr w:type="gramStart"/>
            <w:r w:rsidRPr="00A816D3">
              <w:t>in light of</w:t>
            </w:r>
            <w:proofErr w:type="gramEnd"/>
            <w:r w:rsidRPr="00A816D3">
              <w:t xml:space="preserve"> experience. The licensee must send a copy of the environmental management plan and its subsequent revisions to ONR </w:t>
            </w:r>
            <w:proofErr w:type="gramStart"/>
            <w:r w:rsidRPr="00A816D3">
              <w:t>and also</w:t>
            </w:r>
            <w:proofErr w:type="gramEnd"/>
            <w:r w:rsidRPr="00A816D3">
              <w:t xml:space="preserve"> make it available to the public. ONR must also be notified in advance of any significant changes to mitigation measures to prevent, reduce and where possible offset any major adverse effects on the environment. Regulation 16 of EIADR provides ONR with sufficient powers under </w:t>
            </w:r>
            <w:r w:rsidRPr="00A816D3">
              <w:lastRenderedPageBreak/>
              <w:t>the Health and Safety at Work (etc) Act 1974</w:t>
            </w:r>
            <w:r w:rsidR="00F56453">
              <w:t xml:space="preserve"> </w:t>
            </w:r>
            <w:sdt>
              <w:sdtPr>
                <w:id w:val="-799379214"/>
                <w:citation/>
              </w:sdtPr>
              <w:sdtEndPr/>
              <w:sdtContent>
                <w:r w:rsidR="005D0515">
                  <w:fldChar w:fldCharType="begin"/>
                </w:r>
                <w:r w:rsidR="005D0515">
                  <w:instrText xml:space="preserve"> CITATION HMG74 \l 2057 </w:instrText>
                </w:r>
                <w:r w:rsidR="005D0515">
                  <w:fldChar w:fldCharType="separate"/>
                </w:r>
                <w:r w:rsidR="000416A5" w:rsidRPr="000416A5">
                  <w:rPr>
                    <w:noProof/>
                  </w:rPr>
                  <w:t>[7]</w:t>
                </w:r>
                <w:r w:rsidR="005D0515">
                  <w:fldChar w:fldCharType="end"/>
                </w:r>
              </w:sdtContent>
            </w:sdt>
            <w:r w:rsidRPr="00A816D3">
              <w:t>to effectively enforce these conditions.</w:t>
            </w:r>
          </w:p>
          <w:p w14:paraId="01B335AC" w14:textId="29F721FF" w:rsidR="00442A7D" w:rsidRPr="00A816D3" w:rsidRDefault="00442A7D" w:rsidP="00F25C88">
            <w:pPr>
              <w:pStyle w:val="Regulationpara"/>
            </w:pPr>
            <w:r w:rsidRPr="00A816D3">
              <w:t xml:space="preserve">The environmental management plan is usually submitted annually, however the licensee may request to submit less </w:t>
            </w:r>
            <w:r w:rsidR="00F25C88" w:rsidRPr="00A816D3">
              <w:t>frequently,</w:t>
            </w:r>
            <w:r w:rsidRPr="00A816D3">
              <w:t xml:space="preserve"> if necessary, for example where the site is in the Care and Maintenance (C&amp;M) Phase and no decommissioning activity is being carried out on the site. </w:t>
            </w:r>
          </w:p>
          <w:p w14:paraId="531EA647" w14:textId="149C42E4" w:rsidR="00442A7D" w:rsidRPr="00A816D3" w:rsidRDefault="00442A7D" w:rsidP="00F25C88">
            <w:pPr>
              <w:pStyle w:val="Regulationpara"/>
            </w:pPr>
            <w:r w:rsidRPr="00A816D3">
              <w:t xml:space="preserve">A copy of the environmental management plan would be made publicly available via the ONR’s </w:t>
            </w:r>
            <w:r w:rsidR="00F25C88" w:rsidRPr="00A816D3">
              <w:t>website,</w:t>
            </w:r>
            <w:r w:rsidRPr="00A816D3">
              <w:t xml:space="preserve"> and the plan would be replaced by subsequent revisions as these are provided. A condition requiring an environmental management plan should give the public confidence that the licensee will continue to look after the environment after the consent is granted and is in line with the general approach of the regulations for openness and transparency.</w:t>
            </w:r>
          </w:p>
          <w:p w14:paraId="59DDE4BC" w14:textId="77777777" w:rsidR="00442A7D" w:rsidRPr="00A816D3" w:rsidRDefault="00442A7D" w:rsidP="00F25C88">
            <w:pPr>
              <w:pStyle w:val="Regulationpara"/>
            </w:pPr>
            <w:r w:rsidRPr="00A816D3">
              <w:t>Conditions additional to the example described above may be attached to the consent if ONR is of the opinion that this is necessary or desirable in the interests of limiting the impact of the project on the environment.</w:t>
            </w:r>
          </w:p>
        </w:tc>
      </w:tr>
    </w:tbl>
    <w:p w14:paraId="76F857F6" w14:textId="295BF04F" w:rsidR="00442A7D" w:rsidRDefault="00442A7D" w:rsidP="00A01C3E">
      <w:pPr>
        <w:pStyle w:val="Heading2"/>
      </w:pPr>
      <w:bookmarkStart w:id="144" w:name="_Toc124416326"/>
      <w:r>
        <w:lastRenderedPageBreak/>
        <w:t>Regulation 9 Publicity</w:t>
      </w:r>
      <w:bookmarkEnd w:id="14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504"/>
        <w:gridCol w:w="7131"/>
      </w:tblGrid>
      <w:tr w:rsidR="00BE592A" w:rsidRPr="00F25C88" w14:paraId="4586631A" w14:textId="77777777" w:rsidTr="00F25C88">
        <w:tc>
          <w:tcPr>
            <w:tcW w:w="771" w:type="pct"/>
          </w:tcPr>
          <w:p w14:paraId="5716A470" w14:textId="77777777" w:rsidR="00BE592A" w:rsidRPr="00F25C88" w:rsidRDefault="00BE592A" w:rsidP="00F25C88">
            <w:r w:rsidRPr="00F25C88">
              <w:t>Regulation</w:t>
            </w:r>
          </w:p>
        </w:tc>
        <w:tc>
          <w:tcPr>
            <w:tcW w:w="279" w:type="pct"/>
          </w:tcPr>
          <w:p w14:paraId="1AAF539A" w14:textId="77777777" w:rsidR="00BE592A" w:rsidRPr="00F25C88" w:rsidRDefault="00BE592A" w:rsidP="00F25C88">
            <w:pPr>
              <w:rPr>
                <w:szCs w:val="24"/>
              </w:rPr>
            </w:pPr>
            <w:bookmarkStart w:id="145" w:name="_Toc82166974"/>
            <w:bookmarkStart w:id="146" w:name="_Toc117773699"/>
            <w:bookmarkStart w:id="147" w:name="_Toc117773997"/>
            <w:bookmarkStart w:id="148" w:name="_Toc117774117"/>
            <w:r w:rsidRPr="00F25C88">
              <w:rPr>
                <w:szCs w:val="24"/>
              </w:rPr>
              <w:t>9</w:t>
            </w:r>
            <w:bookmarkEnd w:id="145"/>
            <w:bookmarkEnd w:id="146"/>
            <w:bookmarkEnd w:id="147"/>
            <w:bookmarkEnd w:id="148"/>
          </w:p>
        </w:tc>
        <w:tc>
          <w:tcPr>
            <w:tcW w:w="3950"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
              <w:gridCol w:w="6136"/>
            </w:tblGrid>
            <w:tr w:rsidR="00BE592A" w:rsidRPr="00F25C88" w14:paraId="4F5BFBB0" w14:textId="77777777" w:rsidTr="00D328FC">
              <w:tc>
                <w:tcPr>
                  <w:tcW w:w="779" w:type="dxa"/>
                </w:tcPr>
                <w:p w14:paraId="5326F889" w14:textId="77777777" w:rsidR="00BE592A" w:rsidRPr="00F25C88" w:rsidRDefault="00BE592A" w:rsidP="00F25C88">
                  <w:r w:rsidRPr="00F25C88">
                    <w:t>9.(1)</w:t>
                  </w:r>
                </w:p>
              </w:tc>
              <w:tc>
                <w:tcPr>
                  <w:tcW w:w="6146" w:type="dxa"/>
                </w:tcPr>
                <w:p w14:paraId="19198573" w14:textId="77777777" w:rsidR="00BE592A" w:rsidRPr="00F25C88" w:rsidRDefault="00BE592A" w:rsidP="00F25C88">
                  <w:r w:rsidRPr="00F25C88">
                    <w:t>Within 7 days of providing the ONR with an environmental statement pursuant to regulation 5, the licensee must provide the ONR with—</w:t>
                  </w:r>
                </w:p>
                <w:p w14:paraId="032152EA" w14:textId="25F3FECA" w:rsidR="00BE592A" w:rsidRPr="00F25C88" w:rsidRDefault="00BE592A" w:rsidP="00DE19A2">
                  <w:pPr>
                    <w:pStyle w:val="ListParagraph"/>
                    <w:numPr>
                      <w:ilvl w:val="0"/>
                      <w:numId w:val="113"/>
                    </w:numPr>
                  </w:pPr>
                  <w:r w:rsidRPr="00F25C88">
                    <w:t>a publicity notice (see paragraph (2)); and</w:t>
                  </w:r>
                </w:p>
                <w:p w14:paraId="30768F16" w14:textId="142AF0DD" w:rsidR="00BE592A" w:rsidRPr="00F25C88" w:rsidRDefault="00BE592A" w:rsidP="00DE19A2">
                  <w:pPr>
                    <w:pStyle w:val="ListParagraph"/>
                    <w:numPr>
                      <w:ilvl w:val="0"/>
                      <w:numId w:val="113"/>
                    </w:numPr>
                  </w:pPr>
                  <w:r w:rsidRPr="00F25C88">
                    <w:t>a statement setting out the newspaper publication date (see paragraph (3)).</w:t>
                  </w:r>
                </w:p>
              </w:tc>
            </w:tr>
            <w:tr w:rsidR="00BE592A" w:rsidRPr="00F25C88" w14:paraId="4412A3A0" w14:textId="77777777" w:rsidTr="00D328FC">
              <w:tc>
                <w:tcPr>
                  <w:tcW w:w="779" w:type="dxa"/>
                </w:tcPr>
                <w:p w14:paraId="16D35E5D" w14:textId="77777777" w:rsidR="00BE592A" w:rsidRPr="00F25C88" w:rsidRDefault="00BE592A" w:rsidP="00F25C88">
                  <w:r w:rsidRPr="00F25C88">
                    <w:t>9.(2)</w:t>
                  </w:r>
                </w:p>
              </w:tc>
              <w:tc>
                <w:tcPr>
                  <w:tcW w:w="6146" w:type="dxa"/>
                </w:tcPr>
                <w:p w14:paraId="45D7DDF1" w14:textId="77777777" w:rsidR="00BE592A" w:rsidRPr="00F25C88" w:rsidRDefault="00BE592A" w:rsidP="00F25C88">
                  <w:r w:rsidRPr="00F25C88">
                    <w:t>A publicity notice is a notice setting out –</w:t>
                  </w:r>
                </w:p>
                <w:p w14:paraId="056A3D52" w14:textId="3C9C8C8F" w:rsidR="00BE592A" w:rsidRPr="00F25C88" w:rsidRDefault="00BE592A" w:rsidP="00DE19A2">
                  <w:pPr>
                    <w:pStyle w:val="ListParagraph"/>
                    <w:numPr>
                      <w:ilvl w:val="0"/>
                      <w:numId w:val="114"/>
                    </w:numPr>
                  </w:pPr>
                  <w:r w:rsidRPr="00F25C88">
                    <w:t xml:space="preserve">the name and address of the licensee and that the licensee is the applicant in respect of a consent for a </w:t>
                  </w:r>
                  <w:proofErr w:type="gramStart"/>
                  <w:r w:rsidRPr="00F25C88">
                    <w:t>project;</w:t>
                  </w:r>
                  <w:proofErr w:type="gramEnd"/>
                </w:p>
                <w:p w14:paraId="57BF334D" w14:textId="54EC9B46" w:rsidR="00BE592A" w:rsidRPr="00F25C88" w:rsidRDefault="00BE592A" w:rsidP="00DE19A2">
                  <w:pPr>
                    <w:pStyle w:val="ListParagraph"/>
                    <w:numPr>
                      <w:ilvl w:val="0"/>
                      <w:numId w:val="114"/>
                    </w:numPr>
                  </w:pPr>
                  <w:r w:rsidRPr="00F25C88">
                    <w:t xml:space="preserve">the date on which the application was </w:t>
                  </w:r>
                  <w:proofErr w:type="gramStart"/>
                  <w:r w:rsidRPr="00F25C88">
                    <w:t>made;</w:t>
                  </w:r>
                  <w:proofErr w:type="gramEnd"/>
                </w:p>
                <w:p w14:paraId="5D1FF9DF" w14:textId="51C9239A" w:rsidR="00BE592A" w:rsidRPr="00F25C88" w:rsidRDefault="00BE592A" w:rsidP="00DE19A2">
                  <w:pPr>
                    <w:pStyle w:val="ListParagraph"/>
                    <w:numPr>
                      <w:ilvl w:val="0"/>
                      <w:numId w:val="114"/>
                    </w:numPr>
                  </w:pPr>
                  <w:r w:rsidRPr="00F25C88">
                    <w:t xml:space="preserve">the address or location of the site at which the proposed project is to be carried </w:t>
                  </w:r>
                  <w:proofErr w:type="gramStart"/>
                  <w:r w:rsidRPr="00F25C88">
                    <w:t>out;</w:t>
                  </w:r>
                  <w:proofErr w:type="gramEnd"/>
                </w:p>
                <w:p w14:paraId="2EC1C53E" w14:textId="6C38AADD" w:rsidR="00BE592A" w:rsidRPr="00F25C88" w:rsidRDefault="00BE592A" w:rsidP="00DE19A2">
                  <w:pPr>
                    <w:pStyle w:val="ListParagraph"/>
                    <w:numPr>
                      <w:ilvl w:val="0"/>
                      <w:numId w:val="114"/>
                    </w:numPr>
                  </w:pPr>
                  <w:r w:rsidRPr="00F25C88">
                    <w:t>the publicity period (see paragraph (4)</w:t>
                  </w:r>
                  <w:proofErr w:type="gramStart"/>
                  <w:r w:rsidRPr="00F25C88">
                    <w:t>);</w:t>
                  </w:r>
                  <w:proofErr w:type="gramEnd"/>
                </w:p>
                <w:p w14:paraId="5AB89E35" w14:textId="28887B83" w:rsidR="00BE592A" w:rsidRPr="00F25C88" w:rsidRDefault="00BE592A" w:rsidP="00DE19A2">
                  <w:pPr>
                    <w:pStyle w:val="ListParagraph"/>
                    <w:numPr>
                      <w:ilvl w:val="0"/>
                      <w:numId w:val="114"/>
                    </w:numPr>
                  </w:pPr>
                  <w:r w:rsidRPr="00F25C88">
                    <w:t xml:space="preserve">that a copy of the application together with a copy of the environmental statement may be inspected at all reasonable hours by members of the public during the publicity </w:t>
                  </w:r>
                  <w:proofErr w:type="gramStart"/>
                  <w:r w:rsidRPr="00F25C88">
                    <w:t>period;</w:t>
                  </w:r>
                  <w:proofErr w:type="gramEnd"/>
                </w:p>
                <w:p w14:paraId="779A4A6A" w14:textId="710B1E80" w:rsidR="00BE592A" w:rsidRPr="00F25C88" w:rsidRDefault="00BE592A" w:rsidP="00DE19A2">
                  <w:pPr>
                    <w:pStyle w:val="ListParagraph"/>
                    <w:numPr>
                      <w:ilvl w:val="0"/>
                      <w:numId w:val="114"/>
                    </w:numPr>
                  </w:pPr>
                  <w:r w:rsidRPr="00F25C88">
                    <w:lastRenderedPageBreak/>
                    <w:t xml:space="preserve">an address (or addresses) in the locality of the power station or reactor at which those documents may be </w:t>
                  </w:r>
                  <w:proofErr w:type="gramStart"/>
                  <w:r w:rsidRPr="00F25C88">
                    <w:t>inspected;</w:t>
                  </w:r>
                  <w:proofErr w:type="gramEnd"/>
                </w:p>
                <w:p w14:paraId="7525CBAD" w14:textId="55F150E2" w:rsidR="00BE592A" w:rsidRPr="00F25C88" w:rsidRDefault="00BE592A" w:rsidP="00DE19A2">
                  <w:pPr>
                    <w:pStyle w:val="ListParagraph"/>
                    <w:numPr>
                      <w:ilvl w:val="0"/>
                      <w:numId w:val="114"/>
                    </w:numPr>
                  </w:pPr>
                  <w:r w:rsidRPr="00F25C88">
                    <w:t xml:space="preserve">an address (or addresses) (whether or not the same as that given under sub-paragraph (f) above) in the locality of the power station or reactor at which copies of the environmental statement may be obtained during the publicity </w:t>
                  </w:r>
                  <w:proofErr w:type="gramStart"/>
                  <w:r w:rsidRPr="00F25C88">
                    <w:t>period;</w:t>
                  </w:r>
                  <w:proofErr w:type="gramEnd"/>
                </w:p>
                <w:p w14:paraId="46039FC3" w14:textId="04D15692" w:rsidR="00BE592A" w:rsidRPr="00F25C88" w:rsidRDefault="00BE592A" w:rsidP="00DE19A2">
                  <w:pPr>
                    <w:pStyle w:val="ListParagraph"/>
                    <w:numPr>
                      <w:ilvl w:val="0"/>
                      <w:numId w:val="114"/>
                    </w:numPr>
                  </w:pPr>
                  <w:r w:rsidRPr="00F25C88">
                    <w:t xml:space="preserve">that during the publicity period copies may be obtained there so long as stocks </w:t>
                  </w:r>
                  <w:proofErr w:type="gramStart"/>
                  <w:r w:rsidRPr="00F25C88">
                    <w:t>last;</w:t>
                  </w:r>
                  <w:proofErr w:type="gramEnd"/>
                </w:p>
                <w:p w14:paraId="1414D5AF" w14:textId="578C5C22" w:rsidR="00BE592A" w:rsidRPr="00F25C88" w:rsidRDefault="00BE592A" w:rsidP="00DE19A2">
                  <w:pPr>
                    <w:pStyle w:val="ListParagraph"/>
                    <w:numPr>
                      <w:ilvl w:val="0"/>
                      <w:numId w:val="114"/>
                    </w:numPr>
                  </w:pPr>
                  <w:r w:rsidRPr="00F25C88">
                    <w:t xml:space="preserve">if a charge is to be made for a copy, the amount of the </w:t>
                  </w:r>
                  <w:proofErr w:type="gramStart"/>
                  <w:r w:rsidRPr="00F25C88">
                    <w:t>charge;</w:t>
                  </w:r>
                  <w:proofErr w:type="gramEnd"/>
                </w:p>
                <w:p w14:paraId="7E5645E1" w14:textId="4700E5EF" w:rsidR="00BE592A" w:rsidRPr="00F25C88" w:rsidRDefault="00BE592A" w:rsidP="00DE19A2">
                  <w:pPr>
                    <w:pStyle w:val="ListParagraph"/>
                    <w:numPr>
                      <w:ilvl w:val="0"/>
                      <w:numId w:val="114"/>
                    </w:numPr>
                  </w:pPr>
                  <w:r w:rsidRPr="00F25C88">
                    <w:t xml:space="preserve">that any person wishing to make representations about the application should make them in writing to the ONR at a specified address within the publicity </w:t>
                  </w:r>
                  <w:proofErr w:type="gramStart"/>
                  <w:r w:rsidRPr="00F25C88">
                    <w:t>period;</w:t>
                  </w:r>
                  <w:proofErr w:type="gramEnd"/>
                </w:p>
                <w:p w14:paraId="4EC3C87E" w14:textId="7B494853" w:rsidR="00BE592A" w:rsidRPr="00F25C88" w:rsidRDefault="00BE592A" w:rsidP="00DE19A2">
                  <w:pPr>
                    <w:pStyle w:val="ListParagraph"/>
                    <w:numPr>
                      <w:ilvl w:val="0"/>
                      <w:numId w:val="114"/>
                    </w:numPr>
                  </w:pPr>
                  <w:r w:rsidRPr="00F25C88">
                    <w:t>that a copy of the publicity notice and the information referred to in regulation 9</w:t>
                  </w:r>
                  <w:proofErr w:type="gramStart"/>
                  <w:r w:rsidRPr="00F25C88">
                    <w:t>A(</w:t>
                  </w:r>
                  <w:proofErr w:type="gramEnd"/>
                  <w:r w:rsidRPr="00F25C88">
                    <w:t>1) will be published on the ONR’s website in accordance with regulation 9A; and</w:t>
                  </w:r>
                </w:p>
                <w:p w14:paraId="47EF5813" w14:textId="444C4B0E" w:rsidR="00BE592A" w:rsidRPr="00F25C88" w:rsidRDefault="00BE592A" w:rsidP="00DE19A2">
                  <w:pPr>
                    <w:pStyle w:val="ListParagraph"/>
                    <w:numPr>
                      <w:ilvl w:val="0"/>
                      <w:numId w:val="114"/>
                    </w:numPr>
                  </w:pPr>
                  <w:r w:rsidRPr="00F25C88">
                    <w:t>that the project is subject to an environmental impact assessment procedure.</w:t>
                  </w:r>
                </w:p>
              </w:tc>
            </w:tr>
            <w:tr w:rsidR="00BE592A" w:rsidRPr="00F25C88" w14:paraId="0538BACC" w14:textId="77777777" w:rsidTr="00D328FC">
              <w:trPr>
                <w:trHeight w:val="350"/>
              </w:trPr>
              <w:tc>
                <w:tcPr>
                  <w:tcW w:w="779" w:type="dxa"/>
                </w:tcPr>
                <w:p w14:paraId="1A1BF8FC" w14:textId="77777777" w:rsidR="00BE592A" w:rsidRPr="00F25C88" w:rsidRDefault="00BE592A" w:rsidP="00F25C88">
                  <w:r w:rsidRPr="00F25C88">
                    <w:lastRenderedPageBreak/>
                    <w:t>9.(3)</w:t>
                  </w:r>
                </w:p>
              </w:tc>
              <w:tc>
                <w:tcPr>
                  <w:tcW w:w="6146" w:type="dxa"/>
                </w:tcPr>
                <w:p w14:paraId="3E2B9671" w14:textId="77777777" w:rsidR="00BE592A" w:rsidRPr="00F25C88" w:rsidRDefault="00BE592A" w:rsidP="00F25C88">
                  <w:r w:rsidRPr="00F25C88">
                    <w:t>The newspaper publication date –</w:t>
                  </w:r>
                </w:p>
                <w:p w14:paraId="29373E0D" w14:textId="090927E8" w:rsidR="00BE592A" w:rsidRPr="00F25C88" w:rsidRDefault="00BE592A" w:rsidP="00DE19A2">
                  <w:pPr>
                    <w:pStyle w:val="ListParagraph"/>
                    <w:numPr>
                      <w:ilvl w:val="0"/>
                      <w:numId w:val="115"/>
                    </w:numPr>
                  </w:pPr>
                  <w:r w:rsidRPr="00F25C88">
                    <w:t>is the date on which the licensee proposes to first publish the publicity notice in a newspaper (see paragraph (6); and</w:t>
                  </w:r>
                </w:p>
                <w:p w14:paraId="475439C3" w14:textId="2BFB3DE9" w:rsidR="00BE592A" w:rsidRPr="00F25C88" w:rsidRDefault="00BE592A" w:rsidP="00DE19A2">
                  <w:pPr>
                    <w:pStyle w:val="ListParagraph"/>
                    <w:numPr>
                      <w:ilvl w:val="0"/>
                      <w:numId w:val="115"/>
                    </w:numPr>
                  </w:pPr>
                  <w:r w:rsidRPr="00F25C88">
                    <w:t>must fall within the period of 7 days beginning with the date on which the publicity notice is provided to the ONR.</w:t>
                  </w:r>
                </w:p>
              </w:tc>
            </w:tr>
            <w:tr w:rsidR="00BE592A" w:rsidRPr="00F25C88" w14:paraId="516D2F32" w14:textId="77777777" w:rsidTr="00D328FC">
              <w:tc>
                <w:tcPr>
                  <w:tcW w:w="779" w:type="dxa"/>
                </w:tcPr>
                <w:p w14:paraId="6C62C620" w14:textId="77777777" w:rsidR="00BE592A" w:rsidRPr="00F25C88" w:rsidRDefault="00BE592A" w:rsidP="00F25C88">
                  <w:r w:rsidRPr="00F25C88">
                    <w:t>9.(4)</w:t>
                  </w:r>
                </w:p>
              </w:tc>
              <w:tc>
                <w:tcPr>
                  <w:tcW w:w="6146" w:type="dxa"/>
                </w:tcPr>
                <w:p w14:paraId="2457A54D" w14:textId="77777777" w:rsidR="00BE592A" w:rsidRPr="00F25C88" w:rsidRDefault="00BE592A" w:rsidP="00F25C88">
                  <w:r w:rsidRPr="00F25C88">
                    <w:t>The publicity period is the period of not less than 30 days beginning with the newspaper publication date.</w:t>
                  </w:r>
                </w:p>
              </w:tc>
            </w:tr>
            <w:tr w:rsidR="00BE592A" w:rsidRPr="00F25C88" w14:paraId="075D1DE1" w14:textId="77777777" w:rsidTr="00D328FC">
              <w:tc>
                <w:tcPr>
                  <w:tcW w:w="779" w:type="dxa"/>
                </w:tcPr>
                <w:p w14:paraId="64B88227" w14:textId="77777777" w:rsidR="00BE592A" w:rsidRPr="00F25C88" w:rsidRDefault="00BE592A" w:rsidP="00F25C88">
                  <w:r w:rsidRPr="00F25C88">
                    <w:t>9.(5)</w:t>
                  </w:r>
                </w:p>
              </w:tc>
              <w:tc>
                <w:tcPr>
                  <w:tcW w:w="6146" w:type="dxa"/>
                </w:tcPr>
                <w:p w14:paraId="15660F14" w14:textId="77777777" w:rsidR="00BE592A" w:rsidRPr="00F25C88" w:rsidRDefault="00BE592A" w:rsidP="00F25C88">
                  <w:r w:rsidRPr="00F25C88">
                    <w:t>The ONR may require the licensee to provide the publicity notice in an electronic form.</w:t>
                  </w:r>
                </w:p>
              </w:tc>
            </w:tr>
            <w:tr w:rsidR="00BE592A" w:rsidRPr="00F25C88" w14:paraId="4981FCBA" w14:textId="77777777" w:rsidTr="00D328FC">
              <w:tc>
                <w:tcPr>
                  <w:tcW w:w="779" w:type="dxa"/>
                </w:tcPr>
                <w:p w14:paraId="1A4FE947" w14:textId="77777777" w:rsidR="00BE592A" w:rsidRPr="00F25C88" w:rsidRDefault="00BE592A" w:rsidP="00F25C88">
                  <w:r w:rsidRPr="00F25C88">
                    <w:t>9.(6)</w:t>
                  </w:r>
                </w:p>
              </w:tc>
              <w:tc>
                <w:tcPr>
                  <w:tcW w:w="6146" w:type="dxa"/>
                </w:tcPr>
                <w:p w14:paraId="06B5068A" w14:textId="77777777" w:rsidR="00BE592A" w:rsidRPr="00F25C88" w:rsidRDefault="00BE592A" w:rsidP="00F25C88">
                  <w:r w:rsidRPr="00F25C88">
                    <w:t>On the newspaper publication date, the licensee must publish the publicity notice</w:t>
                  </w:r>
                </w:p>
                <w:p w14:paraId="69C88305" w14:textId="76B7BD5E" w:rsidR="00BE592A" w:rsidRPr="00F25C88" w:rsidRDefault="00BE592A" w:rsidP="00DE19A2">
                  <w:pPr>
                    <w:pStyle w:val="ListParagraph"/>
                    <w:numPr>
                      <w:ilvl w:val="0"/>
                      <w:numId w:val="116"/>
                    </w:numPr>
                  </w:pPr>
                  <w:r w:rsidRPr="00F25C88">
                    <w:t>in one or more newspapers circulating in the locality in which the project is being carried out; and</w:t>
                  </w:r>
                </w:p>
                <w:p w14:paraId="4C573B12" w14:textId="40D8B019" w:rsidR="00BE592A" w:rsidRPr="00F25C88" w:rsidRDefault="00BE592A" w:rsidP="00DE19A2">
                  <w:pPr>
                    <w:pStyle w:val="ListParagraph"/>
                    <w:numPr>
                      <w:ilvl w:val="0"/>
                      <w:numId w:val="116"/>
                    </w:numPr>
                  </w:pPr>
                  <w:r w:rsidRPr="00F25C88">
                    <w:t>in any other newspaper named by the ONR.</w:t>
                  </w:r>
                </w:p>
              </w:tc>
            </w:tr>
            <w:tr w:rsidR="00BE592A" w:rsidRPr="00F25C88" w14:paraId="4A6B9025" w14:textId="77777777" w:rsidTr="00D328FC">
              <w:tc>
                <w:tcPr>
                  <w:tcW w:w="779" w:type="dxa"/>
                </w:tcPr>
                <w:p w14:paraId="1AC94796" w14:textId="77777777" w:rsidR="00BE592A" w:rsidRPr="00F25C88" w:rsidRDefault="00BE592A" w:rsidP="00F25C88">
                  <w:r w:rsidRPr="00F25C88">
                    <w:t>9.(7)</w:t>
                  </w:r>
                </w:p>
              </w:tc>
              <w:tc>
                <w:tcPr>
                  <w:tcW w:w="6146" w:type="dxa"/>
                </w:tcPr>
                <w:p w14:paraId="36CBFB11" w14:textId="77777777" w:rsidR="00BE592A" w:rsidRPr="00F25C88" w:rsidRDefault="00BE592A" w:rsidP="00F25C88">
                  <w:r w:rsidRPr="00F25C88">
                    <w:t xml:space="preserve">The licensee must provide the ONR with a copy of the notice published under paragraph (6) within the period </w:t>
                  </w:r>
                  <w:r w:rsidRPr="00F25C88">
                    <w:lastRenderedPageBreak/>
                    <w:t>of 14 days beginning with the newspaper publication date.</w:t>
                  </w:r>
                </w:p>
              </w:tc>
            </w:tr>
            <w:tr w:rsidR="00BE592A" w:rsidRPr="00F25C88" w14:paraId="2F27BCAA" w14:textId="77777777" w:rsidTr="00D328FC">
              <w:tc>
                <w:tcPr>
                  <w:tcW w:w="779" w:type="dxa"/>
                </w:tcPr>
                <w:p w14:paraId="1B85B489" w14:textId="77777777" w:rsidR="00BE592A" w:rsidRPr="00F25C88" w:rsidRDefault="00BE592A" w:rsidP="00F25C88">
                  <w:r w:rsidRPr="00F25C88">
                    <w:lastRenderedPageBreak/>
                    <w:t>9.(8)</w:t>
                  </w:r>
                </w:p>
              </w:tc>
              <w:tc>
                <w:tcPr>
                  <w:tcW w:w="6146" w:type="dxa"/>
                </w:tcPr>
                <w:p w14:paraId="736B9E1E" w14:textId="77777777" w:rsidR="00BE592A" w:rsidRPr="00F25C88" w:rsidRDefault="00BE592A" w:rsidP="00F25C88">
                  <w:r w:rsidRPr="00F25C88">
                    <w:t>The licensee must ensure that at the relevant address (or addresses) at all reasonable hours during the publicity period-</w:t>
                  </w:r>
                </w:p>
                <w:p w14:paraId="029DE781" w14:textId="5F774B38" w:rsidR="00BE592A" w:rsidRPr="00F25C88" w:rsidRDefault="00BE592A" w:rsidP="00DE19A2">
                  <w:pPr>
                    <w:pStyle w:val="ListParagraph"/>
                    <w:numPr>
                      <w:ilvl w:val="0"/>
                      <w:numId w:val="117"/>
                    </w:numPr>
                  </w:pPr>
                  <w:r w:rsidRPr="00F25C88">
                    <w:t xml:space="preserve">not less than 5 copies of the application for consent to carry out a project together with 5 copies of the environmental statement are available for inspection by members of the </w:t>
                  </w:r>
                  <w:proofErr w:type="gramStart"/>
                  <w:r w:rsidRPr="00F25C88">
                    <w:t>public;</w:t>
                  </w:r>
                  <w:proofErr w:type="gramEnd"/>
                  <w:r w:rsidRPr="00F25C88">
                    <w:t xml:space="preserve"> and</w:t>
                  </w:r>
                </w:p>
                <w:p w14:paraId="7EC6E40D" w14:textId="55108A0E" w:rsidR="00BE592A" w:rsidRPr="00F25C88" w:rsidRDefault="00BE592A" w:rsidP="00DE19A2">
                  <w:pPr>
                    <w:pStyle w:val="ListParagraph"/>
                    <w:numPr>
                      <w:ilvl w:val="0"/>
                      <w:numId w:val="117"/>
                    </w:numPr>
                  </w:pPr>
                  <w:r w:rsidRPr="00F25C88">
                    <w:t>copies of the environmental statement are available on payment of a reasonable charge reflecting printing and distribution costs.</w:t>
                  </w:r>
                </w:p>
              </w:tc>
            </w:tr>
          </w:tbl>
          <w:p w14:paraId="227D8C91" w14:textId="77777777" w:rsidR="00BE592A" w:rsidRPr="00F25C88" w:rsidRDefault="00BE592A" w:rsidP="00F25C88"/>
        </w:tc>
      </w:tr>
      <w:tr w:rsidR="00BE592A" w:rsidRPr="00F25C88" w14:paraId="53AA46F4" w14:textId="77777777" w:rsidTr="00F25C88">
        <w:tc>
          <w:tcPr>
            <w:tcW w:w="771" w:type="pct"/>
            <w:shd w:val="clear" w:color="auto" w:fill="008080"/>
          </w:tcPr>
          <w:p w14:paraId="4F94C0C6" w14:textId="77777777" w:rsidR="00BE592A" w:rsidRPr="00F25C88" w:rsidRDefault="00BE592A" w:rsidP="00F25C88">
            <w:pPr>
              <w:rPr>
                <w:color w:val="FFFFFF" w:themeColor="background1"/>
              </w:rPr>
            </w:pPr>
            <w:r w:rsidRPr="00F25C88">
              <w:rPr>
                <w:color w:val="FFFFFF" w:themeColor="background1"/>
              </w:rPr>
              <w:lastRenderedPageBreak/>
              <w:t>Guidance</w:t>
            </w:r>
          </w:p>
        </w:tc>
        <w:tc>
          <w:tcPr>
            <w:tcW w:w="279" w:type="pct"/>
            <w:shd w:val="clear" w:color="auto" w:fill="008080"/>
          </w:tcPr>
          <w:p w14:paraId="18B44E17" w14:textId="77777777" w:rsidR="00BE592A" w:rsidRPr="00F25C88" w:rsidRDefault="00BE592A" w:rsidP="00F25C88">
            <w:pPr>
              <w:rPr>
                <w:color w:val="FFFFFF" w:themeColor="background1"/>
                <w:szCs w:val="24"/>
              </w:rPr>
            </w:pPr>
            <w:bookmarkStart w:id="149" w:name="_Toc82166975"/>
            <w:bookmarkStart w:id="150" w:name="_Toc117773700"/>
            <w:bookmarkStart w:id="151" w:name="_Toc117773998"/>
            <w:bookmarkStart w:id="152" w:name="_Toc117774118"/>
            <w:r w:rsidRPr="00F25C88">
              <w:rPr>
                <w:color w:val="FFFFFF" w:themeColor="background1"/>
                <w:szCs w:val="24"/>
              </w:rPr>
              <w:t>9</w:t>
            </w:r>
            <w:bookmarkEnd w:id="149"/>
            <w:bookmarkEnd w:id="150"/>
            <w:bookmarkEnd w:id="151"/>
            <w:bookmarkEnd w:id="152"/>
          </w:p>
        </w:tc>
        <w:tc>
          <w:tcPr>
            <w:tcW w:w="3950" w:type="pct"/>
          </w:tcPr>
          <w:p w14:paraId="582479E2" w14:textId="73461FF9" w:rsidR="00BE592A" w:rsidRPr="00F25C88" w:rsidRDefault="00BE592A" w:rsidP="00F25C88">
            <w:pPr>
              <w:pStyle w:val="Regulationpara"/>
            </w:pPr>
            <w:r w:rsidRPr="00F25C88">
              <w:t xml:space="preserve">It may be beneficial to the consultation process for the licensee to seek permission for copies of the environmental statement and scoping report to be placed in public buildings, </w:t>
            </w:r>
            <w:r w:rsidR="00F25C88" w:rsidRPr="00F25C88">
              <w:t>e.g.,</w:t>
            </w:r>
            <w:r w:rsidRPr="00F25C88">
              <w:t xml:space="preserve"> local post office, </w:t>
            </w:r>
            <w:proofErr w:type="gramStart"/>
            <w:r w:rsidRPr="00F25C88">
              <w:t>library</w:t>
            </w:r>
            <w:proofErr w:type="gramEnd"/>
            <w:r w:rsidRPr="00F25C88">
              <w:t xml:space="preserve"> and community buildings. The licensee should place 5 copies at each location.</w:t>
            </w:r>
          </w:p>
          <w:p w14:paraId="0A64AF6B" w14:textId="77777777" w:rsidR="00BE592A" w:rsidRPr="00F25C88" w:rsidRDefault="00BE592A" w:rsidP="00F25C88">
            <w:pPr>
              <w:pStyle w:val="Regulationpara"/>
            </w:pPr>
            <w:r w:rsidRPr="00F25C88">
              <w:t>ONR will publicise its decisions (and reasons for those decisions) in the manner described in paragraph 77.</w:t>
            </w:r>
          </w:p>
        </w:tc>
      </w:tr>
    </w:tbl>
    <w:p w14:paraId="471EC4E4" w14:textId="4460C55C" w:rsidR="00442A7D" w:rsidRDefault="00442A7D" w:rsidP="00442A7D"/>
    <w:p w14:paraId="4F804365" w14:textId="1EDFCA33" w:rsidR="00BE592A" w:rsidRDefault="00BE592A" w:rsidP="00A01C3E">
      <w:pPr>
        <w:pStyle w:val="Heading2"/>
      </w:pPr>
      <w:bookmarkStart w:id="153" w:name="_Toc124416327"/>
      <w:r>
        <w:t>Regulation 9A ONR’s Website</w:t>
      </w:r>
      <w:bookmarkEnd w:id="15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525"/>
        <w:gridCol w:w="7109"/>
      </w:tblGrid>
      <w:tr w:rsidR="00BA62CD" w:rsidRPr="00F25C88" w14:paraId="76FC52F1" w14:textId="77777777" w:rsidTr="00F25C88">
        <w:tc>
          <w:tcPr>
            <w:tcW w:w="771" w:type="pct"/>
          </w:tcPr>
          <w:p w14:paraId="23B17A85" w14:textId="77777777" w:rsidR="00BA62CD" w:rsidRPr="00F25C88" w:rsidRDefault="00BA62CD" w:rsidP="00F25C88">
            <w:r w:rsidRPr="00F25C88">
              <w:t>Regulation</w:t>
            </w:r>
          </w:p>
        </w:tc>
        <w:tc>
          <w:tcPr>
            <w:tcW w:w="291" w:type="pct"/>
          </w:tcPr>
          <w:p w14:paraId="6AB5F789" w14:textId="77777777" w:rsidR="00BA62CD" w:rsidRPr="00F25C88" w:rsidRDefault="00BA62CD" w:rsidP="00F25C88">
            <w:pPr>
              <w:rPr>
                <w:szCs w:val="24"/>
              </w:rPr>
            </w:pPr>
            <w:bookmarkStart w:id="154" w:name="_Toc82166977"/>
            <w:bookmarkStart w:id="155" w:name="_Toc117773702"/>
            <w:bookmarkStart w:id="156" w:name="_Toc117774000"/>
            <w:bookmarkStart w:id="157" w:name="_Toc117774120"/>
            <w:r w:rsidRPr="00F25C88">
              <w:rPr>
                <w:szCs w:val="24"/>
              </w:rPr>
              <w:t>9A</w:t>
            </w:r>
            <w:bookmarkEnd w:id="154"/>
            <w:bookmarkEnd w:id="155"/>
            <w:bookmarkEnd w:id="156"/>
            <w:bookmarkEnd w:id="157"/>
          </w:p>
        </w:tc>
        <w:tc>
          <w:tcPr>
            <w:tcW w:w="3939" w:type="pct"/>
          </w:tcPr>
          <w:tbl>
            <w:tblPr>
              <w:tblStyle w:val="TableGrid"/>
              <w:tblW w:w="0" w:type="auto"/>
              <w:tblLook w:val="04A0" w:firstRow="1" w:lastRow="0" w:firstColumn="1" w:lastColumn="0" w:noHBand="0" w:noVBand="1"/>
            </w:tblPr>
            <w:tblGrid>
              <w:gridCol w:w="870"/>
              <w:gridCol w:w="6023"/>
            </w:tblGrid>
            <w:tr w:rsidR="00BA62CD" w:rsidRPr="00F25C88" w14:paraId="64314ECA" w14:textId="77777777" w:rsidTr="00D328FC">
              <w:tc>
                <w:tcPr>
                  <w:tcW w:w="870" w:type="dxa"/>
                  <w:tcBorders>
                    <w:top w:val="nil"/>
                    <w:left w:val="nil"/>
                    <w:bottom w:val="nil"/>
                    <w:right w:val="nil"/>
                  </w:tcBorders>
                </w:tcPr>
                <w:p w14:paraId="61E63DF3" w14:textId="77777777" w:rsidR="00BA62CD" w:rsidRPr="00F25C88" w:rsidRDefault="00BA62CD" w:rsidP="00F25C88">
                  <w:r w:rsidRPr="00F25C88">
                    <w:t>9</w:t>
                  </w:r>
                  <w:proofErr w:type="gramStart"/>
                  <w:r w:rsidRPr="00F25C88">
                    <w:t>A.(</w:t>
                  </w:r>
                  <w:proofErr w:type="gramEnd"/>
                  <w:r w:rsidRPr="00F25C88">
                    <w:t>1)</w:t>
                  </w:r>
                </w:p>
              </w:tc>
              <w:tc>
                <w:tcPr>
                  <w:tcW w:w="6030" w:type="dxa"/>
                  <w:tcBorders>
                    <w:top w:val="nil"/>
                    <w:left w:val="nil"/>
                    <w:bottom w:val="nil"/>
                    <w:right w:val="nil"/>
                  </w:tcBorders>
                </w:tcPr>
                <w:p w14:paraId="58E384CB" w14:textId="77777777" w:rsidR="00BA62CD" w:rsidRPr="00F25C88" w:rsidRDefault="00BA62CD" w:rsidP="00F25C88">
                  <w:r w:rsidRPr="00F25C88">
                    <w:t>The ONR must publish the following information on its website on the newspaper publication date (see regulation 9(3))—</w:t>
                  </w:r>
                </w:p>
                <w:p w14:paraId="2B6A40B4" w14:textId="1303359D" w:rsidR="00BA62CD" w:rsidRPr="00F25C88" w:rsidRDefault="00BA62CD" w:rsidP="00DE19A2">
                  <w:pPr>
                    <w:pStyle w:val="ListParagraph"/>
                    <w:numPr>
                      <w:ilvl w:val="0"/>
                      <w:numId w:val="118"/>
                    </w:numPr>
                  </w:pPr>
                  <w:r w:rsidRPr="00F25C88">
                    <w:t xml:space="preserve">the publicity notice provided under regulation </w:t>
                  </w:r>
                  <w:proofErr w:type="gramStart"/>
                  <w:r w:rsidRPr="00F25C88">
                    <w:t>9(1);</w:t>
                  </w:r>
                  <w:proofErr w:type="gramEnd"/>
                </w:p>
                <w:p w14:paraId="264114E1" w14:textId="39B4B9B7" w:rsidR="00BA62CD" w:rsidRPr="00F25C88" w:rsidRDefault="00BA62CD" w:rsidP="00DE19A2">
                  <w:pPr>
                    <w:pStyle w:val="ListParagraph"/>
                    <w:numPr>
                      <w:ilvl w:val="0"/>
                      <w:numId w:val="118"/>
                    </w:numPr>
                  </w:pPr>
                  <w:r w:rsidRPr="00F25C88">
                    <w:t>the application for consent; and</w:t>
                  </w:r>
                </w:p>
                <w:p w14:paraId="29CACD43" w14:textId="7E2DBCE6" w:rsidR="00BA62CD" w:rsidRPr="00F25C88" w:rsidRDefault="00BA62CD" w:rsidP="00DE19A2">
                  <w:pPr>
                    <w:pStyle w:val="ListParagraph"/>
                    <w:numPr>
                      <w:ilvl w:val="0"/>
                      <w:numId w:val="118"/>
                    </w:numPr>
                  </w:pPr>
                  <w:r w:rsidRPr="00F25C88">
                    <w:t>the environmental statement.</w:t>
                  </w:r>
                </w:p>
              </w:tc>
            </w:tr>
            <w:tr w:rsidR="00BA62CD" w:rsidRPr="00F25C88" w14:paraId="160ED28F" w14:textId="77777777" w:rsidTr="00D328FC">
              <w:tc>
                <w:tcPr>
                  <w:tcW w:w="870" w:type="dxa"/>
                  <w:tcBorders>
                    <w:top w:val="nil"/>
                    <w:left w:val="nil"/>
                    <w:bottom w:val="nil"/>
                    <w:right w:val="nil"/>
                  </w:tcBorders>
                </w:tcPr>
                <w:p w14:paraId="52A89836" w14:textId="77777777" w:rsidR="00BA62CD" w:rsidRPr="00F25C88" w:rsidRDefault="00BA62CD" w:rsidP="00F25C88">
                  <w:r w:rsidRPr="00F25C88">
                    <w:t>9</w:t>
                  </w:r>
                  <w:proofErr w:type="gramStart"/>
                  <w:r w:rsidRPr="00F25C88">
                    <w:t>A.(</w:t>
                  </w:r>
                  <w:proofErr w:type="gramEnd"/>
                  <w:r w:rsidRPr="00F25C88">
                    <w:t>2)</w:t>
                  </w:r>
                </w:p>
              </w:tc>
              <w:tc>
                <w:tcPr>
                  <w:tcW w:w="6030" w:type="dxa"/>
                  <w:tcBorders>
                    <w:top w:val="nil"/>
                    <w:left w:val="nil"/>
                    <w:bottom w:val="nil"/>
                    <w:right w:val="nil"/>
                  </w:tcBorders>
                </w:tcPr>
                <w:p w14:paraId="28E440FC" w14:textId="77777777" w:rsidR="00BA62CD" w:rsidRPr="00F25C88" w:rsidRDefault="00BA62CD" w:rsidP="00F25C88">
                  <w:r w:rsidRPr="00F25C88">
                    <w:t>The ONR must ensure that the information continues to be so published for a period of—</w:t>
                  </w:r>
                </w:p>
                <w:p w14:paraId="579DD691" w14:textId="59C131D0" w:rsidR="00BA62CD" w:rsidRPr="00F25C88" w:rsidRDefault="00BA62CD" w:rsidP="00DE19A2">
                  <w:pPr>
                    <w:pStyle w:val="ListParagraph"/>
                    <w:numPr>
                      <w:ilvl w:val="0"/>
                      <w:numId w:val="119"/>
                    </w:numPr>
                  </w:pPr>
                  <w:r w:rsidRPr="00F25C88">
                    <w:t>30 days beginning with the newspaper publication date; or</w:t>
                  </w:r>
                </w:p>
                <w:p w14:paraId="5D3D5C67" w14:textId="2B50B07C" w:rsidR="00BA62CD" w:rsidRPr="00F25C88" w:rsidRDefault="00BA62CD" w:rsidP="00DE19A2">
                  <w:pPr>
                    <w:pStyle w:val="ListParagraph"/>
                    <w:numPr>
                      <w:ilvl w:val="0"/>
                      <w:numId w:val="119"/>
                    </w:numPr>
                  </w:pPr>
                  <w:r w:rsidRPr="00F25C88">
                    <w:t>such longer period as the ONR considers appropriate.</w:t>
                  </w:r>
                </w:p>
              </w:tc>
            </w:tr>
          </w:tbl>
          <w:p w14:paraId="51B06415" w14:textId="77777777" w:rsidR="00BA62CD" w:rsidRPr="00F25C88" w:rsidRDefault="00BA62CD" w:rsidP="00F25C88"/>
        </w:tc>
      </w:tr>
      <w:tr w:rsidR="00BA62CD" w:rsidRPr="00F25C88" w14:paraId="74CA41F9" w14:textId="77777777" w:rsidTr="00F25C88">
        <w:tc>
          <w:tcPr>
            <w:tcW w:w="771" w:type="pct"/>
            <w:shd w:val="clear" w:color="auto" w:fill="008080"/>
          </w:tcPr>
          <w:p w14:paraId="4906D52C" w14:textId="77777777" w:rsidR="00BA62CD" w:rsidRPr="00F25C88" w:rsidRDefault="00BA62CD" w:rsidP="00F25C88">
            <w:pPr>
              <w:rPr>
                <w:color w:val="FFFFFF" w:themeColor="background1"/>
              </w:rPr>
            </w:pPr>
            <w:r w:rsidRPr="00F25C88">
              <w:rPr>
                <w:color w:val="FFFFFF" w:themeColor="background1"/>
              </w:rPr>
              <w:t>Guidance</w:t>
            </w:r>
          </w:p>
        </w:tc>
        <w:tc>
          <w:tcPr>
            <w:tcW w:w="291" w:type="pct"/>
            <w:shd w:val="clear" w:color="auto" w:fill="008080"/>
          </w:tcPr>
          <w:p w14:paraId="262CC8EF" w14:textId="77777777" w:rsidR="00BA62CD" w:rsidRPr="00F25C88" w:rsidRDefault="00BA62CD" w:rsidP="00F25C88">
            <w:pPr>
              <w:rPr>
                <w:color w:val="FFFFFF" w:themeColor="background1"/>
                <w:szCs w:val="24"/>
              </w:rPr>
            </w:pPr>
            <w:bookmarkStart w:id="158" w:name="_Toc82166978"/>
            <w:bookmarkStart w:id="159" w:name="_Toc117773703"/>
            <w:bookmarkStart w:id="160" w:name="_Toc117774001"/>
            <w:bookmarkStart w:id="161" w:name="_Toc117774121"/>
            <w:r w:rsidRPr="00F25C88">
              <w:rPr>
                <w:color w:val="FFFFFF" w:themeColor="background1"/>
                <w:szCs w:val="24"/>
              </w:rPr>
              <w:t>9A</w:t>
            </w:r>
            <w:bookmarkEnd w:id="158"/>
            <w:bookmarkEnd w:id="159"/>
            <w:bookmarkEnd w:id="160"/>
            <w:bookmarkEnd w:id="161"/>
          </w:p>
        </w:tc>
        <w:tc>
          <w:tcPr>
            <w:tcW w:w="3939" w:type="pct"/>
          </w:tcPr>
          <w:p w14:paraId="1F254B66" w14:textId="77777777" w:rsidR="00BA62CD" w:rsidRPr="00F25C88" w:rsidRDefault="00BA62CD" w:rsidP="00F25C88">
            <w:pPr>
              <w:pStyle w:val="Regulationpara"/>
            </w:pPr>
            <w:r w:rsidRPr="00F25C88">
              <w:t xml:space="preserve">ONR will seek to liaise with the licensee to gain advance notice of the newspaper publication date; this will be </w:t>
            </w:r>
            <w:r w:rsidRPr="00F25C88">
              <w:lastRenderedPageBreak/>
              <w:t>within a week of the submission of the publicity notice to ONR. This will enable ONR to publish the publicity notice, application for consent and the environmental statement on their website on the same day.</w:t>
            </w:r>
          </w:p>
        </w:tc>
      </w:tr>
    </w:tbl>
    <w:p w14:paraId="40ECB1F0" w14:textId="4050480A" w:rsidR="00BA62CD" w:rsidRDefault="00BA62CD" w:rsidP="00F25C88">
      <w:pPr>
        <w:pStyle w:val="Heading2"/>
        <w:ind w:left="0" w:firstLine="0"/>
      </w:pPr>
      <w:bookmarkStart w:id="162" w:name="_Toc124416328"/>
      <w:r>
        <w:lastRenderedPageBreak/>
        <w:t>Regulation 10 Further Information: P</w:t>
      </w:r>
      <w:r w:rsidR="00523238">
        <w:t>rovision to ONR and Newspaper Publicity</w:t>
      </w:r>
      <w:bookmarkEnd w:id="16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511"/>
        <w:gridCol w:w="7123"/>
      </w:tblGrid>
      <w:tr w:rsidR="007363DD" w14:paraId="311775FB" w14:textId="77777777" w:rsidTr="00F25C88">
        <w:tc>
          <w:tcPr>
            <w:tcW w:w="771" w:type="pct"/>
          </w:tcPr>
          <w:p w14:paraId="50CD796D" w14:textId="77777777" w:rsidR="007363DD" w:rsidRPr="00F25C88" w:rsidRDefault="007363DD" w:rsidP="00F25C88">
            <w:r w:rsidRPr="00F25C88">
              <w:t>Regulation</w:t>
            </w:r>
          </w:p>
        </w:tc>
        <w:tc>
          <w:tcPr>
            <w:tcW w:w="283" w:type="pct"/>
          </w:tcPr>
          <w:p w14:paraId="75B83511" w14:textId="77777777" w:rsidR="007363DD" w:rsidRPr="00F25C88" w:rsidRDefault="007363DD" w:rsidP="00F25C88">
            <w:pPr>
              <w:rPr>
                <w:szCs w:val="24"/>
              </w:rPr>
            </w:pPr>
            <w:bookmarkStart w:id="163" w:name="_Toc82166980"/>
            <w:bookmarkStart w:id="164" w:name="_Toc117773705"/>
            <w:bookmarkStart w:id="165" w:name="_Toc117774003"/>
            <w:bookmarkStart w:id="166" w:name="_Toc117774123"/>
            <w:r w:rsidRPr="00F25C88">
              <w:rPr>
                <w:szCs w:val="24"/>
              </w:rPr>
              <w:t>10</w:t>
            </w:r>
            <w:bookmarkEnd w:id="163"/>
            <w:bookmarkEnd w:id="164"/>
            <w:bookmarkEnd w:id="165"/>
            <w:bookmarkEnd w:id="166"/>
          </w:p>
        </w:tc>
        <w:tc>
          <w:tcPr>
            <w:tcW w:w="3946" w:type="pct"/>
          </w:tcPr>
          <w:tbl>
            <w:tblPr>
              <w:tblStyle w:val="TableGrid"/>
              <w:tblW w:w="0" w:type="auto"/>
              <w:tblLook w:val="04A0" w:firstRow="1" w:lastRow="0" w:firstColumn="1" w:lastColumn="0" w:noHBand="0" w:noVBand="1"/>
            </w:tblPr>
            <w:tblGrid>
              <w:gridCol w:w="843"/>
              <w:gridCol w:w="6064"/>
            </w:tblGrid>
            <w:tr w:rsidR="007363DD" w:rsidRPr="00F25C88" w14:paraId="23BAFECE" w14:textId="77777777" w:rsidTr="00D328FC">
              <w:tc>
                <w:tcPr>
                  <w:tcW w:w="843" w:type="dxa"/>
                  <w:tcBorders>
                    <w:top w:val="nil"/>
                    <w:left w:val="nil"/>
                    <w:bottom w:val="nil"/>
                    <w:right w:val="nil"/>
                  </w:tcBorders>
                </w:tcPr>
                <w:p w14:paraId="36D8D1A6" w14:textId="77777777" w:rsidR="007363DD" w:rsidRPr="00F25C88" w:rsidRDefault="007363DD" w:rsidP="00F25C88">
                  <w:r w:rsidRPr="00F25C88">
                    <w:t xml:space="preserve">10.(1)    </w:t>
                  </w:r>
                </w:p>
              </w:tc>
              <w:tc>
                <w:tcPr>
                  <w:tcW w:w="6082" w:type="dxa"/>
                  <w:tcBorders>
                    <w:top w:val="nil"/>
                    <w:left w:val="nil"/>
                    <w:bottom w:val="nil"/>
                    <w:right w:val="nil"/>
                  </w:tcBorders>
                </w:tcPr>
                <w:p w14:paraId="36EFAC8A" w14:textId="77777777" w:rsidR="007363DD" w:rsidRPr="00F25C88" w:rsidRDefault="007363DD" w:rsidP="00F25C88">
                  <w:r w:rsidRPr="00F25C88">
                    <w:t>If the ONR considers that an environmental statement should contain further information specified in Schedule 1, the ONR must notify the licensee in writing that further information is required.</w:t>
                  </w:r>
                </w:p>
              </w:tc>
            </w:tr>
            <w:tr w:rsidR="007363DD" w:rsidRPr="00F25C88" w14:paraId="32983979" w14:textId="77777777" w:rsidTr="00D328FC">
              <w:trPr>
                <w:trHeight w:val="80"/>
              </w:trPr>
              <w:tc>
                <w:tcPr>
                  <w:tcW w:w="843" w:type="dxa"/>
                  <w:tcBorders>
                    <w:top w:val="nil"/>
                    <w:left w:val="nil"/>
                    <w:bottom w:val="nil"/>
                    <w:right w:val="nil"/>
                  </w:tcBorders>
                </w:tcPr>
                <w:p w14:paraId="57CDE20D" w14:textId="77777777" w:rsidR="007363DD" w:rsidRPr="00F25C88" w:rsidRDefault="007363DD" w:rsidP="00F25C88">
                  <w:r w:rsidRPr="00F25C88">
                    <w:t>10.(2)</w:t>
                  </w:r>
                </w:p>
              </w:tc>
              <w:tc>
                <w:tcPr>
                  <w:tcW w:w="6082" w:type="dxa"/>
                  <w:tcBorders>
                    <w:top w:val="nil"/>
                    <w:left w:val="nil"/>
                    <w:bottom w:val="nil"/>
                    <w:right w:val="nil"/>
                  </w:tcBorders>
                </w:tcPr>
                <w:p w14:paraId="1065F5ED" w14:textId="77777777" w:rsidR="007363DD" w:rsidRPr="00F25C88" w:rsidRDefault="007363DD" w:rsidP="00F25C88">
                  <w:r w:rsidRPr="00F25C88">
                    <w:t>The notification must describe the further information required.</w:t>
                  </w:r>
                </w:p>
              </w:tc>
            </w:tr>
          </w:tbl>
          <w:p w14:paraId="14E1AF86" w14:textId="77777777" w:rsidR="007363DD" w:rsidRPr="00F25C88" w:rsidRDefault="007363DD" w:rsidP="00F25C88"/>
        </w:tc>
      </w:tr>
      <w:tr w:rsidR="007363DD" w:rsidRPr="009966CE" w14:paraId="1802E054" w14:textId="77777777" w:rsidTr="00F25C88">
        <w:tc>
          <w:tcPr>
            <w:tcW w:w="771" w:type="pct"/>
            <w:shd w:val="clear" w:color="auto" w:fill="008080"/>
          </w:tcPr>
          <w:p w14:paraId="6C15F0E7" w14:textId="77777777" w:rsidR="007363DD" w:rsidRPr="00F25C88" w:rsidRDefault="007363DD" w:rsidP="00F25C88">
            <w:r w:rsidRPr="00F25C88">
              <w:rPr>
                <w:color w:val="FFFFFF" w:themeColor="background1"/>
              </w:rPr>
              <w:t>Guidance</w:t>
            </w:r>
          </w:p>
        </w:tc>
        <w:tc>
          <w:tcPr>
            <w:tcW w:w="283" w:type="pct"/>
            <w:shd w:val="clear" w:color="auto" w:fill="008080"/>
          </w:tcPr>
          <w:p w14:paraId="20C7BC24" w14:textId="77777777" w:rsidR="007363DD" w:rsidRPr="00F25C88" w:rsidRDefault="007363DD" w:rsidP="00F25C88">
            <w:pPr>
              <w:rPr>
                <w:szCs w:val="24"/>
              </w:rPr>
            </w:pPr>
            <w:bookmarkStart w:id="167" w:name="_Toc82166981"/>
            <w:bookmarkStart w:id="168" w:name="_Toc117773706"/>
            <w:bookmarkStart w:id="169" w:name="_Toc117774004"/>
            <w:bookmarkStart w:id="170" w:name="_Toc117774124"/>
            <w:r w:rsidRPr="00F25C88">
              <w:rPr>
                <w:color w:val="FFFFFF" w:themeColor="background1"/>
                <w:szCs w:val="24"/>
              </w:rPr>
              <w:t>10</w:t>
            </w:r>
            <w:bookmarkEnd w:id="167"/>
            <w:bookmarkEnd w:id="168"/>
            <w:bookmarkEnd w:id="169"/>
            <w:bookmarkEnd w:id="170"/>
          </w:p>
        </w:tc>
        <w:tc>
          <w:tcPr>
            <w:tcW w:w="3946" w:type="pct"/>
          </w:tcPr>
          <w:p w14:paraId="29896C0C" w14:textId="77777777" w:rsidR="007363DD" w:rsidRPr="00F25C88" w:rsidRDefault="007363DD" w:rsidP="00F25C88">
            <w:pPr>
              <w:pStyle w:val="Regulationpara"/>
            </w:pPr>
            <w:r w:rsidRPr="00F25C88">
              <w:t>The further information should include sufficient background information to place it into context with the submitted application for consent. The further information provided should sufficiently address those issues raised by ONR in the request for further information.</w:t>
            </w:r>
          </w:p>
        </w:tc>
      </w:tr>
      <w:tr w:rsidR="007363DD" w:rsidRPr="009966CE" w14:paraId="5E045BE3" w14:textId="77777777" w:rsidTr="00F25C88">
        <w:tc>
          <w:tcPr>
            <w:tcW w:w="771" w:type="pct"/>
            <w:shd w:val="clear" w:color="auto" w:fill="FFFFFF" w:themeFill="background1"/>
          </w:tcPr>
          <w:p w14:paraId="4164B36F" w14:textId="4654AEA3" w:rsidR="007363DD" w:rsidRPr="00F25C88" w:rsidRDefault="00B55792" w:rsidP="00F25C88">
            <w:r>
              <w:t>R</w:t>
            </w:r>
            <w:r w:rsidR="007363DD" w:rsidRPr="00F25C88">
              <w:t>egulation</w:t>
            </w:r>
          </w:p>
        </w:tc>
        <w:tc>
          <w:tcPr>
            <w:tcW w:w="283" w:type="pct"/>
            <w:shd w:val="clear" w:color="auto" w:fill="FFFFFF" w:themeFill="background1"/>
          </w:tcPr>
          <w:p w14:paraId="4F4476A6" w14:textId="77777777" w:rsidR="007363DD" w:rsidRPr="00F25C88" w:rsidRDefault="007363DD" w:rsidP="00F25C88">
            <w:pPr>
              <w:rPr>
                <w:szCs w:val="24"/>
              </w:rPr>
            </w:pPr>
            <w:bookmarkStart w:id="171" w:name="_Toc82166982"/>
            <w:bookmarkStart w:id="172" w:name="_Toc117773707"/>
            <w:bookmarkStart w:id="173" w:name="_Toc117774005"/>
            <w:bookmarkStart w:id="174" w:name="_Toc117774125"/>
            <w:r w:rsidRPr="00F25C88">
              <w:rPr>
                <w:szCs w:val="24"/>
              </w:rPr>
              <w:t>10</w:t>
            </w:r>
            <w:bookmarkEnd w:id="171"/>
            <w:bookmarkEnd w:id="172"/>
            <w:bookmarkEnd w:id="173"/>
            <w:bookmarkEnd w:id="174"/>
          </w:p>
        </w:tc>
        <w:tc>
          <w:tcPr>
            <w:tcW w:w="3946" w:type="pct"/>
          </w:tcPr>
          <w:tbl>
            <w:tblPr>
              <w:tblStyle w:val="TableGrid"/>
              <w:tblW w:w="0" w:type="auto"/>
              <w:tblLook w:val="04A0" w:firstRow="1" w:lastRow="0" w:firstColumn="1" w:lastColumn="0" w:noHBand="0" w:noVBand="1"/>
            </w:tblPr>
            <w:tblGrid>
              <w:gridCol w:w="977"/>
              <w:gridCol w:w="5930"/>
            </w:tblGrid>
            <w:tr w:rsidR="007363DD" w:rsidRPr="00F25C88" w14:paraId="665E9DA0" w14:textId="77777777" w:rsidTr="00D328FC">
              <w:tc>
                <w:tcPr>
                  <w:tcW w:w="977" w:type="dxa"/>
                  <w:tcBorders>
                    <w:top w:val="nil"/>
                    <w:left w:val="nil"/>
                    <w:bottom w:val="nil"/>
                    <w:right w:val="nil"/>
                  </w:tcBorders>
                </w:tcPr>
                <w:p w14:paraId="1088A988" w14:textId="77777777" w:rsidR="007363DD" w:rsidRPr="00F25C88" w:rsidRDefault="007363DD" w:rsidP="00F25C88">
                  <w:r w:rsidRPr="00F25C88">
                    <w:t>10.(3)</w:t>
                  </w:r>
                </w:p>
              </w:tc>
              <w:tc>
                <w:tcPr>
                  <w:tcW w:w="5948" w:type="dxa"/>
                  <w:tcBorders>
                    <w:top w:val="nil"/>
                    <w:left w:val="nil"/>
                    <w:bottom w:val="nil"/>
                    <w:right w:val="nil"/>
                  </w:tcBorders>
                </w:tcPr>
                <w:p w14:paraId="65DC771C" w14:textId="7ACD11ED" w:rsidR="007363DD" w:rsidRPr="00F25C88" w:rsidRDefault="007363DD" w:rsidP="00F25C88">
                  <w:r w:rsidRPr="00F25C88">
                    <w:t>The licensee must then provide ONR with</w:t>
                  </w:r>
                  <w:r w:rsidR="00380127">
                    <w:t xml:space="preserve"> </w:t>
                  </w:r>
                  <w:r w:rsidRPr="00F25C88">
                    <w:t>-</w:t>
                  </w:r>
                </w:p>
                <w:p w14:paraId="55D2498F" w14:textId="756DB61C" w:rsidR="007363DD" w:rsidRPr="00F25C88" w:rsidRDefault="007363DD" w:rsidP="00DE19A2">
                  <w:pPr>
                    <w:pStyle w:val="ListParagraph"/>
                    <w:numPr>
                      <w:ilvl w:val="0"/>
                      <w:numId w:val="120"/>
                    </w:numPr>
                  </w:pPr>
                  <w:r w:rsidRPr="00F25C88">
                    <w:t xml:space="preserve">the further </w:t>
                  </w:r>
                  <w:proofErr w:type="gramStart"/>
                  <w:r w:rsidRPr="00F25C88">
                    <w:t>information;</w:t>
                  </w:r>
                  <w:proofErr w:type="gramEnd"/>
                </w:p>
                <w:p w14:paraId="7F5CCB5C" w14:textId="4E1F1790" w:rsidR="007363DD" w:rsidRPr="00F25C88" w:rsidRDefault="007363DD" w:rsidP="00DE19A2">
                  <w:pPr>
                    <w:pStyle w:val="ListParagraph"/>
                    <w:numPr>
                      <w:ilvl w:val="0"/>
                      <w:numId w:val="120"/>
                    </w:numPr>
                  </w:pPr>
                  <w:r w:rsidRPr="00F25C88">
                    <w:t>a further publicity notice (see paragraph (4)); and</w:t>
                  </w:r>
                </w:p>
                <w:p w14:paraId="25F29584" w14:textId="76F6F780" w:rsidR="007363DD" w:rsidRPr="00F25C88" w:rsidRDefault="007363DD" w:rsidP="00DE19A2">
                  <w:pPr>
                    <w:pStyle w:val="ListParagraph"/>
                    <w:numPr>
                      <w:ilvl w:val="0"/>
                      <w:numId w:val="120"/>
                    </w:numPr>
                  </w:pPr>
                  <w:r w:rsidRPr="00F25C88">
                    <w:t>a statement setting out the further newspaper publication date (see paragraph (5)).</w:t>
                  </w:r>
                </w:p>
              </w:tc>
            </w:tr>
            <w:tr w:rsidR="007363DD" w:rsidRPr="00F25C88" w14:paraId="4B14EB59" w14:textId="77777777" w:rsidTr="00D328FC">
              <w:tc>
                <w:tcPr>
                  <w:tcW w:w="977" w:type="dxa"/>
                  <w:tcBorders>
                    <w:top w:val="nil"/>
                    <w:left w:val="nil"/>
                    <w:bottom w:val="nil"/>
                    <w:right w:val="nil"/>
                  </w:tcBorders>
                </w:tcPr>
                <w:p w14:paraId="56D1F790" w14:textId="77777777" w:rsidR="007363DD" w:rsidRPr="00F25C88" w:rsidRDefault="007363DD" w:rsidP="00F25C88">
                  <w:r w:rsidRPr="00F25C88">
                    <w:t>10.(4)</w:t>
                  </w:r>
                </w:p>
              </w:tc>
              <w:tc>
                <w:tcPr>
                  <w:tcW w:w="5948" w:type="dxa"/>
                  <w:tcBorders>
                    <w:top w:val="nil"/>
                    <w:left w:val="nil"/>
                    <w:bottom w:val="nil"/>
                    <w:right w:val="nil"/>
                  </w:tcBorders>
                </w:tcPr>
                <w:p w14:paraId="5013337E" w14:textId="2EFCC3C8" w:rsidR="007363DD" w:rsidRPr="00F25C88" w:rsidRDefault="007363DD" w:rsidP="00F25C88">
                  <w:r w:rsidRPr="00F25C88">
                    <w:t>A further publicity notice is a notice setting out</w:t>
                  </w:r>
                  <w:r w:rsidR="00380127">
                    <w:t xml:space="preserve"> -</w:t>
                  </w:r>
                </w:p>
                <w:p w14:paraId="0BAB3CFF" w14:textId="5B2A42CD" w:rsidR="007363DD" w:rsidRPr="00F25C88" w:rsidRDefault="007363DD" w:rsidP="00DE19A2">
                  <w:pPr>
                    <w:pStyle w:val="ListParagraph"/>
                    <w:numPr>
                      <w:ilvl w:val="0"/>
                      <w:numId w:val="121"/>
                    </w:numPr>
                  </w:pPr>
                  <w:r w:rsidRPr="00F25C88">
                    <w:t xml:space="preserve">the name of the </w:t>
                  </w:r>
                  <w:proofErr w:type="gramStart"/>
                  <w:r w:rsidRPr="00F25C88">
                    <w:t>licensee;</w:t>
                  </w:r>
                  <w:proofErr w:type="gramEnd"/>
                </w:p>
                <w:p w14:paraId="434FBC68" w14:textId="538BABBE" w:rsidR="007363DD" w:rsidRPr="00F25C88" w:rsidRDefault="007363DD" w:rsidP="00DE19A2">
                  <w:pPr>
                    <w:pStyle w:val="ListParagraph"/>
                    <w:numPr>
                      <w:ilvl w:val="0"/>
                      <w:numId w:val="121"/>
                    </w:numPr>
                  </w:pPr>
                  <w:r w:rsidRPr="00F25C88">
                    <w:t xml:space="preserve">the date on which the application for consent to carry out the project was </w:t>
                  </w:r>
                  <w:proofErr w:type="gramStart"/>
                  <w:r w:rsidRPr="00F25C88">
                    <w:t>made;</w:t>
                  </w:r>
                  <w:proofErr w:type="gramEnd"/>
                </w:p>
                <w:p w14:paraId="64FBBD57" w14:textId="095AC9E1" w:rsidR="007363DD" w:rsidRPr="00F25C88" w:rsidRDefault="007363DD" w:rsidP="00DE19A2">
                  <w:pPr>
                    <w:pStyle w:val="ListParagraph"/>
                    <w:numPr>
                      <w:ilvl w:val="0"/>
                      <w:numId w:val="121"/>
                    </w:numPr>
                  </w:pPr>
                  <w:r w:rsidRPr="00F25C88">
                    <w:t xml:space="preserve">the address or location of the site at which the proposed project is to be carried </w:t>
                  </w:r>
                  <w:proofErr w:type="gramStart"/>
                  <w:r w:rsidRPr="00F25C88">
                    <w:t>out;</w:t>
                  </w:r>
                  <w:proofErr w:type="gramEnd"/>
                </w:p>
                <w:p w14:paraId="289BB176" w14:textId="7C139D56" w:rsidR="007363DD" w:rsidRPr="00F25C88" w:rsidRDefault="007363DD" w:rsidP="00DE19A2">
                  <w:pPr>
                    <w:pStyle w:val="ListParagraph"/>
                    <w:numPr>
                      <w:ilvl w:val="0"/>
                      <w:numId w:val="121"/>
                    </w:numPr>
                  </w:pPr>
                  <w:r w:rsidRPr="00F25C88">
                    <w:t>the further publicity period (see paragraph (6</w:t>
                  </w:r>
                  <w:proofErr w:type="gramStart"/>
                  <w:r w:rsidRPr="00F25C88">
                    <w:t>);</w:t>
                  </w:r>
                  <w:proofErr w:type="gramEnd"/>
                </w:p>
                <w:p w14:paraId="77F3C332" w14:textId="7F436030" w:rsidR="007363DD" w:rsidRPr="00F25C88" w:rsidRDefault="007363DD" w:rsidP="00DE19A2">
                  <w:pPr>
                    <w:pStyle w:val="ListParagraph"/>
                    <w:numPr>
                      <w:ilvl w:val="0"/>
                      <w:numId w:val="121"/>
                    </w:numPr>
                  </w:pPr>
                  <w:r w:rsidRPr="00F25C88">
                    <w:t xml:space="preserve">that further information is available in relation to an environmental statement which has already been </w:t>
                  </w:r>
                  <w:proofErr w:type="gramStart"/>
                  <w:r w:rsidRPr="00F25C88">
                    <w:t>provided;</w:t>
                  </w:r>
                  <w:proofErr w:type="gramEnd"/>
                </w:p>
                <w:p w14:paraId="5D94525E" w14:textId="263D10F6" w:rsidR="007363DD" w:rsidRPr="00F25C88" w:rsidRDefault="007363DD" w:rsidP="00DE19A2">
                  <w:pPr>
                    <w:pStyle w:val="ListParagraph"/>
                    <w:numPr>
                      <w:ilvl w:val="0"/>
                      <w:numId w:val="121"/>
                    </w:numPr>
                  </w:pPr>
                  <w:r w:rsidRPr="00F25C88">
                    <w:t xml:space="preserve">that a copy of the further information may be inspected by members of the public during the further publicity </w:t>
                  </w:r>
                  <w:proofErr w:type="gramStart"/>
                  <w:r w:rsidRPr="00F25C88">
                    <w:t>period;</w:t>
                  </w:r>
                  <w:proofErr w:type="gramEnd"/>
                </w:p>
                <w:p w14:paraId="1E28CE12" w14:textId="2904CB3A" w:rsidR="007363DD" w:rsidRPr="00F25C88" w:rsidRDefault="007363DD" w:rsidP="00DE19A2">
                  <w:pPr>
                    <w:pStyle w:val="ListParagraph"/>
                    <w:numPr>
                      <w:ilvl w:val="0"/>
                      <w:numId w:val="121"/>
                    </w:numPr>
                  </w:pPr>
                  <w:r w:rsidRPr="00F25C88">
                    <w:t xml:space="preserve">an address (or addresses) in the locality of the power station or nuclear reactor at which the further information may be </w:t>
                  </w:r>
                  <w:proofErr w:type="gramStart"/>
                  <w:r w:rsidRPr="00F25C88">
                    <w:t>inspected;</w:t>
                  </w:r>
                  <w:proofErr w:type="gramEnd"/>
                </w:p>
                <w:p w14:paraId="1E764DED" w14:textId="504B9845" w:rsidR="007363DD" w:rsidRPr="00F25C88" w:rsidRDefault="007363DD" w:rsidP="00DE19A2">
                  <w:pPr>
                    <w:pStyle w:val="ListParagraph"/>
                    <w:numPr>
                      <w:ilvl w:val="0"/>
                      <w:numId w:val="121"/>
                    </w:numPr>
                  </w:pPr>
                  <w:r w:rsidRPr="00F25C88">
                    <w:lastRenderedPageBreak/>
                    <w:t xml:space="preserve">an address (or addresses) (whether or not the same as that given under sub-paragraph (g) above) in the locality of the nuclear reactor or power station at which copies of the further information may be obtained during the further publicity </w:t>
                  </w:r>
                  <w:proofErr w:type="gramStart"/>
                  <w:r w:rsidRPr="00F25C88">
                    <w:t>period;</w:t>
                  </w:r>
                  <w:proofErr w:type="gramEnd"/>
                </w:p>
                <w:p w14:paraId="3B983837" w14:textId="20EB4C20" w:rsidR="007363DD" w:rsidRPr="00F25C88" w:rsidRDefault="007363DD" w:rsidP="00DE19A2">
                  <w:pPr>
                    <w:pStyle w:val="ListParagraph"/>
                    <w:numPr>
                      <w:ilvl w:val="0"/>
                      <w:numId w:val="121"/>
                    </w:numPr>
                  </w:pPr>
                  <w:r w:rsidRPr="00F25C88">
                    <w:t xml:space="preserve">that copies may be obtained during the further publicity period there as long as stocks </w:t>
                  </w:r>
                  <w:proofErr w:type="gramStart"/>
                  <w:r w:rsidRPr="00F25C88">
                    <w:t>last;</w:t>
                  </w:r>
                  <w:proofErr w:type="gramEnd"/>
                </w:p>
                <w:p w14:paraId="59B17BE2" w14:textId="19555979" w:rsidR="007363DD" w:rsidRPr="00F25C88" w:rsidRDefault="007363DD" w:rsidP="00DE19A2">
                  <w:pPr>
                    <w:pStyle w:val="ListParagraph"/>
                    <w:numPr>
                      <w:ilvl w:val="0"/>
                      <w:numId w:val="121"/>
                    </w:numPr>
                  </w:pPr>
                  <w:r w:rsidRPr="00F25C88">
                    <w:t xml:space="preserve">if a charge is to be made for a copy, the amount of the </w:t>
                  </w:r>
                  <w:proofErr w:type="gramStart"/>
                  <w:r w:rsidRPr="00F25C88">
                    <w:t>charge;</w:t>
                  </w:r>
                  <w:proofErr w:type="gramEnd"/>
                </w:p>
                <w:p w14:paraId="08EA6825" w14:textId="0D337FD1" w:rsidR="007363DD" w:rsidRPr="00F25C88" w:rsidRDefault="007363DD" w:rsidP="00DE19A2">
                  <w:pPr>
                    <w:pStyle w:val="ListParagraph"/>
                    <w:numPr>
                      <w:ilvl w:val="0"/>
                      <w:numId w:val="121"/>
                    </w:numPr>
                  </w:pPr>
                  <w:r w:rsidRPr="00F25C88">
                    <w:t>that a copy of the further publicity notice and the further information will be published on the ONR’s website in accordance with regulation 10</w:t>
                  </w:r>
                  <w:proofErr w:type="gramStart"/>
                  <w:r w:rsidRPr="00F25C88">
                    <w:t>A(</w:t>
                  </w:r>
                  <w:proofErr w:type="gramEnd"/>
                  <w:r w:rsidRPr="00F25C88">
                    <w:t>4) and (5);</w:t>
                  </w:r>
                </w:p>
                <w:p w14:paraId="23A9FB28" w14:textId="36953DB1" w:rsidR="007363DD" w:rsidRPr="00F25C88" w:rsidRDefault="007363DD" w:rsidP="00DE19A2">
                  <w:pPr>
                    <w:pStyle w:val="ListParagraph"/>
                    <w:numPr>
                      <w:ilvl w:val="0"/>
                      <w:numId w:val="121"/>
                    </w:numPr>
                  </w:pPr>
                  <w:r w:rsidRPr="00F25C88">
                    <w:t>that any person wishing to make representations about the further information should make them in writing to the ONR at a specified address within the further publicity period.</w:t>
                  </w:r>
                </w:p>
              </w:tc>
            </w:tr>
            <w:tr w:rsidR="007363DD" w:rsidRPr="00F25C88" w14:paraId="1BB036FD" w14:textId="77777777" w:rsidTr="00D328FC">
              <w:tc>
                <w:tcPr>
                  <w:tcW w:w="977" w:type="dxa"/>
                  <w:tcBorders>
                    <w:top w:val="nil"/>
                    <w:left w:val="nil"/>
                    <w:bottom w:val="nil"/>
                    <w:right w:val="nil"/>
                  </w:tcBorders>
                </w:tcPr>
                <w:p w14:paraId="7C95898C" w14:textId="77777777" w:rsidR="007363DD" w:rsidRPr="00F25C88" w:rsidRDefault="007363DD" w:rsidP="00F25C88">
                  <w:r w:rsidRPr="00F25C88">
                    <w:lastRenderedPageBreak/>
                    <w:t>10.(5)</w:t>
                  </w:r>
                </w:p>
              </w:tc>
              <w:tc>
                <w:tcPr>
                  <w:tcW w:w="5948" w:type="dxa"/>
                  <w:tcBorders>
                    <w:top w:val="nil"/>
                    <w:left w:val="nil"/>
                    <w:bottom w:val="nil"/>
                    <w:right w:val="nil"/>
                  </w:tcBorders>
                </w:tcPr>
                <w:p w14:paraId="0FCAC65C" w14:textId="0B712C1E" w:rsidR="007363DD" w:rsidRPr="00F25C88" w:rsidRDefault="007363DD" w:rsidP="00F25C88">
                  <w:r w:rsidRPr="00F25C88">
                    <w:t>The further newspaper publication date</w:t>
                  </w:r>
                  <w:r w:rsidR="00380127">
                    <w:t xml:space="preserve"> -</w:t>
                  </w:r>
                </w:p>
                <w:p w14:paraId="71286CB1" w14:textId="7FA80581" w:rsidR="007363DD" w:rsidRPr="00F25C88" w:rsidRDefault="007363DD" w:rsidP="00DE19A2">
                  <w:pPr>
                    <w:pStyle w:val="ListParagraph"/>
                    <w:numPr>
                      <w:ilvl w:val="0"/>
                      <w:numId w:val="122"/>
                    </w:numPr>
                  </w:pPr>
                  <w:r w:rsidRPr="00F25C88">
                    <w:t>is the date on which the licensee proposes to first publish the further publicity notice in a newspaper (see paragraph (8)); and</w:t>
                  </w:r>
                </w:p>
                <w:p w14:paraId="36DEC820" w14:textId="65CCF63B" w:rsidR="007363DD" w:rsidRPr="00F25C88" w:rsidRDefault="007363DD" w:rsidP="00DE19A2">
                  <w:pPr>
                    <w:pStyle w:val="ListParagraph"/>
                    <w:numPr>
                      <w:ilvl w:val="0"/>
                      <w:numId w:val="122"/>
                    </w:numPr>
                  </w:pPr>
                  <w:r w:rsidRPr="00F25C88">
                    <w:t>must fall within the period of 14 days beginning with the date on which the publicity notice is provided to the ONR.</w:t>
                  </w:r>
                </w:p>
              </w:tc>
            </w:tr>
            <w:tr w:rsidR="007363DD" w:rsidRPr="00F25C88" w14:paraId="2CCABA19" w14:textId="77777777" w:rsidTr="00D328FC">
              <w:tc>
                <w:tcPr>
                  <w:tcW w:w="977" w:type="dxa"/>
                  <w:tcBorders>
                    <w:top w:val="nil"/>
                    <w:left w:val="nil"/>
                    <w:bottom w:val="nil"/>
                    <w:right w:val="nil"/>
                  </w:tcBorders>
                </w:tcPr>
                <w:p w14:paraId="523A46B3" w14:textId="77777777" w:rsidR="007363DD" w:rsidRPr="00F25C88" w:rsidRDefault="007363DD" w:rsidP="00F25C88">
                  <w:r w:rsidRPr="00F25C88">
                    <w:t>10.(6)</w:t>
                  </w:r>
                </w:p>
              </w:tc>
              <w:tc>
                <w:tcPr>
                  <w:tcW w:w="5948" w:type="dxa"/>
                  <w:tcBorders>
                    <w:top w:val="nil"/>
                    <w:left w:val="nil"/>
                    <w:bottom w:val="nil"/>
                    <w:right w:val="nil"/>
                  </w:tcBorders>
                </w:tcPr>
                <w:p w14:paraId="20B7231C" w14:textId="77777777" w:rsidR="007363DD" w:rsidRPr="00F25C88" w:rsidRDefault="007363DD" w:rsidP="00F25C88">
                  <w:r w:rsidRPr="00F25C88">
                    <w:t>The further publicity period is the period of not less than 30 days beginning with the further newspaper publication date.</w:t>
                  </w:r>
                </w:p>
              </w:tc>
            </w:tr>
            <w:tr w:rsidR="007363DD" w:rsidRPr="00F25C88" w14:paraId="757D1AAD" w14:textId="77777777" w:rsidTr="00D328FC">
              <w:tc>
                <w:tcPr>
                  <w:tcW w:w="977" w:type="dxa"/>
                  <w:tcBorders>
                    <w:top w:val="nil"/>
                    <w:left w:val="nil"/>
                    <w:bottom w:val="nil"/>
                    <w:right w:val="nil"/>
                  </w:tcBorders>
                </w:tcPr>
                <w:p w14:paraId="78520B26" w14:textId="77777777" w:rsidR="007363DD" w:rsidRPr="00F25C88" w:rsidRDefault="007363DD" w:rsidP="00F25C88">
                  <w:r w:rsidRPr="00F25C88">
                    <w:t>10.(7)</w:t>
                  </w:r>
                </w:p>
              </w:tc>
              <w:tc>
                <w:tcPr>
                  <w:tcW w:w="5948" w:type="dxa"/>
                  <w:tcBorders>
                    <w:top w:val="nil"/>
                    <w:left w:val="nil"/>
                    <w:bottom w:val="nil"/>
                    <w:right w:val="nil"/>
                  </w:tcBorders>
                </w:tcPr>
                <w:p w14:paraId="7E82A83D" w14:textId="77777777" w:rsidR="007363DD" w:rsidRPr="00F25C88" w:rsidRDefault="007363DD" w:rsidP="00F25C88">
                  <w:r w:rsidRPr="00F25C88">
                    <w:t>The ONR may require the licensee to provide the further information and further publicity notice in an electronic form.</w:t>
                  </w:r>
                </w:p>
              </w:tc>
            </w:tr>
            <w:tr w:rsidR="007363DD" w:rsidRPr="00F25C88" w14:paraId="1EAFCCC2" w14:textId="77777777" w:rsidTr="00D328FC">
              <w:tc>
                <w:tcPr>
                  <w:tcW w:w="977" w:type="dxa"/>
                  <w:tcBorders>
                    <w:top w:val="nil"/>
                    <w:left w:val="nil"/>
                    <w:bottom w:val="nil"/>
                    <w:right w:val="nil"/>
                  </w:tcBorders>
                </w:tcPr>
                <w:p w14:paraId="5B755C0D" w14:textId="77777777" w:rsidR="007363DD" w:rsidRPr="00F25C88" w:rsidRDefault="007363DD" w:rsidP="00F25C88">
                  <w:r w:rsidRPr="00F25C88">
                    <w:t>10.(8)</w:t>
                  </w:r>
                </w:p>
              </w:tc>
              <w:tc>
                <w:tcPr>
                  <w:tcW w:w="5948" w:type="dxa"/>
                  <w:tcBorders>
                    <w:top w:val="nil"/>
                    <w:left w:val="nil"/>
                    <w:bottom w:val="nil"/>
                    <w:right w:val="nil"/>
                  </w:tcBorders>
                </w:tcPr>
                <w:p w14:paraId="40594CA5" w14:textId="77777777" w:rsidR="007363DD" w:rsidRPr="00F25C88" w:rsidRDefault="007363DD" w:rsidP="00F25C88">
                  <w:r w:rsidRPr="00F25C88">
                    <w:t>On the further newspaper publication date, the licensee must publish the further publicity notice—</w:t>
                  </w:r>
                </w:p>
                <w:p w14:paraId="3CDE1B53" w14:textId="05FD9280" w:rsidR="007363DD" w:rsidRPr="00F25C88" w:rsidRDefault="007363DD" w:rsidP="00DE19A2">
                  <w:pPr>
                    <w:pStyle w:val="ListParagraph"/>
                    <w:numPr>
                      <w:ilvl w:val="0"/>
                      <w:numId w:val="123"/>
                    </w:numPr>
                  </w:pPr>
                  <w:r w:rsidRPr="00F25C88">
                    <w:t>in one or more newspapers circulating in the locality in which the project is to be carried out; and</w:t>
                  </w:r>
                </w:p>
                <w:p w14:paraId="2FCB20A3" w14:textId="6226E62F" w:rsidR="007363DD" w:rsidRPr="00F25C88" w:rsidRDefault="007363DD" w:rsidP="00DE19A2">
                  <w:pPr>
                    <w:pStyle w:val="ListParagraph"/>
                    <w:numPr>
                      <w:ilvl w:val="0"/>
                      <w:numId w:val="123"/>
                    </w:numPr>
                  </w:pPr>
                  <w:r w:rsidRPr="00F25C88">
                    <w:t>in any other newspaper named by the ONR.</w:t>
                  </w:r>
                </w:p>
              </w:tc>
            </w:tr>
            <w:tr w:rsidR="007363DD" w:rsidRPr="00F25C88" w14:paraId="6F07B7B3" w14:textId="77777777" w:rsidTr="00D328FC">
              <w:tc>
                <w:tcPr>
                  <w:tcW w:w="977" w:type="dxa"/>
                  <w:tcBorders>
                    <w:top w:val="nil"/>
                    <w:left w:val="nil"/>
                    <w:bottom w:val="nil"/>
                    <w:right w:val="nil"/>
                  </w:tcBorders>
                </w:tcPr>
                <w:p w14:paraId="594EE326" w14:textId="77777777" w:rsidR="007363DD" w:rsidRPr="00F25C88" w:rsidRDefault="007363DD" w:rsidP="00F25C88">
                  <w:r w:rsidRPr="00F25C88">
                    <w:t>10.(9)</w:t>
                  </w:r>
                </w:p>
              </w:tc>
              <w:tc>
                <w:tcPr>
                  <w:tcW w:w="5948" w:type="dxa"/>
                  <w:tcBorders>
                    <w:top w:val="nil"/>
                    <w:left w:val="nil"/>
                    <w:bottom w:val="nil"/>
                    <w:right w:val="nil"/>
                  </w:tcBorders>
                </w:tcPr>
                <w:p w14:paraId="426D1D3E" w14:textId="77777777" w:rsidR="007363DD" w:rsidRPr="00F25C88" w:rsidRDefault="007363DD" w:rsidP="00F25C88">
                  <w:r w:rsidRPr="00F25C88">
                    <w:t xml:space="preserve">The licensee must provide the ONR with a copy of the notice published under paragraph (8) within the </w:t>
                  </w:r>
                  <w:r w:rsidRPr="00F25C88">
                    <w:lastRenderedPageBreak/>
                    <w:t>period of 14 days beginning with the further newspaper publication date.</w:t>
                  </w:r>
                </w:p>
              </w:tc>
            </w:tr>
            <w:tr w:rsidR="007363DD" w:rsidRPr="00F25C88" w14:paraId="441DD131" w14:textId="77777777" w:rsidTr="00D328FC">
              <w:tc>
                <w:tcPr>
                  <w:tcW w:w="977" w:type="dxa"/>
                  <w:tcBorders>
                    <w:top w:val="nil"/>
                    <w:left w:val="nil"/>
                    <w:bottom w:val="nil"/>
                    <w:right w:val="nil"/>
                  </w:tcBorders>
                </w:tcPr>
                <w:p w14:paraId="161F489D" w14:textId="77777777" w:rsidR="007363DD" w:rsidRPr="00F25C88" w:rsidRDefault="007363DD" w:rsidP="00F25C88">
                  <w:r w:rsidRPr="00F25C88">
                    <w:lastRenderedPageBreak/>
                    <w:t>10.(10)</w:t>
                  </w:r>
                </w:p>
              </w:tc>
              <w:tc>
                <w:tcPr>
                  <w:tcW w:w="5948" w:type="dxa"/>
                  <w:tcBorders>
                    <w:top w:val="nil"/>
                    <w:left w:val="nil"/>
                    <w:bottom w:val="nil"/>
                    <w:right w:val="nil"/>
                  </w:tcBorders>
                </w:tcPr>
                <w:p w14:paraId="493168CE" w14:textId="77777777" w:rsidR="007363DD" w:rsidRPr="00F25C88" w:rsidRDefault="007363DD" w:rsidP="00F25C88">
                  <w:r w:rsidRPr="00F25C88">
                    <w:t>The licensee must ensure that at the relevant address (or addresses) at all reasonable hours during the further publicity period—</w:t>
                  </w:r>
                </w:p>
                <w:p w14:paraId="078E8267" w14:textId="21C51524" w:rsidR="007363DD" w:rsidRPr="00F25C88" w:rsidRDefault="007363DD" w:rsidP="00DE19A2">
                  <w:pPr>
                    <w:pStyle w:val="ListParagraph"/>
                    <w:numPr>
                      <w:ilvl w:val="0"/>
                      <w:numId w:val="124"/>
                    </w:numPr>
                  </w:pPr>
                  <w:r w:rsidRPr="00F25C88">
                    <w:t xml:space="preserve">not less than 5 copies of the further information are available for inspection by members of the public during the further publicity </w:t>
                  </w:r>
                  <w:proofErr w:type="gramStart"/>
                  <w:r w:rsidRPr="00F25C88">
                    <w:t>period;</w:t>
                  </w:r>
                  <w:proofErr w:type="gramEnd"/>
                  <w:r w:rsidRPr="00F25C88">
                    <w:t xml:space="preserve"> and</w:t>
                  </w:r>
                </w:p>
                <w:p w14:paraId="012D5B8D" w14:textId="2050A658" w:rsidR="007363DD" w:rsidRPr="00F25C88" w:rsidRDefault="007363DD" w:rsidP="00DE19A2">
                  <w:pPr>
                    <w:pStyle w:val="ListParagraph"/>
                    <w:numPr>
                      <w:ilvl w:val="0"/>
                      <w:numId w:val="124"/>
                    </w:numPr>
                  </w:pPr>
                  <w:r w:rsidRPr="00F25C88">
                    <w:t>copies of the further information are available on payment of a reasonable charge reflecting printing and distribution costs.</w:t>
                  </w:r>
                </w:p>
              </w:tc>
            </w:tr>
          </w:tbl>
          <w:p w14:paraId="46EF1BA5" w14:textId="77777777" w:rsidR="007363DD" w:rsidRPr="00F25C88" w:rsidRDefault="007363DD" w:rsidP="00F25C88"/>
        </w:tc>
      </w:tr>
      <w:tr w:rsidR="007363DD" w:rsidRPr="009966CE" w14:paraId="40DA0608" w14:textId="77777777" w:rsidTr="00F25C88">
        <w:tc>
          <w:tcPr>
            <w:tcW w:w="771" w:type="pct"/>
            <w:shd w:val="clear" w:color="auto" w:fill="008080"/>
          </w:tcPr>
          <w:p w14:paraId="6845F039" w14:textId="77777777" w:rsidR="007363DD" w:rsidRPr="00F25C88" w:rsidRDefault="007363DD" w:rsidP="00F25C88">
            <w:pPr>
              <w:rPr>
                <w:color w:val="FFFFFF" w:themeColor="background1"/>
              </w:rPr>
            </w:pPr>
            <w:r w:rsidRPr="00F25C88">
              <w:rPr>
                <w:color w:val="FFFFFF" w:themeColor="background1"/>
              </w:rPr>
              <w:lastRenderedPageBreak/>
              <w:t>Guidance</w:t>
            </w:r>
          </w:p>
        </w:tc>
        <w:tc>
          <w:tcPr>
            <w:tcW w:w="283" w:type="pct"/>
            <w:shd w:val="clear" w:color="auto" w:fill="008080"/>
          </w:tcPr>
          <w:p w14:paraId="5E1DB5F6" w14:textId="77777777" w:rsidR="007363DD" w:rsidRPr="00F25C88" w:rsidRDefault="007363DD" w:rsidP="00F25C88">
            <w:pPr>
              <w:rPr>
                <w:color w:val="FFFFFF" w:themeColor="background1"/>
                <w:szCs w:val="24"/>
              </w:rPr>
            </w:pPr>
            <w:bookmarkStart w:id="175" w:name="_Toc82166983"/>
            <w:bookmarkStart w:id="176" w:name="_Toc117773708"/>
            <w:bookmarkStart w:id="177" w:name="_Toc117774006"/>
            <w:bookmarkStart w:id="178" w:name="_Toc117774126"/>
            <w:r w:rsidRPr="00F25C88">
              <w:rPr>
                <w:color w:val="FFFFFF" w:themeColor="background1"/>
                <w:szCs w:val="24"/>
              </w:rPr>
              <w:t>10</w:t>
            </w:r>
            <w:bookmarkEnd w:id="175"/>
            <w:bookmarkEnd w:id="176"/>
            <w:bookmarkEnd w:id="177"/>
            <w:bookmarkEnd w:id="178"/>
          </w:p>
        </w:tc>
        <w:tc>
          <w:tcPr>
            <w:tcW w:w="3946" w:type="pct"/>
          </w:tcPr>
          <w:p w14:paraId="34DA96DA" w14:textId="77777777" w:rsidR="007363DD" w:rsidRPr="00F25C88" w:rsidRDefault="007363DD" w:rsidP="00F25C88">
            <w:pPr>
              <w:pStyle w:val="Regulationpara"/>
            </w:pPr>
            <w:r w:rsidRPr="00F25C88">
              <w:t>The normal consultation period for the further information provided by the licensee, will be one month. The same bodies will be included as were consulted on the environmental statement (paragraph 56). ONR will publicise the consultation and the further information in the manner described in paragraph 57.</w:t>
            </w:r>
          </w:p>
        </w:tc>
      </w:tr>
      <w:tr w:rsidR="007363DD" w:rsidRPr="009966CE" w14:paraId="22B53912" w14:textId="77777777" w:rsidTr="00F25C88">
        <w:tc>
          <w:tcPr>
            <w:tcW w:w="771" w:type="pct"/>
            <w:shd w:val="clear" w:color="auto" w:fill="FFFFFF" w:themeFill="background1"/>
          </w:tcPr>
          <w:p w14:paraId="07263CC6" w14:textId="77777777" w:rsidR="007363DD" w:rsidRPr="00F25C88" w:rsidRDefault="007363DD" w:rsidP="00F25C88">
            <w:r w:rsidRPr="00F25C88">
              <w:t>Regulation</w:t>
            </w:r>
          </w:p>
        </w:tc>
        <w:tc>
          <w:tcPr>
            <w:tcW w:w="283" w:type="pct"/>
            <w:shd w:val="clear" w:color="auto" w:fill="FFFFFF" w:themeFill="background1"/>
          </w:tcPr>
          <w:p w14:paraId="60F61F91" w14:textId="77777777" w:rsidR="007363DD" w:rsidRPr="00F25C88" w:rsidRDefault="007363DD" w:rsidP="00F25C88">
            <w:pPr>
              <w:rPr>
                <w:szCs w:val="24"/>
              </w:rPr>
            </w:pPr>
            <w:bookmarkStart w:id="179" w:name="_Toc82166984"/>
            <w:bookmarkStart w:id="180" w:name="_Toc117773709"/>
            <w:bookmarkStart w:id="181" w:name="_Toc117774007"/>
            <w:bookmarkStart w:id="182" w:name="_Toc117774127"/>
            <w:r w:rsidRPr="00F25C88">
              <w:rPr>
                <w:szCs w:val="24"/>
              </w:rPr>
              <w:t>10</w:t>
            </w:r>
            <w:bookmarkEnd w:id="179"/>
            <w:bookmarkEnd w:id="180"/>
            <w:bookmarkEnd w:id="181"/>
            <w:bookmarkEnd w:id="182"/>
          </w:p>
        </w:tc>
        <w:tc>
          <w:tcPr>
            <w:tcW w:w="3946" w:type="pct"/>
            <w:shd w:val="clear" w:color="auto" w:fill="FFFFFF" w:themeFill="background1"/>
          </w:tcPr>
          <w:tbl>
            <w:tblPr>
              <w:tblStyle w:val="TableGrid"/>
              <w:tblW w:w="0" w:type="auto"/>
              <w:tblLook w:val="04A0" w:firstRow="1" w:lastRow="0" w:firstColumn="1" w:lastColumn="0" w:noHBand="0" w:noVBand="1"/>
            </w:tblPr>
            <w:tblGrid>
              <w:gridCol w:w="977"/>
              <w:gridCol w:w="5930"/>
            </w:tblGrid>
            <w:tr w:rsidR="007363DD" w:rsidRPr="00F25C88" w14:paraId="2A83D499" w14:textId="77777777" w:rsidTr="00D328FC">
              <w:tc>
                <w:tcPr>
                  <w:tcW w:w="977" w:type="dxa"/>
                  <w:tcBorders>
                    <w:top w:val="nil"/>
                    <w:left w:val="nil"/>
                    <w:bottom w:val="nil"/>
                    <w:right w:val="nil"/>
                  </w:tcBorders>
                </w:tcPr>
                <w:p w14:paraId="5D25DAE3" w14:textId="77777777" w:rsidR="007363DD" w:rsidRPr="00F25C88" w:rsidRDefault="007363DD" w:rsidP="00F25C88">
                  <w:r w:rsidRPr="00F25C88">
                    <w:t>10.(11)</w:t>
                  </w:r>
                </w:p>
              </w:tc>
              <w:tc>
                <w:tcPr>
                  <w:tcW w:w="5948" w:type="dxa"/>
                  <w:tcBorders>
                    <w:top w:val="nil"/>
                    <w:left w:val="nil"/>
                    <w:bottom w:val="nil"/>
                    <w:right w:val="nil"/>
                  </w:tcBorders>
                </w:tcPr>
                <w:p w14:paraId="104B0ECF" w14:textId="77777777" w:rsidR="007363DD" w:rsidRPr="00F25C88" w:rsidRDefault="007363DD" w:rsidP="00F25C88">
                  <w:r w:rsidRPr="00F25C88">
                    <w:t>The ONR may by notice in writing require a licensee to produce such evidence as the ONR may reasonably require for the purpose of verifying any information in the licensee’s environmental statement.</w:t>
                  </w:r>
                </w:p>
              </w:tc>
            </w:tr>
          </w:tbl>
          <w:p w14:paraId="1E7FAA4E" w14:textId="77777777" w:rsidR="007363DD" w:rsidRPr="00F25C88" w:rsidRDefault="007363DD" w:rsidP="00F25C88"/>
        </w:tc>
      </w:tr>
      <w:tr w:rsidR="007363DD" w:rsidRPr="009966CE" w14:paraId="21E71358" w14:textId="77777777" w:rsidTr="00F25C88">
        <w:tc>
          <w:tcPr>
            <w:tcW w:w="771" w:type="pct"/>
            <w:shd w:val="clear" w:color="auto" w:fill="008080"/>
          </w:tcPr>
          <w:p w14:paraId="1D5B2D00" w14:textId="77777777" w:rsidR="007363DD" w:rsidRDefault="007363DD" w:rsidP="00F25C88">
            <w:pPr>
              <w:rPr>
                <w:color w:val="FFFFFF" w:themeColor="background1"/>
              </w:rPr>
            </w:pPr>
            <w:r>
              <w:rPr>
                <w:color w:val="FFFFFF" w:themeColor="background1"/>
              </w:rPr>
              <w:t>Guidance</w:t>
            </w:r>
          </w:p>
        </w:tc>
        <w:tc>
          <w:tcPr>
            <w:tcW w:w="283" w:type="pct"/>
            <w:shd w:val="clear" w:color="auto" w:fill="008080"/>
          </w:tcPr>
          <w:p w14:paraId="4DDA1B16" w14:textId="77777777" w:rsidR="007363DD" w:rsidRDefault="007363DD" w:rsidP="00F25C88">
            <w:pPr>
              <w:rPr>
                <w:color w:val="FFFFFF" w:themeColor="background1"/>
                <w:szCs w:val="24"/>
              </w:rPr>
            </w:pPr>
            <w:bookmarkStart w:id="183" w:name="_Toc82166985"/>
            <w:bookmarkStart w:id="184" w:name="_Toc117773710"/>
            <w:bookmarkStart w:id="185" w:name="_Toc117774008"/>
            <w:bookmarkStart w:id="186" w:name="_Toc117774128"/>
            <w:r>
              <w:rPr>
                <w:color w:val="FFFFFF" w:themeColor="background1"/>
                <w:szCs w:val="24"/>
              </w:rPr>
              <w:t>10</w:t>
            </w:r>
            <w:bookmarkEnd w:id="183"/>
            <w:bookmarkEnd w:id="184"/>
            <w:bookmarkEnd w:id="185"/>
            <w:bookmarkEnd w:id="186"/>
          </w:p>
        </w:tc>
        <w:tc>
          <w:tcPr>
            <w:tcW w:w="3946" w:type="pct"/>
          </w:tcPr>
          <w:p w14:paraId="434DFCC6" w14:textId="77777777" w:rsidR="007363DD" w:rsidRPr="009966CE" w:rsidRDefault="007363DD" w:rsidP="00F25C88">
            <w:pPr>
              <w:pStyle w:val="Regulationpara"/>
            </w:pPr>
            <w:r w:rsidRPr="0083170B">
              <w:t>ONR may request the licensee to produce evidence to verify information in the environmental statement. The evidence provided should sufficiently address those issues raised by ONR in the request for evidence. Evidence is not subject to public consultation.</w:t>
            </w:r>
          </w:p>
        </w:tc>
      </w:tr>
    </w:tbl>
    <w:p w14:paraId="43CE2C2F" w14:textId="194FA1CB" w:rsidR="007363DD" w:rsidRDefault="00E36E64" w:rsidP="00747DBC">
      <w:pPr>
        <w:pStyle w:val="Heading2"/>
        <w:ind w:left="0" w:firstLine="0"/>
      </w:pPr>
      <w:bookmarkStart w:id="187" w:name="_Toc124416329"/>
      <w:r>
        <w:t>Regulation 10A Further Information: ONR Obligations and Website Publicity</w:t>
      </w:r>
      <w:bookmarkEnd w:id="18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663"/>
        <w:gridCol w:w="6972"/>
      </w:tblGrid>
      <w:tr w:rsidR="00D824D0" w:rsidRPr="00747DBC" w14:paraId="7CE6F28A" w14:textId="77777777" w:rsidTr="00747DBC">
        <w:tc>
          <w:tcPr>
            <w:tcW w:w="771" w:type="pct"/>
          </w:tcPr>
          <w:p w14:paraId="56173BE8" w14:textId="77777777" w:rsidR="00D824D0" w:rsidRPr="00747DBC" w:rsidRDefault="00D824D0" w:rsidP="00747DBC">
            <w:r w:rsidRPr="00747DBC">
              <w:t>Regulation</w:t>
            </w:r>
          </w:p>
        </w:tc>
        <w:tc>
          <w:tcPr>
            <w:tcW w:w="367" w:type="pct"/>
          </w:tcPr>
          <w:p w14:paraId="54622878" w14:textId="77777777" w:rsidR="00D824D0" w:rsidRPr="00747DBC" w:rsidRDefault="00D824D0" w:rsidP="00747DBC">
            <w:pPr>
              <w:rPr>
                <w:szCs w:val="24"/>
              </w:rPr>
            </w:pPr>
            <w:bookmarkStart w:id="188" w:name="_Toc82166987"/>
            <w:bookmarkStart w:id="189" w:name="_Toc117773712"/>
            <w:bookmarkStart w:id="190" w:name="_Toc117774010"/>
            <w:bookmarkStart w:id="191" w:name="_Toc117774130"/>
            <w:r w:rsidRPr="00747DBC">
              <w:rPr>
                <w:szCs w:val="24"/>
              </w:rPr>
              <w:t>10A</w:t>
            </w:r>
            <w:bookmarkEnd w:id="188"/>
            <w:bookmarkEnd w:id="189"/>
            <w:bookmarkEnd w:id="190"/>
            <w:bookmarkEnd w:id="191"/>
          </w:p>
        </w:tc>
        <w:tc>
          <w:tcPr>
            <w:tcW w:w="3862" w:type="pct"/>
          </w:tcPr>
          <w:tbl>
            <w:tblPr>
              <w:tblStyle w:val="TableGrid"/>
              <w:tblW w:w="0" w:type="auto"/>
              <w:tblLook w:val="04A0" w:firstRow="1" w:lastRow="0" w:firstColumn="1" w:lastColumn="0" w:noHBand="0" w:noVBand="1"/>
            </w:tblPr>
            <w:tblGrid>
              <w:gridCol w:w="1004"/>
              <w:gridCol w:w="5752"/>
            </w:tblGrid>
            <w:tr w:rsidR="00D824D0" w:rsidRPr="00747DBC" w14:paraId="0EB30F38" w14:textId="77777777" w:rsidTr="00D328FC">
              <w:tc>
                <w:tcPr>
                  <w:tcW w:w="1004" w:type="dxa"/>
                  <w:tcBorders>
                    <w:top w:val="nil"/>
                    <w:left w:val="nil"/>
                    <w:bottom w:val="nil"/>
                    <w:right w:val="nil"/>
                  </w:tcBorders>
                </w:tcPr>
                <w:p w14:paraId="54B760BB" w14:textId="77777777" w:rsidR="00D824D0" w:rsidRPr="00747DBC" w:rsidRDefault="00D824D0" w:rsidP="00747DBC">
                  <w:r w:rsidRPr="00747DBC">
                    <w:t>10</w:t>
                  </w:r>
                  <w:proofErr w:type="gramStart"/>
                  <w:r w:rsidRPr="00747DBC">
                    <w:t>A.(</w:t>
                  </w:r>
                  <w:proofErr w:type="gramEnd"/>
                  <w:r w:rsidRPr="00747DBC">
                    <w:t>1)</w:t>
                  </w:r>
                </w:p>
              </w:tc>
              <w:tc>
                <w:tcPr>
                  <w:tcW w:w="5762" w:type="dxa"/>
                  <w:tcBorders>
                    <w:top w:val="nil"/>
                    <w:left w:val="nil"/>
                    <w:bottom w:val="nil"/>
                    <w:right w:val="nil"/>
                  </w:tcBorders>
                </w:tcPr>
                <w:p w14:paraId="1A06B74F" w14:textId="77777777" w:rsidR="00D824D0" w:rsidRPr="00747DBC" w:rsidRDefault="00D824D0" w:rsidP="00747DBC">
                  <w:r w:rsidRPr="00747DBC">
                    <w:t>Where the ONR has provided information relating to an environmental statement to a consultation body or other person under regulation 8 and the ONR receives further information relating to the environmental statement under regulation 10(3)(a), the ONR must send a copy of the further information to that body or person.</w:t>
                  </w:r>
                </w:p>
              </w:tc>
            </w:tr>
            <w:tr w:rsidR="00D824D0" w:rsidRPr="00747DBC" w14:paraId="15C078A7" w14:textId="77777777" w:rsidTr="00D328FC">
              <w:tc>
                <w:tcPr>
                  <w:tcW w:w="1004" w:type="dxa"/>
                  <w:tcBorders>
                    <w:top w:val="nil"/>
                    <w:left w:val="nil"/>
                    <w:bottom w:val="nil"/>
                    <w:right w:val="nil"/>
                  </w:tcBorders>
                </w:tcPr>
                <w:p w14:paraId="065B8FB2" w14:textId="77777777" w:rsidR="00D824D0" w:rsidRPr="00747DBC" w:rsidRDefault="00D824D0" w:rsidP="00747DBC">
                  <w:r w:rsidRPr="00747DBC">
                    <w:t>10</w:t>
                  </w:r>
                  <w:proofErr w:type="gramStart"/>
                  <w:r w:rsidRPr="00747DBC">
                    <w:t>A.(</w:t>
                  </w:r>
                  <w:proofErr w:type="gramEnd"/>
                  <w:r w:rsidRPr="00747DBC">
                    <w:t>2)</w:t>
                  </w:r>
                </w:p>
              </w:tc>
              <w:tc>
                <w:tcPr>
                  <w:tcW w:w="5762" w:type="dxa"/>
                  <w:tcBorders>
                    <w:top w:val="nil"/>
                    <w:left w:val="nil"/>
                    <w:bottom w:val="nil"/>
                    <w:right w:val="nil"/>
                  </w:tcBorders>
                </w:tcPr>
                <w:p w14:paraId="01A4438F" w14:textId="77777777" w:rsidR="00D824D0" w:rsidRPr="00747DBC" w:rsidRDefault="00D824D0" w:rsidP="00747DBC">
                  <w:r w:rsidRPr="00747DBC">
                    <w:t xml:space="preserve">The ONR may by notice in writing require the licensee to provide such number of copies of the </w:t>
                  </w:r>
                  <w:r w:rsidRPr="00747DBC">
                    <w:lastRenderedPageBreak/>
                    <w:t>further information as is specified in the notice (being the number required for the purposes of paragraph (1)).</w:t>
                  </w:r>
                </w:p>
              </w:tc>
            </w:tr>
            <w:tr w:rsidR="00D824D0" w:rsidRPr="00747DBC" w14:paraId="3F8A156F" w14:textId="77777777" w:rsidTr="00D328FC">
              <w:tc>
                <w:tcPr>
                  <w:tcW w:w="1004" w:type="dxa"/>
                  <w:tcBorders>
                    <w:top w:val="nil"/>
                    <w:left w:val="nil"/>
                    <w:bottom w:val="nil"/>
                    <w:right w:val="nil"/>
                  </w:tcBorders>
                </w:tcPr>
                <w:p w14:paraId="13E15EE3" w14:textId="77777777" w:rsidR="00D824D0" w:rsidRPr="00747DBC" w:rsidRDefault="00D824D0" w:rsidP="00747DBC">
                  <w:r w:rsidRPr="00747DBC">
                    <w:lastRenderedPageBreak/>
                    <w:t>10</w:t>
                  </w:r>
                  <w:proofErr w:type="gramStart"/>
                  <w:r w:rsidRPr="00747DBC">
                    <w:t>A.(</w:t>
                  </w:r>
                  <w:proofErr w:type="gramEnd"/>
                  <w:r w:rsidRPr="00747DBC">
                    <w:t>3)</w:t>
                  </w:r>
                </w:p>
              </w:tc>
              <w:tc>
                <w:tcPr>
                  <w:tcW w:w="5762" w:type="dxa"/>
                  <w:tcBorders>
                    <w:top w:val="nil"/>
                    <w:left w:val="nil"/>
                    <w:bottom w:val="nil"/>
                    <w:right w:val="nil"/>
                  </w:tcBorders>
                </w:tcPr>
                <w:p w14:paraId="4801DCA1" w14:textId="77777777" w:rsidR="00D824D0" w:rsidRPr="00747DBC" w:rsidRDefault="00D824D0" w:rsidP="00747DBC">
                  <w:r w:rsidRPr="00747DBC">
                    <w:t>Upon sending the notice the ONR—</w:t>
                  </w:r>
                </w:p>
                <w:p w14:paraId="0A79EA7D" w14:textId="6E04AEE3" w:rsidR="00D824D0" w:rsidRPr="00747DBC" w:rsidRDefault="00D824D0" w:rsidP="00DE19A2">
                  <w:pPr>
                    <w:pStyle w:val="ListParagraph"/>
                    <w:numPr>
                      <w:ilvl w:val="0"/>
                      <w:numId w:val="125"/>
                    </w:numPr>
                  </w:pPr>
                  <w:r w:rsidRPr="00747DBC">
                    <w:t>must suspend consideration of the application; and</w:t>
                  </w:r>
                </w:p>
                <w:p w14:paraId="02257F0D" w14:textId="1EDF0BA7" w:rsidR="00D824D0" w:rsidRPr="00747DBC" w:rsidRDefault="00D824D0" w:rsidP="00DE19A2">
                  <w:pPr>
                    <w:pStyle w:val="ListParagraph"/>
                    <w:numPr>
                      <w:ilvl w:val="0"/>
                      <w:numId w:val="125"/>
                    </w:numPr>
                  </w:pPr>
                  <w:r w:rsidRPr="00747DBC">
                    <w:t>must not determine the application before the later of—</w:t>
                  </w:r>
                </w:p>
                <w:p w14:paraId="7387CDB1" w14:textId="360FF516" w:rsidR="00D824D0" w:rsidRPr="00747DBC" w:rsidRDefault="00D824D0" w:rsidP="00DE19A2">
                  <w:pPr>
                    <w:pStyle w:val="ListParagraph"/>
                    <w:numPr>
                      <w:ilvl w:val="0"/>
                      <w:numId w:val="126"/>
                    </w:numPr>
                  </w:pPr>
                  <w:r w:rsidRPr="00747DBC">
                    <w:t>the expiry of 14 days after the date on which the further information was sent to each body or person in accordance with paragraph (1</w:t>
                  </w:r>
                  <w:proofErr w:type="gramStart"/>
                  <w:r w:rsidRPr="00747DBC">
                    <w:t>);</w:t>
                  </w:r>
                  <w:proofErr w:type="gramEnd"/>
                </w:p>
                <w:p w14:paraId="3BEAF371" w14:textId="0028CB06" w:rsidR="00D824D0" w:rsidRPr="00747DBC" w:rsidRDefault="00D824D0" w:rsidP="00DE19A2">
                  <w:pPr>
                    <w:pStyle w:val="ListParagraph"/>
                    <w:numPr>
                      <w:ilvl w:val="0"/>
                      <w:numId w:val="126"/>
                    </w:numPr>
                  </w:pPr>
                  <w:r w:rsidRPr="00747DBC">
                    <w:t>the expiry of 30 days after the further newspaper publication date (see regulation 10(5)).</w:t>
                  </w:r>
                </w:p>
              </w:tc>
            </w:tr>
            <w:tr w:rsidR="00D824D0" w:rsidRPr="00747DBC" w14:paraId="325F7229" w14:textId="77777777" w:rsidTr="00D328FC">
              <w:tc>
                <w:tcPr>
                  <w:tcW w:w="1004" w:type="dxa"/>
                  <w:tcBorders>
                    <w:top w:val="nil"/>
                    <w:left w:val="nil"/>
                    <w:bottom w:val="nil"/>
                    <w:right w:val="nil"/>
                  </w:tcBorders>
                </w:tcPr>
                <w:p w14:paraId="2F6525EE" w14:textId="77777777" w:rsidR="00D824D0" w:rsidRPr="00747DBC" w:rsidRDefault="00D824D0" w:rsidP="00747DBC">
                  <w:r w:rsidRPr="00747DBC">
                    <w:t>10</w:t>
                  </w:r>
                  <w:proofErr w:type="gramStart"/>
                  <w:r w:rsidRPr="00747DBC">
                    <w:t>A.(</w:t>
                  </w:r>
                  <w:proofErr w:type="gramEnd"/>
                  <w:r w:rsidRPr="00747DBC">
                    <w:t>4)</w:t>
                  </w:r>
                </w:p>
              </w:tc>
              <w:tc>
                <w:tcPr>
                  <w:tcW w:w="5762" w:type="dxa"/>
                  <w:tcBorders>
                    <w:top w:val="nil"/>
                    <w:left w:val="nil"/>
                    <w:bottom w:val="nil"/>
                    <w:right w:val="nil"/>
                  </w:tcBorders>
                </w:tcPr>
                <w:p w14:paraId="566CF6CC" w14:textId="77777777" w:rsidR="00D824D0" w:rsidRPr="00747DBC" w:rsidRDefault="00D824D0" w:rsidP="00747DBC">
                  <w:r w:rsidRPr="00747DBC">
                    <w:t>The ONR must publish the following information on its website on the further newspaper publication date—</w:t>
                  </w:r>
                </w:p>
                <w:p w14:paraId="2D44DA0F" w14:textId="219583A3" w:rsidR="00D824D0" w:rsidRPr="00747DBC" w:rsidRDefault="00D824D0" w:rsidP="00DE19A2">
                  <w:pPr>
                    <w:pStyle w:val="ListParagraph"/>
                    <w:numPr>
                      <w:ilvl w:val="0"/>
                      <w:numId w:val="127"/>
                    </w:numPr>
                  </w:pPr>
                  <w:r w:rsidRPr="00747DBC">
                    <w:t>the further publicity notice; and</w:t>
                  </w:r>
                </w:p>
                <w:p w14:paraId="456E4525" w14:textId="3DFFE5BC" w:rsidR="00D824D0" w:rsidRPr="00747DBC" w:rsidRDefault="00D824D0" w:rsidP="00DE19A2">
                  <w:pPr>
                    <w:pStyle w:val="ListParagraph"/>
                    <w:numPr>
                      <w:ilvl w:val="0"/>
                      <w:numId w:val="127"/>
                    </w:numPr>
                  </w:pPr>
                  <w:r w:rsidRPr="00747DBC">
                    <w:t>the further information.</w:t>
                  </w:r>
                </w:p>
              </w:tc>
            </w:tr>
            <w:tr w:rsidR="00D824D0" w:rsidRPr="00747DBC" w14:paraId="3990F5CF" w14:textId="77777777" w:rsidTr="00D328FC">
              <w:tc>
                <w:tcPr>
                  <w:tcW w:w="1004" w:type="dxa"/>
                  <w:tcBorders>
                    <w:top w:val="nil"/>
                    <w:left w:val="nil"/>
                    <w:bottom w:val="nil"/>
                    <w:right w:val="nil"/>
                  </w:tcBorders>
                </w:tcPr>
                <w:p w14:paraId="12AB60F2" w14:textId="77777777" w:rsidR="00D824D0" w:rsidRPr="00747DBC" w:rsidRDefault="00D824D0" w:rsidP="00747DBC">
                  <w:r w:rsidRPr="00747DBC">
                    <w:t>10</w:t>
                  </w:r>
                  <w:proofErr w:type="gramStart"/>
                  <w:r w:rsidRPr="00747DBC">
                    <w:t>A.(</w:t>
                  </w:r>
                  <w:proofErr w:type="gramEnd"/>
                  <w:r w:rsidRPr="00747DBC">
                    <w:t>5)</w:t>
                  </w:r>
                </w:p>
              </w:tc>
              <w:tc>
                <w:tcPr>
                  <w:tcW w:w="5762" w:type="dxa"/>
                  <w:tcBorders>
                    <w:top w:val="nil"/>
                    <w:left w:val="nil"/>
                    <w:bottom w:val="nil"/>
                    <w:right w:val="nil"/>
                  </w:tcBorders>
                </w:tcPr>
                <w:p w14:paraId="53B2D36B" w14:textId="77777777" w:rsidR="00D824D0" w:rsidRPr="00747DBC" w:rsidRDefault="00D824D0" w:rsidP="00747DBC">
                  <w:r w:rsidRPr="00747DBC">
                    <w:t>The ONR must ensure that the further information continues to be so published for a period of—</w:t>
                  </w:r>
                </w:p>
                <w:p w14:paraId="0E658FDC" w14:textId="48F8412F" w:rsidR="00D824D0" w:rsidRPr="00747DBC" w:rsidRDefault="00D824D0" w:rsidP="00DE19A2">
                  <w:pPr>
                    <w:pStyle w:val="ListParagraph"/>
                    <w:numPr>
                      <w:ilvl w:val="0"/>
                      <w:numId w:val="128"/>
                    </w:numPr>
                  </w:pPr>
                  <w:r w:rsidRPr="00747DBC">
                    <w:t>30 days beginning with the date of further newspaper publication date; or</w:t>
                  </w:r>
                </w:p>
                <w:p w14:paraId="694C922F" w14:textId="5056D8D9" w:rsidR="00D824D0" w:rsidRPr="00747DBC" w:rsidRDefault="00D824D0" w:rsidP="00DE19A2">
                  <w:pPr>
                    <w:pStyle w:val="ListParagraph"/>
                    <w:numPr>
                      <w:ilvl w:val="0"/>
                      <w:numId w:val="128"/>
                    </w:numPr>
                  </w:pPr>
                  <w:r w:rsidRPr="00747DBC">
                    <w:t>such longer period as the ONR considers appropriate.</w:t>
                  </w:r>
                </w:p>
              </w:tc>
            </w:tr>
          </w:tbl>
          <w:p w14:paraId="0932CCC9" w14:textId="77777777" w:rsidR="00D824D0" w:rsidRPr="00747DBC" w:rsidRDefault="00D824D0" w:rsidP="00747DBC"/>
        </w:tc>
      </w:tr>
      <w:tr w:rsidR="00D824D0" w:rsidRPr="00747DBC" w14:paraId="35302187" w14:textId="77777777" w:rsidTr="00747DBC">
        <w:tc>
          <w:tcPr>
            <w:tcW w:w="771" w:type="pct"/>
            <w:shd w:val="clear" w:color="auto" w:fill="008080"/>
          </w:tcPr>
          <w:p w14:paraId="42F388D3" w14:textId="77777777" w:rsidR="00D824D0" w:rsidRPr="00747DBC" w:rsidRDefault="00D824D0" w:rsidP="00747DBC">
            <w:pPr>
              <w:rPr>
                <w:color w:val="FFFFFF" w:themeColor="background1"/>
              </w:rPr>
            </w:pPr>
            <w:r w:rsidRPr="00747DBC">
              <w:rPr>
                <w:color w:val="FFFFFF" w:themeColor="background1"/>
              </w:rPr>
              <w:lastRenderedPageBreak/>
              <w:t>Guidance</w:t>
            </w:r>
          </w:p>
        </w:tc>
        <w:tc>
          <w:tcPr>
            <w:tcW w:w="367" w:type="pct"/>
            <w:shd w:val="clear" w:color="auto" w:fill="008080"/>
          </w:tcPr>
          <w:p w14:paraId="13D4E7B0" w14:textId="77777777" w:rsidR="00D824D0" w:rsidRPr="00747DBC" w:rsidRDefault="00D824D0" w:rsidP="00747DBC">
            <w:pPr>
              <w:rPr>
                <w:color w:val="FFFFFF" w:themeColor="background1"/>
                <w:szCs w:val="24"/>
              </w:rPr>
            </w:pPr>
            <w:bookmarkStart w:id="192" w:name="_Toc82166988"/>
            <w:bookmarkStart w:id="193" w:name="_Toc117773713"/>
            <w:bookmarkStart w:id="194" w:name="_Toc117774011"/>
            <w:bookmarkStart w:id="195" w:name="_Toc117774131"/>
            <w:r w:rsidRPr="00747DBC">
              <w:rPr>
                <w:color w:val="FFFFFF" w:themeColor="background1"/>
                <w:szCs w:val="24"/>
              </w:rPr>
              <w:t>10A</w:t>
            </w:r>
            <w:bookmarkEnd w:id="192"/>
            <w:bookmarkEnd w:id="193"/>
            <w:bookmarkEnd w:id="194"/>
            <w:bookmarkEnd w:id="195"/>
          </w:p>
        </w:tc>
        <w:tc>
          <w:tcPr>
            <w:tcW w:w="3862" w:type="pct"/>
          </w:tcPr>
          <w:p w14:paraId="69C90707" w14:textId="77777777" w:rsidR="00D824D0" w:rsidRPr="00747DBC" w:rsidRDefault="00D824D0" w:rsidP="00747DBC">
            <w:pPr>
              <w:pStyle w:val="Regulationpara"/>
            </w:pPr>
            <w:r w:rsidRPr="00747DBC">
              <w:t xml:space="preserve">The ONR will provide the further information relating to the environmental statement to any consultation body or other person under regulation 8 to whom they previously provided information within a reasonable </w:t>
            </w:r>
            <w:proofErr w:type="gramStart"/>
            <w:r w:rsidRPr="00747DBC">
              <w:t>period of time</w:t>
            </w:r>
            <w:proofErr w:type="gramEnd"/>
            <w:r w:rsidRPr="00747DBC">
              <w:t xml:space="preserve"> from receiving such information from the licensee. </w:t>
            </w:r>
          </w:p>
          <w:p w14:paraId="601F8B4E" w14:textId="77777777" w:rsidR="00D824D0" w:rsidRPr="00747DBC" w:rsidRDefault="00D824D0" w:rsidP="00747DBC">
            <w:pPr>
              <w:pStyle w:val="Regulationpara"/>
            </w:pPr>
            <w:r w:rsidRPr="00747DBC">
              <w:t>The ONR will publish the further information and the further publicity notice on its website.</w:t>
            </w:r>
          </w:p>
        </w:tc>
      </w:tr>
    </w:tbl>
    <w:p w14:paraId="2F0ABE1A" w14:textId="7DA391A8" w:rsidR="00D824D0" w:rsidRDefault="009104EE" w:rsidP="00A01C3E">
      <w:pPr>
        <w:pStyle w:val="Heading2"/>
      </w:pPr>
      <w:bookmarkStart w:id="196" w:name="_Toc124416330"/>
      <w:r>
        <w:t>Regulation 10B Conclusion about Environmental Impact</w:t>
      </w:r>
      <w:bookmarkEnd w:id="19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675"/>
        <w:gridCol w:w="6959"/>
      </w:tblGrid>
      <w:tr w:rsidR="002C5072" w:rsidRPr="00747DBC" w14:paraId="04A8561C" w14:textId="77777777" w:rsidTr="00747DBC">
        <w:tc>
          <w:tcPr>
            <w:tcW w:w="771" w:type="pct"/>
          </w:tcPr>
          <w:p w14:paraId="5A165BCA" w14:textId="77777777" w:rsidR="002C5072" w:rsidRPr="00747DBC" w:rsidRDefault="002C5072" w:rsidP="00747DBC">
            <w:r w:rsidRPr="00747DBC">
              <w:t>Regulation</w:t>
            </w:r>
          </w:p>
        </w:tc>
        <w:tc>
          <w:tcPr>
            <w:tcW w:w="374" w:type="pct"/>
          </w:tcPr>
          <w:p w14:paraId="26CC30D9" w14:textId="77777777" w:rsidR="002C5072" w:rsidRPr="00747DBC" w:rsidRDefault="002C5072" w:rsidP="00747DBC">
            <w:pPr>
              <w:rPr>
                <w:szCs w:val="24"/>
              </w:rPr>
            </w:pPr>
            <w:bookmarkStart w:id="197" w:name="_Toc82166990"/>
            <w:bookmarkStart w:id="198" w:name="_Toc117773715"/>
            <w:bookmarkStart w:id="199" w:name="_Toc117774013"/>
            <w:bookmarkStart w:id="200" w:name="_Toc117774133"/>
            <w:r w:rsidRPr="00747DBC">
              <w:rPr>
                <w:szCs w:val="24"/>
              </w:rPr>
              <w:t>10B</w:t>
            </w:r>
            <w:bookmarkEnd w:id="197"/>
            <w:bookmarkEnd w:id="198"/>
            <w:bookmarkEnd w:id="199"/>
            <w:bookmarkEnd w:id="200"/>
          </w:p>
        </w:tc>
        <w:tc>
          <w:tcPr>
            <w:tcW w:w="3855" w:type="pct"/>
          </w:tcPr>
          <w:tbl>
            <w:tblPr>
              <w:tblStyle w:val="TableGrid"/>
              <w:tblW w:w="0" w:type="auto"/>
              <w:tblLook w:val="04A0" w:firstRow="1" w:lastRow="0" w:firstColumn="1" w:lastColumn="0" w:noHBand="0" w:noVBand="1"/>
            </w:tblPr>
            <w:tblGrid>
              <w:gridCol w:w="1004"/>
              <w:gridCol w:w="5739"/>
            </w:tblGrid>
            <w:tr w:rsidR="002C5072" w:rsidRPr="00747DBC" w14:paraId="54B0A1D0" w14:textId="77777777" w:rsidTr="00D328FC">
              <w:tc>
                <w:tcPr>
                  <w:tcW w:w="1004" w:type="dxa"/>
                  <w:tcBorders>
                    <w:top w:val="nil"/>
                    <w:left w:val="nil"/>
                    <w:bottom w:val="nil"/>
                    <w:right w:val="nil"/>
                  </w:tcBorders>
                </w:tcPr>
                <w:p w14:paraId="027AADDB" w14:textId="77777777" w:rsidR="002C5072" w:rsidRPr="00747DBC" w:rsidRDefault="002C5072" w:rsidP="00747DBC">
                  <w:r w:rsidRPr="00747DBC">
                    <w:t>10</w:t>
                  </w:r>
                  <w:proofErr w:type="gramStart"/>
                  <w:r w:rsidRPr="00747DBC">
                    <w:t>B.(</w:t>
                  </w:r>
                  <w:proofErr w:type="gramEnd"/>
                  <w:r w:rsidRPr="00747DBC">
                    <w:t>1)</w:t>
                  </w:r>
                </w:p>
              </w:tc>
              <w:tc>
                <w:tcPr>
                  <w:tcW w:w="5762" w:type="dxa"/>
                  <w:tcBorders>
                    <w:top w:val="nil"/>
                    <w:left w:val="nil"/>
                    <w:bottom w:val="nil"/>
                    <w:right w:val="nil"/>
                  </w:tcBorders>
                </w:tcPr>
                <w:p w14:paraId="376C66CD" w14:textId="77777777" w:rsidR="002C5072" w:rsidRPr="00747DBC" w:rsidRDefault="002C5072" w:rsidP="00747DBC">
                  <w:r w:rsidRPr="00747DBC">
                    <w:t>Before granting consent to carry out a project, the ONR must comply with paragraphs (2) and (3).</w:t>
                  </w:r>
                </w:p>
              </w:tc>
            </w:tr>
            <w:tr w:rsidR="002C5072" w:rsidRPr="00747DBC" w14:paraId="11695155" w14:textId="77777777" w:rsidTr="00D328FC">
              <w:tc>
                <w:tcPr>
                  <w:tcW w:w="1004" w:type="dxa"/>
                  <w:tcBorders>
                    <w:top w:val="nil"/>
                    <w:left w:val="nil"/>
                    <w:bottom w:val="nil"/>
                    <w:right w:val="nil"/>
                  </w:tcBorders>
                </w:tcPr>
                <w:p w14:paraId="173C8327" w14:textId="77777777" w:rsidR="002C5072" w:rsidRPr="00747DBC" w:rsidRDefault="002C5072" w:rsidP="00747DBC">
                  <w:r w:rsidRPr="00747DBC">
                    <w:lastRenderedPageBreak/>
                    <w:t>10</w:t>
                  </w:r>
                  <w:proofErr w:type="gramStart"/>
                  <w:r w:rsidRPr="00747DBC">
                    <w:t>B.(</w:t>
                  </w:r>
                  <w:proofErr w:type="gramEnd"/>
                  <w:r w:rsidRPr="00747DBC">
                    <w:t>2)</w:t>
                  </w:r>
                </w:p>
              </w:tc>
              <w:tc>
                <w:tcPr>
                  <w:tcW w:w="5762" w:type="dxa"/>
                  <w:tcBorders>
                    <w:top w:val="nil"/>
                    <w:left w:val="nil"/>
                    <w:bottom w:val="nil"/>
                    <w:right w:val="nil"/>
                  </w:tcBorders>
                </w:tcPr>
                <w:p w14:paraId="078039CD" w14:textId="77777777" w:rsidR="002C5072" w:rsidRPr="00747DBC" w:rsidRDefault="002C5072" w:rsidP="00747DBC">
                  <w:r w:rsidRPr="00747DBC">
                    <w:t>The ONR must consider (ensuring that in doing so it has or has access to any expertise it considers necessary)—</w:t>
                  </w:r>
                </w:p>
                <w:p w14:paraId="5D361DA6" w14:textId="50A77072" w:rsidR="002C5072" w:rsidRPr="00747DBC" w:rsidRDefault="002C5072" w:rsidP="00DE19A2">
                  <w:pPr>
                    <w:pStyle w:val="ListParagraph"/>
                    <w:numPr>
                      <w:ilvl w:val="0"/>
                      <w:numId w:val="129"/>
                    </w:numPr>
                  </w:pPr>
                  <w:r w:rsidRPr="00747DBC">
                    <w:t xml:space="preserve">the environmental </w:t>
                  </w:r>
                  <w:proofErr w:type="gramStart"/>
                  <w:r w:rsidRPr="00747DBC">
                    <w:t>statement;</w:t>
                  </w:r>
                  <w:proofErr w:type="gramEnd"/>
                </w:p>
                <w:p w14:paraId="001C61A5" w14:textId="07F94941" w:rsidR="002C5072" w:rsidRPr="00747DBC" w:rsidRDefault="002C5072" w:rsidP="00DE19A2">
                  <w:pPr>
                    <w:pStyle w:val="ListParagraph"/>
                    <w:numPr>
                      <w:ilvl w:val="0"/>
                      <w:numId w:val="129"/>
                    </w:numPr>
                  </w:pPr>
                  <w:r w:rsidRPr="00747DBC">
                    <w:t xml:space="preserve">any further information or evidence provided by the licensee in accordance with regulation </w:t>
                  </w:r>
                  <w:proofErr w:type="gramStart"/>
                  <w:r w:rsidRPr="00747DBC">
                    <w:t>10;</w:t>
                  </w:r>
                  <w:proofErr w:type="gramEnd"/>
                </w:p>
                <w:p w14:paraId="5BDA9F7A" w14:textId="40870A25" w:rsidR="002C5072" w:rsidRPr="00747DBC" w:rsidRDefault="002C5072" w:rsidP="00DE19A2">
                  <w:pPr>
                    <w:pStyle w:val="ListParagraph"/>
                    <w:numPr>
                      <w:ilvl w:val="0"/>
                      <w:numId w:val="129"/>
                    </w:numPr>
                  </w:pPr>
                  <w:r w:rsidRPr="00747DBC">
                    <w:t xml:space="preserve">any relevant information received through any consultations under regulations 8 to </w:t>
                  </w:r>
                  <w:proofErr w:type="gramStart"/>
                  <w:r w:rsidRPr="00747DBC">
                    <w:t>10A;</w:t>
                  </w:r>
                  <w:proofErr w:type="gramEnd"/>
                </w:p>
                <w:p w14:paraId="6D24EF6C" w14:textId="41EE7796" w:rsidR="002C5072" w:rsidRPr="00747DBC" w:rsidRDefault="002C5072" w:rsidP="00DE19A2">
                  <w:pPr>
                    <w:pStyle w:val="ListParagraph"/>
                    <w:numPr>
                      <w:ilvl w:val="0"/>
                      <w:numId w:val="129"/>
                    </w:numPr>
                  </w:pPr>
                  <w:r w:rsidRPr="00747DBC">
                    <w:t xml:space="preserve">the outcome of any consultation under regulation </w:t>
                  </w:r>
                  <w:proofErr w:type="gramStart"/>
                  <w:r w:rsidRPr="00747DBC">
                    <w:t>12;</w:t>
                  </w:r>
                  <w:proofErr w:type="gramEnd"/>
                </w:p>
                <w:p w14:paraId="3D02043C" w14:textId="354D0F2D" w:rsidR="002C5072" w:rsidRPr="00747DBC" w:rsidRDefault="002C5072" w:rsidP="00DE19A2">
                  <w:pPr>
                    <w:pStyle w:val="ListParagraph"/>
                    <w:numPr>
                      <w:ilvl w:val="0"/>
                      <w:numId w:val="129"/>
                    </w:numPr>
                  </w:pPr>
                  <w:r w:rsidRPr="00747DBC">
                    <w:t xml:space="preserve">any features of the project, or measures which the licensee proposes to take, which would have the effect of avoiding, preventing, </w:t>
                  </w:r>
                  <w:proofErr w:type="gramStart"/>
                  <w:r w:rsidRPr="00747DBC">
                    <w:t>reducing</w:t>
                  </w:r>
                  <w:proofErr w:type="gramEnd"/>
                  <w:r w:rsidRPr="00747DBC">
                    <w:t xml:space="preserve"> or offsetting any likely significant adverse effects of the project on the environment.</w:t>
                  </w:r>
                </w:p>
              </w:tc>
            </w:tr>
            <w:tr w:rsidR="002C5072" w:rsidRPr="00747DBC" w14:paraId="7D541691" w14:textId="77777777" w:rsidTr="00D328FC">
              <w:tc>
                <w:tcPr>
                  <w:tcW w:w="1004" w:type="dxa"/>
                  <w:tcBorders>
                    <w:top w:val="nil"/>
                    <w:left w:val="nil"/>
                    <w:bottom w:val="nil"/>
                    <w:right w:val="nil"/>
                  </w:tcBorders>
                </w:tcPr>
                <w:p w14:paraId="1061F410" w14:textId="77777777" w:rsidR="002C5072" w:rsidRPr="00747DBC" w:rsidRDefault="002C5072" w:rsidP="00747DBC">
                  <w:r w:rsidRPr="00747DBC">
                    <w:t>10</w:t>
                  </w:r>
                  <w:proofErr w:type="gramStart"/>
                  <w:r w:rsidRPr="00747DBC">
                    <w:t>B.(</w:t>
                  </w:r>
                  <w:proofErr w:type="gramEnd"/>
                  <w:r w:rsidRPr="00747DBC">
                    <w:t>3)</w:t>
                  </w:r>
                </w:p>
              </w:tc>
              <w:tc>
                <w:tcPr>
                  <w:tcW w:w="5762" w:type="dxa"/>
                  <w:tcBorders>
                    <w:top w:val="nil"/>
                    <w:left w:val="nil"/>
                    <w:bottom w:val="nil"/>
                    <w:right w:val="nil"/>
                  </w:tcBorders>
                </w:tcPr>
                <w:p w14:paraId="18DCB68C" w14:textId="77777777" w:rsidR="002C5072" w:rsidRPr="00747DBC" w:rsidRDefault="002C5072" w:rsidP="00747DBC">
                  <w:r w:rsidRPr="00747DBC">
                    <w:t>The ONR must then reach a conclusion about the likely significant effects of the project (including the expected effects deriving from the vulnerability of the project to risks of major accidents or disasters) on—</w:t>
                  </w:r>
                </w:p>
                <w:p w14:paraId="6653DD31" w14:textId="258792E5" w:rsidR="002C5072" w:rsidRPr="00747DBC" w:rsidRDefault="002C5072" w:rsidP="00DE19A2">
                  <w:pPr>
                    <w:pStyle w:val="ListParagraph"/>
                    <w:numPr>
                      <w:ilvl w:val="0"/>
                      <w:numId w:val="130"/>
                    </w:numPr>
                  </w:pPr>
                  <w:r w:rsidRPr="00747DBC">
                    <w:t xml:space="preserve">population and human </w:t>
                  </w:r>
                  <w:proofErr w:type="gramStart"/>
                  <w:r w:rsidRPr="00747DBC">
                    <w:t>health;</w:t>
                  </w:r>
                  <w:proofErr w:type="gramEnd"/>
                </w:p>
                <w:p w14:paraId="3A5993D1" w14:textId="4D799E4E" w:rsidR="002C5072" w:rsidRPr="00747DBC" w:rsidRDefault="002C5072" w:rsidP="00DE19A2">
                  <w:pPr>
                    <w:pStyle w:val="ListParagraph"/>
                    <w:numPr>
                      <w:ilvl w:val="0"/>
                      <w:numId w:val="130"/>
                    </w:numPr>
                  </w:pPr>
                  <w:r w:rsidRPr="00747DBC">
                    <w:t xml:space="preserve">biodiversity, with particular attention to species and habitats protected under the Habitats Directive and the Wild Birds </w:t>
                  </w:r>
                  <w:proofErr w:type="gramStart"/>
                  <w:r w:rsidRPr="00747DBC">
                    <w:t>Directive;</w:t>
                  </w:r>
                  <w:proofErr w:type="gramEnd"/>
                </w:p>
                <w:p w14:paraId="19888BCD" w14:textId="1C120B5E" w:rsidR="002C5072" w:rsidRPr="00747DBC" w:rsidRDefault="002C5072" w:rsidP="00DE19A2">
                  <w:pPr>
                    <w:pStyle w:val="ListParagraph"/>
                    <w:numPr>
                      <w:ilvl w:val="0"/>
                      <w:numId w:val="130"/>
                    </w:numPr>
                  </w:pPr>
                  <w:r w:rsidRPr="00747DBC">
                    <w:t xml:space="preserve">land, soil, water, air and </w:t>
                  </w:r>
                  <w:proofErr w:type="gramStart"/>
                  <w:r w:rsidRPr="00747DBC">
                    <w:t>climate;</w:t>
                  </w:r>
                  <w:proofErr w:type="gramEnd"/>
                </w:p>
                <w:p w14:paraId="2667E6E7" w14:textId="50EF2175" w:rsidR="002C5072" w:rsidRPr="00747DBC" w:rsidRDefault="002C5072" w:rsidP="00DE19A2">
                  <w:pPr>
                    <w:pStyle w:val="ListParagraph"/>
                    <w:numPr>
                      <w:ilvl w:val="0"/>
                      <w:numId w:val="130"/>
                    </w:numPr>
                  </w:pPr>
                  <w:r w:rsidRPr="00747DBC">
                    <w:t xml:space="preserve">material assets, cultural </w:t>
                  </w:r>
                  <w:proofErr w:type="gramStart"/>
                  <w:r w:rsidRPr="00747DBC">
                    <w:t>heritage</w:t>
                  </w:r>
                  <w:proofErr w:type="gramEnd"/>
                  <w:r w:rsidRPr="00747DBC">
                    <w:t xml:space="preserve"> and the landscape; and</w:t>
                  </w:r>
                </w:p>
                <w:p w14:paraId="7B1204EE" w14:textId="030E1E19" w:rsidR="002C5072" w:rsidRPr="00747DBC" w:rsidRDefault="002C5072" w:rsidP="00DE19A2">
                  <w:pPr>
                    <w:pStyle w:val="ListParagraph"/>
                    <w:numPr>
                      <w:ilvl w:val="0"/>
                      <w:numId w:val="130"/>
                    </w:numPr>
                  </w:pPr>
                  <w:r w:rsidRPr="00747DBC">
                    <w:t>the interaction between the factors referred to in sub-paragraphs (a) to (d).</w:t>
                  </w:r>
                </w:p>
              </w:tc>
            </w:tr>
          </w:tbl>
          <w:p w14:paraId="1DF2BF79" w14:textId="77777777" w:rsidR="002C5072" w:rsidRPr="00747DBC" w:rsidRDefault="002C5072" w:rsidP="00747DBC"/>
        </w:tc>
      </w:tr>
      <w:tr w:rsidR="002C5072" w:rsidRPr="00747DBC" w14:paraId="77DEF83F" w14:textId="77777777" w:rsidTr="00747DBC">
        <w:tc>
          <w:tcPr>
            <w:tcW w:w="771" w:type="pct"/>
            <w:shd w:val="clear" w:color="auto" w:fill="008080"/>
          </w:tcPr>
          <w:p w14:paraId="48FC18C8" w14:textId="77777777" w:rsidR="002C5072" w:rsidRPr="00747DBC" w:rsidRDefault="002C5072" w:rsidP="00747DBC">
            <w:r w:rsidRPr="00747DBC">
              <w:rPr>
                <w:color w:val="FFFFFF" w:themeColor="background1"/>
              </w:rPr>
              <w:lastRenderedPageBreak/>
              <w:t>Guidance</w:t>
            </w:r>
          </w:p>
        </w:tc>
        <w:tc>
          <w:tcPr>
            <w:tcW w:w="374" w:type="pct"/>
            <w:shd w:val="clear" w:color="auto" w:fill="008080"/>
          </w:tcPr>
          <w:p w14:paraId="0A4F9BBB" w14:textId="77777777" w:rsidR="002C5072" w:rsidRPr="00747DBC" w:rsidRDefault="002C5072" w:rsidP="00747DBC">
            <w:pPr>
              <w:rPr>
                <w:szCs w:val="24"/>
              </w:rPr>
            </w:pPr>
            <w:bookmarkStart w:id="201" w:name="_Toc82166991"/>
            <w:bookmarkStart w:id="202" w:name="_Toc117773716"/>
            <w:bookmarkStart w:id="203" w:name="_Toc117774014"/>
            <w:bookmarkStart w:id="204" w:name="_Toc117774134"/>
            <w:r w:rsidRPr="00747DBC">
              <w:rPr>
                <w:color w:val="FFFFFF" w:themeColor="background1"/>
                <w:szCs w:val="24"/>
              </w:rPr>
              <w:t>10B</w:t>
            </w:r>
            <w:bookmarkEnd w:id="201"/>
            <w:bookmarkEnd w:id="202"/>
            <w:bookmarkEnd w:id="203"/>
            <w:bookmarkEnd w:id="204"/>
          </w:p>
        </w:tc>
        <w:tc>
          <w:tcPr>
            <w:tcW w:w="3855" w:type="pct"/>
          </w:tcPr>
          <w:p w14:paraId="2B161E11" w14:textId="77777777" w:rsidR="002C5072" w:rsidRPr="00747DBC" w:rsidRDefault="002C5072" w:rsidP="00747DBC">
            <w:pPr>
              <w:pStyle w:val="Regulationpara"/>
            </w:pPr>
            <w:r w:rsidRPr="00747DBC">
              <w:t xml:space="preserve">Although the requirement to explicitly consider human health was introduced in the 2018 amendment to the regulations, this is not a new requirement of the regulations as the environmental impact on human beings has always been a consideration. </w:t>
            </w:r>
          </w:p>
          <w:p w14:paraId="3F2B36B8" w14:textId="257DF733" w:rsidR="002C5072" w:rsidRPr="00747DBC" w:rsidRDefault="002C5072" w:rsidP="00747DBC">
            <w:pPr>
              <w:pStyle w:val="Regulationpara"/>
            </w:pPr>
            <w:r w:rsidRPr="00747DBC">
              <w:t xml:space="preserve">Health is defined as a state of complete physical, </w:t>
            </w:r>
            <w:proofErr w:type="gramStart"/>
            <w:r w:rsidRPr="00747DBC">
              <w:t>mental</w:t>
            </w:r>
            <w:proofErr w:type="gramEnd"/>
            <w:r w:rsidRPr="00747DBC">
              <w:t xml:space="preserve"> and social wellbeing and not just the absence of disease or infirmary. Considerations of the potential health effects of the decommissioning project should include both adverse and beneficial impacts, and the characteristics of the local population to understand any </w:t>
            </w:r>
            <w:r w:rsidRPr="00747DBC">
              <w:lastRenderedPageBreak/>
              <w:t xml:space="preserve">sensitivities to health impacts. Potential impacts of a decommissioning project on health could include noise and vibration nuisance, changes in air quality, and changes to how people feel about their local community affecting their sense of wellbeing. </w:t>
            </w:r>
          </w:p>
        </w:tc>
      </w:tr>
    </w:tbl>
    <w:p w14:paraId="4795269B" w14:textId="2AC526A4" w:rsidR="00EF6764" w:rsidRDefault="00EF6764" w:rsidP="00A01C3E">
      <w:pPr>
        <w:pStyle w:val="Heading2"/>
      </w:pPr>
      <w:bookmarkStart w:id="205" w:name="_Toc124416331"/>
      <w:r>
        <w:lastRenderedPageBreak/>
        <w:t>Regulation 10C Procedure Relating to Consent Decision</w:t>
      </w:r>
      <w:bookmarkEnd w:id="20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675"/>
        <w:gridCol w:w="6959"/>
      </w:tblGrid>
      <w:tr w:rsidR="00734989" w:rsidRPr="00747DBC" w14:paraId="5DEBE366" w14:textId="77777777" w:rsidTr="00747DBC">
        <w:tc>
          <w:tcPr>
            <w:tcW w:w="771" w:type="pct"/>
          </w:tcPr>
          <w:p w14:paraId="56E75BE5" w14:textId="77777777" w:rsidR="00734989" w:rsidRPr="00747DBC" w:rsidRDefault="00734989" w:rsidP="00747DBC">
            <w:r w:rsidRPr="00747DBC">
              <w:t>Regulation</w:t>
            </w:r>
          </w:p>
        </w:tc>
        <w:tc>
          <w:tcPr>
            <w:tcW w:w="374" w:type="pct"/>
          </w:tcPr>
          <w:p w14:paraId="04BD53BC" w14:textId="77777777" w:rsidR="00734989" w:rsidRPr="00747DBC" w:rsidRDefault="00734989" w:rsidP="00747DBC">
            <w:pPr>
              <w:rPr>
                <w:szCs w:val="24"/>
              </w:rPr>
            </w:pPr>
            <w:bookmarkStart w:id="206" w:name="_Toc82166993"/>
            <w:bookmarkStart w:id="207" w:name="_Toc117773718"/>
            <w:bookmarkStart w:id="208" w:name="_Toc117774016"/>
            <w:bookmarkStart w:id="209" w:name="_Toc117774136"/>
            <w:r w:rsidRPr="00747DBC">
              <w:rPr>
                <w:szCs w:val="24"/>
              </w:rPr>
              <w:t>10C</w:t>
            </w:r>
            <w:bookmarkEnd w:id="206"/>
            <w:bookmarkEnd w:id="207"/>
            <w:bookmarkEnd w:id="208"/>
            <w:bookmarkEnd w:id="209"/>
          </w:p>
        </w:tc>
        <w:tc>
          <w:tcPr>
            <w:tcW w:w="3855" w:type="pct"/>
          </w:tcPr>
          <w:tbl>
            <w:tblPr>
              <w:tblStyle w:val="TableGrid"/>
              <w:tblW w:w="0" w:type="auto"/>
              <w:tblLook w:val="04A0" w:firstRow="1" w:lastRow="0" w:firstColumn="1" w:lastColumn="0" w:noHBand="0" w:noVBand="1"/>
            </w:tblPr>
            <w:tblGrid>
              <w:gridCol w:w="1017"/>
              <w:gridCol w:w="5726"/>
            </w:tblGrid>
            <w:tr w:rsidR="00734989" w:rsidRPr="00747DBC" w14:paraId="3EB011E6" w14:textId="77777777" w:rsidTr="00D328FC">
              <w:tc>
                <w:tcPr>
                  <w:tcW w:w="1017" w:type="dxa"/>
                  <w:tcBorders>
                    <w:top w:val="nil"/>
                    <w:left w:val="nil"/>
                    <w:bottom w:val="nil"/>
                    <w:right w:val="nil"/>
                  </w:tcBorders>
                </w:tcPr>
                <w:p w14:paraId="6E420A38" w14:textId="77777777" w:rsidR="00734989" w:rsidRPr="00747DBC" w:rsidRDefault="00734989" w:rsidP="00747DBC">
                  <w:r w:rsidRPr="00747DBC">
                    <w:t>10</w:t>
                  </w:r>
                  <w:proofErr w:type="gramStart"/>
                  <w:r w:rsidRPr="00747DBC">
                    <w:t>C.(</w:t>
                  </w:r>
                  <w:proofErr w:type="gramEnd"/>
                  <w:r w:rsidRPr="00747DBC">
                    <w:t>1)</w:t>
                  </w:r>
                </w:p>
              </w:tc>
              <w:tc>
                <w:tcPr>
                  <w:tcW w:w="5749" w:type="dxa"/>
                  <w:tcBorders>
                    <w:top w:val="nil"/>
                    <w:left w:val="nil"/>
                    <w:bottom w:val="nil"/>
                    <w:right w:val="nil"/>
                  </w:tcBorders>
                </w:tcPr>
                <w:p w14:paraId="768EE5A6" w14:textId="77777777" w:rsidR="00734989" w:rsidRPr="00747DBC" w:rsidRDefault="00734989" w:rsidP="00747DBC">
                  <w:r w:rsidRPr="00747DBC">
                    <w:t>Following its conclusion under regulation 10</w:t>
                  </w:r>
                  <w:proofErr w:type="gramStart"/>
                  <w:r w:rsidRPr="00747DBC">
                    <w:t>B(</w:t>
                  </w:r>
                  <w:proofErr w:type="gramEnd"/>
                  <w:r w:rsidRPr="00747DBC">
                    <w:t>3), the ONR must consider—</w:t>
                  </w:r>
                </w:p>
                <w:p w14:paraId="630D134E" w14:textId="5B6C69B1" w:rsidR="00734989" w:rsidRPr="00747DBC" w:rsidRDefault="00734989" w:rsidP="00DE19A2">
                  <w:pPr>
                    <w:pStyle w:val="ListParagraph"/>
                    <w:numPr>
                      <w:ilvl w:val="0"/>
                      <w:numId w:val="131"/>
                    </w:numPr>
                  </w:pPr>
                  <w:r w:rsidRPr="00747DBC">
                    <w:t xml:space="preserve">the application for </w:t>
                  </w:r>
                  <w:proofErr w:type="gramStart"/>
                  <w:r w:rsidRPr="00747DBC">
                    <w:t>consent;</w:t>
                  </w:r>
                  <w:proofErr w:type="gramEnd"/>
                </w:p>
                <w:p w14:paraId="07AA76E0" w14:textId="35446FBC" w:rsidR="00734989" w:rsidRPr="00747DBC" w:rsidRDefault="00734989" w:rsidP="00DE19A2">
                  <w:pPr>
                    <w:pStyle w:val="ListParagraph"/>
                    <w:numPr>
                      <w:ilvl w:val="0"/>
                      <w:numId w:val="131"/>
                    </w:numPr>
                  </w:pPr>
                  <w:r w:rsidRPr="00747DBC">
                    <w:t>its conclusion under regulation 10</w:t>
                  </w:r>
                  <w:proofErr w:type="gramStart"/>
                  <w:r w:rsidRPr="00747DBC">
                    <w:t>B(</w:t>
                  </w:r>
                  <w:proofErr w:type="gramEnd"/>
                  <w:r w:rsidRPr="00747DBC">
                    <w:t>3); and</w:t>
                  </w:r>
                </w:p>
                <w:p w14:paraId="319F1331" w14:textId="7A9C5A74" w:rsidR="00734989" w:rsidRPr="00747DBC" w:rsidRDefault="00734989" w:rsidP="00DE19A2">
                  <w:pPr>
                    <w:pStyle w:val="ListParagraph"/>
                    <w:numPr>
                      <w:ilvl w:val="0"/>
                      <w:numId w:val="131"/>
                    </w:numPr>
                  </w:pPr>
                  <w:r w:rsidRPr="00747DBC">
                    <w:t>whether consent under regulation 4(1) should be granted subject to conditions (see paragraph (2)).</w:t>
                  </w:r>
                </w:p>
              </w:tc>
            </w:tr>
            <w:tr w:rsidR="00734989" w:rsidRPr="00747DBC" w14:paraId="4F3C29F6" w14:textId="77777777" w:rsidTr="00D328FC">
              <w:tc>
                <w:tcPr>
                  <w:tcW w:w="1017" w:type="dxa"/>
                  <w:tcBorders>
                    <w:top w:val="nil"/>
                    <w:left w:val="nil"/>
                    <w:bottom w:val="nil"/>
                    <w:right w:val="nil"/>
                  </w:tcBorders>
                </w:tcPr>
                <w:p w14:paraId="03AB68E5" w14:textId="77777777" w:rsidR="00734989" w:rsidRPr="00747DBC" w:rsidRDefault="00734989" w:rsidP="00747DBC">
                  <w:r w:rsidRPr="00747DBC">
                    <w:t>10</w:t>
                  </w:r>
                  <w:proofErr w:type="gramStart"/>
                  <w:r w:rsidRPr="00747DBC">
                    <w:t>C.(</w:t>
                  </w:r>
                  <w:proofErr w:type="gramEnd"/>
                  <w:r w:rsidRPr="00747DBC">
                    <w:t>2)</w:t>
                  </w:r>
                </w:p>
              </w:tc>
              <w:tc>
                <w:tcPr>
                  <w:tcW w:w="5749" w:type="dxa"/>
                  <w:tcBorders>
                    <w:top w:val="nil"/>
                    <w:left w:val="nil"/>
                    <w:bottom w:val="nil"/>
                    <w:right w:val="nil"/>
                  </w:tcBorders>
                </w:tcPr>
                <w:p w14:paraId="61E3BF7A" w14:textId="77777777" w:rsidR="00734989" w:rsidRPr="00747DBC" w:rsidRDefault="00734989" w:rsidP="00747DBC">
                  <w:r w:rsidRPr="00747DBC">
                    <w:t xml:space="preserve">The ONR may, on granting a consent to carry out a project, attach to that consent such conditions as may appear to it to be necessary or desirable, </w:t>
                  </w:r>
                  <w:proofErr w:type="gramStart"/>
                  <w:r w:rsidRPr="00747DBC">
                    <w:t>taking into account</w:t>
                  </w:r>
                  <w:proofErr w:type="gramEnd"/>
                  <w:r w:rsidRPr="00747DBC">
                    <w:t xml:space="preserve"> the following factors—</w:t>
                  </w:r>
                </w:p>
                <w:p w14:paraId="7935A48D" w14:textId="7DF7529C" w:rsidR="00734989" w:rsidRPr="00747DBC" w:rsidRDefault="00734989" w:rsidP="00DE19A2">
                  <w:pPr>
                    <w:pStyle w:val="ListParagraph"/>
                    <w:numPr>
                      <w:ilvl w:val="0"/>
                      <w:numId w:val="132"/>
                    </w:numPr>
                  </w:pPr>
                  <w:r w:rsidRPr="00747DBC">
                    <w:t xml:space="preserve">the interests of limiting the impact on the </w:t>
                  </w:r>
                  <w:proofErr w:type="gramStart"/>
                  <w:r w:rsidRPr="00747DBC">
                    <w:t>environment;</w:t>
                  </w:r>
                  <w:proofErr w:type="gramEnd"/>
                </w:p>
                <w:p w14:paraId="19F6B162" w14:textId="1F67B87C" w:rsidR="00734989" w:rsidRPr="00747DBC" w:rsidRDefault="00734989" w:rsidP="00DE19A2">
                  <w:pPr>
                    <w:pStyle w:val="ListParagraph"/>
                    <w:numPr>
                      <w:ilvl w:val="0"/>
                      <w:numId w:val="132"/>
                    </w:numPr>
                  </w:pPr>
                  <w:r w:rsidRPr="00747DBC">
                    <w:t xml:space="preserve">existing monitoring under an obligation under the law of any part of the United </w:t>
                  </w:r>
                  <w:proofErr w:type="gramStart"/>
                  <w:r w:rsidRPr="00747DBC">
                    <w:t>Kingdom;</w:t>
                  </w:r>
                  <w:proofErr w:type="gramEnd"/>
                </w:p>
                <w:p w14:paraId="27FFAF54" w14:textId="7C8D5E9B" w:rsidR="00734989" w:rsidRPr="00747DBC" w:rsidRDefault="00734989" w:rsidP="00DE19A2">
                  <w:pPr>
                    <w:pStyle w:val="ListParagraph"/>
                    <w:numPr>
                      <w:ilvl w:val="0"/>
                      <w:numId w:val="132"/>
                    </w:numPr>
                  </w:pPr>
                  <w:r w:rsidRPr="00747DBC">
                    <w:t xml:space="preserve">whether any further monitoring is </w:t>
                  </w:r>
                  <w:proofErr w:type="gramStart"/>
                  <w:r w:rsidRPr="00747DBC">
                    <w:t>appropriate;</w:t>
                  </w:r>
                  <w:proofErr w:type="gramEnd"/>
                </w:p>
                <w:p w14:paraId="16F6023C" w14:textId="38CD7F25" w:rsidR="00734989" w:rsidRPr="00747DBC" w:rsidRDefault="00734989" w:rsidP="00DE19A2">
                  <w:pPr>
                    <w:pStyle w:val="ListParagraph"/>
                    <w:numPr>
                      <w:ilvl w:val="0"/>
                      <w:numId w:val="132"/>
                    </w:numPr>
                  </w:pPr>
                  <w:r w:rsidRPr="00747DBC">
                    <w:t>whether provision needs to be made for remedial action in respect of any risk posed by the project; and</w:t>
                  </w:r>
                </w:p>
                <w:p w14:paraId="76C06DAB" w14:textId="0DE0AAFA" w:rsidR="00734989" w:rsidRPr="00747DBC" w:rsidRDefault="00734989" w:rsidP="00DE19A2">
                  <w:pPr>
                    <w:pStyle w:val="ListParagraph"/>
                    <w:numPr>
                      <w:ilvl w:val="0"/>
                      <w:numId w:val="132"/>
                    </w:numPr>
                  </w:pPr>
                  <w:r w:rsidRPr="00747DBC">
                    <w:t>any other relevant factors.</w:t>
                  </w:r>
                </w:p>
              </w:tc>
            </w:tr>
            <w:tr w:rsidR="00734989" w:rsidRPr="00747DBC" w14:paraId="4AFCCC6F" w14:textId="77777777" w:rsidTr="00D328FC">
              <w:tc>
                <w:tcPr>
                  <w:tcW w:w="1017" w:type="dxa"/>
                  <w:tcBorders>
                    <w:top w:val="nil"/>
                    <w:left w:val="nil"/>
                    <w:bottom w:val="nil"/>
                    <w:right w:val="nil"/>
                  </w:tcBorders>
                </w:tcPr>
                <w:p w14:paraId="5222B17C" w14:textId="77777777" w:rsidR="00734989" w:rsidRPr="00747DBC" w:rsidRDefault="00734989" w:rsidP="00747DBC">
                  <w:r w:rsidRPr="00747DBC">
                    <w:t>10</w:t>
                  </w:r>
                  <w:proofErr w:type="gramStart"/>
                  <w:r w:rsidRPr="00747DBC">
                    <w:t>C.(</w:t>
                  </w:r>
                  <w:proofErr w:type="gramEnd"/>
                  <w:r w:rsidRPr="00747DBC">
                    <w:t>3)</w:t>
                  </w:r>
                </w:p>
              </w:tc>
              <w:tc>
                <w:tcPr>
                  <w:tcW w:w="5749" w:type="dxa"/>
                  <w:tcBorders>
                    <w:top w:val="nil"/>
                    <w:left w:val="nil"/>
                    <w:bottom w:val="nil"/>
                    <w:right w:val="nil"/>
                  </w:tcBorders>
                </w:tcPr>
                <w:p w14:paraId="17FFCA33" w14:textId="77777777" w:rsidR="00734989" w:rsidRPr="00747DBC" w:rsidRDefault="00734989" w:rsidP="00747DBC">
                  <w:r w:rsidRPr="00747DBC">
                    <w:t xml:space="preserve">The ONR must not attach conditions relating to monitoring to a consent unless satisfied that the type of parameters to be monitored and the duration of monitoring are proportionate to the nature, </w:t>
                  </w:r>
                  <w:proofErr w:type="gramStart"/>
                  <w:r w:rsidRPr="00747DBC">
                    <w:t>location</w:t>
                  </w:r>
                  <w:proofErr w:type="gramEnd"/>
                  <w:r w:rsidRPr="00747DBC">
                    <w:t xml:space="preserve"> and size of the project in question and the significance of its effect on the environment.</w:t>
                  </w:r>
                </w:p>
              </w:tc>
            </w:tr>
            <w:tr w:rsidR="00734989" w:rsidRPr="00747DBC" w14:paraId="4495B780" w14:textId="77777777" w:rsidTr="00D328FC">
              <w:tc>
                <w:tcPr>
                  <w:tcW w:w="1017" w:type="dxa"/>
                  <w:tcBorders>
                    <w:top w:val="nil"/>
                    <w:left w:val="nil"/>
                    <w:bottom w:val="nil"/>
                    <w:right w:val="nil"/>
                  </w:tcBorders>
                </w:tcPr>
                <w:p w14:paraId="5F3BAA38" w14:textId="77777777" w:rsidR="00734989" w:rsidRPr="00747DBC" w:rsidRDefault="00734989" w:rsidP="00747DBC">
                  <w:r w:rsidRPr="00747DBC">
                    <w:t>10</w:t>
                  </w:r>
                  <w:proofErr w:type="gramStart"/>
                  <w:r w:rsidRPr="00747DBC">
                    <w:t>C.(</w:t>
                  </w:r>
                  <w:proofErr w:type="gramEnd"/>
                  <w:r w:rsidRPr="00747DBC">
                    <w:t>4)</w:t>
                  </w:r>
                </w:p>
              </w:tc>
              <w:tc>
                <w:tcPr>
                  <w:tcW w:w="5749" w:type="dxa"/>
                  <w:tcBorders>
                    <w:top w:val="nil"/>
                    <w:left w:val="nil"/>
                    <w:bottom w:val="nil"/>
                    <w:right w:val="nil"/>
                  </w:tcBorders>
                </w:tcPr>
                <w:p w14:paraId="0EFE15C4" w14:textId="77777777" w:rsidR="00734989" w:rsidRPr="00747DBC" w:rsidRDefault="00734989" w:rsidP="00747DBC">
                  <w:r w:rsidRPr="00747DBC">
                    <w:t>The ONR must not grant consent to carry out a project unless satisfied that its conclusion under regulation 10</w:t>
                  </w:r>
                  <w:proofErr w:type="gramStart"/>
                  <w:r w:rsidRPr="00747DBC">
                    <w:t>B(</w:t>
                  </w:r>
                  <w:proofErr w:type="gramEnd"/>
                  <w:r w:rsidRPr="00747DBC">
                    <w:t>3) in respect of the project is up to date.</w:t>
                  </w:r>
                </w:p>
              </w:tc>
            </w:tr>
            <w:tr w:rsidR="00734989" w:rsidRPr="00747DBC" w14:paraId="0A17A858" w14:textId="77777777" w:rsidTr="00D328FC">
              <w:tc>
                <w:tcPr>
                  <w:tcW w:w="1017" w:type="dxa"/>
                  <w:tcBorders>
                    <w:top w:val="nil"/>
                    <w:left w:val="nil"/>
                    <w:bottom w:val="nil"/>
                    <w:right w:val="nil"/>
                  </w:tcBorders>
                </w:tcPr>
                <w:p w14:paraId="3EAD854A" w14:textId="77777777" w:rsidR="00734989" w:rsidRPr="00747DBC" w:rsidRDefault="00734989" w:rsidP="00747DBC">
                  <w:r w:rsidRPr="00747DBC">
                    <w:t>10</w:t>
                  </w:r>
                  <w:proofErr w:type="gramStart"/>
                  <w:r w:rsidRPr="00747DBC">
                    <w:t>C.(</w:t>
                  </w:r>
                  <w:proofErr w:type="gramEnd"/>
                  <w:r w:rsidRPr="00747DBC">
                    <w:t>5)</w:t>
                  </w:r>
                </w:p>
              </w:tc>
              <w:tc>
                <w:tcPr>
                  <w:tcW w:w="5749" w:type="dxa"/>
                  <w:tcBorders>
                    <w:top w:val="nil"/>
                    <w:left w:val="nil"/>
                    <w:bottom w:val="nil"/>
                    <w:right w:val="nil"/>
                  </w:tcBorders>
                </w:tcPr>
                <w:p w14:paraId="21DF2EEB" w14:textId="77777777" w:rsidR="00734989" w:rsidRPr="00747DBC" w:rsidRDefault="00734989" w:rsidP="00747DBC">
                  <w:r w:rsidRPr="00747DBC">
                    <w:t xml:space="preserve">The ONR must grant or refuse to grant consent to carry out a project within a reasonable period of </w:t>
                  </w:r>
                  <w:r w:rsidRPr="00747DBC">
                    <w:lastRenderedPageBreak/>
                    <w:t>time (taking into account the nature and complexity of the application for consent), beginning with the date on which the ONR is given all the information in respect of the project which it is required to consider under regulation 10</w:t>
                  </w:r>
                  <w:proofErr w:type="gramStart"/>
                  <w:r w:rsidRPr="00747DBC">
                    <w:t>B(</w:t>
                  </w:r>
                  <w:proofErr w:type="gramEnd"/>
                  <w:r w:rsidRPr="00747DBC">
                    <w:t>2).</w:t>
                  </w:r>
                </w:p>
              </w:tc>
            </w:tr>
            <w:tr w:rsidR="00734989" w:rsidRPr="00747DBC" w14:paraId="6D58C8AD" w14:textId="77777777" w:rsidTr="00D328FC">
              <w:tc>
                <w:tcPr>
                  <w:tcW w:w="1017" w:type="dxa"/>
                  <w:tcBorders>
                    <w:top w:val="nil"/>
                    <w:left w:val="nil"/>
                    <w:bottom w:val="nil"/>
                    <w:right w:val="nil"/>
                  </w:tcBorders>
                </w:tcPr>
                <w:p w14:paraId="48A1E992" w14:textId="77777777" w:rsidR="00734989" w:rsidRPr="00747DBC" w:rsidRDefault="00734989" w:rsidP="00747DBC">
                  <w:r w:rsidRPr="00747DBC">
                    <w:lastRenderedPageBreak/>
                    <w:t>10</w:t>
                  </w:r>
                  <w:proofErr w:type="gramStart"/>
                  <w:r w:rsidRPr="00747DBC">
                    <w:t>C.(</w:t>
                  </w:r>
                  <w:proofErr w:type="gramEnd"/>
                  <w:r w:rsidRPr="00747DBC">
                    <w:t>6)</w:t>
                  </w:r>
                </w:p>
              </w:tc>
              <w:tc>
                <w:tcPr>
                  <w:tcW w:w="5749" w:type="dxa"/>
                  <w:tcBorders>
                    <w:top w:val="nil"/>
                    <w:left w:val="nil"/>
                    <w:bottom w:val="nil"/>
                    <w:right w:val="nil"/>
                  </w:tcBorders>
                </w:tcPr>
                <w:p w14:paraId="068A6953" w14:textId="77777777" w:rsidR="00734989" w:rsidRPr="00747DBC" w:rsidRDefault="00734989" w:rsidP="00747DBC">
                  <w:r w:rsidRPr="00747DBC">
                    <w:t>The ONR must not grant a consent (whether for the purposes of these Regulations or otherwise) to carry out a project before the later of the following dates—</w:t>
                  </w:r>
                </w:p>
                <w:p w14:paraId="06F73C1E" w14:textId="2EADF26B" w:rsidR="00734989" w:rsidRPr="00747DBC" w:rsidRDefault="00734989" w:rsidP="00DE19A2">
                  <w:pPr>
                    <w:pStyle w:val="ListParagraph"/>
                    <w:numPr>
                      <w:ilvl w:val="0"/>
                      <w:numId w:val="133"/>
                    </w:numPr>
                  </w:pPr>
                  <w:r w:rsidRPr="00747DBC">
                    <w:t>the end of the publicity period relating to the project under regulation 9 (see regulation 9(4)</w:t>
                  </w:r>
                  <w:proofErr w:type="gramStart"/>
                  <w:r w:rsidRPr="00747DBC">
                    <w:t>);</w:t>
                  </w:r>
                  <w:proofErr w:type="gramEnd"/>
                </w:p>
                <w:p w14:paraId="55CA0FC2" w14:textId="16B25E04" w:rsidR="00734989" w:rsidRPr="00747DBC" w:rsidRDefault="00734989" w:rsidP="00DE19A2">
                  <w:pPr>
                    <w:pStyle w:val="ListParagraph"/>
                    <w:numPr>
                      <w:ilvl w:val="0"/>
                      <w:numId w:val="133"/>
                    </w:numPr>
                  </w:pPr>
                  <w:r w:rsidRPr="00747DBC">
                    <w:t>the end of any further publicity period relating to the project under regulation 10 (see regulation 10(6)); or</w:t>
                  </w:r>
                </w:p>
                <w:p w14:paraId="43CB5C8B" w14:textId="7BA892A7" w:rsidR="00734989" w:rsidRPr="00747DBC" w:rsidRDefault="00734989" w:rsidP="00DE19A2">
                  <w:pPr>
                    <w:pStyle w:val="ListParagraph"/>
                    <w:numPr>
                      <w:ilvl w:val="0"/>
                      <w:numId w:val="133"/>
                    </w:numPr>
                  </w:pPr>
                  <w:r w:rsidRPr="00747DBC">
                    <w:t>where regulation 12(a) or (b) applies in relation to an EEA State—</w:t>
                  </w:r>
                </w:p>
                <w:p w14:paraId="6BAA1CE1" w14:textId="5BCC78A2" w:rsidR="00734989" w:rsidRPr="00747DBC" w:rsidRDefault="00734989" w:rsidP="00DE19A2">
                  <w:pPr>
                    <w:pStyle w:val="ListParagraph"/>
                    <w:numPr>
                      <w:ilvl w:val="0"/>
                      <w:numId w:val="134"/>
                    </w:numPr>
                  </w:pPr>
                  <w:r w:rsidRPr="00747DBC">
                    <w:t xml:space="preserve">where the EEA State has not indicated under regulation 12(1)(iii) whether it wishes to be consulted, the end of the reasonable </w:t>
                  </w:r>
                  <w:proofErr w:type="gramStart"/>
                  <w:r w:rsidRPr="00747DBC">
                    <w:t>period of time</w:t>
                  </w:r>
                  <w:proofErr w:type="gramEnd"/>
                  <w:r w:rsidRPr="00747DBC">
                    <w:t xml:space="preserve"> referred to in that sub-paragraph; or</w:t>
                  </w:r>
                </w:p>
                <w:p w14:paraId="7822E284" w14:textId="0F30D9A5" w:rsidR="00734989" w:rsidRPr="00747DBC" w:rsidRDefault="00734989" w:rsidP="00DE19A2">
                  <w:pPr>
                    <w:pStyle w:val="ListParagraph"/>
                    <w:numPr>
                      <w:ilvl w:val="0"/>
                      <w:numId w:val="134"/>
                    </w:numPr>
                  </w:pPr>
                  <w:r w:rsidRPr="00747DBC">
                    <w:t xml:space="preserve">where the EEA State has indicated under regulation 12(1)(iii) that it does wish to be consulted, the end of a period of 21 days beginning with the end of the reasonable </w:t>
                  </w:r>
                  <w:proofErr w:type="gramStart"/>
                  <w:r w:rsidRPr="00747DBC">
                    <w:t>period of time</w:t>
                  </w:r>
                  <w:proofErr w:type="gramEnd"/>
                  <w:r w:rsidRPr="00747DBC">
                    <w:t xml:space="preserve"> agreed with the EEA State under paragraph (5)(b) of that regulation.</w:t>
                  </w:r>
                </w:p>
              </w:tc>
            </w:tr>
          </w:tbl>
          <w:p w14:paraId="02179641" w14:textId="77777777" w:rsidR="00734989" w:rsidRPr="00747DBC" w:rsidRDefault="00734989" w:rsidP="00747DBC"/>
        </w:tc>
      </w:tr>
      <w:tr w:rsidR="00734989" w:rsidRPr="00747DBC" w14:paraId="43329A24" w14:textId="77777777" w:rsidTr="00747DBC">
        <w:tc>
          <w:tcPr>
            <w:tcW w:w="771" w:type="pct"/>
            <w:shd w:val="clear" w:color="auto" w:fill="008080"/>
          </w:tcPr>
          <w:p w14:paraId="3D7FAB34" w14:textId="77777777" w:rsidR="00734989" w:rsidRPr="00747DBC" w:rsidRDefault="00734989" w:rsidP="00747DBC">
            <w:r w:rsidRPr="00747DBC">
              <w:rPr>
                <w:color w:val="FFFFFF" w:themeColor="background1"/>
              </w:rPr>
              <w:lastRenderedPageBreak/>
              <w:t>Guidance</w:t>
            </w:r>
          </w:p>
        </w:tc>
        <w:tc>
          <w:tcPr>
            <w:tcW w:w="374" w:type="pct"/>
            <w:shd w:val="clear" w:color="auto" w:fill="008080"/>
          </w:tcPr>
          <w:p w14:paraId="65D7D0FD" w14:textId="77777777" w:rsidR="00734989" w:rsidRPr="00747DBC" w:rsidRDefault="00734989" w:rsidP="00747DBC">
            <w:pPr>
              <w:rPr>
                <w:szCs w:val="24"/>
              </w:rPr>
            </w:pPr>
            <w:bookmarkStart w:id="210" w:name="_Toc82166994"/>
            <w:bookmarkStart w:id="211" w:name="_Toc117773719"/>
            <w:bookmarkStart w:id="212" w:name="_Toc117774017"/>
            <w:bookmarkStart w:id="213" w:name="_Toc117774137"/>
            <w:r w:rsidRPr="00747DBC">
              <w:rPr>
                <w:color w:val="FFFFFF" w:themeColor="background1"/>
                <w:szCs w:val="24"/>
              </w:rPr>
              <w:t>10C</w:t>
            </w:r>
            <w:bookmarkEnd w:id="210"/>
            <w:bookmarkEnd w:id="211"/>
            <w:bookmarkEnd w:id="212"/>
            <w:bookmarkEnd w:id="213"/>
          </w:p>
        </w:tc>
        <w:tc>
          <w:tcPr>
            <w:tcW w:w="3855" w:type="pct"/>
          </w:tcPr>
          <w:p w14:paraId="237977B8" w14:textId="77777777" w:rsidR="00734989" w:rsidRPr="00747DBC" w:rsidRDefault="00734989" w:rsidP="00747DBC">
            <w:pPr>
              <w:pStyle w:val="Regulationpara"/>
            </w:pPr>
            <w:r w:rsidRPr="00747DBC">
              <w:t xml:space="preserve">ONR will grant or refuse to grant consent to carry out a decommissioning project within a reasonable </w:t>
            </w:r>
            <w:proofErr w:type="gramStart"/>
            <w:r w:rsidRPr="00747DBC">
              <w:t>period of time</w:t>
            </w:r>
            <w:proofErr w:type="gramEnd"/>
            <w:r w:rsidRPr="00747DBC">
              <w:t xml:space="preserve"> beginning with the date on which ONR is given all information, including any further information requested, in relation to the project.</w:t>
            </w:r>
          </w:p>
          <w:p w14:paraId="05F28059" w14:textId="77777777" w:rsidR="00734989" w:rsidRPr="00747DBC" w:rsidRDefault="00734989" w:rsidP="00747DBC">
            <w:pPr>
              <w:pStyle w:val="Regulationpara"/>
            </w:pPr>
            <w:r w:rsidRPr="00747DBC">
              <w:t>The ONR may attach conditions to the consent, for example the standard condition requiring the periodic submission of an environmental management plan to the ONR. The environmental management plan is made publicly available via ONR’s website.</w:t>
            </w:r>
          </w:p>
        </w:tc>
      </w:tr>
    </w:tbl>
    <w:p w14:paraId="5076A5DE" w14:textId="322A12A7" w:rsidR="00734989" w:rsidRDefault="00734989" w:rsidP="00A01C3E">
      <w:pPr>
        <w:pStyle w:val="Heading2"/>
      </w:pPr>
      <w:bookmarkStart w:id="214" w:name="_Toc124416332"/>
      <w:r>
        <w:lastRenderedPageBreak/>
        <w:t>Regulation 11 Information as to Decisions</w:t>
      </w:r>
      <w:bookmarkEnd w:id="21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511"/>
        <w:gridCol w:w="7123"/>
      </w:tblGrid>
      <w:tr w:rsidR="003C48B2" w:rsidRPr="00747DBC" w14:paraId="1D02CC3F" w14:textId="77777777" w:rsidTr="00747DBC">
        <w:tc>
          <w:tcPr>
            <w:tcW w:w="771" w:type="pct"/>
          </w:tcPr>
          <w:p w14:paraId="0F52EB0C" w14:textId="77777777" w:rsidR="003C48B2" w:rsidRPr="00747DBC" w:rsidRDefault="003C48B2" w:rsidP="00747DBC">
            <w:r w:rsidRPr="00747DBC">
              <w:t>Regulation</w:t>
            </w:r>
          </w:p>
        </w:tc>
        <w:tc>
          <w:tcPr>
            <w:tcW w:w="283" w:type="pct"/>
          </w:tcPr>
          <w:p w14:paraId="7B0FF430" w14:textId="77777777" w:rsidR="003C48B2" w:rsidRPr="00747DBC" w:rsidRDefault="003C48B2" w:rsidP="00747DBC">
            <w:pPr>
              <w:rPr>
                <w:szCs w:val="24"/>
              </w:rPr>
            </w:pPr>
            <w:bookmarkStart w:id="215" w:name="_Toc82166996"/>
            <w:bookmarkStart w:id="216" w:name="_Toc117773721"/>
            <w:bookmarkStart w:id="217" w:name="_Toc117774019"/>
            <w:bookmarkStart w:id="218" w:name="_Toc117774139"/>
            <w:r w:rsidRPr="00747DBC">
              <w:rPr>
                <w:szCs w:val="24"/>
              </w:rPr>
              <w:t>11</w:t>
            </w:r>
            <w:bookmarkEnd w:id="215"/>
            <w:bookmarkEnd w:id="216"/>
            <w:bookmarkEnd w:id="217"/>
            <w:bookmarkEnd w:id="218"/>
          </w:p>
        </w:tc>
        <w:tc>
          <w:tcPr>
            <w:tcW w:w="3946" w:type="pct"/>
          </w:tcPr>
          <w:tbl>
            <w:tblPr>
              <w:tblStyle w:val="TableGrid"/>
              <w:tblW w:w="0" w:type="auto"/>
              <w:tblLook w:val="04A0" w:firstRow="1" w:lastRow="0" w:firstColumn="1" w:lastColumn="0" w:noHBand="0" w:noVBand="1"/>
            </w:tblPr>
            <w:tblGrid>
              <w:gridCol w:w="912"/>
              <w:gridCol w:w="5995"/>
            </w:tblGrid>
            <w:tr w:rsidR="003C48B2" w:rsidRPr="00747DBC" w14:paraId="6F568589" w14:textId="77777777" w:rsidTr="00D328FC">
              <w:tc>
                <w:tcPr>
                  <w:tcW w:w="912" w:type="dxa"/>
                  <w:tcBorders>
                    <w:top w:val="nil"/>
                    <w:left w:val="nil"/>
                    <w:bottom w:val="nil"/>
                    <w:right w:val="nil"/>
                  </w:tcBorders>
                </w:tcPr>
                <w:p w14:paraId="2E17C48F" w14:textId="77777777" w:rsidR="003C48B2" w:rsidRPr="00747DBC" w:rsidRDefault="003C48B2" w:rsidP="00747DBC">
                  <w:r w:rsidRPr="00747DBC">
                    <w:t>11.(1)</w:t>
                  </w:r>
                </w:p>
              </w:tc>
              <w:tc>
                <w:tcPr>
                  <w:tcW w:w="6013" w:type="dxa"/>
                  <w:tcBorders>
                    <w:top w:val="nil"/>
                    <w:left w:val="nil"/>
                    <w:bottom w:val="nil"/>
                    <w:right w:val="nil"/>
                  </w:tcBorders>
                </w:tcPr>
                <w:p w14:paraId="60DC63CF" w14:textId="77777777" w:rsidR="003C48B2" w:rsidRPr="00747DBC" w:rsidRDefault="003C48B2" w:rsidP="00747DBC">
                  <w:r w:rsidRPr="00747DBC">
                    <w:t xml:space="preserve">Where an application for consent to carry out a project is determined by the ONR, the ONR shall as soon as possible – </w:t>
                  </w:r>
                </w:p>
                <w:p w14:paraId="01EDEF71" w14:textId="3D7E17F3" w:rsidR="003C48B2" w:rsidRPr="00747DBC" w:rsidRDefault="003C48B2" w:rsidP="00DE19A2">
                  <w:pPr>
                    <w:pStyle w:val="ListParagraph"/>
                    <w:numPr>
                      <w:ilvl w:val="0"/>
                      <w:numId w:val="135"/>
                    </w:numPr>
                  </w:pPr>
                  <w:r w:rsidRPr="00747DBC">
                    <w:t xml:space="preserve">in writing, inform the licensee and the Secretary of State and the consultation bodies of the relevant </w:t>
                  </w:r>
                  <w:proofErr w:type="gramStart"/>
                  <w:r w:rsidRPr="00747DBC">
                    <w:t>information;</w:t>
                  </w:r>
                  <w:proofErr w:type="gramEnd"/>
                </w:p>
                <w:p w14:paraId="20078377" w14:textId="09441DD2" w:rsidR="003C48B2" w:rsidRPr="00747DBC" w:rsidRDefault="003C48B2" w:rsidP="00DE19A2">
                  <w:pPr>
                    <w:pStyle w:val="ListParagraph"/>
                    <w:numPr>
                      <w:ilvl w:val="0"/>
                      <w:numId w:val="135"/>
                    </w:numPr>
                  </w:pPr>
                  <w:r w:rsidRPr="00747DBC">
                    <w:t xml:space="preserve">inform the public of the decision by publishing a notice containing the relevant information in a newspaper circulating in the locality of the site concerned, or by such other means as are reasonable in the circumstances; and </w:t>
                  </w:r>
                </w:p>
                <w:p w14:paraId="5B4B35A9" w14:textId="3BA06320" w:rsidR="003C48B2" w:rsidRPr="00747DBC" w:rsidRDefault="003C48B2" w:rsidP="00DE19A2">
                  <w:pPr>
                    <w:pStyle w:val="ListParagraph"/>
                    <w:numPr>
                      <w:ilvl w:val="0"/>
                      <w:numId w:val="135"/>
                    </w:numPr>
                  </w:pPr>
                  <w:r w:rsidRPr="00747DBC">
                    <w:t>make the relevant information available free of charge for public inspection at all reasonable hours at an office of the ONR nearest to the place where the power station or reactor is situated.</w:t>
                  </w:r>
                </w:p>
              </w:tc>
            </w:tr>
            <w:tr w:rsidR="003C48B2" w:rsidRPr="00747DBC" w14:paraId="7D6EDCBF" w14:textId="77777777" w:rsidTr="00D328FC">
              <w:tc>
                <w:tcPr>
                  <w:tcW w:w="912" w:type="dxa"/>
                  <w:tcBorders>
                    <w:top w:val="nil"/>
                    <w:left w:val="nil"/>
                    <w:bottom w:val="nil"/>
                    <w:right w:val="nil"/>
                  </w:tcBorders>
                </w:tcPr>
                <w:p w14:paraId="654DBD3F" w14:textId="77777777" w:rsidR="003C48B2" w:rsidRPr="00747DBC" w:rsidRDefault="003C48B2" w:rsidP="00747DBC">
                  <w:r w:rsidRPr="00747DBC">
                    <w:t>11.(2)</w:t>
                  </w:r>
                </w:p>
              </w:tc>
              <w:tc>
                <w:tcPr>
                  <w:tcW w:w="6013" w:type="dxa"/>
                  <w:tcBorders>
                    <w:top w:val="nil"/>
                    <w:left w:val="nil"/>
                    <w:bottom w:val="nil"/>
                    <w:right w:val="nil"/>
                  </w:tcBorders>
                </w:tcPr>
                <w:p w14:paraId="72620A0D" w14:textId="77777777" w:rsidR="003C48B2" w:rsidRPr="00747DBC" w:rsidRDefault="003C48B2" w:rsidP="00747DBC">
                  <w:r w:rsidRPr="00747DBC">
                    <w:t>The relevant information is—</w:t>
                  </w:r>
                </w:p>
                <w:p w14:paraId="362891B4" w14:textId="63784F30" w:rsidR="003C48B2" w:rsidRPr="00747DBC" w:rsidRDefault="003C48B2" w:rsidP="00DE19A2">
                  <w:pPr>
                    <w:pStyle w:val="ListParagraph"/>
                    <w:numPr>
                      <w:ilvl w:val="0"/>
                      <w:numId w:val="136"/>
                    </w:numPr>
                  </w:pPr>
                  <w:r w:rsidRPr="00747DBC">
                    <w:t xml:space="preserve">the content of the decision and any conditions attached to </w:t>
                  </w:r>
                  <w:proofErr w:type="gramStart"/>
                  <w:r w:rsidRPr="00747DBC">
                    <w:t>it;</w:t>
                  </w:r>
                  <w:proofErr w:type="gramEnd"/>
                </w:p>
                <w:p w14:paraId="4D6A7F54" w14:textId="59DE00A3" w:rsidR="003C48B2" w:rsidRPr="00747DBC" w:rsidRDefault="003C48B2" w:rsidP="00DE19A2">
                  <w:pPr>
                    <w:pStyle w:val="ListParagraph"/>
                    <w:numPr>
                      <w:ilvl w:val="0"/>
                      <w:numId w:val="136"/>
                    </w:numPr>
                  </w:pPr>
                  <w:r w:rsidRPr="00747DBC">
                    <w:t xml:space="preserve">the main reasons and considerations on which the decision is based, including information about the public participation </w:t>
                  </w:r>
                  <w:proofErr w:type="gramStart"/>
                  <w:r w:rsidRPr="00747DBC">
                    <w:t>process;</w:t>
                  </w:r>
                  <w:proofErr w:type="gramEnd"/>
                </w:p>
                <w:p w14:paraId="09A3AAA9" w14:textId="685BBF89" w:rsidR="003C48B2" w:rsidRPr="00747DBC" w:rsidRDefault="003C48B2" w:rsidP="00DE19A2">
                  <w:pPr>
                    <w:pStyle w:val="ListParagraph"/>
                    <w:numPr>
                      <w:ilvl w:val="0"/>
                      <w:numId w:val="136"/>
                    </w:numPr>
                  </w:pPr>
                  <w:r w:rsidRPr="00747DBC">
                    <w:t xml:space="preserve">a summary of the results of the consultations and information gathered pursuant to regulations 5, 8 to 10A and </w:t>
                  </w:r>
                  <w:proofErr w:type="gramStart"/>
                  <w:r w:rsidRPr="00747DBC">
                    <w:t>12;</w:t>
                  </w:r>
                  <w:proofErr w:type="gramEnd"/>
                </w:p>
                <w:p w14:paraId="66D6D382" w14:textId="7C71E853" w:rsidR="003C48B2" w:rsidRPr="00747DBC" w:rsidRDefault="003C48B2" w:rsidP="00DE19A2">
                  <w:pPr>
                    <w:pStyle w:val="ListParagraph"/>
                    <w:numPr>
                      <w:ilvl w:val="0"/>
                      <w:numId w:val="136"/>
                    </w:numPr>
                  </w:pPr>
                  <w:r w:rsidRPr="00747DBC">
                    <w:t xml:space="preserve">a description of how the information referred to in sub-paragraph (c) has been incorporated into the decision or otherwise addressed, in particular the results of any consultation under regulation </w:t>
                  </w:r>
                  <w:proofErr w:type="gramStart"/>
                  <w:r w:rsidRPr="00747DBC">
                    <w:t>12;</w:t>
                  </w:r>
                  <w:proofErr w:type="gramEnd"/>
                </w:p>
                <w:p w14:paraId="5A7D1251" w14:textId="4E7DC55A" w:rsidR="003C48B2" w:rsidRPr="00747DBC" w:rsidRDefault="003C48B2" w:rsidP="00DE19A2">
                  <w:pPr>
                    <w:pStyle w:val="ListParagraph"/>
                    <w:numPr>
                      <w:ilvl w:val="0"/>
                      <w:numId w:val="136"/>
                    </w:numPr>
                  </w:pPr>
                  <w:r w:rsidRPr="00747DBC">
                    <w:t>a description, where necessary, of the main measures to avoid, reduce and, if possible, offset the major adverse effects of the project; and</w:t>
                  </w:r>
                </w:p>
                <w:p w14:paraId="0B34A371" w14:textId="0B04400F" w:rsidR="003C48B2" w:rsidRPr="00747DBC" w:rsidRDefault="003C48B2" w:rsidP="00DE19A2">
                  <w:pPr>
                    <w:pStyle w:val="ListParagraph"/>
                    <w:numPr>
                      <w:ilvl w:val="0"/>
                      <w:numId w:val="136"/>
                    </w:numPr>
                  </w:pPr>
                  <w:r w:rsidRPr="00747DBC">
                    <w:t>information regarding the right to challenge the validity of the decision and the procedures for doing so.</w:t>
                  </w:r>
                </w:p>
              </w:tc>
            </w:tr>
          </w:tbl>
          <w:p w14:paraId="21177C28" w14:textId="77777777" w:rsidR="003C48B2" w:rsidRPr="00747DBC" w:rsidRDefault="003C48B2" w:rsidP="00747DBC"/>
        </w:tc>
      </w:tr>
      <w:tr w:rsidR="003C48B2" w:rsidRPr="00747DBC" w14:paraId="346B2ED3" w14:textId="77777777" w:rsidTr="00747DBC">
        <w:tc>
          <w:tcPr>
            <w:tcW w:w="771" w:type="pct"/>
            <w:shd w:val="clear" w:color="auto" w:fill="008080"/>
          </w:tcPr>
          <w:p w14:paraId="0F624BD4" w14:textId="77777777" w:rsidR="003C48B2" w:rsidRPr="00747DBC" w:rsidRDefault="003C48B2" w:rsidP="00747DBC">
            <w:r w:rsidRPr="00747DBC">
              <w:rPr>
                <w:color w:val="FFFFFF" w:themeColor="background1"/>
              </w:rPr>
              <w:t>Guidance</w:t>
            </w:r>
          </w:p>
        </w:tc>
        <w:tc>
          <w:tcPr>
            <w:tcW w:w="283" w:type="pct"/>
            <w:shd w:val="clear" w:color="auto" w:fill="008080"/>
          </w:tcPr>
          <w:p w14:paraId="4903CDAB" w14:textId="77777777" w:rsidR="003C48B2" w:rsidRPr="00747DBC" w:rsidRDefault="003C48B2" w:rsidP="00747DBC">
            <w:pPr>
              <w:rPr>
                <w:szCs w:val="24"/>
              </w:rPr>
            </w:pPr>
            <w:bookmarkStart w:id="219" w:name="_Toc82166997"/>
            <w:bookmarkStart w:id="220" w:name="_Toc117773722"/>
            <w:bookmarkStart w:id="221" w:name="_Toc117774020"/>
            <w:bookmarkStart w:id="222" w:name="_Toc117774140"/>
            <w:r w:rsidRPr="00747DBC">
              <w:rPr>
                <w:color w:val="FFFFFF" w:themeColor="background1"/>
                <w:szCs w:val="24"/>
              </w:rPr>
              <w:t>11</w:t>
            </w:r>
            <w:bookmarkEnd w:id="219"/>
            <w:bookmarkEnd w:id="220"/>
            <w:bookmarkEnd w:id="221"/>
            <w:bookmarkEnd w:id="222"/>
          </w:p>
        </w:tc>
        <w:tc>
          <w:tcPr>
            <w:tcW w:w="3946" w:type="pct"/>
          </w:tcPr>
          <w:p w14:paraId="31F6082A" w14:textId="77777777" w:rsidR="003C48B2" w:rsidRPr="00747DBC" w:rsidRDefault="003C48B2" w:rsidP="00747DBC">
            <w:pPr>
              <w:pStyle w:val="Regulationpara"/>
            </w:pPr>
            <w:r w:rsidRPr="00747DBC">
              <w:t>ONR will publish a project assessment report that contains:</w:t>
            </w:r>
          </w:p>
          <w:p w14:paraId="46A41471" w14:textId="77777777" w:rsidR="003C48B2" w:rsidRPr="00747DBC" w:rsidRDefault="003C48B2" w:rsidP="00DE19A2">
            <w:pPr>
              <w:pStyle w:val="Bulletlist1"/>
              <w:ind w:left="697" w:hanging="357"/>
            </w:pPr>
            <w:r w:rsidRPr="00747DBC">
              <w:lastRenderedPageBreak/>
              <w:t>the content of ONR’s decision and, if consent is granted, the content of any conditions attached to that consent;</w:t>
            </w:r>
          </w:p>
          <w:p w14:paraId="1FB0FD15" w14:textId="77777777" w:rsidR="003C48B2" w:rsidRPr="00747DBC" w:rsidRDefault="003C48B2" w:rsidP="00DE19A2">
            <w:pPr>
              <w:pStyle w:val="Bulletlist1"/>
              <w:ind w:left="697" w:hanging="357"/>
            </w:pPr>
            <w:r w:rsidRPr="00747DBC">
              <w:t>the main reasons and considerations on which the decision is based, including how consultation responses have been considered;</w:t>
            </w:r>
          </w:p>
          <w:p w14:paraId="63E9D3C9" w14:textId="77777777" w:rsidR="003C48B2" w:rsidRPr="00747DBC" w:rsidRDefault="003C48B2" w:rsidP="00DE19A2">
            <w:pPr>
              <w:pStyle w:val="Bulletlist1"/>
              <w:ind w:left="697" w:hanging="357"/>
            </w:pPr>
            <w:r w:rsidRPr="00747DBC">
              <w:t>information about the public participation process;</w:t>
            </w:r>
          </w:p>
          <w:p w14:paraId="1C6EB8F6" w14:textId="77777777" w:rsidR="003C48B2" w:rsidRPr="00747DBC" w:rsidRDefault="003C48B2" w:rsidP="00DE19A2">
            <w:pPr>
              <w:pStyle w:val="Bulletlist1"/>
              <w:ind w:left="697" w:hanging="357"/>
            </w:pPr>
            <w:r w:rsidRPr="00747DBC">
              <w:t>a description, where necessary, of the main measures that the licensee will take to avoid, reduce and, if possible, offset any major adverse effects of the decommissioning project on the environment; and,</w:t>
            </w:r>
          </w:p>
          <w:p w14:paraId="5EBA8145" w14:textId="77777777" w:rsidR="003C48B2" w:rsidRPr="00747DBC" w:rsidRDefault="003C48B2" w:rsidP="00DE19A2">
            <w:pPr>
              <w:pStyle w:val="Bulletlist1"/>
              <w:ind w:left="697" w:hanging="357"/>
            </w:pPr>
            <w:r w:rsidRPr="00747DBC">
              <w:t>information regarding the right to challenge the validity of the decision and the procedures for doing so.</w:t>
            </w:r>
          </w:p>
          <w:p w14:paraId="33FE0DFB" w14:textId="77777777" w:rsidR="003C48B2" w:rsidRPr="00747DBC" w:rsidRDefault="003C48B2" w:rsidP="00747DBC">
            <w:pPr>
              <w:pStyle w:val="Bulletlist1"/>
              <w:numPr>
                <w:ilvl w:val="0"/>
                <w:numId w:val="0"/>
              </w:numPr>
              <w:ind w:left="360"/>
            </w:pPr>
            <w:r w:rsidRPr="00747DBC">
              <w:t>In addition to informing the licensee and SoS of the decision, the report will be posted on the ONR web site; the ONR will make each statutory consultee, and any other consultee that submitted comments, aware that the report is available. ONR will publish a notice of its decision in one or more newspaper(s) local to the site (the same newspapers used by the licensee to publicise the application for consent, as required by regulation 9(1)).</w:t>
            </w:r>
          </w:p>
        </w:tc>
      </w:tr>
    </w:tbl>
    <w:p w14:paraId="2F473200" w14:textId="0CF3AF65" w:rsidR="003C48B2" w:rsidRDefault="003C48B2" w:rsidP="00747DBC">
      <w:pPr>
        <w:pStyle w:val="Heading2"/>
        <w:ind w:left="0" w:firstLine="0"/>
      </w:pPr>
      <w:bookmarkStart w:id="223" w:name="_Toc124416333"/>
      <w:r>
        <w:lastRenderedPageBreak/>
        <w:t>Regulation 12 Projects Likely to have Significant Effects on the Environment in an EEA State</w:t>
      </w:r>
      <w:bookmarkEnd w:id="22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511"/>
        <w:gridCol w:w="7123"/>
      </w:tblGrid>
      <w:tr w:rsidR="007450D4" w:rsidRPr="00747DBC" w14:paraId="56462795" w14:textId="77777777" w:rsidTr="00747DBC">
        <w:tc>
          <w:tcPr>
            <w:tcW w:w="771" w:type="pct"/>
          </w:tcPr>
          <w:p w14:paraId="251F8F1A" w14:textId="77777777" w:rsidR="007450D4" w:rsidRPr="00747DBC" w:rsidRDefault="007450D4" w:rsidP="00747DBC">
            <w:r w:rsidRPr="00747DBC">
              <w:t>Regulation</w:t>
            </w:r>
          </w:p>
        </w:tc>
        <w:tc>
          <w:tcPr>
            <w:tcW w:w="283" w:type="pct"/>
          </w:tcPr>
          <w:p w14:paraId="46C18E05" w14:textId="77777777" w:rsidR="007450D4" w:rsidRPr="00747DBC" w:rsidRDefault="007450D4" w:rsidP="00747DBC">
            <w:pPr>
              <w:rPr>
                <w:szCs w:val="24"/>
              </w:rPr>
            </w:pPr>
            <w:bookmarkStart w:id="224" w:name="_Toc82166999"/>
            <w:bookmarkStart w:id="225" w:name="_Toc117773724"/>
            <w:bookmarkStart w:id="226" w:name="_Toc117774022"/>
            <w:bookmarkStart w:id="227" w:name="_Toc117774142"/>
            <w:r w:rsidRPr="00747DBC">
              <w:rPr>
                <w:szCs w:val="24"/>
              </w:rPr>
              <w:t>12</w:t>
            </w:r>
            <w:bookmarkEnd w:id="224"/>
            <w:bookmarkEnd w:id="225"/>
            <w:bookmarkEnd w:id="226"/>
            <w:bookmarkEnd w:id="227"/>
          </w:p>
        </w:tc>
        <w:tc>
          <w:tcPr>
            <w:tcW w:w="3946"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5997"/>
            </w:tblGrid>
            <w:tr w:rsidR="007450D4" w:rsidRPr="00747DBC" w14:paraId="00288E1E" w14:textId="77777777" w:rsidTr="00D328FC">
              <w:tc>
                <w:tcPr>
                  <w:tcW w:w="910" w:type="dxa"/>
                </w:tcPr>
                <w:p w14:paraId="0A722ACA" w14:textId="77777777" w:rsidR="007450D4" w:rsidRPr="00747DBC" w:rsidRDefault="007450D4" w:rsidP="00747DBC">
                  <w:r w:rsidRPr="00747DBC">
                    <w:t>12.(1)</w:t>
                  </w:r>
                </w:p>
              </w:tc>
              <w:tc>
                <w:tcPr>
                  <w:tcW w:w="6015" w:type="dxa"/>
                </w:tcPr>
                <w:p w14:paraId="58E03A1C" w14:textId="77777777" w:rsidR="007450D4" w:rsidRPr="00747DBC" w:rsidRDefault="007450D4" w:rsidP="00747DBC">
                  <w:r w:rsidRPr="00747DBC">
                    <w:t>Where –</w:t>
                  </w:r>
                </w:p>
                <w:p w14:paraId="2D221CE3" w14:textId="5D0A77FD" w:rsidR="007450D4" w:rsidRPr="00747DBC" w:rsidRDefault="007450D4" w:rsidP="00DE19A2">
                  <w:pPr>
                    <w:pStyle w:val="ListParagraph"/>
                    <w:numPr>
                      <w:ilvl w:val="0"/>
                      <w:numId w:val="137"/>
                    </w:numPr>
                  </w:pPr>
                  <w:r w:rsidRPr="00747DBC">
                    <w:t xml:space="preserve">it comes to the attention of the Secretary of State that a project proposed to be carried out in Great Britain is the subject of an application under regulation 4 and is likely to have significant effects on the environment in an EEA State; or </w:t>
                  </w:r>
                </w:p>
                <w:p w14:paraId="10BB0CB4" w14:textId="0A26C910" w:rsidR="007450D4" w:rsidRPr="00747DBC" w:rsidRDefault="007450D4" w:rsidP="00DE19A2">
                  <w:pPr>
                    <w:pStyle w:val="ListParagraph"/>
                    <w:numPr>
                      <w:ilvl w:val="0"/>
                      <w:numId w:val="137"/>
                    </w:numPr>
                  </w:pPr>
                  <w:r w:rsidRPr="00747DBC">
                    <w:t>an EEA State likely to be significantly affected by such project so requests,</w:t>
                  </w:r>
                </w:p>
                <w:p w14:paraId="72E31FDE" w14:textId="77777777" w:rsidR="007450D4" w:rsidRPr="00747DBC" w:rsidRDefault="007450D4" w:rsidP="00747DBC">
                  <w:r w:rsidRPr="00747DBC">
                    <w:t>the Secretary of State shall –</w:t>
                  </w:r>
                </w:p>
                <w:p w14:paraId="0E4A769F" w14:textId="17161301" w:rsidR="007450D4" w:rsidRPr="00747DBC" w:rsidRDefault="007450D4" w:rsidP="00DE19A2">
                  <w:pPr>
                    <w:pStyle w:val="ListParagraph"/>
                    <w:numPr>
                      <w:ilvl w:val="0"/>
                      <w:numId w:val="138"/>
                    </w:numPr>
                  </w:pPr>
                  <w:r w:rsidRPr="00747DBC">
                    <w:t xml:space="preserve">send to the EEA State as soon as possible and no later than their date of publication in the London Gazette, or the Edinburgh Gazette as the case may be, referred to in sub-paragraph (ii) below, the particulars </w:t>
                  </w:r>
                  <w:r w:rsidRPr="00747DBC">
                    <w:lastRenderedPageBreak/>
                    <w:t xml:space="preserve">mentioned in paragraph (2) and, if he thinks fit, the information referred to in paragraph (3); and </w:t>
                  </w:r>
                </w:p>
                <w:p w14:paraId="59B565B0" w14:textId="2628B6CB" w:rsidR="007450D4" w:rsidRPr="00747DBC" w:rsidRDefault="007450D4" w:rsidP="00DE19A2">
                  <w:pPr>
                    <w:pStyle w:val="ListParagraph"/>
                    <w:numPr>
                      <w:ilvl w:val="0"/>
                      <w:numId w:val="138"/>
                    </w:numPr>
                  </w:pPr>
                  <w:r w:rsidRPr="00747DBC">
                    <w:t>publish the particulars in sub-paragraph (</w:t>
                  </w:r>
                  <w:proofErr w:type="spellStart"/>
                  <w:r w:rsidRPr="00747DBC">
                    <w:t>i</w:t>
                  </w:r>
                  <w:proofErr w:type="spellEnd"/>
                  <w:r w:rsidRPr="00747DBC">
                    <w:t xml:space="preserve">) above in a notice placed in the London Gazette or, where the project is in Scotland, the Edinburgh Gazette, with an indication of where further information is available; and </w:t>
                  </w:r>
                </w:p>
                <w:p w14:paraId="1F0AE60F" w14:textId="2DEB348E" w:rsidR="007450D4" w:rsidRPr="00747DBC" w:rsidRDefault="007450D4" w:rsidP="00DE19A2">
                  <w:pPr>
                    <w:pStyle w:val="ListParagraph"/>
                    <w:numPr>
                      <w:ilvl w:val="0"/>
                      <w:numId w:val="138"/>
                    </w:numPr>
                  </w:pPr>
                  <w:r w:rsidRPr="00747DBC">
                    <w:t>give the EEA State a reasonable time in which to indicate whether it wishes to be further consulted in accordance with the provisions of this regulation.</w:t>
                  </w:r>
                </w:p>
              </w:tc>
            </w:tr>
            <w:tr w:rsidR="007450D4" w:rsidRPr="00747DBC" w14:paraId="0ABCC6F6" w14:textId="77777777" w:rsidTr="00D328FC">
              <w:trPr>
                <w:trHeight w:val="1018"/>
              </w:trPr>
              <w:tc>
                <w:tcPr>
                  <w:tcW w:w="910" w:type="dxa"/>
                </w:tcPr>
                <w:p w14:paraId="2EE0BF02" w14:textId="77777777" w:rsidR="007450D4" w:rsidRPr="00747DBC" w:rsidRDefault="007450D4" w:rsidP="00747DBC">
                  <w:r w:rsidRPr="00747DBC">
                    <w:lastRenderedPageBreak/>
                    <w:t>12.(2)</w:t>
                  </w:r>
                </w:p>
              </w:tc>
              <w:tc>
                <w:tcPr>
                  <w:tcW w:w="6015" w:type="dxa"/>
                </w:tcPr>
                <w:p w14:paraId="7F0C8CB6" w14:textId="77777777" w:rsidR="007450D4" w:rsidRPr="00747DBC" w:rsidRDefault="007450D4" w:rsidP="00747DBC">
                  <w:r w:rsidRPr="00747DBC">
                    <w:t>The particulars referred to in paragraph (1)(</w:t>
                  </w:r>
                  <w:proofErr w:type="spellStart"/>
                  <w:r w:rsidRPr="00747DBC">
                    <w:t>i</w:t>
                  </w:r>
                  <w:proofErr w:type="spellEnd"/>
                  <w:r w:rsidRPr="00747DBC">
                    <w:t>) are—</w:t>
                  </w:r>
                </w:p>
                <w:p w14:paraId="1F7F1A4E" w14:textId="76140CBA" w:rsidR="007450D4" w:rsidRPr="00747DBC" w:rsidRDefault="007450D4" w:rsidP="00DE19A2">
                  <w:pPr>
                    <w:pStyle w:val="ListParagraph"/>
                    <w:numPr>
                      <w:ilvl w:val="0"/>
                      <w:numId w:val="139"/>
                    </w:numPr>
                  </w:pPr>
                  <w:r w:rsidRPr="00747DBC">
                    <w:t>a description of the project, together with any available information on its possible significant effect on the environment in an EEA State; and</w:t>
                  </w:r>
                </w:p>
                <w:p w14:paraId="6A20E34C" w14:textId="284C5F55" w:rsidR="007450D4" w:rsidRPr="00747DBC" w:rsidRDefault="007450D4" w:rsidP="00DE19A2">
                  <w:pPr>
                    <w:pStyle w:val="ListParagraph"/>
                    <w:numPr>
                      <w:ilvl w:val="0"/>
                      <w:numId w:val="139"/>
                    </w:numPr>
                  </w:pPr>
                  <w:r w:rsidRPr="00747DBC">
                    <w:t xml:space="preserve">information on the nature of the decision which may be taken. </w:t>
                  </w:r>
                </w:p>
              </w:tc>
            </w:tr>
            <w:tr w:rsidR="007450D4" w:rsidRPr="00747DBC" w14:paraId="07BA4FDA" w14:textId="77777777" w:rsidTr="00D328FC">
              <w:trPr>
                <w:trHeight w:val="1401"/>
              </w:trPr>
              <w:tc>
                <w:tcPr>
                  <w:tcW w:w="910" w:type="dxa"/>
                </w:tcPr>
                <w:p w14:paraId="07297182" w14:textId="77777777" w:rsidR="007450D4" w:rsidRPr="00747DBC" w:rsidRDefault="007450D4" w:rsidP="00747DBC">
                  <w:r w:rsidRPr="00747DBC">
                    <w:t>12.(3)</w:t>
                  </w:r>
                </w:p>
              </w:tc>
              <w:tc>
                <w:tcPr>
                  <w:tcW w:w="6015" w:type="dxa"/>
                </w:tcPr>
                <w:p w14:paraId="5BF44D29" w14:textId="77777777" w:rsidR="007450D4" w:rsidRPr="00747DBC" w:rsidRDefault="007450D4" w:rsidP="00747DBC">
                  <w:r w:rsidRPr="00747DBC">
                    <w:t>Where an EEA State indicates, in accordance with paragraph (1)(iii), that it wishes to participate in the procedure for which these Regulations provide, the Secretary of State shall as soon as possible send to that EEA State the following information –</w:t>
                  </w:r>
                </w:p>
                <w:p w14:paraId="4640FBEE" w14:textId="63F4A1C3" w:rsidR="007450D4" w:rsidRPr="00747DBC" w:rsidRDefault="007450D4" w:rsidP="00DE19A2">
                  <w:pPr>
                    <w:pStyle w:val="ListParagraph"/>
                    <w:numPr>
                      <w:ilvl w:val="0"/>
                      <w:numId w:val="140"/>
                    </w:numPr>
                  </w:pPr>
                  <w:r w:rsidRPr="00747DBC">
                    <w:t xml:space="preserve">a copy of the application for consent to carry out the project </w:t>
                  </w:r>
                  <w:proofErr w:type="gramStart"/>
                  <w:r w:rsidRPr="00747DBC">
                    <w:t>concerned;</w:t>
                  </w:r>
                  <w:proofErr w:type="gramEnd"/>
                  <w:r w:rsidRPr="00747DBC">
                    <w:t xml:space="preserve"> </w:t>
                  </w:r>
                </w:p>
                <w:p w14:paraId="460DB1BA" w14:textId="62CE9F57" w:rsidR="007450D4" w:rsidRPr="00747DBC" w:rsidRDefault="007450D4" w:rsidP="00DE19A2">
                  <w:pPr>
                    <w:pStyle w:val="ListParagraph"/>
                    <w:numPr>
                      <w:ilvl w:val="0"/>
                      <w:numId w:val="140"/>
                    </w:numPr>
                  </w:pPr>
                  <w:r w:rsidRPr="00747DBC">
                    <w:t xml:space="preserve">a copy of the environmental statement in respect of the project to which that application relates including any further information relating to the project provided pursuant to regulation 10(3)(a); and </w:t>
                  </w:r>
                </w:p>
                <w:p w14:paraId="1668055D" w14:textId="1F346643" w:rsidR="007450D4" w:rsidRPr="00747DBC" w:rsidRDefault="007450D4" w:rsidP="00DE19A2">
                  <w:pPr>
                    <w:pStyle w:val="ListParagraph"/>
                    <w:numPr>
                      <w:ilvl w:val="0"/>
                      <w:numId w:val="140"/>
                    </w:numPr>
                  </w:pPr>
                  <w:r w:rsidRPr="00747DBC">
                    <w:t>relevant information regarding the procedure under these Regulations,</w:t>
                  </w:r>
                </w:p>
                <w:p w14:paraId="2FA27DA1" w14:textId="77777777" w:rsidR="007450D4" w:rsidRPr="00747DBC" w:rsidRDefault="007450D4" w:rsidP="00747DBC">
                  <w:r w:rsidRPr="00747DBC">
                    <w:t>but only to the extent that such information has not been provided to the EEA State earlier in accordance with paragraph (1)(</w:t>
                  </w:r>
                  <w:proofErr w:type="spellStart"/>
                  <w:r w:rsidRPr="00747DBC">
                    <w:t>i</w:t>
                  </w:r>
                  <w:proofErr w:type="spellEnd"/>
                  <w:r w:rsidRPr="00747DBC">
                    <w:t>).</w:t>
                  </w:r>
                </w:p>
              </w:tc>
            </w:tr>
            <w:tr w:rsidR="007450D4" w:rsidRPr="00747DBC" w14:paraId="3517A619" w14:textId="77777777" w:rsidTr="00D328FC">
              <w:trPr>
                <w:trHeight w:val="811"/>
              </w:trPr>
              <w:tc>
                <w:tcPr>
                  <w:tcW w:w="910" w:type="dxa"/>
                </w:tcPr>
                <w:p w14:paraId="119600D1" w14:textId="77777777" w:rsidR="007450D4" w:rsidRPr="00747DBC" w:rsidRDefault="007450D4" w:rsidP="00747DBC">
                  <w:r w:rsidRPr="00747DBC">
                    <w:t>12.(4)</w:t>
                  </w:r>
                </w:p>
              </w:tc>
              <w:tc>
                <w:tcPr>
                  <w:tcW w:w="6015" w:type="dxa"/>
                </w:tcPr>
                <w:p w14:paraId="42AA0241" w14:textId="77777777" w:rsidR="007450D4" w:rsidRPr="00747DBC" w:rsidRDefault="007450D4" w:rsidP="00747DBC">
                  <w:r w:rsidRPr="00747DBC">
                    <w:t>The Secretary of State in so far as he is concerned shall also –</w:t>
                  </w:r>
                </w:p>
                <w:p w14:paraId="0F255786" w14:textId="631EEB25" w:rsidR="007450D4" w:rsidRPr="00747DBC" w:rsidRDefault="007450D4" w:rsidP="00DE19A2">
                  <w:pPr>
                    <w:pStyle w:val="ListParagraph"/>
                    <w:numPr>
                      <w:ilvl w:val="0"/>
                      <w:numId w:val="141"/>
                    </w:numPr>
                  </w:pPr>
                  <w:r w:rsidRPr="00747DBC">
                    <w:t xml:space="preserve">arrange for the particulars and information referred to in paragraphs (2) and (3) to be made available, within a reasonable time, to the authorities referred to in Article 6(1) of the Directive and the public concerned in the </w:t>
                  </w:r>
                  <w:r w:rsidRPr="00747DBC">
                    <w:lastRenderedPageBreak/>
                    <w:t xml:space="preserve">territory of the EEA State likely to be significantly affected; and </w:t>
                  </w:r>
                </w:p>
                <w:p w14:paraId="269B7657" w14:textId="5663D9AA" w:rsidR="007450D4" w:rsidRPr="00747DBC" w:rsidRDefault="007450D4" w:rsidP="00DE19A2">
                  <w:pPr>
                    <w:pStyle w:val="ListParagraph"/>
                    <w:numPr>
                      <w:ilvl w:val="0"/>
                      <w:numId w:val="141"/>
                    </w:numPr>
                  </w:pPr>
                  <w:r w:rsidRPr="00747DBC">
                    <w:t>ensure that those authorities and the public concerned are given an opportunity, before consent to the application is granted, to forward to the Secretary of State, within a reasonable time, their opinion on the information supplied.</w:t>
                  </w:r>
                </w:p>
              </w:tc>
            </w:tr>
            <w:tr w:rsidR="007450D4" w:rsidRPr="00747DBC" w14:paraId="2A185EB2" w14:textId="77777777" w:rsidTr="00D328FC">
              <w:trPr>
                <w:trHeight w:val="1401"/>
              </w:trPr>
              <w:tc>
                <w:tcPr>
                  <w:tcW w:w="910" w:type="dxa"/>
                </w:tcPr>
                <w:p w14:paraId="674BD34A" w14:textId="77777777" w:rsidR="007450D4" w:rsidRPr="00747DBC" w:rsidRDefault="007450D4" w:rsidP="00747DBC">
                  <w:r w:rsidRPr="00747DBC">
                    <w:lastRenderedPageBreak/>
                    <w:t>12.(5)</w:t>
                  </w:r>
                </w:p>
              </w:tc>
              <w:tc>
                <w:tcPr>
                  <w:tcW w:w="6015" w:type="dxa"/>
                </w:tcPr>
                <w:p w14:paraId="62F59F4A" w14:textId="77777777" w:rsidR="007450D4" w:rsidRPr="00747DBC" w:rsidRDefault="007450D4" w:rsidP="00747DBC">
                  <w:r w:rsidRPr="00747DBC">
                    <w:t>The Secretary of State shall, in accordance with Article 7.4 of the Directive –</w:t>
                  </w:r>
                </w:p>
                <w:p w14:paraId="03ECB8D2" w14:textId="693C7D0A" w:rsidR="007450D4" w:rsidRPr="00747DBC" w:rsidRDefault="007450D4" w:rsidP="00DE19A2">
                  <w:pPr>
                    <w:pStyle w:val="ListParagraph"/>
                    <w:numPr>
                      <w:ilvl w:val="0"/>
                      <w:numId w:val="142"/>
                    </w:numPr>
                  </w:pPr>
                  <w:proofErr w:type="gramStart"/>
                  <w:r w:rsidRPr="00747DBC">
                    <w:t>enter into</w:t>
                  </w:r>
                  <w:proofErr w:type="gramEnd"/>
                  <w:r w:rsidRPr="00747DBC">
                    <w:t xml:space="preserve"> consultation with the EEA State concerned regarding, inter alia, the potential significant effects of the project on the environment of that EEA State and the measures envisaged to reduce or eliminate such effects; and </w:t>
                  </w:r>
                </w:p>
                <w:p w14:paraId="2B7B0916" w14:textId="5DE3F276" w:rsidR="007450D4" w:rsidRPr="00747DBC" w:rsidRDefault="007450D4" w:rsidP="00DE19A2">
                  <w:pPr>
                    <w:pStyle w:val="ListParagraph"/>
                    <w:numPr>
                      <w:ilvl w:val="0"/>
                      <w:numId w:val="142"/>
                    </w:numPr>
                  </w:pPr>
                  <w:r w:rsidRPr="00747DBC">
                    <w:t xml:space="preserve">determine in agreement with the other EEA State a reasonable </w:t>
                  </w:r>
                  <w:proofErr w:type="gramStart"/>
                  <w:r w:rsidRPr="00747DBC">
                    <w:t>period of time</w:t>
                  </w:r>
                  <w:proofErr w:type="gramEnd"/>
                  <w:r w:rsidRPr="00747DBC">
                    <w:t xml:space="preserve"> for the duration of the consultation period.</w:t>
                  </w:r>
                </w:p>
              </w:tc>
            </w:tr>
            <w:tr w:rsidR="007450D4" w:rsidRPr="00747DBC" w14:paraId="3F15177A" w14:textId="77777777" w:rsidTr="00D328FC">
              <w:trPr>
                <w:trHeight w:val="1401"/>
              </w:trPr>
              <w:tc>
                <w:tcPr>
                  <w:tcW w:w="910" w:type="dxa"/>
                </w:tcPr>
                <w:p w14:paraId="03F59401" w14:textId="77777777" w:rsidR="007450D4" w:rsidRPr="00747DBC" w:rsidRDefault="007450D4" w:rsidP="00747DBC">
                  <w:r w:rsidRPr="00747DBC">
                    <w:t>12.(6)</w:t>
                  </w:r>
                </w:p>
              </w:tc>
              <w:tc>
                <w:tcPr>
                  <w:tcW w:w="6015" w:type="dxa"/>
                </w:tcPr>
                <w:p w14:paraId="7F3BACD2" w14:textId="77777777" w:rsidR="007450D4" w:rsidRPr="00747DBC" w:rsidRDefault="007450D4" w:rsidP="00747DBC">
                  <w:r w:rsidRPr="00747DBC">
                    <w:t>Where an EEA State has been consulted in accordance with paragraph (5), on the determination of the application concerned the Secretary of State shall –</w:t>
                  </w:r>
                </w:p>
                <w:p w14:paraId="2F61F8EA" w14:textId="1622A741" w:rsidR="007450D4" w:rsidRPr="00747DBC" w:rsidRDefault="007450D4" w:rsidP="00DE19A2">
                  <w:pPr>
                    <w:pStyle w:val="ListParagraph"/>
                    <w:numPr>
                      <w:ilvl w:val="0"/>
                      <w:numId w:val="143"/>
                    </w:numPr>
                  </w:pPr>
                  <w:r w:rsidRPr="00747DBC">
                    <w:t xml:space="preserve">send to the ONR within 21 days of receipt any responses made by an EEA State pursuant to consultation under this </w:t>
                  </w:r>
                  <w:proofErr w:type="gramStart"/>
                  <w:r w:rsidRPr="00747DBC">
                    <w:t>regulation;</w:t>
                  </w:r>
                  <w:proofErr w:type="gramEnd"/>
                </w:p>
                <w:p w14:paraId="5C96EFF7" w14:textId="0278FFBB" w:rsidR="007450D4" w:rsidRPr="00747DBC" w:rsidRDefault="007450D4" w:rsidP="00DE19A2">
                  <w:pPr>
                    <w:pStyle w:val="ListParagraph"/>
                    <w:numPr>
                      <w:ilvl w:val="0"/>
                      <w:numId w:val="143"/>
                    </w:numPr>
                  </w:pPr>
                  <w:r w:rsidRPr="00747DBC">
                    <w:t xml:space="preserve">inform the EEA State of the decision; and </w:t>
                  </w:r>
                </w:p>
                <w:p w14:paraId="2580B119" w14:textId="5EBA26FB" w:rsidR="007450D4" w:rsidRPr="00747DBC" w:rsidRDefault="007450D4" w:rsidP="00DE19A2">
                  <w:pPr>
                    <w:pStyle w:val="ListParagraph"/>
                    <w:numPr>
                      <w:ilvl w:val="0"/>
                      <w:numId w:val="143"/>
                    </w:numPr>
                  </w:pPr>
                  <w:r w:rsidRPr="00747DBC">
                    <w:t>forward to it a statement of –</w:t>
                  </w:r>
                </w:p>
                <w:p w14:paraId="5516C1CE" w14:textId="54DD0D59" w:rsidR="007450D4" w:rsidRPr="00747DBC" w:rsidRDefault="007450D4" w:rsidP="00DE19A2">
                  <w:pPr>
                    <w:pStyle w:val="ListParagraph"/>
                    <w:numPr>
                      <w:ilvl w:val="0"/>
                      <w:numId w:val="144"/>
                    </w:numPr>
                  </w:pPr>
                  <w:r w:rsidRPr="00747DBC">
                    <w:t xml:space="preserve">the content of the decision and any conditions attached </w:t>
                  </w:r>
                  <w:proofErr w:type="gramStart"/>
                  <w:r w:rsidRPr="00747DBC">
                    <w:t>thereto;</w:t>
                  </w:r>
                  <w:proofErr w:type="gramEnd"/>
                </w:p>
                <w:p w14:paraId="6515DEBD" w14:textId="2C077C65" w:rsidR="007450D4" w:rsidRPr="00747DBC" w:rsidRDefault="007450D4" w:rsidP="00DE19A2">
                  <w:pPr>
                    <w:pStyle w:val="ListParagraph"/>
                    <w:numPr>
                      <w:ilvl w:val="0"/>
                      <w:numId w:val="144"/>
                    </w:numPr>
                  </w:pPr>
                  <w:r w:rsidRPr="00747DBC">
                    <w:t xml:space="preserve">the main reasons and considerations on which the decision is based; and </w:t>
                  </w:r>
                </w:p>
                <w:p w14:paraId="130EEFE0" w14:textId="77777777" w:rsidR="007450D4" w:rsidRPr="00747DBC" w:rsidRDefault="007450D4" w:rsidP="00747DBC">
                  <w:r w:rsidRPr="00747DBC">
                    <w:t>a description, where necessary, of the main measures to avoid, reduce and, if possible, offset the major adverse effects of the project.</w:t>
                  </w:r>
                </w:p>
              </w:tc>
            </w:tr>
          </w:tbl>
          <w:p w14:paraId="27327884" w14:textId="77777777" w:rsidR="007450D4" w:rsidRPr="00747DBC" w:rsidRDefault="007450D4" w:rsidP="00747DBC"/>
        </w:tc>
      </w:tr>
      <w:tr w:rsidR="007450D4" w:rsidRPr="00747DBC" w14:paraId="68B907AC" w14:textId="77777777" w:rsidTr="00747DBC">
        <w:tc>
          <w:tcPr>
            <w:tcW w:w="771" w:type="pct"/>
            <w:shd w:val="clear" w:color="auto" w:fill="008080"/>
          </w:tcPr>
          <w:p w14:paraId="5C6971D8" w14:textId="77777777" w:rsidR="007450D4" w:rsidRPr="00747DBC" w:rsidRDefault="007450D4" w:rsidP="00747DBC">
            <w:r w:rsidRPr="00747DBC">
              <w:rPr>
                <w:color w:val="FFFFFF" w:themeColor="background1"/>
              </w:rPr>
              <w:lastRenderedPageBreak/>
              <w:t>Guidance</w:t>
            </w:r>
          </w:p>
        </w:tc>
        <w:tc>
          <w:tcPr>
            <w:tcW w:w="283" w:type="pct"/>
            <w:shd w:val="clear" w:color="auto" w:fill="008080"/>
          </w:tcPr>
          <w:p w14:paraId="544148D4" w14:textId="77777777" w:rsidR="007450D4" w:rsidRPr="00747DBC" w:rsidRDefault="007450D4" w:rsidP="00747DBC">
            <w:pPr>
              <w:rPr>
                <w:szCs w:val="24"/>
              </w:rPr>
            </w:pPr>
            <w:bookmarkStart w:id="228" w:name="_Toc82167000"/>
            <w:bookmarkStart w:id="229" w:name="_Toc117773725"/>
            <w:bookmarkStart w:id="230" w:name="_Toc117774023"/>
            <w:bookmarkStart w:id="231" w:name="_Toc117774143"/>
            <w:r w:rsidRPr="00747DBC">
              <w:rPr>
                <w:color w:val="FFFFFF" w:themeColor="background1"/>
                <w:szCs w:val="24"/>
              </w:rPr>
              <w:t>12</w:t>
            </w:r>
            <w:bookmarkEnd w:id="228"/>
            <w:bookmarkEnd w:id="229"/>
            <w:bookmarkEnd w:id="230"/>
            <w:bookmarkEnd w:id="231"/>
          </w:p>
        </w:tc>
        <w:tc>
          <w:tcPr>
            <w:tcW w:w="3946" w:type="pct"/>
          </w:tcPr>
          <w:p w14:paraId="6793D34A" w14:textId="77777777" w:rsidR="007450D4" w:rsidRPr="00747DBC" w:rsidRDefault="007450D4" w:rsidP="00747DBC">
            <w:pPr>
              <w:pStyle w:val="Regulationpara"/>
            </w:pPr>
            <w:r w:rsidRPr="00747DBC">
              <w:t xml:space="preserve">This regulation describes the procedures to be undertaken when it comes to the attention of the SoS that a decommissioning project is likely to have significant effects on the environment in an EEA state (either </w:t>
            </w:r>
            <w:proofErr w:type="gramStart"/>
            <w:r w:rsidRPr="00747DBC">
              <w:t>as a result of</w:t>
            </w:r>
            <w:proofErr w:type="gramEnd"/>
            <w:r w:rsidRPr="00747DBC">
              <w:t xml:space="preserve"> information from ONR or representations from the EEA state itself).</w:t>
            </w:r>
          </w:p>
          <w:p w14:paraId="2D1DBBC4" w14:textId="651719CA" w:rsidR="007450D4" w:rsidRPr="00747DBC" w:rsidRDefault="007450D4" w:rsidP="00747DBC">
            <w:pPr>
              <w:pStyle w:val="Regulationpara"/>
            </w:pPr>
            <w:r w:rsidRPr="00747DBC">
              <w:t xml:space="preserve">ONR will take account of any responses received during consultation with the EEA </w:t>
            </w:r>
            <w:r w:rsidR="00747DBC" w:rsidRPr="00747DBC">
              <w:t>state and</w:t>
            </w:r>
            <w:r w:rsidRPr="00747DBC">
              <w:t xml:space="preserve"> may seek the views </w:t>
            </w:r>
            <w:r w:rsidRPr="00747DBC">
              <w:lastRenderedPageBreak/>
              <w:t>of the appropriate statutory consultees in the UK, before reaching its final decision on whether to grant consent for the decommissioning project to commence.</w:t>
            </w:r>
          </w:p>
        </w:tc>
      </w:tr>
    </w:tbl>
    <w:p w14:paraId="5246EA28" w14:textId="401FA1BD" w:rsidR="00235CE9" w:rsidRDefault="00235CE9" w:rsidP="00A01C3E">
      <w:pPr>
        <w:pStyle w:val="Heading2"/>
      </w:pPr>
      <w:bookmarkStart w:id="232" w:name="_Toc124416334"/>
      <w:r>
        <w:lastRenderedPageBreak/>
        <w:t>Regulation 13 Change or Extension of Project</w:t>
      </w:r>
      <w:bookmarkEnd w:id="23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511"/>
        <w:gridCol w:w="7123"/>
      </w:tblGrid>
      <w:tr w:rsidR="00ED6249" w:rsidRPr="00747DBC" w14:paraId="38A8E317" w14:textId="77777777" w:rsidTr="00747DBC">
        <w:tc>
          <w:tcPr>
            <w:tcW w:w="771" w:type="pct"/>
          </w:tcPr>
          <w:p w14:paraId="02AFBCD5" w14:textId="77777777" w:rsidR="00ED6249" w:rsidRPr="00747DBC" w:rsidRDefault="00ED6249" w:rsidP="00747DBC">
            <w:r w:rsidRPr="00747DBC">
              <w:t>Regulation</w:t>
            </w:r>
          </w:p>
        </w:tc>
        <w:tc>
          <w:tcPr>
            <w:tcW w:w="283" w:type="pct"/>
          </w:tcPr>
          <w:p w14:paraId="2AEBE4B6" w14:textId="77777777" w:rsidR="00ED6249" w:rsidRPr="00747DBC" w:rsidRDefault="00ED6249" w:rsidP="00747DBC">
            <w:pPr>
              <w:rPr>
                <w:szCs w:val="24"/>
              </w:rPr>
            </w:pPr>
            <w:bookmarkStart w:id="233" w:name="_Toc82167002"/>
            <w:bookmarkStart w:id="234" w:name="_Toc117773727"/>
            <w:bookmarkStart w:id="235" w:name="_Toc117774025"/>
            <w:bookmarkStart w:id="236" w:name="_Toc117774145"/>
            <w:r w:rsidRPr="00747DBC">
              <w:rPr>
                <w:szCs w:val="24"/>
              </w:rPr>
              <w:t>13</w:t>
            </w:r>
            <w:bookmarkEnd w:id="233"/>
            <w:bookmarkEnd w:id="234"/>
            <w:bookmarkEnd w:id="235"/>
            <w:bookmarkEnd w:id="236"/>
          </w:p>
        </w:tc>
        <w:tc>
          <w:tcPr>
            <w:tcW w:w="3946"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
              <w:gridCol w:w="5994"/>
            </w:tblGrid>
            <w:tr w:rsidR="00ED6249" w:rsidRPr="00747DBC" w14:paraId="59D9F5AC" w14:textId="77777777" w:rsidTr="00D328FC">
              <w:tc>
                <w:tcPr>
                  <w:tcW w:w="913" w:type="dxa"/>
                </w:tcPr>
                <w:p w14:paraId="36B1EFD7" w14:textId="77777777" w:rsidR="00ED6249" w:rsidRPr="00747DBC" w:rsidRDefault="00ED6249" w:rsidP="00747DBC">
                  <w:r w:rsidRPr="00747DBC">
                    <w:t>13.(1)</w:t>
                  </w:r>
                </w:p>
              </w:tc>
              <w:tc>
                <w:tcPr>
                  <w:tcW w:w="6012" w:type="dxa"/>
                </w:tcPr>
                <w:p w14:paraId="634ACDCA" w14:textId="77777777" w:rsidR="00ED6249" w:rsidRPr="00747DBC" w:rsidRDefault="00ED6249" w:rsidP="00747DBC">
                  <w:r w:rsidRPr="00747DBC">
                    <w:t>Where there is a change or extension of –</w:t>
                  </w:r>
                </w:p>
                <w:p w14:paraId="47C5B18C" w14:textId="1D2F3DE9" w:rsidR="00ED6249" w:rsidRPr="00747DBC" w:rsidRDefault="00ED6249" w:rsidP="00DE19A2">
                  <w:pPr>
                    <w:pStyle w:val="ListParagraph"/>
                    <w:numPr>
                      <w:ilvl w:val="0"/>
                      <w:numId w:val="145"/>
                    </w:numPr>
                  </w:pPr>
                  <w:r w:rsidRPr="00747DBC">
                    <w:t xml:space="preserve">any project in respect of which a consent has been granted pursuant to regulation 4(1)(b); or </w:t>
                  </w:r>
                </w:p>
                <w:p w14:paraId="063928AC" w14:textId="533A4B4A" w:rsidR="00ED6249" w:rsidRPr="00747DBC" w:rsidRDefault="00ED6249" w:rsidP="00DE19A2">
                  <w:pPr>
                    <w:pStyle w:val="ListParagraph"/>
                    <w:numPr>
                      <w:ilvl w:val="0"/>
                      <w:numId w:val="145"/>
                    </w:numPr>
                  </w:pPr>
                  <w:r w:rsidRPr="00747DBC">
                    <w:t>any project which commenced prior to the coming into force of these Regulations, which change or extension may have significant adverse effects on the environment, the licensee shall apply to the ONR for a determination as to whether the project shall be made subject to an environmental impact assessment and shall not commence or continue with the change or extension to the project and any other part of the project that the ONR may direct until such determination has been made.</w:t>
                  </w:r>
                </w:p>
              </w:tc>
            </w:tr>
            <w:tr w:rsidR="00ED6249" w:rsidRPr="00747DBC" w14:paraId="0F51912B" w14:textId="77777777" w:rsidTr="00D328FC">
              <w:trPr>
                <w:trHeight w:val="1018"/>
              </w:trPr>
              <w:tc>
                <w:tcPr>
                  <w:tcW w:w="913" w:type="dxa"/>
                </w:tcPr>
                <w:p w14:paraId="19B2A140" w14:textId="77777777" w:rsidR="00ED6249" w:rsidRPr="00747DBC" w:rsidRDefault="00ED6249" w:rsidP="00747DBC">
                  <w:r w:rsidRPr="00747DBC">
                    <w:t>13.(2)</w:t>
                  </w:r>
                </w:p>
              </w:tc>
              <w:tc>
                <w:tcPr>
                  <w:tcW w:w="6012" w:type="dxa"/>
                </w:tcPr>
                <w:p w14:paraId="74E0DEF3" w14:textId="77777777" w:rsidR="00ED6249" w:rsidRPr="00747DBC" w:rsidRDefault="00ED6249" w:rsidP="00747DBC">
                  <w:r w:rsidRPr="00747DBC">
                    <w:t>In determining for the purpose of paragraph (1) whether an environmental impact assessment is required, the ONR shall have regard to—</w:t>
                  </w:r>
                </w:p>
                <w:p w14:paraId="71D61426" w14:textId="00893FD2" w:rsidR="00ED6249" w:rsidRPr="00747DBC" w:rsidRDefault="00ED6249" w:rsidP="00DE19A2">
                  <w:pPr>
                    <w:pStyle w:val="ListParagraph"/>
                    <w:numPr>
                      <w:ilvl w:val="0"/>
                      <w:numId w:val="146"/>
                    </w:numPr>
                  </w:pPr>
                  <w:r w:rsidRPr="00747DBC">
                    <w:t xml:space="preserve">the relevant selection criteria set out in Schedule </w:t>
                  </w:r>
                  <w:proofErr w:type="gramStart"/>
                  <w:r w:rsidRPr="00747DBC">
                    <w:t>2;</w:t>
                  </w:r>
                  <w:proofErr w:type="gramEnd"/>
                </w:p>
                <w:p w14:paraId="3CCFEA05" w14:textId="39768C21" w:rsidR="00ED6249" w:rsidRPr="00747DBC" w:rsidRDefault="00ED6249" w:rsidP="00DE19A2">
                  <w:pPr>
                    <w:pStyle w:val="ListParagraph"/>
                    <w:numPr>
                      <w:ilvl w:val="0"/>
                      <w:numId w:val="146"/>
                    </w:numPr>
                  </w:pPr>
                  <w:r w:rsidRPr="00747DBC">
                    <w:t>where relevant, the results of any relevant EU environmental assessment which are reasonably available to the ONR.</w:t>
                  </w:r>
                </w:p>
              </w:tc>
            </w:tr>
          </w:tbl>
          <w:p w14:paraId="473ADFCF" w14:textId="77777777" w:rsidR="00ED6249" w:rsidRPr="00747DBC" w:rsidRDefault="00ED6249" w:rsidP="00747DBC"/>
        </w:tc>
      </w:tr>
      <w:tr w:rsidR="00ED6249" w:rsidRPr="00747DBC" w14:paraId="57674339" w14:textId="77777777" w:rsidTr="00747DBC">
        <w:tc>
          <w:tcPr>
            <w:tcW w:w="771" w:type="pct"/>
            <w:shd w:val="clear" w:color="auto" w:fill="008080"/>
          </w:tcPr>
          <w:p w14:paraId="421CA97F" w14:textId="77777777" w:rsidR="00ED6249" w:rsidRPr="00747DBC" w:rsidRDefault="00ED6249" w:rsidP="00747DBC">
            <w:pPr>
              <w:rPr>
                <w:color w:val="FFFFFF" w:themeColor="background1"/>
              </w:rPr>
            </w:pPr>
            <w:r w:rsidRPr="00747DBC">
              <w:rPr>
                <w:color w:val="FFFFFF" w:themeColor="background1"/>
              </w:rPr>
              <w:t>Guidance</w:t>
            </w:r>
          </w:p>
        </w:tc>
        <w:tc>
          <w:tcPr>
            <w:tcW w:w="283" w:type="pct"/>
            <w:shd w:val="clear" w:color="auto" w:fill="008080"/>
          </w:tcPr>
          <w:p w14:paraId="609F3331" w14:textId="77777777" w:rsidR="00ED6249" w:rsidRPr="00747DBC" w:rsidRDefault="00ED6249" w:rsidP="00747DBC">
            <w:pPr>
              <w:rPr>
                <w:color w:val="FFFFFF" w:themeColor="background1"/>
                <w:szCs w:val="24"/>
              </w:rPr>
            </w:pPr>
            <w:bookmarkStart w:id="237" w:name="_Toc82167003"/>
            <w:bookmarkStart w:id="238" w:name="_Toc117773728"/>
            <w:bookmarkStart w:id="239" w:name="_Toc117774026"/>
            <w:bookmarkStart w:id="240" w:name="_Toc117774146"/>
            <w:r w:rsidRPr="00747DBC">
              <w:rPr>
                <w:color w:val="FFFFFF" w:themeColor="background1"/>
                <w:szCs w:val="24"/>
              </w:rPr>
              <w:t>13</w:t>
            </w:r>
            <w:bookmarkEnd w:id="237"/>
            <w:bookmarkEnd w:id="238"/>
            <w:bookmarkEnd w:id="239"/>
            <w:bookmarkEnd w:id="240"/>
          </w:p>
        </w:tc>
        <w:tc>
          <w:tcPr>
            <w:tcW w:w="3946" w:type="pct"/>
          </w:tcPr>
          <w:p w14:paraId="567BD8A2" w14:textId="77777777" w:rsidR="00ED6249" w:rsidRPr="00747DBC" w:rsidRDefault="00ED6249" w:rsidP="00747DBC">
            <w:pPr>
              <w:pStyle w:val="Regulationpara"/>
            </w:pPr>
            <w:r w:rsidRPr="00747DBC">
              <w:t>Regulation 13 applies to projects that began before EIADR came into force, and to projects that have already been granted consent under EIADR, when such projects are subject to change or extension that may have significant adverse effects on the environment. The licensee shall not implement changes to the decommissioning project until they have been considered under Regulation 13. In addition to the change itself, ONR may direct any other part of the project that could be impacted by the change to not commence or continue until a decision under Regulation 13 is made, and (if necessary) an EIA for the change submitted and ONR consent for the change to go ahead granted.</w:t>
            </w:r>
          </w:p>
          <w:p w14:paraId="6832A607" w14:textId="77777777" w:rsidR="00ED6249" w:rsidRPr="00747DBC" w:rsidRDefault="00ED6249" w:rsidP="00747DBC">
            <w:pPr>
              <w:pStyle w:val="Regulationpara"/>
            </w:pPr>
            <w:r w:rsidRPr="00747DBC">
              <w:lastRenderedPageBreak/>
              <w:t>Changes may be quantitative in nature and related directly to the project itself (for example, a change in the amount of radioactive waste generated, or a change in the number of heavy goods vehicles travelling to and from site). Alternatively, changes may be rather more qualitative in nature and might arise from changes in factors outside the control of licensees (for example, changes in government policy, or changes in the technology and expertise available).</w:t>
            </w:r>
          </w:p>
          <w:p w14:paraId="0E4DBD63" w14:textId="249F66A1" w:rsidR="00ED6249" w:rsidRPr="00747DBC" w:rsidRDefault="00ED6249" w:rsidP="00747DBC">
            <w:pPr>
              <w:pStyle w:val="Regulationpara"/>
            </w:pPr>
            <w:r w:rsidRPr="00747DBC">
              <w:t>It is the duty of the licensee to decide whether an application should be made to ONR for a determination as to whether an EIA is required. Although not an explicit requirement of the regulations, ONR expects the licensee to have arrangements in place to identify and assess changes to the decommissioning project so that an informed decision on applying to the ONR for a determination may be made. To assist licensees in the decision-making process, criteria for screening changes or extensions to projects are included in Appendix 3 and Appendix 4 of this guidance. The decision on whether to seek a determination should be made with no consideration of the effects that might be provided by mitigation measures, even if these are required by other legislation.</w:t>
            </w:r>
          </w:p>
        </w:tc>
      </w:tr>
      <w:tr w:rsidR="00ED6249" w:rsidRPr="00747DBC" w14:paraId="49DADDA3" w14:textId="77777777" w:rsidTr="00747DBC">
        <w:tc>
          <w:tcPr>
            <w:tcW w:w="771" w:type="pct"/>
            <w:shd w:val="clear" w:color="auto" w:fill="008080"/>
          </w:tcPr>
          <w:p w14:paraId="2F8ACDC1" w14:textId="77777777" w:rsidR="00ED6249" w:rsidRPr="00747DBC" w:rsidRDefault="00ED6249" w:rsidP="00747DBC">
            <w:pPr>
              <w:rPr>
                <w:color w:val="FFFFFF" w:themeColor="background1"/>
              </w:rPr>
            </w:pPr>
            <w:r w:rsidRPr="00747DBC">
              <w:rPr>
                <w:color w:val="FFFFFF" w:themeColor="background1"/>
              </w:rPr>
              <w:lastRenderedPageBreak/>
              <w:t>Guidance</w:t>
            </w:r>
          </w:p>
        </w:tc>
        <w:tc>
          <w:tcPr>
            <w:tcW w:w="283" w:type="pct"/>
            <w:shd w:val="clear" w:color="auto" w:fill="008080"/>
          </w:tcPr>
          <w:p w14:paraId="7B043C1A" w14:textId="77777777" w:rsidR="00ED6249" w:rsidRPr="00747DBC" w:rsidRDefault="00ED6249" w:rsidP="00747DBC">
            <w:pPr>
              <w:rPr>
                <w:color w:val="FFFFFF" w:themeColor="background1"/>
                <w:szCs w:val="24"/>
              </w:rPr>
            </w:pPr>
            <w:bookmarkStart w:id="241" w:name="_Toc82167004"/>
            <w:bookmarkStart w:id="242" w:name="_Toc117773729"/>
            <w:bookmarkStart w:id="243" w:name="_Toc117774027"/>
            <w:bookmarkStart w:id="244" w:name="_Toc117774147"/>
            <w:r w:rsidRPr="00747DBC">
              <w:rPr>
                <w:color w:val="FFFFFF" w:themeColor="background1"/>
                <w:szCs w:val="24"/>
              </w:rPr>
              <w:t>13</w:t>
            </w:r>
            <w:bookmarkEnd w:id="241"/>
            <w:bookmarkEnd w:id="242"/>
            <w:bookmarkEnd w:id="243"/>
            <w:bookmarkEnd w:id="244"/>
          </w:p>
        </w:tc>
        <w:tc>
          <w:tcPr>
            <w:tcW w:w="3946" w:type="pct"/>
          </w:tcPr>
          <w:p w14:paraId="6C82AD39" w14:textId="77777777" w:rsidR="00ED6249" w:rsidRPr="00747DBC" w:rsidRDefault="00ED6249" w:rsidP="00747DBC">
            <w:pPr>
              <w:rPr>
                <w:b/>
                <w:bCs/>
              </w:rPr>
            </w:pPr>
            <w:r w:rsidRPr="00747DBC">
              <w:rPr>
                <w:b/>
                <w:bCs/>
              </w:rPr>
              <w:t>Change or extension to the project</w:t>
            </w:r>
          </w:p>
          <w:p w14:paraId="6C3C669B" w14:textId="77777777" w:rsidR="00ED6249" w:rsidRPr="00747DBC" w:rsidRDefault="00ED6249" w:rsidP="00747DBC">
            <w:pPr>
              <w:pStyle w:val="Regulationpara"/>
            </w:pPr>
            <w:r w:rsidRPr="00747DBC">
              <w:t>The term change or extension [to the project] may include any change or extension to an existing decommissioning project that results in any one or more of the following:</w:t>
            </w:r>
          </w:p>
          <w:p w14:paraId="64392EBC" w14:textId="77777777" w:rsidR="00ED6249" w:rsidRPr="00747DBC" w:rsidRDefault="00ED6249" w:rsidP="00DE19A2">
            <w:pPr>
              <w:pStyle w:val="Bulletlist1"/>
              <w:ind w:left="697" w:hanging="357"/>
            </w:pPr>
            <w:r w:rsidRPr="00747DBC">
              <w:t>changes to the commencement of works – delays or advancements in start date - alterations to the rate of decommissioning - speeding up or slowing down the process or programme of work or elements within the process or programme of work;</w:t>
            </w:r>
          </w:p>
          <w:p w14:paraId="00C2C7D4" w14:textId="77777777" w:rsidR="00ED6249" w:rsidRPr="00747DBC" w:rsidRDefault="00ED6249" w:rsidP="00DE19A2">
            <w:pPr>
              <w:pStyle w:val="Bulletlist1"/>
              <w:ind w:left="697" w:hanging="357"/>
            </w:pPr>
            <w:r w:rsidRPr="00747DBC">
              <w:t>changes in the sequence of decommissioning in terms of individual operations;</w:t>
            </w:r>
          </w:p>
          <w:p w14:paraId="4B78C836" w14:textId="77777777" w:rsidR="00ED6249" w:rsidRPr="00747DBC" w:rsidRDefault="00ED6249" w:rsidP="00DE19A2">
            <w:pPr>
              <w:pStyle w:val="Bulletlist1"/>
              <w:ind w:left="697" w:hanging="357"/>
            </w:pPr>
            <w:r w:rsidRPr="00747DBC">
              <w:t>changes to on-site arrangements in terms of alterations to the location of specific buildings or structures (e.g. waste storage areas);</w:t>
            </w:r>
          </w:p>
          <w:p w14:paraId="73A5A24C" w14:textId="77777777" w:rsidR="00ED6249" w:rsidRPr="00747DBC" w:rsidRDefault="00ED6249" w:rsidP="00DE19A2">
            <w:pPr>
              <w:pStyle w:val="Bulletlist1"/>
              <w:ind w:left="697" w:hanging="357"/>
            </w:pPr>
            <w:r w:rsidRPr="00747DBC">
              <w:t>changes or extensions to the size or scale of buildings and structures;</w:t>
            </w:r>
          </w:p>
          <w:p w14:paraId="34502B61" w14:textId="77777777" w:rsidR="00ED6249" w:rsidRPr="00747DBC" w:rsidRDefault="00ED6249" w:rsidP="00DE19A2">
            <w:pPr>
              <w:pStyle w:val="Bulletlist1"/>
              <w:ind w:left="697" w:hanging="357"/>
            </w:pPr>
            <w:r w:rsidRPr="00747DBC">
              <w:lastRenderedPageBreak/>
              <w:t>changes to any waste transportation arrangements;</w:t>
            </w:r>
          </w:p>
          <w:p w14:paraId="029D0621" w14:textId="77777777" w:rsidR="00ED6249" w:rsidRPr="00747DBC" w:rsidRDefault="00ED6249" w:rsidP="00DE19A2">
            <w:pPr>
              <w:pStyle w:val="Bulletlist1"/>
              <w:ind w:left="697" w:hanging="357"/>
            </w:pPr>
            <w:r w:rsidRPr="00747DBC">
              <w:t>changes in the use of resources (e.g. energy, water, materials etc);</w:t>
            </w:r>
          </w:p>
          <w:p w14:paraId="5D00C3F4" w14:textId="77777777" w:rsidR="00ED6249" w:rsidRPr="00747DBC" w:rsidRDefault="00ED6249" w:rsidP="00DE19A2">
            <w:pPr>
              <w:pStyle w:val="Bulletlist1"/>
              <w:ind w:left="697" w:hanging="357"/>
            </w:pPr>
            <w:r w:rsidRPr="00747DBC">
              <w:t>changes to sentencing and waste disposal arrangements, including on-site disposals of waste;</w:t>
            </w:r>
          </w:p>
          <w:p w14:paraId="016A48AE" w14:textId="77777777" w:rsidR="00ED6249" w:rsidRPr="00747DBC" w:rsidRDefault="00ED6249" w:rsidP="00DE19A2">
            <w:pPr>
              <w:pStyle w:val="Bulletlist1"/>
              <w:ind w:left="697" w:hanging="357"/>
            </w:pPr>
            <w:r w:rsidRPr="00747DBC">
              <w:t>changes to waste treatment arrangements on site;</w:t>
            </w:r>
          </w:p>
          <w:p w14:paraId="6572E7F1" w14:textId="77777777" w:rsidR="00ED6249" w:rsidRPr="00747DBC" w:rsidRDefault="00ED6249" w:rsidP="00DE19A2">
            <w:pPr>
              <w:pStyle w:val="Bulletlist1"/>
              <w:ind w:left="697" w:hanging="357"/>
            </w:pPr>
            <w:r w:rsidRPr="00747DBC">
              <w:t>changes to any previously agreed emission rates from the site;</w:t>
            </w:r>
          </w:p>
          <w:p w14:paraId="0438F341" w14:textId="77777777" w:rsidR="00ED6249" w:rsidRPr="00747DBC" w:rsidRDefault="00ED6249" w:rsidP="00DE19A2">
            <w:pPr>
              <w:pStyle w:val="Bulletlist1"/>
              <w:ind w:left="697" w:hanging="357"/>
            </w:pPr>
            <w:r w:rsidRPr="00747DBC">
              <w:t>changes to the type of material being emitted from the site;</w:t>
            </w:r>
          </w:p>
          <w:p w14:paraId="17D8B65E" w14:textId="77777777" w:rsidR="00ED6249" w:rsidRPr="00747DBC" w:rsidRDefault="00ED6249" w:rsidP="00DE19A2">
            <w:pPr>
              <w:pStyle w:val="Bulletlist1"/>
              <w:ind w:left="697" w:hanging="357"/>
            </w:pPr>
            <w:r w:rsidRPr="00747DBC">
              <w:t>changes to the environmental media to which emissions are being released; and</w:t>
            </w:r>
          </w:p>
          <w:p w14:paraId="6FD8FF00" w14:textId="77777777" w:rsidR="00ED6249" w:rsidRPr="00747DBC" w:rsidRDefault="00ED6249" w:rsidP="00DE19A2">
            <w:pPr>
              <w:pStyle w:val="Bulletlist1"/>
              <w:ind w:left="697" w:hanging="357"/>
            </w:pPr>
            <w:r w:rsidRPr="00747DBC">
              <w:t>any other modifications to processes or procedures that will lead to changes or extensions that are likely to have physical effects.</w:t>
            </w:r>
          </w:p>
          <w:p w14:paraId="72BB8E72" w14:textId="77777777" w:rsidR="00ED6249" w:rsidRPr="00747DBC" w:rsidRDefault="00ED6249" w:rsidP="00747DBC">
            <w:pPr>
              <w:pStyle w:val="Regulationpara"/>
            </w:pPr>
            <w:r w:rsidRPr="00747DBC">
              <w:t xml:space="preserve">Changes may also include changes to the scope of the originally consented decommissioning project, for example, where the licensee repurposes a building in scope of the decommissioning project for another use, or where there is a change in the licensed site boundary. This would be a change to the decommissioning project that should be considered under Regulation 13. </w:t>
            </w:r>
          </w:p>
          <w:p w14:paraId="2054978A" w14:textId="77777777" w:rsidR="00ED6249" w:rsidRPr="00747DBC" w:rsidRDefault="00ED6249" w:rsidP="00747DBC">
            <w:pPr>
              <w:pStyle w:val="Regulationpara"/>
            </w:pPr>
            <w:r w:rsidRPr="00747DBC">
              <w:t xml:space="preserve">It should be noted that changes or extensions to the decommissioning project may arise </w:t>
            </w:r>
            <w:proofErr w:type="gramStart"/>
            <w:r w:rsidRPr="00747DBC">
              <w:t>as a result of</w:t>
            </w:r>
            <w:proofErr w:type="gramEnd"/>
            <w:r w:rsidRPr="00747DBC">
              <w:t xml:space="preserve"> changes to other non-site factors. Such factors that may result in changes to the decommissioning project include:</w:t>
            </w:r>
          </w:p>
          <w:p w14:paraId="684640CD" w14:textId="77777777" w:rsidR="00ED6249" w:rsidRPr="00747DBC" w:rsidRDefault="00ED6249" w:rsidP="00DE19A2">
            <w:pPr>
              <w:pStyle w:val="Bulletlist1"/>
              <w:ind w:left="697" w:hanging="357"/>
            </w:pPr>
            <w:r w:rsidRPr="00747DBC">
              <w:t>regulatory change over the period of decommissioning;</w:t>
            </w:r>
          </w:p>
          <w:p w14:paraId="6A30F719" w14:textId="77777777" w:rsidR="00ED6249" w:rsidRPr="00747DBC" w:rsidRDefault="00ED6249" w:rsidP="00DE19A2">
            <w:pPr>
              <w:pStyle w:val="Bulletlist1"/>
              <w:ind w:left="697" w:hanging="357"/>
            </w:pPr>
            <w:r w:rsidRPr="00747DBC">
              <w:t>climatic change considerations;</w:t>
            </w:r>
          </w:p>
          <w:p w14:paraId="7384793C" w14:textId="77777777" w:rsidR="00ED6249" w:rsidRPr="00747DBC" w:rsidRDefault="00ED6249" w:rsidP="00DE19A2">
            <w:pPr>
              <w:pStyle w:val="Bulletlist1"/>
              <w:ind w:left="697" w:hanging="357"/>
            </w:pPr>
            <w:r w:rsidRPr="00747DBC">
              <w:t>developments in decommissioning technology over time;</w:t>
            </w:r>
          </w:p>
          <w:p w14:paraId="3C2BD601" w14:textId="77777777" w:rsidR="00ED6249" w:rsidRPr="00747DBC" w:rsidRDefault="00ED6249" w:rsidP="00DE19A2">
            <w:pPr>
              <w:pStyle w:val="Bulletlist1"/>
              <w:ind w:left="697" w:hanging="357"/>
            </w:pPr>
            <w:r w:rsidRPr="00747DBC">
              <w:t>changes in working practices, including the availability or otherwise of relevant skills;</w:t>
            </w:r>
          </w:p>
          <w:p w14:paraId="78BDAAB8" w14:textId="77777777" w:rsidR="00ED6249" w:rsidRPr="00747DBC" w:rsidRDefault="00ED6249" w:rsidP="00DE19A2">
            <w:pPr>
              <w:pStyle w:val="Bulletlist1"/>
              <w:ind w:left="697" w:hanging="357"/>
            </w:pPr>
            <w:r w:rsidRPr="00747DBC">
              <w:t>contractual changes or relationships, including alterations to funding regimes; and</w:t>
            </w:r>
          </w:p>
          <w:p w14:paraId="1F4B4431" w14:textId="77777777" w:rsidR="00ED6249" w:rsidRPr="00747DBC" w:rsidRDefault="00ED6249" w:rsidP="00DE19A2">
            <w:pPr>
              <w:pStyle w:val="Bulletlist1"/>
              <w:ind w:left="697" w:hanging="357"/>
            </w:pPr>
            <w:r w:rsidRPr="00747DBC">
              <w:t>research and development.</w:t>
            </w:r>
          </w:p>
          <w:p w14:paraId="2583BC48" w14:textId="77777777" w:rsidR="00ED6249" w:rsidRPr="00747DBC" w:rsidRDefault="00ED6249" w:rsidP="00747DBC">
            <w:pPr>
              <w:pStyle w:val="Regulationpara"/>
              <w:rPr>
                <w:u w:val="single"/>
              </w:rPr>
            </w:pPr>
            <w:r w:rsidRPr="00747DBC">
              <w:lastRenderedPageBreak/>
              <w:t>These lists are not exhaustive. Changes or extensions to decommissioning projects which have been issued consent under EIADR will be considered in relation to the baseline of the environmental statement. Changes or extensions to decommissioning projects which started before the regulations came into effect and therefore have not been issued with consent will be considered in relation to the original decommissioning project plan.</w:t>
            </w:r>
          </w:p>
        </w:tc>
      </w:tr>
      <w:tr w:rsidR="00ED6249" w:rsidRPr="00747DBC" w14:paraId="4C1C0C11" w14:textId="77777777" w:rsidTr="00747DBC">
        <w:tc>
          <w:tcPr>
            <w:tcW w:w="771" w:type="pct"/>
            <w:shd w:val="clear" w:color="auto" w:fill="008080"/>
          </w:tcPr>
          <w:p w14:paraId="6C759AFE" w14:textId="77777777" w:rsidR="00ED6249" w:rsidRPr="00747DBC" w:rsidRDefault="00ED6249" w:rsidP="00747DBC">
            <w:pPr>
              <w:rPr>
                <w:color w:val="FFFFFF" w:themeColor="background1"/>
              </w:rPr>
            </w:pPr>
            <w:r w:rsidRPr="00747DBC">
              <w:rPr>
                <w:color w:val="FFFFFF" w:themeColor="background1"/>
              </w:rPr>
              <w:lastRenderedPageBreak/>
              <w:t>Guidance</w:t>
            </w:r>
          </w:p>
        </w:tc>
        <w:tc>
          <w:tcPr>
            <w:tcW w:w="283" w:type="pct"/>
            <w:shd w:val="clear" w:color="auto" w:fill="008080"/>
          </w:tcPr>
          <w:p w14:paraId="76C7E7E0" w14:textId="77777777" w:rsidR="00ED6249" w:rsidRPr="00747DBC" w:rsidRDefault="00ED6249" w:rsidP="00747DBC">
            <w:pPr>
              <w:rPr>
                <w:color w:val="FFFFFF" w:themeColor="background1"/>
                <w:szCs w:val="24"/>
              </w:rPr>
            </w:pPr>
            <w:bookmarkStart w:id="245" w:name="_Toc82167005"/>
            <w:bookmarkStart w:id="246" w:name="_Toc117773730"/>
            <w:bookmarkStart w:id="247" w:name="_Toc117774028"/>
            <w:bookmarkStart w:id="248" w:name="_Toc117774148"/>
            <w:r w:rsidRPr="00747DBC">
              <w:rPr>
                <w:color w:val="FFFFFF" w:themeColor="background1"/>
                <w:szCs w:val="24"/>
              </w:rPr>
              <w:t>13</w:t>
            </w:r>
            <w:bookmarkEnd w:id="245"/>
            <w:bookmarkEnd w:id="246"/>
            <w:bookmarkEnd w:id="247"/>
            <w:bookmarkEnd w:id="248"/>
          </w:p>
        </w:tc>
        <w:tc>
          <w:tcPr>
            <w:tcW w:w="3946" w:type="pct"/>
          </w:tcPr>
          <w:p w14:paraId="6E1761E6" w14:textId="77777777" w:rsidR="00ED6249" w:rsidRPr="00747DBC" w:rsidRDefault="00ED6249" w:rsidP="00747DBC">
            <w:pPr>
              <w:rPr>
                <w:b/>
                <w:bCs/>
              </w:rPr>
            </w:pPr>
            <w:r w:rsidRPr="00747DBC">
              <w:rPr>
                <w:b/>
                <w:bCs/>
              </w:rPr>
              <w:t>Change to the licensee during the decommissioning project</w:t>
            </w:r>
          </w:p>
          <w:p w14:paraId="1213B98E" w14:textId="2EF7274B" w:rsidR="00ED6249" w:rsidRPr="00747DBC" w:rsidRDefault="00ED6249" w:rsidP="00747DBC">
            <w:pPr>
              <w:pStyle w:val="Regulationpara"/>
            </w:pPr>
            <w:r w:rsidRPr="00747DBC">
              <w:t xml:space="preserve">ONR’s guidance on re-licensing </w:t>
            </w:r>
            <w:sdt>
              <w:sdtPr>
                <w:id w:val="155958612"/>
                <w:citation/>
              </w:sdtPr>
              <w:sdtEndPr/>
              <w:sdtContent>
                <w:r w:rsidR="00ED3078">
                  <w:fldChar w:fldCharType="begin"/>
                </w:r>
                <w:r w:rsidR="00ED3078">
                  <w:instrText xml:space="preserve"> CITATION ONR92 \l 2057 </w:instrText>
                </w:r>
                <w:r w:rsidR="00ED3078">
                  <w:fldChar w:fldCharType="separate"/>
                </w:r>
                <w:r w:rsidR="000416A5" w:rsidRPr="000416A5">
                  <w:rPr>
                    <w:noProof/>
                  </w:rPr>
                  <w:t>[30]</w:t>
                </w:r>
                <w:r w:rsidR="00ED3078">
                  <w:fldChar w:fldCharType="end"/>
                </w:r>
              </w:sdtContent>
            </w:sdt>
            <w:r w:rsidRPr="00747DBC">
              <w:t xml:space="preserve"> states that “the licensee should review which Licence Instruments are extant and should be carried forward to the new licence.” ONR therefore anticipates that if the licensee for a site were to change, the EIADR consent would be carried forward to the new licensee of that site.</w:t>
            </w:r>
          </w:p>
          <w:p w14:paraId="19C23FF3" w14:textId="78F77017" w:rsidR="00ED6249" w:rsidRPr="00747DBC" w:rsidRDefault="00ED6249" w:rsidP="00747DBC">
            <w:pPr>
              <w:pStyle w:val="Regulationpara"/>
            </w:pPr>
            <w:r w:rsidRPr="00747DBC">
              <w:t xml:space="preserve">ONR’s position is that the ‘original’ licensee could apply for an EIADR consent and focus on the initial phase of the decommissioning work with a strategic look ahead to the remainder of the decommissioning project. The licensee would also have to ensure that potential long term environmental impacts were still </w:t>
            </w:r>
            <w:r w:rsidR="00747DBC" w:rsidRPr="00747DBC">
              <w:t>considered and</w:t>
            </w:r>
            <w:r w:rsidRPr="00747DBC">
              <w:t xml:space="preserve"> ensure that no future decommissioning options are foreclosed by the initial work. Once the site transfers to the new licensee, and they have taken over the EIADR project, the new licensee would seek a determination from ONR under Regulation 13 for a change/extension to the project to cover the remainder of the decommissioning work in detail. Based on the scale of this extension to the project, and the likelihood for this to have potential significant adverse effects on the environment, ONR anticipates </w:t>
            </w:r>
            <w:proofErr w:type="gramStart"/>
            <w:r w:rsidRPr="00747DBC">
              <w:t>making a determination</w:t>
            </w:r>
            <w:proofErr w:type="gramEnd"/>
            <w:r w:rsidRPr="00747DBC">
              <w:t xml:space="preserve"> that a full EIA would be required for the next phase of the project. </w:t>
            </w:r>
          </w:p>
        </w:tc>
      </w:tr>
      <w:tr w:rsidR="00ED6249" w:rsidRPr="00747DBC" w14:paraId="502664E1" w14:textId="77777777" w:rsidTr="00747DBC">
        <w:tc>
          <w:tcPr>
            <w:tcW w:w="771" w:type="pct"/>
            <w:shd w:val="clear" w:color="auto" w:fill="008080"/>
          </w:tcPr>
          <w:p w14:paraId="6B07CA41" w14:textId="77777777" w:rsidR="00ED6249" w:rsidRPr="00747DBC" w:rsidRDefault="00ED6249" w:rsidP="00747DBC">
            <w:pPr>
              <w:rPr>
                <w:color w:val="FFFFFF" w:themeColor="background1"/>
              </w:rPr>
            </w:pPr>
            <w:r w:rsidRPr="00747DBC">
              <w:rPr>
                <w:color w:val="FFFFFF" w:themeColor="background1"/>
              </w:rPr>
              <w:t>Guidance</w:t>
            </w:r>
          </w:p>
        </w:tc>
        <w:tc>
          <w:tcPr>
            <w:tcW w:w="283" w:type="pct"/>
            <w:shd w:val="clear" w:color="auto" w:fill="008080"/>
          </w:tcPr>
          <w:p w14:paraId="24E716E7" w14:textId="77777777" w:rsidR="00ED6249" w:rsidRPr="00747DBC" w:rsidRDefault="00ED6249" w:rsidP="00747DBC">
            <w:pPr>
              <w:rPr>
                <w:color w:val="FFFFFF" w:themeColor="background1"/>
                <w:szCs w:val="24"/>
              </w:rPr>
            </w:pPr>
            <w:bookmarkStart w:id="249" w:name="_Toc82167006"/>
            <w:bookmarkStart w:id="250" w:name="_Toc117773731"/>
            <w:bookmarkStart w:id="251" w:name="_Toc117774029"/>
            <w:bookmarkStart w:id="252" w:name="_Toc117774149"/>
            <w:r w:rsidRPr="00747DBC">
              <w:rPr>
                <w:color w:val="FFFFFF" w:themeColor="background1"/>
                <w:szCs w:val="24"/>
              </w:rPr>
              <w:t>13</w:t>
            </w:r>
            <w:bookmarkEnd w:id="249"/>
            <w:bookmarkEnd w:id="250"/>
            <w:bookmarkEnd w:id="251"/>
            <w:bookmarkEnd w:id="252"/>
          </w:p>
        </w:tc>
        <w:tc>
          <w:tcPr>
            <w:tcW w:w="3946" w:type="pct"/>
          </w:tcPr>
          <w:p w14:paraId="506655FD" w14:textId="77777777" w:rsidR="00ED6249" w:rsidRPr="00747DBC" w:rsidRDefault="00ED6249" w:rsidP="00747DBC">
            <w:pPr>
              <w:rPr>
                <w:b/>
                <w:bCs/>
              </w:rPr>
            </w:pPr>
            <w:r w:rsidRPr="00747DBC">
              <w:rPr>
                <w:b/>
                <w:bCs/>
              </w:rPr>
              <w:t>When may a change have a significant environmental impact?</w:t>
            </w:r>
          </w:p>
          <w:p w14:paraId="00FD9BFD" w14:textId="77777777" w:rsidR="00ED6249" w:rsidRPr="00747DBC" w:rsidRDefault="00ED6249" w:rsidP="00747DBC">
            <w:pPr>
              <w:pStyle w:val="Regulationpara"/>
            </w:pPr>
            <w:r w:rsidRPr="00747DBC">
              <w:t xml:space="preserve">A change or extension to a project is considered significant in the context of these regulations when it is likely to result in significant adverse environmental effects. If any significant adverse environmental effects were likely ONR would need to </w:t>
            </w:r>
            <w:proofErr w:type="gramStart"/>
            <w:r w:rsidRPr="00747DBC">
              <w:t>make a determination</w:t>
            </w:r>
            <w:proofErr w:type="gramEnd"/>
            <w:r w:rsidRPr="00747DBC">
              <w:t xml:space="preserve"> on whether an EIA was required. </w:t>
            </w:r>
            <w:proofErr w:type="gramStart"/>
            <w:r w:rsidRPr="00747DBC">
              <w:t>For the purpose of</w:t>
            </w:r>
            <w:proofErr w:type="gramEnd"/>
            <w:r w:rsidRPr="00747DBC">
              <w:t xml:space="preserve"> this regulation, adverse environmental effect is any environmental effect where the outcome of an action, following a reasonable </w:t>
            </w:r>
            <w:r w:rsidRPr="00747DBC">
              <w:lastRenderedPageBreak/>
              <w:t>and objective assessment, is demonstrably neither a neutral nor a positive environmental improvement.</w:t>
            </w:r>
          </w:p>
          <w:p w14:paraId="1C55DA8E" w14:textId="1B9CCE93" w:rsidR="00ED6249" w:rsidRPr="00747DBC" w:rsidRDefault="00ED6249" w:rsidP="00747DBC">
            <w:pPr>
              <w:pStyle w:val="Regulationpara"/>
            </w:pPr>
            <w:r w:rsidRPr="00747DBC">
              <w:t xml:space="preserve">For the purposes of EIADR, the characteristics described in Schedule 2 of the regulations should be considered when determining whether the project is likely to have a significant effect on the environment; projects should be considered on a </w:t>
            </w:r>
            <w:r w:rsidR="00ED3078" w:rsidRPr="00747DBC">
              <w:t>case-by-case</w:t>
            </w:r>
            <w:r w:rsidRPr="00747DBC">
              <w:t xml:space="preserve"> basis to determine whether that </w:t>
            </w:r>
            <w:proofErr w:type="gramStart"/>
            <w:r w:rsidRPr="00747DBC">
              <w:t>particular development</w:t>
            </w:r>
            <w:proofErr w:type="gramEnd"/>
            <w:r w:rsidRPr="00747DBC">
              <w:t xml:space="preserve"> and its specific impacts are likely, in that particular location, to result in significant adverse effects on the environment. </w:t>
            </w:r>
          </w:p>
          <w:p w14:paraId="24AE426B" w14:textId="77777777" w:rsidR="00ED6249" w:rsidRPr="00747DBC" w:rsidRDefault="00ED6249" w:rsidP="00ED3078">
            <w:pPr>
              <w:pStyle w:val="Regulationpara"/>
            </w:pPr>
            <w:r w:rsidRPr="00747DBC">
              <w:t xml:space="preserve">When assessing the likely effect of a proposed change or extension, in addition to the criteria of Schedule 2, further information is required, as described in Schedule 3. This includes a description on any likely significant effects of the project on the environment, </w:t>
            </w:r>
            <w:proofErr w:type="gramStart"/>
            <w:r w:rsidRPr="00747DBC">
              <w:t>as a result of</w:t>
            </w:r>
            <w:proofErr w:type="gramEnd"/>
            <w:r w:rsidRPr="00747DBC">
              <w:t>:</w:t>
            </w:r>
          </w:p>
          <w:p w14:paraId="4C36D721" w14:textId="77777777" w:rsidR="00ED6249" w:rsidRPr="00747DBC" w:rsidRDefault="00ED6249" w:rsidP="00380127">
            <w:pPr>
              <w:pStyle w:val="Bulletlist1"/>
              <w:ind w:left="684" w:hanging="284"/>
            </w:pPr>
            <w:r w:rsidRPr="00747DBC">
              <w:t>the expected residues and emissions and the production of waste, where relevant;</w:t>
            </w:r>
          </w:p>
          <w:p w14:paraId="6EE7DD6C" w14:textId="77777777" w:rsidR="00ED6249" w:rsidRPr="00747DBC" w:rsidRDefault="00ED6249" w:rsidP="00380127">
            <w:pPr>
              <w:pStyle w:val="Bulletlist1"/>
              <w:ind w:left="684" w:hanging="284"/>
            </w:pPr>
            <w:r w:rsidRPr="00747DBC">
              <w:t xml:space="preserve">the use of natural resources, in particular soil, land, water and biodiversity. </w:t>
            </w:r>
          </w:p>
        </w:tc>
      </w:tr>
      <w:tr w:rsidR="00ED6249" w:rsidRPr="00747DBC" w14:paraId="14A38261" w14:textId="77777777" w:rsidTr="00747DBC">
        <w:tc>
          <w:tcPr>
            <w:tcW w:w="771" w:type="pct"/>
            <w:shd w:val="clear" w:color="auto" w:fill="008080"/>
          </w:tcPr>
          <w:p w14:paraId="6BF8F443" w14:textId="77777777" w:rsidR="00ED6249" w:rsidRPr="00747DBC" w:rsidRDefault="00ED6249" w:rsidP="00747DBC">
            <w:pPr>
              <w:rPr>
                <w:color w:val="FFFFFF" w:themeColor="background1"/>
              </w:rPr>
            </w:pPr>
            <w:r w:rsidRPr="00747DBC">
              <w:rPr>
                <w:color w:val="FFFFFF" w:themeColor="background1"/>
              </w:rPr>
              <w:lastRenderedPageBreak/>
              <w:t>Guidance</w:t>
            </w:r>
          </w:p>
        </w:tc>
        <w:tc>
          <w:tcPr>
            <w:tcW w:w="283" w:type="pct"/>
            <w:shd w:val="clear" w:color="auto" w:fill="008080"/>
          </w:tcPr>
          <w:p w14:paraId="48BF9717" w14:textId="77777777" w:rsidR="00ED6249" w:rsidRPr="00747DBC" w:rsidRDefault="00ED6249" w:rsidP="00747DBC">
            <w:pPr>
              <w:rPr>
                <w:color w:val="FFFFFF" w:themeColor="background1"/>
                <w:szCs w:val="24"/>
              </w:rPr>
            </w:pPr>
            <w:bookmarkStart w:id="253" w:name="_Toc82167007"/>
            <w:bookmarkStart w:id="254" w:name="_Toc117773732"/>
            <w:bookmarkStart w:id="255" w:name="_Toc117774030"/>
            <w:bookmarkStart w:id="256" w:name="_Toc117774150"/>
            <w:r w:rsidRPr="00747DBC">
              <w:rPr>
                <w:color w:val="FFFFFF" w:themeColor="background1"/>
                <w:szCs w:val="24"/>
              </w:rPr>
              <w:t>13</w:t>
            </w:r>
            <w:bookmarkEnd w:id="253"/>
            <w:bookmarkEnd w:id="254"/>
            <w:bookmarkEnd w:id="255"/>
            <w:bookmarkEnd w:id="256"/>
          </w:p>
        </w:tc>
        <w:tc>
          <w:tcPr>
            <w:tcW w:w="3946" w:type="pct"/>
          </w:tcPr>
          <w:p w14:paraId="791424CB" w14:textId="77777777" w:rsidR="00ED6249" w:rsidRPr="00ED3078" w:rsidRDefault="00ED6249" w:rsidP="00747DBC">
            <w:pPr>
              <w:rPr>
                <w:b/>
                <w:bCs/>
              </w:rPr>
            </w:pPr>
            <w:r w:rsidRPr="00ED3078">
              <w:rPr>
                <w:b/>
                <w:bCs/>
              </w:rPr>
              <w:t>Screening for changes which may have significant environmental impacts</w:t>
            </w:r>
          </w:p>
          <w:p w14:paraId="14D47EFA" w14:textId="7830813C" w:rsidR="00ED6249" w:rsidRPr="00747DBC" w:rsidRDefault="00ED6249" w:rsidP="00ED3078">
            <w:pPr>
              <w:pStyle w:val="Regulationpara"/>
            </w:pPr>
            <w:r w:rsidRPr="00747DBC">
              <w:t xml:space="preserve">It is the licensee's responsibility to screen for changes, which may be significant. Licensees may have developed their own criteria to screen for such changes which they are free to use; criteria </w:t>
            </w:r>
            <w:proofErr w:type="gramStart"/>
            <w:r w:rsidRPr="00747DBC">
              <w:t>is</w:t>
            </w:r>
            <w:proofErr w:type="gramEnd"/>
            <w:r w:rsidRPr="00747DBC">
              <w:t xml:space="preserve"> also included in Appendix 4 of this guidance document to assist the licensees in carrying out the screening process, to determine whether an application to ONR is required. The ONR may request justification for any differences between the licensee’s and ONR’s guidance criteria. The general approach is similar to that used under the Town and Country Planning (Environmental Impact Assessment) Regulations 2017 </w:t>
            </w:r>
            <w:sdt>
              <w:sdtPr>
                <w:id w:val="460850925"/>
                <w:citation/>
              </w:sdtPr>
              <w:sdtEndPr/>
              <w:sdtContent>
                <w:r w:rsidR="00656226">
                  <w:fldChar w:fldCharType="begin"/>
                </w:r>
                <w:r w:rsidR="00656226">
                  <w:instrText xml:space="preserve"> CITATION HMG178 \l 2057 </w:instrText>
                </w:r>
                <w:r w:rsidR="00656226">
                  <w:fldChar w:fldCharType="separate"/>
                </w:r>
                <w:r w:rsidR="000416A5" w:rsidRPr="000416A5">
                  <w:rPr>
                    <w:noProof/>
                  </w:rPr>
                  <w:t>[31]</w:t>
                </w:r>
                <w:r w:rsidR="00656226">
                  <w:fldChar w:fldCharType="end"/>
                </w:r>
              </w:sdtContent>
            </w:sdt>
            <w:sdt>
              <w:sdtPr>
                <w:id w:val="1412807721"/>
                <w:citation/>
              </w:sdtPr>
              <w:sdtEndPr/>
              <w:sdtContent>
                <w:r w:rsidR="00656226">
                  <w:fldChar w:fldCharType="begin"/>
                </w:r>
                <w:r w:rsidR="00656226">
                  <w:instrText xml:space="preserve"> CITATION HMG1710 \l 2057 </w:instrText>
                </w:r>
                <w:r w:rsidR="00656226">
                  <w:fldChar w:fldCharType="separate"/>
                </w:r>
                <w:r w:rsidR="000416A5">
                  <w:rPr>
                    <w:noProof/>
                  </w:rPr>
                  <w:t xml:space="preserve"> </w:t>
                </w:r>
                <w:r w:rsidR="000416A5" w:rsidRPr="000416A5">
                  <w:rPr>
                    <w:noProof/>
                  </w:rPr>
                  <w:t>[32]</w:t>
                </w:r>
                <w:r w:rsidR="00656226">
                  <w:fldChar w:fldCharType="end"/>
                </w:r>
              </w:sdtContent>
            </w:sdt>
            <w:sdt>
              <w:sdtPr>
                <w:id w:val="1075866478"/>
                <w:citation/>
              </w:sdtPr>
              <w:sdtEndPr/>
              <w:sdtContent>
                <w:r w:rsidR="00941BA3">
                  <w:fldChar w:fldCharType="begin"/>
                </w:r>
                <w:r w:rsidR="00941BA3">
                  <w:instrText xml:space="preserve"> CITATION HMG179 \l 2057 </w:instrText>
                </w:r>
                <w:r w:rsidR="00941BA3">
                  <w:fldChar w:fldCharType="separate"/>
                </w:r>
                <w:r w:rsidR="000416A5">
                  <w:rPr>
                    <w:noProof/>
                  </w:rPr>
                  <w:t xml:space="preserve"> </w:t>
                </w:r>
                <w:r w:rsidR="000416A5" w:rsidRPr="000416A5">
                  <w:rPr>
                    <w:noProof/>
                  </w:rPr>
                  <w:t>[33]</w:t>
                </w:r>
                <w:r w:rsidR="00941BA3">
                  <w:fldChar w:fldCharType="end"/>
                </w:r>
              </w:sdtContent>
            </w:sdt>
            <w:r w:rsidRPr="00747DBC">
              <w:t>. The approach is explained in more detail in the Department of Levelling Up, Housing &amp; Communities (DLUHC) guidance on Environmental Impact Assessment</w:t>
            </w:r>
            <w:r w:rsidR="00656226">
              <w:t xml:space="preserve"> </w:t>
            </w:r>
            <w:sdt>
              <w:sdtPr>
                <w:id w:val="-109130042"/>
                <w:citation/>
              </w:sdtPr>
              <w:sdtEndPr/>
              <w:sdtContent>
                <w:r w:rsidR="0077545F">
                  <w:fldChar w:fldCharType="begin"/>
                </w:r>
                <w:r w:rsidR="0077545F">
                  <w:instrText xml:space="preserve"> CITATION Min17 \l 2057 </w:instrText>
                </w:r>
                <w:r w:rsidR="0077545F">
                  <w:fldChar w:fldCharType="separate"/>
                </w:r>
                <w:r w:rsidR="000416A5" w:rsidRPr="000416A5">
                  <w:rPr>
                    <w:noProof/>
                  </w:rPr>
                  <w:t>[13]</w:t>
                </w:r>
                <w:r w:rsidR="0077545F">
                  <w:fldChar w:fldCharType="end"/>
                </w:r>
              </w:sdtContent>
            </w:sdt>
            <w:r w:rsidRPr="00747DBC">
              <w:t>. The system is based upon so-called indicators and general screening criteria, which should be applied to the change or extension. The indicators are given below:</w:t>
            </w:r>
          </w:p>
          <w:p w14:paraId="371800C8" w14:textId="77777777" w:rsidR="00ED6249" w:rsidRPr="00747DBC" w:rsidRDefault="00ED6249" w:rsidP="00DE19A2">
            <w:pPr>
              <w:pStyle w:val="Bulletlist1"/>
              <w:ind w:left="697" w:hanging="357"/>
            </w:pPr>
            <w:r w:rsidRPr="00747DBC">
              <w:t>Indicator of No Significant Adverse Effects, INSAE (Green)</w:t>
            </w:r>
          </w:p>
          <w:p w14:paraId="2EE2C8D5" w14:textId="77777777" w:rsidR="00ED6249" w:rsidRPr="00747DBC" w:rsidRDefault="00ED6249" w:rsidP="00DE19A2">
            <w:pPr>
              <w:pStyle w:val="Bulletlist1"/>
              <w:ind w:left="697" w:hanging="357"/>
            </w:pPr>
            <w:r w:rsidRPr="00747DBC">
              <w:lastRenderedPageBreak/>
              <w:t>Indicator of Likely Significant Adverse Effects, ILSAE (Red)</w:t>
            </w:r>
          </w:p>
          <w:p w14:paraId="4D3F547E" w14:textId="77777777" w:rsidR="00ED6249" w:rsidRPr="00747DBC" w:rsidRDefault="00ED6249" w:rsidP="00ED3078">
            <w:pPr>
              <w:pStyle w:val="Regulationpara"/>
            </w:pPr>
            <w:r w:rsidRPr="00747DBC">
              <w:t>Indicator tables are given in Appendix 4 for INSAE, and ILSAE for different changes or extensions (arranged around different stages of decommissioning), together with a separate table for transport issues.</w:t>
            </w:r>
          </w:p>
          <w:p w14:paraId="119939B2" w14:textId="77777777" w:rsidR="00ED6249" w:rsidRPr="00747DBC" w:rsidRDefault="00ED6249" w:rsidP="00ED3078">
            <w:pPr>
              <w:pStyle w:val="Regulationpara"/>
            </w:pPr>
            <w:r w:rsidRPr="00747DBC">
              <w:t>When an Indicator of No Significant Adverse Effect (Green) has been exceeded but an Indicator of Likely Significant Adverse Effect (Red) has not been triggered, a set of general screening criteria should be applied in conjunction with Schedule 2 of EIADR. The general screening principles are given below:</w:t>
            </w:r>
          </w:p>
          <w:p w14:paraId="3E4725ED" w14:textId="77777777" w:rsidR="00ED6249" w:rsidRPr="00747DBC" w:rsidRDefault="00ED6249" w:rsidP="00DE19A2">
            <w:pPr>
              <w:pStyle w:val="Bulletlist1"/>
              <w:ind w:left="697" w:hanging="357"/>
            </w:pPr>
            <w:r w:rsidRPr="00747DBC">
              <w:t>The baseline environmental conditions off-site have changed since the decommissioning works commenced and the change or extension to the decommissioning process has the potential to give rise to significant adverse environmental effects;</w:t>
            </w:r>
          </w:p>
          <w:p w14:paraId="4A86BAC8" w14:textId="77777777" w:rsidR="00ED6249" w:rsidRPr="00747DBC" w:rsidRDefault="00ED6249" w:rsidP="00DE19A2">
            <w:pPr>
              <w:pStyle w:val="Bulletlist1"/>
              <w:ind w:left="697" w:hanging="357"/>
            </w:pPr>
            <w:r w:rsidRPr="00747DBC">
              <w:t>The change or extension would delay progress towards an overall reduction of hazard on or off site;</w:t>
            </w:r>
          </w:p>
          <w:p w14:paraId="2DB861A6" w14:textId="77777777" w:rsidR="00ED6249" w:rsidRPr="00747DBC" w:rsidRDefault="00ED6249" w:rsidP="00DE19A2">
            <w:pPr>
              <w:pStyle w:val="Bulletlist1"/>
              <w:ind w:left="697" w:hanging="357"/>
            </w:pPr>
            <w:r w:rsidRPr="00747DBC">
              <w:t>The change or extension is required due to unforeseen circumstances arising during decommissioning and the change or extension was not considered as part of any former assessment or authorisation process or was assessed and rejected at that time on environmental, health or public safety grounds.</w:t>
            </w:r>
          </w:p>
          <w:p w14:paraId="1586F2BA" w14:textId="77777777" w:rsidR="00ED6249" w:rsidRPr="00747DBC" w:rsidRDefault="00ED6249" w:rsidP="00ED3078">
            <w:pPr>
              <w:pStyle w:val="Bulletlist1"/>
              <w:numPr>
                <w:ilvl w:val="0"/>
                <w:numId w:val="0"/>
              </w:numPr>
              <w:ind w:left="360"/>
            </w:pPr>
            <w:r w:rsidRPr="00747DBC">
              <w:t>If any of the general screening criteria apply to a particular change or extension, the licensee will need to consult with the ONR on the need for an EIA. If none of the criteria apply a record of ‘finding of no significant effect’ (FONSE) can be completed for internal use and future reference. An example of a form that may be used to record a FONSE is given in Appendix 5.</w:t>
            </w:r>
          </w:p>
          <w:p w14:paraId="751A7FBE" w14:textId="77777777" w:rsidR="00ED6249" w:rsidRPr="00747DBC" w:rsidRDefault="00ED6249" w:rsidP="00ED3078">
            <w:pPr>
              <w:pStyle w:val="Regulationpara"/>
            </w:pPr>
            <w:r w:rsidRPr="00747DBC">
              <w:t>The screening indicators (INSAE, ILSAE) and general screening criteria should be used to identify the level of assessment and need for consultation with ONR. This staged process is summarised in the diagram in Appendix 3.</w:t>
            </w:r>
          </w:p>
        </w:tc>
      </w:tr>
      <w:tr w:rsidR="00ED6249" w:rsidRPr="00747DBC" w14:paraId="1785FB4F" w14:textId="77777777" w:rsidTr="00747DBC">
        <w:tc>
          <w:tcPr>
            <w:tcW w:w="771" w:type="pct"/>
            <w:shd w:val="clear" w:color="auto" w:fill="FFFFFF" w:themeFill="background1"/>
          </w:tcPr>
          <w:p w14:paraId="5FCD7B82" w14:textId="77777777" w:rsidR="00ED6249" w:rsidRPr="00747DBC" w:rsidRDefault="00ED6249" w:rsidP="00747DBC">
            <w:r w:rsidRPr="00747DBC">
              <w:lastRenderedPageBreak/>
              <w:t>Regulation</w:t>
            </w:r>
          </w:p>
        </w:tc>
        <w:tc>
          <w:tcPr>
            <w:tcW w:w="283" w:type="pct"/>
            <w:shd w:val="clear" w:color="auto" w:fill="FFFFFF" w:themeFill="background1"/>
          </w:tcPr>
          <w:p w14:paraId="690813E0" w14:textId="77777777" w:rsidR="00ED6249" w:rsidRPr="00747DBC" w:rsidRDefault="00ED6249" w:rsidP="00747DBC">
            <w:pPr>
              <w:rPr>
                <w:szCs w:val="24"/>
              </w:rPr>
            </w:pPr>
            <w:bookmarkStart w:id="257" w:name="_Toc82167008"/>
            <w:bookmarkStart w:id="258" w:name="_Toc117773733"/>
            <w:bookmarkStart w:id="259" w:name="_Toc117774031"/>
            <w:bookmarkStart w:id="260" w:name="_Toc117774151"/>
            <w:r w:rsidRPr="00747DBC">
              <w:rPr>
                <w:szCs w:val="24"/>
              </w:rPr>
              <w:t>13</w:t>
            </w:r>
            <w:bookmarkEnd w:id="257"/>
            <w:bookmarkEnd w:id="258"/>
            <w:bookmarkEnd w:id="259"/>
            <w:bookmarkEnd w:id="260"/>
          </w:p>
        </w:tc>
        <w:tc>
          <w:tcPr>
            <w:tcW w:w="3946"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5890"/>
            </w:tblGrid>
            <w:tr w:rsidR="00ED6249" w:rsidRPr="00747DBC" w14:paraId="046BB2B8" w14:textId="77777777" w:rsidTr="00D328FC">
              <w:tc>
                <w:tcPr>
                  <w:tcW w:w="1017" w:type="dxa"/>
                </w:tcPr>
                <w:p w14:paraId="75EF568F" w14:textId="77777777" w:rsidR="00ED6249" w:rsidRPr="00747DBC" w:rsidRDefault="00ED6249" w:rsidP="00747DBC">
                  <w:r w:rsidRPr="00747DBC">
                    <w:t>13.(3)</w:t>
                  </w:r>
                </w:p>
              </w:tc>
              <w:tc>
                <w:tcPr>
                  <w:tcW w:w="5908" w:type="dxa"/>
                </w:tcPr>
                <w:p w14:paraId="79D89226" w14:textId="77777777" w:rsidR="00ED6249" w:rsidRPr="00747DBC" w:rsidRDefault="00ED6249" w:rsidP="00747DBC">
                  <w:r w:rsidRPr="00747DBC">
                    <w:t>The licensee shall provide to the ONR the information specified in Schedule 3.</w:t>
                  </w:r>
                </w:p>
              </w:tc>
            </w:tr>
            <w:tr w:rsidR="00ED6249" w:rsidRPr="00747DBC" w14:paraId="7A1F0862" w14:textId="77777777" w:rsidTr="00D328FC">
              <w:trPr>
                <w:trHeight w:val="680"/>
              </w:trPr>
              <w:tc>
                <w:tcPr>
                  <w:tcW w:w="1017" w:type="dxa"/>
                </w:tcPr>
                <w:p w14:paraId="32B3FA83" w14:textId="77777777" w:rsidR="00ED6249" w:rsidRPr="00747DBC" w:rsidRDefault="00ED6249" w:rsidP="00747DBC">
                  <w:r w:rsidRPr="00747DBC">
                    <w:lastRenderedPageBreak/>
                    <w:t>13.(3A)</w:t>
                  </w:r>
                </w:p>
              </w:tc>
              <w:tc>
                <w:tcPr>
                  <w:tcW w:w="5908" w:type="dxa"/>
                </w:tcPr>
                <w:p w14:paraId="3D9E39E0" w14:textId="77777777" w:rsidR="00ED6249" w:rsidRPr="00747DBC" w:rsidRDefault="00ED6249" w:rsidP="00747DBC">
                  <w:r w:rsidRPr="00747DBC">
                    <w:t xml:space="preserve">When compiling that information, the licensee shall </w:t>
                  </w:r>
                  <w:proofErr w:type="gramStart"/>
                  <w:r w:rsidRPr="00747DBC">
                    <w:t>take into account</w:t>
                  </w:r>
                  <w:proofErr w:type="gramEnd"/>
                  <w:r w:rsidRPr="00747DBC">
                    <w:t xml:space="preserve"> the results of any relevant EU environmental assessment which are reasonably available to the licensee.</w:t>
                  </w:r>
                </w:p>
              </w:tc>
            </w:tr>
            <w:tr w:rsidR="00ED6249" w:rsidRPr="00747DBC" w14:paraId="127D3433" w14:textId="77777777" w:rsidTr="00D328FC">
              <w:trPr>
                <w:trHeight w:val="680"/>
              </w:trPr>
              <w:tc>
                <w:tcPr>
                  <w:tcW w:w="1017" w:type="dxa"/>
                </w:tcPr>
                <w:p w14:paraId="139198C8" w14:textId="77777777" w:rsidR="00ED6249" w:rsidRPr="00747DBC" w:rsidRDefault="00ED6249" w:rsidP="00747DBC">
                  <w:r w:rsidRPr="00747DBC">
                    <w:t>13.(3B)</w:t>
                  </w:r>
                </w:p>
              </w:tc>
              <w:tc>
                <w:tcPr>
                  <w:tcW w:w="5908" w:type="dxa"/>
                </w:tcPr>
                <w:p w14:paraId="539EE9D3" w14:textId="77777777" w:rsidR="00ED6249" w:rsidRPr="00747DBC" w:rsidRDefault="00ED6249" w:rsidP="00747DBC">
                  <w:r w:rsidRPr="00747DBC">
                    <w:t>The licensee may provide to the ONR a description of any feature of the project or measure envisaged to avoid or prevent what otherwise might be significant adverse effects on the environment.</w:t>
                  </w:r>
                </w:p>
              </w:tc>
            </w:tr>
            <w:tr w:rsidR="00ED6249" w:rsidRPr="00747DBC" w14:paraId="0FD62C81" w14:textId="77777777" w:rsidTr="00D328FC">
              <w:trPr>
                <w:trHeight w:val="1018"/>
              </w:trPr>
              <w:tc>
                <w:tcPr>
                  <w:tcW w:w="1017" w:type="dxa"/>
                </w:tcPr>
                <w:p w14:paraId="68483542" w14:textId="77777777" w:rsidR="00ED6249" w:rsidRPr="00747DBC" w:rsidRDefault="00ED6249" w:rsidP="00747DBC">
                  <w:r w:rsidRPr="00747DBC">
                    <w:t>13.(3C)</w:t>
                  </w:r>
                </w:p>
              </w:tc>
              <w:tc>
                <w:tcPr>
                  <w:tcW w:w="5908" w:type="dxa"/>
                </w:tcPr>
                <w:p w14:paraId="35300FAD" w14:textId="77777777" w:rsidR="00ED6249" w:rsidRPr="00747DBC" w:rsidRDefault="00ED6249" w:rsidP="00747DBC">
                  <w:r w:rsidRPr="00747DBC">
                    <w:t xml:space="preserve">The ONR may in writing require that the licensee provides further information where the ONR considers that the further information is required </w:t>
                  </w:r>
                  <w:proofErr w:type="gramStart"/>
                  <w:r w:rsidRPr="00747DBC">
                    <w:t>in order for</w:t>
                  </w:r>
                  <w:proofErr w:type="gramEnd"/>
                  <w:r w:rsidRPr="00747DBC">
                    <w:t xml:space="preserve"> it to reach its determination under paragraph (1).</w:t>
                  </w:r>
                </w:p>
              </w:tc>
            </w:tr>
          </w:tbl>
          <w:p w14:paraId="2675FD5F" w14:textId="77777777" w:rsidR="00ED6249" w:rsidRPr="00747DBC" w:rsidRDefault="00ED6249" w:rsidP="00747DBC">
            <w:pPr>
              <w:rPr>
                <w:u w:val="single"/>
              </w:rPr>
            </w:pPr>
          </w:p>
        </w:tc>
      </w:tr>
      <w:tr w:rsidR="00ED6249" w:rsidRPr="00747DBC" w14:paraId="60C98F3F" w14:textId="77777777" w:rsidTr="00747DBC">
        <w:tc>
          <w:tcPr>
            <w:tcW w:w="771" w:type="pct"/>
            <w:shd w:val="clear" w:color="auto" w:fill="008080"/>
          </w:tcPr>
          <w:p w14:paraId="0A06B85B" w14:textId="77777777" w:rsidR="00ED6249" w:rsidRPr="00747DBC" w:rsidRDefault="00ED6249" w:rsidP="00747DBC">
            <w:pPr>
              <w:rPr>
                <w:color w:val="FFFFFF" w:themeColor="background1"/>
              </w:rPr>
            </w:pPr>
            <w:r w:rsidRPr="00747DBC">
              <w:rPr>
                <w:color w:val="FFFFFF" w:themeColor="background1"/>
              </w:rPr>
              <w:lastRenderedPageBreak/>
              <w:t>Guidance</w:t>
            </w:r>
          </w:p>
        </w:tc>
        <w:tc>
          <w:tcPr>
            <w:tcW w:w="283" w:type="pct"/>
            <w:shd w:val="clear" w:color="auto" w:fill="008080"/>
          </w:tcPr>
          <w:p w14:paraId="3EDB2671" w14:textId="77777777" w:rsidR="00ED6249" w:rsidRPr="00747DBC" w:rsidRDefault="00ED6249" w:rsidP="00747DBC">
            <w:pPr>
              <w:rPr>
                <w:color w:val="FFFFFF" w:themeColor="background1"/>
                <w:szCs w:val="24"/>
              </w:rPr>
            </w:pPr>
            <w:bookmarkStart w:id="261" w:name="_Toc82167009"/>
            <w:bookmarkStart w:id="262" w:name="_Toc117773734"/>
            <w:bookmarkStart w:id="263" w:name="_Toc117774032"/>
            <w:bookmarkStart w:id="264" w:name="_Toc117774152"/>
            <w:r w:rsidRPr="00747DBC">
              <w:rPr>
                <w:color w:val="FFFFFF" w:themeColor="background1"/>
                <w:szCs w:val="24"/>
              </w:rPr>
              <w:t>13</w:t>
            </w:r>
            <w:bookmarkEnd w:id="261"/>
            <w:bookmarkEnd w:id="262"/>
            <w:bookmarkEnd w:id="263"/>
            <w:bookmarkEnd w:id="264"/>
          </w:p>
        </w:tc>
        <w:tc>
          <w:tcPr>
            <w:tcW w:w="3946" w:type="pct"/>
          </w:tcPr>
          <w:p w14:paraId="785E9D68" w14:textId="77777777" w:rsidR="00ED6249" w:rsidRPr="00747DBC" w:rsidRDefault="00ED6249" w:rsidP="00ED3078">
            <w:pPr>
              <w:pStyle w:val="Regulationpara"/>
            </w:pPr>
            <w:r w:rsidRPr="00747DBC">
              <w:t>The details and results of screening assessments, together with recorded FONSE or any desktop EIA that has been conducted, should be provided. A desktop EIA is an initial theoretical consideration of the environmental effects of the change or extension, which should indicate whether a full EIA is required. Information on any mitigation measures to offset significant adverse effects of the project on the environment should also be provided. The amount of detail should reflect the complexity of the change or extension and the likely impact.</w:t>
            </w:r>
          </w:p>
        </w:tc>
      </w:tr>
      <w:tr w:rsidR="00ED6249" w:rsidRPr="00747DBC" w14:paraId="1D0D6A8A" w14:textId="77777777" w:rsidTr="00747DBC">
        <w:tc>
          <w:tcPr>
            <w:tcW w:w="771" w:type="pct"/>
            <w:shd w:val="clear" w:color="auto" w:fill="FFFFFF" w:themeFill="background1"/>
          </w:tcPr>
          <w:p w14:paraId="2F895674" w14:textId="77777777" w:rsidR="00ED6249" w:rsidRPr="00747DBC" w:rsidRDefault="00ED6249" w:rsidP="00747DBC">
            <w:r w:rsidRPr="00747DBC">
              <w:t>Regulation</w:t>
            </w:r>
          </w:p>
        </w:tc>
        <w:tc>
          <w:tcPr>
            <w:tcW w:w="283" w:type="pct"/>
            <w:shd w:val="clear" w:color="auto" w:fill="FFFFFF" w:themeFill="background1"/>
          </w:tcPr>
          <w:p w14:paraId="42C66F91" w14:textId="77777777" w:rsidR="00ED6249" w:rsidRPr="00747DBC" w:rsidRDefault="00ED6249" w:rsidP="00747DBC">
            <w:pPr>
              <w:rPr>
                <w:szCs w:val="24"/>
              </w:rPr>
            </w:pPr>
            <w:bookmarkStart w:id="265" w:name="_Toc82167010"/>
            <w:bookmarkStart w:id="266" w:name="_Toc117773735"/>
            <w:bookmarkStart w:id="267" w:name="_Toc117774033"/>
            <w:bookmarkStart w:id="268" w:name="_Toc117774153"/>
            <w:r w:rsidRPr="00747DBC">
              <w:rPr>
                <w:szCs w:val="24"/>
              </w:rPr>
              <w:t>13</w:t>
            </w:r>
            <w:bookmarkEnd w:id="265"/>
            <w:bookmarkEnd w:id="266"/>
            <w:bookmarkEnd w:id="267"/>
            <w:bookmarkEnd w:id="268"/>
          </w:p>
        </w:tc>
        <w:tc>
          <w:tcPr>
            <w:tcW w:w="3946"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
              <w:gridCol w:w="5995"/>
            </w:tblGrid>
            <w:tr w:rsidR="00ED6249" w:rsidRPr="00747DBC" w14:paraId="36CB2952" w14:textId="77777777" w:rsidTr="00D328FC">
              <w:tc>
                <w:tcPr>
                  <w:tcW w:w="912" w:type="dxa"/>
                </w:tcPr>
                <w:p w14:paraId="51B2D5D5" w14:textId="77777777" w:rsidR="00ED6249" w:rsidRPr="00747DBC" w:rsidRDefault="00ED6249" w:rsidP="00747DBC">
                  <w:r w:rsidRPr="00747DBC">
                    <w:t>13.(4)</w:t>
                  </w:r>
                </w:p>
              </w:tc>
              <w:tc>
                <w:tcPr>
                  <w:tcW w:w="6013" w:type="dxa"/>
                </w:tcPr>
                <w:p w14:paraId="54C22325" w14:textId="77777777" w:rsidR="00ED6249" w:rsidRPr="00747DBC" w:rsidRDefault="00ED6249" w:rsidP="00747DBC">
                  <w:r w:rsidRPr="00747DBC">
                    <w:t>Where the ONR determines for the purposes of paragraphs (1) and (2) that an environmental impact assessment is required in respect of the project, regulations 4 to 10 and 12 shall apply as if any reference in those regulations to the project were a reference to the project as so changed or extended.</w:t>
                  </w:r>
                </w:p>
              </w:tc>
            </w:tr>
            <w:tr w:rsidR="00ED6249" w:rsidRPr="00747DBC" w14:paraId="769B7D61" w14:textId="77777777" w:rsidTr="00D328FC">
              <w:trPr>
                <w:trHeight w:val="680"/>
              </w:trPr>
              <w:tc>
                <w:tcPr>
                  <w:tcW w:w="912" w:type="dxa"/>
                </w:tcPr>
                <w:p w14:paraId="2AFCF154" w14:textId="77777777" w:rsidR="00ED6249" w:rsidRPr="00747DBC" w:rsidRDefault="00ED6249" w:rsidP="00747DBC">
                  <w:r w:rsidRPr="00747DBC">
                    <w:t>13.(5)</w:t>
                  </w:r>
                </w:p>
              </w:tc>
              <w:tc>
                <w:tcPr>
                  <w:tcW w:w="6013" w:type="dxa"/>
                </w:tcPr>
                <w:p w14:paraId="44C2E261" w14:textId="77777777" w:rsidR="00ED6249" w:rsidRPr="00747DBC" w:rsidRDefault="00ED6249" w:rsidP="00747DBC">
                  <w:r w:rsidRPr="00747DBC">
                    <w:t>Following the ONR’s determination under paragraph (1), the ONR shall –</w:t>
                  </w:r>
                </w:p>
                <w:p w14:paraId="03738C4B" w14:textId="77777777" w:rsidR="00ED6249" w:rsidRPr="00747DBC" w:rsidRDefault="00ED6249" w:rsidP="00747DBC">
                  <w:r w:rsidRPr="00747DBC">
                    <w:t>in writing, inform the licensee and the Secretary of State of the decision; and</w:t>
                  </w:r>
                </w:p>
                <w:p w14:paraId="02D9BFB0" w14:textId="77777777" w:rsidR="00ED6249" w:rsidRPr="00747DBC" w:rsidRDefault="00ED6249" w:rsidP="00747DBC">
                  <w:r w:rsidRPr="00747DBC">
                    <w:t>inform the public of the decision by publishing a notice in a newspaper circulating in the locality of the site concerned, or by such other means as are reasonable in the circumstances, stating the main reasons on which the decision is based, with reference to the relevant selection criteria set out in Schedule 2.</w:t>
                  </w:r>
                </w:p>
              </w:tc>
            </w:tr>
            <w:tr w:rsidR="00ED6249" w:rsidRPr="00747DBC" w14:paraId="6342F6D3" w14:textId="77777777" w:rsidTr="00D328FC">
              <w:trPr>
                <w:trHeight w:val="680"/>
              </w:trPr>
              <w:tc>
                <w:tcPr>
                  <w:tcW w:w="912" w:type="dxa"/>
                </w:tcPr>
                <w:p w14:paraId="4625E628" w14:textId="77777777" w:rsidR="00ED6249" w:rsidRPr="00747DBC" w:rsidRDefault="00ED6249" w:rsidP="00747DBC">
                  <w:r w:rsidRPr="00747DBC">
                    <w:t>13.(6)</w:t>
                  </w:r>
                </w:p>
              </w:tc>
              <w:tc>
                <w:tcPr>
                  <w:tcW w:w="6013" w:type="dxa"/>
                </w:tcPr>
                <w:p w14:paraId="36FB56F0" w14:textId="77777777" w:rsidR="00ED6249" w:rsidRPr="00747DBC" w:rsidRDefault="00ED6249" w:rsidP="00747DBC">
                  <w:r w:rsidRPr="00747DBC">
                    <w:t xml:space="preserve">Where the ONR determines under paragraph (1) that an environmental impact assessment is not required, </w:t>
                  </w:r>
                  <w:r w:rsidRPr="00747DBC">
                    <w:lastRenderedPageBreak/>
                    <w:t>the ONR shall state in the notice or other means referred to in paragraph (5)(b) any features of the project or measures envisaged to avoid or prevent what might otherwise have been significant adverse effects on the environment.</w:t>
                  </w:r>
                </w:p>
              </w:tc>
            </w:tr>
            <w:tr w:rsidR="00ED6249" w:rsidRPr="00747DBC" w14:paraId="26387794" w14:textId="77777777" w:rsidTr="00D328FC">
              <w:trPr>
                <w:trHeight w:val="1018"/>
              </w:trPr>
              <w:tc>
                <w:tcPr>
                  <w:tcW w:w="912" w:type="dxa"/>
                </w:tcPr>
                <w:p w14:paraId="1B03DAFD" w14:textId="77777777" w:rsidR="00ED6249" w:rsidRPr="00747DBC" w:rsidRDefault="00ED6249" w:rsidP="00747DBC">
                  <w:r w:rsidRPr="00747DBC">
                    <w:lastRenderedPageBreak/>
                    <w:t>13.(7)</w:t>
                  </w:r>
                </w:p>
              </w:tc>
              <w:tc>
                <w:tcPr>
                  <w:tcW w:w="6013" w:type="dxa"/>
                </w:tcPr>
                <w:p w14:paraId="7DF4E9AF" w14:textId="77777777" w:rsidR="00ED6249" w:rsidRPr="00747DBC" w:rsidRDefault="00ED6249" w:rsidP="00747DBC">
                  <w:r w:rsidRPr="00747DBC">
                    <w:t>The ONR shall make its determination under paragraph (1)—</w:t>
                  </w:r>
                </w:p>
                <w:p w14:paraId="37B5CD3F" w14:textId="03C19599" w:rsidR="00ED6249" w:rsidRPr="00747DBC" w:rsidRDefault="00ED6249" w:rsidP="00DE19A2">
                  <w:pPr>
                    <w:pStyle w:val="ListParagraph"/>
                    <w:numPr>
                      <w:ilvl w:val="0"/>
                      <w:numId w:val="147"/>
                    </w:numPr>
                  </w:pPr>
                  <w:r w:rsidRPr="00747DBC">
                    <w:t>as soon as possible after the day on which it is provided with the information under paragraph (3) or (3C) (whichever is the later); and</w:t>
                  </w:r>
                </w:p>
                <w:p w14:paraId="548FA84D" w14:textId="5CAF5DAB" w:rsidR="00ED6249" w:rsidRPr="00747DBC" w:rsidRDefault="00ED6249" w:rsidP="00DE19A2">
                  <w:pPr>
                    <w:pStyle w:val="ListParagraph"/>
                    <w:numPr>
                      <w:ilvl w:val="0"/>
                      <w:numId w:val="147"/>
                    </w:numPr>
                  </w:pPr>
                  <w:r w:rsidRPr="00747DBC">
                    <w:t>in any event, within a period of 90 days beginning with that day.</w:t>
                  </w:r>
                </w:p>
              </w:tc>
            </w:tr>
            <w:tr w:rsidR="00ED6249" w:rsidRPr="00747DBC" w14:paraId="4BBF067F" w14:textId="77777777" w:rsidTr="00D328FC">
              <w:trPr>
                <w:trHeight w:val="360"/>
              </w:trPr>
              <w:tc>
                <w:tcPr>
                  <w:tcW w:w="912" w:type="dxa"/>
                </w:tcPr>
                <w:p w14:paraId="5F5027EE" w14:textId="77777777" w:rsidR="00ED6249" w:rsidRPr="00747DBC" w:rsidRDefault="00ED6249" w:rsidP="00747DBC">
                  <w:r w:rsidRPr="00747DBC">
                    <w:t>13.(8)</w:t>
                  </w:r>
                </w:p>
              </w:tc>
              <w:tc>
                <w:tcPr>
                  <w:tcW w:w="6013" w:type="dxa"/>
                </w:tcPr>
                <w:p w14:paraId="2118B406" w14:textId="77777777" w:rsidR="00ED6249" w:rsidRPr="00747DBC" w:rsidRDefault="00ED6249" w:rsidP="00747DBC">
                  <w:r w:rsidRPr="00747DBC">
                    <w:t xml:space="preserve">The ONR may, if satisfied that there are exceptional circumstances (including circumstances relating to the nature, complexity, </w:t>
                  </w:r>
                  <w:proofErr w:type="gramStart"/>
                  <w:r w:rsidRPr="00747DBC">
                    <w:t>location</w:t>
                  </w:r>
                  <w:proofErr w:type="gramEnd"/>
                  <w:r w:rsidRPr="00747DBC">
                    <w:t xml:space="preserve"> or size of the project), extend the period mentioned in paragraph (7).</w:t>
                  </w:r>
                </w:p>
              </w:tc>
            </w:tr>
            <w:tr w:rsidR="00ED6249" w:rsidRPr="00747DBC" w14:paraId="7DB867E1" w14:textId="77777777" w:rsidTr="00D328FC">
              <w:trPr>
                <w:trHeight w:val="1018"/>
              </w:trPr>
              <w:tc>
                <w:tcPr>
                  <w:tcW w:w="912" w:type="dxa"/>
                </w:tcPr>
                <w:p w14:paraId="7A691870" w14:textId="77777777" w:rsidR="00ED6249" w:rsidRPr="00747DBC" w:rsidRDefault="00ED6249" w:rsidP="00747DBC">
                  <w:r w:rsidRPr="00747DBC">
                    <w:t>13.(9)</w:t>
                  </w:r>
                </w:p>
              </w:tc>
              <w:tc>
                <w:tcPr>
                  <w:tcW w:w="6013" w:type="dxa"/>
                </w:tcPr>
                <w:p w14:paraId="2CDB8CE1" w14:textId="77777777" w:rsidR="00ED6249" w:rsidRPr="00747DBC" w:rsidRDefault="00ED6249" w:rsidP="00747DBC">
                  <w:r w:rsidRPr="00747DBC">
                    <w:t>If the ONR exercises the power in paragraph (8), it shall inform the licensee in writing of the reasons for the extension and the date by which it expects to make its determination under paragraph (1).</w:t>
                  </w:r>
                </w:p>
              </w:tc>
            </w:tr>
          </w:tbl>
          <w:p w14:paraId="26762245" w14:textId="77777777" w:rsidR="00ED6249" w:rsidRPr="00747DBC" w:rsidRDefault="00ED6249" w:rsidP="00747DBC">
            <w:pPr>
              <w:rPr>
                <w:u w:val="single"/>
              </w:rPr>
            </w:pPr>
          </w:p>
        </w:tc>
      </w:tr>
      <w:tr w:rsidR="00ED6249" w:rsidRPr="00747DBC" w14:paraId="5A85D62D" w14:textId="77777777" w:rsidTr="00747DBC">
        <w:tc>
          <w:tcPr>
            <w:tcW w:w="771" w:type="pct"/>
            <w:shd w:val="clear" w:color="auto" w:fill="008080"/>
          </w:tcPr>
          <w:p w14:paraId="26BCEFD3" w14:textId="77777777" w:rsidR="00ED6249" w:rsidRPr="00747DBC" w:rsidRDefault="00ED6249" w:rsidP="00747DBC">
            <w:pPr>
              <w:rPr>
                <w:color w:val="FFFFFF" w:themeColor="background1"/>
              </w:rPr>
            </w:pPr>
            <w:r w:rsidRPr="00747DBC">
              <w:rPr>
                <w:color w:val="FFFFFF" w:themeColor="background1"/>
              </w:rPr>
              <w:lastRenderedPageBreak/>
              <w:t>Guidance</w:t>
            </w:r>
          </w:p>
        </w:tc>
        <w:tc>
          <w:tcPr>
            <w:tcW w:w="283" w:type="pct"/>
            <w:shd w:val="clear" w:color="auto" w:fill="008080"/>
          </w:tcPr>
          <w:p w14:paraId="39493444" w14:textId="77777777" w:rsidR="00ED6249" w:rsidRPr="00747DBC" w:rsidRDefault="00ED6249" w:rsidP="00747DBC">
            <w:pPr>
              <w:rPr>
                <w:color w:val="FFFFFF" w:themeColor="background1"/>
                <w:szCs w:val="24"/>
              </w:rPr>
            </w:pPr>
            <w:bookmarkStart w:id="269" w:name="_Toc82167011"/>
            <w:bookmarkStart w:id="270" w:name="_Toc117773736"/>
            <w:bookmarkStart w:id="271" w:name="_Toc117774034"/>
            <w:bookmarkStart w:id="272" w:name="_Toc117774154"/>
            <w:r w:rsidRPr="00747DBC">
              <w:rPr>
                <w:color w:val="FFFFFF" w:themeColor="background1"/>
                <w:szCs w:val="24"/>
              </w:rPr>
              <w:t>13</w:t>
            </w:r>
            <w:bookmarkEnd w:id="269"/>
            <w:bookmarkEnd w:id="270"/>
            <w:bookmarkEnd w:id="271"/>
            <w:bookmarkEnd w:id="272"/>
          </w:p>
        </w:tc>
        <w:tc>
          <w:tcPr>
            <w:tcW w:w="3946" w:type="pct"/>
          </w:tcPr>
          <w:p w14:paraId="4866DA89" w14:textId="40977181" w:rsidR="00ED6249" w:rsidRPr="00747DBC" w:rsidRDefault="00ED6249" w:rsidP="00ED3078">
            <w:pPr>
              <w:pStyle w:val="Regulationpara"/>
            </w:pPr>
            <w:r w:rsidRPr="00747DBC">
              <w:t xml:space="preserve">If ONR determines that an EIA is required for the change or extension to the project, the EIA should cover the environmental impact of the proposed decommissioning project once the change has been implemented, </w:t>
            </w:r>
            <w:r w:rsidR="00ED3078" w:rsidRPr="00747DBC">
              <w:t>i.e.,</w:t>
            </w:r>
            <w:r w:rsidRPr="00747DBC">
              <w:t xml:space="preserve"> the decommissioning project as changed by the proposed change or extension. The primary focus of an EIA should be the potential impacts of the change or extension. However, it would be reasonable to assess whether the change or extension to the project changes any of the assessments or assumptions in the EIA for the extant project, and whether the existing EIA remains valid. Any extant EIAs and EMPs can be referenced as appropriate. </w:t>
            </w:r>
          </w:p>
          <w:p w14:paraId="2CDA9EB3" w14:textId="77777777" w:rsidR="00ED6249" w:rsidRPr="00747DBC" w:rsidRDefault="00ED6249" w:rsidP="00ED3078">
            <w:pPr>
              <w:pStyle w:val="Regulationpara"/>
            </w:pPr>
            <w:r w:rsidRPr="00747DBC">
              <w:t xml:space="preserve">Where a site does not have an existing EIADR consent, if it is determined under Regulation 13 that a new EIA is required, the production of a new EIA may need to be </w:t>
            </w:r>
            <w:proofErr w:type="gramStart"/>
            <w:r w:rsidRPr="00747DBC">
              <w:t>more extensive and wide</w:t>
            </w:r>
            <w:proofErr w:type="gramEnd"/>
            <w:r w:rsidRPr="00747DBC">
              <w:t xml:space="preserve"> ranging than if there was an existing EIA to draw upon.   </w:t>
            </w:r>
          </w:p>
          <w:p w14:paraId="5A070634" w14:textId="0B339154" w:rsidR="00ED6249" w:rsidRPr="00747DBC" w:rsidRDefault="00ED6249" w:rsidP="00ED3078">
            <w:pPr>
              <w:pStyle w:val="Regulationpara"/>
            </w:pPr>
            <w:r w:rsidRPr="00747DBC">
              <w:t xml:space="preserve">In addition to informing the licensee and SoS of its determination within 90 days of being provided with the information specified in Schedule 3, ONR’s decision will also be posted </w:t>
            </w:r>
            <w:r w:rsidR="00ED3078" w:rsidRPr="00747DBC">
              <w:t>on the</w:t>
            </w:r>
            <w:r w:rsidRPr="00747DBC">
              <w:t xml:space="preserve"> ONR website, in a newspaper notice circulated in the locality of the site, and in other </w:t>
            </w:r>
            <w:r w:rsidRPr="00747DBC">
              <w:lastRenderedPageBreak/>
              <w:t>appropriate location(s) if circumstances require, such as public libraries in the vicinity of the site.</w:t>
            </w:r>
          </w:p>
        </w:tc>
      </w:tr>
    </w:tbl>
    <w:p w14:paraId="6B85A5FB" w14:textId="7920D390" w:rsidR="00ED6249" w:rsidRDefault="00ED6249" w:rsidP="00A01C3E">
      <w:pPr>
        <w:pStyle w:val="Heading2"/>
      </w:pPr>
      <w:bookmarkStart w:id="273" w:name="_Toc124416335"/>
      <w:r>
        <w:lastRenderedPageBreak/>
        <w:t>Regulation 14 Limitation on Disclosure</w:t>
      </w:r>
      <w:bookmarkEnd w:id="27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511"/>
        <w:gridCol w:w="7123"/>
      </w:tblGrid>
      <w:tr w:rsidR="00DC77C0" w:rsidRPr="001A01E8" w14:paraId="34C1458D" w14:textId="77777777" w:rsidTr="001A01E8">
        <w:tc>
          <w:tcPr>
            <w:tcW w:w="771" w:type="pct"/>
          </w:tcPr>
          <w:p w14:paraId="0CA89253" w14:textId="77777777" w:rsidR="00DC77C0" w:rsidRPr="001A01E8" w:rsidRDefault="00DC77C0" w:rsidP="001A01E8">
            <w:r w:rsidRPr="001A01E8">
              <w:t>Regulation</w:t>
            </w:r>
          </w:p>
        </w:tc>
        <w:tc>
          <w:tcPr>
            <w:tcW w:w="283" w:type="pct"/>
          </w:tcPr>
          <w:p w14:paraId="3A0243A8" w14:textId="77777777" w:rsidR="00DC77C0" w:rsidRPr="001A01E8" w:rsidRDefault="00DC77C0" w:rsidP="001A01E8">
            <w:pPr>
              <w:rPr>
                <w:szCs w:val="24"/>
              </w:rPr>
            </w:pPr>
            <w:bookmarkStart w:id="274" w:name="_Toc82167013"/>
            <w:bookmarkStart w:id="275" w:name="_Toc117773738"/>
            <w:bookmarkStart w:id="276" w:name="_Toc117774036"/>
            <w:bookmarkStart w:id="277" w:name="_Toc117774156"/>
            <w:r w:rsidRPr="001A01E8">
              <w:rPr>
                <w:szCs w:val="24"/>
              </w:rPr>
              <w:t>14</w:t>
            </w:r>
            <w:bookmarkEnd w:id="274"/>
            <w:bookmarkEnd w:id="275"/>
            <w:bookmarkEnd w:id="276"/>
            <w:bookmarkEnd w:id="277"/>
          </w:p>
        </w:tc>
        <w:tc>
          <w:tcPr>
            <w:tcW w:w="3946"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6092"/>
            </w:tblGrid>
            <w:tr w:rsidR="00DC77C0" w:rsidRPr="001A01E8" w14:paraId="1D35035C" w14:textId="77777777" w:rsidTr="00D328FC">
              <w:tc>
                <w:tcPr>
                  <w:tcW w:w="816" w:type="dxa"/>
                </w:tcPr>
                <w:p w14:paraId="03EA6524" w14:textId="77777777" w:rsidR="00DC77C0" w:rsidRPr="001A01E8" w:rsidRDefault="00DC77C0" w:rsidP="001A01E8">
                  <w:r w:rsidRPr="001A01E8">
                    <w:t>14.</w:t>
                  </w:r>
                </w:p>
              </w:tc>
              <w:tc>
                <w:tcPr>
                  <w:tcW w:w="6109" w:type="dxa"/>
                </w:tcPr>
                <w:p w14:paraId="5236D923" w14:textId="77777777" w:rsidR="00DC77C0" w:rsidRPr="001A01E8" w:rsidRDefault="00DC77C0" w:rsidP="001A01E8">
                  <w:r w:rsidRPr="001A01E8">
                    <w:t>Nothing in these Regulations shall require the disclosure by a body of information that it is entitled not to disclose under regulations 12 and 13 of the Environmental Information Regulations 2004(a) or regulations 10 and 11 of the Environmental Information (Scotland) Regulations 2004(b).</w:t>
                  </w:r>
                </w:p>
              </w:tc>
            </w:tr>
          </w:tbl>
          <w:p w14:paraId="15CEACA0" w14:textId="77777777" w:rsidR="00DC77C0" w:rsidRPr="001A01E8" w:rsidRDefault="00DC77C0" w:rsidP="001A01E8"/>
        </w:tc>
      </w:tr>
      <w:tr w:rsidR="00DC77C0" w:rsidRPr="001A01E8" w14:paraId="0263C7CE" w14:textId="77777777" w:rsidTr="001A01E8">
        <w:tc>
          <w:tcPr>
            <w:tcW w:w="771" w:type="pct"/>
            <w:shd w:val="clear" w:color="auto" w:fill="008080"/>
          </w:tcPr>
          <w:p w14:paraId="7595FA60" w14:textId="77777777" w:rsidR="00DC77C0" w:rsidRPr="001A01E8" w:rsidRDefault="00DC77C0" w:rsidP="001A01E8">
            <w:pPr>
              <w:rPr>
                <w:color w:val="FFFFFF" w:themeColor="background1"/>
              </w:rPr>
            </w:pPr>
            <w:r w:rsidRPr="001A01E8">
              <w:rPr>
                <w:color w:val="FFFFFF" w:themeColor="background1"/>
              </w:rPr>
              <w:t>Guidance</w:t>
            </w:r>
          </w:p>
        </w:tc>
        <w:tc>
          <w:tcPr>
            <w:tcW w:w="283" w:type="pct"/>
            <w:shd w:val="clear" w:color="auto" w:fill="008080"/>
          </w:tcPr>
          <w:p w14:paraId="15B33202" w14:textId="77777777" w:rsidR="00DC77C0" w:rsidRPr="001A01E8" w:rsidRDefault="00DC77C0" w:rsidP="001A01E8">
            <w:pPr>
              <w:rPr>
                <w:color w:val="FFFFFF" w:themeColor="background1"/>
                <w:szCs w:val="24"/>
              </w:rPr>
            </w:pPr>
            <w:bookmarkStart w:id="278" w:name="_Toc82167014"/>
            <w:bookmarkStart w:id="279" w:name="_Toc117773739"/>
            <w:bookmarkStart w:id="280" w:name="_Toc117774037"/>
            <w:bookmarkStart w:id="281" w:name="_Toc117774157"/>
            <w:r w:rsidRPr="001A01E8">
              <w:rPr>
                <w:color w:val="FFFFFF" w:themeColor="background1"/>
                <w:szCs w:val="24"/>
              </w:rPr>
              <w:t>14</w:t>
            </w:r>
            <w:bookmarkEnd w:id="278"/>
            <w:bookmarkEnd w:id="279"/>
            <w:bookmarkEnd w:id="280"/>
            <w:bookmarkEnd w:id="281"/>
          </w:p>
        </w:tc>
        <w:tc>
          <w:tcPr>
            <w:tcW w:w="3946" w:type="pct"/>
          </w:tcPr>
          <w:p w14:paraId="16923764" w14:textId="73E32C8A" w:rsidR="00DC77C0" w:rsidRPr="001A01E8" w:rsidRDefault="00DC77C0" w:rsidP="001A01E8">
            <w:pPr>
              <w:pStyle w:val="Regulationpara"/>
            </w:pPr>
            <w:r w:rsidRPr="001A01E8">
              <w:t xml:space="preserve">ONR’s policy is to be as open as the law allows. Information that comes under regulation 12 and 13 of the Environmental Information Regulations 2004 </w:t>
            </w:r>
            <w:sdt>
              <w:sdtPr>
                <w:id w:val="-1182578347"/>
                <w:citation/>
              </w:sdtPr>
              <w:sdtEndPr/>
              <w:sdtContent>
                <w:r w:rsidR="001A01E8">
                  <w:fldChar w:fldCharType="begin"/>
                </w:r>
                <w:r w:rsidR="001A01E8">
                  <w:instrText xml:space="preserve"> CITATION HMG042 \l 2057 </w:instrText>
                </w:r>
                <w:r w:rsidR="001A01E8">
                  <w:fldChar w:fldCharType="separate"/>
                </w:r>
                <w:r w:rsidR="000416A5" w:rsidRPr="000416A5">
                  <w:rPr>
                    <w:noProof/>
                  </w:rPr>
                  <w:t>[18]</w:t>
                </w:r>
                <w:r w:rsidR="001A01E8">
                  <w:fldChar w:fldCharType="end"/>
                </w:r>
              </w:sdtContent>
            </w:sdt>
            <w:r w:rsidRPr="001A01E8">
              <w:t xml:space="preserve"> or regulations 10 and 11 of the Environmental Information (Scotland) Regulations 2004 </w:t>
            </w:r>
            <w:sdt>
              <w:sdtPr>
                <w:id w:val="1921680771"/>
                <w:citation/>
              </w:sdtPr>
              <w:sdtEndPr/>
              <w:sdtContent>
                <w:r w:rsidR="001A01E8">
                  <w:fldChar w:fldCharType="begin"/>
                </w:r>
                <w:r w:rsidR="001A01E8">
                  <w:instrText xml:space="preserve"> CITATION HMG043 \l 2057 </w:instrText>
                </w:r>
                <w:r w:rsidR="001A01E8">
                  <w:fldChar w:fldCharType="separate"/>
                </w:r>
                <w:r w:rsidR="000416A5" w:rsidRPr="000416A5">
                  <w:rPr>
                    <w:noProof/>
                  </w:rPr>
                  <w:t>[19]</w:t>
                </w:r>
                <w:r w:rsidR="001A01E8">
                  <w:fldChar w:fldCharType="end"/>
                </w:r>
              </w:sdtContent>
            </w:sdt>
            <w:r w:rsidRPr="001A01E8">
              <w:t xml:space="preserve"> does not have to be disclosed. This would include information relating to locations of particularly rare species of plants or animals, the relevance of which might harm their conservation interest. However, due recognition of their presence and sensitivity are expected in the environmental statement.</w:t>
            </w:r>
          </w:p>
        </w:tc>
      </w:tr>
    </w:tbl>
    <w:p w14:paraId="61FADA3D" w14:textId="4126AE1C" w:rsidR="00DC77C0" w:rsidRDefault="00DC77C0" w:rsidP="00A01C3E">
      <w:pPr>
        <w:pStyle w:val="Heading2"/>
      </w:pPr>
      <w:bookmarkStart w:id="282" w:name="_Toc124416336"/>
      <w:r>
        <w:t>Regulation 15 Recovery of Expenses by the ONR</w:t>
      </w:r>
      <w:bookmarkEnd w:id="28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511"/>
        <w:gridCol w:w="7123"/>
      </w:tblGrid>
      <w:tr w:rsidR="00810625" w:rsidRPr="001A01E8" w14:paraId="66B01A70" w14:textId="77777777" w:rsidTr="001A01E8">
        <w:tc>
          <w:tcPr>
            <w:tcW w:w="771" w:type="pct"/>
          </w:tcPr>
          <w:p w14:paraId="0C012A69" w14:textId="77777777" w:rsidR="00810625" w:rsidRPr="001A01E8" w:rsidRDefault="00810625" w:rsidP="001A01E8">
            <w:r w:rsidRPr="001A01E8">
              <w:t>Regulation</w:t>
            </w:r>
          </w:p>
        </w:tc>
        <w:tc>
          <w:tcPr>
            <w:tcW w:w="283" w:type="pct"/>
          </w:tcPr>
          <w:p w14:paraId="23C4BE23" w14:textId="77777777" w:rsidR="00810625" w:rsidRPr="001A01E8" w:rsidRDefault="00810625" w:rsidP="001A01E8">
            <w:pPr>
              <w:rPr>
                <w:szCs w:val="24"/>
              </w:rPr>
            </w:pPr>
            <w:bookmarkStart w:id="283" w:name="_Toc82167016"/>
            <w:bookmarkStart w:id="284" w:name="_Toc117773741"/>
            <w:bookmarkStart w:id="285" w:name="_Toc117774039"/>
            <w:bookmarkStart w:id="286" w:name="_Toc117774159"/>
            <w:r w:rsidRPr="001A01E8">
              <w:rPr>
                <w:szCs w:val="24"/>
              </w:rPr>
              <w:t>15</w:t>
            </w:r>
            <w:bookmarkEnd w:id="283"/>
            <w:bookmarkEnd w:id="284"/>
            <w:bookmarkEnd w:id="285"/>
            <w:bookmarkEnd w:id="286"/>
          </w:p>
        </w:tc>
        <w:tc>
          <w:tcPr>
            <w:tcW w:w="3946"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
              <w:gridCol w:w="5804"/>
            </w:tblGrid>
            <w:tr w:rsidR="00810625" w:rsidRPr="001A01E8" w14:paraId="349E3D92" w14:textId="77777777" w:rsidTr="00D328FC">
              <w:tc>
                <w:tcPr>
                  <w:tcW w:w="909" w:type="dxa"/>
                </w:tcPr>
                <w:p w14:paraId="4DBEFCD6" w14:textId="77777777" w:rsidR="00810625" w:rsidRPr="001A01E8" w:rsidRDefault="00810625" w:rsidP="001A01E8">
                  <w:r w:rsidRPr="001A01E8">
                    <w:t>15.(1)</w:t>
                  </w:r>
                </w:p>
              </w:tc>
              <w:tc>
                <w:tcPr>
                  <w:tcW w:w="5804" w:type="dxa"/>
                </w:tcPr>
                <w:p w14:paraId="32F67975" w14:textId="77777777" w:rsidR="00810625" w:rsidRPr="001A01E8" w:rsidRDefault="00810625" w:rsidP="001A01E8">
                  <w:r w:rsidRPr="001A01E8">
                    <w:t>This regulation applies to any expenses incurred by the ONR which the ONR may determine to be incurred wholly or partly in connection with the carrying into effect of these Regulations and includes any sums paid by the ONR by way of remuneration, allowances or other payments to inspectors appointed under the HSWA 1974.</w:t>
                  </w:r>
                </w:p>
              </w:tc>
            </w:tr>
            <w:tr w:rsidR="00810625" w:rsidRPr="001A01E8" w14:paraId="487D89A8" w14:textId="77777777" w:rsidTr="00D328FC">
              <w:trPr>
                <w:trHeight w:val="680"/>
              </w:trPr>
              <w:tc>
                <w:tcPr>
                  <w:tcW w:w="909" w:type="dxa"/>
                </w:tcPr>
                <w:p w14:paraId="35ACC921" w14:textId="77777777" w:rsidR="00810625" w:rsidRPr="001A01E8" w:rsidRDefault="00810625" w:rsidP="001A01E8">
                  <w:r w:rsidRPr="001A01E8">
                    <w:t>15.(2)</w:t>
                  </w:r>
                </w:p>
              </w:tc>
              <w:tc>
                <w:tcPr>
                  <w:tcW w:w="5804" w:type="dxa"/>
                </w:tcPr>
                <w:p w14:paraId="40ACCE94" w14:textId="77777777" w:rsidR="00810625" w:rsidRPr="001A01E8" w:rsidRDefault="00810625" w:rsidP="001A01E8">
                  <w:r w:rsidRPr="001A01E8">
                    <w:t>Where a licensee has applied for a consent to carry out a project or has requested an opinion pursuant to regulation 4 or 6 respectively, the ONR, in such cases and to such extent as it may appear to it appropriate to do so –</w:t>
                  </w:r>
                </w:p>
                <w:p w14:paraId="407DEA91" w14:textId="7AB12CFB" w:rsidR="00810625" w:rsidRPr="001A01E8" w:rsidRDefault="00810625" w:rsidP="00DE19A2">
                  <w:pPr>
                    <w:pStyle w:val="ListParagraph"/>
                    <w:numPr>
                      <w:ilvl w:val="0"/>
                      <w:numId w:val="148"/>
                    </w:numPr>
                  </w:pPr>
                  <w:r w:rsidRPr="001A01E8">
                    <w:t>shall require the licensee to repay to it so much of any expenses to which this</w:t>
                  </w:r>
                  <w:r w:rsidR="006576A4">
                    <w:t xml:space="preserve"> </w:t>
                  </w:r>
                  <w:r w:rsidRPr="001A01E8">
                    <w:t xml:space="preserve">regulation applies as may appear to it to be attributable to dealing with the application or request; and </w:t>
                  </w:r>
                </w:p>
                <w:p w14:paraId="399C9E9C" w14:textId="365E8A51" w:rsidR="00810625" w:rsidRPr="001A01E8" w:rsidRDefault="00810625" w:rsidP="00DE19A2">
                  <w:pPr>
                    <w:pStyle w:val="ListParagraph"/>
                    <w:numPr>
                      <w:ilvl w:val="0"/>
                      <w:numId w:val="148"/>
                    </w:numPr>
                  </w:pPr>
                  <w:r w:rsidRPr="001A01E8">
                    <w:lastRenderedPageBreak/>
                    <w:t>may require the licensee to make to it a payment or payments on account of such liability.</w:t>
                  </w:r>
                </w:p>
              </w:tc>
            </w:tr>
            <w:tr w:rsidR="00810625" w:rsidRPr="001A01E8" w14:paraId="68152850" w14:textId="77777777" w:rsidTr="00D328FC">
              <w:trPr>
                <w:trHeight w:val="366"/>
              </w:trPr>
              <w:tc>
                <w:tcPr>
                  <w:tcW w:w="909" w:type="dxa"/>
                </w:tcPr>
                <w:p w14:paraId="1316DAB6" w14:textId="77777777" w:rsidR="00810625" w:rsidRPr="001A01E8" w:rsidRDefault="00810625" w:rsidP="001A01E8">
                  <w:r w:rsidRPr="001A01E8">
                    <w:lastRenderedPageBreak/>
                    <w:t>15.(3)</w:t>
                  </w:r>
                </w:p>
              </w:tc>
              <w:tc>
                <w:tcPr>
                  <w:tcW w:w="5804" w:type="dxa"/>
                </w:tcPr>
                <w:p w14:paraId="6ED12213" w14:textId="77777777" w:rsidR="00810625" w:rsidRPr="001A01E8" w:rsidRDefault="00810625" w:rsidP="001A01E8">
                  <w:r w:rsidRPr="001A01E8">
                    <w:t>A licensee shall comply with any requirement made of him under this regulation.</w:t>
                  </w:r>
                </w:p>
              </w:tc>
            </w:tr>
            <w:tr w:rsidR="00810625" w:rsidRPr="001A01E8" w14:paraId="651E9FD1" w14:textId="77777777" w:rsidTr="00D328FC">
              <w:trPr>
                <w:trHeight w:val="1018"/>
              </w:trPr>
              <w:tc>
                <w:tcPr>
                  <w:tcW w:w="909" w:type="dxa"/>
                </w:tcPr>
                <w:p w14:paraId="0EB8772E" w14:textId="77777777" w:rsidR="00810625" w:rsidRPr="001A01E8" w:rsidRDefault="00810625" w:rsidP="001A01E8">
                  <w:r w:rsidRPr="001A01E8">
                    <w:t>15.(4)</w:t>
                  </w:r>
                </w:p>
              </w:tc>
              <w:tc>
                <w:tcPr>
                  <w:tcW w:w="5804" w:type="dxa"/>
                </w:tcPr>
                <w:p w14:paraId="55C0EBB0" w14:textId="77777777" w:rsidR="00810625" w:rsidRPr="001A01E8" w:rsidRDefault="00810625" w:rsidP="001A01E8">
                  <w:r w:rsidRPr="001A01E8">
                    <w:t>Any liability of a licensee in respect of sums payable by him under this regulation on account of pensions shall, if the ONR so determines, be satisfied by way of contributions calculated at such rate as may be determined by the Treasury, by reference to remuneration.</w:t>
                  </w:r>
                </w:p>
              </w:tc>
            </w:tr>
            <w:tr w:rsidR="00810625" w:rsidRPr="001A01E8" w14:paraId="2D2C228C" w14:textId="77777777" w:rsidTr="00D328FC">
              <w:trPr>
                <w:trHeight w:val="688"/>
              </w:trPr>
              <w:tc>
                <w:tcPr>
                  <w:tcW w:w="909" w:type="dxa"/>
                </w:tcPr>
                <w:p w14:paraId="62E60FCE" w14:textId="77777777" w:rsidR="00810625" w:rsidRPr="001A01E8" w:rsidRDefault="00810625" w:rsidP="001A01E8">
                  <w:r w:rsidRPr="001A01E8">
                    <w:t>15.(5)</w:t>
                  </w:r>
                </w:p>
              </w:tc>
              <w:tc>
                <w:tcPr>
                  <w:tcW w:w="5804" w:type="dxa"/>
                </w:tcPr>
                <w:p w14:paraId="2EF94DD8" w14:textId="77777777" w:rsidR="00810625" w:rsidRPr="001A01E8" w:rsidRDefault="00810625" w:rsidP="001A01E8">
                  <w:r w:rsidRPr="001A01E8">
                    <w:t>Where a licensee has made a payment under sub-paragraph (2)(b) above on account of an anticipated liability, then if the amount of the liability to which he becomes subject is less than the amount paid under that sub-paragraph, the ONR shall be liable to repay the difference to him.</w:t>
                  </w:r>
                </w:p>
              </w:tc>
            </w:tr>
          </w:tbl>
          <w:p w14:paraId="11362EDA" w14:textId="77777777" w:rsidR="00810625" w:rsidRPr="001A01E8" w:rsidRDefault="00810625" w:rsidP="001A01E8"/>
        </w:tc>
      </w:tr>
      <w:tr w:rsidR="00810625" w:rsidRPr="001A01E8" w14:paraId="58472A88" w14:textId="77777777" w:rsidTr="001A01E8">
        <w:tc>
          <w:tcPr>
            <w:tcW w:w="771" w:type="pct"/>
            <w:shd w:val="clear" w:color="auto" w:fill="008080"/>
          </w:tcPr>
          <w:p w14:paraId="0CF33234" w14:textId="77777777" w:rsidR="00810625" w:rsidRPr="001A01E8" w:rsidRDefault="00810625" w:rsidP="001A01E8">
            <w:pPr>
              <w:rPr>
                <w:color w:val="FFFFFF" w:themeColor="background1"/>
              </w:rPr>
            </w:pPr>
            <w:r w:rsidRPr="001A01E8">
              <w:rPr>
                <w:color w:val="FFFFFF" w:themeColor="background1"/>
              </w:rPr>
              <w:lastRenderedPageBreak/>
              <w:t>Guidance</w:t>
            </w:r>
          </w:p>
        </w:tc>
        <w:tc>
          <w:tcPr>
            <w:tcW w:w="283" w:type="pct"/>
            <w:shd w:val="clear" w:color="auto" w:fill="008080"/>
          </w:tcPr>
          <w:p w14:paraId="68D99D80" w14:textId="77777777" w:rsidR="00810625" w:rsidRPr="001A01E8" w:rsidRDefault="00810625" w:rsidP="001A01E8">
            <w:pPr>
              <w:rPr>
                <w:color w:val="FFFFFF" w:themeColor="background1"/>
                <w:szCs w:val="24"/>
              </w:rPr>
            </w:pPr>
            <w:bookmarkStart w:id="287" w:name="_Toc82167017"/>
            <w:bookmarkStart w:id="288" w:name="_Toc117773742"/>
            <w:bookmarkStart w:id="289" w:name="_Toc117774040"/>
            <w:bookmarkStart w:id="290" w:name="_Toc117774160"/>
            <w:r w:rsidRPr="001A01E8">
              <w:rPr>
                <w:color w:val="FFFFFF" w:themeColor="background1"/>
                <w:szCs w:val="24"/>
              </w:rPr>
              <w:t>15</w:t>
            </w:r>
            <w:bookmarkEnd w:id="287"/>
            <w:bookmarkEnd w:id="288"/>
            <w:bookmarkEnd w:id="289"/>
            <w:bookmarkEnd w:id="290"/>
          </w:p>
        </w:tc>
        <w:tc>
          <w:tcPr>
            <w:tcW w:w="3946" w:type="pct"/>
          </w:tcPr>
          <w:p w14:paraId="7F7C2292" w14:textId="06219C92" w:rsidR="00810625" w:rsidRPr="001A01E8" w:rsidRDefault="00810625" w:rsidP="001A01E8">
            <w:pPr>
              <w:pStyle w:val="Regulationpara"/>
            </w:pPr>
            <w:r w:rsidRPr="001A01E8">
              <w:t xml:space="preserve">All expenses incurred by ONR in connection with the EIADR (including advertising costs) will be charged to the licensee concerned, in the same way as work charged for activities under the Nuclear Installations Act 1965 </w:t>
            </w:r>
            <w:sdt>
              <w:sdtPr>
                <w:id w:val="11115719"/>
                <w:citation/>
              </w:sdtPr>
              <w:sdtEndPr/>
              <w:sdtContent>
                <w:r w:rsidR="001C3DE9">
                  <w:fldChar w:fldCharType="begin"/>
                </w:r>
                <w:r w:rsidR="001C3DE9">
                  <w:instrText xml:space="preserve"> CITATION HMG65 \l 2057 </w:instrText>
                </w:r>
                <w:r w:rsidR="001C3DE9">
                  <w:fldChar w:fldCharType="separate"/>
                </w:r>
                <w:r w:rsidR="000416A5" w:rsidRPr="000416A5">
                  <w:rPr>
                    <w:noProof/>
                  </w:rPr>
                  <w:t>[8]</w:t>
                </w:r>
                <w:r w:rsidR="001C3DE9">
                  <w:fldChar w:fldCharType="end"/>
                </w:r>
              </w:sdtContent>
            </w:sdt>
            <w:r w:rsidRPr="001A01E8">
              <w:t>.</w:t>
            </w:r>
          </w:p>
        </w:tc>
      </w:tr>
    </w:tbl>
    <w:p w14:paraId="058A781E" w14:textId="07B6BA48" w:rsidR="00810625" w:rsidRDefault="00810625" w:rsidP="00A01C3E">
      <w:pPr>
        <w:pStyle w:val="Heading2"/>
      </w:pPr>
      <w:bookmarkStart w:id="291" w:name="_Toc124416337"/>
      <w:r>
        <w:t>Regulation 16 Enforcement</w:t>
      </w:r>
      <w:bookmarkEnd w:id="291"/>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497"/>
        <w:gridCol w:w="6915"/>
      </w:tblGrid>
      <w:tr w:rsidR="00E90C14" w:rsidRPr="000466D0" w14:paraId="4488A39C" w14:textId="77777777" w:rsidTr="00D328FC">
        <w:tc>
          <w:tcPr>
            <w:tcW w:w="1353" w:type="dxa"/>
          </w:tcPr>
          <w:p w14:paraId="13D6E4EF" w14:textId="77777777" w:rsidR="00E90C14" w:rsidRPr="000466D0" w:rsidRDefault="00E90C14" w:rsidP="000466D0">
            <w:r w:rsidRPr="000466D0">
              <w:t>Regulation</w:t>
            </w:r>
          </w:p>
        </w:tc>
        <w:tc>
          <w:tcPr>
            <w:tcW w:w="498" w:type="dxa"/>
          </w:tcPr>
          <w:p w14:paraId="3619633E" w14:textId="77777777" w:rsidR="00E90C14" w:rsidRPr="000466D0" w:rsidRDefault="00E90C14" w:rsidP="000466D0">
            <w:pPr>
              <w:rPr>
                <w:szCs w:val="24"/>
              </w:rPr>
            </w:pPr>
            <w:bookmarkStart w:id="292" w:name="_Toc82167019"/>
            <w:bookmarkStart w:id="293" w:name="_Toc117773744"/>
            <w:bookmarkStart w:id="294" w:name="_Toc117774042"/>
            <w:bookmarkStart w:id="295" w:name="_Toc117774162"/>
            <w:r w:rsidRPr="000466D0">
              <w:rPr>
                <w:szCs w:val="24"/>
              </w:rPr>
              <w:t>16</w:t>
            </w:r>
            <w:bookmarkEnd w:id="292"/>
            <w:bookmarkEnd w:id="293"/>
            <w:bookmarkEnd w:id="294"/>
            <w:bookmarkEnd w:id="295"/>
          </w:p>
        </w:tc>
        <w:tc>
          <w:tcPr>
            <w:tcW w:w="7141"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5789"/>
            </w:tblGrid>
            <w:tr w:rsidR="00E90C14" w:rsidRPr="000466D0" w14:paraId="76A4DAB4" w14:textId="77777777" w:rsidTr="00D328FC">
              <w:tc>
                <w:tcPr>
                  <w:tcW w:w="910" w:type="dxa"/>
                </w:tcPr>
                <w:p w14:paraId="070100C4" w14:textId="77777777" w:rsidR="00E90C14" w:rsidRPr="000466D0" w:rsidRDefault="00E90C14" w:rsidP="000466D0">
                  <w:r w:rsidRPr="000466D0">
                    <w:t>16.(1)</w:t>
                  </w:r>
                </w:p>
              </w:tc>
              <w:tc>
                <w:tcPr>
                  <w:tcW w:w="5790" w:type="dxa"/>
                </w:tcPr>
                <w:p w14:paraId="4C871E5E" w14:textId="77777777" w:rsidR="00E90C14" w:rsidRPr="000466D0" w:rsidRDefault="00E90C14" w:rsidP="000466D0">
                  <w:r w:rsidRPr="000466D0">
                    <w:t>Sections 18 to 26 and 33 to 42 of the HSWA 1974 shall apply to any requirement or prohibition imposed upon any licensee by these Regulations or any requirement imposed upon any person by regulation 7 as if the requirement or prohibition concerned had been imposed by regulations made under section 15 of that Act and any function of the Health and Safety Commission under any other provision of the HSWA 1974 which is exercisable in relation to any function of the ONR under or in respect of health and safety regulations (including their enforcement) shall be exercisable as if these Regulations were health and safety regulations for the purposes of that Act.</w:t>
                  </w:r>
                </w:p>
              </w:tc>
            </w:tr>
            <w:tr w:rsidR="00E90C14" w:rsidRPr="000466D0" w14:paraId="79E4AE2F" w14:textId="77777777" w:rsidTr="00D328FC">
              <w:trPr>
                <w:trHeight w:val="680"/>
              </w:trPr>
              <w:tc>
                <w:tcPr>
                  <w:tcW w:w="910" w:type="dxa"/>
                </w:tcPr>
                <w:p w14:paraId="2D673470" w14:textId="77777777" w:rsidR="00E90C14" w:rsidRPr="000466D0" w:rsidRDefault="00E90C14" w:rsidP="000466D0">
                  <w:r w:rsidRPr="000466D0">
                    <w:t>16.(2)</w:t>
                  </w:r>
                </w:p>
              </w:tc>
              <w:tc>
                <w:tcPr>
                  <w:tcW w:w="5790" w:type="dxa"/>
                </w:tcPr>
                <w:p w14:paraId="6B5368B4" w14:textId="77777777" w:rsidR="00E90C14" w:rsidRPr="000466D0" w:rsidRDefault="00E90C14" w:rsidP="000466D0">
                  <w:r w:rsidRPr="000466D0">
                    <w:t>The Health and Safety (Enforcing Authority) Regulations 1998 shall not apply in relation to the enforcement of any requirement or prohibition referred to in paragraph (1) above.</w:t>
                  </w:r>
                </w:p>
              </w:tc>
            </w:tr>
          </w:tbl>
          <w:p w14:paraId="54FB3763" w14:textId="77777777" w:rsidR="00E90C14" w:rsidRPr="000466D0" w:rsidRDefault="00E90C14" w:rsidP="000466D0"/>
        </w:tc>
      </w:tr>
      <w:tr w:rsidR="00E90C14" w:rsidRPr="001572AA" w14:paraId="6CFC46B2" w14:textId="77777777" w:rsidTr="00D328FC">
        <w:tc>
          <w:tcPr>
            <w:tcW w:w="1353" w:type="dxa"/>
            <w:shd w:val="clear" w:color="auto" w:fill="008080"/>
          </w:tcPr>
          <w:p w14:paraId="48F97EEC" w14:textId="77777777" w:rsidR="00E90C14" w:rsidRPr="00B65383" w:rsidRDefault="00E90C14" w:rsidP="00B65383">
            <w:pPr>
              <w:rPr>
                <w:color w:val="FFFFFF" w:themeColor="background1"/>
              </w:rPr>
            </w:pPr>
            <w:r w:rsidRPr="00B65383">
              <w:rPr>
                <w:color w:val="FFFFFF" w:themeColor="background1"/>
              </w:rPr>
              <w:lastRenderedPageBreak/>
              <w:t>Guidance</w:t>
            </w:r>
          </w:p>
        </w:tc>
        <w:tc>
          <w:tcPr>
            <w:tcW w:w="498" w:type="dxa"/>
            <w:shd w:val="clear" w:color="auto" w:fill="008080"/>
          </w:tcPr>
          <w:p w14:paraId="2687091D" w14:textId="77777777" w:rsidR="00E90C14" w:rsidRPr="00B65383" w:rsidRDefault="00E90C14" w:rsidP="00B65383">
            <w:pPr>
              <w:rPr>
                <w:color w:val="FFFFFF" w:themeColor="background1"/>
                <w:szCs w:val="24"/>
              </w:rPr>
            </w:pPr>
            <w:bookmarkStart w:id="296" w:name="_Toc82167020"/>
            <w:bookmarkStart w:id="297" w:name="_Toc117773745"/>
            <w:bookmarkStart w:id="298" w:name="_Toc117774043"/>
            <w:bookmarkStart w:id="299" w:name="_Toc117774163"/>
            <w:r w:rsidRPr="00B65383">
              <w:rPr>
                <w:color w:val="FFFFFF" w:themeColor="background1"/>
                <w:szCs w:val="24"/>
              </w:rPr>
              <w:t>16</w:t>
            </w:r>
            <w:bookmarkEnd w:id="296"/>
            <w:bookmarkEnd w:id="297"/>
            <w:bookmarkEnd w:id="298"/>
            <w:bookmarkEnd w:id="299"/>
          </w:p>
        </w:tc>
        <w:tc>
          <w:tcPr>
            <w:tcW w:w="7141" w:type="dxa"/>
          </w:tcPr>
          <w:p w14:paraId="25756E29" w14:textId="474EC594" w:rsidR="00E90C14" w:rsidRDefault="00E90C14" w:rsidP="001C3DE9">
            <w:pPr>
              <w:pStyle w:val="Regulationpara"/>
            </w:pPr>
            <w:r w:rsidRPr="0083170B">
              <w:t xml:space="preserve">The EIADR are enforced by the ONR as if they were health and safety regulations made under the Health and Safety at Work etc Act 1974 </w:t>
            </w:r>
            <w:sdt>
              <w:sdtPr>
                <w:id w:val="57443269"/>
                <w:citation/>
              </w:sdtPr>
              <w:sdtEndPr/>
              <w:sdtContent>
                <w:r w:rsidR="001C3DE9">
                  <w:fldChar w:fldCharType="begin"/>
                </w:r>
                <w:r w:rsidR="001C3DE9">
                  <w:instrText xml:space="preserve"> CITATION HMG74 \l 2057 </w:instrText>
                </w:r>
                <w:r w:rsidR="001C3DE9">
                  <w:fldChar w:fldCharType="separate"/>
                </w:r>
                <w:r w:rsidR="000416A5" w:rsidRPr="000416A5">
                  <w:rPr>
                    <w:noProof/>
                  </w:rPr>
                  <w:t>[7]</w:t>
                </w:r>
                <w:r w:rsidR="001C3DE9">
                  <w:fldChar w:fldCharType="end"/>
                </w:r>
              </w:sdtContent>
            </w:sdt>
            <w:r w:rsidRPr="0083170B">
              <w:t xml:space="preserve">. This gives inspectors the power to serve Improvement Notices, Prohibition Notices and prosecute </w:t>
            </w:r>
            <w:proofErr w:type="gramStart"/>
            <w:r w:rsidRPr="0083170B">
              <w:t>in order to</w:t>
            </w:r>
            <w:proofErr w:type="gramEnd"/>
            <w:r w:rsidRPr="0083170B">
              <w:t xml:space="preserve"> enforce the Regulations.</w:t>
            </w:r>
          </w:p>
          <w:p w14:paraId="250FDF75" w14:textId="77043B05" w:rsidR="00E90C14" w:rsidRPr="000466D0" w:rsidRDefault="00E90C14" w:rsidP="001C3DE9">
            <w:pPr>
              <w:pStyle w:val="Regulationpara"/>
            </w:pPr>
            <w:r w:rsidRPr="000466D0">
              <w:t xml:space="preserve">The application of Sections 18 to 26 and 33 to 42 of HSWA 1974, for purpose of enforcement does not infer that the other provisions of HSWA 1974 also apply. </w:t>
            </w:r>
            <w:r w:rsidR="000466D0" w:rsidRPr="000466D0">
              <w:t>Specifically,</w:t>
            </w:r>
            <w:r w:rsidRPr="000466D0">
              <w:t xml:space="preserve"> Section 48 of the HSWA 1974 (Application to Crown) is not referenced, supporting the position </w:t>
            </w:r>
            <w:r w:rsidR="001C3DE9" w:rsidRPr="000466D0">
              <w:t>that EIADR</w:t>
            </w:r>
            <w:r w:rsidRPr="000466D0">
              <w:t xml:space="preserve"> does not apply to the Crown.</w:t>
            </w:r>
          </w:p>
        </w:tc>
      </w:tr>
    </w:tbl>
    <w:p w14:paraId="08150F69" w14:textId="77777777" w:rsidR="00810625" w:rsidRPr="00810625" w:rsidRDefault="00810625" w:rsidP="00810625"/>
    <w:p w14:paraId="396ED62D" w14:textId="31841D4B" w:rsidR="00ED318D" w:rsidRDefault="00ED318D">
      <w:pPr>
        <w:spacing w:after="0" w:line="240" w:lineRule="auto"/>
      </w:pPr>
      <w:r>
        <w:br w:type="page"/>
      </w:r>
    </w:p>
    <w:p w14:paraId="34649632" w14:textId="0DAB3FF2" w:rsidR="00B96988" w:rsidRDefault="00ED318D" w:rsidP="00D0207C">
      <w:pPr>
        <w:pStyle w:val="Heading2"/>
      </w:pPr>
      <w:bookmarkStart w:id="300" w:name="_Toc124416338"/>
      <w:r>
        <w:lastRenderedPageBreak/>
        <w:t>Schedule 1</w:t>
      </w:r>
      <w:bookmarkEnd w:id="300"/>
    </w:p>
    <w:p w14:paraId="7DC0D8E3" w14:textId="122EEDFB" w:rsidR="00ED318D" w:rsidRPr="001C3DE9" w:rsidRDefault="00ED318D" w:rsidP="001C3DE9">
      <w:pPr>
        <w:rPr>
          <w:b/>
          <w:bCs/>
        </w:rPr>
      </w:pPr>
      <w:r w:rsidRPr="001C3DE9">
        <w:rPr>
          <w:b/>
          <w:bCs/>
        </w:rPr>
        <w:t>Regulation 17: Schedule 1</w:t>
      </w:r>
    </w:p>
    <w:p w14:paraId="321B95B5" w14:textId="77777777" w:rsidR="00096D6D" w:rsidRPr="001C3DE9" w:rsidRDefault="00096D6D" w:rsidP="001C3DE9">
      <w:pPr>
        <w:rPr>
          <w:b/>
          <w:bCs/>
        </w:rPr>
      </w:pPr>
      <w:bookmarkStart w:id="301" w:name="_Toc527450945"/>
      <w:bookmarkStart w:id="302" w:name="_Toc527621177"/>
      <w:r w:rsidRPr="001C3DE9">
        <w:rPr>
          <w:b/>
          <w:bCs/>
        </w:rPr>
        <w:t>Regulations 5(1)(f) and 10(1)</w:t>
      </w:r>
      <w:bookmarkEnd w:id="301"/>
      <w:bookmarkEnd w:id="302"/>
    </w:p>
    <w:p w14:paraId="674B0D67" w14:textId="77777777" w:rsidR="00096D6D" w:rsidRPr="001C3DE9" w:rsidRDefault="00096D6D" w:rsidP="001C3DE9">
      <w:pPr>
        <w:rPr>
          <w:b/>
          <w:bCs/>
        </w:rPr>
      </w:pPr>
      <w:r w:rsidRPr="001C3DE9">
        <w:rPr>
          <w:b/>
          <w:bCs/>
        </w:rPr>
        <w:t>Information which may need to be included in an environmental statement</w:t>
      </w:r>
    </w:p>
    <w:p w14:paraId="454E21A7" w14:textId="77777777" w:rsidR="00096D6D" w:rsidRPr="0083170B" w:rsidRDefault="00096D6D" w:rsidP="001C3DE9">
      <w:pPr>
        <w:pStyle w:val="Regulationpara"/>
        <w:numPr>
          <w:ilvl w:val="0"/>
          <w:numId w:val="97"/>
        </w:numPr>
      </w:pPr>
      <w:r w:rsidRPr="0083170B">
        <w:t>A description of the project, including in particular—</w:t>
      </w:r>
    </w:p>
    <w:p w14:paraId="616DD976" w14:textId="29D2B2CD" w:rsidR="00096D6D" w:rsidRPr="0083170B" w:rsidRDefault="00096D6D" w:rsidP="00DE19A2">
      <w:pPr>
        <w:pStyle w:val="Bulletlist2"/>
        <w:numPr>
          <w:ilvl w:val="0"/>
          <w:numId w:val="154"/>
        </w:numPr>
      </w:pPr>
      <w:r w:rsidRPr="0083170B">
        <w:t>a description of the location of the project;</w:t>
      </w:r>
    </w:p>
    <w:p w14:paraId="4E3C5CE2" w14:textId="26456517" w:rsidR="00096D6D" w:rsidRPr="0083170B" w:rsidRDefault="00096D6D" w:rsidP="00DE19A2">
      <w:pPr>
        <w:pStyle w:val="Bulletlist2"/>
        <w:numPr>
          <w:ilvl w:val="0"/>
          <w:numId w:val="154"/>
        </w:numPr>
      </w:pPr>
      <w:r w:rsidRPr="0083170B">
        <w:t>a description of the physical characteristics of the whole project, including, where relevant, requisite demolition works, and the land-use requirements during the construction and operational phases;</w:t>
      </w:r>
    </w:p>
    <w:p w14:paraId="7CC41BD8" w14:textId="345E111D" w:rsidR="00096D6D" w:rsidRPr="0083170B" w:rsidRDefault="00096D6D" w:rsidP="00DE19A2">
      <w:pPr>
        <w:pStyle w:val="Bulletlist2"/>
        <w:numPr>
          <w:ilvl w:val="0"/>
          <w:numId w:val="154"/>
        </w:numPr>
      </w:pPr>
      <w:r w:rsidRPr="0083170B">
        <w:t>a description of the main characteristics of the operational phase of the project (in particular any production process), for instance, energy demand and energy used, nature and quantity of the materials and natural resources (including water, land, soil and biodiversity) used;</w:t>
      </w:r>
    </w:p>
    <w:p w14:paraId="0A6D3432" w14:textId="5211001F" w:rsidR="00096D6D" w:rsidRPr="0083170B" w:rsidRDefault="00096D6D" w:rsidP="00DE19A2">
      <w:pPr>
        <w:pStyle w:val="Bulletlist2"/>
        <w:numPr>
          <w:ilvl w:val="0"/>
          <w:numId w:val="154"/>
        </w:numPr>
      </w:pPr>
      <w:r w:rsidRPr="0083170B">
        <w:t>an estimate, by type and quantity, of expected residues and emissions (such as water, air, soil and subsoil pollution, noise, vibration, light, heat, radiation) and quantities and types of waste produced during the construction and operation phases.</w:t>
      </w:r>
    </w:p>
    <w:p w14:paraId="098D2127" w14:textId="77777777" w:rsidR="00096D6D" w:rsidRPr="0083170B" w:rsidRDefault="00096D6D" w:rsidP="001C3DE9">
      <w:pPr>
        <w:pStyle w:val="Regulationpara"/>
      </w:pPr>
      <w:r w:rsidRPr="0083170B">
        <w:t xml:space="preserve">A description of the reasonable alternatives (for example in terms of project design, technology, location, </w:t>
      </w:r>
      <w:proofErr w:type="gramStart"/>
      <w:r w:rsidRPr="0083170B">
        <w:t>size</w:t>
      </w:r>
      <w:proofErr w:type="gramEnd"/>
      <w:r w:rsidRPr="0083170B">
        <w:t xml:space="preserve"> and scale) studied by the licensee, which are relevant to the proposed project and its specific characteristics, and an indication of the main reasons for selecting the chosen option, including a comparison of the environmental effects.</w:t>
      </w:r>
    </w:p>
    <w:p w14:paraId="063D9563" w14:textId="77777777" w:rsidR="00096D6D" w:rsidRPr="0083170B" w:rsidRDefault="00096D6D" w:rsidP="001C3DE9">
      <w:pPr>
        <w:pStyle w:val="Regulationpara"/>
      </w:pPr>
      <w:r w:rsidRPr="0083170B">
        <w:t xml:space="preserve">A description of the relevant aspects of the current state of the environment (baseline scenario) and an outline of the likely evolution thereof without implementation of the project as far as natural changes from the baseline scenario can be assessed with reasonable effort </w:t>
      </w:r>
      <w:proofErr w:type="gramStart"/>
      <w:r w:rsidRPr="0083170B">
        <w:t>on the basis of</w:t>
      </w:r>
      <w:proofErr w:type="gramEnd"/>
      <w:r w:rsidRPr="0083170B">
        <w:t xml:space="preserve"> the availability of environmental information and scientific knowledge.</w:t>
      </w:r>
    </w:p>
    <w:p w14:paraId="03989DA2" w14:textId="77777777" w:rsidR="00096D6D" w:rsidRPr="0083170B" w:rsidRDefault="00096D6D" w:rsidP="001C3DE9">
      <w:pPr>
        <w:pStyle w:val="Regulationpara"/>
      </w:pPr>
      <w:r w:rsidRPr="0083170B">
        <w:t xml:space="preserve">A description of the factors specified in regulation 10B(3) likely to be significantly affected by the project: population, human health, biodiversity (for example fauna and flora), land (for example land take), soil (for example organic matter, erosion, compaction, sealing), water (for example </w:t>
      </w:r>
      <w:proofErr w:type="spellStart"/>
      <w:r w:rsidRPr="0083170B">
        <w:t>hydromorphological</w:t>
      </w:r>
      <w:proofErr w:type="spellEnd"/>
      <w:r w:rsidRPr="0083170B">
        <w:t xml:space="preserve"> changes, quantity and quality), air, climate (for example greenhouse gas emissions, impacts relevant to adaptation), material assets, cultural heritage, including architectural and archaeological aspects, and landscape.</w:t>
      </w:r>
    </w:p>
    <w:p w14:paraId="10E3F8D7" w14:textId="77777777" w:rsidR="00096D6D" w:rsidRPr="0083170B" w:rsidRDefault="00096D6D" w:rsidP="001C3DE9">
      <w:pPr>
        <w:pStyle w:val="Regulationpara"/>
      </w:pPr>
      <w:r w:rsidRPr="0083170B">
        <w:t>A description of the likely significant effects of the project on the environment resulting from, among other things—</w:t>
      </w:r>
    </w:p>
    <w:p w14:paraId="14CE114C" w14:textId="5DFED913" w:rsidR="00096D6D" w:rsidRPr="0083170B" w:rsidRDefault="00096D6D" w:rsidP="00DE19A2">
      <w:pPr>
        <w:pStyle w:val="Bulletlist2"/>
        <w:numPr>
          <w:ilvl w:val="0"/>
          <w:numId w:val="159"/>
        </w:numPr>
      </w:pPr>
      <w:r w:rsidRPr="0083170B">
        <w:lastRenderedPageBreak/>
        <w:t>the construction and existence of the project, including, where relevant, demolition works;</w:t>
      </w:r>
    </w:p>
    <w:p w14:paraId="407A4522" w14:textId="1F3517D3" w:rsidR="00096D6D" w:rsidRPr="0083170B" w:rsidRDefault="00096D6D" w:rsidP="00DE19A2">
      <w:pPr>
        <w:pStyle w:val="Bulletlist2"/>
        <w:numPr>
          <w:ilvl w:val="0"/>
          <w:numId w:val="159"/>
        </w:numPr>
      </w:pPr>
      <w:r w:rsidRPr="0083170B">
        <w:t>the use of natural resources, in particular land, soil, water and biodiversity, considering as far as possible the sustainable availability of these resources;</w:t>
      </w:r>
    </w:p>
    <w:p w14:paraId="2DBB0FDB" w14:textId="55100F7C" w:rsidR="00096D6D" w:rsidRPr="0083170B" w:rsidRDefault="00096D6D" w:rsidP="00DE19A2">
      <w:pPr>
        <w:pStyle w:val="Bulletlist2"/>
        <w:numPr>
          <w:ilvl w:val="0"/>
          <w:numId w:val="159"/>
        </w:numPr>
      </w:pPr>
      <w:r w:rsidRPr="0083170B">
        <w:t>the emission of pollutants, noise, vibration, light, heat and radiation, the creation of nuisances, and the disposal and recovery of waste;</w:t>
      </w:r>
    </w:p>
    <w:p w14:paraId="7C5C0A9D" w14:textId="3DD43B94" w:rsidR="00096D6D" w:rsidRPr="0083170B" w:rsidRDefault="00096D6D" w:rsidP="00DE19A2">
      <w:pPr>
        <w:pStyle w:val="Bulletlist2"/>
        <w:numPr>
          <w:ilvl w:val="0"/>
          <w:numId w:val="159"/>
        </w:numPr>
      </w:pPr>
      <w:r w:rsidRPr="0083170B">
        <w:t>the risks to human health, cultural heritage or the environment (for example due to accidents or disasters);</w:t>
      </w:r>
    </w:p>
    <w:p w14:paraId="721022DE" w14:textId="4AE28AB2" w:rsidR="00096D6D" w:rsidRDefault="00096D6D" w:rsidP="00DE19A2">
      <w:pPr>
        <w:pStyle w:val="Bulletlist2"/>
        <w:numPr>
          <w:ilvl w:val="0"/>
          <w:numId w:val="159"/>
        </w:numPr>
      </w:pPr>
      <w:r w:rsidRPr="0083170B">
        <w:t>the cumulation of effects with other existing or approved projects, taking into account any existing environmental problems relating to areas of particular environmental importance likely to be affected or the use of natural resources;</w:t>
      </w:r>
    </w:p>
    <w:p w14:paraId="6FEFA055" w14:textId="24FC29C6" w:rsidR="00C24CDA" w:rsidRPr="0083170B" w:rsidRDefault="00C24CDA" w:rsidP="00DE19A2">
      <w:pPr>
        <w:pStyle w:val="Bulletlist2"/>
        <w:numPr>
          <w:ilvl w:val="0"/>
          <w:numId w:val="159"/>
        </w:numPr>
      </w:pPr>
      <w:r>
        <w:t>the impact of the project on climate (for example the nature and magnitude of greenhouse gas emissions) and the vulnerability of the project to climate change;</w:t>
      </w:r>
    </w:p>
    <w:p w14:paraId="2B1E8DE1" w14:textId="008D76F2" w:rsidR="00096D6D" w:rsidRPr="0083170B" w:rsidRDefault="00096D6D" w:rsidP="00DE19A2">
      <w:pPr>
        <w:pStyle w:val="Bulletlist2"/>
        <w:numPr>
          <w:ilvl w:val="0"/>
          <w:numId w:val="159"/>
        </w:numPr>
      </w:pPr>
      <w:r w:rsidRPr="0083170B">
        <w:t>the technologies and the substances used.</w:t>
      </w:r>
    </w:p>
    <w:p w14:paraId="7FB7EC4C" w14:textId="77777777" w:rsidR="00096D6D" w:rsidRPr="0083170B" w:rsidRDefault="00096D6D" w:rsidP="00051019">
      <w:pPr>
        <w:pStyle w:val="Regulationpara"/>
        <w:numPr>
          <w:ilvl w:val="0"/>
          <w:numId w:val="0"/>
        </w:numPr>
        <w:ind w:left="714"/>
      </w:pPr>
      <w:r w:rsidRPr="0083170B">
        <w:t>The description of the likely significant effects on the factors specified in regulation 10</w:t>
      </w:r>
      <w:proofErr w:type="gramStart"/>
      <w:r w:rsidRPr="0083170B">
        <w:t>B(</w:t>
      </w:r>
      <w:proofErr w:type="gramEnd"/>
      <w:r w:rsidRPr="0083170B">
        <w:t xml:space="preserve">3) should cover the direct effects and any indirect, secondary, cumulative, transboundary, short-term, medium-term and long-term, permanent and temporary, positive and negative effects of the project. This description should </w:t>
      </w:r>
      <w:proofErr w:type="gramStart"/>
      <w:r w:rsidRPr="0083170B">
        <w:t>take into account</w:t>
      </w:r>
      <w:proofErr w:type="gramEnd"/>
      <w:r w:rsidRPr="0083170B">
        <w:t xml:space="preserve"> the environmental protection objectives established </w:t>
      </w:r>
      <w:r>
        <w:t>in retained EU law or under the law of any part of the United Kingdom</w:t>
      </w:r>
      <w:r w:rsidRPr="0083170B">
        <w:t xml:space="preserve"> which are relevant to the project.</w:t>
      </w:r>
    </w:p>
    <w:p w14:paraId="4DF12043" w14:textId="77777777" w:rsidR="00096D6D" w:rsidRPr="0083170B" w:rsidRDefault="00096D6D" w:rsidP="001C3DE9">
      <w:pPr>
        <w:pStyle w:val="Regulationpara"/>
      </w:pPr>
      <w:r w:rsidRPr="0083170B">
        <w:t>A description of the forecasting methods or evidence, used to identify and assess the significant effects on the environment, including details of difficulties (for example technical deficiencies or lack of knowledge) encountered compiling the required information and the main uncertainties involved.</w:t>
      </w:r>
    </w:p>
    <w:p w14:paraId="366F7F89" w14:textId="77777777" w:rsidR="00096D6D" w:rsidRPr="0083170B" w:rsidRDefault="00096D6D" w:rsidP="001C3DE9">
      <w:pPr>
        <w:pStyle w:val="Regulationpara"/>
      </w:pPr>
      <w:r w:rsidRPr="0083170B">
        <w:t xml:space="preserve">A description of the measures envisaged to avoid, prevent, reduce or, if possible, offset any identified significant adverse effects on the environment and, where appropriate, of any proposed monitoring arrangements (for example the preparation of a post-project analysis). That description should explain the extent, to which significant adverse effects on the environment are avoided, prevented, </w:t>
      </w:r>
      <w:proofErr w:type="gramStart"/>
      <w:r w:rsidRPr="0083170B">
        <w:t>reduced</w:t>
      </w:r>
      <w:proofErr w:type="gramEnd"/>
      <w:r w:rsidRPr="0083170B">
        <w:t xml:space="preserve"> or offset, and should cover both the construction and operational phases.</w:t>
      </w:r>
    </w:p>
    <w:p w14:paraId="6E7C7266" w14:textId="77777777" w:rsidR="00096D6D" w:rsidRPr="0083170B" w:rsidRDefault="00096D6D" w:rsidP="001C3DE9">
      <w:pPr>
        <w:pStyle w:val="Regulationpara"/>
      </w:pPr>
      <w:r w:rsidRPr="0083170B">
        <w:t xml:space="preserve">A description of the expected significant adverse effects of the project on the environment deriving from the vulnerability of the project to risks of major accidents or disasters which are relevant to the project concerned. Relevant </w:t>
      </w:r>
      <w:r w:rsidRPr="0083170B">
        <w:lastRenderedPageBreak/>
        <w:t>information available and obtained through risk assessments pursuant to</w:t>
      </w:r>
      <w:r>
        <w:t xml:space="preserve"> retained EU law such as any law that implemented</w:t>
      </w:r>
      <w:r w:rsidRPr="0083170B">
        <w:t xml:space="preserve"> the COMAH Directive or the Nuclear Safety Directive or other relevant environmental assessments may be used for this purpose provided that the requirements of </w:t>
      </w:r>
      <w:r>
        <w:t xml:space="preserve">any law that implemented </w:t>
      </w:r>
      <w:r w:rsidRPr="0083170B">
        <w:t>this Directive are met. Where appropriate, this description should include measures envisaged to prevent or mitigate the significant adverse effects of such events on the environment and details of the preparedness for and proposed response to such emergencies.</w:t>
      </w:r>
      <w:r w:rsidRPr="0083170B">
        <w:br/>
        <w:t>In this paragraph-</w:t>
      </w:r>
      <w:r w:rsidRPr="0083170B">
        <w:br/>
        <w:t>“the COMAH Directive” means Directive 2012/18/EU of the European Parliament and of the Council on the control of major-accident hazards involving dangerous substances, amending and subsequently repeali</w:t>
      </w:r>
      <w:r>
        <w:t>ng Council Directive 96/82/EC</w:t>
      </w:r>
      <w:r>
        <w:rPr>
          <w:rStyle w:val="FootnoteReference"/>
        </w:rPr>
        <w:footnoteReference w:id="13"/>
      </w:r>
      <w:r w:rsidRPr="0083170B">
        <w:t>;</w:t>
      </w:r>
    </w:p>
    <w:p w14:paraId="373DA5C5" w14:textId="77777777" w:rsidR="00096D6D" w:rsidRPr="0083170B" w:rsidRDefault="00096D6D" w:rsidP="00234F6C">
      <w:pPr>
        <w:ind w:left="720"/>
      </w:pPr>
      <w:r w:rsidRPr="0083170B">
        <w:t>“</w:t>
      </w:r>
      <w:proofErr w:type="gramStart"/>
      <w:r w:rsidRPr="0083170B">
        <w:t>the</w:t>
      </w:r>
      <w:proofErr w:type="gramEnd"/>
      <w:r w:rsidRPr="0083170B">
        <w:t xml:space="preserve"> Nuclear Safety Directive” means Council Directive 2009/71/Euratom establishing a Community framework for the nuclear safety of nucle</w:t>
      </w:r>
      <w:r>
        <w:t>ar installations</w:t>
      </w:r>
      <w:r>
        <w:rPr>
          <w:rStyle w:val="FootnoteReference"/>
        </w:rPr>
        <w:footnoteReference w:id="14"/>
      </w:r>
      <w:r w:rsidRPr="0083170B">
        <w:t xml:space="preserve"> as amended by Coun</w:t>
      </w:r>
      <w:r>
        <w:t>cil Directive 2014/87/Euratom</w:t>
      </w:r>
      <w:r>
        <w:rPr>
          <w:rStyle w:val="FootnoteReference"/>
        </w:rPr>
        <w:footnoteReference w:id="15"/>
      </w:r>
      <w:r w:rsidRPr="0083170B">
        <w:t>.</w:t>
      </w:r>
    </w:p>
    <w:p w14:paraId="530D5400" w14:textId="77777777" w:rsidR="00096D6D" w:rsidRPr="0083170B" w:rsidRDefault="00096D6D" w:rsidP="001C3DE9">
      <w:pPr>
        <w:pStyle w:val="Regulationpara"/>
      </w:pPr>
      <w:r w:rsidRPr="0083170B">
        <w:t>A non-technical summary of the information provided under paragraphs 1 to 8.</w:t>
      </w:r>
    </w:p>
    <w:p w14:paraId="415C713F" w14:textId="77777777" w:rsidR="00096D6D" w:rsidRDefault="00096D6D" w:rsidP="001C3DE9">
      <w:pPr>
        <w:pStyle w:val="Regulationpara"/>
      </w:pPr>
      <w:r w:rsidRPr="0083170B">
        <w:t>A reference list detailing the sources used for the descriptions and assessments included in the report.”</w:t>
      </w:r>
    </w:p>
    <w:p w14:paraId="76174A6D" w14:textId="77777777" w:rsidR="00AA588A" w:rsidRDefault="00AA588A">
      <w:pPr>
        <w:spacing w:after="0" w:line="240" w:lineRule="auto"/>
        <w:rPr>
          <w:color w:val="22413A"/>
          <w:sz w:val="36"/>
        </w:rPr>
      </w:pPr>
      <w:bookmarkStart w:id="303" w:name="_Toc82167022"/>
      <w:r>
        <w:br w:type="page"/>
      </w:r>
    </w:p>
    <w:p w14:paraId="2048175E" w14:textId="691C19D1" w:rsidR="00096D6D" w:rsidRDefault="00D0207C" w:rsidP="00D0207C">
      <w:pPr>
        <w:pStyle w:val="Heading2"/>
      </w:pPr>
      <w:bookmarkStart w:id="304" w:name="_Toc124416339"/>
      <w:r>
        <w:lastRenderedPageBreak/>
        <w:t>S</w:t>
      </w:r>
      <w:r w:rsidR="00096D6D">
        <w:t>chedule 2</w:t>
      </w:r>
      <w:bookmarkEnd w:id="303"/>
      <w:bookmarkEnd w:id="304"/>
    </w:p>
    <w:p w14:paraId="08B52D52" w14:textId="77777777" w:rsidR="00096D6D" w:rsidRPr="00051019" w:rsidRDefault="00096D6D" w:rsidP="00051019">
      <w:pPr>
        <w:rPr>
          <w:b/>
          <w:bCs/>
        </w:rPr>
      </w:pPr>
      <w:r w:rsidRPr="00051019">
        <w:rPr>
          <w:b/>
          <w:bCs/>
        </w:rPr>
        <w:t>Regulation 18: Schedule 2</w:t>
      </w:r>
    </w:p>
    <w:p w14:paraId="299850CC" w14:textId="77777777" w:rsidR="00096D6D" w:rsidRPr="00051019" w:rsidRDefault="00096D6D" w:rsidP="00051019">
      <w:pPr>
        <w:rPr>
          <w:b/>
          <w:bCs/>
        </w:rPr>
      </w:pPr>
      <w:r w:rsidRPr="00051019">
        <w:rPr>
          <w:b/>
          <w:bCs/>
        </w:rPr>
        <w:t>Regulations 13(2)(a) and (5)(b)</w:t>
      </w:r>
    </w:p>
    <w:p w14:paraId="536069D1" w14:textId="77777777" w:rsidR="00096D6D" w:rsidRPr="00051019" w:rsidRDefault="00096D6D" w:rsidP="00051019">
      <w:pPr>
        <w:rPr>
          <w:b/>
          <w:bCs/>
        </w:rPr>
      </w:pPr>
      <w:r w:rsidRPr="00051019">
        <w:rPr>
          <w:b/>
          <w:bCs/>
        </w:rPr>
        <w:t>Criteria for determining further assessment</w:t>
      </w:r>
    </w:p>
    <w:p w14:paraId="34C84A3F" w14:textId="77777777" w:rsidR="00096D6D" w:rsidRPr="00051019" w:rsidRDefault="00096D6D" w:rsidP="00096D6D">
      <w:pPr>
        <w:rPr>
          <w:b/>
          <w:bCs/>
        </w:rPr>
      </w:pPr>
      <w:r w:rsidRPr="00051019">
        <w:rPr>
          <w:b/>
          <w:bCs/>
        </w:rPr>
        <w:t>Characteristics of projects</w:t>
      </w:r>
    </w:p>
    <w:p w14:paraId="02D52C21" w14:textId="77777777" w:rsidR="00096D6D" w:rsidRPr="0083170B" w:rsidRDefault="00096D6D" w:rsidP="00051019">
      <w:pPr>
        <w:pStyle w:val="Regulationpara"/>
        <w:numPr>
          <w:ilvl w:val="0"/>
          <w:numId w:val="98"/>
        </w:numPr>
      </w:pPr>
      <w:r w:rsidRPr="0083170B">
        <w:t xml:space="preserve">The characteristics of projects must be considered, with </w:t>
      </w:r>
      <w:proofErr w:type="gramStart"/>
      <w:r w:rsidRPr="0083170B">
        <w:t>particular regard</w:t>
      </w:r>
      <w:proofErr w:type="gramEnd"/>
      <w:r w:rsidRPr="0083170B">
        <w:t xml:space="preserve"> to—</w:t>
      </w:r>
    </w:p>
    <w:p w14:paraId="470AAE47" w14:textId="226265FD" w:rsidR="00096D6D" w:rsidRPr="0083170B" w:rsidRDefault="00096D6D" w:rsidP="00DE19A2">
      <w:pPr>
        <w:pStyle w:val="Bulletlist2"/>
        <w:numPr>
          <w:ilvl w:val="0"/>
          <w:numId w:val="158"/>
        </w:numPr>
      </w:pPr>
      <w:r w:rsidRPr="0083170B">
        <w:t>the size and design of the whole project;</w:t>
      </w:r>
    </w:p>
    <w:p w14:paraId="7FCCADC9" w14:textId="5583F96F" w:rsidR="00096D6D" w:rsidRPr="0083170B" w:rsidRDefault="00096D6D" w:rsidP="00DE19A2">
      <w:pPr>
        <w:pStyle w:val="Bulletlist2"/>
        <w:numPr>
          <w:ilvl w:val="0"/>
          <w:numId w:val="158"/>
        </w:numPr>
      </w:pPr>
      <w:r w:rsidRPr="0083170B">
        <w:t>cumulation with other existing or approved projects;</w:t>
      </w:r>
    </w:p>
    <w:p w14:paraId="6A34009D" w14:textId="586ED33A" w:rsidR="00096D6D" w:rsidRPr="0083170B" w:rsidRDefault="00096D6D" w:rsidP="00DE19A2">
      <w:pPr>
        <w:pStyle w:val="Bulletlist2"/>
        <w:numPr>
          <w:ilvl w:val="0"/>
          <w:numId w:val="158"/>
        </w:numPr>
      </w:pPr>
      <w:r w:rsidRPr="0083170B">
        <w:t>the use of natural resources, in particular land, soil, water and biodiversity;</w:t>
      </w:r>
    </w:p>
    <w:p w14:paraId="680865F8" w14:textId="287AA33C" w:rsidR="00096D6D" w:rsidRPr="0083170B" w:rsidRDefault="00096D6D" w:rsidP="00DE19A2">
      <w:pPr>
        <w:pStyle w:val="Bulletlist2"/>
        <w:numPr>
          <w:ilvl w:val="0"/>
          <w:numId w:val="158"/>
        </w:numPr>
      </w:pPr>
      <w:r w:rsidRPr="0083170B">
        <w:t>the production of waste;</w:t>
      </w:r>
    </w:p>
    <w:p w14:paraId="253CBA41" w14:textId="44A37036" w:rsidR="00096D6D" w:rsidRPr="0083170B" w:rsidRDefault="00096D6D" w:rsidP="00DE19A2">
      <w:pPr>
        <w:pStyle w:val="Bulletlist2"/>
        <w:numPr>
          <w:ilvl w:val="0"/>
          <w:numId w:val="158"/>
        </w:numPr>
      </w:pPr>
      <w:r w:rsidRPr="0083170B">
        <w:t>pollution and nuisances;</w:t>
      </w:r>
    </w:p>
    <w:p w14:paraId="25C21D51" w14:textId="28A2CC8C" w:rsidR="00096D6D" w:rsidRPr="0083170B" w:rsidRDefault="00096D6D" w:rsidP="00DE19A2">
      <w:pPr>
        <w:pStyle w:val="Bulletlist2"/>
        <w:numPr>
          <w:ilvl w:val="0"/>
          <w:numId w:val="158"/>
        </w:numPr>
      </w:pPr>
      <w:r w:rsidRPr="0083170B">
        <w:t>the risk of major accidents or disasters which are relevant to the project concerned, including those caused by climate change, in accordance with scientific knowledge;</w:t>
      </w:r>
    </w:p>
    <w:p w14:paraId="22EB6DC4" w14:textId="2E1EA83D" w:rsidR="00096D6D" w:rsidRPr="0083170B" w:rsidRDefault="00096D6D" w:rsidP="00DE19A2">
      <w:pPr>
        <w:pStyle w:val="Bulletlist2"/>
        <w:numPr>
          <w:ilvl w:val="0"/>
          <w:numId w:val="158"/>
        </w:numPr>
      </w:pPr>
      <w:r w:rsidRPr="0083170B">
        <w:t>the risks to human health (for example due to water contamination or air pollution).</w:t>
      </w:r>
    </w:p>
    <w:p w14:paraId="47ABEA04" w14:textId="77777777" w:rsidR="00096D6D" w:rsidRPr="00051019" w:rsidRDefault="00096D6D" w:rsidP="00096D6D">
      <w:pPr>
        <w:rPr>
          <w:b/>
          <w:bCs/>
        </w:rPr>
      </w:pPr>
      <w:r w:rsidRPr="00051019">
        <w:rPr>
          <w:b/>
          <w:bCs/>
        </w:rPr>
        <w:t>Location of projects</w:t>
      </w:r>
    </w:p>
    <w:p w14:paraId="293D88A0" w14:textId="77777777" w:rsidR="00096D6D" w:rsidRPr="0083170B" w:rsidRDefault="00096D6D" w:rsidP="00051019">
      <w:pPr>
        <w:pStyle w:val="Regulationpara"/>
      </w:pPr>
      <w:r w:rsidRPr="0083170B">
        <w:t xml:space="preserve">The environmental sensitivity of geographical areas likely to be affected by projects must be considered, with </w:t>
      </w:r>
      <w:proofErr w:type="gramStart"/>
      <w:r w:rsidRPr="0083170B">
        <w:t>particular regard</w:t>
      </w:r>
      <w:proofErr w:type="gramEnd"/>
      <w:r w:rsidRPr="0083170B">
        <w:t xml:space="preserve"> to—</w:t>
      </w:r>
    </w:p>
    <w:p w14:paraId="38AF2E8D" w14:textId="77777777" w:rsidR="00096D6D" w:rsidRPr="0083170B" w:rsidRDefault="00096D6D" w:rsidP="00DE19A2">
      <w:pPr>
        <w:pStyle w:val="Bulletlist2"/>
        <w:numPr>
          <w:ilvl w:val="0"/>
          <w:numId w:val="161"/>
        </w:numPr>
      </w:pPr>
      <w:r w:rsidRPr="0083170B">
        <w:t>the existing and approved land use;</w:t>
      </w:r>
    </w:p>
    <w:p w14:paraId="3399BB8D" w14:textId="77777777" w:rsidR="00096D6D" w:rsidRPr="0083170B" w:rsidRDefault="00096D6D" w:rsidP="00DE19A2">
      <w:pPr>
        <w:pStyle w:val="Bulletlist2"/>
        <w:numPr>
          <w:ilvl w:val="0"/>
          <w:numId w:val="161"/>
        </w:numPr>
      </w:pPr>
      <w:r w:rsidRPr="0083170B">
        <w:t>the relative abundance, availability, quality and regenerative capacity of natural resources (including soil, land, water and biodiversity) in the area and its underground;</w:t>
      </w:r>
    </w:p>
    <w:p w14:paraId="2BBCF261" w14:textId="77777777" w:rsidR="00096D6D" w:rsidRPr="0083170B" w:rsidRDefault="00096D6D" w:rsidP="00DE19A2">
      <w:pPr>
        <w:pStyle w:val="Bulletlist2"/>
        <w:numPr>
          <w:ilvl w:val="0"/>
          <w:numId w:val="161"/>
        </w:numPr>
      </w:pPr>
      <w:r w:rsidRPr="0083170B">
        <w:t>the absorption capacity of the natural environment, paying particular attention to the following areas—</w:t>
      </w:r>
    </w:p>
    <w:p w14:paraId="0AAB4B22" w14:textId="77777777" w:rsidR="00096D6D" w:rsidRPr="0083170B" w:rsidRDefault="00096D6D" w:rsidP="003146A6">
      <w:pPr>
        <w:pStyle w:val="ListParagraph"/>
        <w:numPr>
          <w:ilvl w:val="0"/>
          <w:numId w:val="68"/>
        </w:numPr>
        <w:spacing w:after="200" w:line="276" w:lineRule="auto"/>
        <w:ind w:left="1797" w:hanging="357"/>
      </w:pPr>
      <w:r w:rsidRPr="0083170B">
        <w:t xml:space="preserve">wetlands, riparian areas, river </w:t>
      </w:r>
      <w:proofErr w:type="gramStart"/>
      <w:r w:rsidRPr="0083170B">
        <w:t>mouths;</w:t>
      </w:r>
      <w:proofErr w:type="gramEnd"/>
    </w:p>
    <w:p w14:paraId="686E0D4C" w14:textId="77777777" w:rsidR="00096D6D" w:rsidRPr="0083170B" w:rsidRDefault="00096D6D" w:rsidP="003146A6">
      <w:pPr>
        <w:pStyle w:val="ListParagraph"/>
        <w:numPr>
          <w:ilvl w:val="0"/>
          <w:numId w:val="68"/>
        </w:numPr>
        <w:spacing w:after="200" w:line="276" w:lineRule="auto"/>
        <w:ind w:left="1797" w:hanging="357"/>
      </w:pPr>
      <w:r w:rsidRPr="0083170B">
        <w:t xml:space="preserve">coastal zones and the marine </w:t>
      </w:r>
      <w:proofErr w:type="gramStart"/>
      <w:r w:rsidRPr="0083170B">
        <w:t>environment;</w:t>
      </w:r>
      <w:proofErr w:type="gramEnd"/>
    </w:p>
    <w:p w14:paraId="6101146B" w14:textId="77777777" w:rsidR="00096D6D" w:rsidRPr="0083170B" w:rsidRDefault="00096D6D" w:rsidP="003146A6">
      <w:pPr>
        <w:pStyle w:val="ListParagraph"/>
        <w:numPr>
          <w:ilvl w:val="0"/>
          <w:numId w:val="68"/>
        </w:numPr>
        <w:spacing w:after="200" w:line="276" w:lineRule="auto"/>
        <w:ind w:left="1797" w:hanging="357"/>
      </w:pPr>
      <w:r w:rsidRPr="0083170B">
        <w:t xml:space="preserve">mountain and forest </w:t>
      </w:r>
      <w:proofErr w:type="gramStart"/>
      <w:r w:rsidRPr="0083170B">
        <w:t>areas;</w:t>
      </w:r>
      <w:proofErr w:type="gramEnd"/>
    </w:p>
    <w:p w14:paraId="017937B9" w14:textId="77777777" w:rsidR="00096D6D" w:rsidRPr="0083170B" w:rsidRDefault="00096D6D" w:rsidP="003146A6">
      <w:pPr>
        <w:pStyle w:val="ListParagraph"/>
        <w:numPr>
          <w:ilvl w:val="0"/>
          <w:numId w:val="68"/>
        </w:numPr>
        <w:spacing w:after="200" w:line="276" w:lineRule="auto"/>
        <w:ind w:left="1797" w:hanging="357"/>
      </w:pPr>
      <w:r w:rsidRPr="0083170B">
        <w:t xml:space="preserve">nature reserves and </w:t>
      </w:r>
      <w:proofErr w:type="gramStart"/>
      <w:r w:rsidRPr="0083170B">
        <w:t>parks;</w:t>
      </w:r>
      <w:proofErr w:type="gramEnd"/>
    </w:p>
    <w:p w14:paraId="225B686F" w14:textId="77777777" w:rsidR="00096D6D" w:rsidRPr="0083170B" w:rsidRDefault="00096D6D" w:rsidP="003146A6">
      <w:pPr>
        <w:pStyle w:val="ListParagraph"/>
        <w:numPr>
          <w:ilvl w:val="0"/>
          <w:numId w:val="68"/>
        </w:numPr>
        <w:spacing w:after="200" w:line="276" w:lineRule="auto"/>
        <w:ind w:left="1797" w:hanging="357"/>
      </w:pPr>
      <w:r w:rsidRPr="0083170B">
        <w:lastRenderedPageBreak/>
        <w:t xml:space="preserve">areas classified or protected under national legislation; Natura 2000 areas designated by Member States pursuant to the Habitats Directive and the Wild Birds </w:t>
      </w:r>
      <w:proofErr w:type="gramStart"/>
      <w:r w:rsidRPr="0083170B">
        <w:t>Directive;</w:t>
      </w:r>
      <w:proofErr w:type="gramEnd"/>
    </w:p>
    <w:p w14:paraId="27C234F5" w14:textId="77777777" w:rsidR="00096D6D" w:rsidRPr="0083170B" w:rsidRDefault="00096D6D" w:rsidP="003146A6">
      <w:pPr>
        <w:pStyle w:val="ListParagraph"/>
        <w:numPr>
          <w:ilvl w:val="0"/>
          <w:numId w:val="68"/>
        </w:numPr>
        <w:spacing w:after="200" w:line="276" w:lineRule="auto"/>
        <w:ind w:left="1797" w:hanging="357"/>
      </w:pPr>
      <w:r w:rsidRPr="0083170B">
        <w:t xml:space="preserve">areas in which there has already been a failure to meet the environmental quality standards, laid down in European Union legislation </w:t>
      </w:r>
      <w:r>
        <w:t xml:space="preserve">as it applied in the United Kingdom immediately before exit day, or in retained EU law </w:t>
      </w:r>
      <w:r w:rsidRPr="0083170B">
        <w:t xml:space="preserve">and relevant to the project, or in which it is considered that there is such a </w:t>
      </w:r>
      <w:proofErr w:type="gramStart"/>
      <w:r w:rsidRPr="0083170B">
        <w:t>failure;</w:t>
      </w:r>
      <w:proofErr w:type="gramEnd"/>
    </w:p>
    <w:p w14:paraId="607656AF" w14:textId="77777777" w:rsidR="00096D6D" w:rsidRPr="0083170B" w:rsidRDefault="00096D6D" w:rsidP="003146A6">
      <w:pPr>
        <w:pStyle w:val="ListParagraph"/>
        <w:numPr>
          <w:ilvl w:val="0"/>
          <w:numId w:val="68"/>
        </w:numPr>
        <w:spacing w:after="200" w:line="276" w:lineRule="auto"/>
        <w:ind w:left="1797" w:hanging="357"/>
      </w:pPr>
      <w:r w:rsidRPr="0083170B">
        <w:t xml:space="preserve">densely populated </w:t>
      </w:r>
      <w:proofErr w:type="gramStart"/>
      <w:r w:rsidRPr="0083170B">
        <w:t>areas;</w:t>
      </w:r>
      <w:proofErr w:type="gramEnd"/>
    </w:p>
    <w:p w14:paraId="36E85832" w14:textId="77777777" w:rsidR="00096D6D" w:rsidRPr="0083170B" w:rsidRDefault="00096D6D" w:rsidP="003146A6">
      <w:pPr>
        <w:pStyle w:val="ListParagraph"/>
        <w:numPr>
          <w:ilvl w:val="0"/>
          <w:numId w:val="68"/>
        </w:numPr>
        <w:spacing w:after="200" w:line="276" w:lineRule="auto"/>
        <w:ind w:left="1797" w:hanging="357"/>
      </w:pPr>
      <w:r w:rsidRPr="0083170B">
        <w:t xml:space="preserve">landscapes and sites of historical, </w:t>
      </w:r>
      <w:proofErr w:type="gramStart"/>
      <w:r w:rsidRPr="0083170B">
        <w:t>cultural</w:t>
      </w:r>
      <w:proofErr w:type="gramEnd"/>
      <w:r w:rsidRPr="0083170B">
        <w:t xml:space="preserve"> or archaeological significance.</w:t>
      </w:r>
    </w:p>
    <w:p w14:paraId="0A8C4571" w14:textId="77777777" w:rsidR="00096D6D" w:rsidRPr="00051019" w:rsidRDefault="00096D6D" w:rsidP="00096D6D">
      <w:pPr>
        <w:rPr>
          <w:b/>
          <w:bCs/>
        </w:rPr>
      </w:pPr>
      <w:r w:rsidRPr="00051019">
        <w:rPr>
          <w:b/>
          <w:bCs/>
        </w:rPr>
        <w:t>Type and characteristics of the potential impact</w:t>
      </w:r>
    </w:p>
    <w:p w14:paraId="4250BA45" w14:textId="77777777" w:rsidR="00096D6D" w:rsidRPr="0083170B" w:rsidRDefault="00096D6D" w:rsidP="00051019">
      <w:pPr>
        <w:pStyle w:val="Regulationpara"/>
        <w:rPr>
          <w:u w:val="single"/>
        </w:rPr>
      </w:pPr>
      <w:r w:rsidRPr="0083170B">
        <w:t>The likely significant effects of projects on the environment must be considered in relation to criteria set out in paragraphs 1 and 2, with regard to the impact of the project on the factors specified in regulation 10</w:t>
      </w:r>
      <w:proofErr w:type="gramStart"/>
      <w:r w:rsidRPr="0083170B">
        <w:t>B(</w:t>
      </w:r>
      <w:proofErr w:type="gramEnd"/>
      <w:r w:rsidRPr="0083170B">
        <w:t>3), taking into account—</w:t>
      </w:r>
    </w:p>
    <w:p w14:paraId="2E06C814" w14:textId="77777777" w:rsidR="00096D6D" w:rsidRPr="00B97F5D" w:rsidRDefault="00096D6D" w:rsidP="00DE19A2">
      <w:pPr>
        <w:pStyle w:val="Bulletlist2"/>
        <w:numPr>
          <w:ilvl w:val="0"/>
          <w:numId w:val="163"/>
        </w:numPr>
      </w:pPr>
      <w:r w:rsidRPr="0083170B">
        <w:t xml:space="preserve">the magnitude </w:t>
      </w:r>
      <w:r w:rsidRPr="00B97F5D">
        <w:t>and spatial extent of the impact (for example geographical area and size of the population likely to be affected);</w:t>
      </w:r>
    </w:p>
    <w:p w14:paraId="55366707" w14:textId="77777777" w:rsidR="00096D6D" w:rsidRPr="00B97F5D" w:rsidRDefault="00096D6D" w:rsidP="00DE19A2">
      <w:pPr>
        <w:pStyle w:val="Bulletlist2"/>
        <w:numPr>
          <w:ilvl w:val="0"/>
          <w:numId w:val="163"/>
        </w:numPr>
      </w:pPr>
      <w:r w:rsidRPr="00B97F5D">
        <w:t>the nature of the impact;</w:t>
      </w:r>
    </w:p>
    <w:p w14:paraId="231B677D" w14:textId="77777777" w:rsidR="00096D6D" w:rsidRPr="00B97F5D" w:rsidRDefault="00096D6D" w:rsidP="00DE19A2">
      <w:pPr>
        <w:pStyle w:val="Bulletlist2"/>
        <w:numPr>
          <w:ilvl w:val="0"/>
          <w:numId w:val="163"/>
        </w:numPr>
      </w:pPr>
      <w:r w:rsidRPr="00B97F5D">
        <w:t>the transboundary nature of the impact;</w:t>
      </w:r>
    </w:p>
    <w:p w14:paraId="6D5DE81F" w14:textId="77777777" w:rsidR="00096D6D" w:rsidRPr="00B97F5D" w:rsidRDefault="00096D6D" w:rsidP="00DE19A2">
      <w:pPr>
        <w:pStyle w:val="Bulletlist2"/>
        <w:numPr>
          <w:ilvl w:val="0"/>
          <w:numId w:val="163"/>
        </w:numPr>
      </w:pPr>
      <w:r w:rsidRPr="00B97F5D">
        <w:t>the intensity and complexity of the impact;</w:t>
      </w:r>
    </w:p>
    <w:p w14:paraId="469ED291" w14:textId="77777777" w:rsidR="00096D6D" w:rsidRPr="00B97F5D" w:rsidRDefault="00096D6D" w:rsidP="00DE19A2">
      <w:pPr>
        <w:pStyle w:val="Bulletlist2"/>
        <w:numPr>
          <w:ilvl w:val="0"/>
          <w:numId w:val="163"/>
        </w:numPr>
      </w:pPr>
      <w:r w:rsidRPr="00B97F5D">
        <w:t>the probability of the impact;</w:t>
      </w:r>
    </w:p>
    <w:p w14:paraId="5600CE54" w14:textId="77777777" w:rsidR="00096D6D" w:rsidRPr="00B97F5D" w:rsidRDefault="00096D6D" w:rsidP="00DE19A2">
      <w:pPr>
        <w:pStyle w:val="Bulletlist2"/>
        <w:numPr>
          <w:ilvl w:val="0"/>
          <w:numId w:val="163"/>
        </w:numPr>
      </w:pPr>
      <w:r w:rsidRPr="00B97F5D">
        <w:t>the expected onset, duration, frequency and reversibility of the impact;</w:t>
      </w:r>
    </w:p>
    <w:p w14:paraId="77F85B8E" w14:textId="77777777" w:rsidR="00096D6D" w:rsidRPr="00B97F5D" w:rsidRDefault="00096D6D" w:rsidP="00DE19A2">
      <w:pPr>
        <w:pStyle w:val="Bulletlist2"/>
        <w:numPr>
          <w:ilvl w:val="0"/>
          <w:numId w:val="163"/>
        </w:numPr>
      </w:pPr>
      <w:r w:rsidRPr="00B97F5D">
        <w:t>the cumulation of the impact with the impact of other existing or approved projects;</w:t>
      </w:r>
    </w:p>
    <w:p w14:paraId="0DDD5E22" w14:textId="77777777" w:rsidR="00096D6D" w:rsidRPr="00DE19A2" w:rsidRDefault="00096D6D" w:rsidP="00DE19A2">
      <w:pPr>
        <w:pStyle w:val="Bulletlist2"/>
        <w:numPr>
          <w:ilvl w:val="0"/>
          <w:numId w:val="163"/>
        </w:numPr>
      </w:pPr>
      <w:r w:rsidRPr="00B97F5D">
        <w:t>the possibility</w:t>
      </w:r>
      <w:r w:rsidRPr="0083170B">
        <w:t xml:space="preserve"> of effectively reducing the impact.”</w:t>
      </w:r>
    </w:p>
    <w:p w14:paraId="2AC9AF71" w14:textId="77777777" w:rsidR="00C24CDA" w:rsidRDefault="00C24CDA">
      <w:pPr>
        <w:spacing w:after="0" w:line="240" w:lineRule="auto"/>
        <w:rPr>
          <w:color w:val="22413A"/>
          <w:sz w:val="36"/>
        </w:rPr>
      </w:pPr>
      <w:bookmarkStart w:id="305" w:name="_Toc82167023"/>
      <w:r>
        <w:br w:type="page"/>
      </w:r>
    </w:p>
    <w:p w14:paraId="0B5E3CA2" w14:textId="00A3E660" w:rsidR="00096D6D" w:rsidRDefault="00096D6D" w:rsidP="00D0207C">
      <w:pPr>
        <w:pStyle w:val="Heading2"/>
      </w:pPr>
      <w:bookmarkStart w:id="306" w:name="_Toc124416340"/>
      <w:r>
        <w:lastRenderedPageBreak/>
        <w:t>Schedule 3</w:t>
      </w:r>
      <w:bookmarkEnd w:id="305"/>
      <w:bookmarkEnd w:id="306"/>
    </w:p>
    <w:p w14:paraId="3948DB4F" w14:textId="77777777" w:rsidR="00096D6D" w:rsidRPr="00051019" w:rsidRDefault="00096D6D" w:rsidP="00051019">
      <w:pPr>
        <w:rPr>
          <w:b/>
          <w:bCs/>
        </w:rPr>
      </w:pPr>
      <w:r w:rsidRPr="00051019">
        <w:rPr>
          <w:b/>
          <w:bCs/>
        </w:rPr>
        <w:t>Regulation 19: Schedule 3</w:t>
      </w:r>
    </w:p>
    <w:p w14:paraId="3B123D7A" w14:textId="77777777" w:rsidR="00096D6D" w:rsidRPr="00051019" w:rsidRDefault="00096D6D" w:rsidP="00051019">
      <w:pPr>
        <w:rPr>
          <w:b/>
          <w:bCs/>
        </w:rPr>
      </w:pPr>
      <w:r w:rsidRPr="00051019">
        <w:rPr>
          <w:b/>
          <w:bCs/>
        </w:rPr>
        <w:t>Regulations 13(3)</w:t>
      </w:r>
    </w:p>
    <w:p w14:paraId="45CD5653" w14:textId="77777777" w:rsidR="00096D6D" w:rsidRPr="00051019" w:rsidRDefault="00096D6D" w:rsidP="00051019">
      <w:pPr>
        <w:rPr>
          <w:b/>
          <w:bCs/>
        </w:rPr>
      </w:pPr>
      <w:r w:rsidRPr="00051019">
        <w:rPr>
          <w:b/>
          <w:bCs/>
        </w:rPr>
        <w:t>Change to or extension of project: information required</w:t>
      </w:r>
    </w:p>
    <w:p w14:paraId="7175824B" w14:textId="77777777" w:rsidR="00096D6D" w:rsidRPr="0083170B" w:rsidRDefault="00096D6D" w:rsidP="00051019">
      <w:pPr>
        <w:pStyle w:val="Regulationpara"/>
        <w:numPr>
          <w:ilvl w:val="0"/>
          <w:numId w:val="99"/>
        </w:numPr>
      </w:pPr>
      <w:r w:rsidRPr="0083170B">
        <w:t>A description of the project, including in particular—</w:t>
      </w:r>
    </w:p>
    <w:p w14:paraId="441476C6" w14:textId="77777777" w:rsidR="00096D6D" w:rsidRPr="0083170B" w:rsidRDefault="00096D6D" w:rsidP="003146A6">
      <w:pPr>
        <w:pStyle w:val="ListParagraph"/>
        <w:numPr>
          <w:ilvl w:val="0"/>
          <w:numId w:val="69"/>
        </w:numPr>
        <w:spacing w:after="200" w:line="276" w:lineRule="auto"/>
        <w:ind w:left="1083" w:hanging="357"/>
      </w:pPr>
      <w:r w:rsidRPr="0083170B">
        <w:t xml:space="preserve">a description of the physical characteristics of the whole project and, where relevant, of demolition </w:t>
      </w:r>
      <w:proofErr w:type="gramStart"/>
      <w:r w:rsidRPr="0083170B">
        <w:t>works;</w:t>
      </w:r>
      <w:proofErr w:type="gramEnd"/>
    </w:p>
    <w:p w14:paraId="601D69C3" w14:textId="77777777" w:rsidR="00096D6D" w:rsidRPr="0083170B" w:rsidRDefault="00096D6D" w:rsidP="003146A6">
      <w:pPr>
        <w:pStyle w:val="ListParagraph"/>
        <w:numPr>
          <w:ilvl w:val="0"/>
          <w:numId w:val="69"/>
        </w:numPr>
        <w:spacing w:after="200" w:line="276" w:lineRule="auto"/>
        <w:ind w:left="1083" w:hanging="357"/>
        <w:contextualSpacing w:val="0"/>
      </w:pPr>
      <w:r w:rsidRPr="0083170B">
        <w:t xml:space="preserve">a description of the location of the project, with </w:t>
      </w:r>
      <w:proofErr w:type="gramStart"/>
      <w:r w:rsidRPr="0083170B">
        <w:t>particular regard</w:t>
      </w:r>
      <w:proofErr w:type="gramEnd"/>
      <w:r w:rsidRPr="0083170B">
        <w:t xml:space="preserve"> to the environmental sensitivity of geographical areas likely to be affected.</w:t>
      </w:r>
    </w:p>
    <w:p w14:paraId="636F43E4" w14:textId="77777777" w:rsidR="00096D6D" w:rsidRPr="0083170B" w:rsidRDefault="00096D6D" w:rsidP="00051019">
      <w:pPr>
        <w:pStyle w:val="Regulationpara"/>
      </w:pPr>
      <w:r w:rsidRPr="0083170B">
        <w:t>A description of the aspects of the environment likely to be significantly affected by the project.</w:t>
      </w:r>
    </w:p>
    <w:p w14:paraId="3E8C6ACE" w14:textId="77777777" w:rsidR="00096D6D" w:rsidRPr="0083170B" w:rsidRDefault="00096D6D" w:rsidP="00051019">
      <w:pPr>
        <w:pStyle w:val="Regulationpara"/>
      </w:pPr>
      <w:r w:rsidRPr="0083170B">
        <w:t>A description of any likely significant effects, to the extent of the information available on such effects, of the project on the environment resulting from—</w:t>
      </w:r>
    </w:p>
    <w:p w14:paraId="2BEA26AC" w14:textId="77777777" w:rsidR="00096D6D" w:rsidRPr="0083170B" w:rsidRDefault="00096D6D" w:rsidP="003146A6">
      <w:pPr>
        <w:pStyle w:val="ListParagraph"/>
        <w:numPr>
          <w:ilvl w:val="0"/>
          <w:numId w:val="70"/>
        </w:numPr>
        <w:spacing w:after="200" w:line="276" w:lineRule="auto"/>
        <w:ind w:left="1083" w:hanging="357"/>
      </w:pPr>
      <w:r w:rsidRPr="0083170B">
        <w:t xml:space="preserve">the expected residues and emissions and the production of waste, where </w:t>
      </w:r>
      <w:proofErr w:type="gramStart"/>
      <w:r w:rsidRPr="0083170B">
        <w:t>relevant;</w:t>
      </w:r>
      <w:proofErr w:type="gramEnd"/>
    </w:p>
    <w:p w14:paraId="50DA530C" w14:textId="77777777" w:rsidR="00096D6D" w:rsidRPr="0083170B" w:rsidRDefault="00096D6D" w:rsidP="003146A6">
      <w:pPr>
        <w:pStyle w:val="ListParagraph"/>
        <w:numPr>
          <w:ilvl w:val="0"/>
          <w:numId w:val="70"/>
        </w:numPr>
        <w:spacing w:after="200" w:line="276" w:lineRule="auto"/>
        <w:ind w:left="1083" w:hanging="357"/>
        <w:contextualSpacing w:val="0"/>
      </w:pPr>
      <w:r w:rsidRPr="0083170B">
        <w:t xml:space="preserve">the use of natural resources, in particular soil, land, </w:t>
      </w:r>
      <w:proofErr w:type="gramStart"/>
      <w:r w:rsidRPr="0083170B">
        <w:t>water</w:t>
      </w:r>
      <w:proofErr w:type="gramEnd"/>
      <w:r w:rsidRPr="0083170B">
        <w:t xml:space="preserve"> and biodiversity.</w:t>
      </w:r>
    </w:p>
    <w:p w14:paraId="62B0E6E6" w14:textId="77777777" w:rsidR="00096D6D" w:rsidRDefault="00096D6D" w:rsidP="00051019">
      <w:pPr>
        <w:pStyle w:val="Regulationpara"/>
      </w:pPr>
      <w:r w:rsidRPr="0083170B">
        <w:t xml:space="preserve">The criteria of Schedule 2 shall be </w:t>
      </w:r>
      <w:proofErr w:type="gramStart"/>
      <w:r w:rsidRPr="0083170B">
        <w:t>taken into account</w:t>
      </w:r>
      <w:proofErr w:type="gramEnd"/>
      <w:r w:rsidRPr="0083170B">
        <w:t>, where relevant, when compiling the information in accordance with paragraphs 1 to 3.”</w:t>
      </w:r>
    </w:p>
    <w:p w14:paraId="658C51C2" w14:textId="77777777" w:rsidR="00051019" w:rsidRDefault="00051019" w:rsidP="00B97F5D">
      <w:pPr>
        <w:pStyle w:val="Heading1"/>
        <w:sectPr w:rsidR="00051019" w:rsidSect="002E24C8">
          <w:pgSz w:w="11906" w:h="16838" w:code="9"/>
          <w:pgMar w:top="1440" w:right="1440" w:bottom="1440" w:left="1440" w:header="397" w:footer="397" w:gutter="0"/>
          <w:cols w:space="312"/>
          <w:docGrid w:linePitch="360"/>
        </w:sectPr>
      </w:pPr>
      <w:bookmarkStart w:id="307" w:name="_Toc82167024"/>
    </w:p>
    <w:p w14:paraId="3289316A" w14:textId="7C776BEB" w:rsidR="00096D6D" w:rsidRDefault="00096D6D" w:rsidP="00D0207C">
      <w:pPr>
        <w:pStyle w:val="Heading2"/>
        <w:ind w:left="0" w:firstLine="0"/>
      </w:pPr>
      <w:bookmarkStart w:id="308" w:name="_Toc124416341"/>
      <w:r>
        <w:lastRenderedPageBreak/>
        <w:t>Amendment to the Town and Country Planning (Environmental Impact Assessment) Regulations 2017</w:t>
      </w:r>
      <w:bookmarkEnd w:id="307"/>
      <w:bookmarkEnd w:id="308"/>
    </w:p>
    <w:p w14:paraId="0C7414A1" w14:textId="28A208A4" w:rsidR="00B97F5D" w:rsidRDefault="00884BD0" w:rsidP="00051019">
      <w:r w:rsidRPr="0083170B">
        <w:t>In the Town and Country Planning (Environmental Impact Assessment) Regulations 2017</w:t>
      </w:r>
      <w:r w:rsidRPr="0083170B">
        <w:rPr>
          <w:vertAlign w:val="superscript"/>
        </w:rPr>
        <w:footnoteReference w:id="16"/>
      </w:r>
      <w:r w:rsidRPr="0083170B">
        <w:t>, in Schedule 1 (descriptions of development for the purposes of the definition of “Schedule 1 development”), in the paragraph headed “Interpretation”, in the definition of “nuclear power station” and “other nuclear reactor” after “nuclear reactor is” insert “not”.</w:t>
      </w:r>
    </w:p>
    <w:p w14:paraId="1E1CF735" w14:textId="1152DAC7" w:rsidR="00096D6D" w:rsidRDefault="00096D6D" w:rsidP="00D0207C">
      <w:pPr>
        <w:pStyle w:val="Heading2"/>
        <w:ind w:left="0" w:firstLine="0"/>
      </w:pPr>
      <w:bookmarkStart w:id="309" w:name="_Toc82167025"/>
      <w:bookmarkStart w:id="310" w:name="_Toc124416342"/>
      <w:r>
        <w:t>Amendment to the Infrastructure Planning (Environmental Impact Assessment) Regulations 2017</w:t>
      </w:r>
      <w:bookmarkEnd w:id="309"/>
      <w:bookmarkEnd w:id="310"/>
    </w:p>
    <w:p w14:paraId="04A88125" w14:textId="77777777" w:rsidR="002968C1" w:rsidRPr="0083170B" w:rsidRDefault="002968C1" w:rsidP="002968C1">
      <w:r w:rsidRPr="0083170B">
        <w:t>In the Infrastructure Planning (Environmental Impact Assessment) Regulations 2017</w:t>
      </w:r>
      <w:r w:rsidRPr="0083170B">
        <w:rPr>
          <w:vertAlign w:val="superscript"/>
        </w:rPr>
        <w:footnoteReference w:id="17"/>
      </w:r>
      <w:r w:rsidRPr="0083170B">
        <w:t>, in Schedule 1 (descriptions of development for the purposes of the definition of “Schedule 1 development”), in the paragraph headed “Interpretation”, in the definition of “nuclear power station” and “other nuclear reactor” after “nuclear reactor is” insert “not”.</w:t>
      </w:r>
    </w:p>
    <w:p w14:paraId="329FB9CB" w14:textId="77777777" w:rsidR="00884BD0" w:rsidRPr="00884BD0" w:rsidRDefault="00884BD0" w:rsidP="00884BD0"/>
    <w:p w14:paraId="2D6C62EB" w14:textId="77777777" w:rsidR="00096D6D" w:rsidRPr="00096D6D" w:rsidRDefault="00096D6D" w:rsidP="00096D6D"/>
    <w:p w14:paraId="6A700B43" w14:textId="77777777" w:rsidR="00ED318D" w:rsidRPr="00ED318D" w:rsidRDefault="00ED318D" w:rsidP="00ED318D"/>
    <w:p w14:paraId="5A0995CD" w14:textId="77777777" w:rsidR="00485A4A" w:rsidRPr="00485A4A" w:rsidRDefault="00485A4A" w:rsidP="00485A4A"/>
    <w:p w14:paraId="4900ED35" w14:textId="5174F54B" w:rsidR="00364843" w:rsidRPr="00364843" w:rsidRDefault="00364843" w:rsidP="00364843">
      <w:pPr>
        <w:sectPr w:rsidR="00364843" w:rsidRPr="00364843" w:rsidSect="002E24C8">
          <w:pgSz w:w="11906" w:h="16838" w:code="9"/>
          <w:pgMar w:top="1440" w:right="1440" w:bottom="1440" w:left="1440" w:header="397" w:footer="397" w:gutter="0"/>
          <w:cols w:space="312"/>
          <w:docGrid w:linePitch="360"/>
        </w:sectPr>
      </w:pPr>
    </w:p>
    <w:p w14:paraId="6ACB544E" w14:textId="77777777" w:rsidR="00051019" w:rsidRDefault="00051019" w:rsidP="00FA33FE">
      <w:pPr>
        <w:pStyle w:val="Heading1"/>
        <w:numPr>
          <w:ilvl w:val="0"/>
          <w:numId w:val="0"/>
        </w:numPr>
        <w:ind w:left="851" w:hanging="851"/>
        <w:rPr>
          <w:color w:val="auto"/>
          <w:sz w:val="24"/>
        </w:rPr>
        <w:sectPr w:rsidR="00051019" w:rsidSect="00652F10">
          <w:type w:val="continuous"/>
          <w:pgSz w:w="11906" w:h="16838" w:code="9"/>
          <w:pgMar w:top="1440" w:right="1440" w:bottom="1440" w:left="1440" w:header="397" w:footer="397" w:gutter="0"/>
          <w:cols w:space="312"/>
          <w:docGrid w:linePitch="360"/>
        </w:sectPr>
      </w:pPr>
    </w:p>
    <w:p w14:paraId="54F63C57" w14:textId="77777777" w:rsidR="00136E45" w:rsidRDefault="009E0E52" w:rsidP="00FA33FE">
      <w:pPr>
        <w:pStyle w:val="Heading1"/>
        <w:numPr>
          <w:ilvl w:val="0"/>
          <w:numId w:val="0"/>
        </w:numPr>
      </w:pPr>
      <w:bookmarkStart w:id="311" w:name="_Toc124416343"/>
      <w:r>
        <w:lastRenderedPageBreak/>
        <w:t xml:space="preserve">Appendix </w:t>
      </w:r>
      <w:r w:rsidR="00364843">
        <w:t>1 – EIADR Process Flowchart</w:t>
      </w:r>
      <w:bookmarkEnd w:id="311"/>
      <w:r w:rsidR="00364843">
        <w:tab/>
      </w:r>
    </w:p>
    <w:p w14:paraId="5281FED2" w14:textId="77777777" w:rsidR="00136E45" w:rsidRDefault="00136E45" w:rsidP="00136E45">
      <w:pPr>
        <w:pStyle w:val="Regulationpara"/>
        <w:keepNext/>
        <w:numPr>
          <w:ilvl w:val="0"/>
          <w:numId w:val="0"/>
        </w:numPr>
        <w:ind w:left="714" w:hanging="357"/>
        <w:jc w:val="center"/>
      </w:pPr>
      <w:r w:rsidRPr="00BB5A48">
        <w:rPr>
          <w:noProof/>
        </w:rPr>
        <w:drawing>
          <wp:inline distT="0" distB="0" distL="0" distR="0" wp14:anchorId="0FE0EE31" wp14:editId="431E8553">
            <wp:extent cx="4853940" cy="68980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853940" cy="6898005"/>
                    </a:xfrm>
                    <a:prstGeom prst="rect">
                      <a:avLst/>
                    </a:prstGeom>
                  </pic:spPr>
                </pic:pic>
              </a:graphicData>
            </a:graphic>
          </wp:inline>
        </w:drawing>
      </w:r>
    </w:p>
    <w:p w14:paraId="1B038B42" w14:textId="4F20A634" w:rsidR="00B82646" w:rsidRDefault="00136E45" w:rsidP="00136E45">
      <w:pPr>
        <w:pStyle w:val="Caption"/>
        <w:jc w:val="center"/>
      </w:pPr>
      <w:r>
        <w:t xml:space="preserve">Figure </w:t>
      </w:r>
      <w:fldSimple w:instr=" SEQ Figure \* ARABIC ">
        <w:r w:rsidR="00CE5D14">
          <w:rPr>
            <w:noProof/>
          </w:rPr>
          <w:t>1</w:t>
        </w:r>
      </w:fldSimple>
      <w:r>
        <w:t xml:space="preserve"> - EIADR process flowchart</w:t>
      </w:r>
    </w:p>
    <w:p w14:paraId="6239C3AC" w14:textId="09F76F32" w:rsidR="00364843" w:rsidRDefault="00364843" w:rsidP="009E0E52"/>
    <w:p w14:paraId="1F3FADF6" w14:textId="77777777" w:rsidR="00364843" w:rsidRDefault="00364843">
      <w:pPr>
        <w:spacing w:after="0" w:line="240" w:lineRule="auto"/>
      </w:pPr>
      <w:r>
        <w:br w:type="page"/>
      </w:r>
    </w:p>
    <w:p w14:paraId="7E618767" w14:textId="22BB1EF3" w:rsidR="009E0E52" w:rsidRDefault="00364843" w:rsidP="00364843">
      <w:pPr>
        <w:pStyle w:val="Heading1"/>
        <w:numPr>
          <w:ilvl w:val="0"/>
          <w:numId w:val="0"/>
        </w:numPr>
        <w:ind w:left="851" w:hanging="851"/>
      </w:pPr>
      <w:bookmarkStart w:id="312" w:name="_Toc124416344"/>
      <w:r>
        <w:lastRenderedPageBreak/>
        <w:t>Appendix 2 – Interfaces</w:t>
      </w:r>
      <w:bookmarkEnd w:id="312"/>
    </w:p>
    <w:p w14:paraId="0F71C104" w14:textId="53D07D33" w:rsidR="00364843" w:rsidRDefault="00364843" w:rsidP="00A01C3E">
      <w:pPr>
        <w:pStyle w:val="Heading2"/>
      </w:pPr>
      <w:bookmarkStart w:id="313" w:name="_Toc117773756"/>
      <w:bookmarkStart w:id="314" w:name="_Toc117774054"/>
      <w:bookmarkStart w:id="315" w:name="_Toc117774174"/>
      <w:bookmarkStart w:id="316" w:name="_Toc124416345"/>
      <w:r>
        <w:t>Interfaces with Town and Country Planning</w:t>
      </w:r>
      <w:bookmarkEnd w:id="313"/>
      <w:bookmarkEnd w:id="314"/>
      <w:bookmarkEnd w:id="315"/>
      <w:bookmarkEnd w:id="316"/>
    </w:p>
    <w:p w14:paraId="7B0229E5" w14:textId="564AB8B2" w:rsidR="00364843" w:rsidRPr="00364843" w:rsidRDefault="00364843" w:rsidP="003146A6">
      <w:pPr>
        <w:pStyle w:val="NumberedParagraph"/>
        <w:numPr>
          <w:ilvl w:val="0"/>
          <w:numId w:val="10"/>
        </w:numPr>
      </w:pPr>
      <w:r>
        <w:t xml:space="preserve">Schedule 1 and 2 of the Town and Country Planning (Environmental Impact Assessment) Regulations 2017 (TCP) </w:t>
      </w:r>
      <w:sdt>
        <w:sdtPr>
          <w:id w:val="-2101175393"/>
          <w:citation/>
        </w:sdtPr>
        <w:sdtEndPr/>
        <w:sdtContent>
          <w:r w:rsidR="00A83BAD">
            <w:fldChar w:fldCharType="begin"/>
          </w:r>
          <w:r w:rsidR="00A83BAD">
            <w:instrText xml:space="preserve"> CITATION HMG178 \l 2057 </w:instrText>
          </w:r>
          <w:r w:rsidR="00A83BAD">
            <w:fldChar w:fldCharType="separate"/>
          </w:r>
          <w:r w:rsidR="000416A5">
            <w:rPr>
              <w:noProof/>
            </w:rPr>
            <w:t>[31]</w:t>
          </w:r>
          <w:r w:rsidR="00A83BAD">
            <w:fldChar w:fldCharType="end"/>
          </w:r>
        </w:sdtContent>
      </w:sdt>
      <w:r w:rsidR="00A83BAD">
        <w:t xml:space="preserve">, </w:t>
      </w:r>
      <w:r w:rsidR="006C10C4">
        <w:t xml:space="preserve"> </w:t>
      </w:r>
      <w:sdt>
        <w:sdtPr>
          <w:id w:val="-92243273"/>
          <w:citation/>
        </w:sdtPr>
        <w:sdtEndPr/>
        <w:sdtContent>
          <w:r w:rsidR="007571E1">
            <w:fldChar w:fldCharType="begin"/>
          </w:r>
          <w:r w:rsidR="007571E1">
            <w:instrText xml:space="preserve"> CITATION HMG1710 \l 2057 </w:instrText>
          </w:r>
          <w:r w:rsidR="007571E1">
            <w:fldChar w:fldCharType="separate"/>
          </w:r>
          <w:r w:rsidR="000416A5">
            <w:rPr>
              <w:noProof/>
            </w:rPr>
            <w:t>[32]</w:t>
          </w:r>
          <w:r w:rsidR="007571E1">
            <w:fldChar w:fldCharType="end"/>
          </w:r>
        </w:sdtContent>
      </w:sdt>
      <w:r w:rsidR="00AE78FF">
        <w:t xml:space="preserve"> </w:t>
      </w:r>
      <w:sdt>
        <w:sdtPr>
          <w:id w:val="-881088788"/>
          <w:citation/>
        </w:sdtPr>
        <w:sdtEndPr/>
        <w:sdtContent>
          <w:r w:rsidR="00CF1377">
            <w:fldChar w:fldCharType="begin"/>
          </w:r>
          <w:r w:rsidR="00CF1377">
            <w:instrText xml:space="preserve"> CITATION HMG179 \l 2057 </w:instrText>
          </w:r>
          <w:r w:rsidR="00CF1377">
            <w:fldChar w:fldCharType="separate"/>
          </w:r>
          <w:r w:rsidR="000416A5">
            <w:rPr>
              <w:noProof/>
            </w:rPr>
            <w:t>[33]</w:t>
          </w:r>
          <w:r w:rsidR="00CF1377">
            <w:fldChar w:fldCharType="end"/>
          </w:r>
        </w:sdtContent>
      </w:sdt>
      <w:r>
        <w:t xml:space="preserve"> provide the definition of what is considered to </w:t>
      </w:r>
      <w:r w:rsidRPr="00364843">
        <w:t xml:space="preserve">be a ‘development’ under these </w:t>
      </w:r>
      <w:r w:rsidR="00136E45" w:rsidRPr="00364843">
        <w:t>regulations; Schedule</w:t>
      </w:r>
      <w:r w:rsidRPr="00364843">
        <w:t xml:space="preserve"> 1 explicitly excludes the decommissioning of nuclear power stations and nuclear reactors from requiring planning permission under TCP. Although decommissioning of nuclear power stations and nuclear reactors is explicitly out of scope, there are some activities involved in decommissioning which are considered developments under TCP, as listed in Schedules 1 and 2. The Local Planning Authority is the competent authority for TCP. </w:t>
      </w:r>
    </w:p>
    <w:p w14:paraId="1D0E2623" w14:textId="77777777" w:rsidR="00364843" w:rsidRPr="00364843" w:rsidRDefault="00364843" w:rsidP="00364843">
      <w:pPr>
        <w:pStyle w:val="NumberedParagraph"/>
      </w:pPr>
      <w:r w:rsidRPr="00364843">
        <w:t>Consent under EIADR does not remove the requirement for permissions under other regulations and therefore once consent has been granted the licensee can begin work on all parts of a decommissioning project so long as the work undertaken does not require additional permissions under TCP or other relevant legislation.</w:t>
      </w:r>
    </w:p>
    <w:p w14:paraId="42D9DCD0" w14:textId="5B8CA46D" w:rsidR="00364843" w:rsidRPr="00364843" w:rsidRDefault="00364843" w:rsidP="00364843">
      <w:pPr>
        <w:pStyle w:val="NumberedParagraph"/>
      </w:pPr>
      <w:r w:rsidRPr="00364843">
        <w:t xml:space="preserve">Another area where permissions may be necessary is for disposal for a purpose where in-fill materials (to fill below-ground voids) that are used and </w:t>
      </w:r>
      <w:proofErr w:type="gramStart"/>
      <w:r w:rsidRPr="00364843">
        <w:t>have to</w:t>
      </w:r>
      <w:proofErr w:type="gramEnd"/>
      <w:r w:rsidRPr="00364843">
        <w:t xml:space="preserve"> be brought onto the site. This will be regulated under TCP by the relevant Local Planning Authority and will also require an Environmental Permit from the relevant environment agency.</w:t>
      </w:r>
    </w:p>
    <w:p w14:paraId="3AF8F812" w14:textId="77777777" w:rsidR="00364843" w:rsidRPr="00364843" w:rsidRDefault="00364843" w:rsidP="00364843">
      <w:pPr>
        <w:pStyle w:val="NumberedParagraph"/>
      </w:pPr>
      <w:r w:rsidRPr="00364843">
        <w:t>ONR will be made aware of applications and consulted on for planning permissions through routine activities and liaisons associated with enforcement of the licensing regime. Where these involve environmental impact assessment (EIA), the public will also be consulted before any decision is made.</w:t>
      </w:r>
    </w:p>
    <w:p w14:paraId="7C51A294" w14:textId="57C14214" w:rsidR="00364843" w:rsidRPr="00366938" w:rsidRDefault="00364843" w:rsidP="00364843">
      <w:pPr>
        <w:pStyle w:val="NumberedParagraph"/>
      </w:pPr>
      <w:r w:rsidRPr="00364843">
        <w:t xml:space="preserve">Both EIADR and TCP implement the EIA Directive (2014/52/EU) </w:t>
      </w:r>
      <w:sdt>
        <w:sdtPr>
          <w:id w:val="-943455539"/>
          <w:citation/>
        </w:sdtPr>
        <w:sdtEndPr/>
        <w:sdtContent>
          <w:r w:rsidR="00FE3607">
            <w:fldChar w:fldCharType="begin"/>
          </w:r>
          <w:r w:rsidR="00FE3607">
            <w:instrText xml:space="preserve"> CITATION Eur14 \l 2057 </w:instrText>
          </w:r>
          <w:r w:rsidR="00FE3607">
            <w:fldChar w:fldCharType="separate"/>
          </w:r>
          <w:r w:rsidR="000416A5">
            <w:rPr>
              <w:noProof/>
            </w:rPr>
            <w:t>[5]</w:t>
          </w:r>
          <w:r w:rsidR="00FE3607">
            <w:fldChar w:fldCharType="end"/>
          </w:r>
        </w:sdtContent>
      </w:sdt>
      <w:r w:rsidRPr="00364843">
        <w:t xml:space="preserve"> into UK law and therefore the</w:t>
      </w:r>
      <w:r w:rsidRPr="00366938">
        <w:t xml:space="preserve"> requirements of the regulations are very similar. </w:t>
      </w:r>
      <w:r>
        <w:t>Therefore, it may be possible for a single EIA to meet the requirements of both EIADR and TCP.</w:t>
      </w:r>
      <w:r w:rsidRPr="00366938">
        <w:t xml:space="preserve"> </w:t>
      </w:r>
    </w:p>
    <w:p w14:paraId="6B0F4CCE" w14:textId="77777777" w:rsidR="00364843" w:rsidRDefault="00364843" w:rsidP="00136E45">
      <w:pPr>
        <w:pStyle w:val="Heading2"/>
        <w:ind w:left="0" w:firstLine="0"/>
      </w:pPr>
      <w:bookmarkStart w:id="317" w:name="_Toc82167029"/>
      <w:bookmarkStart w:id="318" w:name="_Toc117773757"/>
      <w:bookmarkStart w:id="319" w:name="_Toc117774055"/>
      <w:bookmarkStart w:id="320" w:name="_Toc117774175"/>
      <w:bookmarkStart w:id="321" w:name="_Toc124416346"/>
      <w:r>
        <w:t xml:space="preserve">Interfaces with security, health, </w:t>
      </w:r>
      <w:proofErr w:type="gramStart"/>
      <w:r>
        <w:t>safety</w:t>
      </w:r>
      <w:proofErr w:type="gramEnd"/>
      <w:r>
        <w:t xml:space="preserve"> and environment legislation</w:t>
      </w:r>
      <w:bookmarkEnd w:id="317"/>
      <w:bookmarkEnd w:id="318"/>
      <w:bookmarkEnd w:id="319"/>
      <w:bookmarkEnd w:id="320"/>
      <w:bookmarkEnd w:id="321"/>
    </w:p>
    <w:p w14:paraId="4502745F" w14:textId="15D5FBA6" w:rsidR="00364843" w:rsidRDefault="00364843" w:rsidP="003146A6">
      <w:pPr>
        <w:pStyle w:val="NumberedParagraph"/>
        <w:numPr>
          <w:ilvl w:val="0"/>
          <w:numId w:val="10"/>
        </w:numPr>
        <w:ind w:left="714" w:hanging="357"/>
      </w:pPr>
      <w:r>
        <w:t xml:space="preserve">An environmental statement needs to describe links with related security, health, </w:t>
      </w:r>
      <w:proofErr w:type="gramStart"/>
      <w:r>
        <w:t>safety</w:t>
      </w:r>
      <w:proofErr w:type="gramEnd"/>
      <w:r>
        <w:t xml:space="preserve"> and environment legislation. This includes legislation </w:t>
      </w:r>
      <w:r w:rsidR="007571E1">
        <w:t>covering</w:t>
      </w:r>
      <w:r>
        <w:t xml:space="preserve"> security and terrorism; occupational health and safety; nuclear safety; radioactive discharges; and treatment and disposal of radioactive and non-radioactive contamination and </w:t>
      </w:r>
      <w:r w:rsidR="00136E45">
        <w:t>wastes.</w:t>
      </w:r>
      <w:r>
        <w:t xml:space="preserve"> Some examples of topics covered by other legislation are given below:</w:t>
      </w:r>
    </w:p>
    <w:p w14:paraId="0A372BF8" w14:textId="77777777" w:rsidR="00364843" w:rsidRDefault="00364843" w:rsidP="003146A6">
      <w:pPr>
        <w:pStyle w:val="NumberedParagraph"/>
        <w:numPr>
          <w:ilvl w:val="1"/>
          <w:numId w:val="10"/>
        </w:numPr>
        <w:spacing w:before="120" w:after="60"/>
      </w:pPr>
      <w:r>
        <w:t xml:space="preserve">continuity of site </w:t>
      </w:r>
      <w:proofErr w:type="gramStart"/>
      <w:r>
        <w:t>management;</w:t>
      </w:r>
      <w:proofErr w:type="gramEnd"/>
    </w:p>
    <w:p w14:paraId="019E7934" w14:textId="77777777" w:rsidR="00364843" w:rsidRDefault="00364843" w:rsidP="003146A6">
      <w:pPr>
        <w:pStyle w:val="NumberedParagraph"/>
        <w:numPr>
          <w:ilvl w:val="1"/>
          <w:numId w:val="10"/>
        </w:numPr>
        <w:spacing w:before="120" w:after="60"/>
      </w:pPr>
      <w:r>
        <w:lastRenderedPageBreak/>
        <w:t xml:space="preserve">site security and integrity, including human and animal </w:t>
      </w:r>
      <w:proofErr w:type="gramStart"/>
      <w:r>
        <w:t>intrusion;</w:t>
      </w:r>
      <w:proofErr w:type="gramEnd"/>
    </w:p>
    <w:p w14:paraId="379C6488" w14:textId="77777777" w:rsidR="00364843" w:rsidRDefault="00364843" w:rsidP="003146A6">
      <w:pPr>
        <w:pStyle w:val="NumberedParagraph"/>
        <w:numPr>
          <w:ilvl w:val="1"/>
          <w:numId w:val="10"/>
        </w:numPr>
        <w:spacing w:before="120" w:after="60"/>
      </w:pPr>
      <w:r>
        <w:t xml:space="preserve">fire safety, including safety of additional contractors housed in temporary accommodation, procedures for dealing with incidents involving hazardous materials, and liaison with the local fire </w:t>
      </w:r>
      <w:proofErr w:type="gramStart"/>
      <w:r>
        <w:t>service;</w:t>
      </w:r>
      <w:proofErr w:type="gramEnd"/>
    </w:p>
    <w:p w14:paraId="05C9886F" w14:textId="77777777" w:rsidR="00364843" w:rsidRDefault="00364843" w:rsidP="003146A6">
      <w:pPr>
        <w:pStyle w:val="NumberedParagraph"/>
        <w:numPr>
          <w:ilvl w:val="1"/>
          <w:numId w:val="10"/>
        </w:numPr>
        <w:spacing w:before="120" w:after="60"/>
      </w:pPr>
      <w:r>
        <w:t xml:space="preserve">emergency </w:t>
      </w:r>
      <w:proofErr w:type="gramStart"/>
      <w:r>
        <w:t>arrangements;</w:t>
      </w:r>
      <w:proofErr w:type="gramEnd"/>
    </w:p>
    <w:p w14:paraId="1F83ACCB" w14:textId="77777777" w:rsidR="00364843" w:rsidRDefault="00364843" w:rsidP="003146A6">
      <w:pPr>
        <w:pStyle w:val="NumberedParagraph"/>
        <w:numPr>
          <w:ilvl w:val="1"/>
          <w:numId w:val="10"/>
        </w:numPr>
        <w:spacing w:before="120" w:after="60"/>
      </w:pPr>
      <w:r>
        <w:t xml:space="preserve">safety of plant, including reactor </w:t>
      </w:r>
      <w:proofErr w:type="gramStart"/>
      <w:r>
        <w:t>dismantlement;</w:t>
      </w:r>
      <w:proofErr w:type="gramEnd"/>
    </w:p>
    <w:p w14:paraId="1988B081" w14:textId="77777777" w:rsidR="00364843" w:rsidRDefault="00364843" w:rsidP="003146A6">
      <w:pPr>
        <w:pStyle w:val="NumberedParagraph"/>
        <w:numPr>
          <w:ilvl w:val="1"/>
          <w:numId w:val="10"/>
        </w:numPr>
        <w:spacing w:before="120" w:after="60"/>
      </w:pPr>
      <w:r>
        <w:t xml:space="preserve">transport safety, including identifying standard road routes (with implications for congestion of narrow lanes), and dealing with incidents involving vehicle fires and leakage of hazardous </w:t>
      </w:r>
      <w:proofErr w:type="gramStart"/>
      <w:r>
        <w:t>material;</w:t>
      </w:r>
      <w:proofErr w:type="gramEnd"/>
    </w:p>
    <w:p w14:paraId="2BE806A7" w14:textId="77777777" w:rsidR="00364843" w:rsidRDefault="00364843" w:rsidP="003146A6">
      <w:pPr>
        <w:pStyle w:val="NumberedParagraph"/>
        <w:numPr>
          <w:ilvl w:val="1"/>
          <w:numId w:val="10"/>
        </w:numPr>
        <w:spacing w:before="120" w:after="60"/>
      </w:pPr>
      <w:r>
        <w:t xml:space="preserve">health and safety aspects of dust control from, for example, masonry crushing on the </w:t>
      </w:r>
      <w:proofErr w:type="gramStart"/>
      <w:r>
        <w:t>site;</w:t>
      </w:r>
      <w:proofErr w:type="gramEnd"/>
    </w:p>
    <w:p w14:paraId="7F53FA93" w14:textId="77777777" w:rsidR="00364843" w:rsidRDefault="00364843" w:rsidP="003146A6">
      <w:pPr>
        <w:pStyle w:val="NumberedParagraph"/>
        <w:numPr>
          <w:ilvl w:val="1"/>
          <w:numId w:val="10"/>
        </w:numPr>
        <w:spacing w:before="120" w:after="60"/>
      </w:pPr>
      <w:r>
        <w:t>integrity of flood defences; and</w:t>
      </w:r>
    </w:p>
    <w:p w14:paraId="53C0C54C" w14:textId="77777777" w:rsidR="00364843" w:rsidRDefault="00364843" w:rsidP="003146A6">
      <w:pPr>
        <w:pStyle w:val="NumberedParagraph"/>
        <w:numPr>
          <w:ilvl w:val="1"/>
          <w:numId w:val="10"/>
        </w:numPr>
        <w:spacing w:before="120" w:after="60"/>
      </w:pPr>
      <w:r>
        <w:t>release of radioactive and non-radioactive wastes and discharges</w:t>
      </w:r>
    </w:p>
    <w:p w14:paraId="255DE408" w14:textId="77777777" w:rsidR="00364843" w:rsidRDefault="00364843" w:rsidP="00364843">
      <w:pPr>
        <w:pStyle w:val="NumberedParagraph"/>
        <w:numPr>
          <w:ilvl w:val="0"/>
          <w:numId w:val="0"/>
        </w:numPr>
        <w:spacing w:before="120" w:after="60"/>
        <w:ind w:left="1080"/>
      </w:pPr>
      <w:r>
        <w:t>This list is not exhaustive.</w:t>
      </w:r>
    </w:p>
    <w:p w14:paraId="1E01BE35" w14:textId="3230A46E" w:rsidR="00364843" w:rsidRDefault="00364843" w:rsidP="003146A6">
      <w:pPr>
        <w:pStyle w:val="NumberedParagraph"/>
        <w:numPr>
          <w:ilvl w:val="0"/>
          <w:numId w:val="10"/>
        </w:numPr>
      </w:pPr>
      <w:r>
        <w:t xml:space="preserve">ONR is satisfied that control of such health, safety and environment matters can be achieved through regulation and enforcement, where compliance with relevant legislation would ensure that adverse environmental effects would be minimal. ONR will work closely with enforcers of related </w:t>
      </w:r>
      <w:r w:rsidR="007571E1">
        <w:t>legislation but</w:t>
      </w:r>
      <w:r>
        <w:t xml:space="preserve"> must not encroach into their areas of enforcement or use EIADR to supplant other legal requirements and controls. </w:t>
      </w:r>
      <w:proofErr w:type="gramStart"/>
      <w:r>
        <w:t>The majority of</w:t>
      </w:r>
      <w:proofErr w:type="gramEnd"/>
      <w:r>
        <w:t xml:space="preserve"> the relevant legislation is enforced by ONR, and the Environment Agency (EA), Natural Resources Wales (NRW) or the Scottish Environment Protection Agency (SEPA). There are administrative arrangements in place between ONR, and EA, NRW or SEPA on working together on matters of mutual interest via the Memoranda of Understanding (</w:t>
      </w:r>
      <w:proofErr w:type="spellStart"/>
      <w:r>
        <w:t>MoUs</w:t>
      </w:r>
      <w:proofErr w:type="spellEnd"/>
      <w:r>
        <w:t xml:space="preserve">) </w:t>
      </w:r>
      <w:sdt>
        <w:sdtPr>
          <w:id w:val="226267220"/>
          <w:citation/>
        </w:sdtPr>
        <w:sdtEndPr/>
        <w:sdtContent>
          <w:r w:rsidR="001B6402">
            <w:fldChar w:fldCharType="begin"/>
          </w:r>
          <w:r w:rsidR="00507EBE">
            <w:instrText xml:space="preserve">CITATION ONR1514 \l 2057 </w:instrText>
          </w:r>
          <w:r w:rsidR="001B6402">
            <w:fldChar w:fldCharType="separate"/>
          </w:r>
          <w:r w:rsidR="000416A5">
            <w:rPr>
              <w:noProof/>
            </w:rPr>
            <w:t>[34]</w:t>
          </w:r>
          <w:r w:rsidR="001B6402">
            <w:fldChar w:fldCharType="end"/>
          </w:r>
        </w:sdtContent>
      </w:sdt>
      <w:r w:rsidR="003B51F0">
        <w:t xml:space="preserve"> </w:t>
      </w:r>
      <w:sdt>
        <w:sdtPr>
          <w:id w:val="1973857211"/>
          <w:citation/>
        </w:sdtPr>
        <w:sdtEndPr/>
        <w:sdtContent>
          <w:r w:rsidR="00F87525">
            <w:fldChar w:fldCharType="begin"/>
          </w:r>
          <w:r w:rsidR="00F87525">
            <w:instrText xml:space="preserve"> CITATION ONR1515 \l 2057 </w:instrText>
          </w:r>
          <w:r w:rsidR="00F87525">
            <w:fldChar w:fldCharType="separate"/>
          </w:r>
          <w:r w:rsidR="000416A5">
            <w:rPr>
              <w:noProof/>
            </w:rPr>
            <w:t>[35]</w:t>
          </w:r>
          <w:r w:rsidR="00F87525">
            <w:fldChar w:fldCharType="end"/>
          </w:r>
        </w:sdtContent>
      </w:sdt>
      <w:sdt>
        <w:sdtPr>
          <w:id w:val="499241761"/>
          <w:citation/>
        </w:sdtPr>
        <w:sdtEndPr/>
        <w:sdtContent>
          <w:r w:rsidR="00634B1A">
            <w:fldChar w:fldCharType="begin"/>
          </w:r>
          <w:r w:rsidR="00634B1A">
            <w:instrText xml:space="preserve"> CITATION ONR1911 \l 2057 </w:instrText>
          </w:r>
          <w:r w:rsidR="00634B1A">
            <w:fldChar w:fldCharType="separate"/>
          </w:r>
          <w:r w:rsidR="000416A5">
            <w:rPr>
              <w:noProof/>
            </w:rPr>
            <w:t xml:space="preserve"> [36]</w:t>
          </w:r>
          <w:r w:rsidR="00634B1A">
            <w:fldChar w:fldCharType="end"/>
          </w:r>
        </w:sdtContent>
      </w:sdt>
      <w:r>
        <w:t xml:space="preserve"> and the MoU supporting guidance </w:t>
      </w:r>
      <w:sdt>
        <w:sdtPr>
          <w:id w:val="-1064108711"/>
          <w:citation/>
        </w:sdtPr>
        <w:sdtEndPr/>
        <w:sdtContent>
          <w:r w:rsidR="00634B1A">
            <w:fldChar w:fldCharType="begin"/>
          </w:r>
          <w:r w:rsidR="00634B1A">
            <w:instrText xml:space="preserve"> CITATION ONR121 \l 2057 </w:instrText>
          </w:r>
          <w:r w:rsidR="00634B1A">
            <w:fldChar w:fldCharType="separate"/>
          </w:r>
          <w:r w:rsidR="000416A5">
            <w:rPr>
              <w:noProof/>
            </w:rPr>
            <w:t>[37]</w:t>
          </w:r>
          <w:r w:rsidR="00634B1A">
            <w:fldChar w:fldCharType="end"/>
          </w:r>
        </w:sdtContent>
      </w:sdt>
      <w:r w:rsidR="00634B1A">
        <w:t xml:space="preserve"> </w:t>
      </w:r>
      <w:sdt>
        <w:sdtPr>
          <w:id w:val="-696306521"/>
          <w:citation/>
        </w:sdtPr>
        <w:sdtEndPr/>
        <w:sdtContent>
          <w:r w:rsidR="00634B1A">
            <w:fldChar w:fldCharType="begin"/>
          </w:r>
          <w:r w:rsidR="00634B1A">
            <w:instrText xml:space="preserve"> CITATION ONR122 \l 2057 </w:instrText>
          </w:r>
          <w:r w:rsidR="00634B1A">
            <w:fldChar w:fldCharType="separate"/>
          </w:r>
          <w:r w:rsidR="000416A5">
            <w:rPr>
              <w:noProof/>
            </w:rPr>
            <w:t>[38]</w:t>
          </w:r>
          <w:r w:rsidR="00634B1A">
            <w:fldChar w:fldCharType="end"/>
          </w:r>
        </w:sdtContent>
      </w:sdt>
      <w:sdt>
        <w:sdtPr>
          <w:id w:val="-399601598"/>
          <w:citation/>
        </w:sdtPr>
        <w:sdtEndPr/>
        <w:sdtContent>
          <w:r w:rsidR="00634B1A">
            <w:fldChar w:fldCharType="begin"/>
          </w:r>
          <w:r w:rsidR="00634B1A">
            <w:instrText xml:space="preserve"> CITATION ONR123 \l 2057 </w:instrText>
          </w:r>
          <w:r w:rsidR="00634B1A">
            <w:fldChar w:fldCharType="separate"/>
          </w:r>
          <w:r w:rsidR="000416A5">
            <w:rPr>
              <w:noProof/>
            </w:rPr>
            <w:t xml:space="preserve"> [39]</w:t>
          </w:r>
          <w:r w:rsidR="00634B1A">
            <w:fldChar w:fldCharType="end"/>
          </w:r>
        </w:sdtContent>
      </w:sdt>
      <w:r>
        <w:t xml:space="preserve">. The MoU supporting guidance contains specific guidance on the interfaces between ONR and the environment agencies on the regulation of EIADR. </w:t>
      </w:r>
    </w:p>
    <w:p w14:paraId="43EAACAE" w14:textId="77777777" w:rsidR="00364843" w:rsidRDefault="00364843" w:rsidP="003146A6">
      <w:pPr>
        <w:pStyle w:val="NumberedParagraph"/>
        <w:numPr>
          <w:ilvl w:val="0"/>
          <w:numId w:val="10"/>
        </w:numPr>
      </w:pPr>
      <w:r>
        <w:t xml:space="preserve">Work must be carried out in compliance with relevant health, </w:t>
      </w:r>
      <w:proofErr w:type="gramStart"/>
      <w:r>
        <w:t>safety</w:t>
      </w:r>
      <w:proofErr w:type="gramEnd"/>
      <w:r>
        <w:t xml:space="preserve"> and environmental protection legislation. As with the guidance on other EIA regimes, activities within the EIADR decommissioning project may require other permissions before it can go ahead. During the application process, ONR will seek confirmation that, where applicable, submissions made under EIADR are consistent with other wider assessments, and that the operator has developed its assessment mindful of existing and foreseeable environmental issues and the existing requirements under existing permits and consents on the site. </w:t>
      </w:r>
    </w:p>
    <w:p w14:paraId="1CEF563F" w14:textId="019EBE62" w:rsidR="00364843" w:rsidRDefault="00364843" w:rsidP="003146A6">
      <w:pPr>
        <w:pStyle w:val="NumberedParagraph"/>
        <w:numPr>
          <w:ilvl w:val="0"/>
          <w:numId w:val="10"/>
        </w:numPr>
      </w:pPr>
      <w:r>
        <w:t xml:space="preserve">For ongoing decommissioning projects, new or variations to environmental permits may also be required from the relevant environmental regulator. ONR will engage with the relevant environmental regulator during the application process, and when changes to the decommissioning project arise, to coordinate regulation of the decommissioning project in line with MoU. </w:t>
      </w:r>
    </w:p>
    <w:p w14:paraId="24CC69DB" w14:textId="77777777" w:rsidR="00364843" w:rsidRDefault="00364843" w:rsidP="00A01C3E">
      <w:pPr>
        <w:pStyle w:val="Heading2"/>
      </w:pPr>
      <w:bookmarkStart w:id="322" w:name="_Toc82167030"/>
      <w:bookmarkStart w:id="323" w:name="_Toc117773758"/>
      <w:bookmarkStart w:id="324" w:name="_Toc117774056"/>
      <w:bookmarkStart w:id="325" w:name="_Toc117774176"/>
      <w:bookmarkStart w:id="326" w:name="_Toc124416347"/>
      <w:r>
        <w:lastRenderedPageBreak/>
        <w:t>Treatment of wastes</w:t>
      </w:r>
      <w:bookmarkEnd w:id="322"/>
      <w:bookmarkEnd w:id="323"/>
      <w:bookmarkEnd w:id="324"/>
      <w:bookmarkEnd w:id="325"/>
      <w:bookmarkEnd w:id="326"/>
    </w:p>
    <w:p w14:paraId="5105CE86" w14:textId="7F5E45AE" w:rsidR="00364843" w:rsidRDefault="00364843" w:rsidP="003146A6">
      <w:pPr>
        <w:pStyle w:val="NumberedParagraph"/>
        <w:numPr>
          <w:ilvl w:val="0"/>
          <w:numId w:val="10"/>
        </w:numPr>
      </w:pPr>
      <w:r>
        <w:t xml:space="preserve">One </w:t>
      </w:r>
      <w:proofErr w:type="gramStart"/>
      <w:r>
        <w:t>particular consideration</w:t>
      </w:r>
      <w:proofErr w:type="gramEnd"/>
      <w:r>
        <w:t xml:space="preserve"> in this regard is the treatment of wastes, which is specifically referred to in Schedule 1. The environmental statement should consider potential radioactive emissions (including indicative figures for emissions) and long-term storage of radioactive waste on the </w:t>
      </w:r>
      <w:r w:rsidR="00634B1A">
        <w:t>site but</w:t>
      </w:r>
      <w:r>
        <w:t xml:space="preserve"> note that permitted/authorised discharges will continue to be made under the Environmental Permitting (England and Wales) Regulations 2016 </w:t>
      </w:r>
      <w:sdt>
        <w:sdtPr>
          <w:id w:val="-879622620"/>
          <w:citation/>
        </w:sdtPr>
        <w:sdtEndPr/>
        <w:sdtContent>
          <w:r w:rsidR="00507EBE">
            <w:fldChar w:fldCharType="begin"/>
          </w:r>
          <w:r w:rsidR="00507EBE">
            <w:instrText xml:space="preserve"> CITATION HMG161 \l 2057 </w:instrText>
          </w:r>
          <w:r w:rsidR="00507EBE">
            <w:fldChar w:fldCharType="separate"/>
          </w:r>
          <w:r w:rsidR="000416A5">
            <w:rPr>
              <w:noProof/>
            </w:rPr>
            <w:t>[40]</w:t>
          </w:r>
          <w:r w:rsidR="00507EBE">
            <w:fldChar w:fldCharType="end"/>
          </w:r>
        </w:sdtContent>
      </w:sdt>
      <w:r>
        <w:t xml:space="preserve"> and the Environmental Authorisations (Scotland) Regulations 2018 </w:t>
      </w:r>
      <w:sdt>
        <w:sdtPr>
          <w:id w:val="-2077115918"/>
          <w:citation/>
        </w:sdtPr>
        <w:sdtEndPr/>
        <w:sdtContent>
          <w:r w:rsidR="00507EBE">
            <w:fldChar w:fldCharType="begin"/>
          </w:r>
          <w:r w:rsidR="00507EBE">
            <w:instrText xml:space="preserve"> CITATION HMG184 \l 2057 </w:instrText>
          </w:r>
          <w:r w:rsidR="00507EBE">
            <w:fldChar w:fldCharType="separate"/>
          </w:r>
          <w:r w:rsidR="000416A5">
            <w:rPr>
              <w:noProof/>
            </w:rPr>
            <w:t>[23]</w:t>
          </w:r>
          <w:r w:rsidR="00507EBE">
            <w:fldChar w:fldCharType="end"/>
          </w:r>
        </w:sdtContent>
      </w:sdt>
      <w:r>
        <w:t>, and regulated by EA and NRW, and SEPA, respectively. Other wastes should also be addressed, including asbestos, and other hazardous and non-hazardous wastes, but here too, reference should be made to the regulation of such by EA, NRW or SEPA and local authorities.</w:t>
      </w:r>
    </w:p>
    <w:p w14:paraId="66D0CDF5" w14:textId="77777777" w:rsidR="00364843" w:rsidRDefault="00364843" w:rsidP="003146A6">
      <w:pPr>
        <w:pStyle w:val="NumberedParagraph"/>
        <w:numPr>
          <w:ilvl w:val="0"/>
          <w:numId w:val="10"/>
        </w:numPr>
      </w:pPr>
      <w:r>
        <w:t>As stated in the guidance, EIADR applies to the decommissioning of off-site structures that were integral to the operation of the station. However, ONR recognises that as the structure is off the nuclear licensed site, the regulation of aspects of the decommissioning work, such as storage of radioactive waste, will be within the vires of the relevant environment agency. As with all aspects of decommissioning work which is within the vires of other authorities, ONR will seek assurance from the licensee that all regulatory requirements will be complied with when considering EIADR proposals. Interfaces with government policy on radioactive waste management and the decommissioning of nuclear facilities</w:t>
      </w:r>
    </w:p>
    <w:p w14:paraId="737A23B1" w14:textId="77777777" w:rsidR="00364843" w:rsidRDefault="00364843" w:rsidP="00A01C3E">
      <w:pPr>
        <w:pStyle w:val="Heading2"/>
      </w:pPr>
      <w:bookmarkStart w:id="327" w:name="_Toc82167031"/>
      <w:bookmarkStart w:id="328" w:name="_Toc117773759"/>
      <w:bookmarkStart w:id="329" w:name="_Toc117774057"/>
      <w:bookmarkStart w:id="330" w:name="_Toc117774177"/>
      <w:bookmarkStart w:id="331" w:name="_Toc124416348"/>
      <w:r>
        <w:t>Government policy on radioactive waste management</w:t>
      </w:r>
      <w:bookmarkEnd w:id="327"/>
      <w:bookmarkEnd w:id="328"/>
      <w:bookmarkEnd w:id="329"/>
      <w:bookmarkEnd w:id="330"/>
      <w:bookmarkEnd w:id="331"/>
    </w:p>
    <w:p w14:paraId="2FB82886" w14:textId="77777777" w:rsidR="00364843" w:rsidRDefault="00364843" w:rsidP="003146A6">
      <w:pPr>
        <w:pStyle w:val="NumberedParagraph"/>
        <w:numPr>
          <w:ilvl w:val="0"/>
          <w:numId w:val="10"/>
        </w:numPr>
      </w:pPr>
      <w:r>
        <w:t xml:space="preserve">There is no single UK Government policy on radioactive waste management, different policies are in place in Scotland than in England and Wales, the following documents are the main references: </w:t>
      </w:r>
    </w:p>
    <w:p w14:paraId="46F773D2" w14:textId="368EE339" w:rsidR="00364843" w:rsidRDefault="00364843" w:rsidP="00F4262A">
      <w:pPr>
        <w:pStyle w:val="NumberedParagraph"/>
        <w:numPr>
          <w:ilvl w:val="0"/>
          <w:numId w:val="11"/>
        </w:numPr>
        <w:spacing w:before="120" w:after="60"/>
        <w:ind w:left="1077" w:hanging="357"/>
      </w:pPr>
      <w:r>
        <w:t xml:space="preserve">Policy for the </w:t>
      </w:r>
      <w:proofErr w:type="gramStart"/>
      <w:r>
        <w:t>Long Term</w:t>
      </w:r>
      <w:proofErr w:type="gramEnd"/>
      <w:r>
        <w:t xml:space="preserve"> Management of Solid Low Level Radioactive Waste in the United Kingdom</w:t>
      </w:r>
      <w:r w:rsidR="006A0C6A">
        <w:t xml:space="preserve"> </w:t>
      </w:r>
      <w:sdt>
        <w:sdtPr>
          <w:id w:val="1883436054"/>
          <w:citation/>
        </w:sdtPr>
        <w:sdtEndPr/>
        <w:sdtContent>
          <w:r w:rsidR="006A0C6A">
            <w:fldChar w:fldCharType="begin"/>
          </w:r>
          <w:r w:rsidR="006A0C6A">
            <w:instrText xml:space="preserve"> CITATION Def07 \l 2057 </w:instrText>
          </w:r>
          <w:r w:rsidR="006A0C6A">
            <w:fldChar w:fldCharType="separate"/>
          </w:r>
          <w:r w:rsidR="000416A5">
            <w:rPr>
              <w:noProof/>
            </w:rPr>
            <w:t>[41]</w:t>
          </w:r>
          <w:r w:rsidR="006A0C6A">
            <w:fldChar w:fldCharType="end"/>
          </w:r>
        </w:sdtContent>
      </w:sdt>
    </w:p>
    <w:p w14:paraId="1E2322A5" w14:textId="4503A780" w:rsidR="00364843" w:rsidRDefault="00364843" w:rsidP="00F4262A">
      <w:pPr>
        <w:pStyle w:val="NumberedParagraph"/>
        <w:numPr>
          <w:ilvl w:val="0"/>
          <w:numId w:val="11"/>
        </w:numPr>
        <w:spacing w:before="120" w:after="60"/>
        <w:ind w:left="1077" w:hanging="357"/>
      </w:pPr>
      <w:r>
        <w:t xml:space="preserve">UK Strategy for the Management of Solid Low-Level Radioactive Waste from the Nuclear Industry </w:t>
      </w:r>
      <w:sdt>
        <w:sdtPr>
          <w:id w:val="-1937049913"/>
          <w:citation/>
        </w:sdtPr>
        <w:sdtEndPr/>
        <w:sdtContent>
          <w:r w:rsidR="00243597">
            <w:fldChar w:fldCharType="begin"/>
          </w:r>
          <w:r w:rsidR="00243597">
            <w:instrText xml:space="preserve"> CITATION DEC16 \l 2057 </w:instrText>
          </w:r>
          <w:r w:rsidR="00243597">
            <w:fldChar w:fldCharType="separate"/>
          </w:r>
          <w:r w:rsidR="000416A5">
            <w:rPr>
              <w:noProof/>
            </w:rPr>
            <w:t>[42]</w:t>
          </w:r>
          <w:r w:rsidR="00243597">
            <w:fldChar w:fldCharType="end"/>
          </w:r>
        </w:sdtContent>
      </w:sdt>
    </w:p>
    <w:p w14:paraId="44F4E83C" w14:textId="47FDEF50" w:rsidR="00364843" w:rsidRDefault="00364843" w:rsidP="00F4262A">
      <w:pPr>
        <w:pStyle w:val="NumberedParagraph"/>
        <w:numPr>
          <w:ilvl w:val="0"/>
          <w:numId w:val="11"/>
        </w:numPr>
        <w:spacing w:before="120" w:after="60"/>
        <w:ind w:left="1077" w:hanging="357"/>
      </w:pPr>
      <w:r>
        <w:t xml:space="preserve">UK Strategy for Radioactive Discharges </w:t>
      </w:r>
      <w:sdt>
        <w:sdtPr>
          <w:id w:val="626970514"/>
          <w:citation/>
        </w:sdtPr>
        <w:sdtEndPr/>
        <w:sdtContent>
          <w:r w:rsidR="00CC41C5">
            <w:fldChar w:fldCharType="begin"/>
          </w:r>
          <w:r w:rsidR="00CC41C5">
            <w:instrText xml:space="preserve"> CITATION BEI18 \l 2057 </w:instrText>
          </w:r>
          <w:r w:rsidR="00CC41C5">
            <w:fldChar w:fldCharType="separate"/>
          </w:r>
          <w:r w:rsidR="000416A5">
            <w:rPr>
              <w:noProof/>
            </w:rPr>
            <w:t>[43]</w:t>
          </w:r>
          <w:r w:rsidR="00CC41C5">
            <w:fldChar w:fldCharType="end"/>
          </w:r>
        </w:sdtContent>
      </w:sdt>
    </w:p>
    <w:p w14:paraId="027E2CE7" w14:textId="2FB3EBF8" w:rsidR="00364843" w:rsidRDefault="00364843" w:rsidP="00F4262A">
      <w:pPr>
        <w:pStyle w:val="NumberedParagraph"/>
        <w:numPr>
          <w:ilvl w:val="0"/>
          <w:numId w:val="11"/>
        </w:numPr>
        <w:spacing w:before="120" w:after="60"/>
        <w:ind w:left="1077" w:hanging="357"/>
      </w:pPr>
      <w:r>
        <w:t>Implementing Geological Disposal - Working with Communities</w:t>
      </w:r>
      <w:r w:rsidR="00A517E0">
        <w:t xml:space="preserve"> </w:t>
      </w:r>
      <w:sdt>
        <w:sdtPr>
          <w:id w:val="-937521523"/>
          <w:citation/>
        </w:sdtPr>
        <w:sdtEndPr/>
        <w:sdtContent>
          <w:r w:rsidR="00A517E0">
            <w:fldChar w:fldCharType="begin"/>
          </w:r>
          <w:r w:rsidR="00C23072">
            <w:instrText xml:space="preserve">CITATION BEI1 \l 2057 </w:instrText>
          </w:r>
          <w:r w:rsidR="00A517E0">
            <w:fldChar w:fldCharType="separate"/>
          </w:r>
          <w:r w:rsidR="000416A5">
            <w:rPr>
              <w:noProof/>
            </w:rPr>
            <w:t>[44]</w:t>
          </w:r>
          <w:r w:rsidR="00A517E0">
            <w:fldChar w:fldCharType="end"/>
          </w:r>
        </w:sdtContent>
      </w:sdt>
    </w:p>
    <w:p w14:paraId="3D8D4AFF" w14:textId="095AA83A" w:rsidR="00364843" w:rsidRDefault="00364843" w:rsidP="00F4262A">
      <w:pPr>
        <w:pStyle w:val="NumberedParagraph"/>
        <w:numPr>
          <w:ilvl w:val="0"/>
          <w:numId w:val="11"/>
        </w:numPr>
        <w:spacing w:before="120" w:after="60"/>
        <w:ind w:left="1077" w:hanging="357"/>
      </w:pPr>
      <w:r>
        <w:t>Welsh Government – Geological Disposal of Higher Activity Radioactive Waste: Working with Communities</w:t>
      </w:r>
      <w:r w:rsidR="00C23072">
        <w:t xml:space="preserve"> </w:t>
      </w:r>
      <w:sdt>
        <w:sdtPr>
          <w:id w:val="1530371116"/>
          <w:citation/>
        </w:sdtPr>
        <w:sdtEndPr/>
        <w:sdtContent>
          <w:r w:rsidR="004A2B80">
            <w:fldChar w:fldCharType="begin"/>
          </w:r>
          <w:r w:rsidR="00943D7C">
            <w:instrText xml:space="preserve">CITATION Wel \l 2057 </w:instrText>
          </w:r>
          <w:r w:rsidR="004A2B80">
            <w:fldChar w:fldCharType="separate"/>
          </w:r>
          <w:r w:rsidR="000416A5">
            <w:rPr>
              <w:noProof/>
            </w:rPr>
            <w:t>[45]</w:t>
          </w:r>
          <w:r w:rsidR="004A2B80">
            <w:fldChar w:fldCharType="end"/>
          </w:r>
        </w:sdtContent>
      </w:sdt>
    </w:p>
    <w:p w14:paraId="7082F180" w14:textId="4F8DD7A2" w:rsidR="00364843" w:rsidRDefault="00364843" w:rsidP="00F4262A">
      <w:pPr>
        <w:pStyle w:val="NumberedParagraph"/>
        <w:numPr>
          <w:ilvl w:val="0"/>
          <w:numId w:val="11"/>
        </w:numPr>
        <w:spacing w:before="120" w:after="60"/>
        <w:ind w:left="1077" w:hanging="357"/>
      </w:pPr>
      <w:r>
        <w:t>Scotland’s Higher Activity Radioactive Waste Policy</w:t>
      </w:r>
      <w:r w:rsidR="00943D7C">
        <w:t xml:space="preserve"> </w:t>
      </w:r>
      <w:sdt>
        <w:sdtPr>
          <w:id w:val="-2045907434"/>
          <w:citation/>
        </w:sdtPr>
        <w:sdtEndPr/>
        <w:sdtContent>
          <w:r w:rsidR="00337074">
            <w:fldChar w:fldCharType="begin"/>
          </w:r>
          <w:r w:rsidR="00337074">
            <w:instrText xml:space="preserve"> CITATION Sco11 \l 2057 </w:instrText>
          </w:r>
          <w:r w:rsidR="00337074">
            <w:fldChar w:fldCharType="separate"/>
          </w:r>
          <w:r w:rsidR="000416A5">
            <w:rPr>
              <w:noProof/>
            </w:rPr>
            <w:t>[46]</w:t>
          </w:r>
          <w:r w:rsidR="00337074">
            <w:fldChar w:fldCharType="end"/>
          </w:r>
        </w:sdtContent>
      </w:sdt>
    </w:p>
    <w:p w14:paraId="6A77BCAD" w14:textId="58EE622A" w:rsidR="00364843" w:rsidRDefault="00364843" w:rsidP="00F4262A">
      <w:pPr>
        <w:pStyle w:val="NumberedParagraph"/>
        <w:numPr>
          <w:ilvl w:val="0"/>
          <w:numId w:val="11"/>
        </w:numPr>
        <w:spacing w:before="120" w:after="60"/>
        <w:ind w:left="1077" w:hanging="357"/>
      </w:pPr>
      <w:r>
        <w:t>Review of Radioactive Waste Management Policy Final Conclusions</w:t>
      </w:r>
      <w:r w:rsidR="003D2182">
        <w:t xml:space="preserve"> </w:t>
      </w:r>
      <w:sdt>
        <w:sdtPr>
          <w:id w:val="384452869"/>
          <w:citation/>
        </w:sdtPr>
        <w:sdtEndPr/>
        <w:sdtContent>
          <w:r w:rsidR="003D2182">
            <w:fldChar w:fldCharType="begin"/>
          </w:r>
          <w:r w:rsidR="003D2182">
            <w:instrText xml:space="preserve"> CITATION HMG95 \l 2057 </w:instrText>
          </w:r>
          <w:r w:rsidR="003D2182">
            <w:fldChar w:fldCharType="separate"/>
          </w:r>
          <w:r w:rsidR="000416A5">
            <w:rPr>
              <w:noProof/>
            </w:rPr>
            <w:t>[47]</w:t>
          </w:r>
          <w:r w:rsidR="003D2182">
            <w:fldChar w:fldCharType="end"/>
          </w:r>
        </w:sdtContent>
      </w:sdt>
    </w:p>
    <w:p w14:paraId="0E8E1862" w14:textId="77777777" w:rsidR="00364843" w:rsidRDefault="00364843" w:rsidP="003146A6">
      <w:pPr>
        <w:pStyle w:val="NumberedParagraph"/>
        <w:numPr>
          <w:ilvl w:val="0"/>
          <w:numId w:val="10"/>
        </w:numPr>
      </w:pPr>
      <w:r>
        <w:t xml:space="preserve">The policies of UK Government and the Welsh Government are that higher activity waste (HAW) in England and Wales should be managed in the long-term through geological disposal, coupled with safe and secure interim storage until a geological disposal facility (GDF) is available. The Scottish </w:t>
      </w:r>
      <w:r>
        <w:lastRenderedPageBreak/>
        <w:t xml:space="preserve">Government policy is for HAW to be managed in near-surface facilities, close to the site where the waste was produced. </w:t>
      </w:r>
    </w:p>
    <w:p w14:paraId="7C4A31C7" w14:textId="77777777" w:rsidR="00364843" w:rsidRDefault="00364843" w:rsidP="00332BB9">
      <w:pPr>
        <w:pStyle w:val="Heading2"/>
        <w:ind w:left="0" w:firstLine="0"/>
      </w:pPr>
      <w:bookmarkStart w:id="332" w:name="_Toc82167032"/>
      <w:bookmarkStart w:id="333" w:name="_Toc117773760"/>
      <w:bookmarkStart w:id="334" w:name="_Toc117774058"/>
      <w:bookmarkStart w:id="335" w:name="_Toc117774178"/>
      <w:bookmarkStart w:id="336" w:name="_Toc124416349"/>
      <w:r>
        <w:t>Government policy on decommissioning the UK’s nuclear facilities</w:t>
      </w:r>
      <w:bookmarkEnd w:id="332"/>
      <w:bookmarkEnd w:id="333"/>
      <w:bookmarkEnd w:id="334"/>
      <w:bookmarkEnd w:id="335"/>
      <w:bookmarkEnd w:id="336"/>
    </w:p>
    <w:p w14:paraId="456498C0" w14:textId="77777777" w:rsidR="00364843" w:rsidRDefault="00364843" w:rsidP="003146A6">
      <w:pPr>
        <w:pStyle w:val="NumberedParagraph"/>
        <w:numPr>
          <w:ilvl w:val="0"/>
          <w:numId w:val="10"/>
        </w:numPr>
      </w:pPr>
      <w:r>
        <w:t xml:space="preserve">Government policy on decommissioning the UK’s nuclear facilities is available in the following documents: </w:t>
      </w:r>
    </w:p>
    <w:p w14:paraId="3F44E886" w14:textId="418B8D6D" w:rsidR="00364843" w:rsidRDefault="00364843" w:rsidP="003146A6">
      <w:pPr>
        <w:pStyle w:val="NumberedParagraph"/>
        <w:numPr>
          <w:ilvl w:val="0"/>
          <w:numId w:val="11"/>
        </w:numPr>
        <w:spacing w:before="120" w:after="60"/>
        <w:ind w:left="1077" w:hanging="357"/>
      </w:pPr>
      <w:r>
        <w:t xml:space="preserve">Managing the Nuclear Legacy – A Strategy for Action </w:t>
      </w:r>
      <w:sdt>
        <w:sdtPr>
          <w:id w:val="1076939884"/>
          <w:citation/>
        </w:sdtPr>
        <w:sdtEndPr/>
        <w:sdtContent>
          <w:r w:rsidR="006A2B22">
            <w:fldChar w:fldCharType="begin"/>
          </w:r>
          <w:r w:rsidR="001B363E">
            <w:instrText xml:space="preserve">CITATION Dep2 \l 2057 </w:instrText>
          </w:r>
          <w:r w:rsidR="006A2B22">
            <w:fldChar w:fldCharType="separate"/>
          </w:r>
          <w:r w:rsidR="000416A5">
            <w:rPr>
              <w:noProof/>
            </w:rPr>
            <w:t>[48]</w:t>
          </w:r>
          <w:r w:rsidR="006A2B22">
            <w:fldChar w:fldCharType="end"/>
          </w:r>
        </w:sdtContent>
      </w:sdt>
    </w:p>
    <w:p w14:paraId="5199304D" w14:textId="28E71F22" w:rsidR="00364843" w:rsidRDefault="00364843" w:rsidP="003146A6">
      <w:pPr>
        <w:pStyle w:val="NumberedParagraph"/>
        <w:numPr>
          <w:ilvl w:val="0"/>
          <w:numId w:val="11"/>
        </w:numPr>
        <w:spacing w:before="120" w:after="60"/>
        <w:ind w:left="1077" w:hanging="357"/>
      </w:pPr>
      <w:r>
        <w:t>The Decommissioning of the UK Nuclear Industry’s Facilities</w:t>
      </w:r>
      <w:r w:rsidR="001B363E">
        <w:t xml:space="preserve"> </w:t>
      </w:r>
      <w:sdt>
        <w:sdtPr>
          <w:id w:val="-1740088829"/>
          <w:citation/>
        </w:sdtPr>
        <w:sdtEndPr/>
        <w:sdtContent>
          <w:r w:rsidR="009B0FAC">
            <w:fldChar w:fldCharType="begin"/>
          </w:r>
          <w:r w:rsidR="009B0FAC">
            <w:instrText xml:space="preserve"> CITATION HMG041 \l 2057 </w:instrText>
          </w:r>
          <w:r w:rsidR="009B0FAC">
            <w:fldChar w:fldCharType="separate"/>
          </w:r>
          <w:r w:rsidR="000416A5">
            <w:rPr>
              <w:noProof/>
            </w:rPr>
            <w:t>[49]</w:t>
          </w:r>
          <w:r w:rsidR="009B0FAC">
            <w:fldChar w:fldCharType="end"/>
          </w:r>
        </w:sdtContent>
      </w:sdt>
    </w:p>
    <w:p w14:paraId="7CDEC8B8" w14:textId="61B23BB7" w:rsidR="00364843" w:rsidRDefault="00364843" w:rsidP="003146A6">
      <w:pPr>
        <w:pStyle w:val="NumberedParagraph"/>
        <w:numPr>
          <w:ilvl w:val="0"/>
          <w:numId w:val="11"/>
        </w:numPr>
        <w:spacing w:before="120" w:after="60"/>
        <w:ind w:left="1077" w:hanging="357"/>
      </w:pPr>
      <w:r>
        <w:t>Meeting the Energy Challenge – A White Paper on Nuclear Power</w:t>
      </w:r>
      <w:r w:rsidR="002B2099">
        <w:t xml:space="preserve"> </w:t>
      </w:r>
      <w:sdt>
        <w:sdtPr>
          <w:id w:val="1422523474"/>
          <w:citation/>
        </w:sdtPr>
        <w:sdtEndPr/>
        <w:sdtContent>
          <w:r w:rsidR="002B2099">
            <w:fldChar w:fldCharType="begin"/>
          </w:r>
          <w:r w:rsidR="00236C2A">
            <w:instrText xml:space="preserve">CITATION HMG \l 2057 </w:instrText>
          </w:r>
          <w:r w:rsidR="002B2099">
            <w:fldChar w:fldCharType="separate"/>
          </w:r>
          <w:r w:rsidR="000416A5">
            <w:rPr>
              <w:noProof/>
            </w:rPr>
            <w:t>[50]</w:t>
          </w:r>
          <w:r w:rsidR="002B2099">
            <w:fldChar w:fldCharType="end"/>
          </w:r>
        </w:sdtContent>
      </w:sdt>
    </w:p>
    <w:p w14:paraId="09C73761" w14:textId="0176AEED" w:rsidR="00364843" w:rsidRDefault="00364843" w:rsidP="003146A6">
      <w:pPr>
        <w:pStyle w:val="NumberedParagraph"/>
        <w:numPr>
          <w:ilvl w:val="0"/>
          <w:numId w:val="10"/>
        </w:numPr>
      </w:pPr>
      <w:r>
        <w:t>The Government White Paper</w:t>
      </w:r>
      <w:sdt>
        <w:sdtPr>
          <w:id w:val="1093671480"/>
          <w:citation/>
        </w:sdtPr>
        <w:sdtEndPr/>
        <w:sdtContent>
          <w:r w:rsidR="00E76B60">
            <w:fldChar w:fldCharType="begin"/>
          </w:r>
          <w:r w:rsidR="00E76B60">
            <w:instrText xml:space="preserve"> CITATION Dep2 \l 2057 </w:instrText>
          </w:r>
          <w:r w:rsidR="00E76B60">
            <w:fldChar w:fldCharType="separate"/>
          </w:r>
          <w:r w:rsidR="000416A5">
            <w:rPr>
              <w:noProof/>
            </w:rPr>
            <w:t xml:space="preserve"> [48]</w:t>
          </w:r>
          <w:r w:rsidR="00E76B60">
            <w:fldChar w:fldCharType="end"/>
          </w:r>
        </w:sdtContent>
      </w:sdt>
      <w:r>
        <w:t xml:space="preserve"> was published in July 2002</w:t>
      </w:r>
      <w:r w:rsidR="00E76B60">
        <w:t xml:space="preserve"> and</w:t>
      </w:r>
      <w:r>
        <w:t xml:space="preserve"> gave details on the Government’s plans to set up a Nuclear Decommissioning Authority (NDA) to take responsibility for the liabilities arising from past and future government civil nuclear programmes. The NDA came into operation 01 April 2005. </w:t>
      </w:r>
    </w:p>
    <w:p w14:paraId="3AA43385" w14:textId="2EAC13A9" w:rsidR="00364843" w:rsidRDefault="00364843" w:rsidP="003146A6">
      <w:pPr>
        <w:pStyle w:val="NumberedParagraph"/>
        <w:numPr>
          <w:ilvl w:val="0"/>
          <w:numId w:val="10"/>
        </w:numPr>
      </w:pPr>
      <w:r>
        <w:t xml:space="preserve">The “Decommissioning of the UK Nuclear Industry’s Facilities” decommissioning policy covers all (existing and new) UK nuclear industry facilities </w:t>
      </w:r>
      <w:sdt>
        <w:sdtPr>
          <w:id w:val="777528449"/>
          <w:citation/>
        </w:sdtPr>
        <w:sdtEndPr/>
        <w:sdtContent>
          <w:r w:rsidR="008A4BAD">
            <w:fldChar w:fldCharType="begin"/>
          </w:r>
          <w:r w:rsidR="008A4BAD">
            <w:instrText xml:space="preserve"> CITATION HMG041 \l 2057 </w:instrText>
          </w:r>
          <w:r w:rsidR="008A4BAD">
            <w:fldChar w:fldCharType="separate"/>
          </w:r>
          <w:r w:rsidR="000416A5">
            <w:rPr>
              <w:noProof/>
            </w:rPr>
            <w:t>[49]</w:t>
          </w:r>
          <w:r w:rsidR="008A4BAD">
            <w:fldChar w:fldCharType="end"/>
          </w:r>
        </w:sdtContent>
      </w:sdt>
      <w:r>
        <w:t xml:space="preserve">. This includes power stations, other reactors, research facilities, fuel fabrication and reprocessing plants and laboratories on sites licensed under the NIA65 </w:t>
      </w:r>
      <w:sdt>
        <w:sdtPr>
          <w:id w:val="-2139325994"/>
          <w:citation/>
        </w:sdtPr>
        <w:sdtEndPr/>
        <w:sdtContent>
          <w:r w:rsidR="008A4BAD">
            <w:fldChar w:fldCharType="begin"/>
          </w:r>
          <w:r w:rsidR="008A4BAD">
            <w:instrText xml:space="preserve"> CITATION HMG65 \l 2057 </w:instrText>
          </w:r>
          <w:r w:rsidR="008A4BAD">
            <w:fldChar w:fldCharType="separate"/>
          </w:r>
          <w:r w:rsidR="000416A5">
            <w:rPr>
              <w:noProof/>
            </w:rPr>
            <w:t>[8]</w:t>
          </w:r>
          <w:r w:rsidR="008A4BAD">
            <w:fldChar w:fldCharType="end"/>
          </w:r>
        </w:sdtContent>
      </w:sdt>
      <w:r>
        <w:t xml:space="preserve">. It also includes the site at </w:t>
      </w:r>
      <w:proofErr w:type="spellStart"/>
      <w:r>
        <w:t>Culham</w:t>
      </w:r>
      <w:proofErr w:type="spellEnd"/>
      <w:r>
        <w:t xml:space="preserve"> used for research into fusion and facilities owned by the Ministry of Defence and, where relevant, nuclear submarines and their liabilities. Each nuclear operator is expected to produce and maintain a decommissioning strategy and plans for the site, including its future use.</w:t>
      </w:r>
    </w:p>
    <w:p w14:paraId="48594065" w14:textId="4D4ACA1C" w:rsidR="00364843" w:rsidRDefault="00364843" w:rsidP="003146A6">
      <w:pPr>
        <w:pStyle w:val="NumberedParagraph"/>
        <w:numPr>
          <w:ilvl w:val="0"/>
          <w:numId w:val="10"/>
        </w:numPr>
      </w:pPr>
      <w:r>
        <w:t xml:space="preserve">In 2008, the Government published the paper ‘Meeting the Energy Challenge – A White Paper on Nuclear Power’, which set out the plans to ensure that owners and operators of new nuclear power stations set aside funds over the operating life of their power station to cover the full costs of decommissioning </w:t>
      </w:r>
      <w:sdt>
        <w:sdtPr>
          <w:id w:val="875277069"/>
          <w:citation/>
        </w:sdtPr>
        <w:sdtEndPr/>
        <w:sdtContent>
          <w:r w:rsidR="009C4E06">
            <w:fldChar w:fldCharType="begin"/>
          </w:r>
          <w:r w:rsidR="009C4E06">
            <w:instrText xml:space="preserve"> CITATION HMG \l 2057 </w:instrText>
          </w:r>
          <w:r w:rsidR="009C4E06">
            <w:fldChar w:fldCharType="separate"/>
          </w:r>
          <w:r w:rsidR="000416A5">
            <w:rPr>
              <w:noProof/>
            </w:rPr>
            <w:t>[50]</w:t>
          </w:r>
          <w:r w:rsidR="009C4E06">
            <w:fldChar w:fldCharType="end"/>
          </w:r>
        </w:sdtContent>
      </w:sdt>
      <w:r>
        <w:t>. The Energy Act 2008 created the legal requirement for operators of new nuclear power stations to have secure financing arrangements in place to meet this requirement.</w:t>
      </w:r>
    </w:p>
    <w:p w14:paraId="23083CAF" w14:textId="77777777" w:rsidR="00364843" w:rsidRDefault="00364843" w:rsidP="00A01C3E">
      <w:pPr>
        <w:pStyle w:val="Heading2"/>
      </w:pPr>
      <w:bookmarkStart w:id="337" w:name="_Toc82167033"/>
      <w:bookmarkStart w:id="338" w:name="_Toc117773761"/>
      <w:bookmarkStart w:id="339" w:name="_Toc117774059"/>
      <w:bookmarkStart w:id="340" w:name="_Toc117774179"/>
      <w:bookmarkStart w:id="341" w:name="_Toc124416350"/>
      <w:r>
        <w:t>European Commission Activities</w:t>
      </w:r>
      <w:bookmarkEnd w:id="337"/>
      <w:bookmarkEnd w:id="338"/>
      <w:bookmarkEnd w:id="339"/>
      <w:bookmarkEnd w:id="340"/>
      <w:bookmarkEnd w:id="341"/>
    </w:p>
    <w:p w14:paraId="0E0CBED3" w14:textId="309279CE" w:rsidR="00364843" w:rsidRDefault="00364843" w:rsidP="003146A6">
      <w:pPr>
        <w:pStyle w:val="NumberedParagraph"/>
        <w:numPr>
          <w:ilvl w:val="0"/>
          <w:numId w:val="10"/>
        </w:numPr>
      </w:pPr>
      <w:r>
        <w:t xml:space="preserve">Decommissioning is one of the activities for which the European Commission requires a submission by governments of Member States under Article 37 of the Euratom Treaty. The submission identifies the potential impacts on Member State countries of the decommissioning strategy of a particular nuclear installation. Following the UK’s exit from the EU, the requirements of </w:t>
      </w:r>
      <w:r>
        <w:lastRenderedPageBreak/>
        <w:t>Article 37 have been replaced in UK law by the Transboundary Radioactive Contamination Direction</w:t>
      </w:r>
      <w:r>
        <w:rPr>
          <w:rStyle w:val="FootnoteReference"/>
        </w:rPr>
        <w:footnoteReference w:id="18"/>
      </w:r>
      <w:r>
        <w:t xml:space="preserve"> </w:t>
      </w:r>
      <w:sdt>
        <w:sdtPr>
          <w:id w:val="-2100712732"/>
          <w:citation/>
        </w:sdtPr>
        <w:sdtEndPr/>
        <w:sdtContent>
          <w:r w:rsidR="00281ADA">
            <w:fldChar w:fldCharType="begin"/>
          </w:r>
          <w:r w:rsidR="00281ADA">
            <w:instrText xml:space="preserve"> CITATION HMG20 \l 2057 </w:instrText>
          </w:r>
          <w:r w:rsidR="00281ADA">
            <w:fldChar w:fldCharType="separate"/>
          </w:r>
          <w:r w:rsidR="000416A5">
            <w:rPr>
              <w:noProof/>
            </w:rPr>
            <w:t>[51]</w:t>
          </w:r>
          <w:r w:rsidR="00281ADA">
            <w:fldChar w:fldCharType="end"/>
          </w:r>
        </w:sdtContent>
      </w:sdt>
      <w:sdt>
        <w:sdtPr>
          <w:id w:val="1022670858"/>
          <w:citation/>
        </w:sdtPr>
        <w:sdtEndPr/>
        <w:sdtContent>
          <w:r w:rsidR="00676C89">
            <w:fldChar w:fldCharType="begin"/>
          </w:r>
          <w:r w:rsidR="00937EEE">
            <w:instrText xml:space="preserve">CITATION Sco1 \l 2057 </w:instrText>
          </w:r>
          <w:r w:rsidR="00676C89">
            <w:fldChar w:fldCharType="separate"/>
          </w:r>
          <w:r w:rsidR="000416A5">
            <w:rPr>
              <w:noProof/>
            </w:rPr>
            <w:t xml:space="preserve"> [52]</w:t>
          </w:r>
          <w:r w:rsidR="00676C89">
            <w:fldChar w:fldCharType="end"/>
          </w:r>
        </w:sdtContent>
      </w:sdt>
      <w:r w:rsidR="00937EEE">
        <w:t>.</w:t>
      </w:r>
    </w:p>
    <w:p w14:paraId="1A014F70" w14:textId="77777777" w:rsidR="00364843" w:rsidRDefault="00364843" w:rsidP="003146A6">
      <w:pPr>
        <w:pStyle w:val="NumberedParagraph"/>
        <w:numPr>
          <w:ilvl w:val="0"/>
          <w:numId w:val="10"/>
        </w:numPr>
      </w:pPr>
      <w:r>
        <w:t>EIADR contain arrangements for consultation with other States party to the Agreement on the European Economic Area (EEA) if a decommissioning project is likely to have significant environmental effects on those States. EIADR do not require a submission to the European Commission.</w:t>
      </w:r>
    </w:p>
    <w:p w14:paraId="3F514AAA" w14:textId="31ECA053" w:rsidR="00364843" w:rsidRPr="002050C1" w:rsidRDefault="00364843" w:rsidP="003146A6">
      <w:pPr>
        <w:pStyle w:val="NumberedParagraph"/>
        <w:numPr>
          <w:ilvl w:val="0"/>
          <w:numId w:val="10"/>
        </w:numPr>
      </w:pPr>
      <w:r>
        <w:t xml:space="preserve">Regulations implementing Council Directive 2001/42/EC </w:t>
      </w:r>
      <w:sdt>
        <w:sdtPr>
          <w:id w:val="2125498596"/>
          <w:citation/>
        </w:sdtPr>
        <w:sdtEndPr/>
        <w:sdtContent>
          <w:r w:rsidR="00CE5D14">
            <w:fldChar w:fldCharType="begin"/>
          </w:r>
          <w:r w:rsidR="00CE5D14">
            <w:instrText xml:space="preserve"> CITATION Eur01 \l 2057 </w:instrText>
          </w:r>
          <w:r w:rsidR="00CE5D14">
            <w:fldChar w:fldCharType="separate"/>
          </w:r>
          <w:r w:rsidR="000416A5">
            <w:rPr>
              <w:noProof/>
            </w:rPr>
            <w:t>[53]</w:t>
          </w:r>
          <w:r w:rsidR="00CE5D14">
            <w:fldChar w:fldCharType="end"/>
          </w:r>
        </w:sdtContent>
      </w:sdt>
      <w:r>
        <w:t xml:space="preserve"> on the assessment of the effects of certain plans and programmes on the environment (known as the Strategic Environmental Assessment (SEA) Directive) came into force 21 July 2004. The purposes of the SEA and EIA Directives are related in that both deal with environmental assessment, but the SEA Directive deals with strategic plans and programmes whereas the EIA Directive deals with specific projects (such as decommissioning under EIADR).</w:t>
      </w:r>
    </w:p>
    <w:p w14:paraId="5E872826" w14:textId="77777777" w:rsidR="0019407E" w:rsidRDefault="0019407E">
      <w:pPr>
        <w:spacing w:after="0" w:line="240" w:lineRule="auto"/>
        <w:rPr>
          <w:sz w:val="42"/>
          <w:szCs w:val="36"/>
        </w:rPr>
      </w:pPr>
      <w:r>
        <w:rPr>
          <w:sz w:val="42"/>
          <w:szCs w:val="36"/>
        </w:rPr>
        <w:br w:type="page"/>
      </w:r>
    </w:p>
    <w:p w14:paraId="3C27D00D" w14:textId="7BAF8D99" w:rsidR="00CE5D14" w:rsidRDefault="0019407E" w:rsidP="00CE5D14">
      <w:pPr>
        <w:pStyle w:val="Heading1"/>
        <w:numPr>
          <w:ilvl w:val="0"/>
          <w:numId w:val="0"/>
        </w:numPr>
      </w:pPr>
      <w:bookmarkStart w:id="342" w:name="_Toc124416351"/>
      <w:r>
        <w:lastRenderedPageBreak/>
        <w:t xml:space="preserve">Appendix 3 </w:t>
      </w:r>
      <w:r w:rsidR="00CE5D14">
        <w:t>–</w:t>
      </w:r>
      <w:r>
        <w:t xml:space="preserve"> Screening</w:t>
      </w:r>
      <w:r w:rsidR="00CE5D14">
        <w:t xml:space="preserve"> </w:t>
      </w:r>
      <w:r>
        <w:t>for Changes or Extensions to the Decommissioning of Nuclear Reactors</w:t>
      </w:r>
      <w:bookmarkEnd w:id="342"/>
    </w:p>
    <w:p w14:paraId="350E4854" w14:textId="77777777" w:rsidR="0019407E" w:rsidRDefault="0019407E" w:rsidP="00CE5D14">
      <w:pPr>
        <w:pStyle w:val="Regulationpara"/>
        <w:numPr>
          <w:ilvl w:val="0"/>
          <w:numId w:val="0"/>
        </w:numPr>
        <w:jc w:val="center"/>
      </w:pPr>
      <w:bookmarkStart w:id="343" w:name="_Toc117773763"/>
      <w:bookmarkStart w:id="344" w:name="_Toc117774061"/>
      <w:bookmarkStart w:id="345" w:name="_Toc117774181"/>
      <w:r w:rsidRPr="008A7511">
        <w:rPr>
          <w:noProof/>
        </w:rPr>
        <w:drawing>
          <wp:inline distT="0" distB="0" distL="0" distR="0" wp14:anchorId="7CD4EDA1" wp14:editId="2E8EE4B2">
            <wp:extent cx="4827857" cy="676540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525" t="1748" r="2163" b="-1"/>
                    <a:stretch/>
                  </pic:blipFill>
                  <pic:spPr bwMode="auto">
                    <a:xfrm>
                      <a:off x="0" y="0"/>
                      <a:ext cx="4834989" cy="6775396"/>
                    </a:xfrm>
                    <a:prstGeom prst="rect">
                      <a:avLst/>
                    </a:prstGeom>
                    <a:ln>
                      <a:noFill/>
                    </a:ln>
                    <a:extLst>
                      <a:ext uri="{53640926-AAD7-44D8-BBD7-CCE9431645EC}">
                        <a14:shadowObscured xmlns:a14="http://schemas.microsoft.com/office/drawing/2010/main"/>
                      </a:ext>
                    </a:extLst>
                  </pic:spPr>
                </pic:pic>
              </a:graphicData>
            </a:graphic>
          </wp:inline>
        </w:drawing>
      </w:r>
      <w:bookmarkEnd w:id="343"/>
      <w:bookmarkEnd w:id="344"/>
      <w:bookmarkEnd w:id="345"/>
    </w:p>
    <w:p w14:paraId="06129015" w14:textId="343093DE" w:rsidR="00CE5D14" w:rsidRDefault="00CE5D14" w:rsidP="00CE5D14">
      <w:pPr>
        <w:pStyle w:val="Caption"/>
        <w:jc w:val="center"/>
      </w:pPr>
      <w:r>
        <w:t xml:space="preserve">Figure </w:t>
      </w:r>
      <w:fldSimple w:instr=" SEQ Figure \* ARABIC ">
        <w:r>
          <w:rPr>
            <w:noProof/>
          </w:rPr>
          <w:t>2</w:t>
        </w:r>
      </w:fldSimple>
      <w:r>
        <w:t xml:space="preserve"> - </w:t>
      </w:r>
      <w:r w:rsidRPr="00E064EA">
        <w:t>Screening for Changes or Extensions to the Decommissioning of Nuclear Reactors</w:t>
      </w:r>
      <w:r>
        <w:t xml:space="preserve"> Process</w:t>
      </w:r>
      <w:r w:rsidRPr="00E064EA">
        <w:t xml:space="preserve"> Flowchart</w:t>
      </w:r>
    </w:p>
    <w:p w14:paraId="1FE2D824" w14:textId="77777777" w:rsidR="0019407E" w:rsidRDefault="0019407E" w:rsidP="0019407E">
      <w:pPr>
        <w:pStyle w:val="Heading1"/>
        <w:numPr>
          <w:ilvl w:val="0"/>
          <w:numId w:val="0"/>
        </w:numPr>
      </w:pPr>
      <w:bookmarkStart w:id="346" w:name="_Toc124416352"/>
      <w:r>
        <w:lastRenderedPageBreak/>
        <w:t>Appendix 4 – Procedures for Screening Changes or Extensions to the Decommissioning of Nuclear Reactors</w:t>
      </w:r>
      <w:bookmarkEnd w:id="346"/>
    </w:p>
    <w:p w14:paraId="5C8AA17C" w14:textId="77777777" w:rsidR="0019407E" w:rsidRPr="0083170B" w:rsidRDefault="0019407E" w:rsidP="0019407E">
      <w:r w:rsidRPr="0083170B">
        <w:t xml:space="preserve">The procedure below can be used as a basis for screening changes or extensions to a decommissioning project; however, it is provided as a guide only and licensees may choose alternative suitable methods. ONR may request the licensee to justify any differences between their own screening criteria and that of the ONR. </w:t>
      </w:r>
    </w:p>
    <w:p w14:paraId="4D620C08" w14:textId="77777777" w:rsidR="0019407E" w:rsidRPr="0083170B" w:rsidRDefault="0019407E" w:rsidP="00A01C3E">
      <w:pPr>
        <w:pStyle w:val="Heading3"/>
      </w:pPr>
      <w:r w:rsidRPr="0083170B">
        <w:t>Indicator Tables</w:t>
      </w:r>
    </w:p>
    <w:p w14:paraId="45745DA8" w14:textId="77777777" w:rsidR="0019407E" w:rsidRPr="0083170B" w:rsidRDefault="0019407E" w:rsidP="0019407E">
      <w:r w:rsidRPr="0083170B">
        <w:t xml:space="preserve">The decommissioning phases in the tables in this appendix refer to one </w:t>
      </w:r>
      <w:proofErr w:type="gramStart"/>
      <w:r w:rsidRPr="0083170B">
        <w:t>particular decommissioning</w:t>
      </w:r>
      <w:proofErr w:type="gramEnd"/>
      <w:r w:rsidRPr="0083170B">
        <w:t xml:space="preserve"> strategy; however, the phases as written should reflect the main stages of decommissioning work, no matter how they are arranged in practice:</w:t>
      </w:r>
    </w:p>
    <w:p w14:paraId="1C39CC34" w14:textId="47C13633" w:rsidR="0019407E" w:rsidRPr="0083170B" w:rsidRDefault="00740504" w:rsidP="0019407E">
      <w:pPr>
        <w:pStyle w:val="Bulletlist1"/>
      </w:pPr>
      <w:r>
        <w:fldChar w:fldCharType="begin"/>
      </w:r>
      <w:r>
        <w:instrText xml:space="preserve"> REF _Ref118119178 \h </w:instrText>
      </w:r>
      <w:r>
        <w:fldChar w:fldCharType="separate"/>
      </w:r>
      <w:r w:rsidR="000466D0">
        <w:t>Table 1</w:t>
      </w:r>
      <w:r>
        <w:fldChar w:fldCharType="end"/>
      </w:r>
      <w:r w:rsidR="0019407E" w:rsidRPr="0083170B">
        <w:t>: Changes to transportation arrangements during any phase of the decommissioning process</w:t>
      </w:r>
    </w:p>
    <w:p w14:paraId="705B9605" w14:textId="7BF5BAB7" w:rsidR="0019407E" w:rsidRPr="0083170B" w:rsidRDefault="00740504" w:rsidP="0019407E">
      <w:pPr>
        <w:pStyle w:val="Bulletlist1"/>
      </w:pPr>
      <w:r>
        <w:fldChar w:fldCharType="begin"/>
      </w:r>
      <w:r>
        <w:instrText xml:space="preserve"> REF _Ref118119273 \h </w:instrText>
      </w:r>
      <w:r>
        <w:fldChar w:fldCharType="separate"/>
      </w:r>
      <w:r w:rsidR="004E0280">
        <w:t>Table 2</w:t>
      </w:r>
      <w:r>
        <w:fldChar w:fldCharType="end"/>
      </w:r>
      <w:r w:rsidR="0019407E" w:rsidRPr="0083170B">
        <w:t>: Stage 1 – Care and Maintenance Preparation Phase</w:t>
      </w:r>
    </w:p>
    <w:p w14:paraId="04972153" w14:textId="62AE801F" w:rsidR="0019407E" w:rsidRPr="0083170B" w:rsidRDefault="004E0280" w:rsidP="0019407E">
      <w:pPr>
        <w:pStyle w:val="Bulletlist1"/>
      </w:pPr>
      <w:r>
        <w:fldChar w:fldCharType="begin"/>
      </w:r>
      <w:r>
        <w:instrText xml:space="preserve"> REF _Ref118119621 \h </w:instrText>
      </w:r>
      <w:r>
        <w:fldChar w:fldCharType="separate"/>
      </w:r>
      <w:r>
        <w:t>Table 3</w:t>
      </w:r>
      <w:r>
        <w:fldChar w:fldCharType="end"/>
      </w:r>
      <w:r w:rsidR="0019407E" w:rsidRPr="0083170B">
        <w:t>: Stage 2 – Care and Maintenance Phase</w:t>
      </w:r>
    </w:p>
    <w:p w14:paraId="34E62905" w14:textId="6A61EF99" w:rsidR="0019407E" w:rsidRPr="0083170B" w:rsidRDefault="004E0280" w:rsidP="0019407E">
      <w:pPr>
        <w:pStyle w:val="Bulletlist1"/>
      </w:pPr>
      <w:r>
        <w:fldChar w:fldCharType="begin"/>
      </w:r>
      <w:r>
        <w:instrText xml:space="preserve"> REF _Ref118119630 \h </w:instrText>
      </w:r>
      <w:r>
        <w:fldChar w:fldCharType="separate"/>
      </w:r>
      <w:r>
        <w:t>Table 4</w:t>
      </w:r>
      <w:r>
        <w:fldChar w:fldCharType="end"/>
      </w:r>
      <w:r w:rsidR="0019407E" w:rsidRPr="0083170B">
        <w:t>: Stage 3 – Site Clearance Phase</w:t>
      </w:r>
    </w:p>
    <w:p w14:paraId="7CC083AC" w14:textId="289E5B2B" w:rsidR="0019407E" w:rsidRPr="0083170B" w:rsidRDefault="0019407E" w:rsidP="0019407E">
      <w:r w:rsidRPr="0083170B">
        <w:t xml:space="preserve">Changes to transportation arrangements can occur in any of the three phases and therefore a separate table for transport-related issues is included in </w:t>
      </w:r>
      <w:r w:rsidR="004E0280">
        <w:fldChar w:fldCharType="begin"/>
      </w:r>
      <w:r w:rsidR="004E0280">
        <w:instrText xml:space="preserve"> REF _Ref118119178 \h </w:instrText>
      </w:r>
      <w:r w:rsidR="004E0280">
        <w:fldChar w:fldCharType="separate"/>
      </w:r>
      <w:r w:rsidR="004E0280">
        <w:t xml:space="preserve">Table </w:t>
      </w:r>
      <w:r w:rsidR="004E0280">
        <w:rPr>
          <w:noProof/>
        </w:rPr>
        <w:t>1</w:t>
      </w:r>
      <w:r w:rsidR="004E0280">
        <w:fldChar w:fldCharType="end"/>
      </w:r>
      <w:r w:rsidRPr="0083170B">
        <w:t xml:space="preserve">. </w:t>
      </w:r>
    </w:p>
    <w:p w14:paraId="00885C0B" w14:textId="14A26CC2" w:rsidR="0019407E" w:rsidRDefault="0019407E" w:rsidP="0019407E">
      <w:r w:rsidRPr="0083170B">
        <w:t xml:space="preserve">The tables are arranged to reflect the ‘traffic lights’ principle for screening and are set out in the following way: </w:t>
      </w:r>
    </w:p>
    <w:tbl>
      <w:tblPr>
        <w:tblStyle w:val="ONRTable1"/>
        <w:tblW w:w="5000" w:type="pct"/>
        <w:tblInd w:w="0" w:type="dxa"/>
        <w:tblLook w:val="04A0" w:firstRow="1" w:lastRow="0" w:firstColumn="1" w:lastColumn="0" w:noHBand="0" w:noVBand="1"/>
      </w:tblPr>
      <w:tblGrid>
        <w:gridCol w:w="2545"/>
        <w:gridCol w:w="3264"/>
        <w:gridCol w:w="3217"/>
      </w:tblGrid>
      <w:tr w:rsidR="0019407E" w:rsidRPr="00CE5D14" w14:paraId="575D8974" w14:textId="721E6887" w:rsidTr="00CE5D14">
        <w:trPr>
          <w:cnfStyle w:val="100000000000" w:firstRow="1" w:lastRow="0" w:firstColumn="0" w:lastColumn="0" w:oddVBand="0" w:evenVBand="0" w:oddHBand="0" w:evenHBand="0" w:firstRowFirstColumn="0" w:firstRowLastColumn="0" w:lastRowFirstColumn="0" w:lastRowLastColumn="0"/>
        </w:trPr>
        <w:tc>
          <w:tcPr>
            <w:tcW w:w="1410" w:type="pct"/>
          </w:tcPr>
          <w:p w14:paraId="6182EB14" w14:textId="0A368F4C" w:rsidR="0019407E" w:rsidRPr="00CE5D14" w:rsidRDefault="0019407E" w:rsidP="00D328FC">
            <w:pPr>
              <w:spacing w:before="60" w:after="60"/>
              <w:rPr>
                <w:b w:val="0"/>
                <w:bCs/>
              </w:rPr>
            </w:pPr>
            <w:r w:rsidRPr="00CE5D14">
              <w:rPr>
                <w:b w:val="0"/>
                <w:bCs/>
              </w:rPr>
              <w:t>Column One</w:t>
            </w:r>
          </w:p>
        </w:tc>
        <w:tc>
          <w:tcPr>
            <w:tcW w:w="1808" w:type="pct"/>
          </w:tcPr>
          <w:p w14:paraId="76813F12" w14:textId="1CBE821D" w:rsidR="0019407E" w:rsidRPr="00CE5D14" w:rsidRDefault="0019407E" w:rsidP="00D328FC">
            <w:pPr>
              <w:spacing w:before="60" w:after="60"/>
              <w:rPr>
                <w:b w:val="0"/>
                <w:bCs/>
              </w:rPr>
            </w:pPr>
            <w:r w:rsidRPr="00CE5D14">
              <w:rPr>
                <w:b w:val="0"/>
                <w:bCs/>
              </w:rPr>
              <w:t>Column Two (Green)</w:t>
            </w:r>
          </w:p>
        </w:tc>
        <w:tc>
          <w:tcPr>
            <w:tcW w:w="1782" w:type="pct"/>
          </w:tcPr>
          <w:p w14:paraId="139CED98" w14:textId="57D5803C" w:rsidR="0019407E" w:rsidRPr="00CE5D14" w:rsidRDefault="0019407E" w:rsidP="00D328FC">
            <w:pPr>
              <w:spacing w:before="60" w:after="60"/>
              <w:rPr>
                <w:b w:val="0"/>
                <w:bCs/>
              </w:rPr>
            </w:pPr>
            <w:r w:rsidRPr="00CE5D14">
              <w:rPr>
                <w:b w:val="0"/>
                <w:bCs/>
              </w:rPr>
              <w:t>Column Three (Red)</w:t>
            </w:r>
          </w:p>
        </w:tc>
      </w:tr>
      <w:tr w:rsidR="0019407E" w14:paraId="4CFAA0F3" w14:textId="06539F16" w:rsidTr="00CE5D14">
        <w:tc>
          <w:tcPr>
            <w:tcW w:w="1410" w:type="pct"/>
            <w:vAlign w:val="center"/>
          </w:tcPr>
          <w:p w14:paraId="3A6F00FB" w14:textId="7414E0E0" w:rsidR="0019407E" w:rsidRPr="0019407E" w:rsidRDefault="0019407E" w:rsidP="0019407E">
            <w:pPr>
              <w:spacing w:before="60" w:after="60"/>
              <w:rPr>
                <w:iCs/>
              </w:rPr>
            </w:pPr>
            <w:r w:rsidRPr="0019407E">
              <w:rPr>
                <w:rFonts w:cs="Arial"/>
                <w:iCs/>
              </w:rPr>
              <w:t>Potential Changes</w:t>
            </w:r>
          </w:p>
        </w:tc>
        <w:tc>
          <w:tcPr>
            <w:tcW w:w="1808" w:type="pct"/>
            <w:vAlign w:val="center"/>
          </w:tcPr>
          <w:p w14:paraId="6003ED9B" w14:textId="77777777" w:rsidR="0019407E" w:rsidRPr="0019407E" w:rsidRDefault="0019407E" w:rsidP="0019407E">
            <w:pPr>
              <w:rPr>
                <w:rFonts w:cs="Arial"/>
                <w:iCs/>
              </w:rPr>
            </w:pPr>
            <w:r w:rsidRPr="0019407E">
              <w:rPr>
                <w:rFonts w:cs="Arial"/>
                <w:iCs/>
              </w:rPr>
              <w:t>Indicator of No Significant Adverse Effect</w:t>
            </w:r>
          </w:p>
          <w:p w14:paraId="4F856EDB" w14:textId="11BF3372" w:rsidR="0019407E" w:rsidRPr="0019407E" w:rsidRDefault="0019407E" w:rsidP="0019407E">
            <w:pPr>
              <w:spacing w:before="60" w:after="60"/>
              <w:rPr>
                <w:iCs/>
              </w:rPr>
            </w:pPr>
            <w:r w:rsidRPr="0019407E">
              <w:rPr>
                <w:rFonts w:cs="Arial"/>
                <w:iCs/>
              </w:rPr>
              <w:t>(Does not require EIA)</w:t>
            </w:r>
          </w:p>
        </w:tc>
        <w:tc>
          <w:tcPr>
            <w:tcW w:w="1782" w:type="pct"/>
            <w:vAlign w:val="center"/>
          </w:tcPr>
          <w:p w14:paraId="6F25519C" w14:textId="77777777" w:rsidR="0019407E" w:rsidRPr="0019407E" w:rsidRDefault="0019407E" w:rsidP="0019407E">
            <w:pPr>
              <w:rPr>
                <w:rFonts w:cs="Arial"/>
                <w:iCs/>
              </w:rPr>
            </w:pPr>
            <w:r w:rsidRPr="0019407E">
              <w:rPr>
                <w:rFonts w:cs="Arial"/>
                <w:iCs/>
              </w:rPr>
              <w:t>Indicator of Likely Significant Adverse Effects</w:t>
            </w:r>
          </w:p>
          <w:p w14:paraId="510AD1AD" w14:textId="05B8CC88" w:rsidR="0019407E" w:rsidRPr="0019407E" w:rsidRDefault="0019407E" w:rsidP="0019407E">
            <w:pPr>
              <w:spacing w:before="60" w:after="60"/>
              <w:rPr>
                <w:iCs/>
              </w:rPr>
            </w:pPr>
            <w:r w:rsidRPr="0019407E">
              <w:rPr>
                <w:rFonts w:cs="Arial"/>
                <w:iCs/>
              </w:rPr>
              <w:t>(EIA likely to be required, consult with ONR)</w:t>
            </w:r>
          </w:p>
        </w:tc>
      </w:tr>
    </w:tbl>
    <w:p w14:paraId="5C9DAD75" w14:textId="7310EBC3" w:rsidR="0019407E" w:rsidRPr="0083170B" w:rsidRDefault="0019407E" w:rsidP="00CE5D14">
      <w:pPr>
        <w:spacing w:before="240"/>
      </w:pPr>
      <w:r w:rsidRPr="0083170B">
        <w:t>When an Indicator of No Significant Adverse Effect (Green) has been exceeded but an Indicator of Likely Significant Adverse Effect (Red) has not been triggered, a set of general screening criteria should be applied in conjunction with Schedule 2 of EIADR. The general screening criteria are:</w:t>
      </w:r>
    </w:p>
    <w:p w14:paraId="28144516" w14:textId="77777777" w:rsidR="0019407E" w:rsidRPr="0083170B" w:rsidRDefault="0019407E" w:rsidP="0019407E">
      <w:pPr>
        <w:pStyle w:val="Bulletlist1"/>
      </w:pPr>
      <w:r w:rsidRPr="0083170B">
        <w:t xml:space="preserve">The baseline environmental conditions off-site have changed since the decommissioning works commenced and the change or extension to the </w:t>
      </w:r>
      <w:r w:rsidRPr="0083170B">
        <w:lastRenderedPageBreak/>
        <w:t>decommissioning process has the potential to give rise to significant adverse environmental effects;</w:t>
      </w:r>
    </w:p>
    <w:p w14:paraId="2CAB1FD4" w14:textId="77777777" w:rsidR="0019407E" w:rsidRPr="0083170B" w:rsidRDefault="0019407E" w:rsidP="0019407E">
      <w:pPr>
        <w:pStyle w:val="Bulletlist1"/>
      </w:pPr>
      <w:r w:rsidRPr="0083170B">
        <w:t>The change or extension would delay progress towards an overall reduction of hazard on or off site;</w:t>
      </w:r>
    </w:p>
    <w:p w14:paraId="3BF0E2C1" w14:textId="3620056E" w:rsidR="000C3CE1" w:rsidRDefault="0019407E" w:rsidP="0019407E">
      <w:pPr>
        <w:pStyle w:val="Bulletlist1"/>
      </w:pPr>
      <w:r w:rsidRPr="0083170B">
        <w:t>The change or extension is required due to unforeseen circumstances arising during decommissioning and the change or extension was not considered as part of any former assessment or authorisation process or was assessed and rejected at that time on environmental, health or public safety grounds.</w:t>
      </w:r>
    </w:p>
    <w:p w14:paraId="057D212F" w14:textId="77777777" w:rsidR="000C3CE1" w:rsidRDefault="000C3CE1">
      <w:pPr>
        <w:spacing w:after="0" w:line="240" w:lineRule="auto"/>
        <w:rPr>
          <w:noProof/>
        </w:rPr>
      </w:pPr>
      <w:r>
        <w:br w:type="page"/>
      </w:r>
    </w:p>
    <w:p w14:paraId="761E74F7" w14:textId="77777777" w:rsidR="00FF79A8" w:rsidRDefault="00FF79A8" w:rsidP="0036757D">
      <w:pPr>
        <w:pStyle w:val="Heading1"/>
        <w:numPr>
          <w:ilvl w:val="0"/>
          <w:numId w:val="0"/>
        </w:numPr>
        <w:sectPr w:rsidR="00FF79A8" w:rsidSect="00674954">
          <w:pgSz w:w="11906" w:h="16838"/>
          <w:pgMar w:top="1440" w:right="1440" w:bottom="1440" w:left="1440" w:header="397" w:footer="397" w:gutter="0"/>
          <w:cols w:space="708"/>
          <w:docGrid w:linePitch="360"/>
        </w:sectPr>
      </w:pPr>
    </w:p>
    <w:p w14:paraId="31FB7A13" w14:textId="3B753AEB" w:rsidR="00A12C9E" w:rsidRDefault="00A12C9E" w:rsidP="00A12C9E">
      <w:pPr>
        <w:pStyle w:val="Caption"/>
        <w:keepNext/>
      </w:pPr>
      <w:bookmarkStart w:id="347" w:name="_Ref118119178"/>
      <w:r>
        <w:lastRenderedPageBreak/>
        <w:t xml:space="preserve">Table </w:t>
      </w:r>
      <w:fldSimple w:instr=" SEQ Table \* ARABIC ">
        <w:r w:rsidR="000466D0">
          <w:rPr>
            <w:noProof/>
          </w:rPr>
          <w:t>1</w:t>
        </w:r>
      </w:fldSimple>
      <w:bookmarkEnd w:id="347"/>
      <w:r>
        <w:t xml:space="preserve"> - </w:t>
      </w:r>
      <w:r w:rsidRPr="00190DD7">
        <w:t>Changes to transportation arrangements during any phase of the decommissioning process</w:t>
      </w:r>
    </w:p>
    <w:tbl>
      <w:tblPr>
        <w:tblStyle w:val="TableGrid"/>
        <w:tblW w:w="5000" w:type="pct"/>
        <w:tblLook w:val="04A0" w:firstRow="1" w:lastRow="0" w:firstColumn="1" w:lastColumn="0" w:noHBand="0" w:noVBand="1"/>
      </w:tblPr>
      <w:tblGrid>
        <w:gridCol w:w="2762"/>
        <w:gridCol w:w="4502"/>
        <w:gridCol w:w="6684"/>
      </w:tblGrid>
      <w:tr w:rsidR="00255683" w:rsidRPr="00740504" w14:paraId="2BD2F275" w14:textId="77777777" w:rsidTr="00DE19A2">
        <w:tc>
          <w:tcPr>
            <w:tcW w:w="990" w:type="pct"/>
            <w:vAlign w:val="center"/>
          </w:tcPr>
          <w:p w14:paraId="01F8F53C" w14:textId="242739B8" w:rsidR="00255683" w:rsidRPr="00740504" w:rsidRDefault="000C3CE1" w:rsidP="00D328FC">
            <w:pPr>
              <w:pStyle w:val="ListParagraph"/>
              <w:ind w:left="0"/>
              <w:rPr>
                <w:bCs/>
              </w:rPr>
            </w:pPr>
            <w:r w:rsidRPr="00740504">
              <w:rPr>
                <w:bCs/>
              </w:rPr>
              <w:br w:type="page"/>
            </w:r>
            <w:r w:rsidR="00255683" w:rsidRPr="00740504">
              <w:rPr>
                <w:bCs/>
              </w:rPr>
              <w:t>Column One</w:t>
            </w:r>
          </w:p>
        </w:tc>
        <w:tc>
          <w:tcPr>
            <w:tcW w:w="1614" w:type="pct"/>
            <w:shd w:val="clear" w:color="auto" w:fill="E8F3DA" w:themeFill="accent4" w:themeFillTint="33"/>
            <w:vAlign w:val="center"/>
          </w:tcPr>
          <w:p w14:paraId="46E4A217" w14:textId="77777777" w:rsidR="00255683" w:rsidRPr="00740504" w:rsidRDefault="00255683" w:rsidP="00D328FC">
            <w:pPr>
              <w:rPr>
                <w:bCs/>
              </w:rPr>
            </w:pPr>
            <w:r w:rsidRPr="00740504">
              <w:rPr>
                <w:bCs/>
              </w:rPr>
              <w:t>Column Two (Green)</w:t>
            </w:r>
          </w:p>
        </w:tc>
        <w:tc>
          <w:tcPr>
            <w:tcW w:w="2396" w:type="pct"/>
            <w:shd w:val="clear" w:color="auto" w:fill="FCE0D2" w:themeFill="accent2" w:themeFillTint="33"/>
            <w:vAlign w:val="center"/>
          </w:tcPr>
          <w:p w14:paraId="4C2B150A" w14:textId="77777777" w:rsidR="00255683" w:rsidRPr="00740504" w:rsidRDefault="00255683" w:rsidP="00D328FC">
            <w:pPr>
              <w:rPr>
                <w:bCs/>
              </w:rPr>
            </w:pPr>
            <w:r w:rsidRPr="00740504">
              <w:rPr>
                <w:bCs/>
              </w:rPr>
              <w:t>Column Three (Red)</w:t>
            </w:r>
          </w:p>
        </w:tc>
      </w:tr>
      <w:tr w:rsidR="00255683" w:rsidRPr="005258C9" w14:paraId="7A207D88" w14:textId="77777777" w:rsidTr="00DE19A2">
        <w:tc>
          <w:tcPr>
            <w:tcW w:w="990" w:type="pct"/>
            <w:vAlign w:val="center"/>
          </w:tcPr>
          <w:p w14:paraId="56AC3377" w14:textId="77777777" w:rsidR="00255683" w:rsidRPr="00740504" w:rsidRDefault="00255683" w:rsidP="00D328FC">
            <w:pPr>
              <w:pStyle w:val="ListParagraph"/>
              <w:ind w:left="0"/>
              <w:rPr>
                <w:iCs/>
                <w:sz w:val="22"/>
                <w:szCs w:val="20"/>
              </w:rPr>
            </w:pPr>
            <w:r w:rsidRPr="00740504">
              <w:rPr>
                <w:iCs/>
                <w:sz w:val="22"/>
                <w:szCs w:val="20"/>
              </w:rPr>
              <w:t>Potential Changes</w:t>
            </w:r>
          </w:p>
        </w:tc>
        <w:tc>
          <w:tcPr>
            <w:tcW w:w="1614" w:type="pct"/>
            <w:shd w:val="clear" w:color="auto" w:fill="E8F3DA" w:themeFill="accent4" w:themeFillTint="33"/>
            <w:vAlign w:val="center"/>
          </w:tcPr>
          <w:p w14:paraId="41D02245" w14:textId="310D8080" w:rsidR="00255683" w:rsidRPr="00740504" w:rsidRDefault="00255683" w:rsidP="00740504">
            <w:pPr>
              <w:rPr>
                <w:iCs/>
                <w:sz w:val="22"/>
                <w:szCs w:val="20"/>
              </w:rPr>
            </w:pPr>
            <w:r w:rsidRPr="00740504">
              <w:rPr>
                <w:iCs/>
                <w:sz w:val="22"/>
                <w:szCs w:val="20"/>
              </w:rPr>
              <w:t>Indicator of No Significant Adverse Effect</w:t>
            </w:r>
            <w:r w:rsidR="00740504" w:rsidRPr="00740504">
              <w:rPr>
                <w:iCs/>
                <w:sz w:val="22"/>
                <w:szCs w:val="20"/>
              </w:rPr>
              <w:t xml:space="preserve"> </w:t>
            </w:r>
            <w:r w:rsidRPr="00740504">
              <w:rPr>
                <w:iCs/>
                <w:sz w:val="22"/>
                <w:szCs w:val="20"/>
              </w:rPr>
              <w:t>(Green – does not require EIA)</w:t>
            </w:r>
          </w:p>
        </w:tc>
        <w:tc>
          <w:tcPr>
            <w:tcW w:w="2396" w:type="pct"/>
            <w:shd w:val="clear" w:color="auto" w:fill="FCE0D2" w:themeFill="accent2" w:themeFillTint="33"/>
            <w:vAlign w:val="center"/>
          </w:tcPr>
          <w:p w14:paraId="141EBC0A" w14:textId="36E8EBDD" w:rsidR="00255683" w:rsidRPr="00740504" w:rsidRDefault="00255683" w:rsidP="00740504">
            <w:pPr>
              <w:rPr>
                <w:iCs/>
                <w:sz w:val="22"/>
                <w:szCs w:val="20"/>
              </w:rPr>
            </w:pPr>
            <w:r w:rsidRPr="00740504">
              <w:rPr>
                <w:iCs/>
                <w:sz w:val="22"/>
                <w:szCs w:val="20"/>
              </w:rPr>
              <w:t>Indicator of Likely Significant Adverse Effects</w:t>
            </w:r>
            <w:r w:rsidR="00740504" w:rsidRPr="00740504">
              <w:rPr>
                <w:iCs/>
                <w:sz w:val="22"/>
                <w:szCs w:val="20"/>
              </w:rPr>
              <w:t xml:space="preserve"> </w:t>
            </w:r>
            <w:r w:rsidRPr="00740504">
              <w:rPr>
                <w:iCs/>
                <w:sz w:val="22"/>
                <w:szCs w:val="20"/>
              </w:rPr>
              <w:t>(Red – EIA likely to be required, consult with ONR)</w:t>
            </w:r>
          </w:p>
        </w:tc>
      </w:tr>
      <w:tr w:rsidR="00255683" w:rsidRPr="005258C9" w14:paraId="04DE2E9F" w14:textId="77777777" w:rsidTr="00DE19A2">
        <w:tc>
          <w:tcPr>
            <w:tcW w:w="990" w:type="pct"/>
          </w:tcPr>
          <w:p w14:paraId="4B7CC98F" w14:textId="77777777" w:rsidR="00255683" w:rsidRPr="00740504" w:rsidRDefault="00255683" w:rsidP="003146A6">
            <w:pPr>
              <w:pStyle w:val="ListParagraph"/>
              <w:numPr>
                <w:ilvl w:val="1"/>
                <w:numId w:val="70"/>
              </w:numPr>
              <w:spacing w:before="120" w:after="120" w:line="240" w:lineRule="auto"/>
              <w:ind w:left="284" w:hanging="284"/>
              <w:contextualSpacing w:val="0"/>
              <w:rPr>
                <w:iCs/>
                <w:sz w:val="22"/>
                <w:szCs w:val="20"/>
              </w:rPr>
            </w:pPr>
            <w:r w:rsidRPr="00740504">
              <w:rPr>
                <w:iCs/>
                <w:sz w:val="22"/>
                <w:szCs w:val="20"/>
              </w:rPr>
              <w:t>Change in transport mode availability.</w:t>
            </w:r>
          </w:p>
          <w:p w14:paraId="0D4D563C" w14:textId="77777777" w:rsidR="00255683" w:rsidRPr="00740504" w:rsidRDefault="00255683" w:rsidP="003146A6">
            <w:pPr>
              <w:pStyle w:val="ListParagraph"/>
              <w:numPr>
                <w:ilvl w:val="1"/>
                <w:numId w:val="70"/>
              </w:numPr>
              <w:spacing w:before="120" w:after="120" w:line="240" w:lineRule="auto"/>
              <w:ind w:left="284" w:hanging="284"/>
              <w:contextualSpacing w:val="0"/>
              <w:rPr>
                <w:iCs/>
                <w:sz w:val="22"/>
                <w:szCs w:val="20"/>
              </w:rPr>
            </w:pPr>
            <w:r w:rsidRPr="00740504">
              <w:rPr>
                <w:iCs/>
                <w:sz w:val="22"/>
                <w:szCs w:val="20"/>
              </w:rPr>
              <w:t xml:space="preserve">Change in the level of traffic generated. </w:t>
            </w:r>
          </w:p>
          <w:p w14:paraId="6AF1E2C2" w14:textId="77777777" w:rsidR="00255683" w:rsidRPr="00740504" w:rsidRDefault="00255683" w:rsidP="003146A6">
            <w:pPr>
              <w:pStyle w:val="ListParagraph"/>
              <w:numPr>
                <w:ilvl w:val="1"/>
                <w:numId w:val="70"/>
              </w:numPr>
              <w:spacing w:before="120" w:after="120" w:line="240" w:lineRule="auto"/>
              <w:ind w:left="284" w:hanging="284"/>
              <w:contextualSpacing w:val="0"/>
              <w:rPr>
                <w:iCs/>
                <w:sz w:val="22"/>
                <w:szCs w:val="20"/>
              </w:rPr>
            </w:pPr>
            <w:r w:rsidRPr="00740504">
              <w:rPr>
                <w:iCs/>
                <w:sz w:val="22"/>
                <w:szCs w:val="20"/>
              </w:rPr>
              <w:t xml:space="preserve">Change in transport routes. </w:t>
            </w:r>
          </w:p>
          <w:p w14:paraId="5C9517B3" w14:textId="77777777" w:rsidR="00255683" w:rsidRPr="00740504" w:rsidRDefault="00255683" w:rsidP="003146A6">
            <w:pPr>
              <w:pStyle w:val="ListParagraph"/>
              <w:numPr>
                <w:ilvl w:val="1"/>
                <w:numId w:val="70"/>
              </w:numPr>
              <w:spacing w:before="120" w:after="120" w:line="240" w:lineRule="auto"/>
              <w:ind w:left="284" w:hanging="284"/>
              <w:contextualSpacing w:val="0"/>
              <w:rPr>
                <w:iCs/>
                <w:sz w:val="22"/>
                <w:szCs w:val="20"/>
              </w:rPr>
            </w:pPr>
            <w:r w:rsidRPr="00740504">
              <w:rPr>
                <w:iCs/>
                <w:sz w:val="22"/>
                <w:szCs w:val="20"/>
              </w:rPr>
              <w:t xml:space="preserve">Change in transport modal split. </w:t>
            </w:r>
          </w:p>
        </w:tc>
        <w:tc>
          <w:tcPr>
            <w:tcW w:w="1614" w:type="pct"/>
            <w:shd w:val="clear" w:color="auto" w:fill="E8F3DA" w:themeFill="accent4" w:themeFillTint="33"/>
          </w:tcPr>
          <w:p w14:paraId="5EBB052B" w14:textId="77777777" w:rsidR="00255683" w:rsidRPr="00740504" w:rsidRDefault="00255683" w:rsidP="003146A6">
            <w:pPr>
              <w:pStyle w:val="ListParagraph"/>
              <w:numPr>
                <w:ilvl w:val="2"/>
                <w:numId w:val="70"/>
              </w:numPr>
              <w:autoSpaceDE w:val="0"/>
              <w:autoSpaceDN w:val="0"/>
              <w:adjustRightInd w:val="0"/>
              <w:spacing w:before="120" w:after="120" w:line="240" w:lineRule="auto"/>
              <w:contextualSpacing w:val="0"/>
              <w:rPr>
                <w:iCs/>
                <w:sz w:val="22"/>
                <w:szCs w:val="20"/>
              </w:rPr>
            </w:pPr>
            <w:r w:rsidRPr="00740504">
              <w:rPr>
                <w:iCs/>
                <w:sz w:val="22"/>
                <w:szCs w:val="20"/>
              </w:rPr>
              <w:t xml:space="preserve">Alternative transportation arrangements would make use of existing routes and modes (including modal split) that have been previously subject to environmental assessment and predicted traffic generation would not represent more than a 5% increase in the originally predicted </w:t>
            </w:r>
            <w:proofErr w:type="gramStart"/>
            <w:r w:rsidRPr="00740504">
              <w:rPr>
                <w:iCs/>
                <w:sz w:val="22"/>
                <w:szCs w:val="20"/>
              </w:rPr>
              <w:t>flows;</w:t>
            </w:r>
            <w:proofErr w:type="gramEnd"/>
            <w:r w:rsidRPr="00740504">
              <w:rPr>
                <w:iCs/>
                <w:sz w:val="22"/>
                <w:szCs w:val="20"/>
              </w:rPr>
              <w:t xml:space="preserve"> and</w:t>
            </w:r>
          </w:p>
          <w:p w14:paraId="47C225FA" w14:textId="77777777" w:rsidR="00255683" w:rsidRPr="00740504" w:rsidRDefault="00255683" w:rsidP="003146A6">
            <w:pPr>
              <w:pStyle w:val="ListParagraph"/>
              <w:numPr>
                <w:ilvl w:val="2"/>
                <w:numId w:val="70"/>
              </w:numPr>
              <w:autoSpaceDE w:val="0"/>
              <w:autoSpaceDN w:val="0"/>
              <w:adjustRightInd w:val="0"/>
              <w:spacing w:before="120" w:after="120" w:line="240" w:lineRule="auto"/>
              <w:contextualSpacing w:val="0"/>
              <w:rPr>
                <w:iCs/>
                <w:sz w:val="22"/>
                <w:szCs w:val="20"/>
              </w:rPr>
            </w:pPr>
            <w:r w:rsidRPr="00740504">
              <w:rPr>
                <w:iCs/>
                <w:sz w:val="22"/>
                <w:szCs w:val="20"/>
              </w:rPr>
              <w:t>The change or extension would not result in other changes or extensions that would exceed any of the indicators set out in Column Two of these tables.</w:t>
            </w:r>
          </w:p>
        </w:tc>
        <w:tc>
          <w:tcPr>
            <w:tcW w:w="2396" w:type="pct"/>
            <w:shd w:val="clear" w:color="auto" w:fill="FCE0D2" w:themeFill="accent2" w:themeFillTint="33"/>
          </w:tcPr>
          <w:p w14:paraId="7E37BC1C" w14:textId="77777777" w:rsidR="00255683" w:rsidRPr="00740504" w:rsidRDefault="00255683" w:rsidP="003146A6">
            <w:pPr>
              <w:pStyle w:val="ListParagraph"/>
              <w:numPr>
                <w:ilvl w:val="0"/>
                <w:numId w:val="77"/>
              </w:numPr>
              <w:autoSpaceDE w:val="0"/>
              <w:autoSpaceDN w:val="0"/>
              <w:adjustRightInd w:val="0"/>
              <w:spacing w:before="120" w:after="120" w:line="240" w:lineRule="auto"/>
              <w:contextualSpacing w:val="0"/>
              <w:rPr>
                <w:iCs/>
                <w:sz w:val="22"/>
                <w:szCs w:val="20"/>
              </w:rPr>
            </w:pPr>
            <w:r w:rsidRPr="00740504">
              <w:rPr>
                <w:iCs/>
                <w:sz w:val="22"/>
                <w:szCs w:val="20"/>
              </w:rPr>
              <w:t>The change or extension requires prior permission from a competent authority under relevant regulations; or</w:t>
            </w:r>
          </w:p>
          <w:p w14:paraId="3B388BA3" w14:textId="77777777" w:rsidR="00255683" w:rsidRPr="00740504" w:rsidRDefault="00255683" w:rsidP="003146A6">
            <w:pPr>
              <w:pStyle w:val="ListParagraph"/>
              <w:numPr>
                <w:ilvl w:val="0"/>
                <w:numId w:val="77"/>
              </w:numPr>
              <w:autoSpaceDE w:val="0"/>
              <w:autoSpaceDN w:val="0"/>
              <w:adjustRightInd w:val="0"/>
              <w:spacing w:before="120" w:after="120" w:line="240" w:lineRule="auto"/>
              <w:contextualSpacing w:val="0"/>
              <w:rPr>
                <w:iCs/>
                <w:sz w:val="22"/>
                <w:szCs w:val="20"/>
              </w:rPr>
            </w:pPr>
            <w:r w:rsidRPr="00740504">
              <w:rPr>
                <w:iCs/>
                <w:sz w:val="22"/>
                <w:szCs w:val="20"/>
              </w:rPr>
              <w:t>The change or extension would require alterations to the transportation modal split, with potential for causing significant adverse environmental effects; or predicted traffic generation would represent more than a 5% increase in the originally predicted flows; or</w:t>
            </w:r>
          </w:p>
          <w:p w14:paraId="0351C3A9" w14:textId="77777777" w:rsidR="00255683" w:rsidRPr="00740504" w:rsidRDefault="00255683" w:rsidP="003146A6">
            <w:pPr>
              <w:pStyle w:val="ListParagraph"/>
              <w:numPr>
                <w:ilvl w:val="0"/>
                <w:numId w:val="77"/>
              </w:numPr>
              <w:autoSpaceDE w:val="0"/>
              <w:autoSpaceDN w:val="0"/>
              <w:adjustRightInd w:val="0"/>
              <w:spacing w:before="120" w:after="120" w:line="240" w:lineRule="auto"/>
              <w:contextualSpacing w:val="0"/>
              <w:rPr>
                <w:iCs/>
                <w:sz w:val="22"/>
                <w:szCs w:val="20"/>
              </w:rPr>
            </w:pPr>
            <w:r w:rsidRPr="00740504">
              <w:rPr>
                <w:iCs/>
                <w:sz w:val="22"/>
                <w:szCs w:val="20"/>
              </w:rPr>
              <w:t>Changes to transportation arrangements would involve the use of new or alternative routes or modes of transportation that have not previously been subject to environmental assessment; or</w:t>
            </w:r>
          </w:p>
          <w:p w14:paraId="72CBDCE5" w14:textId="77777777" w:rsidR="00255683" w:rsidRPr="00740504" w:rsidRDefault="00255683" w:rsidP="003146A6">
            <w:pPr>
              <w:pStyle w:val="ListParagraph"/>
              <w:numPr>
                <w:ilvl w:val="0"/>
                <w:numId w:val="77"/>
              </w:numPr>
              <w:autoSpaceDE w:val="0"/>
              <w:autoSpaceDN w:val="0"/>
              <w:adjustRightInd w:val="0"/>
              <w:spacing w:before="120" w:after="120" w:line="240" w:lineRule="auto"/>
              <w:contextualSpacing w:val="0"/>
              <w:rPr>
                <w:iCs/>
                <w:sz w:val="22"/>
                <w:szCs w:val="20"/>
              </w:rPr>
            </w:pPr>
            <w:r w:rsidRPr="00740504">
              <w:rPr>
                <w:iCs/>
                <w:sz w:val="22"/>
                <w:szCs w:val="20"/>
              </w:rPr>
              <w:t>The changed transportation arrangements would require highway improvement works likely to have significant adverse environmental effects; or</w:t>
            </w:r>
          </w:p>
          <w:p w14:paraId="11E6275F" w14:textId="77777777" w:rsidR="00255683" w:rsidRPr="00740504" w:rsidRDefault="00255683" w:rsidP="003146A6">
            <w:pPr>
              <w:pStyle w:val="ListParagraph"/>
              <w:numPr>
                <w:ilvl w:val="0"/>
                <w:numId w:val="77"/>
              </w:numPr>
              <w:autoSpaceDE w:val="0"/>
              <w:autoSpaceDN w:val="0"/>
              <w:adjustRightInd w:val="0"/>
              <w:spacing w:before="120" w:after="120" w:line="240" w:lineRule="auto"/>
              <w:contextualSpacing w:val="0"/>
              <w:rPr>
                <w:iCs/>
                <w:sz w:val="22"/>
                <w:szCs w:val="20"/>
              </w:rPr>
            </w:pPr>
            <w:r w:rsidRPr="00740504">
              <w:rPr>
                <w:iCs/>
                <w:sz w:val="22"/>
                <w:szCs w:val="20"/>
              </w:rPr>
              <w:t>The change or extension was considered and rejected at an earlier assessment on environmental or health or public safety grounds or a combination of these factors; or</w:t>
            </w:r>
          </w:p>
          <w:p w14:paraId="45811A63" w14:textId="77777777" w:rsidR="00255683" w:rsidRPr="00740504" w:rsidRDefault="00255683" w:rsidP="003146A6">
            <w:pPr>
              <w:pStyle w:val="ListParagraph"/>
              <w:numPr>
                <w:ilvl w:val="0"/>
                <w:numId w:val="77"/>
              </w:numPr>
              <w:autoSpaceDE w:val="0"/>
              <w:autoSpaceDN w:val="0"/>
              <w:adjustRightInd w:val="0"/>
              <w:spacing w:before="120" w:after="120" w:line="240" w:lineRule="auto"/>
              <w:contextualSpacing w:val="0"/>
              <w:rPr>
                <w:iCs/>
                <w:sz w:val="22"/>
                <w:szCs w:val="20"/>
              </w:rPr>
            </w:pPr>
            <w:r w:rsidRPr="00740504">
              <w:rPr>
                <w:iCs/>
                <w:sz w:val="22"/>
                <w:szCs w:val="20"/>
              </w:rPr>
              <w:t>The change or extension would result in other changes or extensions that would exceed any of the indicators set out in Column Three of these tables.</w:t>
            </w:r>
          </w:p>
        </w:tc>
      </w:tr>
    </w:tbl>
    <w:p w14:paraId="38325747" w14:textId="77777777" w:rsidR="00331ED1" w:rsidRDefault="00331ED1">
      <w:pPr>
        <w:spacing w:after="0" w:line="240" w:lineRule="auto"/>
        <w:rPr>
          <w:noProof/>
          <w:color w:val="22413A"/>
          <w:sz w:val="48"/>
        </w:rPr>
      </w:pPr>
      <w:r>
        <w:rPr>
          <w:noProof/>
        </w:rPr>
        <w:br w:type="page"/>
      </w:r>
    </w:p>
    <w:p w14:paraId="59C740E6" w14:textId="09AA6B08" w:rsidR="00740504" w:rsidRDefault="00740504" w:rsidP="00740504">
      <w:pPr>
        <w:pStyle w:val="Caption"/>
        <w:keepNext/>
      </w:pPr>
      <w:bookmarkStart w:id="348" w:name="_Ref118119273"/>
      <w:r>
        <w:lastRenderedPageBreak/>
        <w:t xml:space="preserve">Table </w:t>
      </w:r>
      <w:fldSimple w:instr=" SEQ Table \* ARABIC ">
        <w:r w:rsidR="000466D0">
          <w:rPr>
            <w:noProof/>
          </w:rPr>
          <w:t>2</w:t>
        </w:r>
      </w:fldSimple>
      <w:bookmarkEnd w:id="348"/>
      <w:r>
        <w:t xml:space="preserve"> - </w:t>
      </w:r>
      <w:r w:rsidRPr="00393150">
        <w:t>Stage 1 – Care and Maintenance Preparations Phase</w:t>
      </w:r>
    </w:p>
    <w:tbl>
      <w:tblPr>
        <w:tblStyle w:val="TableGrid"/>
        <w:tblW w:w="5000" w:type="pct"/>
        <w:jc w:val="center"/>
        <w:tblLook w:val="04A0" w:firstRow="1" w:lastRow="0" w:firstColumn="1" w:lastColumn="0" w:noHBand="0" w:noVBand="1"/>
      </w:tblPr>
      <w:tblGrid>
        <w:gridCol w:w="2678"/>
        <w:gridCol w:w="5144"/>
        <w:gridCol w:w="6126"/>
      </w:tblGrid>
      <w:tr w:rsidR="00F81429" w:rsidRPr="00740504" w14:paraId="1D5D553C" w14:textId="77777777" w:rsidTr="00DE19A2">
        <w:trPr>
          <w:cantSplit/>
          <w:tblHeader/>
          <w:jc w:val="center"/>
        </w:trPr>
        <w:tc>
          <w:tcPr>
            <w:tcW w:w="960" w:type="pct"/>
            <w:vAlign w:val="center"/>
          </w:tcPr>
          <w:p w14:paraId="69972D5F" w14:textId="3856FF60" w:rsidR="00F81429" w:rsidRPr="00740504" w:rsidRDefault="00F81429" w:rsidP="00D328FC">
            <w:pPr>
              <w:pStyle w:val="ListParagraph"/>
              <w:ind w:left="0"/>
              <w:rPr>
                <w:bCs/>
              </w:rPr>
            </w:pPr>
            <w:r w:rsidRPr="00740504">
              <w:rPr>
                <w:bCs/>
              </w:rPr>
              <w:t>Column One</w:t>
            </w:r>
          </w:p>
        </w:tc>
        <w:tc>
          <w:tcPr>
            <w:tcW w:w="1844" w:type="pct"/>
            <w:shd w:val="clear" w:color="auto" w:fill="E8F3DA" w:themeFill="accent4" w:themeFillTint="33"/>
            <w:vAlign w:val="center"/>
          </w:tcPr>
          <w:p w14:paraId="67B479D7" w14:textId="77777777" w:rsidR="00F81429" w:rsidRPr="00740504" w:rsidRDefault="00F81429" w:rsidP="00D328FC">
            <w:pPr>
              <w:rPr>
                <w:bCs/>
              </w:rPr>
            </w:pPr>
            <w:r w:rsidRPr="00740504">
              <w:rPr>
                <w:bCs/>
              </w:rPr>
              <w:t>Column Two (Green)</w:t>
            </w:r>
          </w:p>
        </w:tc>
        <w:tc>
          <w:tcPr>
            <w:tcW w:w="2196" w:type="pct"/>
            <w:shd w:val="clear" w:color="auto" w:fill="FCE0D2" w:themeFill="accent2" w:themeFillTint="33"/>
            <w:vAlign w:val="center"/>
          </w:tcPr>
          <w:p w14:paraId="11B30F44" w14:textId="77777777" w:rsidR="00F81429" w:rsidRPr="00740504" w:rsidRDefault="00F81429" w:rsidP="00D328FC">
            <w:pPr>
              <w:rPr>
                <w:bCs/>
              </w:rPr>
            </w:pPr>
            <w:r w:rsidRPr="00740504">
              <w:rPr>
                <w:bCs/>
              </w:rPr>
              <w:t>Column Three (Red)</w:t>
            </w:r>
          </w:p>
        </w:tc>
      </w:tr>
      <w:tr w:rsidR="00F81429" w:rsidRPr="005258C9" w14:paraId="53907EB9" w14:textId="77777777" w:rsidTr="00DE19A2">
        <w:trPr>
          <w:cantSplit/>
          <w:tblHeader/>
          <w:jc w:val="center"/>
        </w:trPr>
        <w:tc>
          <w:tcPr>
            <w:tcW w:w="960" w:type="pct"/>
            <w:vAlign w:val="center"/>
          </w:tcPr>
          <w:p w14:paraId="209B94BF" w14:textId="77777777" w:rsidR="00F81429" w:rsidRPr="00740504" w:rsidRDefault="00F81429" w:rsidP="00D328FC">
            <w:pPr>
              <w:pStyle w:val="ListParagraph"/>
              <w:ind w:left="0"/>
              <w:rPr>
                <w:iCs/>
                <w:sz w:val="22"/>
                <w:szCs w:val="20"/>
              </w:rPr>
            </w:pPr>
            <w:r w:rsidRPr="00740504">
              <w:rPr>
                <w:iCs/>
                <w:sz w:val="22"/>
                <w:szCs w:val="20"/>
              </w:rPr>
              <w:t>Potential Changes</w:t>
            </w:r>
          </w:p>
        </w:tc>
        <w:tc>
          <w:tcPr>
            <w:tcW w:w="1844" w:type="pct"/>
            <w:shd w:val="clear" w:color="auto" w:fill="E8F3DA" w:themeFill="accent4" w:themeFillTint="33"/>
            <w:vAlign w:val="center"/>
          </w:tcPr>
          <w:p w14:paraId="0245BA3B" w14:textId="781E075E" w:rsidR="00F81429" w:rsidRPr="00740504" w:rsidRDefault="00F81429" w:rsidP="00740504">
            <w:pPr>
              <w:rPr>
                <w:iCs/>
                <w:sz w:val="22"/>
                <w:szCs w:val="20"/>
              </w:rPr>
            </w:pPr>
            <w:r w:rsidRPr="00740504">
              <w:rPr>
                <w:iCs/>
                <w:sz w:val="22"/>
                <w:szCs w:val="20"/>
              </w:rPr>
              <w:t>Indicator of No Significant Adverse Effect</w:t>
            </w:r>
            <w:r w:rsidR="00740504" w:rsidRPr="00740504">
              <w:rPr>
                <w:iCs/>
                <w:sz w:val="22"/>
                <w:szCs w:val="20"/>
              </w:rPr>
              <w:t xml:space="preserve"> </w:t>
            </w:r>
            <w:r w:rsidRPr="00740504">
              <w:rPr>
                <w:iCs/>
                <w:sz w:val="22"/>
                <w:szCs w:val="20"/>
              </w:rPr>
              <w:t>(Green – does not require EIA)</w:t>
            </w:r>
          </w:p>
        </w:tc>
        <w:tc>
          <w:tcPr>
            <w:tcW w:w="2196" w:type="pct"/>
            <w:shd w:val="clear" w:color="auto" w:fill="FCE0D2" w:themeFill="accent2" w:themeFillTint="33"/>
            <w:vAlign w:val="center"/>
          </w:tcPr>
          <w:p w14:paraId="2DACA707" w14:textId="68C37086" w:rsidR="00F81429" w:rsidRPr="00740504" w:rsidRDefault="00F81429" w:rsidP="00740504">
            <w:pPr>
              <w:rPr>
                <w:iCs/>
                <w:sz w:val="22"/>
                <w:szCs w:val="20"/>
              </w:rPr>
            </w:pPr>
            <w:r w:rsidRPr="00740504">
              <w:rPr>
                <w:iCs/>
                <w:sz w:val="22"/>
                <w:szCs w:val="20"/>
              </w:rPr>
              <w:t>Indicator of Likely Significant Adverse Effects</w:t>
            </w:r>
            <w:r w:rsidR="00740504" w:rsidRPr="00740504">
              <w:rPr>
                <w:iCs/>
                <w:sz w:val="22"/>
                <w:szCs w:val="20"/>
              </w:rPr>
              <w:t xml:space="preserve"> </w:t>
            </w:r>
            <w:r w:rsidRPr="00740504">
              <w:rPr>
                <w:iCs/>
                <w:sz w:val="22"/>
                <w:szCs w:val="20"/>
              </w:rPr>
              <w:t>(Red – EIA likely to be required, consult with ONR)</w:t>
            </w:r>
          </w:p>
        </w:tc>
      </w:tr>
      <w:tr w:rsidR="00F81429" w:rsidRPr="005258C9" w14:paraId="3415BDB5" w14:textId="77777777" w:rsidTr="00DE19A2">
        <w:trPr>
          <w:cantSplit/>
          <w:jc w:val="center"/>
        </w:trPr>
        <w:tc>
          <w:tcPr>
            <w:tcW w:w="960" w:type="pct"/>
          </w:tcPr>
          <w:p w14:paraId="695A6E79" w14:textId="77777777" w:rsidR="00F81429" w:rsidRPr="00740504" w:rsidRDefault="00F81429" w:rsidP="003146A6">
            <w:pPr>
              <w:pStyle w:val="ListParagraph"/>
              <w:numPr>
                <w:ilvl w:val="0"/>
                <w:numId w:val="78"/>
              </w:numPr>
              <w:spacing w:before="120" w:after="120" w:line="240" w:lineRule="auto"/>
              <w:ind w:left="357" w:hanging="357"/>
              <w:contextualSpacing w:val="0"/>
              <w:rPr>
                <w:iCs/>
                <w:sz w:val="22"/>
                <w:szCs w:val="20"/>
              </w:rPr>
            </w:pPr>
            <w:r w:rsidRPr="00740504">
              <w:rPr>
                <w:iCs/>
                <w:sz w:val="22"/>
                <w:szCs w:val="20"/>
              </w:rPr>
              <w:t xml:space="preserve">Volume of contaminated material, wastes or soil greater than expected – resulting in a need to increase size of ILW store or other buildings etc. </w:t>
            </w:r>
          </w:p>
        </w:tc>
        <w:tc>
          <w:tcPr>
            <w:tcW w:w="1844" w:type="pct"/>
            <w:shd w:val="clear" w:color="auto" w:fill="E8F3DA" w:themeFill="accent4" w:themeFillTint="33"/>
          </w:tcPr>
          <w:p w14:paraId="4D4D0E0B" w14:textId="77777777" w:rsidR="00F81429" w:rsidRPr="00740504" w:rsidRDefault="00F81429" w:rsidP="003146A6">
            <w:pPr>
              <w:pStyle w:val="ListParagraph"/>
              <w:numPr>
                <w:ilvl w:val="0"/>
                <w:numId w:val="79"/>
              </w:numPr>
              <w:autoSpaceDE w:val="0"/>
              <w:autoSpaceDN w:val="0"/>
              <w:adjustRightInd w:val="0"/>
              <w:spacing w:before="120" w:after="120" w:line="240" w:lineRule="auto"/>
              <w:ind w:left="357" w:hanging="357"/>
              <w:contextualSpacing w:val="0"/>
              <w:rPr>
                <w:iCs/>
                <w:sz w:val="22"/>
                <w:szCs w:val="20"/>
              </w:rPr>
            </w:pPr>
            <w:r w:rsidRPr="00740504">
              <w:rPr>
                <w:iCs/>
                <w:sz w:val="22"/>
                <w:szCs w:val="20"/>
              </w:rPr>
              <w:t>The change or extension would not result in new development as defined by s55 (1) Town and Country Planning Act 1990; and</w:t>
            </w:r>
          </w:p>
          <w:p w14:paraId="2020A007" w14:textId="77777777" w:rsidR="00F81429" w:rsidRPr="00740504" w:rsidRDefault="00F81429" w:rsidP="003146A6">
            <w:pPr>
              <w:pStyle w:val="ListParagraph"/>
              <w:numPr>
                <w:ilvl w:val="0"/>
                <w:numId w:val="79"/>
              </w:numPr>
              <w:autoSpaceDE w:val="0"/>
              <w:autoSpaceDN w:val="0"/>
              <w:adjustRightInd w:val="0"/>
              <w:spacing w:before="120" w:after="120" w:line="240" w:lineRule="auto"/>
              <w:ind w:left="357" w:hanging="357"/>
              <w:contextualSpacing w:val="0"/>
              <w:rPr>
                <w:iCs/>
                <w:sz w:val="22"/>
                <w:szCs w:val="20"/>
              </w:rPr>
            </w:pPr>
            <w:r w:rsidRPr="00740504">
              <w:rPr>
                <w:iCs/>
                <w:sz w:val="22"/>
                <w:szCs w:val="20"/>
              </w:rPr>
              <w:t xml:space="preserve"> The increase in the size of the store does not exceed a 25% increase in cubic capacity or 1000 square metres of floor </w:t>
            </w:r>
            <w:proofErr w:type="gramStart"/>
            <w:r w:rsidRPr="00740504">
              <w:rPr>
                <w:iCs/>
                <w:sz w:val="22"/>
                <w:szCs w:val="20"/>
              </w:rPr>
              <w:t>space;</w:t>
            </w:r>
            <w:proofErr w:type="gramEnd"/>
            <w:r w:rsidRPr="00740504">
              <w:rPr>
                <w:iCs/>
                <w:sz w:val="22"/>
                <w:szCs w:val="20"/>
              </w:rPr>
              <w:t xml:space="preserve"> and</w:t>
            </w:r>
          </w:p>
          <w:p w14:paraId="1EA7F2D4" w14:textId="77777777" w:rsidR="00F81429" w:rsidRPr="00740504" w:rsidRDefault="00F81429" w:rsidP="003146A6">
            <w:pPr>
              <w:pStyle w:val="ListParagraph"/>
              <w:numPr>
                <w:ilvl w:val="0"/>
                <w:numId w:val="79"/>
              </w:numPr>
              <w:autoSpaceDE w:val="0"/>
              <w:autoSpaceDN w:val="0"/>
              <w:adjustRightInd w:val="0"/>
              <w:spacing w:before="120" w:after="120" w:line="240" w:lineRule="auto"/>
              <w:ind w:left="357" w:hanging="357"/>
              <w:contextualSpacing w:val="0"/>
              <w:rPr>
                <w:iCs/>
                <w:sz w:val="22"/>
                <w:szCs w:val="20"/>
              </w:rPr>
            </w:pPr>
            <w:r w:rsidRPr="00740504">
              <w:rPr>
                <w:iCs/>
                <w:sz w:val="22"/>
                <w:szCs w:val="20"/>
              </w:rPr>
              <w:t xml:space="preserve">The construction or operation of any new or extended building would not increase background noise levels at the site boundary by more than 5 </w:t>
            </w:r>
            <w:proofErr w:type="gramStart"/>
            <w:r w:rsidRPr="00740504">
              <w:rPr>
                <w:iCs/>
                <w:sz w:val="22"/>
                <w:szCs w:val="20"/>
              </w:rPr>
              <w:t>decibels;</w:t>
            </w:r>
            <w:proofErr w:type="gramEnd"/>
            <w:r w:rsidRPr="00740504">
              <w:rPr>
                <w:iCs/>
                <w:sz w:val="22"/>
                <w:szCs w:val="20"/>
              </w:rPr>
              <w:t xml:space="preserve"> and</w:t>
            </w:r>
          </w:p>
          <w:p w14:paraId="2C1B7107" w14:textId="77777777" w:rsidR="00F81429" w:rsidRPr="00740504" w:rsidRDefault="00F81429" w:rsidP="003146A6">
            <w:pPr>
              <w:pStyle w:val="ListParagraph"/>
              <w:numPr>
                <w:ilvl w:val="0"/>
                <w:numId w:val="79"/>
              </w:numPr>
              <w:autoSpaceDE w:val="0"/>
              <w:autoSpaceDN w:val="0"/>
              <w:adjustRightInd w:val="0"/>
              <w:spacing w:before="120" w:after="120" w:line="240" w:lineRule="auto"/>
              <w:ind w:left="357" w:hanging="357"/>
              <w:contextualSpacing w:val="0"/>
              <w:rPr>
                <w:iCs/>
                <w:sz w:val="22"/>
                <w:szCs w:val="20"/>
              </w:rPr>
            </w:pPr>
            <w:r w:rsidRPr="00740504">
              <w:rPr>
                <w:iCs/>
                <w:sz w:val="22"/>
                <w:szCs w:val="20"/>
              </w:rPr>
              <w:t xml:space="preserve">The change or extension would not increase emissions to land, </w:t>
            </w:r>
            <w:proofErr w:type="gramStart"/>
            <w:r w:rsidRPr="00740504">
              <w:rPr>
                <w:iCs/>
                <w:sz w:val="22"/>
                <w:szCs w:val="20"/>
              </w:rPr>
              <w:t>air</w:t>
            </w:r>
            <w:proofErr w:type="gramEnd"/>
            <w:r w:rsidRPr="00740504">
              <w:rPr>
                <w:iCs/>
                <w:sz w:val="22"/>
                <w:szCs w:val="20"/>
              </w:rPr>
              <w:t xml:space="preserve"> or water; and</w:t>
            </w:r>
          </w:p>
          <w:p w14:paraId="33CBF45B" w14:textId="77777777" w:rsidR="00F81429" w:rsidRPr="00740504" w:rsidRDefault="00F81429" w:rsidP="003146A6">
            <w:pPr>
              <w:pStyle w:val="ListParagraph"/>
              <w:numPr>
                <w:ilvl w:val="0"/>
                <w:numId w:val="79"/>
              </w:numPr>
              <w:autoSpaceDE w:val="0"/>
              <w:autoSpaceDN w:val="0"/>
              <w:adjustRightInd w:val="0"/>
              <w:spacing w:before="120" w:after="120" w:line="240" w:lineRule="auto"/>
              <w:ind w:left="357" w:hanging="357"/>
              <w:contextualSpacing w:val="0"/>
              <w:rPr>
                <w:iCs/>
                <w:sz w:val="22"/>
                <w:szCs w:val="20"/>
              </w:rPr>
            </w:pPr>
            <w:r w:rsidRPr="00740504">
              <w:rPr>
                <w:iCs/>
                <w:sz w:val="22"/>
                <w:szCs w:val="20"/>
              </w:rPr>
              <w:t xml:space="preserve">The change or extension would not result in new development that would affect views into or out of a National Park, Area of Outstanding Natural </w:t>
            </w:r>
            <w:proofErr w:type="gramStart"/>
            <w:r w:rsidRPr="00740504">
              <w:rPr>
                <w:iCs/>
                <w:sz w:val="22"/>
                <w:szCs w:val="20"/>
              </w:rPr>
              <w:t>Beauty</w:t>
            </w:r>
            <w:proofErr w:type="gramEnd"/>
            <w:r w:rsidRPr="00740504">
              <w:rPr>
                <w:iCs/>
                <w:sz w:val="22"/>
                <w:szCs w:val="20"/>
              </w:rPr>
              <w:t xml:space="preserve"> or Conservation Area; and</w:t>
            </w:r>
          </w:p>
          <w:p w14:paraId="326A2698" w14:textId="77777777" w:rsidR="00F81429" w:rsidRPr="00740504" w:rsidRDefault="00F81429" w:rsidP="003146A6">
            <w:pPr>
              <w:pStyle w:val="ListParagraph"/>
              <w:numPr>
                <w:ilvl w:val="0"/>
                <w:numId w:val="79"/>
              </w:numPr>
              <w:autoSpaceDE w:val="0"/>
              <w:autoSpaceDN w:val="0"/>
              <w:adjustRightInd w:val="0"/>
              <w:spacing w:before="120" w:after="120" w:line="240" w:lineRule="auto"/>
              <w:ind w:left="357" w:hanging="357"/>
              <w:contextualSpacing w:val="0"/>
              <w:rPr>
                <w:iCs/>
                <w:sz w:val="22"/>
                <w:szCs w:val="20"/>
              </w:rPr>
            </w:pPr>
            <w:r w:rsidRPr="00740504">
              <w:rPr>
                <w:iCs/>
                <w:sz w:val="22"/>
                <w:szCs w:val="20"/>
              </w:rPr>
              <w:t>The change or extension would not result in other changes or extensions that would exceed any of the indicators set out in Column Two of these tables.</w:t>
            </w:r>
          </w:p>
        </w:tc>
        <w:tc>
          <w:tcPr>
            <w:tcW w:w="2196" w:type="pct"/>
            <w:shd w:val="clear" w:color="auto" w:fill="FCE0D2" w:themeFill="accent2" w:themeFillTint="33"/>
          </w:tcPr>
          <w:p w14:paraId="2D575F66" w14:textId="77777777" w:rsidR="00F81429" w:rsidRPr="00740504" w:rsidRDefault="00F81429" w:rsidP="003146A6">
            <w:pPr>
              <w:pStyle w:val="ListParagraph"/>
              <w:numPr>
                <w:ilvl w:val="0"/>
                <w:numId w:val="80"/>
              </w:numPr>
              <w:autoSpaceDE w:val="0"/>
              <w:autoSpaceDN w:val="0"/>
              <w:adjustRightInd w:val="0"/>
              <w:spacing w:before="120" w:after="120" w:line="240" w:lineRule="auto"/>
              <w:ind w:left="357" w:hanging="357"/>
              <w:contextualSpacing w:val="0"/>
              <w:rPr>
                <w:iCs/>
                <w:sz w:val="22"/>
                <w:szCs w:val="20"/>
              </w:rPr>
            </w:pPr>
            <w:r w:rsidRPr="00740504">
              <w:rPr>
                <w:iCs/>
                <w:sz w:val="22"/>
                <w:szCs w:val="20"/>
              </w:rPr>
              <w:t>The change or extension requires prior permission from a competent authority under relevant regulations; or</w:t>
            </w:r>
          </w:p>
          <w:p w14:paraId="0BF39F27" w14:textId="77777777" w:rsidR="00F81429" w:rsidRPr="00740504" w:rsidRDefault="00F81429" w:rsidP="003146A6">
            <w:pPr>
              <w:pStyle w:val="ListParagraph"/>
              <w:numPr>
                <w:ilvl w:val="0"/>
                <w:numId w:val="80"/>
              </w:numPr>
              <w:autoSpaceDE w:val="0"/>
              <w:autoSpaceDN w:val="0"/>
              <w:adjustRightInd w:val="0"/>
              <w:spacing w:before="120" w:after="120" w:line="240" w:lineRule="auto"/>
              <w:ind w:left="357" w:hanging="357"/>
              <w:contextualSpacing w:val="0"/>
              <w:rPr>
                <w:iCs/>
                <w:sz w:val="22"/>
                <w:szCs w:val="20"/>
              </w:rPr>
            </w:pPr>
            <w:r w:rsidRPr="00740504">
              <w:rPr>
                <w:iCs/>
                <w:sz w:val="22"/>
                <w:szCs w:val="20"/>
              </w:rPr>
              <w:t>The extension to the store represents a 50% or greater increase in the cubic capacity of the building(s); or</w:t>
            </w:r>
          </w:p>
          <w:p w14:paraId="1C2D5F81" w14:textId="77777777" w:rsidR="00F81429" w:rsidRPr="00740504" w:rsidRDefault="00F81429" w:rsidP="003146A6">
            <w:pPr>
              <w:pStyle w:val="ListParagraph"/>
              <w:numPr>
                <w:ilvl w:val="0"/>
                <w:numId w:val="80"/>
              </w:numPr>
              <w:autoSpaceDE w:val="0"/>
              <w:autoSpaceDN w:val="0"/>
              <w:adjustRightInd w:val="0"/>
              <w:spacing w:before="120" w:after="120" w:line="240" w:lineRule="auto"/>
              <w:ind w:left="357" w:hanging="357"/>
              <w:contextualSpacing w:val="0"/>
              <w:rPr>
                <w:iCs/>
                <w:sz w:val="22"/>
                <w:szCs w:val="20"/>
              </w:rPr>
            </w:pPr>
            <w:r w:rsidRPr="00740504">
              <w:rPr>
                <w:iCs/>
                <w:sz w:val="22"/>
                <w:szCs w:val="20"/>
              </w:rPr>
              <w:t xml:space="preserve">The extension of the store or any new buildings would be within 75 metres of any boundary of the </w:t>
            </w:r>
            <w:proofErr w:type="gramStart"/>
            <w:r w:rsidRPr="00740504">
              <w:rPr>
                <w:iCs/>
                <w:sz w:val="22"/>
                <w:szCs w:val="20"/>
              </w:rPr>
              <w:t>site;</w:t>
            </w:r>
            <w:proofErr w:type="gramEnd"/>
            <w:r w:rsidRPr="00740504">
              <w:rPr>
                <w:iCs/>
                <w:sz w:val="22"/>
                <w:szCs w:val="20"/>
              </w:rPr>
              <w:t xml:space="preserve"> or</w:t>
            </w:r>
          </w:p>
          <w:p w14:paraId="13B5A485" w14:textId="77777777" w:rsidR="00F81429" w:rsidRPr="00740504" w:rsidRDefault="00F81429" w:rsidP="003146A6">
            <w:pPr>
              <w:pStyle w:val="ListParagraph"/>
              <w:numPr>
                <w:ilvl w:val="0"/>
                <w:numId w:val="80"/>
              </w:numPr>
              <w:autoSpaceDE w:val="0"/>
              <w:autoSpaceDN w:val="0"/>
              <w:adjustRightInd w:val="0"/>
              <w:spacing w:before="120" w:after="120" w:line="240" w:lineRule="auto"/>
              <w:ind w:left="357" w:hanging="357"/>
              <w:contextualSpacing w:val="0"/>
              <w:rPr>
                <w:iCs/>
                <w:sz w:val="22"/>
                <w:szCs w:val="20"/>
              </w:rPr>
            </w:pPr>
            <w:r w:rsidRPr="00740504">
              <w:rPr>
                <w:iCs/>
                <w:sz w:val="22"/>
                <w:szCs w:val="20"/>
              </w:rPr>
              <w:t>The change or extension results in the release of emissions to an environmental media not previously used or assessed for disposal; or</w:t>
            </w:r>
          </w:p>
          <w:p w14:paraId="3A752ED3" w14:textId="77777777" w:rsidR="00F81429" w:rsidRPr="00740504" w:rsidRDefault="00F81429" w:rsidP="003146A6">
            <w:pPr>
              <w:pStyle w:val="ListParagraph"/>
              <w:numPr>
                <w:ilvl w:val="0"/>
                <w:numId w:val="80"/>
              </w:numPr>
              <w:autoSpaceDE w:val="0"/>
              <w:autoSpaceDN w:val="0"/>
              <w:adjustRightInd w:val="0"/>
              <w:spacing w:before="120" w:after="120" w:line="240" w:lineRule="auto"/>
              <w:ind w:left="357" w:hanging="357"/>
              <w:contextualSpacing w:val="0"/>
              <w:rPr>
                <w:iCs/>
                <w:sz w:val="22"/>
                <w:szCs w:val="20"/>
              </w:rPr>
            </w:pPr>
            <w:r w:rsidRPr="00740504">
              <w:rPr>
                <w:iCs/>
                <w:sz w:val="22"/>
                <w:szCs w:val="20"/>
              </w:rPr>
              <w:t xml:space="preserve">The construction or operation of any new or extended building would increase background noise levels at the site boundary by more than 10 </w:t>
            </w:r>
            <w:proofErr w:type="gramStart"/>
            <w:r w:rsidRPr="00740504">
              <w:rPr>
                <w:iCs/>
                <w:sz w:val="22"/>
                <w:szCs w:val="20"/>
              </w:rPr>
              <w:t>decibels;</w:t>
            </w:r>
            <w:proofErr w:type="gramEnd"/>
            <w:r w:rsidRPr="00740504">
              <w:rPr>
                <w:iCs/>
                <w:sz w:val="22"/>
                <w:szCs w:val="20"/>
              </w:rPr>
              <w:t xml:space="preserve"> or</w:t>
            </w:r>
          </w:p>
          <w:p w14:paraId="3C922A72" w14:textId="77777777" w:rsidR="00F81429" w:rsidRPr="00740504" w:rsidRDefault="00F81429" w:rsidP="003146A6">
            <w:pPr>
              <w:pStyle w:val="ListParagraph"/>
              <w:numPr>
                <w:ilvl w:val="0"/>
                <w:numId w:val="80"/>
              </w:numPr>
              <w:autoSpaceDE w:val="0"/>
              <w:autoSpaceDN w:val="0"/>
              <w:adjustRightInd w:val="0"/>
              <w:spacing w:before="120" w:after="120" w:line="240" w:lineRule="auto"/>
              <w:ind w:left="357" w:hanging="357"/>
              <w:contextualSpacing w:val="0"/>
              <w:rPr>
                <w:iCs/>
                <w:sz w:val="22"/>
                <w:szCs w:val="20"/>
              </w:rPr>
            </w:pPr>
            <w:r w:rsidRPr="00740504">
              <w:rPr>
                <w:iCs/>
                <w:sz w:val="22"/>
                <w:szCs w:val="20"/>
              </w:rPr>
              <w:t>The change or extension was considered and rejected at an earlier assessment on environmental or health or public safety grounds or a combination of these factors; or</w:t>
            </w:r>
          </w:p>
          <w:p w14:paraId="4E73306E" w14:textId="77777777" w:rsidR="00F81429" w:rsidRPr="00740504" w:rsidRDefault="00F81429" w:rsidP="003146A6">
            <w:pPr>
              <w:pStyle w:val="ListParagraph"/>
              <w:numPr>
                <w:ilvl w:val="0"/>
                <w:numId w:val="80"/>
              </w:numPr>
              <w:autoSpaceDE w:val="0"/>
              <w:autoSpaceDN w:val="0"/>
              <w:adjustRightInd w:val="0"/>
              <w:spacing w:before="120" w:after="120" w:line="240" w:lineRule="auto"/>
              <w:ind w:left="357" w:hanging="357"/>
              <w:contextualSpacing w:val="0"/>
              <w:rPr>
                <w:iCs/>
                <w:sz w:val="22"/>
                <w:szCs w:val="20"/>
              </w:rPr>
            </w:pPr>
            <w:r w:rsidRPr="00740504">
              <w:rPr>
                <w:iCs/>
                <w:sz w:val="22"/>
                <w:szCs w:val="20"/>
              </w:rPr>
              <w:t xml:space="preserve">The change or extension would result in other changes or extensions that would exceed any of the indicators set out in Column Three of these tables. </w:t>
            </w:r>
          </w:p>
        </w:tc>
      </w:tr>
      <w:tr w:rsidR="00F81429" w:rsidRPr="005258C9" w14:paraId="1161B68F" w14:textId="77777777" w:rsidTr="00DE19A2">
        <w:trPr>
          <w:cantSplit/>
          <w:jc w:val="center"/>
        </w:trPr>
        <w:tc>
          <w:tcPr>
            <w:tcW w:w="960" w:type="pct"/>
          </w:tcPr>
          <w:p w14:paraId="411BA91D" w14:textId="77777777" w:rsidR="00F81429" w:rsidRPr="00740504" w:rsidRDefault="00F81429" w:rsidP="003146A6">
            <w:pPr>
              <w:pStyle w:val="ListParagraph"/>
              <w:numPr>
                <w:ilvl w:val="0"/>
                <w:numId w:val="78"/>
              </w:numPr>
              <w:autoSpaceDE w:val="0"/>
              <w:autoSpaceDN w:val="0"/>
              <w:adjustRightInd w:val="0"/>
              <w:spacing w:before="120" w:after="120" w:line="240" w:lineRule="auto"/>
              <w:ind w:left="357" w:hanging="357"/>
              <w:contextualSpacing w:val="0"/>
              <w:rPr>
                <w:iCs/>
                <w:sz w:val="22"/>
                <w:szCs w:val="20"/>
              </w:rPr>
            </w:pPr>
            <w:r w:rsidRPr="00740504">
              <w:rPr>
                <w:iCs/>
                <w:sz w:val="22"/>
                <w:szCs w:val="20"/>
              </w:rPr>
              <w:lastRenderedPageBreak/>
              <w:t>Change of timescale for works phase, speeding up or slowing down of operations</w:t>
            </w:r>
          </w:p>
          <w:p w14:paraId="5D3387A3" w14:textId="77777777" w:rsidR="00F81429" w:rsidRPr="00740504" w:rsidRDefault="00F81429" w:rsidP="003146A6">
            <w:pPr>
              <w:pStyle w:val="ListParagraph"/>
              <w:numPr>
                <w:ilvl w:val="0"/>
                <w:numId w:val="78"/>
              </w:numPr>
              <w:autoSpaceDE w:val="0"/>
              <w:autoSpaceDN w:val="0"/>
              <w:adjustRightInd w:val="0"/>
              <w:spacing w:before="120" w:after="120" w:line="240" w:lineRule="auto"/>
              <w:ind w:left="357" w:hanging="357"/>
              <w:contextualSpacing w:val="0"/>
              <w:rPr>
                <w:iCs/>
                <w:sz w:val="22"/>
                <w:szCs w:val="20"/>
              </w:rPr>
            </w:pPr>
            <w:r w:rsidRPr="00740504">
              <w:rPr>
                <w:iCs/>
                <w:sz w:val="22"/>
                <w:szCs w:val="20"/>
              </w:rPr>
              <w:t>Deferral or advancement of the start date for the works phase – resulting in unforeseen additional effects</w:t>
            </w:r>
          </w:p>
          <w:p w14:paraId="1CE76AB5" w14:textId="77777777" w:rsidR="00F81429" w:rsidRPr="00740504" w:rsidRDefault="00F81429" w:rsidP="003146A6">
            <w:pPr>
              <w:pStyle w:val="ListParagraph"/>
              <w:numPr>
                <w:ilvl w:val="0"/>
                <w:numId w:val="78"/>
              </w:numPr>
              <w:spacing w:before="120" w:after="120" w:line="240" w:lineRule="auto"/>
              <w:ind w:left="357" w:hanging="357"/>
              <w:contextualSpacing w:val="0"/>
              <w:rPr>
                <w:iCs/>
                <w:sz w:val="22"/>
                <w:szCs w:val="20"/>
              </w:rPr>
            </w:pPr>
            <w:r w:rsidRPr="00740504">
              <w:rPr>
                <w:iCs/>
                <w:sz w:val="22"/>
                <w:szCs w:val="20"/>
              </w:rPr>
              <w:t>Changes to working practices including shift working.</w:t>
            </w:r>
          </w:p>
        </w:tc>
        <w:tc>
          <w:tcPr>
            <w:tcW w:w="1844" w:type="pct"/>
            <w:shd w:val="clear" w:color="auto" w:fill="E8F3DA" w:themeFill="accent4" w:themeFillTint="33"/>
          </w:tcPr>
          <w:p w14:paraId="74F56A35" w14:textId="77777777" w:rsidR="00F81429" w:rsidRPr="00740504" w:rsidRDefault="00F81429" w:rsidP="003146A6">
            <w:pPr>
              <w:pStyle w:val="ListParagraph"/>
              <w:numPr>
                <w:ilvl w:val="0"/>
                <w:numId w:val="81"/>
              </w:numPr>
              <w:autoSpaceDE w:val="0"/>
              <w:autoSpaceDN w:val="0"/>
              <w:adjustRightInd w:val="0"/>
              <w:spacing w:before="120" w:after="120" w:line="240" w:lineRule="auto"/>
              <w:ind w:left="357" w:hanging="357"/>
              <w:contextualSpacing w:val="0"/>
              <w:rPr>
                <w:iCs/>
                <w:sz w:val="22"/>
                <w:szCs w:val="20"/>
              </w:rPr>
            </w:pPr>
            <w:r w:rsidRPr="00740504">
              <w:rPr>
                <w:iCs/>
                <w:sz w:val="22"/>
                <w:szCs w:val="20"/>
              </w:rPr>
              <w:t>The change or extension does not represent an extension or reduction in timescale for works phase operations of more than 10%; and</w:t>
            </w:r>
          </w:p>
          <w:p w14:paraId="05F865E6" w14:textId="77777777" w:rsidR="00F81429" w:rsidRPr="00740504" w:rsidRDefault="00F81429" w:rsidP="003146A6">
            <w:pPr>
              <w:pStyle w:val="ListParagraph"/>
              <w:numPr>
                <w:ilvl w:val="0"/>
                <w:numId w:val="81"/>
              </w:numPr>
              <w:autoSpaceDE w:val="0"/>
              <w:autoSpaceDN w:val="0"/>
              <w:adjustRightInd w:val="0"/>
              <w:spacing w:before="120" w:after="120" w:line="240" w:lineRule="auto"/>
              <w:ind w:left="357" w:hanging="357"/>
              <w:contextualSpacing w:val="0"/>
              <w:rPr>
                <w:iCs/>
                <w:sz w:val="22"/>
                <w:szCs w:val="20"/>
              </w:rPr>
            </w:pPr>
            <w:r w:rsidRPr="00740504">
              <w:rPr>
                <w:iCs/>
                <w:sz w:val="22"/>
                <w:szCs w:val="20"/>
              </w:rPr>
              <w:t xml:space="preserve">The change or extension would not increase background noise levels at the site boundary by more than 5 </w:t>
            </w:r>
            <w:proofErr w:type="gramStart"/>
            <w:r w:rsidRPr="00740504">
              <w:rPr>
                <w:iCs/>
                <w:sz w:val="22"/>
                <w:szCs w:val="20"/>
              </w:rPr>
              <w:t>decibels;</w:t>
            </w:r>
            <w:proofErr w:type="gramEnd"/>
            <w:r w:rsidRPr="00740504">
              <w:rPr>
                <w:iCs/>
                <w:sz w:val="22"/>
                <w:szCs w:val="20"/>
              </w:rPr>
              <w:t xml:space="preserve"> and</w:t>
            </w:r>
          </w:p>
          <w:p w14:paraId="2569D8BC" w14:textId="77777777" w:rsidR="00F81429" w:rsidRPr="00740504" w:rsidRDefault="00F81429" w:rsidP="003146A6">
            <w:pPr>
              <w:pStyle w:val="ListParagraph"/>
              <w:numPr>
                <w:ilvl w:val="0"/>
                <w:numId w:val="81"/>
              </w:numPr>
              <w:autoSpaceDE w:val="0"/>
              <w:autoSpaceDN w:val="0"/>
              <w:adjustRightInd w:val="0"/>
              <w:spacing w:before="120" w:after="120" w:line="240" w:lineRule="auto"/>
              <w:ind w:left="357" w:hanging="357"/>
              <w:contextualSpacing w:val="0"/>
              <w:rPr>
                <w:iCs/>
                <w:sz w:val="22"/>
                <w:szCs w:val="20"/>
              </w:rPr>
            </w:pPr>
            <w:r w:rsidRPr="00740504">
              <w:rPr>
                <w:iCs/>
                <w:sz w:val="22"/>
                <w:szCs w:val="20"/>
              </w:rPr>
              <w:t xml:space="preserve">The change or extension would not increase emissions to land, </w:t>
            </w:r>
            <w:proofErr w:type="gramStart"/>
            <w:r w:rsidRPr="00740504">
              <w:rPr>
                <w:iCs/>
                <w:sz w:val="22"/>
                <w:szCs w:val="20"/>
              </w:rPr>
              <w:t>air</w:t>
            </w:r>
            <w:proofErr w:type="gramEnd"/>
            <w:r w:rsidRPr="00740504">
              <w:rPr>
                <w:iCs/>
                <w:sz w:val="22"/>
                <w:szCs w:val="20"/>
              </w:rPr>
              <w:t xml:space="preserve"> or water, and</w:t>
            </w:r>
          </w:p>
          <w:p w14:paraId="68AC7644" w14:textId="77777777" w:rsidR="00F81429" w:rsidRPr="00740504" w:rsidRDefault="00F81429" w:rsidP="003146A6">
            <w:pPr>
              <w:pStyle w:val="ListParagraph"/>
              <w:numPr>
                <w:ilvl w:val="0"/>
                <w:numId w:val="81"/>
              </w:numPr>
              <w:autoSpaceDE w:val="0"/>
              <w:autoSpaceDN w:val="0"/>
              <w:adjustRightInd w:val="0"/>
              <w:spacing w:before="120" w:after="120" w:line="240" w:lineRule="auto"/>
              <w:ind w:left="357" w:hanging="357"/>
              <w:contextualSpacing w:val="0"/>
              <w:rPr>
                <w:iCs/>
                <w:sz w:val="22"/>
                <w:szCs w:val="20"/>
              </w:rPr>
            </w:pPr>
            <w:r w:rsidRPr="00740504">
              <w:rPr>
                <w:iCs/>
                <w:sz w:val="22"/>
                <w:szCs w:val="20"/>
              </w:rPr>
              <w:t>The change or extension would not increase traffic flows to and from the site during the hours 7 p.m. To 7 a.m.; and</w:t>
            </w:r>
          </w:p>
          <w:p w14:paraId="3B4203F7" w14:textId="77777777" w:rsidR="00F81429" w:rsidRPr="00740504" w:rsidRDefault="00F81429" w:rsidP="003146A6">
            <w:pPr>
              <w:pStyle w:val="ListParagraph"/>
              <w:numPr>
                <w:ilvl w:val="0"/>
                <w:numId w:val="81"/>
              </w:numPr>
              <w:autoSpaceDE w:val="0"/>
              <w:autoSpaceDN w:val="0"/>
              <w:adjustRightInd w:val="0"/>
              <w:spacing w:before="120" w:after="120" w:line="240" w:lineRule="auto"/>
              <w:contextualSpacing w:val="0"/>
              <w:rPr>
                <w:iCs/>
                <w:sz w:val="22"/>
                <w:szCs w:val="20"/>
              </w:rPr>
            </w:pPr>
            <w:r w:rsidRPr="00740504">
              <w:rPr>
                <w:iCs/>
                <w:sz w:val="22"/>
                <w:szCs w:val="20"/>
              </w:rPr>
              <w:t>The change or extension would not result in other changes or extensions that would exceed any of the indicators set out in Column Two of these tables.</w:t>
            </w:r>
          </w:p>
        </w:tc>
        <w:tc>
          <w:tcPr>
            <w:tcW w:w="2196" w:type="pct"/>
            <w:shd w:val="clear" w:color="auto" w:fill="FCE0D2" w:themeFill="accent2" w:themeFillTint="33"/>
          </w:tcPr>
          <w:p w14:paraId="6E9EFED5" w14:textId="77777777" w:rsidR="00F81429" w:rsidRPr="00740504" w:rsidRDefault="00F81429" w:rsidP="003146A6">
            <w:pPr>
              <w:pStyle w:val="ListParagraph"/>
              <w:numPr>
                <w:ilvl w:val="0"/>
                <w:numId w:val="82"/>
              </w:numPr>
              <w:autoSpaceDE w:val="0"/>
              <w:autoSpaceDN w:val="0"/>
              <w:adjustRightInd w:val="0"/>
              <w:spacing w:before="120" w:after="120" w:line="240" w:lineRule="auto"/>
              <w:ind w:left="357" w:hanging="357"/>
              <w:contextualSpacing w:val="0"/>
              <w:rPr>
                <w:iCs/>
                <w:sz w:val="22"/>
                <w:szCs w:val="20"/>
              </w:rPr>
            </w:pPr>
            <w:r w:rsidRPr="00740504">
              <w:rPr>
                <w:iCs/>
                <w:sz w:val="22"/>
                <w:szCs w:val="20"/>
              </w:rPr>
              <w:t>The change or extension requires prior permission from a competent authority under relevant regulations; or</w:t>
            </w:r>
          </w:p>
          <w:p w14:paraId="64A324FE" w14:textId="77777777" w:rsidR="00F81429" w:rsidRPr="00740504" w:rsidRDefault="00F81429" w:rsidP="003146A6">
            <w:pPr>
              <w:pStyle w:val="ListParagraph"/>
              <w:numPr>
                <w:ilvl w:val="0"/>
                <w:numId w:val="82"/>
              </w:numPr>
              <w:autoSpaceDE w:val="0"/>
              <w:autoSpaceDN w:val="0"/>
              <w:adjustRightInd w:val="0"/>
              <w:spacing w:before="120" w:after="120" w:line="240" w:lineRule="auto"/>
              <w:ind w:left="357" w:hanging="357"/>
              <w:contextualSpacing w:val="0"/>
              <w:rPr>
                <w:iCs/>
                <w:sz w:val="22"/>
                <w:szCs w:val="20"/>
              </w:rPr>
            </w:pPr>
            <w:r w:rsidRPr="00740504">
              <w:rPr>
                <w:iCs/>
                <w:sz w:val="22"/>
                <w:szCs w:val="20"/>
              </w:rPr>
              <w:t xml:space="preserve">The change or extension would increase background noise levels at the site boundary by more than 10 </w:t>
            </w:r>
            <w:proofErr w:type="gramStart"/>
            <w:r w:rsidRPr="00740504">
              <w:rPr>
                <w:iCs/>
                <w:sz w:val="22"/>
                <w:szCs w:val="20"/>
              </w:rPr>
              <w:t>decibels;</w:t>
            </w:r>
            <w:proofErr w:type="gramEnd"/>
            <w:r w:rsidRPr="00740504">
              <w:rPr>
                <w:iCs/>
                <w:sz w:val="22"/>
                <w:szCs w:val="20"/>
              </w:rPr>
              <w:t xml:space="preserve"> or </w:t>
            </w:r>
          </w:p>
          <w:p w14:paraId="61CF089A" w14:textId="77777777" w:rsidR="00F81429" w:rsidRPr="00740504" w:rsidRDefault="00F81429" w:rsidP="003146A6">
            <w:pPr>
              <w:pStyle w:val="ListParagraph"/>
              <w:numPr>
                <w:ilvl w:val="0"/>
                <w:numId w:val="82"/>
              </w:numPr>
              <w:autoSpaceDE w:val="0"/>
              <w:autoSpaceDN w:val="0"/>
              <w:adjustRightInd w:val="0"/>
              <w:spacing w:before="120" w:after="120" w:line="240" w:lineRule="auto"/>
              <w:ind w:left="357" w:hanging="357"/>
              <w:contextualSpacing w:val="0"/>
              <w:rPr>
                <w:iCs/>
                <w:sz w:val="22"/>
                <w:szCs w:val="20"/>
              </w:rPr>
            </w:pPr>
            <w:r w:rsidRPr="00740504">
              <w:rPr>
                <w:iCs/>
                <w:sz w:val="22"/>
                <w:szCs w:val="20"/>
              </w:rPr>
              <w:t xml:space="preserve">The change results in significant changes to numbers of workers on site, number of vehicles, or waste </w:t>
            </w:r>
            <w:proofErr w:type="gramStart"/>
            <w:r w:rsidRPr="00740504">
              <w:rPr>
                <w:iCs/>
                <w:sz w:val="22"/>
                <w:szCs w:val="20"/>
              </w:rPr>
              <w:t>generation;</w:t>
            </w:r>
            <w:proofErr w:type="gramEnd"/>
          </w:p>
          <w:p w14:paraId="5E89DE1A" w14:textId="77777777" w:rsidR="00F81429" w:rsidRPr="00740504" w:rsidRDefault="00F81429" w:rsidP="003146A6">
            <w:pPr>
              <w:pStyle w:val="ListParagraph"/>
              <w:numPr>
                <w:ilvl w:val="0"/>
                <w:numId w:val="82"/>
              </w:numPr>
              <w:autoSpaceDE w:val="0"/>
              <w:autoSpaceDN w:val="0"/>
              <w:adjustRightInd w:val="0"/>
              <w:spacing w:before="120" w:after="120" w:line="240" w:lineRule="auto"/>
              <w:ind w:left="357" w:hanging="357"/>
              <w:contextualSpacing w:val="0"/>
              <w:rPr>
                <w:iCs/>
                <w:sz w:val="22"/>
                <w:szCs w:val="20"/>
              </w:rPr>
            </w:pPr>
            <w:r w:rsidRPr="00740504">
              <w:rPr>
                <w:iCs/>
                <w:sz w:val="22"/>
                <w:szCs w:val="20"/>
              </w:rPr>
              <w:t>The change or extension was considered and rejected at an earlier assessment on environmental or health or public safety grounds or a combination of these factors; or</w:t>
            </w:r>
          </w:p>
          <w:p w14:paraId="6A1A6355" w14:textId="77777777" w:rsidR="00F81429" w:rsidRPr="00740504" w:rsidRDefault="00F81429" w:rsidP="003146A6">
            <w:pPr>
              <w:pStyle w:val="ListParagraph"/>
              <w:numPr>
                <w:ilvl w:val="0"/>
                <w:numId w:val="82"/>
              </w:numPr>
              <w:autoSpaceDE w:val="0"/>
              <w:autoSpaceDN w:val="0"/>
              <w:adjustRightInd w:val="0"/>
              <w:spacing w:before="120" w:after="120" w:line="240" w:lineRule="auto"/>
              <w:contextualSpacing w:val="0"/>
              <w:rPr>
                <w:iCs/>
                <w:sz w:val="22"/>
                <w:szCs w:val="20"/>
              </w:rPr>
            </w:pPr>
            <w:r w:rsidRPr="00740504">
              <w:rPr>
                <w:iCs/>
                <w:sz w:val="22"/>
                <w:szCs w:val="20"/>
              </w:rPr>
              <w:t>The change or extension would result in other changes or extensions that would exceed any of the indicators set out in Column Three of these tables.</w:t>
            </w:r>
          </w:p>
        </w:tc>
      </w:tr>
      <w:tr w:rsidR="00F81429" w:rsidRPr="005258C9" w14:paraId="5C2264F3" w14:textId="77777777" w:rsidTr="00DE19A2">
        <w:trPr>
          <w:cantSplit/>
          <w:jc w:val="center"/>
        </w:trPr>
        <w:tc>
          <w:tcPr>
            <w:tcW w:w="960" w:type="pct"/>
          </w:tcPr>
          <w:p w14:paraId="6CA53708" w14:textId="77777777" w:rsidR="00F81429" w:rsidRPr="00740504" w:rsidRDefault="00F81429" w:rsidP="003146A6">
            <w:pPr>
              <w:pStyle w:val="ListParagraph"/>
              <w:numPr>
                <w:ilvl w:val="0"/>
                <w:numId w:val="78"/>
              </w:numPr>
              <w:autoSpaceDE w:val="0"/>
              <w:autoSpaceDN w:val="0"/>
              <w:adjustRightInd w:val="0"/>
              <w:spacing w:before="120" w:after="120" w:line="240" w:lineRule="auto"/>
              <w:contextualSpacing w:val="0"/>
              <w:rPr>
                <w:iCs/>
                <w:sz w:val="22"/>
                <w:szCs w:val="20"/>
              </w:rPr>
            </w:pPr>
            <w:r w:rsidRPr="00740504">
              <w:rPr>
                <w:iCs/>
                <w:sz w:val="22"/>
                <w:szCs w:val="20"/>
              </w:rPr>
              <w:lastRenderedPageBreak/>
              <w:t>Reduction of height of reactor or other building(s) to reduce visual effect – with the potential for an increase in material to be removed from or stored on site</w:t>
            </w:r>
          </w:p>
          <w:p w14:paraId="193D18C2" w14:textId="77777777" w:rsidR="00F81429" w:rsidRPr="00740504" w:rsidRDefault="00F81429" w:rsidP="003146A6">
            <w:pPr>
              <w:pStyle w:val="ListParagraph"/>
              <w:numPr>
                <w:ilvl w:val="0"/>
                <w:numId w:val="78"/>
              </w:numPr>
              <w:spacing w:before="120" w:after="120" w:line="240" w:lineRule="auto"/>
              <w:ind w:left="357" w:hanging="357"/>
              <w:contextualSpacing w:val="0"/>
              <w:rPr>
                <w:iCs/>
                <w:sz w:val="22"/>
                <w:szCs w:val="20"/>
              </w:rPr>
            </w:pPr>
            <w:r w:rsidRPr="00740504">
              <w:rPr>
                <w:iCs/>
                <w:sz w:val="22"/>
                <w:szCs w:val="20"/>
              </w:rPr>
              <w:t xml:space="preserve">Increase in the use of resources including energy, </w:t>
            </w:r>
            <w:proofErr w:type="gramStart"/>
            <w:r w:rsidRPr="00740504">
              <w:rPr>
                <w:iCs/>
                <w:sz w:val="22"/>
                <w:szCs w:val="20"/>
              </w:rPr>
              <w:t>water</w:t>
            </w:r>
            <w:proofErr w:type="gramEnd"/>
            <w:r w:rsidRPr="00740504">
              <w:rPr>
                <w:iCs/>
                <w:sz w:val="22"/>
                <w:szCs w:val="20"/>
              </w:rPr>
              <w:t xml:space="preserve"> and the use of building and other materials.</w:t>
            </w:r>
          </w:p>
        </w:tc>
        <w:tc>
          <w:tcPr>
            <w:tcW w:w="1844" w:type="pct"/>
            <w:shd w:val="clear" w:color="auto" w:fill="E8F3DA" w:themeFill="accent4" w:themeFillTint="33"/>
          </w:tcPr>
          <w:p w14:paraId="57EB7EDA" w14:textId="77777777" w:rsidR="00F81429" w:rsidRPr="00740504" w:rsidRDefault="00F81429" w:rsidP="003146A6">
            <w:pPr>
              <w:pStyle w:val="ListParagraph"/>
              <w:numPr>
                <w:ilvl w:val="0"/>
                <w:numId w:val="83"/>
              </w:numPr>
              <w:autoSpaceDE w:val="0"/>
              <w:autoSpaceDN w:val="0"/>
              <w:adjustRightInd w:val="0"/>
              <w:spacing w:before="120" w:after="120" w:line="240" w:lineRule="auto"/>
              <w:contextualSpacing w:val="0"/>
              <w:rPr>
                <w:iCs/>
                <w:sz w:val="22"/>
                <w:szCs w:val="20"/>
              </w:rPr>
            </w:pPr>
            <w:r w:rsidRPr="00740504">
              <w:rPr>
                <w:iCs/>
                <w:sz w:val="22"/>
                <w:szCs w:val="20"/>
              </w:rPr>
              <w:t>The change or extension would not result in new development as defined by s55 (1) Town and Country Planning Act 1990; and</w:t>
            </w:r>
          </w:p>
          <w:p w14:paraId="006E49C4" w14:textId="77777777" w:rsidR="00F81429" w:rsidRPr="00740504" w:rsidRDefault="00F81429" w:rsidP="003146A6">
            <w:pPr>
              <w:pStyle w:val="ListParagraph"/>
              <w:numPr>
                <w:ilvl w:val="0"/>
                <w:numId w:val="83"/>
              </w:numPr>
              <w:autoSpaceDE w:val="0"/>
              <w:autoSpaceDN w:val="0"/>
              <w:adjustRightInd w:val="0"/>
              <w:spacing w:before="120" w:after="120" w:line="240" w:lineRule="auto"/>
              <w:contextualSpacing w:val="0"/>
              <w:rPr>
                <w:iCs/>
                <w:sz w:val="22"/>
                <w:szCs w:val="20"/>
              </w:rPr>
            </w:pPr>
            <w:r w:rsidRPr="00740504">
              <w:rPr>
                <w:iCs/>
                <w:sz w:val="22"/>
                <w:szCs w:val="20"/>
              </w:rPr>
              <w:t>The change or extension would not result in other changes or extensions that would exceed any of the indicators set out in Column Two of these tables.</w:t>
            </w:r>
          </w:p>
        </w:tc>
        <w:tc>
          <w:tcPr>
            <w:tcW w:w="2196" w:type="pct"/>
            <w:shd w:val="clear" w:color="auto" w:fill="FCE0D2" w:themeFill="accent2" w:themeFillTint="33"/>
          </w:tcPr>
          <w:p w14:paraId="22108C24" w14:textId="77777777" w:rsidR="00F81429" w:rsidRPr="00740504" w:rsidRDefault="00F81429" w:rsidP="003146A6">
            <w:pPr>
              <w:pStyle w:val="ListParagraph"/>
              <w:numPr>
                <w:ilvl w:val="0"/>
                <w:numId w:val="84"/>
              </w:numPr>
              <w:autoSpaceDE w:val="0"/>
              <w:autoSpaceDN w:val="0"/>
              <w:adjustRightInd w:val="0"/>
              <w:spacing w:before="120" w:after="120" w:line="240" w:lineRule="auto"/>
              <w:contextualSpacing w:val="0"/>
              <w:rPr>
                <w:iCs/>
                <w:sz w:val="22"/>
                <w:szCs w:val="20"/>
              </w:rPr>
            </w:pPr>
            <w:r w:rsidRPr="00740504">
              <w:rPr>
                <w:iCs/>
                <w:sz w:val="22"/>
                <w:szCs w:val="20"/>
              </w:rPr>
              <w:t>The change or extension requires prior permission from a competent authority under relevant regulations; or</w:t>
            </w:r>
          </w:p>
          <w:p w14:paraId="6FDD13CC" w14:textId="77777777" w:rsidR="00F81429" w:rsidRPr="00740504" w:rsidRDefault="00F81429" w:rsidP="003146A6">
            <w:pPr>
              <w:pStyle w:val="ListParagraph"/>
              <w:numPr>
                <w:ilvl w:val="0"/>
                <w:numId w:val="84"/>
              </w:numPr>
              <w:autoSpaceDE w:val="0"/>
              <w:autoSpaceDN w:val="0"/>
              <w:adjustRightInd w:val="0"/>
              <w:spacing w:before="120" w:after="120" w:line="240" w:lineRule="auto"/>
              <w:contextualSpacing w:val="0"/>
              <w:rPr>
                <w:iCs/>
                <w:sz w:val="22"/>
                <w:szCs w:val="20"/>
              </w:rPr>
            </w:pPr>
            <w:r w:rsidRPr="00740504">
              <w:rPr>
                <w:iCs/>
                <w:sz w:val="22"/>
                <w:szCs w:val="20"/>
              </w:rPr>
              <w:t xml:space="preserve">The change or extension would increase background noise levels at the site boundary by more than 10 </w:t>
            </w:r>
            <w:proofErr w:type="gramStart"/>
            <w:r w:rsidRPr="00740504">
              <w:rPr>
                <w:iCs/>
                <w:sz w:val="22"/>
                <w:szCs w:val="20"/>
              </w:rPr>
              <w:t>decibels;</w:t>
            </w:r>
            <w:proofErr w:type="gramEnd"/>
            <w:r w:rsidRPr="00740504">
              <w:rPr>
                <w:iCs/>
                <w:sz w:val="22"/>
                <w:szCs w:val="20"/>
              </w:rPr>
              <w:t xml:space="preserve"> or</w:t>
            </w:r>
          </w:p>
          <w:p w14:paraId="0F4D72D5" w14:textId="77777777" w:rsidR="00F81429" w:rsidRPr="00740504" w:rsidRDefault="00F81429" w:rsidP="003146A6">
            <w:pPr>
              <w:pStyle w:val="ListParagraph"/>
              <w:numPr>
                <w:ilvl w:val="0"/>
                <w:numId w:val="84"/>
              </w:numPr>
              <w:autoSpaceDE w:val="0"/>
              <w:autoSpaceDN w:val="0"/>
              <w:adjustRightInd w:val="0"/>
              <w:spacing w:before="120" w:after="120" w:line="240" w:lineRule="auto"/>
              <w:contextualSpacing w:val="0"/>
              <w:rPr>
                <w:iCs/>
                <w:sz w:val="22"/>
                <w:szCs w:val="20"/>
              </w:rPr>
            </w:pPr>
            <w:r w:rsidRPr="00740504">
              <w:rPr>
                <w:iCs/>
                <w:sz w:val="22"/>
                <w:szCs w:val="20"/>
              </w:rPr>
              <w:t>The change or extension was considered and rejected at an earlier assessment on environmental or health or public safety grounds or a combination of these factors; or</w:t>
            </w:r>
          </w:p>
          <w:p w14:paraId="293B1F09" w14:textId="77777777" w:rsidR="00F81429" w:rsidRPr="00740504" w:rsidRDefault="00F81429" w:rsidP="003146A6">
            <w:pPr>
              <w:pStyle w:val="ListParagraph"/>
              <w:numPr>
                <w:ilvl w:val="0"/>
                <w:numId w:val="84"/>
              </w:numPr>
              <w:autoSpaceDE w:val="0"/>
              <w:autoSpaceDN w:val="0"/>
              <w:adjustRightInd w:val="0"/>
              <w:spacing w:before="120" w:after="120" w:line="240" w:lineRule="auto"/>
              <w:contextualSpacing w:val="0"/>
              <w:rPr>
                <w:iCs/>
                <w:sz w:val="22"/>
                <w:szCs w:val="20"/>
              </w:rPr>
            </w:pPr>
            <w:r w:rsidRPr="00740504">
              <w:rPr>
                <w:iCs/>
                <w:sz w:val="22"/>
                <w:szCs w:val="20"/>
              </w:rPr>
              <w:t>The change or extension would result in other changes or extensions that would exceed any of the indicators set out in Column Three of these tables.</w:t>
            </w:r>
          </w:p>
        </w:tc>
      </w:tr>
    </w:tbl>
    <w:p w14:paraId="399B580F" w14:textId="77777777" w:rsidR="001645B7" w:rsidRDefault="001645B7" w:rsidP="001645B7">
      <w:pPr>
        <w:tabs>
          <w:tab w:val="left" w:pos="1125"/>
        </w:tabs>
      </w:pPr>
    </w:p>
    <w:p w14:paraId="3E236D9C" w14:textId="6D3168B7" w:rsidR="00331ED1" w:rsidRDefault="00331ED1">
      <w:pPr>
        <w:spacing w:after="0" w:line="240" w:lineRule="auto"/>
      </w:pPr>
      <w:r>
        <w:br w:type="page"/>
      </w:r>
    </w:p>
    <w:p w14:paraId="35A586C9" w14:textId="17D55725" w:rsidR="000466D0" w:rsidRDefault="000466D0" w:rsidP="000466D0">
      <w:pPr>
        <w:pStyle w:val="Caption"/>
        <w:keepNext/>
      </w:pPr>
      <w:bookmarkStart w:id="349" w:name="_Ref118119621"/>
      <w:r>
        <w:lastRenderedPageBreak/>
        <w:t xml:space="preserve">Table </w:t>
      </w:r>
      <w:fldSimple w:instr=" SEQ Table \* ARABIC ">
        <w:r>
          <w:rPr>
            <w:noProof/>
          </w:rPr>
          <w:t>3</w:t>
        </w:r>
      </w:fldSimple>
      <w:bookmarkEnd w:id="349"/>
      <w:r>
        <w:t xml:space="preserve"> - </w:t>
      </w:r>
      <w:r w:rsidRPr="00B121FD">
        <w:t>Stage 2 – Care and Maintenance Phase</w:t>
      </w:r>
    </w:p>
    <w:tbl>
      <w:tblPr>
        <w:tblStyle w:val="TableGrid"/>
        <w:tblW w:w="5000" w:type="pct"/>
        <w:jc w:val="center"/>
        <w:tblLook w:val="04A0" w:firstRow="1" w:lastRow="0" w:firstColumn="1" w:lastColumn="0" w:noHBand="0" w:noVBand="1"/>
      </w:tblPr>
      <w:tblGrid>
        <w:gridCol w:w="2893"/>
        <w:gridCol w:w="4622"/>
        <w:gridCol w:w="6433"/>
      </w:tblGrid>
      <w:tr w:rsidR="001271D9" w:rsidRPr="000466D0" w14:paraId="0E6C38D5" w14:textId="77777777" w:rsidTr="00DE19A2">
        <w:trPr>
          <w:cantSplit/>
          <w:tblHeader/>
          <w:jc w:val="center"/>
        </w:trPr>
        <w:tc>
          <w:tcPr>
            <w:tcW w:w="1037" w:type="pct"/>
            <w:vAlign w:val="center"/>
          </w:tcPr>
          <w:p w14:paraId="701E2ADF" w14:textId="77777777" w:rsidR="001271D9" w:rsidRPr="000466D0" w:rsidRDefault="001271D9" w:rsidP="00D328FC">
            <w:pPr>
              <w:pStyle w:val="ListParagraph"/>
              <w:ind w:left="0"/>
              <w:rPr>
                <w:bCs/>
              </w:rPr>
            </w:pPr>
            <w:r w:rsidRPr="000466D0">
              <w:rPr>
                <w:bCs/>
              </w:rPr>
              <w:t>Column One</w:t>
            </w:r>
          </w:p>
        </w:tc>
        <w:tc>
          <w:tcPr>
            <w:tcW w:w="1657" w:type="pct"/>
            <w:shd w:val="clear" w:color="auto" w:fill="E8F3DA" w:themeFill="accent4" w:themeFillTint="33"/>
            <w:vAlign w:val="center"/>
          </w:tcPr>
          <w:p w14:paraId="505FA45F" w14:textId="77777777" w:rsidR="001271D9" w:rsidRPr="000466D0" w:rsidRDefault="001271D9" w:rsidP="00D328FC">
            <w:pPr>
              <w:rPr>
                <w:bCs/>
              </w:rPr>
            </w:pPr>
            <w:r w:rsidRPr="000466D0">
              <w:rPr>
                <w:bCs/>
              </w:rPr>
              <w:t>Column Two (Green)</w:t>
            </w:r>
          </w:p>
        </w:tc>
        <w:tc>
          <w:tcPr>
            <w:tcW w:w="2306" w:type="pct"/>
            <w:shd w:val="clear" w:color="auto" w:fill="FCE0D2" w:themeFill="accent2" w:themeFillTint="33"/>
            <w:vAlign w:val="center"/>
          </w:tcPr>
          <w:p w14:paraId="0031B7FE" w14:textId="77777777" w:rsidR="001271D9" w:rsidRPr="000466D0" w:rsidRDefault="001271D9" w:rsidP="00D328FC">
            <w:pPr>
              <w:rPr>
                <w:bCs/>
              </w:rPr>
            </w:pPr>
            <w:r w:rsidRPr="000466D0">
              <w:rPr>
                <w:bCs/>
              </w:rPr>
              <w:t>Column Three (Red)</w:t>
            </w:r>
          </w:p>
        </w:tc>
      </w:tr>
      <w:tr w:rsidR="001271D9" w:rsidRPr="000466D0" w14:paraId="7D8641D8" w14:textId="77777777" w:rsidTr="00DE19A2">
        <w:trPr>
          <w:cantSplit/>
          <w:tblHeader/>
          <w:jc w:val="center"/>
        </w:trPr>
        <w:tc>
          <w:tcPr>
            <w:tcW w:w="1037" w:type="pct"/>
            <w:vAlign w:val="center"/>
          </w:tcPr>
          <w:p w14:paraId="68CD07A3" w14:textId="77777777" w:rsidR="001271D9" w:rsidRPr="000466D0" w:rsidRDefault="001271D9" w:rsidP="00D328FC">
            <w:pPr>
              <w:pStyle w:val="ListParagraph"/>
              <w:ind w:left="0"/>
              <w:rPr>
                <w:iCs/>
              </w:rPr>
            </w:pPr>
            <w:r w:rsidRPr="000466D0">
              <w:rPr>
                <w:iCs/>
              </w:rPr>
              <w:t>Potential Changes</w:t>
            </w:r>
          </w:p>
        </w:tc>
        <w:tc>
          <w:tcPr>
            <w:tcW w:w="1657" w:type="pct"/>
            <w:shd w:val="clear" w:color="auto" w:fill="E8F3DA" w:themeFill="accent4" w:themeFillTint="33"/>
            <w:vAlign w:val="center"/>
          </w:tcPr>
          <w:p w14:paraId="652AE48D" w14:textId="552FFBC0" w:rsidR="001271D9" w:rsidRPr="000466D0" w:rsidRDefault="001271D9" w:rsidP="000466D0">
            <w:pPr>
              <w:rPr>
                <w:iCs/>
              </w:rPr>
            </w:pPr>
            <w:r w:rsidRPr="000466D0">
              <w:rPr>
                <w:iCs/>
              </w:rPr>
              <w:t>Indicator of No Significant Adverse Effect</w:t>
            </w:r>
            <w:r w:rsidR="000466D0" w:rsidRPr="000466D0">
              <w:rPr>
                <w:iCs/>
              </w:rPr>
              <w:t xml:space="preserve"> (</w:t>
            </w:r>
            <w:r w:rsidRPr="000466D0">
              <w:rPr>
                <w:iCs/>
              </w:rPr>
              <w:t>Green – does not require EIA)</w:t>
            </w:r>
          </w:p>
        </w:tc>
        <w:tc>
          <w:tcPr>
            <w:tcW w:w="2306" w:type="pct"/>
            <w:shd w:val="clear" w:color="auto" w:fill="FCE0D2" w:themeFill="accent2" w:themeFillTint="33"/>
            <w:vAlign w:val="center"/>
          </w:tcPr>
          <w:p w14:paraId="38931480" w14:textId="463A0D8B" w:rsidR="001271D9" w:rsidRPr="000466D0" w:rsidRDefault="001271D9" w:rsidP="000466D0">
            <w:pPr>
              <w:rPr>
                <w:iCs/>
              </w:rPr>
            </w:pPr>
            <w:r w:rsidRPr="000466D0">
              <w:rPr>
                <w:iCs/>
              </w:rPr>
              <w:t>Indicator of Likely Significant Adverse Effects</w:t>
            </w:r>
            <w:r w:rsidR="000466D0" w:rsidRPr="000466D0">
              <w:rPr>
                <w:iCs/>
              </w:rPr>
              <w:t xml:space="preserve"> </w:t>
            </w:r>
            <w:r w:rsidRPr="000466D0">
              <w:rPr>
                <w:iCs/>
              </w:rPr>
              <w:t>(Red – EIA likely to be required, consult with ONR)</w:t>
            </w:r>
          </w:p>
        </w:tc>
      </w:tr>
      <w:tr w:rsidR="001271D9" w:rsidRPr="005258C9" w14:paraId="7A0504DF" w14:textId="77777777" w:rsidTr="00DE19A2">
        <w:trPr>
          <w:cantSplit/>
          <w:jc w:val="center"/>
        </w:trPr>
        <w:tc>
          <w:tcPr>
            <w:tcW w:w="1037" w:type="pct"/>
          </w:tcPr>
          <w:p w14:paraId="22990963" w14:textId="19665991" w:rsidR="001271D9" w:rsidRPr="005258C9" w:rsidRDefault="001271D9" w:rsidP="003146A6">
            <w:pPr>
              <w:pStyle w:val="ListParagraph"/>
              <w:numPr>
                <w:ilvl w:val="0"/>
                <w:numId w:val="85"/>
              </w:numPr>
              <w:spacing w:before="120" w:after="120" w:line="240" w:lineRule="auto"/>
              <w:ind w:left="357"/>
              <w:contextualSpacing w:val="0"/>
            </w:pPr>
            <w:r w:rsidRPr="005258C9">
              <w:t xml:space="preserve">Volume of contaminated waste greater than expected, requiring changes or extensions to aspects of the decommissioning process – </w:t>
            </w:r>
            <w:r w:rsidR="000466D0" w:rsidRPr="005258C9">
              <w:t>e.g.,</w:t>
            </w:r>
            <w:r w:rsidRPr="005258C9">
              <w:t xml:space="preserve"> Increase in size of ILW store (in compliance with TCP (EIA) 2017)</w:t>
            </w:r>
          </w:p>
          <w:p w14:paraId="6409CFA3" w14:textId="77777777" w:rsidR="001271D9" w:rsidRPr="005258C9" w:rsidRDefault="001271D9" w:rsidP="003146A6">
            <w:pPr>
              <w:pStyle w:val="ListParagraph"/>
              <w:numPr>
                <w:ilvl w:val="0"/>
                <w:numId w:val="85"/>
              </w:numPr>
              <w:spacing w:before="120" w:after="120" w:line="240" w:lineRule="auto"/>
              <w:ind w:left="357"/>
              <w:contextualSpacing w:val="0"/>
            </w:pPr>
            <w:r w:rsidRPr="005258C9">
              <w:t>A national waste repository is approved and ILW can be removed from the site resulting in traffic effects and noise etc. from the demolition and removal of storage facilities</w:t>
            </w:r>
          </w:p>
        </w:tc>
        <w:tc>
          <w:tcPr>
            <w:tcW w:w="1657" w:type="pct"/>
            <w:shd w:val="clear" w:color="auto" w:fill="E8F3DA" w:themeFill="accent4" w:themeFillTint="33"/>
          </w:tcPr>
          <w:p w14:paraId="676F94A7" w14:textId="77777777" w:rsidR="001271D9" w:rsidRPr="005258C9" w:rsidRDefault="001271D9" w:rsidP="003146A6">
            <w:pPr>
              <w:pStyle w:val="ListParagraph"/>
              <w:numPr>
                <w:ilvl w:val="0"/>
                <w:numId w:val="86"/>
              </w:numPr>
              <w:autoSpaceDE w:val="0"/>
              <w:autoSpaceDN w:val="0"/>
              <w:adjustRightInd w:val="0"/>
              <w:spacing w:before="120" w:after="120" w:line="240" w:lineRule="auto"/>
              <w:ind w:left="357"/>
              <w:contextualSpacing w:val="0"/>
            </w:pPr>
            <w:r w:rsidRPr="005258C9">
              <w:t xml:space="preserve">The increase in the size of the store does not exceed a 25% increase in cubic capacity or 1000 square metres of floor </w:t>
            </w:r>
            <w:proofErr w:type="gramStart"/>
            <w:r w:rsidRPr="005258C9">
              <w:t>space;</w:t>
            </w:r>
            <w:proofErr w:type="gramEnd"/>
            <w:r w:rsidRPr="005258C9">
              <w:t xml:space="preserve"> and</w:t>
            </w:r>
          </w:p>
          <w:p w14:paraId="3EA6AED9" w14:textId="77777777" w:rsidR="001271D9" w:rsidRPr="005258C9" w:rsidRDefault="001271D9" w:rsidP="003146A6">
            <w:pPr>
              <w:pStyle w:val="ListParagraph"/>
              <w:numPr>
                <w:ilvl w:val="0"/>
                <w:numId w:val="86"/>
              </w:numPr>
              <w:autoSpaceDE w:val="0"/>
              <w:autoSpaceDN w:val="0"/>
              <w:adjustRightInd w:val="0"/>
              <w:spacing w:before="120" w:after="120" w:line="240" w:lineRule="auto"/>
              <w:ind w:left="357"/>
              <w:contextualSpacing w:val="0"/>
            </w:pPr>
            <w:r w:rsidRPr="005258C9">
              <w:t xml:space="preserve">The change or extension would not increase background noise levels at the site boundary by more than 5 </w:t>
            </w:r>
            <w:proofErr w:type="gramStart"/>
            <w:r w:rsidRPr="005258C9">
              <w:t>decibels;</w:t>
            </w:r>
            <w:proofErr w:type="gramEnd"/>
            <w:r w:rsidRPr="005258C9">
              <w:t xml:space="preserve"> and</w:t>
            </w:r>
          </w:p>
          <w:p w14:paraId="1B8E8F0E" w14:textId="77777777" w:rsidR="001271D9" w:rsidRPr="005258C9" w:rsidRDefault="001271D9" w:rsidP="003146A6">
            <w:pPr>
              <w:pStyle w:val="ListParagraph"/>
              <w:numPr>
                <w:ilvl w:val="0"/>
                <w:numId w:val="86"/>
              </w:numPr>
              <w:autoSpaceDE w:val="0"/>
              <w:autoSpaceDN w:val="0"/>
              <w:adjustRightInd w:val="0"/>
              <w:spacing w:before="120" w:after="120" w:line="240" w:lineRule="auto"/>
              <w:ind w:left="357"/>
              <w:contextualSpacing w:val="0"/>
            </w:pPr>
            <w:r w:rsidRPr="005258C9">
              <w:t xml:space="preserve">The change or extension would not increase emissions to land, </w:t>
            </w:r>
            <w:proofErr w:type="gramStart"/>
            <w:r w:rsidRPr="005258C9">
              <w:t>air</w:t>
            </w:r>
            <w:proofErr w:type="gramEnd"/>
            <w:r w:rsidRPr="005258C9">
              <w:t xml:space="preserve"> or water, and</w:t>
            </w:r>
          </w:p>
          <w:p w14:paraId="4712C5DB" w14:textId="77777777" w:rsidR="001271D9" w:rsidRPr="005258C9" w:rsidRDefault="001271D9" w:rsidP="003146A6">
            <w:pPr>
              <w:pStyle w:val="ListParagraph"/>
              <w:numPr>
                <w:ilvl w:val="0"/>
                <w:numId w:val="86"/>
              </w:numPr>
              <w:autoSpaceDE w:val="0"/>
              <w:autoSpaceDN w:val="0"/>
              <w:adjustRightInd w:val="0"/>
              <w:spacing w:before="120" w:after="120" w:line="240" w:lineRule="auto"/>
              <w:ind w:left="357"/>
              <w:contextualSpacing w:val="0"/>
            </w:pPr>
            <w:r w:rsidRPr="005258C9">
              <w:t>The change or extension would not result in other changes or extensions that would exceed any of indicators the set out in Column Two of these tables.</w:t>
            </w:r>
          </w:p>
        </w:tc>
        <w:tc>
          <w:tcPr>
            <w:tcW w:w="2306" w:type="pct"/>
            <w:shd w:val="clear" w:color="auto" w:fill="FCE0D2" w:themeFill="accent2" w:themeFillTint="33"/>
          </w:tcPr>
          <w:p w14:paraId="363D3E1F" w14:textId="77777777" w:rsidR="001271D9" w:rsidRPr="005258C9" w:rsidRDefault="001271D9" w:rsidP="003146A6">
            <w:pPr>
              <w:pStyle w:val="ListParagraph"/>
              <w:numPr>
                <w:ilvl w:val="0"/>
                <w:numId w:val="87"/>
              </w:numPr>
              <w:autoSpaceDE w:val="0"/>
              <w:autoSpaceDN w:val="0"/>
              <w:adjustRightInd w:val="0"/>
              <w:spacing w:before="120" w:after="120" w:line="240" w:lineRule="auto"/>
              <w:ind w:left="357"/>
              <w:contextualSpacing w:val="0"/>
            </w:pPr>
            <w:r w:rsidRPr="005258C9">
              <w:t>The change or extension requires prior permission from a competent authority under relevant regulations; or</w:t>
            </w:r>
          </w:p>
          <w:p w14:paraId="668503C0" w14:textId="77777777" w:rsidR="001271D9" w:rsidRPr="005258C9" w:rsidRDefault="001271D9" w:rsidP="003146A6">
            <w:pPr>
              <w:pStyle w:val="ListParagraph"/>
              <w:numPr>
                <w:ilvl w:val="0"/>
                <w:numId w:val="87"/>
              </w:numPr>
              <w:autoSpaceDE w:val="0"/>
              <w:autoSpaceDN w:val="0"/>
              <w:adjustRightInd w:val="0"/>
              <w:spacing w:before="120" w:after="120" w:line="240" w:lineRule="auto"/>
              <w:ind w:left="357"/>
              <w:contextualSpacing w:val="0"/>
            </w:pPr>
            <w:r w:rsidRPr="005258C9">
              <w:t>The extension to the store represents a 50% or greater increase in the cubic capacity of the building(s); or</w:t>
            </w:r>
          </w:p>
          <w:p w14:paraId="17EDCA73" w14:textId="77777777" w:rsidR="001271D9" w:rsidRPr="005258C9" w:rsidRDefault="001271D9" w:rsidP="003146A6">
            <w:pPr>
              <w:pStyle w:val="ListParagraph"/>
              <w:numPr>
                <w:ilvl w:val="0"/>
                <w:numId w:val="87"/>
              </w:numPr>
              <w:autoSpaceDE w:val="0"/>
              <w:autoSpaceDN w:val="0"/>
              <w:adjustRightInd w:val="0"/>
              <w:spacing w:before="120" w:after="120" w:line="240" w:lineRule="auto"/>
              <w:ind w:left="357"/>
              <w:contextualSpacing w:val="0"/>
            </w:pPr>
            <w:r w:rsidRPr="005258C9">
              <w:t xml:space="preserve">The extension of the store or any new buildings would be within 75 metres of any boundary of the </w:t>
            </w:r>
            <w:proofErr w:type="gramStart"/>
            <w:r w:rsidRPr="005258C9">
              <w:t>site;</w:t>
            </w:r>
            <w:proofErr w:type="gramEnd"/>
            <w:r w:rsidRPr="005258C9">
              <w:t xml:space="preserve"> or</w:t>
            </w:r>
          </w:p>
          <w:p w14:paraId="187C4E42" w14:textId="77777777" w:rsidR="001271D9" w:rsidRPr="005258C9" w:rsidRDefault="001271D9" w:rsidP="003146A6">
            <w:pPr>
              <w:pStyle w:val="ListParagraph"/>
              <w:numPr>
                <w:ilvl w:val="0"/>
                <w:numId w:val="87"/>
              </w:numPr>
              <w:autoSpaceDE w:val="0"/>
              <w:autoSpaceDN w:val="0"/>
              <w:adjustRightInd w:val="0"/>
              <w:spacing w:before="120" w:after="120" w:line="240" w:lineRule="auto"/>
              <w:ind w:left="357"/>
              <w:contextualSpacing w:val="0"/>
            </w:pPr>
            <w:r w:rsidRPr="005258C9">
              <w:t xml:space="preserve">Any contamination has not been contained within the existing site boundaries or it is not known whether contamination has spread beyond the site boundaries; </w:t>
            </w:r>
            <w:proofErr w:type="gramStart"/>
            <w:r w:rsidRPr="005258C9">
              <w:t>or;</w:t>
            </w:r>
            <w:proofErr w:type="gramEnd"/>
          </w:p>
          <w:p w14:paraId="73D30175" w14:textId="77777777" w:rsidR="001271D9" w:rsidRPr="005258C9" w:rsidRDefault="001271D9" w:rsidP="003146A6">
            <w:pPr>
              <w:pStyle w:val="ListParagraph"/>
              <w:numPr>
                <w:ilvl w:val="0"/>
                <w:numId w:val="87"/>
              </w:numPr>
              <w:autoSpaceDE w:val="0"/>
              <w:autoSpaceDN w:val="0"/>
              <w:adjustRightInd w:val="0"/>
              <w:spacing w:before="120" w:after="120" w:line="240" w:lineRule="auto"/>
              <w:ind w:left="357"/>
              <w:contextualSpacing w:val="0"/>
            </w:pPr>
            <w:r w:rsidRPr="005258C9">
              <w:t xml:space="preserve">The change or extension would increase background noise levels at the site boundary by more than 10 </w:t>
            </w:r>
            <w:proofErr w:type="gramStart"/>
            <w:r w:rsidRPr="005258C9">
              <w:t>decibels;</w:t>
            </w:r>
            <w:proofErr w:type="gramEnd"/>
            <w:r w:rsidRPr="005258C9">
              <w:t xml:space="preserve"> or</w:t>
            </w:r>
          </w:p>
          <w:p w14:paraId="00EBCA49" w14:textId="77777777" w:rsidR="001271D9" w:rsidRPr="005258C9" w:rsidRDefault="001271D9" w:rsidP="003146A6">
            <w:pPr>
              <w:pStyle w:val="ListParagraph"/>
              <w:numPr>
                <w:ilvl w:val="0"/>
                <w:numId w:val="87"/>
              </w:numPr>
              <w:autoSpaceDE w:val="0"/>
              <w:autoSpaceDN w:val="0"/>
              <w:adjustRightInd w:val="0"/>
              <w:spacing w:before="120" w:after="120" w:line="240" w:lineRule="auto"/>
              <w:ind w:left="357"/>
              <w:contextualSpacing w:val="0"/>
            </w:pPr>
            <w:r w:rsidRPr="005258C9">
              <w:t>The change or extension was considered and rejected at an earlier assessment on environmental or health or public safety grounds or a combination of these factors; or</w:t>
            </w:r>
          </w:p>
          <w:p w14:paraId="70BC11D5" w14:textId="77777777" w:rsidR="001271D9" w:rsidRPr="005258C9" w:rsidRDefault="001271D9" w:rsidP="003146A6">
            <w:pPr>
              <w:pStyle w:val="ListParagraph"/>
              <w:numPr>
                <w:ilvl w:val="0"/>
                <w:numId w:val="87"/>
              </w:numPr>
              <w:autoSpaceDE w:val="0"/>
              <w:autoSpaceDN w:val="0"/>
              <w:adjustRightInd w:val="0"/>
              <w:spacing w:before="120" w:after="120" w:line="240" w:lineRule="auto"/>
              <w:ind w:left="357"/>
              <w:contextualSpacing w:val="0"/>
            </w:pPr>
            <w:r w:rsidRPr="005258C9">
              <w:t>The change or extension would result in other changes or extensions that would exceed any of the indicators set out in Column Three of these tables.</w:t>
            </w:r>
          </w:p>
        </w:tc>
      </w:tr>
      <w:tr w:rsidR="001271D9" w:rsidRPr="005258C9" w14:paraId="3F5D4559" w14:textId="77777777" w:rsidTr="00DE19A2">
        <w:trPr>
          <w:cantSplit/>
          <w:jc w:val="center"/>
        </w:trPr>
        <w:tc>
          <w:tcPr>
            <w:tcW w:w="1037" w:type="pct"/>
          </w:tcPr>
          <w:p w14:paraId="2D98EB5B" w14:textId="77777777" w:rsidR="001271D9" w:rsidRPr="005258C9" w:rsidRDefault="001271D9" w:rsidP="003146A6">
            <w:pPr>
              <w:pStyle w:val="ListParagraph"/>
              <w:numPr>
                <w:ilvl w:val="0"/>
                <w:numId w:val="85"/>
              </w:numPr>
              <w:spacing w:before="120" w:after="120" w:line="240" w:lineRule="auto"/>
              <w:ind w:left="357"/>
              <w:contextualSpacing w:val="0"/>
            </w:pPr>
            <w:r w:rsidRPr="005258C9">
              <w:lastRenderedPageBreak/>
              <w:t>Change of timescale for</w:t>
            </w:r>
            <w:r>
              <w:t xml:space="preserve"> C&amp;M</w:t>
            </w:r>
            <w:r w:rsidRPr="005258C9">
              <w:t xml:space="preserve"> phase, resulting in speeding up or slowing down of operations, with potential effects from radioactive discharges or dose rates, noise, traffic etc.</w:t>
            </w:r>
          </w:p>
          <w:p w14:paraId="5E89BDC6" w14:textId="77777777" w:rsidR="001271D9" w:rsidRPr="005258C9" w:rsidRDefault="001271D9" w:rsidP="003146A6">
            <w:pPr>
              <w:pStyle w:val="ListParagraph"/>
              <w:numPr>
                <w:ilvl w:val="0"/>
                <w:numId w:val="85"/>
              </w:numPr>
              <w:spacing w:before="120" w:after="120" w:line="240" w:lineRule="auto"/>
              <w:ind w:left="357"/>
              <w:contextualSpacing w:val="0"/>
            </w:pPr>
            <w:r w:rsidRPr="005258C9">
              <w:t xml:space="preserve">Note: this includes change of process to immediate decommissioning without the </w:t>
            </w:r>
            <w:r>
              <w:t>C&amp;M</w:t>
            </w:r>
            <w:r w:rsidRPr="005258C9">
              <w:t xml:space="preserve"> phase</w:t>
            </w:r>
          </w:p>
        </w:tc>
        <w:tc>
          <w:tcPr>
            <w:tcW w:w="1657" w:type="pct"/>
            <w:shd w:val="clear" w:color="auto" w:fill="E8F3DA" w:themeFill="accent4" w:themeFillTint="33"/>
          </w:tcPr>
          <w:p w14:paraId="65424C37" w14:textId="77777777" w:rsidR="001271D9" w:rsidRPr="005258C9" w:rsidRDefault="001271D9" w:rsidP="003146A6">
            <w:pPr>
              <w:pStyle w:val="ListParagraph"/>
              <w:numPr>
                <w:ilvl w:val="0"/>
                <w:numId w:val="88"/>
              </w:numPr>
              <w:autoSpaceDE w:val="0"/>
              <w:autoSpaceDN w:val="0"/>
              <w:adjustRightInd w:val="0"/>
              <w:spacing w:before="120" w:after="120" w:line="240" w:lineRule="auto"/>
              <w:ind w:left="357"/>
              <w:contextualSpacing w:val="0"/>
            </w:pPr>
            <w:r w:rsidRPr="005258C9">
              <w:t>The change or extension does not represent an increase or reduction in timescale for operations of more than 10%; and</w:t>
            </w:r>
          </w:p>
          <w:p w14:paraId="3B72BA6A" w14:textId="77777777" w:rsidR="001271D9" w:rsidRPr="005258C9" w:rsidRDefault="001271D9" w:rsidP="003146A6">
            <w:pPr>
              <w:pStyle w:val="ListParagraph"/>
              <w:numPr>
                <w:ilvl w:val="0"/>
                <w:numId w:val="88"/>
              </w:numPr>
              <w:autoSpaceDE w:val="0"/>
              <w:autoSpaceDN w:val="0"/>
              <w:adjustRightInd w:val="0"/>
              <w:spacing w:before="120" w:after="120" w:line="240" w:lineRule="auto"/>
              <w:ind w:left="357"/>
              <w:contextualSpacing w:val="0"/>
            </w:pPr>
            <w:r w:rsidRPr="005258C9">
              <w:t xml:space="preserve">The change or extension would not increase background noise levels at the site boundary by more than 5 </w:t>
            </w:r>
            <w:proofErr w:type="gramStart"/>
            <w:r w:rsidRPr="005258C9">
              <w:t>decibels;</w:t>
            </w:r>
            <w:proofErr w:type="gramEnd"/>
            <w:r w:rsidRPr="005258C9">
              <w:t xml:space="preserve"> and</w:t>
            </w:r>
          </w:p>
          <w:p w14:paraId="3B664595" w14:textId="77777777" w:rsidR="001271D9" w:rsidRPr="005258C9" w:rsidRDefault="001271D9" w:rsidP="003146A6">
            <w:pPr>
              <w:pStyle w:val="ListParagraph"/>
              <w:numPr>
                <w:ilvl w:val="0"/>
                <w:numId w:val="88"/>
              </w:numPr>
              <w:autoSpaceDE w:val="0"/>
              <w:autoSpaceDN w:val="0"/>
              <w:adjustRightInd w:val="0"/>
              <w:spacing w:before="120" w:after="120" w:line="240" w:lineRule="auto"/>
              <w:contextualSpacing w:val="0"/>
            </w:pPr>
            <w:r w:rsidRPr="005258C9">
              <w:t>The change or extension would not result in other changes or extensions that would exceed any of the indicators set out in Column Two of these tables.</w:t>
            </w:r>
          </w:p>
        </w:tc>
        <w:tc>
          <w:tcPr>
            <w:tcW w:w="2306" w:type="pct"/>
            <w:shd w:val="clear" w:color="auto" w:fill="FCE0D2" w:themeFill="accent2" w:themeFillTint="33"/>
          </w:tcPr>
          <w:p w14:paraId="5D882D22" w14:textId="77777777" w:rsidR="001271D9" w:rsidRPr="005258C9" w:rsidRDefault="001271D9" w:rsidP="003146A6">
            <w:pPr>
              <w:pStyle w:val="ListParagraph"/>
              <w:numPr>
                <w:ilvl w:val="0"/>
                <w:numId w:val="89"/>
              </w:numPr>
              <w:autoSpaceDE w:val="0"/>
              <w:autoSpaceDN w:val="0"/>
              <w:adjustRightInd w:val="0"/>
              <w:spacing w:before="120" w:after="120" w:line="240" w:lineRule="auto"/>
              <w:ind w:left="357"/>
              <w:contextualSpacing w:val="0"/>
            </w:pPr>
            <w:r w:rsidRPr="005258C9">
              <w:t>The change or extension requires prior permission from a competent authority under relevant regulations; or</w:t>
            </w:r>
          </w:p>
          <w:p w14:paraId="4C38608B" w14:textId="77777777" w:rsidR="001271D9" w:rsidRPr="005258C9" w:rsidRDefault="001271D9" w:rsidP="003146A6">
            <w:pPr>
              <w:pStyle w:val="ListParagraph"/>
              <w:numPr>
                <w:ilvl w:val="0"/>
                <w:numId w:val="89"/>
              </w:numPr>
              <w:autoSpaceDE w:val="0"/>
              <w:autoSpaceDN w:val="0"/>
              <w:adjustRightInd w:val="0"/>
              <w:spacing w:before="120" w:after="120" w:line="240" w:lineRule="auto"/>
              <w:ind w:left="357"/>
              <w:contextualSpacing w:val="0"/>
            </w:pPr>
            <w:r w:rsidRPr="005258C9">
              <w:t xml:space="preserve">The change or extension would increase background noise levels at the site boundary by more than 10 </w:t>
            </w:r>
            <w:proofErr w:type="gramStart"/>
            <w:r w:rsidRPr="005258C9">
              <w:t>decibels;</w:t>
            </w:r>
            <w:proofErr w:type="gramEnd"/>
            <w:r w:rsidRPr="005258C9">
              <w:t xml:space="preserve"> or</w:t>
            </w:r>
          </w:p>
          <w:p w14:paraId="29DCA39E" w14:textId="77777777" w:rsidR="001271D9" w:rsidRPr="005258C9" w:rsidRDefault="001271D9" w:rsidP="003146A6">
            <w:pPr>
              <w:pStyle w:val="ListParagraph"/>
              <w:numPr>
                <w:ilvl w:val="0"/>
                <w:numId w:val="89"/>
              </w:numPr>
              <w:autoSpaceDE w:val="0"/>
              <w:autoSpaceDN w:val="0"/>
              <w:adjustRightInd w:val="0"/>
              <w:spacing w:before="120" w:after="120" w:line="240" w:lineRule="auto"/>
              <w:ind w:left="357"/>
              <w:contextualSpacing w:val="0"/>
            </w:pPr>
            <w:r w:rsidRPr="005258C9">
              <w:t>The change or extension was considered and rejected at an earlier assessment on environmental or health or public safety grounds or a combination of these factors; or</w:t>
            </w:r>
          </w:p>
          <w:p w14:paraId="107DA630" w14:textId="77777777" w:rsidR="001271D9" w:rsidRPr="005258C9" w:rsidRDefault="001271D9" w:rsidP="003146A6">
            <w:pPr>
              <w:pStyle w:val="ListParagraph"/>
              <w:numPr>
                <w:ilvl w:val="0"/>
                <w:numId w:val="89"/>
              </w:numPr>
              <w:autoSpaceDE w:val="0"/>
              <w:autoSpaceDN w:val="0"/>
              <w:adjustRightInd w:val="0"/>
              <w:spacing w:before="120" w:after="120" w:line="240" w:lineRule="auto"/>
              <w:contextualSpacing w:val="0"/>
            </w:pPr>
            <w:r w:rsidRPr="005258C9">
              <w:t>The change or extension would result in other changes or extensions that would exceed any of the set out in Column Three of these tables.</w:t>
            </w:r>
          </w:p>
        </w:tc>
      </w:tr>
    </w:tbl>
    <w:p w14:paraId="7BB8DA74" w14:textId="77777777" w:rsidR="001271D9" w:rsidRDefault="001271D9" w:rsidP="00F81429"/>
    <w:p w14:paraId="38636122" w14:textId="77777777" w:rsidR="001271D9" w:rsidRDefault="001271D9" w:rsidP="00F81429"/>
    <w:p w14:paraId="4AA19460" w14:textId="77777777" w:rsidR="00331ED1" w:rsidRDefault="00331ED1">
      <w:pPr>
        <w:spacing w:after="0" w:line="240" w:lineRule="auto"/>
        <w:rPr>
          <w:color w:val="22413A"/>
          <w:sz w:val="48"/>
        </w:rPr>
      </w:pPr>
      <w:r>
        <w:br w:type="page"/>
      </w:r>
    </w:p>
    <w:p w14:paraId="7D6D2066" w14:textId="62456049" w:rsidR="000466D0" w:rsidRDefault="000466D0" w:rsidP="000466D0">
      <w:pPr>
        <w:pStyle w:val="Caption"/>
        <w:keepNext/>
      </w:pPr>
      <w:bookmarkStart w:id="350" w:name="_Ref118119630"/>
      <w:r>
        <w:lastRenderedPageBreak/>
        <w:t xml:space="preserve">Table </w:t>
      </w:r>
      <w:fldSimple w:instr=" SEQ Table \* ARABIC ">
        <w:r>
          <w:rPr>
            <w:noProof/>
          </w:rPr>
          <w:t>4</w:t>
        </w:r>
      </w:fldSimple>
      <w:bookmarkEnd w:id="350"/>
      <w:r>
        <w:t xml:space="preserve"> - </w:t>
      </w:r>
      <w:r w:rsidRPr="005446E2">
        <w:t>Stage 3 – The Site Clearance Phase</w:t>
      </w:r>
    </w:p>
    <w:tbl>
      <w:tblPr>
        <w:tblStyle w:val="TableGrid"/>
        <w:tblW w:w="5000" w:type="pct"/>
        <w:jc w:val="center"/>
        <w:tblLook w:val="04A0" w:firstRow="1" w:lastRow="0" w:firstColumn="1" w:lastColumn="0" w:noHBand="0" w:noVBand="1"/>
      </w:tblPr>
      <w:tblGrid>
        <w:gridCol w:w="2893"/>
        <w:gridCol w:w="4745"/>
        <w:gridCol w:w="6310"/>
      </w:tblGrid>
      <w:tr w:rsidR="000A7C19" w:rsidRPr="000466D0" w14:paraId="7555AF8C" w14:textId="77777777" w:rsidTr="00DE19A2">
        <w:trPr>
          <w:cantSplit/>
          <w:tblHeader/>
          <w:jc w:val="center"/>
        </w:trPr>
        <w:tc>
          <w:tcPr>
            <w:tcW w:w="1037" w:type="pct"/>
            <w:vAlign w:val="center"/>
          </w:tcPr>
          <w:p w14:paraId="0EAA3022" w14:textId="77777777" w:rsidR="000A7C19" w:rsidRPr="000466D0" w:rsidRDefault="000A7C19" w:rsidP="00D328FC">
            <w:pPr>
              <w:pStyle w:val="ListParagraph"/>
              <w:ind w:left="0"/>
              <w:rPr>
                <w:bCs/>
              </w:rPr>
            </w:pPr>
            <w:r w:rsidRPr="000466D0">
              <w:rPr>
                <w:bCs/>
              </w:rPr>
              <w:t>Column One</w:t>
            </w:r>
          </w:p>
        </w:tc>
        <w:tc>
          <w:tcPr>
            <w:tcW w:w="1701" w:type="pct"/>
            <w:shd w:val="clear" w:color="auto" w:fill="E8F3DA" w:themeFill="accent4" w:themeFillTint="33"/>
            <w:vAlign w:val="center"/>
          </w:tcPr>
          <w:p w14:paraId="32054079" w14:textId="77777777" w:rsidR="000A7C19" w:rsidRPr="000466D0" w:rsidRDefault="000A7C19" w:rsidP="00D328FC">
            <w:pPr>
              <w:rPr>
                <w:bCs/>
              </w:rPr>
            </w:pPr>
            <w:r w:rsidRPr="000466D0">
              <w:rPr>
                <w:bCs/>
              </w:rPr>
              <w:t>Column Two (Green)</w:t>
            </w:r>
          </w:p>
        </w:tc>
        <w:tc>
          <w:tcPr>
            <w:tcW w:w="2262" w:type="pct"/>
            <w:shd w:val="clear" w:color="auto" w:fill="FCE0D2" w:themeFill="accent2" w:themeFillTint="33"/>
            <w:vAlign w:val="center"/>
          </w:tcPr>
          <w:p w14:paraId="0E873DAC" w14:textId="77777777" w:rsidR="000A7C19" w:rsidRPr="000466D0" w:rsidRDefault="000A7C19" w:rsidP="00D328FC">
            <w:pPr>
              <w:rPr>
                <w:bCs/>
              </w:rPr>
            </w:pPr>
            <w:r w:rsidRPr="000466D0">
              <w:rPr>
                <w:bCs/>
              </w:rPr>
              <w:t>Column Three (Red)</w:t>
            </w:r>
          </w:p>
        </w:tc>
      </w:tr>
      <w:tr w:rsidR="000A7C19" w:rsidRPr="000466D0" w14:paraId="2BD85533" w14:textId="77777777" w:rsidTr="00DE19A2">
        <w:trPr>
          <w:cantSplit/>
          <w:tblHeader/>
          <w:jc w:val="center"/>
        </w:trPr>
        <w:tc>
          <w:tcPr>
            <w:tcW w:w="1037" w:type="pct"/>
            <w:vAlign w:val="center"/>
          </w:tcPr>
          <w:p w14:paraId="733C734F" w14:textId="77777777" w:rsidR="000A7C19" w:rsidRPr="000466D0" w:rsidRDefault="000A7C19" w:rsidP="00D328FC">
            <w:pPr>
              <w:pStyle w:val="ListParagraph"/>
              <w:ind w:left="0"/>
              <w:rPr>
                <w:iCs/>
              </w:rPr>
            </w:pPr>
            <w:r w:rsidRPr="000466D0">
              <w:rPr>
                <w:iCs/>
              </w:rPr>
              <w:t>Potential Changes</w:t>
            </w:r>
          </w:p>
        </w:tc>
        <w:tc>
          <w:tcPr>
            <w:tcW w:w="1701" w:type="pct"/>
            <w:shd w:val="clear" w:color="auto" w:fill="E8F3DA" w:themeFill="accent4" w:themeFillTint="33"/>
            <w:vAlign w:val="center"/>
          </w:tcPr>
          <w:p w14:paraId="0B05FC4A" w14:textId="3F4BC2C8" w:rsidR="000A7C19" w:rsidRPr="000466D0" w:rsidRDefault="000A7C19" w:rsidP="000466D0">
            <w:pPr>
              <w:rPr>
                <w:iCs/>
              </w:rPr>
            </w:pPr>
            <w:r w:rsidRPr="000466D0">
              <w:rPr>
                <w:iCs/>
              </w:rPr>
              <w:t>Indicator of No Significant Adverse Effect</w:t>
            </w:r>
            <w:r w:rsidR="000466D0" w:rsidRPr="000466D0">
              <w:rPr>
                <w:iCs/>
              </w:rPr>
              <w:t xml:space="preserve"> </w:t>
            </w:r>
            <w:r w:rsidRPr="000466D0">
              <w:rPr>
                <w:iCs/>
              </w:rPr>
              <w:t>(Green – does not require EIA)</w:t>
            </w:r>
          </w:p>
        </w:tc>
        <w:tc>
          <w:tcPr>
            <w:tcW w:w="2262" w:type="pct"/>
            <w:shd w:val="clear" w:color="auto" w:fill="FCE0D2" w:themeFill="accent2" w:themeFillTint="33"/>
            <w:vAlign w:val="center"/>
          </w:tcPr>
          <w:p w14:paraId="12824D33" w14:textId="036B4F44" w:rsidR="000A7C19" w:rsidRPr="000466D0" w:rsidRDefault="000A7C19" w:rsidP="000466D0">
            <w:pPr>
              <w:rPr>
                <w:iCs/>
              </w:rPr>
            </w:pPr>
            <w:r w:rsidRPr="000466D0">
              <w:rPr>
                <w:iCs/>
              </w:rPr>
              <w:t>Indicator of Likely Significant Adverse Effects</w:t>
            </w:r>
            <w:r w:rsidR="000466D0" w:rsidRPr="000466D0">
              <w:rPr>
                <w:iCs/>
              </w:rPr>
              <w:t xml:space="preserve"> </w:t>
            </w:r>
            <w:r w:rsidRPr="000466D0">
              <w:rPr>
                <w:iCs/>
              </w:rPr>
              <w:t>(Red – EIA likely to be required, consult with ONR)</w:t>
            </w:r>
          </w:p>
        </w:tc>
      </w:tr>
      <w:tr w:rsidR="000A7C19" w:rsidRPr="005258C9" w14:paraId="41FC9EAE" w14:textId="77777777" w:rsidTr="00DE19A2">
        <w:trPr>
          <w:cantSplit/>
          <w:jc w:val="center"/>
        </w:trPr>
        <w:tc>
          <w:tcPr>
            <w:tcW w:w="1037" w:type="pct"/>
          </w:tcPr>
          <w:p w14:paraId="25495DCB" w14:textId="77777777" w:rsidR="000A7C19" w:rsidRPr="005258C9" w:rsidRDefault="000A7C19" w:rsidP="003146A6">
            <w:pPr>
              <w:pStyle w:val="ListParagraph"/>
              <w:numPr>
                <w:ilvl w:val="0"/>
                <w:numId w:val="90"/>
              </w:numPr>
              <w:spacing w:before="120" w:after="120" w:line="240" w:lineRule="auto"/>
              <w:ind w:left="357" w:hanging="357"/>
              <w:contextualSpacing w:val="0"/>
            </w:pPr>
            <w:r w:rsidRPr="005258C9">
              <w:t>Non-availability of a final radioactive waste storage or disposal facility – resulting in the construction of a new store, extensions to an existing store, or alterations or extensive maintenance of existing buildings on the site.</w:t>
            </w:r>
          </w:p>
        </w:tc>
        <w:tc>
          <w:tcPr>
            <w:tcW w:w="1701" w:type="pct"/>
            <w:shd w:val="clear" w:color="auto" w:fill="E8F3DA" w:themeFill="accent4" w:themeFillTint="33"/>
          </w:tcPr>
          <w:p w14:paraId="0AA00D8A" w14:textId="77777777" w:rsidR="000A7C19" w:rsidRPr="005258C9" w:rsidRDefault="000A7C19" w:rsidP="003146A6">
            <w:pPr>
              <w:pStyle w:val="ListParagraph"/>
              <w:numPr>
                <w:ilvl w:val="0"/>
                <w:numId w:val="91"/>
              </w:numPr>
              <w:autoSpaceDE w:val="0"/>
              <w:autoSpaceDN w:val="0"/>
              <w:adjustRightInd w:val="0"/>
              <w:spacing w:before="120" w:after="120" w:line="240" w:lineRule="auto"/>
              <w:ind w:left="357" w:hanging="357"/>
              <w:contextualSpacing w:val="0"/>
            </w:pPr>
            <w:r w:rsidRPr="005258C9">
              <w:t>The change or extension would not result in other changes or extensions that would exceed any of the indicators set out in Column Two of these tables.</w:t>
            </w:r>
          </w:p>
        </w:tc>
        <w:tc>
          <w:tcPr>
            <w:tcW w:w="2262" w:type="pct"/>
            <w:shd w:val="clear" w:color="auto" w:fill="FCE0D2" w:themeFill="accent2" w:themeFillTint="33"/>
          </w:tcPr>
          <w:p w14:paraId="393423FA" w14:textId="77777777" w:rsidR="000A7C19" w:rsidRPr="005258C9" w:rsidRDefault="000A7C19" w:rsidP="003146A6">
            <w:pPr>
              <w:pStyle w:val="ListParagraph"/>
              <w:numPr>
                <w:ilvl w:val="0"/>
                <w:numId w:val="92"/>
              </w:numPr>
              <w:autoSpaceDE w:val="0"/>
              <w:autoSpaceDN w:val="0"/>
              <w:adjustRightInd w:val="0"/>
              <w:spacing w:before="120" w:after="120" w:line="240" w:lineRule="auto"/>
              <w:ind w:left="357" w:hanging="357"/>
              <w:contextualSpacing w:val="0"/>
            </w:pPr>
            <w:r w:rsidRPr="005258C9">
              <w:t>The change or extension requires prior permission from a competent authority under relevant regulations; or</w:t>
            </w:r>
          </w:p>
          <w:p w14:paraId="2054F42E" w14:textId="77777777" w:rsidR="000A7C19" w:rsidRPr="005258C9" w:rsidRDefault="000A7C19" w:rsidP="003146A6">
            <w:pPr>
              <w:pStyle w:val="ListParagraph"/>
              <w:numPr>
                <w:ilvl w:val="0"/>
                <w:numId w:val="92"/>
              </w:numPr>
              <w:autoSpaceDE w:val="0"/>
              <w:autoSpaceDN w:val="0"/>
              <w:adjustRightInd w:val="0"/>
              <w:spacing w:before="120" w:after="120" w:line="240" w:lineRule="auto"/>
              <w:ind w:left="357" w:hanging="357"/>
              <w:contextualSpacing w:val="0"/>
            </w:pPr>
            <w:r w:rsidRPr="005258C9">
              <w:t>The extension to the store represents a 50% or greater increase in the cubic capacity of the building(s); or</w:t>
            </w:r>
          </w:p>
          <w:p w14:paraId="762851B0" w14:textId="77777777" w:rsidR="000A7C19" w:rsidRPr="005258C9" w:rsidRDefault="000A7C19" w:rsidP="003146A6">
            <w:pPr>
              <w:pStyle w:val="ListParagraph"/>
              <w:numPr>
                <w:ilvl w:val="0"/>
                <w:numId w:val="92"/>
              </w:numPr>
              <w:autoSpaceDE w:val="0"/>
              <w:autoSpaceDN w:val="0"/>
              <w:adjustRightInd w:val="0"/>
              <w:spacing w:before="120" w:after="120" w:line="240" w:lineRule="auto"/>
              <w:ind w:left="357" w:hanging="357"/>
              <w:contextualSpacing w:val="0"/>
            </w:pPr>
            <w:r w:rsidRPr="005258C9">
              <w:t xml:space="preserve">The extension of the store or any new buildings would be within 75 metres of any boundary of the </w:t>
            </w:r>
            <w:proofErr w:type="gramStart"/>
            <w:r w:rsidRPr="005258C9">
              <w:t>site;</w:t>
            </w:r>
            <w:proofErr w:type="gramEnd"/>
            <w:r w:rsidRPr="005258C9">
              <w:t xml:space="preserve"> or</w:t>
            </w:r>
          </w:p>
          <w:p w14:paraId="03D2C9FF" w14:textId="77777777" w:rsidR="000A7C19" w:rsidRPr="005258C9" w:rsidRDefault="000A7C19" w:rsidP="003146A6">
            <w:pPr>
              <w:pStyle w:val="ListParagraph"/>
              <w:numPr>
                <w:ilvl w:val="0"/>
                <w:numId w:val="92"/>
              </w:numPr>
              <w:autoSpaceDE w:val="0"/>
              <w:autoSpaceDN w:val="0"/>
              <w:adjustRightInd w:val="0"/>
              <w:spacing w:before="120" w:after="120" w:line="240" w:lineRule="auto"/>
              <w:ind w:left="357" w:hanging="357"/>
              <w:contextualSpacing w:val="0"/>
            </w:pPr>
            <w:r w:rsidRPr="005258C9">
              <w:t xml:space="preserve">The change or extension would increase background noise levels at the site boundary by more than 10 </w:t>
            </w:r>
            <w:proofErr w:type="gramStart"/>
            <w:r w:rsidRPr="005258C9">
              <w:t>decibels;</w:t>
            </w:r>
            <w:proofErr w:type="gramEnd"/>
            <w:r w:rsidRPr="005258C9">
              <w:t xml:space="preserve"> or</w:t>
            </w:r>
          </w:p>
          <w:p w14:paraId="489BF542" w14:textId="77777777" w:rsidR="000A7C19" w:rsidRPr="005258C9" w:rsidRDefault="000A7C19" w:rsidP="003146A6">
            <w:pPr>
              <w:pStyle w:val="ListParagraph"/>
              <w:numPr>
                <w:ilvl w:val="0"/>
                <w:numId w:val="92"/>
              </w:numPr>
              <w:autoSpaceDE w:val="0"/>
              <w:autoSpaceDN w:val="0"/>
              <w:adjustRightInd w:val="0"/>
              <w:spacing w:before="120" w:after="120" w:line="240" w:lineRule="auto"/>
              <w:ind w:left="357" w:hanging="357"/>
              <w:contextualSpacing w:val="0"/>
            </w:pPr>
            <w:r w:rsidRPr="005258C9">
              <w:t>The change or extension was considered and rejected at an earlier assessment on environmental or health or public safety grounds or a combination of these factors; or</w:t>
            </w:r>
          </w:p>
          <w:p w14:paraId="221CB29B" w14:textId="77777777" w:rsidR="000A7C19" w:rsidRPr="005258C9" w:rsidRDefault="000A7C19" w:rsidP="003146A6">
            <w:pPr>
              <w:pStyle w:val="ListParagraph"/>
              <w:numPr>
                <w:ilvl w:val="0"/>
                <w:numId w:val="92"/>
              </w:numPr>
              <w:autoSpaceDE w:val="0"/>
              <w:autoSpaceDN w:val="0"/>
              <w:adjustRightInd w:val="0"/>
              <w:spacing w:before="120" w:after="120" w:line="240" w:lineRule="auto"/>
              <w:ind w:left="357" w:hanging="357"/>
              <w:contextualSpacing w:val="0"/>
            </w:pPr>
            <w:r w:rsidRPr="005258C9">
              <w:t>The change or extension would result in other changes or extensions that would exceed any of the indicators set out in Column Three of these tables.</w:t>
            </w:r>
          </w:p>
        </w:tc>
      </w:tr>
      <w:tr w:rsidR="000A7C19" w:rsidRPr="005258C9" w14:paraId="1BB33916" w14:textId="77777777" w:rsidTr="00DE19A2">
        <w:trPr>
          <w:cantSplit/>
          <w:jc w:val="center"/>
        </w:trPr>
        <w:tc>
          <w:tcPr>
            <w:tcW w:w="1037" w:type="pct"/>
          </w:tcPr>
          <w:p w14:paraId="13603FCC" w14:textId="77777777" w:rsidR="000A7C19" w:rsidRPr="005258C9" w:rsidRDefault="000A7C19" w:rsidP="003146A6">
            <w:pPr>
              <w:pStyle w:val="ListParagraph"/>
              <w:numPr>
                <w:ilvl w:val="0"/>
                <w:numId w:val="90"/>
              </w:numPr>
              <w:spacing w:before="120" w:after="120" w:line="240" w:lineRule="auto"/>
              <w:ind w:left="357" w:hanging="357"/>
              <w:contextualSpacing w:val="0"/>
            </w:pPr>
            <w:r w:rsidRPr="005258C9">
              <w:lastRenderedPageBreak/>
              <w:t>Decision to change planned end use of site (</w:t>
            </w:r>
            <w:proofErr w:type="gramStart"/>
            <w:r w:rsidRPr="005258C9">
              <w:t>e.g.</w:t>
            </w:r>
            <w:proofErr w:type="gramEnd"/>
            <w:r w:rsidRPr="005258C9">
              <w:t xml:space="preserve"> unrestricted or green field), decision to permanently store or dispose of waste on site.</w:t>
            </w:r>
          </w:p>
        </w:tc>
        <w:tc>
          <w:tcPr>
            <w:tcW w:w="1701" w:type="pct"/>
            <w:shd w:val="clear" w:color="auto" w:fill="E8F3DA" w:themeFill="accent4" w:themeFillTint="33"/>
          </w:tcPr>
          <w:p w14:paraId="6E7C2CA1" w14:textId="77777777" w:rsidR="000A7C19" w:rsidRPr="005258C9" w:rsidRDefault="000A7C19" w:rsidP="003146A6">
            <w:pPr>
              <w:pStyle w:val="ListParagraph"/>
              <w:numPr>
                <w:ilvl w:val="0"/>
                <w:numId w:val="93"/>
              </w:numPr>
              <w:autoSpaceDE w:val="0"/>
              <w:autoSpaceDN w:val="0"/>
              <w:adjustRightInd w:val="0"/>
              <w:spacing w:before="120" w:after="120" w:line="240" w:lineRule="auto"/>
              <w:ind w:left="357" w:hanging="357"/>
              <w:contextualSpacing w:val="0"/>
            </w:pPr>
            <w:r w:rsidRPr="005258C9">
              <w:t>The new use or development falls below any relevant regulatory exclusion thresholds for EIA in place at the time of the change or extension; and</w:t>
            </w:r>
          </w:p>
          <w:p w14:paraId="2CC90D2F" w14:textId="77777777" w:rsidR="000A7C19" w:rsidRPr="005258C9" w:rsidRDefault="000A7C19" w:rsidP="003146A6">
            <w:pPr>
              <w:pStyle w:val="ListParagraph"/>
              <w:numPr>
                <w:ilvl w:val="0"/>
                <w:numId w:val="93"/>
              </w:numPr>
              <w:autoSpaceDE w:val="0"/>
              <w:autoSpaceDN w:val="0"/>
              <w:adjustRightInd w:val="0"/>
              <w:spacing w:before="120" w:after="120" w:line="240" w:lineRule="auto"/>
              <w:ind w:left="357" w:hanging="357"/>
              <w:contextualSpacing w:val="0"/>
            </w:pPr>
            <w:r w:rsidRPr="005258C9">
              <w:t>The change or extension would not result in other changes or extensions that would exceed any of the indicators set out in Column Two of these tables.</w:t>
            </w:r>
          </w:p>
        </w:tc>
        <w:tc>
          <w:tcPr>
            <w:tcW w:w="2262" w:type="pct"/>
            <w:shd w:val="clear" w:color="auto" w:fill="FCE0D2" w:themeFill="accent2" w:themeFillTint="33"/>
          </w:tcPr>
          <w:p w14:paraId="380B7EBE" w14:textId="77777777" w:rsidR="000A7C19" w:rsidRPr="005258C9" w:rsidRDefault="000A7C19" w:rsidP="003146A6">
            <w:pPr>
              <w:pStyle w:val="ListParagraph"/>
              <w:numPr>
                <w:ilvl w:val="0"/>
                <w:numId w:val="94"/>
              </w:numPr>
              <w:autoSpaceDE w:val="0"/>
              <w:autoSpaceDN w:val="0"/>
              <w:adjustRightInd w:val="0"/>
              <w:spacing w:before="120" w:after="120" w:line="240" w:lineRule="auto"/>
              <w:ind w:left="357" w:hanging="357"/>
              <w:contextualSpacing w:val="0"/>
            </w:pPr>
            <w:r w:rsidRPr="005258C9">
              <w:t>The new use or development exceeds any relevant Indicative Screening Criteria for EIA in place at the time of the change or extension; or</w:t>
            </w:r>
          </w:p>
          <w:p w14:paraId="2C0A217B" w14:textId="77777777" w:rsidR="000A7C19" w:rsidRPr="005258C9" w:rsidRDefault="000A7C19" w:rsidP="003146A6">
            <w:pPr>
              <w:pStyle w:val="ListParagraph"/>
              <w:numPr>
                <w:ilvl w:val="0"/>
                <w:numId w:val="94"/>
              </w:numPr>
              <w:autoSpaceDE w:val="0"/>
              <w:autoSpaceDN w:val="0"/>
              <w:adjustRightInd w:val="0"/>
              <w:spacing w:before="120" w:after="120" w:line="240" w:lineRule="auto"/>
              <w:ind w:left="357" w:hanging="357"/>
              <w:contextualSpacing w:val="0"/>
            </w:pPr>
            <w:r w:rsidRPr="005258C9">
              <w:t>The new use or development exceeds any relevant regulatory inclusion thresholds for EIA in place at the time of the change or extension</w:t>
            </w:r>
          </w:p>
        </w:tc>
      </w:tr>
    </w:tbl>
    <w:p w14:paraId="161D53FF" w14:textId="77777777" w:rsidR="000A7C19" w:rsidRDefault="000A7C19" w:rsidP="001271D9"/>
    <w:p w14:paraId="7C87EC78" w14:textId="77777777" w:rsidR="000A7C19" w:rsidRDefault="000A7C19" w:rsidP="000A7C19"/>
    <w:p w14:paraId="3DC0B878" w14:textId="77777777" w:rsidR="000A7C19" w:rsidRDefault="000A7C19" w:rsidP="000A7C19">
      <w:pPr>
        <w:tabs>
          <w:tab w:val="left" w:pos="1470"/>
        </w:tabs>
        <w:sectPr w:rsidR="000A7C19" w:rsidSect="00674954">
          <w:pgSz w:w="16838" w:h="11906" w:orient="landscape"/>
          <w:pgMar w:top="1440" w:right="1440" w:bottom="1440" w:left="1440" w:header="708" w:footer="708" w:gutter="0"/>
          <w:cols w:space="708"/>
          <w:docGrid w:linePitch="360"/>
        </w:sectPr>
      </w:pPr>
      <w:r>
        <w:tab/>
      </w:r>
    </w:p>
    <w:p w14:paraId="431019F1" w14:textId="64BEFD3B" w:rsidR="000A7C19" w:rsidRDefault="000A7C19" w:rsidP="00E45899">
      <w:pPr>
        <w:pStyle w:val="Heading1"/>
        <w:numPr>
          <w:ilvl w:val="0"/>
          <w:numId w:val="0"/>
        </w:numPr>
      </w:pPr>
      <w:bookmarkStart w:id="351" w:name="_Toc124416353"/>
      <w:r>
        <w:lastRenderedPageBreak/>
        <w:t>Appendix 5 – Proforma for Finding of No Significant Effects (FONSE) Report</w:t>
      </w:r>
      <w:bookmarkEnd w:id="351"/>
    </w:p>
    <w:p w14:paraId="320B0F90" w14:textId="20880E7C" w:rsidR="00D57841" w:rsidRPr="00E45899" w:rsidRDefault="00D57841" w:rsidP="00E45899">
      <w:r w:rsidRPr="0083170B">
        <w:t xml:space="preserve">Licensees have </w:t>
      </w:r>
      <w:r w:rsidRPr="00E45899">
        <w:t>the responsibility to screen for changes to the decommissioning project which may be significant; the screening process will indicate whether a determination from ONR is required. If none of the criteria apply a record of FONSE can be completed for internal use and future reference; below is an example form that may be used to record a FONSE, however the licensee is free to make their own arrangements for recording FONSE.</w:t>
      </w:r>
    </w:p>
    <w:tbl>
      <w:tblPr>
        <w:tblStyle w:val="TableGrid"/>
        <w:tblW w:w="5000" w:type="pct"/>
        <w:tblLook w:val="04A0" w:firstRow="1" w:lastRow="0" w:firstColumn="1" w:lastColumn="0" w:noHBand="0" w:noVBand="1"/>
      </w:tblPr>
      <w:tblGrid>
        <w:gridCol w:w="1925"/>
        <w:gridCol w:w="1739"/>
        <w:gridCol w:w="2751"/>
        <w:gridCol w:w="2565"/>
      </w:tblGrid>
      <w:tr w:rsidR="00D57841" w:rsidRPr="00674954" w14:paraId="46EC4036" w14:textId="77777777" w:rsidTr="00674954">
        <w:tc>
          <w:tcPr>
            <w:tcW w:w="2040" w:type="pct"/>
            <w:gridSpan w:val="2"/>
            <w:tcBorders>
              <w:top w:val="single" w:sz="18" w:space="0" w:color="auto"/>
              <w:left w:val="single" w:sz="18" w:space="0" w:color="auto"/>
            </w:tcBorders>
          </w:tcPr>
          <w:p w14:paraId="6D60E63F" w14:textId="77777777" w:rsidR="00D57841" w:rsidRPr="00674954" w:rsidRDefault="00D57841" w:rsidP="004E0280">
            <w:pPr>
              <w:rPr>
                <w:b/>
                <w:bCs/>
                <w:sz w:val="22"/>
              </w:rPr>
            </w:pPr>
            <w:r w:rsidRPr="00674954">
              <w:rPr>
                <w:b/>
                <w:bCs/>
                <w:sz w:val="22"/>
              </w:rPr>
              <w:t>Name of Nuclear Reactor Installation, initial programme of works and this amendment</w:t>
            </w:r>
          </w:p>
        </w:tc>
        <w:tc>
          <w:tcPr>
            <w:tcW w:w="2960" w:type="pct"/>
            <w:gridSpan w:val="2"/>
            <w:tcBorders>
              <w:top w:val="single" w:sz="18" w:space="0" w:color="auto"/>
              <w:right w:val="single" w:sz="18" w:space="0" w:color="auto"/>
            </w:tcBorders>
          </w:tcPr>
          <w:p w14:paraId="396DDE0C" w14:textId="77777777" w:rsidR="00D57841" w:rsidRPr="00674954" w:rsidRDefault="00D57841" w:rsidP="004E0280">
            <w:pPr>
              <w:rPr>
                <w:sz w:val="22"/>
              </w:rPr>
            </w:pPr>
            <w:r w:rsidRPr="00674954">
              <w:rPr>
                <w:sz w:val="22"/>
              </w:rPr>
              <w:t>XX reactor, Programme of works for the Decommissioning of XX reactor, amendment 1</w:t>
            </w:r>
          </w:p>
        </w:tc>
      </w:tr>
      <w:tr w:rsidR="00D57841" w:rsidRPr="00674954" w14:paraId="76A9703A" w14:textId="77777777" w:rsidTr="00674954">
        <w:tc>
          <w:tcPr>
            <w:tcW w:w="2040" w:type="pct"/>
            <w:gridSpan w:val="2"/>
            <w:tcBorders>
              <w:left w:val="single" w:sz="18" w:space="0" w:color="auto"/>
            </w:tcBorders>
          </w:tcPr>
          <w:p w14:paraId="706826E4" w14:textId="77777777" w:rsidR="00D57841" w:rsidRPr="00674954" w:rsidRDefault="00D57841" w:rsidP="004E0280">
            <w:pPr>
              <w:rPr>
                <w:b/>
                <w:bCs/>
                <w:sz w:val="22"/>
              </w:rPr>
            </w:pPr>
            <w:r w:rsidRPr="00674954">
              <w:rPr>
                <w:b/>
                <w:bCs/>
                <w:sz w:val="22"/>
              </w:rPr>
              <w:t>Name and location of site and any adjoining sites of environmental or nature conservation interest</w:t>
            </w:r>
          </w:p>
        </w:tc>
        <w:tc>
          <w:tcPr>
            <w:tcW w:w="2960" w:type="pct"/>
            <w:gridSpan w:val="2"/>
            <w:tcBorders>
              <w:right w:val="single" w:sz="18" w:space="0" w:color="auto"/>
            </w:tcBorders>
          </w:tcPr>
          <w:p w14:paraId="66A8D969" w14:textId="77777777" w:rsidR="00D57841" w:rsidRPr="00674954" w:rsidRDefault="00D57841" w:rsidP="004E0280">
            <w:pPr>
              <w:rPr>
                <w:sz w:val="22"/>
              </w:rPr>
            </w:pPr>
            <w:r w:rsidRPr="00674954">
              <w:rPr>
                <w:sz w:val="22"/>
              </w:rPr>
              <w:t>It would be helpful for a map or plan to be provided, showing the footprint.</w:t>
            </w:r>
          </w:p>
        </w:tc>
      </w:tr>
      <w:tr w:rsidR="00D57841" w:rsidRPr="00674954" w14:paraId="67A320B7" w14:textId="77777777" w:rsidTr="00674954">
        <w:tc>
          <w:tcPr>
            <w:tcW w:w="2040" w:type="pct"/>
            <w:gridSpan w:val="2"/>
            <w:tcBorders>
              <w:left w:val="single" w:sz="18" w:space="0" w:color="auto"/>
            </w:tcBorders>
          </w:tcPr>
          <w:p w14:paraId="5D434E2A" w14:textId="33FDA041" w:rsidR="00D57841" w:rsidRPr="00674954" w:rsidRDefault="00D57841" w:rsidP="004E0280">
            <w:pPr>
              <w:rPr>
                <w:b/>
                <w:bCs/>
                <w:sz w:val="22"/>
              </w:rPr>
            </w:pPr>
            <w:r w:rsidRPr="00674954">
              <w:rPr>
                <w:b/>
                <w:bCs/>
                <w:sz w:val="22"/>
              </w:rPr>
              <w:t>Person</w:t>
            </w:r>
            <w:r w:rsidR="00862284">
              <w:rPr>
                <w:b/>
                <w:bCs/>
                <w:sz w:val="22"/>
              </w:rPr>
              <w:t xml:space="preserve"> &amp; role</w:t>
            </w:r>
            <w:r w:rsidRPr="00674954">
              <w:rPr>
                <w:b/>
                <w:bCs/>
                <w:sz w:val="22"/>
              </w:rPr>
              <w:t xml:space="preserve"> to contact about the FONSE</w:t>
            </w:r>
          </w:p>
        </w:tc>
        <w:tc>
          <w:tcPr>
            <w:tcW w:w="2960" w:type="pct"/>
            <w:gridSpan w:val="2"/>
            <w:tcBorders>
              <w:right w:val="single" w:sz="18" w:space="0" w:color="auto"/>
            </w:tcBorders>
          </w:tcPr>
          <w:p w14:paraId="7A1A8D14" w14:textId="77777777" w:rsidR="00D57841" w:rsidRPr="00674954" w:rsidRDefault="00D57841" w:rsidP="004E0280">
            <w:pPr>
              <w:rPr>
                <w:sz w:val="22"/>
              </w:rPr>
            </w:pPr>
          </w:p>
        </w:tc>
      </w:tr>
      <w:tr w:rsidR="00D57841" w:rsidRPr="00674954" w14:paraId="52709999" w14:textId="77777777" w:rsidTr="00674954">
        <w:tc>
          <w:tcPr>
            <w:tcW w:w="2040" w:type="pct"/>
            <w:gridSpan w:val="2"/>
            <w:tcBorders>
              <w:left w:val="single" w:sz="18" w:space="0" w:color="auto"/>
            </w:tcBorders>
          </w:tcPr>
          <w:p w14:paraId="782AEE69" w14:textId="77777777" w:rsidR="00D57841" w:rsidRPr="00674954" w:rsidRDefault="00D57841" w:rsidP="004E0280">
            <w:pPr>
              <w:rPr>
                <w:b/>
                <w:bCs/>
                <w:sz w:val="22"/>
              </w:rPr>
            </w:pPr>
            <w:r w:rsidRPr="00674954">
              <w:rPr>
                <w:b/>
                <w:bCs/>
                <w:sz w:val="22"/>
              </w:rPr>
              <w:t xml:space="preserve">Description of the initial programme of works for decommissioning </w:t>
            </w:r>
          </w:p>
        </w:tc>
        <w:tc>
          <w:tcPr>
            <w:tcW w:w="2960" w:type="pct"/>
            <w:gridSpan w:val="2"/>
            <w:tcBorders>
              <w:right w:val="single" w:sz="18" w:space="0" w:color="auto"/>
            </w:tcBorders>
          </w:tcPr>
          <w:p w14:paraId="22091B7F" w14:textId="77777777" w:rsidR="00D57841" w:rsidRPr="00674954" w:rsidRDefault="00D57841" w:rsidP="004E0280">
            <w:pPr>
              <w:rPr>
                <w:sz w:val="22"/>
              </w:rPr>
            </w:pPr>
            <w:r w:rsidRPr="00674954">
              <w:rPr>
                <w:sz w:val="22"/>
              </w:rPr>
              <w:t xml:space="preserve">Provide details of size, scale, the physical requirements of decommissioning, including scale and duration of temporary treatment buildings, storage or destination and transport of wastes, number of works on site etc. </w:t>
            </w:r>
          </w:p>
        </w:tc>
      </w:tr>
      <w:tr w:rsidR="00D57841" w:rsidRPr="00674954" w14:paraId="0DB04139" w14:textId="77777777" w:rsidTr="00674954">
        <w:tc>
          <w:tcPr>
            <w:tcW w:w="2040" w:type="pct"/>
            <w:gridSpan w:val="2"/>
            <w:tcBorders>
              <w:left w:val="single" w:sz="18" w:space="0" w:color="auto"/>
            </w:tcBorders>
          </w:tcPr>
          <w:p w14:paraId="44C160D8" w14:textId="77777777" w:rsidR="00D57841" w:rsidRPr="00674954" w:rsidRDefault="00D57841" w:rsidP="004E0280">
            <w:pPr>
              <w:rPr>
                <w:b/>
                <w:bCs/>
                <w:sz w:val="22"/>
              </w:rPr>
            </w:pPr>
            <w:r w:rsidRPr="00674954">
              <w:rPr>
                <w:b/>
                <w:bCs/>
                <w:sz w:val="22"/>
              </w:rPr>
              <w:t>Description to changes or extensions</w:t>
            </w:r>
          </w:p>
        </w:tc>
        <w:tc>
          <w:tcPr>
            <w:tcW w:w="2960" w:type="pct"/>
            <w:gridSpan w:val="2"/>
            <w:tcBorders>
              <w:right w:val="single" w:sz="18" w:space="0" w:color="auto"/>
            </w:tcBorders>
          </w:tcPr>
          <w:p w14:paraId="49AD0547" w14:textId="60F90B52" w:rsidR="00D57841" w:rsidRPr="00674954" w:rsidRDefault="00D57841" w:rsidP="004E0280">
            <w:pPr>
              <w:rPr>
                <w:sz w:val="22"/>
              </w:rPr>
            </w:pPr>
            <w:r w:rsidRPr="00674954">
              <w:rPr>
                <w:sz w:val="22"/>
              </w:rPr>
              <w:t xml:space="preserve">Provide </w:t>
            </w:r>
            <w:r w:rsidR="00674954" w:rsidRPr="00674954">
              <w:rPr>
                <w:sz w:val="22"/>
              </w:rPr>
              <w:t>details of</w:t>
            </w:r>
            <w:r w:rsidRPr="00674954">
              <w:rPr>
                <w:sz w:val="22"/>
              </w:rPr>
              <w:t xml:space="preserve"> proposed changes (including scheduling, transport and storage arrangements, size of temporary buildings, dimensions of reactor after decommissioning, etc.) This should include a statement of how the change differs from the original decommissioning strategy</w:t>
            </w:r>
          </w:p>
        </w:tc>
      </w:tr>
      <w:tr w:rsidR="00D57841" w:rsidRPr="00674954" w14:paraId="71374077" w14:textId="77777777" w:rsidTr="00674954">
        <w:tc>
          <w:tcPr>
            <w:tcW w:w="2040" w:type="pct"/>
            <w:gridSpan w:val="2"/>
            <w:tcBorders>
              <w:left w:val="single" w:sz="18" w:space="0" w:color="auto"/>
              <w:bottom w:val="single" w:sz="18" w:space="0" w:color="auto"/>
            </w:tcBorders>
          </w:tcPr>
          <w:p w14:paraId="3DC2E5AC" w14:textId="77777777" w:rsidR="00D57841" w:rsidRPr="00674954" w:rsidRDefault="00D57841" w:rsidP="004E0280">
            <w:pPr>
              <w:rPr>
                <w:b/>
                <w:bCs/>
                <w:sz w:val="22"/>
              </w:rPr>
            </w:pPr>
            <w:r w:rsidRPr="00674954">
              <w:rPr>
                <w:b/>
                <w:bCs/>
                <w:sz w:val="22"/>
              </w:rPr>
              <w:t>Are there other developments that together with the changes or extensions being assessed could affect the site (provide details)?</w:t>
            </w:r>
          </w:p>
        </w:tc>
        <w:tc>
          <w:tcPr>
            <w:tcW w:w="2960" w:type="pct"/>
            <w:gridSpan w:val="2"/>
            <w:tcBorders>
              <w:bottom w:val="single" w:sz="18" w:space="0" w:color="auto"/>
              <w:right w:val="single" w:sz="18" w:space="0" w:color="auto"/>
            </w:tcBorders>
          </w:tcPr>
          <w:p w14:paraId="78F1D9A3" w14:textId="77777777" w:rsidR="00D57841" w:rsidRPr="00674954" w:rsidRDefault="00D57841" w:rsidP="004E0280">
            <w:pPr>
              <w:rPr>
                <w:sz w:val="22"/>
              </w:rPr>
            </w:pPr>
            <w:r w:rsidRPr="00674954">
              <w:rPr>
                <w:sz w:val="22"/>
              </w:rPr>
              <w:t>Define boundaries for the assessment, details of responsibilities regarding other developments and their name and location. This might include change to transport infrastructure, designation of sites, location of housing, etc. (Maps will again be a useful tool to illustrate relationships)</w:t>
            </w:r>
          </w:p>
        </w:tc>
      </w:tr>
      <w:tr w:rsidR="00D57841" w:rsidRPr="00674954" w14:paraId="77F1D0AC" w14:textId="77777777" w:rsidTr="000466D0">
        <w:tc>
          <w:tcPr>
            <w:tcW w:w="5000" w:type="pct"/>
            <w:gridSpan w:val="4"/>
            <w:tcBorders>
              <w:left w:val="single" w:sz="18" w:space="0" w:color="auto"/>
              <w:right w:val="single" w:sz="18" w:space="0" w:color="auto"/>
            </w:tcBorders>
          </w:tcPr>
          <w:p w14:paraId="6FB117FA" w14:textId="77777777" w:rsidR="00D57841" w:rsidRPr="00674954" w:rsidRDefault="00D57841" w:rsidP="004E0280">
            <w:pPr>
              <w:rPr>
                <w:b/>
                <w:bCs/>
                <w:sz w:val="22"/>
                <w:u w:val="single"/>
              </w:rPr>
            </w:pPr>
            <w:r w:rsidRPr="00674954">
              <w:rPr>
                <w:b/>
                <w:bCs/>
                <w:sz w:val="22"/>
                <w:u w:val="single"/>
              </w:rPr>
              <w:t>The Assessment of Significance of Effects</w:t>
            </w:r>
          </w:p>
        </w:tc>
      </w:tr>
      <w:tr w:rsidR="00D57841" w:rsidRPr="00674954" w14:paraId="2FD8ABD5" w14:textId="77777777" w:rsidTr="00674954">
        <w:tc>
          <w:tcPr>
            <w:tcW w:w="2040" w:type="pct"/>
            <w:gridSpan w:val="2"/>
            <w:tcBorders>
              <w:top w:val="single" w:sz="18" w:space="0" w:color="auto"/>
              <w:left w:val="single" w:sz="18" w:space="0" w:color="auto"/>
            </w:tcBorders>
          </w:tcPr>
          <w:p w14:paraId="12DF4442" w14:textId="77777777" w:rsidR="00D57841" w:rsidRPr="00674954" w:rsidRDefault="00D57841" w:rsidP="004E0280">
            <w:pPr>
              <w:rPr>
                <w:b/>
                <w:bCs/>
                <w:sz w:val="22"/>
              </w:rPr>
            </w:pPr>
            <w:r w:rsidRPr="00674954">
              <w:rPr>
                <w:b/>
                <w:bCs/>
                <w:sz w:val="22"/>
              </w:rPr>
              <w:t xml:space="preserve">Describe how the amended programme of works (alone or in combination with other changes expected to occur) is likely to </w:t>
            </w:r>
            <w:r w:rsidRPr="00674954">
              <w:rPr>
                <w:b/>
                <w:bCs/>
                <w:sz w:val="22"/>
              </w:rPr>
              <w:lastRenderedPageBreak/>
              <w:t>affect environment of the reactor site or other affected sites/impact receptors</w:t>
            </w:r>
          </w:p>
        </w:tc>
        <w:tc>
          <w:tcPr>
            <w:tcW w:w="2960" w:type="pct"/>
            <w:gridSpan w:val="2"/>
            <w:tcBorders>
              <w:top w:val="single" w:sz="18" w:space="0" w:color="auto"/>
              <w:right w:val="single" w:sz="18" w:space="0" w:color="auto"/>
            </w:tcBorders>
          </w:tcPr>
          <w:p w14:paraId="1A4A4F80" w14:textId="77777777" w:rsidR="00D57841" w:rsidRPr="00674954" w:rsidRDefault="00D57841" w:rsidP="004E0280">
            <w:pPr>
              <w:rPr>
                <w:sz w:val="22"/>
              </w:rPr>
            </w:pPr>
            <w:r w:rsidRPr="00674954">
              <w:rPr>
                <w:sz w:val="22"/>
              </w:rPr>
              <w:lastRenderedPageBreak/>
              <w:t>Include direct and indirect effects and explain how the assessment was carried out</w:t>
            </w:r>
          </w:p>
        </w:tc>
      </w:tr>
      <w:tr w:rsidR="00D57841" w:rsidRPr="00674954" w14:paraId="69C50253" w14:textId="77777777" w:rsidTr="00674954">
        <w:tc>
          <w:tcPr>
            <w:tcW w:w="2040" w:type="pct"/>
            <w:gridSpan w:val="2"/>
            <w:tcBorders>
              <w:left w:val="single" w:sz="18" w:space="0" w:color="auto"/>
            </w:tcBorders>
          </w:tcPr>
          <w:p w14:paraId="2644C50D" w14:textId="77777777" w:rsidR="00D57841" w:rsidRPr="00674954" w:rsidRDefault="00D57841" w:rsidP="004E0280">
            <w:pPr>
              <w:rPr>
                <w:b/>
                <w:bCs/>
                <w:sz w:val="22"/>
              </w:rPr>
            </w:pPr>
            <w:r w:rsidRPr="00674954">
              <w:rPr>
                <w:b/>
                <w:bCs/>
                <w:sz w:val="22"/>
              </w:rPr>
              <w:t>Outline basis of evaluation of significance</w:t>
            </w:r>
          </w:p>
        </w:tc>
        <w:tc>
          <w:tcPr>
            <w:tcW w:w="2960" w:type="pct"/>
            <w:gridSpan w:val="2"/>
            <w:tcBorders>
              <w:right w:val="single" w:sz="18" w:space="0" w:color="auto"/>
            </w:tcBorders>
          </w:tcPr>
          <w:p w14:paraId="37483FD1" w14:textId="77777777" w:rsidR="00D57841" w:rsidRPr="00674954" w:rsidRDefault="00D57841" w:rsidP="004E0280">
            <w:pPr>
              <w:rPr>
                <w:sz w:val="22"/>
              </w:rPr>
            </w:pPr>
            <w:r w:rsidRPr="00674954">
              <w:rPr>
                <w:sz w:val="22"/>
              </w:rPr>
              <w:t>Thresholds, targets, indicators, designations, load</w:t>
            </w:r>
          </w:p>
        </w:tc>
      </w:tr>
      <w:tr w:rsidR="00D57841" w:rsidRPr="00674954" w14:paraId="129FA3C6" w14:textId="77777777" w:rsidTr="00674954">
        <w:tc>
          <w:tcPr>
            <w:tcW w:w="2040" w:type="pct"/>
            <w:gridSpan w:val="2"/>
            <w:tcBorders>
              <w:left w:val="single" w:sz="18" w:space="0" w:color="auto"/>
            </w:tcBorders>
          </w:tcPr>
          <w:p w14:paraId="45F71C58" w14:textId="77777777" w:rsidR="00D57841" w:rsidRPr="00674954" w:rsidRDefault="00D57841" w:rsidP="004E0280">
            <w:pPr>
              <w:rPr>
                <w:b/>
                <w:bCs/>
                <w:sz w:val="22"/>
              </w:rPr>
            </w:pPr>
            <w:r w:rsidRPr="00674954">
              <w:rPr>
                <w:b/>
                <w:bCs/>
                <w:sz w:val="22"/>
              </w:rPr>
              <w:t>Explain why the effects are not considered significant</w:t>
            </w:r>
          </w:p>
        </w:tc>
        <w:tc>
          <w:tcPr>
            <w:tcW w:w="2960" w:type="pct"/>
            <w:gridSpan w:val="2"/>
            <w:tcBorders>
              <w:right w:val="single" w:sz="18" w:space="0" w:color="auto"/>
            </w:tcBorders>
          </w:tcPr>
          <w:p w14:paraId="34072EEA" w14:textId="77777777" w:rsidR="00D57841" w:rsidRPr="00674954" w:rsidRDefault="00D57841" w:rsidP="004E0280">
            <w:pPr>
              <w:rPr>
                <w:sz w:val="22"/>
              </w:rPr>
            </w:pPr>
            <w:r w:rsidRPr="00674954">
              <w:rPr>
                <w:sz w:val="22"/>
              </w:rPr>
              <w:t>This may be done with reference to key indicators of significance including degree of change to the site, duration of the project or programme of works, comparison with the environmental effects originally envisaged etc.</w:t>
            </w:r>
          </w:p>
        </w:tc>
      </w:tr>
      <w:tr w:rsidR="00D57841" w:rsidRPr="00674954" w14:paraId="28701FC0" w14:textId="77777777" w:rsidTr="00674954">
        <w:tc>
          <w:tcPr>
            <w:tcW w:w="2040" w:type="pct"/>
            <w:gridSpan w:val="2"/>
            <w:tcBorders>
              <w:left w:val="single" w:sz="18" w:space="0" w:color="auto"/>
            </w:tcBorders>
          </w:tcPr>
          <w:p w14:paraId="115A9177" w14:textId="77777777" w:rsidR="00D57841" w:rsidRPr="00674954" w:rsidRDefault="00D57841" w:rsidP="004E0280">
            <w:pPr>
              <w:rPr>
                <w:b/>
                <w:bCs/>
                <w:sz w:val="22"/>
              </w:rPr>
            </w:pPr>
            <w:r w:rsidRPr="00674954">
              <w:rPr>
                <w:b/>
                <w:bCs/>
                <w:sz w:val="22"/>
              </w:rPr>
              <w:t>List of Agencies Consulted</w:t>
            </w:r>
          </w:p>
        </w:tc>
        <w:tc>
          <w:tcPr>
            <w:tcW w:w="2960" w:type="pct"/>
            <w:gridSpan w:val="2"/>
            <w:tcBorders>
              <w:right w:val="single" w:sz="18" w:space="0" w:color="auto"/>
            </w:tcBorders>
          </w:tcPr>
          <w:p w14:paraId="5A8B2DFD" w14:textId="77777777" w:rsidR="00D57841" w:rsidRPr="00674954" w:rsidRDefault="00D57841" w:rsidP="004E0280">
            <w:pPr>
              <w:rPr>
                <w:sz w:val="22"/>
              </w:rPr>
            </w:pPr>
            <w:r w:rsidRPr="00674954">
              <w:rPr>
                <w:sz w:val="22"/>
              </w:rPr>
              <w:t>Provide contact name and telephone or email address</w:t>
            </w:r>
          </w:p>
        </w:tc>
      </w:tr>
      <w:tr w:rsidR="00D57841" w:rsidRPr="00674954" w14:paraId="6D005389" w14:textId="77777777" w:rsidTr="00674954">
        <w:tc>
          <w:tcPr>
            <w:tcW w:w="2040" w:type="pct"/>
            <w:gridSpan w:val="2"/>
            <w:tcBorders>
              <w:left w:val="single" w:sz="18" w:space="0" w:color="auto"/>
              <w:bottom w:val="single" w:sz="18" w:space="0" w:color="auto"/>
            </w:tcBorders>
          </w:tcPr>
          <w:p w14:paraId="707EBE3F" w14:textId="77777777" w:rsidR="00D57841" w:rsidRPr="00674954" w:rsidRDefault="00D57841" w:rsidP="004E0280">
            <w:pPr>
              <w:rPr>
                <w:b/>
                <w:bCs/>
                <w:sz w:val="22"/>
              </w:rPr>
            </w:pPr>
            <w:r w:rsidRPr="00674954">
              <w:rPr>
                <w:b/>
                <w:bCs/>
                <w:sz w:val="22"/>
              </w:rPr>
              <w:t>Response to consultation</w:t>
            </w:r>
          </w:p>
        </w:tc>
        <w:tc>
          <w:tcPr>
            <w:tcW w:w="2960" w:type="pct"/>
            <w:gridSpan w:val="2"/>
            <w:tcBorders>
              <w:bottom w:val="single" w:sz="18" w:space="0" w:color="auto"/>
              <w:right w:val="single" w:sz="18" w:space="0" w:color="auto"/>
            </w:tcBorders>
          </w:tcPr>
          <w:p w14:paraId="49556B40" w14:textId="77777777" w:rsidR="00D57841" w:rsidRPr="00674954" w:rsidRDefault="00D57841" w:rsidP="004E0280">
            <w:pPr>
              <w:rPr>
                <w:sz w:val="22"/>
              </w:rPr>
            </w:pPr>
            <w:r w:rsidRPr="00674954">
              <w:rPr>
                <w:sz w:val="22"/>
              </w:rPr>
              <w:t xml:space="preserve">State whether the agencies consider the effects are significant or not. If the response indicates effects are significant, reasons to continue with the FONSE. </w:t>
            </w:r>
          </w:p>
        </w:tc>
      </w:tr>
      <w:tr w:rsidR="00D57841" w:rsidRPr="00674954" w14:paraId="2B0470E8" w14:textId="77777777" w:rsidTr="000466D0">
        <w:tc>
          <w:tcPr>
            <w:tcW w:w="5000" w:type="pct"/>
            <w:gridSpan w:val="4"/>
            <w:tcBorders>
              <w:left w:val="single" w:sz="18" w:space="0" w:color="auto"/>
              <w:right w:val="single" w:sz="18" w:space="0" w:color="auto"/>
            </w:tcBorders>
          </w:tcPr>
          <w:p w14:paraId="40918E14" w14:textId="77777777" w:rsidR="00D57841" w:rsidRPr="00674954" w:rsidRDefault="00D57841" w:rsidP="004E0280">
            <w:pPr>
              <w:rPr>
                <w:b/>
                <w:bCs/>
                <w:sz w:val="22"/>
                <w:u w:val="single"/>
              </w:rPr>
            </w:pPr>
            <w:r w:rsidRPr="00674954">
              <w:rPr>
                <w:b/>
                <w:bCs/>
                <w:sz w:val="22"/>
                <w:u w:val="single"/>
              </w:rPr>
              <w:t>Data collected to carry out the Assessment</w:t>
            </w:r>
          </w:p>
        </w:tc>
      </w:tr>
      <w:tr w:rsidR="00D57841" w:rsidRPr="00674954" w14:paraId="1AFEEAC2" w14:textId="77777777" w:rsidTr="00674954">
        <w:tc>
          <w:tcPr>
            <w:tcW w:w="1072" w:type="pct"/>
            <w:tcBorders>
              <w:top w:val="single" w:sz="18" w:space="0" w:color="auto"/>
              <w:left w:val="single" w:sz="18" w:space="0" w:color="auto"/>
            </w:tcBorders>
          </w:tcPr>
          <w:p w14:paraId="646C2D60" w14:textId="77777777" w:rsidR="00D57841" w:rsidRPr="00674954" w:rsidRDefault="00D57841" w:rsidP="004E0280">
            <w:pPr>
              <w:rPr>
                <w:b/>
                <w:bCs/>
                <w:sz w:val="22"/>
              </w:rPr>
            </w:pPr>
            <w:r w:rsidRPr="00674954">
              <w:rPr>
                <w:b/>
                <w:bCs/>
                <w:sz w:val="22"/>
              </w:rPr>
              <w:t>Who carried out the assessment</w:t>
            </w:r>
          </w:p>
        </w:tc>
        <w:tc>
          <w:tcPr>
            <w:tcW w:w="968" w:type="pct"/>
            <w:tcBorders>
              <w:top w:val="single" w:sz="18" w:space="0" w:color="auto"/>
            </w:tcBorders>
          </w:tcPr>
          <w:p w14:paraId="2515A573" w14:textId="77777777" w:rsidR="00D57841" w:rsidRPr="00674954" w:rsidRDefault="00D57841" w:rsidP="004E0280">
            <w:pPr>
              <w:rPr>
                <w:b/>
                <w:bCs/>
                <w:sz w:val="22"/>
              </w:rPr>
            </w:pPr>
            <w:r w:rsidRPr="00674954">
              <w:rPr>
                <w:b/>
                <w:bCs/>
                <w:sz w:val="22"/>
              </w:rPr>
              <w:t>Sources of Data</w:t>
            </w:r>
          </w:p>
        </w:tc>
        <w:tc>
          <w:tcPr>
            <w:tcW w:w="1532" w:type="pct"/>
            <w:tcBorders>
              <w:top w:val="single" w:sz="18" w:space="0" w:color="auto"/>
            </w:tcBorders>
          </w:tcPr>
          <w:p w14:paraId="4A7903FE" w14:textId="77777777" w:rsidR="00D57841" w:rsidRPr="00674954" w:rsidRDefault="00D57841" w:rsidP="004E0280">
            <w:pPr>
              <w:rPr>
                <w:b/>
                <w:bCs/>
                <w:sz w:val="22"/>
              </w:rPr>
            </w:pPr>
            <w:r w:rsidRPr="00674954">
              <w:rPr>
                <w:b/>
                <w:bCs/>
                <w:sz w:val="22"/>
              </w:rPr>
              <w:t>Level of assessment completed</w:t>
            </w:r>
          </w:p>
        </w:tc>
        <w:tc>
          <w:tcPr>
            <w:tcW w:w="1428" w:type="pct"/>
            <w:tcBorders>
              <w:top w:val="single" w:sz="18" w:space="0" w:color="auto"/>
              <w:right w:val="single" w:sz="18" w:space="0" w:color="auto"/>
            </w:tcBorders>
          </w:tcPr>
          <w:p w14:paraId="1F9B1199" w14:textId="77777777" w:rsidR="00D57841" w:rsidRPr="00674954" w:rsidRDefault="00D57841" w:rsidP="004E0280">
            <w:pPr>
              <w:rPr>
                <w:b/>
                <w:bCs/>
                <w:sz w:val="22"/>
              </w:rPr>
            </w:pPr>
            <w:r w:rsidRPr="00674954">
              <w:rPr>
                <w:b/>
                <w:bCs/>
                <w:sz w:val="22"/>
              </w:rPr>
              <w:t>Where can the full results of the assessment be accessed and viewed?</w:t>
            </w:r>
          </w:p>
        </w:tc>
      </w:tr>
      <w:tr w:rsidR="00D57841" w:rsidRPr="00674954" w14:paraId="28C3D60F" w14:textId="77777777" w:rsidTr="00674954">
        <w:tc>
          <w:tcPr>
            <w:tcW w:w="1072" w:type="pct"/>
            <w:tcBorders>
              <w:left w:val="single" w:sz="18" w:space="0" w:color="auto"/>
              <w:bottom w:val="single" w:sz="18" w:space="0" w:color="auto"/>
            </w:tcBorders>
          </w:tcPr>
          <w:p w14:paraId="4080D597" w14:textId="77777777" w:rsidR="00D57841" w:rsidRPr="00674954" w:rsidRDefault="00D57841" w:rsidP="004E0280">
            <w:pPr>
              <w:rPr>
                <w:sz w:val="22"/>
              </w:rPr>
            </w:pPr>
            <w:r w:rsidRPr="00674954">
              <w:rPr>
                <w:sz w:val="22"/>
              </w:rPr>
              <w:t>This could be the licensee, government agency or other relevant agencies</w:t>
            </w:r>
          </w:p>
        </w:tc>
        <w:tc>
          <w:tcPr>
            <w:tcW w:w="968" w:type="pct"/>
            <w:tcBorders>
              <w:bottom w:val="single" w:sz="18" w:space="0" w:color="auto"/>
            </w:tcBorders>
          </w:tcPr>
          <w:p w14:paraId="298ED5C7" w14:textId="77777777" w:rsidR="00D57841" w:rsidRPr="00674954" w:rsidRDefault="00D57841" w:rsidP="004E0280">
            <w:pPr>
              <w:rPr>
                <w:sz w:val="22"/>
              </w:rPr>
            </w:pPr>
            <w:r w:rsidRPr="00674954">
              <w:rPr>
                <w:sz w:val="22"/>
              </w:rPr>
              <w:t>This will include field studies, existing records, consultation with relevant agencies etc.</w:t>
            </w:r>
          </w:p>
        </w:tc>
        <w:tc>
          <w:tcPr>
            <w:tcW w:w="1532" w:type="pct"/>
            <w:tcBorders>
              <w:bottom w:val="single" w:sz="18" w:space="0" w:color="auto"/>
            </w:tcBorders>
          </w:tcPr>
          <w:p w14:paraId="67ABF78D" w14:textId="77777777" w:rsidR="00D57841" w:rsidRPr="00674954" w:rsidRDefault="00D57841" w:rsidP="004E0280">
            <w:pPr>
              <w:rPr>
                <w:sz w:val="22"/>
              </w:rPr>
            </w:pPr>
            <w:r w:rsidRPr="00674954">
              <w:rPr>
                <w:sz w:val="22"/>
              </w:rPr>
              <w:t>This could include desktop study, full ecological assessment etc. Indicate the degree of confidence attributable to the assessment results.</w:t>
            </w:r>
          </w:p>
        </w:tc>
        <w:tc>
          <w:tcPr>
            <w:tcW w:w="1428" w:type="pct"/>
            <w:tcBorders>
              <w:bottom w:val="single" w:sz="18" w:space="0" w:color="auto"/>
              <w:right w:val="single" w:sz="18" w:space="0" w:color="auto"/>
            </w:tcBorders>
          </w:tcPr>
          <w:p w14:paraId="4B44C845" w14:textId="77777777" w:rsidR="00D57841" w:rsidRPr="00674954" w:rsidRDefault="00D57841" w:rsidP="004E0280">
            <w:pPr>
              <w:rPr>
                <w:sz w:val="22"/>
              </w:rPr>
            </w:pPr>
            <w:r w:rsidRPr="00674954">
              <w:rPr>
                <w:sz w:val="22"/>
              </w:rPr>
              <w:t xml:space="preserve">Provide times and dates when the information can be viewed, addresses and telephone numbers of a contact person. </w:t>
            </w:r>
          </w:p>
        </w:tc>
      </w:tr>
      <w:tr w:rsidR="00D57841" w:rsidRPr="00674954" w14:paraId="6D616B2F" w14:textId="77777777" w:rsidTr="000466D0">
        <w:tc>
          <w:tcPr>
            <w:tcW w:w="5000" w:type="pct"/>
            <w:gridSpan w:val="4"/>
            <w:tcBorders>
              <w:left w:val="single" w:sz="18" w:space="0" w:color="auto"/>
              <w:bottom w:val="single" w:sz="18" w:space="0" w:color="auto"/>
              <w:right w:val="single" w:sz="18" w:space="0" w:color="auto"/>
            </w:tcBorders>
          </w:tcPr>
          <w:p w14:paraId="7BF7D2DD" w14:textId="77777777" w:rsidR="00D57841" w:rsidRPr="00674954" w:rsidRDefault="00D57841" w:rsidP="004E0280">
            <w:pPr>
              <w:rPr>
                <w:b/>
                <w:bCs/>
                <w:sz w:val="22"/>
                <w:u w:val="single"/>
              </w:rPr>
            </w:pPr>
            <w:r w:rsidRPr="00674954">
              <w:rPr>
                <w:b/>
                <w:bCs/>
                <w:sz w:val="22"/>
                <w:u w:val="single"/>
              </w:rPr>
              <w:t>Overall Conclusions</w:t>
            </w:r>
          </w:p>
        </w:tc>
      </w:tr>
      <w:tr w:rsidR="00D57841" w:rsidRPr="00674954" w14:paraId="09A0A408" w14:textId="77777777" w:rsidTr="000466D0">
        <w:tc>
          <w:tcPr>
            <w:tcW w:w="5000" w:type="pct"/>
            <w:gridSpan w:val="4"/>
            <w:tcBorders>
              <w:top w:val="single" w:sz="18" w:space="0" w:color="auto"/>
              <w:bottom w:val="single" w:sz="18" w:space="0" w:color="auto"/>
              <w:right w:val="single" w:sz="18" w:space="0" w:color="auto"/>
            </w:tcBorders>
          </w:tcPr>
          <w:p w14:paraId="4D59D080" w14:textId="2510CD6C" w:rsidR="00D57841" w:rsidRPr="00674954" w:rsidRDefault="00D57841" w:rsidP="004E0280">
            <w:pPr>
              <w:rPr>
                <w:b/>
                <w:bCs/>
                <w:sz w:val="22"/>
              </w:rPr>
            </w:pPr>
            <w:r w:rsidRPr="00674954">
              <w:rPr>
                <w:b/>
                <w:bCs/>
                <w:sz w:val="22"/>
              </w:rPr>
              <w:t xml:space="preserve">Explain how the overall conclusion, </w:t>
            </w:r>
            <w:r w:rsidR="00674954" w:rsidRPr="00674954">
              <w:rPr>
                <w:b/>
                <w:bCs/>
                <w:sz w:val="22"/>
              </w:rPr>
              <w:t>i.e.,</w:t>
            </w:r>
            <w:r w:rsidRPr="00674954">
              <w:rPr>
                <w:b/>
                <w:bCs/>
                <w:sz w:val="22"/>
              </w:rPr>
              <w:t xml:space="preserve"> Finding of No Significant Effects, was arrived at.</w:t>
            </w:r>
          </w:p>
        </w:tc>
      </w:tr>
    </w:tbl>
    <w:p w14:paraId="300F5708" w14:textId="72C17F1A" w:rsidR="000A7C19" w:rsidRPr="000A7C19" w:rsidRDefault="000A7C19" w:rsidP="000A7C19">
      <w:pPr>
        <w:tabs>
          <w:tab w:val="left" w:pos="1470"/>
        </w:tabs>
        <w:sectPr w:rsidR="000A7C19" w:rsidRPr="000A7C19" w:rsidSect="00652F10">
          <w:type w:val="continuous"/>
          <w:pgSz w:w="11906" w:h="16838"/>
          <w:pgMar w:top="1440" w:right="1440" w:bottom="1440" w:left="1440" w:header="708" w:footer="708" w:gutter="0"/>
          <w:cols w:space="708"/>
          <w:docGrid w:linePitch="360"/>
        </w:sectPr>
      </w:pPr>
    </w:p>
    <w:p w14:paraId="7FCE2FE8" w14:textId="77777777" w:rsidR="00674954" w:rsidRDefault="00674954" w:rsidP="00674954">
      <w:pPr>
        <w:pStyle w:val="Heading1"/>
        <w:numPr>
          <w:ilvl w:val="0"/>
          <w:numId w:val="0"/>
        </w:numPr>
        <w:ind w:left="851" w:hanging="851"/>
      </w:pPr>
    </w:p>
    <w:p w14:paraId="03737C07" w14:textId="2410C534" w:rsidR="003344B8" w:rsidRDefault="003344B8">
      <w:pPr>
        <w:spacing w:after="0" w:line="240" w:lineRule="auto"/>
      </w:pPr>
      <w:r>
        <w:br w:type="page"/>
      </w:r>
    </w:p>
    <w:p w14:paraId="326A215A" w14:textId="77777777" w:rsidR="003344B8" w:rsidRPr="003344B8" w:rsidRDefault="003344B8" w:rsidP="003344B8">
      <w:pPr>
        <w:sectPr w:rsidR="003344B8" w:rsidRPr="003344B8" w:rsidSect="00652F10">
          <w:type w:val="continuous"/>
          <w:pgSz w:w="11906" w:h="16838" w:code="9"/>
          <w:pgMar w:top="1440" w:right="1440" w:bottom="1440" w:left="1440" w:header="397" w:footer="397" w:gutter="0"/>
          <w:cols w:space="312"/>
          <w:docGrid w:linePitch="360"/>
        </w:sectPr>
      </w:pPr>
    </w:p>
    <w:bookmarkStart w:id="352" w:name="_Toc118120234" w:displacedByCustomXml="next"/>
    <w:bookmarkStart w:id="353" w:name="_Toc124416354" w:displacedByCustomXml="next"/>
    <w:sdt>
      <w:sdtPr>
        <w:rPr>
          <w:color w:val="auto"/>
          <w:sz w:val="24"/>
        </w:rPr>
        <w:id w:val="-1873604211"/>
        <w:docPartObj>
          <w:docPartGallery w:val="Bibliographies"/>
          <w:docPartUnique/>
        </w:docPartObj>
      </w:sdtPr>
      <w:sdtEndPr/>
      <w:sdtContent>
        <w:p w14:paraId="3DC8765D" w14:textId="77777777" w:rsidR="003344B8" w:rsidRDefault="003344B8" w:rsidP="003344B8">
          <w:pPr>
            <w:pStyle w:val="Heading1"/>
            <w:numPr>
              <w:ilvl w:val="0"/>
              <w:numId w:val="0"/>
            </w:numPr>
            <w:ind w:left="851" w:hanging="851"/>
          </w:pPr>
          <w:r>
            <w:t>References</w:t>
          </w:r>
          <w:bookmarkEnd w:id="353"/>
          <w:bookmarkEnd w:id="352"/>
        </w:p>
        <w:sdt>
          <w:sdtPr>
            <w:id w:val="-1884544313"/>
            <w:bibliography/>
          </w:sdtPr>
          <w:sdtEndPr/>
          <w:sdtContent>
            <w:p w14:paraId="1BDB06BC" w14:textId="77777777" w:rsidR="000416A5" w:rsidRDefault="003344B8" w:rsidP="003344B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05"/>
                <w:gridCol w:w="8321"/>
              </w:tblGrid>
              <w:tr w:rsidR="000416A5" w14:paraId="2415FDBE" w14:textId="77777777" w:rsidTr="00BE622F">
                <w:trPr>
                  <w:divId w:val="276836238"/>
                  <w:tblCellSpacing w:w="15" w:type="dxa"/>
                </w:trPr>
                <w:tc>
                  <w:tcPr>
                    <w:tcW w:w="659" w:type="dxa"/>
                    <w:hideMark/>
                  </w:tcPr>
                  <w:p w14:paraId="632469D3" w14:textId="0C22531C" w:rsidR="000416A5" w:rsidRDefault="000416A5">
                    <w:pPr>
                      <w:pStyle w:val="Bibliography"/>
                      <w:rPr>
                        <w:noProof/>
                        <w:szCs w:val="24"/>
                      </w:rPr>
                    </w:pPr>
                    <w:r>
                      <w:rPr>
                        <w:noProof/>
                      </w:rPr>
                      <w:t xml:space="preserve">[1] </w:t>
                    </w:r>
                  </w:p>
                </w:tc>
                <w:tc>
                  <w:tcPr>
                    <w:tcW w:w="8267" w:type="dxa"/>
                    <w:hideMark/>
                  </w:tcPr>
                  <w:p w14:paraId="06FC9CBF" w14:textId="77777777" w:rsidR="000416A5" w:rsidRDefault="000416A5">
                    <w:pPr>
                      <w:pStyle w:val="Bibliography"/>
                      <w:rPr>
                        <w:noProof/>
                      </w:rPr>
                    </w:pPr>
                    <w:r>
                      <w:rPr>
                        <w:noProof/>
                      </w:rPr>
                      <w:t>H.M Government, “Nuclear Reactors (Environmental Impact Assessment for Decommissioning) Regulations 1999,” 1999.</w:t>
                    </w:r>
                  </w:p>
                </w:tc>
              </w:tr>
              <w:tr w:rsidR="000416A5" w14:paraId="74662B06" w14:textId="77777777" w:rsidTr="00BE622F">
                <w:trPr>
                  <w:divId w:val="276836238"/>
                  <w:tblCellSpacing w:w="15" w:type="dxa"/>
                </w:trPr>
                <w:tc>
                  <w:tcPr>
                    <w:tcW w:w="659" w:type="dxa"/>
                    <w:hideMark/>
                  </w:tcPr>
                  <w:p w14:paraId="7AB417E5" w14:textId="77777777" w:rsidR="000416A5" w:rsidRDefault="000416A5">
                    <w:pPr>
                      <w:pStyle w:val="Bibliography"/>
                      <w:rPr>
                        <w:noProof/>
                      </w:rPr>
                    </w:pPr>
                    <w:r>
                      <w:rPr>
                        <w:noProof/>
                      </w:rPr>
                      <w:t xml:space="preserve">[2] </w:t>
                    </w:r>
                  </w:p>
                </w:tc>
                <w:tc>
                  <w:tcPr>
                    <w:tcW w:w="8267" w:type="dxa"/>
                    <w:hideMark/>
                  </w:tcPr>
                  <w:p w14:paraId="6A059D08" w14:textId="77777777" w:rsidR="000416A5" w:rsidRDefault="000416A5">
                    <w:pPr>
                      <w:pStyle w:val="Bibliography"/>
                      <w:rPr>
                        <w:noProof/>
                      </w:rPr>
                    </w:pPr>
                    <w:r>
                      <w:rPr>
                        <w:noProof/>
                      </w:rPr>
                      <w:t>H.M Government, “The Nuclear Reactors (Environmental Impact Assessment for Decommissioning) (Amendment) Regulations 2018,” 2018.</w:t>
                    </w:r>
                  </w:p>
                </w:tc>
              </w:tr>
              <w:tr w:rsidR="000416A5" w14:paraId="664499A8" w14:textId="77777777" w:rsidTr="00BE622F">
                <w:trPr>
                  <w:divId w:val="276836238"/>
                  <w:tblCellSpacing w:w="15" w:type="dxa"/>
                </w:trPr>
                <w:tc>
                  <w:tcPr>
                    <w:tcW w:w="659" w:type="dxa"/>
                    <w:hideMark/>
                  </w:tcPr>
                  <w:p w14:paraId="0E8D6D55" w14:textId="77777777" w:rsidR="000416A5" w:rsidRDefault="000416A5">
                    <w:pPr>
                      <w:pStyle w:val="Bibliography"/>
                      <w:rPr>
                        <w:noProof/>
                      </w:rPr>
                    </w:pPr>
                    <w:r>
                      <w:rPr>
                        <w:noProof/>
                      </w:rPr>
                      <w:t xml:space="preserve">[3] </w:t>
                    </w:r>
                  </w:p>
                </w:tc>
                <w:tc>
                  <w:tcPr>
                    <w:tcW w:w="8267" w:type="dxa"/>
                    <w:hideMark/>
                  </w:tcPr>
                  <w:p w14:paraId="62A81BEF" w14:textId="77777777" w:rsidR="000416A5" w:rsidRDefault="000416A5">
                    <w:pPr>
                      <w:pStyle w:val="Bibliography"/>
                      <w:rPr>
                        <w:noProof/>
                      </w:rPr>
                    </w:pPr>
                    <w:r>
                      <w:rPr>
                        <w:noProof/>
                      </w:rPr>
                      <w:t>H.M Government, “The Ionising Radiation (Environmental and Public Protection) (Miscellaneous Amendments) (EU Exit) Regulations 2019,” 2019.</w:t>
                    </w:r>
                  </w:p>
                </w:tc>
              </w:tr>
              <w:tr w:rsidR="000416A5" w14:paraId="13F83281" w14:textId="77777777" w:rsidTr="00BE622F">
                <w:trPr>
                  <w:divId w:val="276836238"/>
                  <w:tblCellSpacing w:w="15" w:type="dxa"/>
                </w:trPr>
                <w:tc>
                  <w:tcPr>
                    <w:tcW w:w="659" w:type="dxa"/>
                    <w:hideMark/>
                  </w:tcPr>
                  <w:p w14:paraId="70C7A934" w14:textId="77777777" w:rsidR="000416A5" w:rsidRDefault="000416A5">
                    <w:pPr>
                      <w:pStyle w:val="Bibliography"/>
                      <w:rPr>
                        <w:noProof/>
                      </w:rPr>
                    </w:pPr>
                    <w:r>
                      <w:rPr>
                        <w:noProof/>
                      </w:rPr>
                      <w:t xml:space="preserve">[4] </w:t>
                    </w:r>
                  </w:p>
                </w:tc>
                <w:tc>
                  <w:tcPr>
                    <w:tcW w:w="8267" w:type="dxa"/>
                    <w:hideMark/>
                  </w:tcPr>
                  <w:p w14:paraId="36B334AA" w14:textId="77777777" w:rsidR="000416A5" w:rsidRDefault="000416A5">
                    <w:pPr>
                      <w:pStyle w:val="Bibliography"/>
                      <w:rPr>
                        <w:noProof/>
                      </w:rPr>
                    </w:pPr>
                    <w:r>
                      <w:rPr>
                        <w:noProof/>
                      </w:rPr>
                      <w:t>European Council, “Directive 2011/92/EU of the European Parliament and of the Council,” 2011.</w:t>
                    </w:r>
                  </w:p>
                </w:tc>
              </w:tr>
              <w:tr w:rsidR="000416A5" w14:paraId="444B8BCD" w14:textId="77777777" w:rsidTr="00BE622F">
                <w:trPr>
                  <w:divId w:val="276836238"/>
                  <w:tblCellSpacing w:w="15" w:type="dxa"/>
                </w:trPr>
                <w:tc>
                  <w:tcPr>
                    <w:tcW w:w="659" w:type="dxa"/>
                    <w:hideMark/>
                  </w:tcPr>
                  <w:p w14:paraId="33B6430D" w14:textId="77777777" w:rsidR="000416A5" w:rsidRDefault="000416A5">
                    <w:pPr>
                      <w:pStyle w:val="Bibliography"/>
                      <w:rPr>
                        <w:noProof/>
                      </w:rPr>
                    </w:pPr>
                    <w:r>
                      <w:rPr>
                        <w:noProof/>
                      </w:rPr>
                      <w:t xml:space="preserve">[5] </w:t>
                    </w:r>
                  </w:p>
                </w:tc>
                <w:tc>
                  <w:tcPr>
                    <w:tcW w:w="8267" w:type="dxa"/>
                    <w:hideMark/>
                  </w:tcPr>
                  <w:p w14:paraId="7237086F" w14:textId="77777777" w:rsidR="000416A5" w:rsidRDefault="000416A5">
                    <w:pPr>
                      <w:pStyle w:val="Bibliography"/>
                      <w:rPr>
                        <w:noProof/>
                      </w:rPr>
                    </w:pPr>
                    <w:r>
                      <w:rPr>
                        <w:noProof/>
                      </w:rPr>
                      <w:t>European Council, “Directive 2014/52/EU of the European Parliament and of the Council,” 2014.</w:t>
                    </w:r>
                  </w:p>
                </w:tc>
              </w:tr>
              <w:tr w:rsidR="000416A5" w14:paraId="6936BBAF" w14:textId="77777777" w:rsidTr="00BE622F">
                <w:trPr>
                  <w:divId w:val="276836238"/>
                  <w:tblCellSpacing w:w="15" w:type="dxa"/>
                </w:trPr>
                <w:tc>
                  <w:tcPr>
                    <w:tcW w:w="659" w:type="dxa"/>
                    <w:hideMark/>
                  </w:tcPr>
                  <w:p w14:paraId="213F0C85" w14:textId="77777777" w:rsidR="000416A5" w:rsidRDefault="000416A5">
                    <w:pPr>
                      <w:pStyle w:val="Bibliography"/>
                      <w:rPr>
                        <w:noProof/>
                      </w:rPr>
                    </w:pPr>
                    <w:r>
                      <w:rPr>
                        <w:noProof/>
                      </w:rPr>
                      <w:t xml:space="preserve">[6] </w:t>
                    </w:r>
                  </w:p>
                </w:tc>
                <w:tc>
                  <w:tcPr>
                    <w:tcW w:w="8267" w:type="dxa"/>
                    <w:hideMark/>
                  </w:tcPr>
                  <w:p w14:paraId="0AD00404" w14:textId="77777777" w:rsidR="000416A5" w:rsidRDefault="000416A5">
                    <w:pPr>
                      <w:pStyle w:val="Bibliography"/>
                      <w:rPr>
                        <w:noProof/>
                      </w:rPr>
                    </w:pPr>
                    <w:r>
                      <w:rPr>
                        <w:noProof/>
                      </w:rPr>
                      <w:t xml:space="preserve">ONR, </w:t>
                    </w:r>
                    <w:r>
                      <w:rPr>
                        <w:i/>
                        <w:iCs/>
                        <w:noProof/>
                      </w:rPr>
                      <w:t xml:space="preserve">ONR position statement on the application to off-site structures of the Nuclear Reactors (Environmental Impact Assessment for Decommissioning) Regulations 1999 (EIADR), as amended., </w:t>
                    </w:r>
                    <w:r>
                      <w:rPr>
                        <w:noProof/>
                      </w:rPr>
                      <w:t xml:space="preserve">ONR, 2018. </w:t>
                    </w:r>
                  </w:p>
                </w:tc>
              </w:tr>
              <w:tr w:rsidR="000416A5" w14:paraId="70450221" w14:textId="77777777" w:rsidTr="00BE622F">
                <w:trPr>
                  <w:divId w:val="276836238"/>
                  <w:tblCellSpacing w:w="15" w:type="dxa"/>
                </w:trPr>
                <w:tc>
                  <w:tcPr>
                    <w:tcW w:w="659" w:type="dxa"/>
                    <w:hideMark/>
                  </w:tcPr>
                  <w:p w14:paraId="73CB052F" w14:textId="77777777" w:rsidR="000416A5" w:rsidRDefault="000416A5">
                    <w:pPr>
                      <w:pStyle w:val="Bibliography"/>
                      <w:rPr>
                        <w:noProof/>
                      </w:rPr>
                    </w:pPr>
                    <w:r>
                      <w:rPr>
                        <w:noProof/>
                      </w:rPr>
                      <w:t xml:space="preserve">[7] </w:t>
                    </w:r>
                  </w:p>
                </w:tc>
                <w:tc>
                  <w:tcPr>
                    <w:tcW w:w="8267" w:type="dxa"/>
                    <w:hideMark/>
                  </w:tcPr>
                  <w:p w14:paraId="4E92C965" w14:textId="77777777" w:rsidR="000416A5" w:rsidRDefault="000416A5">
                    <w:pPr>
                      <w:pStyle w:val="Bibliography"/>
                      <w:rPr>
                        <w:noProof/>
                      </w:rPr>
                    </w:pPr>
                    <w:r>
                      <w:rPr>
                        <w:noProof/>
                      </w:rPr>
                      <w:t>H.M Government, “Health and Safety at Work etc. Act 1974,” 1974.</w:t>
                    </w:r>
                  </w:p>
                </w:tc>
              </w:tr>
              <w:tr w:rsidR="000416A5" w14:paraId="2E38C49F" w14:textId="77777777" w:rsidTr="00BE622F">
                <w:trPr>
                  <w:divId w:val="276836238"/>
                  <w:tblCellSpacing w:w="15" w:type="dxa"/>
                </w:trPr>
                <w:tc>
                  <w:tcPr>
                    <w:tcW w:w="659" w:type="dxa"/>
                    <w:hideMark/>
                  </w:tcPr>
                  <w:p w14:paraId="226F8F0C" w14:textId="77777777" w:rsidR="000416A5" w:rsidRDefault="000416A5">
                    <w:pPr>
                      <w:pStyle w:val="Bibliography"/>
                      <w:rPr>
                        <w:noProof/>
                      </w:rPr>
                    </w:pPr>
                    <w:r>
                      <w:rPr>
                        <w:noProof/>
                      </w:rPr>
                      <w:t xml:space="preserve">[8] </w:t>
                    </w:r>
                  </w:p>
                </w:tc>
                <w:tc>
                  <w:tcPr>
                    <w:tcW w:w="8267" w:type="dxa"/>
                    <w:hideMark/>
                  </w:tcPr>
                  <w:p w14:paraId="2CCF77EF" w14:textId="77777777" w:rsidR="000416A5" w:rsidRDefault="000416A5">
                    <w:pPr>
                      <w:pStyle w:val="Bibliography"/>
                      <w:rPr>
                        <w:noProof/>
                      </w:rPr>
                    </w:pPr>
                    <w:r>
                      <w:rPr>
                        <w:noProof/>
                      </w:rPr>
                      <w:t>H.M Government, “Nuclear Installations Act 1965 c. 57,” 1965.</w:t>
                    </w:r>
                  </w:p>
                </w:tc>
              </w:tr>
              <w:tr w:rsidR="000416A5" w14:paraId="455E5E80" w14:textId="77777777" w:rsidTr="00BE622F">
                <w:trPr>
                  <w:divId w:val="276836238"/>
                  <w:tblCellSpacing w:w="15" w:type="dxa"/>
                </w:trPr>
                <w:tc>
                  <w:tcPr>
                    <w:tcW w:w="659" w:type="dxa"/>
                    <w:hideMark/>
                  </w:tcPr>
                  <w:p w14:paraId="52DBD576" w14:textId="77777777" w:rsidR="000416A5" w:rsidRDefault="000416A5">
                    <w:pPr>
                      <w:pStyle w:val="Bibliography"/>
                      <w:rPr>
                        <w:noProof/>
                      </w:rPr>
                    </w:pPr>
                    <w:r>
                      <w:rPr>
                        <w:noProof/>
                      </w:rPr>
                      <w:t xml:space="preserve">[9] </w:t>
                    </w:r>
                  </w:p>
                </w:tc>
                <w:tc>
                  <w:tcPr>
                    <w:tcW w:w="8267" w:type="dxa"/>
                    <w:hideMark/>
                  </w:tcPr>
                  <w:p w14:paraId="5698F791" w14:textId="77777777" w:rsidR="000416A5" w:rsidRDefault="000416A5">
                    <w:pPr>
                      <w:pStyle w:val="Bibliography"/>
                      <w:rPr>
                        <w:noProof/>
                      </w:rPr>
                    </w:pPr>
                    <w:r>
                      <w:rPr>
                        <w:noProof/>
                      </w:rPr>
                      <w:t>H.M Government, “The Conservation of Habitats and Species Regulations 2017,” 2017.</w:t>
                    </w:r>
                  </w:p>
                </w:tc>
              </w:tr>
              <w:tr w:rsidR="000416A5" w14:paraId="2C8E91BC" w14:textId="77777777" w:rsidTr="00BE622F">
                <w:trPr>
                  <w:divId w:val="276836238"/>
                  <w:tblCellSpacing w:w="15" w:type="dxa"/>
                </w:trPr>
                <w:tc>
                  <w:tcPr>
                    <w:tcW w:w="659" w:type="dxa"/>
                    <w:hideMark/>
                  </w:tcPr>
                  <w:p w14:paraId="505C32C2" w14:textId="77777777" w:rsidR="000416A5" w:rsidRDefault="000416A5">
                    <w:pPr>
                      <w:pStyle w:val="Bibliography"/>
                      <w:rPr>
                        <w:noProof/>
                      </w:rPr>
                    </w:pPr>
                    <w:r>
                      <w:rPr>
                        <w:noProof/>
                      </w:rPr>
                      <w:t xml:space="preserve">[10] </w:t>
                    </w:r>
                  </w:p>
                </w:tc>
                <w:tc>
                  <w:tcPr>
                    <w:tcW w:w="8267" w:type="dxa"/>
                    <w:hideMark/>
                  </w:tcPr>
                  <w:p w14:paraId="7C1429A5" w14:textId="77777777" w:rsidR="000416A5" w:rsidRDefault="000416A5">
                    <w:pPr>
                      <w:pStyle w:val="Bibliography"/>
                      <w:rPr>
                        <w:noProof/>
                      </w:rPr>
                    </w:pPr>
                    <w:r>
                      <w:rPr>
                        <w:noProof/>
                      </w:rPr>
                      <w:t>H.M Government, “The Conservation of Habitats and Species Regulations 2010,” 2010.</w:t>
                    </w:r>
                  </w:p>
                </w:tc>
              </w:tr>
              <w:tr w:rsidR="000416A5" w14:paraId="3A6E2B2E" w14:textId="77777777" w:rsidTr="00BE622F">
                <w:trPr>
                  <w:divId w:val="276836238"/>
                  <w:tblCellSpacing w:w="15" w:type="dxa"/>
                </w:trPr>
                <w:tc>
                  <w:tcPr>
                    <w:tcW w:w="659" w:type="dxa"/>
                    <w:hideMark/>
                  </w:tcPr>
                  <w:p w14:paraId="74799742" w14:textId="77777777" w:rsidR="000416A5" w:rsidRDefault="000416A5">
                    <w:pPr>
                      <w:pStyle w:val="Bibliography"/>
                      <w:rPr>
                        <w:noProof/>
                      </w:rPr>
                    </w:pPr>
                    <w:r>
                      <w:rPr>
                        <w:noProof/>
                      </w:rPr>
                      <w:t xml:space="preserve">[11] </w:t>
                    </w:r>
                  </w:p>
                </w:tc>
                <w:tc>
                  <w:tcPr>
                    <w:tcW w:w="8267" w:type="dxa"/>
                    <w:hideMark/>
                  </w:tcPr>
                  <w:p w14:paraId="77ACC77E" w14:textId="77777777" w:rsidR="000416A5" w:rsidRDefault="000416A5">
                    <w:pPr>
                      <w:pStyle w:val="Bibliography"/>
                      <w:rPr>
                        <w:noProof/>
                      </w:rPr>
                    </w:pPr>
                    <w:r>
                      <w:rPr>
                        <w:noProof/>
                      </w:rPr>
                      <w:t>H.M Government, “Explanatory Memorandum to the Conservation of Habitats and Species Regulations 2017,” 2017. [Online]. Available: https://www.legislation.gov.uk/uksi/2017/1012/pdfs/uksiem_20171012_en.pdf.</w:t>
                    </w:r>
                  </w:p>
                </w:tc>
              </w:tr>
              <w:tr w:rsidR="000416A5" w14:paraId="76A45181" w14:textId="77777777" w:rsidTr="00BE622F">
                <w:trPr>
                  <w:divId w:val="276836238"/>
                  <w:tblCellSpacing w:w="15" w:type="dxa"/>
                </w:trPr>
                <w:tc>
                  <w:tcPr>
                    <w:tcW w:w="659" w:type="dxa"/>
                    <w:hideMark/>
                  </w:tcPr>
                  <w:p w14:paraId="2F7B47AC" w14:textId="77777777" w:rsidR="000416A5" w:rsidRDefault="000416A5">
                    <w:pPr>
                      <w:pStyle w:val="Bibliography"/>
                      <w:rPr>
                        <w:noProof/>
                      </w:rPr>
                    </w:pPr>
                    <w:r>
                      <w:rPr>
                        <w:noProof/>
                      </w:rPr>
                      <w:t xml:space="preserve">[12] </w:t>
                    </w:r>
                  </w:p>
                </w:tc>
                <w:tc>
                  <w:tcPr>
                    <w:tcW w:w="8267" w:type="dxa"/>
                    <w:hideMark/>
                  </w:tcPr>
                  <w:p w14:paraId="277961A9" w14:textId="77777777" w:rsidR="000416A5" w:rsidRDefault="000416A5">
                    <w:pPr>
                      <w:pStyle w:val="Bibliography"/>
                      <w:rPr>
                        <w:noProof/>
                      </w:rPr>
                    </w:pPr>
                    <w:r>
                      <w:rPr>
                        <w:noProof/>
                      </w:rPr>
                      <w:t>H.M Government, “The Conservation (Natural Habitats, &amp;c.) Regulations 1994 (as amended by The Conservation (Natural Habitats, &amp;c.) (Amendment) Regulations,” 1994.</w:t>
                    </w:r>
                  </w:p>
                </w:tc>
              </w:tr>
              <w:tr w:rsidR="000416A5" w14:paraId="3976CBDC" w14:textId="77777777" w:rsidTr="00BE622F">
                <w:trPr>
                  <w:divId w:val="276836238"/>
                  <w:tblCellSpacing w:w="15" w:type="dxa"/>
                </w:trPr>
                <w:tc>
                  <w:tcPr>
                    <w:tcW w:w="659" w:type="dxa"/>
                    <w:hideMark/>
                  </w:tcPr>
                  <w:p w14:paraId="18D7BC26" w14:textId="77777777" w:rsidR="000416A5" w:rsidRDefault="000416A5">
                    <w:pPr>
                      <w:pStyle w:val="Bibliography"/>
                      <w:rPr>
                        <w:noProof/>
                      </w:rPr>
                    </w:pPr>
                    <w:r>
                      <w:rPr>
                        <w:noProof/>
                      </w:rPr>
                      <w:t xml:space="preserve">[13] </w:t>
                    </w:r>
                  </w:p>
                </w:tc>
                <w:tc>
                  <w:tcPr>
                    <w:tcW w:w="8267" w:type="dxa"/>
                    <w:hideMark/>
                  </w:tcPr>
                  <w:p w14:paraId="2759C211" w14:textId="77777777" w:rsidR="000416A5" w:rsidRDefault="000416A5">
                    <w:pPr>
                      <w:pStyle w:val="Bibliography"/>
                      <w:rPr>
                        <w:noProof/>
                      </w:rPr>
                    </w:pPr>
                    <w:r>
                      <w:rPr>
                        <w:noProof/>
                      </w:rPr>
                      <w:t>Ministry of Housing, Communities and Local Government, “Guidance on Environmental Impact Assessment: Explains the requirements of the Town and Country Planning,” July 2017. [Online]. Available: https://www.gov.uk/guidance/environmental-impact-assessment.</w:t>
                    </w:r>
                  </w:p>
                </w:tc>
              </w:tr>
              <w:tr w:rsidR="000416A5" w14:paraId="309E7523" w14:textId="77777777" w:rsidTr="00BE622F">
                <w:trPr>
                  <w:divId w:val="276836238"/>
                  <w:tblCellSpacing w:w="15" w:type="dxa"/>
                </w:trPr>
                <w:tc>
                  <w:tcPr>
                    <w:tcW w:w="659" w:type="dxa"/>
                    <w:hideMark/>
                  </w:tcPr>
                  <w:p w14:paraId="1D778DEB" w14:textId="77777777" w:rsidR="000416A5" w:rsidRDefault="000416A5">
                    <w:pPr>
                      <w:pStyle w:val="Bibliography"/>
                      <w:rPr>
                        <w:noProof/>
                      </w:rPr>
                    </w:pPr>
                    <w:r>
                      <w:rPr>
                        <w:noProof/>
                      </w:rPr>
                      <w:lastRenderedPageBreak/>
                      <w:t xml:space="preserve">[14] </w:t>
                    </w:r>
                  </w:p>
                </w:tc>
                <w:tc>
                  <w:tcPr>
                    <w:tcW w:w="8267" w:type="dxa"/>
                    <w:hideMark/>
                  </w:tcPr>
                  <w:p w14:paraId="0E8C1F6E" w14:textId="77777777" w:rsidR="000416A5" w:rsidRDefault="000416A5">
                    <w:pPr>
                      <w:pStyle w:val="Bibliography"/>
                      <w:rPr>
                        <w:noProof/>
                      </w:rPr>
                    </w:pPr>
                    <w:r>
                      <w:rPr>
                        <w:noProof/>
                      </w:rPr>
                      <w:t>European Commission, “, Environmental Impact Assessment for the Decommissioning of Nuclear Installations; Final Report Volume 2; Guidance for Undertaking an EIA of Proposals to Decommission a Nuclear Power Plant,” June 2001. [Online]. Available: https://inis.iaea.org/collection/NCLCollectionStore/_Public/36/090/36090322.pdf.</w:t>
                    </w:r>
                  </w:p>
                </w:tc>
              </w:tr>
              <w:tr w:rsidR="000416A5" w14:paraId="1BB83F17" w14:textId="77777777" w:rsidTr="00BE622F">
                <w:trPr>
                  <w:divId w:val="276836238"/>
                  <w:tblCellSpacing w:w="15" w:type="dxa"/>
                </w:trPr>
                <w:tc>
                  <w:tcPr>
                    <w:tcW w:w="659" w:type="dxa"/>
                    <w:hideMark/>
                  </w:tcPr>
                  <w:p w14:paraId="4A007FB4" w14:textId="77777777" w:rsidR="000416A5" w:rsidRDefault="000416A5">
                    <w:pPr>
                      <w:pStyle w:val="Bibliography"/>
                      <w:rPr>
                        <w:noProof/>
                      </w:rPr>
                    </w:pPr>
                    <w:r>
                      <w:rPr>
                        <w:noProof/>
                      </w:rPr>
                      <w:t xml:space="preserve">[15] </w:t>
                    </w:r>
                  </w:p>
                </w:tc>
                <w:tc>
                  <w:tcPr>
                    <w:tcW w:w="8267" w:type="dxa"/>
                    <w:hideMark/>
                  </w:tcPr>
                  <w:p w14:paraId="102FFAE1" w14:textId="77777777" w:rsidR="000416A5" w:rsidRDefault="000416A5">
                    <w:pPr>
                      <w:pStyle w:val="Bibliography"/>
                      <w:rPr>
                        <w:noProof/>
                      </w:rPr>
                    </w:pPr>
                    <w:r>
                      <w:rPr>
                        <w:noProof/>
                      </w:rPr>
                      <w:t>European Union, “Environmental Impact Assessment of Projects: Guidance on Screening,” 2017. [Online]. Available: https://ec.europa.eu/environment/eia/pdf/EIA_guidance_Screening_final.pdf.</w:t>
                    </w:r>
                  </w:p>
                </w:tc>
              </w:tr>
              <w:tr w:rsidR="000416A5" w14:paraId="2B623ABF" w14:textId="77777777" w:rsidTr="00BE622F">
                <w:trPr>
                  <w:divId w:val="276836238"/>
                  <w:tblCellSpacing w:w="15" w:type="dxa"/>
                </w:trPr>
                <w:tc>
                  <w:tcPr>
                    <w:tcW w:w="659" w:type="dxa"/>
                    <w:hideMark/>
                  </w:tcPr>
                  <w:p w14:paraId="0659156C" w14:textId="77777777" w:rsidR="000416A5" w:rsidRDefault="000416A5">
                    <w:pPr>
                      <w:pStyle w:val="Bibliography"/>
                      <w:rPr>
                        <w:noProof/>
                      </w:rPr>
                    </w:pPr>
                    <w:r>
                      <w:rPr>
                        <w:noProof/>
                      </w:rPr>
                      <w:t xml:space="preserve">[16] </w:t>
                    </w:r>
                  </w:p>
                </w:tc>
                <w:tc>
                  <w:tcPr>
                    <w:tcW w:w="8267" w:type="dxa"/>
                    <w:hideMark/>
                  </w:tcPr>
                  <w:p w14:paraId="22978F53" w14:textId="77777777" w:rsidR="000416A5" w:rsidRDefault="000416A5">
                    <w:pPr>
                      <w:pStyle w:val="Bibliography"/>
                      <w:rPr>
                        <w:noProof/>
                      </w:rPr>
                    </w:pPr>
                    <w:r>
                      <w:rPr>
                        <w:noProof/>
                      </w:rPr>
                      <w:t>European Union, “Environmental Impact Assessment of Projects: Guidance on Scoping,” 2017. [Online]. Available: https://ec.europa.eu/environment/eia/pdf/EIA_guidance_Scoping_final.pdf .</w:t>
                    </w:r>
                  </w:p>
                </w:tc>
              </w:tr>
              <w:tr w:rsidR="000416A5" w14:paraId="3927768E" w14:textId="77777777" w:rsidTr="00BE622F">
                <w:trPr>
                  <w:divId w:val="276836238"/>
                  <w:tblCellSpacing w:w="15" w:type="dxa"/>
                </w:trPr>
                <w:tc>
                  <w:tcPr>
                    <w:tcW w:w="659" w:type="dxa"/>
                    <w:hideMark/>
                  </w:tcPr>
                  <w:p w14:paraId="727471D3" w14:textId="77777777" w:rsidR="000416A5" w:rsidRDefault="000416A5">
                    <w:pPr>
                      <w:pStyle w:val="Bibliography"/>
                      <w:rPr>
                        <w:noProof/>
                      </w:rPr>
                    </w:pPr>
                    <w:r>
                      <w:rPr>
                        <w:noProof/>
                      </w:rPr>
                      <w:t xml:space="preserve">[17] </w:t>
                    </w:r>
                  </w:p>
                </w:tc>
                <w:tc>
                  <w:tcPr>
                    <w:tcW w:w="8267" w:type="dxa"/>
                    <w:hideMark/>
                  </w:tcPr>
                  <w:p w14:paraId="783F8D95" w14:textId="77777777" w:rsidR="000416A5" w:rsidRDefault="000416A5">
                    <w:pPr>
                      <w:pStyle w:val="Bibliography"/>
                      <w:rPr>
                        <w:noProof/>
                      </w:rPr>
                    </w:pPr>
                    <w:r>
                      <w:rPr>
                        <w:noProof/>
                      </w:rPr>
                      <w:t>European Union, “Environmental Impact Assessment of Projects: Guidance on the preparation of the Environmental Impact Assessment Report,” 2017. [Online]. Available: https://ec.europa.eu/environment/eia/pdf/EIA_guidance_EIA_report_final.pdf.</w:t>
                    </w:r>
                  </w:p>
                </w:tc>
              </w:tr>
              <w:tr w:rsidR="000416A5" w14:paraId="57139282" w14:textId="77777777" w:rsidTr="00BE622F">
                <w:trPr>
                  <w:divId w:val="276836238"/>
                  <w:tblCellSpacing w:w="15" w:type="dxa"/>
                </w:trPr>
                <w:tc>
                  <w:tcPr>
                    <w:tcW w:w="659" w:type="dxa"/>
                    <w:hideMark/>
                  </w:tcPr>
                  <w:p w14:paraId="39FBEEF1" w14:textId="77777777" w:rsidR="000416A5" w:rsidRDefault="000416A5">
                    <w:pPr>
                      <w:pStyle w:val="Bibliography"/>
                      <w:rPr>
                        <w:noProof/>
                      </w:rPr>
                    </w:pPr>
                    <w:r>
                      <w:rPr>
                        <w:noProof/>
                      </w:rPr>
                      <w:t xml:space="preserve">[18] </w:t>
                    </w:r>
                  </w:p>
                </w:tc>
                <w:tc>
                  <w:tcPr>
                    <w:tcW w:w="8267" w:type="dxa"/>
                    <w:hideMark/>
                  </w:tcPr>
                  <w:p w14:paraId="110A66B9" w14:textId="77777777" w:rsidR="000416A5" w:rsidRDefault="000416A5">
                    <w:pPr>
                      <w:pStyle w:val="Bibliography"/>
                      <w:rPr>
                        <w:noProof/>
                      </w:rPr>
                    </w:pPr>
                    <w:r>
                      <w:rPr>
                        <w:noProof/>
                      </w:rPr>
                      <w:t>H.M Government, “The Environmental Information Regulations 2004,” 2004.</w:t>
                    </w:r>
                  </w:p>
                </w:tc>
              </w:tr>
              <w:tr w:rsidR="000416A5" w14:paraId="2C6FF980" w14:textId="77777777" w:rsidTr="00BE622F">
                <w:trPr>
                  <w:divId w:val="276836238"/>
                  <w:tblCellSpacing w:w="15" w:type="dxa"/>
                </w:trPr>
                <w:tc>
                  <w:tcPr>
                    <w:tcW w:w="659" w:type="dxa"/>
                    <w:hideMark/>
                  </w:tcPr>
                  <w:p w14:paraId="24E8741F" w14:textId="77777777" w:rsidR="000416A5" w:rsidRDefault="000416A5">
                    <w:pPr>
                      <w:pStyle w:val="Bibliography"/>
                      <w:rPr>
                        <w:noProof/>
                      </w:rPr>
                    </w:pPr>
                    <w:r>
                      <w:rPr>
                        <w:noProof/>
                      </w:rPr>
                      <w:t xml:space="preserve">[19] </w:t>
                    </w:r>
                  </w:p>
                </w:tc>
                <w:tc>
                  <w:tcPr>
                    <w:tcW w:w="8267" w:type="dxa"/>
                    <w:hideMark/>
                  </w:tcPr>
                  <w:p w14:paraId="04BB9C83" w14:textId="77777777" w:rsidR="000416A5" w:rsidRDefault="000416A5">
                    <w:pPr>
                      <w:pStyle w:val="Bibliography"/>
                      <w:rPr>
                        <w:noProof/>
                      </w:rPr>
                    </w:pPr>
                    <w:r>
                      <w:rPr>
                        <w:noProof/>
                      </w:rPr>
                      <w:t>H.M Government, “The Environmental Information (Scotland) Regulations 2004,” 2004.</w:t>
                    </w:r>
                  </w:p>
                </w:tc>
              </w:tr>
              <w:tr w:rsidR="000416A5" w14:paraId="1519E475" w14:textId="77777777" w:rsidTr="00BE622F">
                <w:trPr>
                  <w:divId w:val="276836238"/>
                  <w:tblCellSpacing w:w="15" w:type="dxa"/>
                </w:trPr>
                <w:tc>
                  <w:tcPr>
                    <w:tcW w:w="659" w:type="dxa"/>
                    <w:hideMark/>
                  </w:tcPr>
                  <w:p w14:paraId="5EC367E8" w14:textId="77777777" w:rsidR="000416A5" w:rsidRDefault="000416A5">
                    <w:pPr>
                      <w:pStyle w:val="Bibliography"/>
                      <w:rPr>
                        <w:noProof/>
                      </w:rPr>
                    </w:pPr>
                    <w:r>
                      <w:rPr>
                        <w:noProof/>
                      </w:rPr>
                      <w:t xml:space="preserve">[20] </w:t>
                    </w:r>
                  </w:p>
                </w:tc>
                <w:tc>
                  <w:tcPr>
                    <w:tcW w:w="8267" w:type="dxa"/>
                    <w:hideMark/>
                  </w:tcPr>
                  <w:p w14:paraId="09762945" w14:textId="77777777" w:rsidR="000416A5" w:rsidRDefault="000416A5">
                    <w:pPr>
                      <w:pStyle w:val="Bibliography"/>
                      <w:rPr>
                        <w:noProof/>
                      </w:rPr>
                    </w:pPr>
                    <w:r>
                      <w:rPr>
                        <w:noProof/>
                      </w:rPr>
                      <w:t>H.M Government, “The Management of Health and Safety at Work Regulations 1999 (MHSW),” 1999.</w:t>
                    </w:r>
                  </w:p>
                </w:tc>
              </w:tr>
              <w:tr w:rsidR="000416A5" w14:paraId="0E46234F" w14:textId="77777777" w:rsidTr="00BE622F">
                <w:trPr>
                  <w:divId w:val="276836238"/>
                  <w:tblCellSpacing w:w="15" w:type="dxa"/>
                </w:trPr>
                <w:tc>
                  <w:tcPr>
                    <w:tcW w:w="659" w:type="dxa"/>
                    <w:hideMark/>
                  </w:tcPr>
                  <w:p w14:paraId="1D5E0C50" w14:textId="77777777" w:rsidR="000416A5" w:rsidRDefault="000416A5">
                    <w:pPr>
                      <w:pStyle w:val="Bibliography"/>
                      <w:rPr>
                        <w:noProof/>
                      </w:rPr>
                    </w:pPr>
                    <w:r>
                      <w:rPr>
                        <w:noProof/>
                      </w:rPr>
                      <w:t xml:space="preserve">[21] </w:t>
                    </w:r>
                  </w:p>
                </w:tc>
                <w:tc>
                  <w:tcPr>
                    <w:tcW w:w="8267" w:type="dxa"/>
                    <w:hideMark/>
                  </w:tcPr>
                  <w:p w14:paraId="3C0B0831" w14:textId="77777777" w:rsidR="000416A5" w:rsidRDefault="000416A5">
                    <w:pPr>
                      <w:pStyle w:val="Bibliography"/>
                      <w:rPr>
                        <w:noProof/>
                      </w:rPr>
                    </w:pPr>
                    <w:r>
                      <w:rPr>
                        <w:noProof/>
                      </w:rPr>
                      <w:t>H.M Goverment, “The Construction (Design and Management) Regulations 2015”.</w:t>
                    </w:r>
                  </w:p>
                </w:tc>
              </w:tr>
              <w:tr w:rsidR="000416A5" w14:paraId="5D3445F5" w14:textId="77777777" w:rsidTr="00BE622F">
                <w:trPr>
                  <w:divId w:val="276836238"/>
                  <w:tblCellSpacing w:w="15" w:type="dxa"/>
                </w:trPr>
                <w:tc>
                  <w:tcPr>
                    <w:tcW w:w="659" w:type="dxa"/>
                    <w:hideMark/>
                  </w:tcPr>
                  <w:p w14:paraId="33C54991" w14:textId="77777777" w:rsidR="000416A5" w:rsidRDefault="000416A5">
                    <w:pPr>
                      <w:pStyle w:val="Bibliography"/>
                      <w:rPr>
                        <w:noProof/>
                      </w:rPr>
                    </w:pPr>
                    <w:r>
                      <w:rPr>
                        <w:noProof/>
                      </w:rPr>
                      <w:t xml:space="preserve">[22] </w:t>
                    </w:r>
                  </w:p>
                </w:tc>
                <w:tc>
                  <w:tcPr>
                    <w:tcW w:w="8267" w:type="dxa"/>
                    <w:hideMark/>
                  </w:tcPr>
                  <w:p w14:paraId="32A41E89" w14:textId="77777777" w:rsidR="000416A5" w:rsidRDefault="000416A5">
                    <w:pPr>
                      <w:pStyle w:val="Bibliography"/>
                      <w:rPr>
                        <w:noProof/>
                      </w:rPr>
                    </w:pPr>
                    <w:r>
                      <w:rPr>
                        <w:noProof/>
                      </w:rPr>
                      <w:t>H.M Government, “The Ionising Radiations Regulations 2017,” 2017.</w:t>
                    </w:r>
                  </w:p>
                </w:tc>
              </w:tr>
              <w:tr w:rsidR="000416A5" w14:paraId="0D299D31" w14:textId="77777777" w:rsidTr="00BE622F">
                <w:trPr>
                  <w:divId w:val="276836238"/>
                  <w:tblCellSpacing w:w="15" w:type="dxa"/>
                </w:trPr>
                <w:tc>
                  <w:tcPr>
                    <w:tcW w:w="659" w:type="dxa"/>
                    <w:hideMark/>
                  </w:tcPr>
                  <w:p w14:paraId="396CC031" w14:textId="77777777" w:rsidR="000416A5" w:rsidRDefault="000416A5">
                    <w:pPr>
                      <w:pStyle w:val="Bibliography"/>
                      <w:rPr>
                        <w:noProof/>
                      </w:rPr>
                    </w:pPr>
                    <w:r>
                      <w:rPr>
                        <w:noProof/>
                      </w:rPr>
                      <w:t xml:space="preserve">[23] </w:t>
                    </w:r>
                  </w:p>
                </w:tc>
                <w:tc>
                  <w:tcPr>
                    <w:tcW w:w="8267" w:type="dxa"/>
                    <w:hideMark/>
                  </w:tcPr>
                  <w:p w14:paraId="1C15D8C4" w14:textId="77777777" w:rsidR="000416A5" w:rsidRDefault="000416A5">
                    <w:pPr>
                      <w:pStyle w:val="Bibliography"/>
                      <w:rPr>
                        <w:noProof/>
                      </w:rPr>
                    </w:pPr>
                    <w:r>
                      <w:rPr>
                        <w:noProof/>
                      </w:rPr>
                      <w:t>H.M Government, “The Environmental Authorisations (Scotland) Regulations 2018,” 2018.</w:t>
                    </w:r>
                  </w:p>
                </w:tc>
              </w:tr>
              <w:tr w:rsidR="000416A5" w14:paraId="30604315" w14:textId="77777777" w:rsidTr="00BE622F">
                <w:trPr>
                  <w:divId w:val="276836238"/>
                  <w:tblCellSpacing w:w="15" w:type="dxa"/>
                </w:trPr>
                <w:tc>
                  <w:tcPr>
                    <w:tcW w:w="659" w:type="dxa"/>
                    <w:hideMark/>
                  </w:tcPr>
                  <w:p w14:paraId="108006F1" w14:textId="77777777" w:rsidR="000416A5" w:rsidRDefault="000416A5">
                    <w:pPr>
                      <w:pStyle w:val="Bibliography"/>
                      <w:rPr>
                        <w:noProof/>
                      </w:rPr>
                    </w:pPr>
                    <w:r>
                      <w:rPr>
                        <w:noProof/>
                      </w:rPr>
                      <w:t xml:space="preserve">[24] </w:t>
                    </w:r>
                  </w:p>
                </w:tc>
                <w:tc>
                  <w:tcPr>
                    <w:tcW w:w="8267" w:type="dxa"/>
                    <w:hideMark/>
                  </w:tcPr>
                  <w:p w14:paraId="1A97107D" w14:textId="77777777" w:rsidR="000416A5" w:rsidRDefault="000416A5">
                    <w:pPr>
                      <w:pStyle w:val="Bibliography"/>
                      <w:rPr>
                        <w:noProof/>
                      </w:rPr>
                    </w:pPr>
                    <w:r>
                      <w:rPr>
                        <w:noProof/>
                      </w:rPr>
                      <w:t>H.M Government, “Environmental Protection Act 1990,” 1990.</w:t>
                    </w:r>
                  </w:p>
                </w:tc>
              </w:tr>
              <w:tr w:rsidR="000416A5" w14:paraId="2AFA5977" w14:textId="77777777" w:rsidTr="00BE622F">
                <w:trPr>
                  <w:divId w:val="276836238"/>
                  <w:tblCellSpacing w:w="15" w:type="dxa"/>
                </w:trPr>
                <w:tc>
                  <w:tcPr>
                    <w:tcW w:w="659" w:type="dxa"/>
                    <w:hideMark/>
                  </w:tcPr>
                  <w:p w14:paraId="77FA54E4" w14:textId="77777777" w:rsidR="000416A5" w:rsidRDefault="000416A5">
                    <w:pPr>
                      <w:pStyle w:val="Bibliography"/>
                      <w:rPr>
                        <w:noProof/>
                      </w:rPr>
                    </w:pPr>
                    <w:r>
                      <w:rPr>
                        <w:noProof/>
                      </w:rPr>
                      <w:t xml:space="preserve">[25] </w:t>
                    </w:r>
                  </w:p>
                </w:tc>
                <w:tc>
                  <w:tcPr>
                    <w:tcW w:w="8267" w:type="dxa"/>
                    <w:hideMark/>
                  </w:tcPr>
                  <w:p w14:paraId="5997ADFB" w14:textId="77777777" w:rsidR="000416A5" w:rsidRDefault="000416A5">
                    <w:pPr>
                      <w:pStyle w:val="Bibliography"/>
                      <w:rPr>
                        <w:noProof/>
                      </w:rPr>
                    </w:pPr>
                    <w:r>
                      <w:rPr>
                        <w:noProof/>
                      </w:rPr>
                      <w:t>H.M Government, “Wildlife and Countryside Act 1981,” 1981.</w:t>
                    </w:r>
                  </w:p>
                </w:tc>
              </w:tr>
              <w:tr w:rsidR="000416A5" w14:paraId="1816F545" w14:textId="77777777" w:rsidTr="00BE622F">
                <w:trPr>
                  <w:divId w:val="276836238"/>
                  <w:tblCellSpacing w:w="15" w:type="dxa"/>
                </w:trPr>
                <w:tc>
                  <w:tcPr>
                    <w:tcW w:w="659" w:type="dxa"/>
                    <w:hideMark/>
                  </w:tcPr>
                  <w:p w14:paraId="6146F78E" w14:textId="77777777" w:rsidR="000416A5" w:rsidRDefault="000416A5">
                    <w:pPr>
                      <w:pStyle w:val="Bibliography"/>
                      <w:rPr>
                        <w:noProof/>
                      </w:rPr>
                    </w:pPr>
                    <w:r>
                      <w:rPr>
                        <w:noProof/>
                      </w:rPr>
                      <w:t xml:space="preserve">[26] </w:t>
                    </w:r>
                  </w:p>
                </w:tc>
                <w:tc>
                  <w:tcPr>
                    <w:tcW w:w="8267" w:type="dxa"/>
                    <w:hideMark/>
                  </w:tcPr>
                  <w:p w14:paraId="7A93EDCE" w14:textId="77777777" w:rsidR="000416A5" w:rsidRDefault="000416A5">
                    <w:pPr>
                      <w:pStyle w:val="Bibliography"/>
                      <w:rPr>
                        <w:noProof/>
                      </w:rPr>
                    </w:pPr>
                    <w:r>
                      <w:rPr>
                        <w:noProof/>
                      </w:rPr>
                      <w:t>H.M Government, “Countryside and Rights of Way Act 2000,” 2000.</w:t>
                    </w:r>
                  </w:p>
                </w:tc>
              </w:tr>
              <w:tr w:rsidR="000416A5" w14:paraId="0B2B2014" w14:textId="77777777" w:rsidTr="00BE622F">
                <w:trPr>
                  <w:divId w:val="276836238"/>
                  <w:tblCellSpacing w:w="15" w:type="dxa"/>
                </w:trPr>
                <w:tc>
                  <w:tcPr>
                    <w:tcW w:w="659" w:type="dxa"/>
                    <w:hideMark/>
                  </w:tcPr>
                  <w:p w14:paraId="43CC0E3D" w14:textId="77777777" w:rsidR="000416A5" w:rsidRDefault="000416A5">
                    <w:pPr>
                      <w:pStyle w:val="Bibliography"/>
                      <w:rPr>
                        <w:noProof/>
                      </w:rPr>
                    </w:pPr>
                    <w:r>
                      <w:rPr>
                        <w:noProof/>
                      </w:rPr>
                      <w:t xml:space="preserve">[27] </w:t>
                    </w:r>
                  </w:p>
                </w:tc>
                <w:tc>
                  <w:tcPr>
                    <w:tcW w:w="8267" w:type="dxa"/>
                    <w:hideMark/>
                  </w:tcPr>
                  <w:p w14:paraId="064B2084" w14:textId="77777777" w:rsidR="000416A5" w:rsidRDefault="000416A5">
                    <w:pPr>
                      <w:pStyle w:val="Bibliography"/>
                      <w:rPr>
                        <w:noProof/>
                      </w:rPr>
                    </w:pPr>
                    <w:r>
                      <w:rPr>
                        <w:noProof/>
                      </w:rPr>
                      <w:t>H.M Government, “Nature Conservation (Scotland) Act 2004,” 2004.</w:t>
                    </w:r>
                  </w:p>
                </w:tc>
              </w:tr>
              <w:tr w:rsidR="000416A5" w14:paraId="4B982152" w14:textId="77777777" w:rsidTr="00BE622F">
                <w:trPr>
                  <w:divId w:val="276836238"/>
                  <w:tblCellSpacing w:w="15" w:type="dxa"/>
                </w:trPr>
                <w:tc>
                  <w:tcPr>
                    <w:tcW w:w="659" w:type="dxa"/>
                    <w:hideMark/>
                  </w:tcPr>
                  <w:p w14:paraId="107A549E" w14:textId="77777777" w:rsidR="000416A5" w:rsidRDefault="000416A5">
                    <w:pPr>
                      <w:pStyle w:val="Bibliography"/>
                      <w:rPr>
                        <w:noProof/>
                      </w:rPr>
                    </w:pPr>
                    <w:r>
                      <w:rPr>
                        <w:noProof/>
                      </w:rPr>
                      <w:t xml:space="preserve">[28] </w:t>
                    </w:r>
                  </w:p>
                </w:tc>
                <w:tc>
                  <w:tcPr>
                    <w:tcW w:w="8267" w:type="dxa"/>
                    <w:hideMark/>
                  </w:tcPr>
                  <w:p w14:paraId="400CF176" w14:textId="77777777" w:rsidR="000416A5" w:rsidRDefault="000416A5">
                    <w:pPr>
                      <w:pStyle w:val="Bibliography"/>
                      <w:rPr>
                        <w:noProof/>
                      </w:rPr>
                    </w:pPr>
                    <w:r>
                      <w:rPr>
                        <w:noProof/>
                      </w:rPr>
                      <w:t>H.M Government, “Natural Environment and Rural Communities Act 2006,” 2006.</w:t>
                    </w:r>
                  </w:p>
                </w:tc>
              </w:tr>
              <w:tr w:rsidR="000416A5" w14:paraId="007E9F91" w14:textId="77777777" w:rsidTr="00BE622F">
                <w:trPr>
                  <w:divId w:val="276836238"/>
                  <w:tblCellSpacing w:w="15" w:type="dxa"/>
                </w:trPr>
                <w:tc>
                  <w:tcPr>
                    <w:tcW w:w="659" w:type="dxa"/>
                    <w:hideMark/>
                  </w:tcPr>
                  <w:p w14:paraId="26431E62" w14:textId="77777777" w:rsidR="000416A5" w:rsidRDefault="000416A5">
                    <w:pPr>
                      <w:pStyle w:val="Bibliography"/>
                      <w:rPr>
                        <w:noProof/>
                      </w:rPr>
                    </w:pPr>
                    <w:r>
                      <w:rPr>
                        <w:noProof/>
                      </w:rPr>
                      <w:lastRenderedPageBreak/>
                      <w:t xml:space="preserve">[29] </w:t>
                    </w:r>
                  </w:p>
                </w:tc>
                <w:tc>
                  <w:tcPr>
                    <w:tcW w:w="8267" w:type="dxa"/>
                    <w:hideMark/>
                  </w:tcPr>
                  <w:p w14:paraId="77F15609" w14:textId="77777777" w:rsidR="000416A5" w:rsidRDefault="000416A5">
                    <w:pPr>
                      <w:pStyle w:val="Bibliography"/>
                      <w:rPr>
                        <w:noProof/>
                      </w:rPr>
                    </w:pPr>
                    <w:r>
                      <w:rPr>
                        <w:noProof/>
                      </w:rPr>
                      <w:t>European Council, “Directive 2000/60/EC of the European Parliament and of the Council establishing a framework for the Community action in the field of water policy,” 2000.</w:t>
                    </w:r>
                  </w:p>
                </w:tc>
              </w:tr>
              <w:tr w:rsidR="000416A5" w14:paraId="16300442" w14:textId="77777777" w:rsidTr="00BE622F">
                <w:trPr>
                  <w:divId w:val="276836238"/>
                  <w:tblCellSpacing w:w="15" w:type="dxa"/>
                </w:trPr>
                <w:tc>
                  <w:tcPr>
                    <w:tcW w:w="659" w:type="dxa"/>
                    <w:hideMark/>
                  </w:tcPr>
                  <w:p w14:paraId="14BC40BD" w14:textId="77777777" w:rsidR="000416A5" w:rsidRDefault="000416A5">
                    <w:pPr>
                      <w:pStyle w:val="Bibliography"/>
                      <w:rPr>
                        <w:noProof/>
                      </w:rPr>
                    </w:pPr>
                    <w:r>
                      <w:rPr>
                        <w:noProof/>
                      </w:rPr>
                      <w:t xml:space="preserve">[30] </w:t>
                    </w:r>
                  </w:p>
                </w:tc>
                <w:tc>
                  <w:tcPr>
                    <w:tcW w:w="8267" w:type="dxa"/>
                    <w:hideMark/>
                  </w:tcPr>
                  <w:p w14:paraId="150C5BF2" w14:textId="77777777" w:rsidR="000416A5" w:rsidRDefault="000416A5">
                    <w:pPr>
                      <w:pStyle w:val="Bibliography"/>
                      <w:rPr>
                        <w:noProof/>
                      </w:rPr>
                    </w:pPr>
                    <w:r>
                      <w:rPr>
                        <w:noProof/>
                      </w:rPr>
                      <w:t>ONR, “Licensing Nuclear Installations”.</w:t>
                    </w:r>
                  </w:p>
                </w:tc>
              </w:tr>
              <w:tr w:rsidR="000416A5" w14:paraId="20888DD0" w14:textId="77777777" w:rsidTr="00BE622F">
                <w:trPr>
                  <w:divId w:val="276836238"/>
                  <w:tblCellSpacing w:w="15" w:type="dxa"/>
                </w:trPr>
                <w:tc>
                  <w:tcPr>
                    <w:tcW w:w="659" w:type="dxa"/>
                    <w:hideMark/>
                  </w:tcPr>
                  <w:p w14:paraId="4B200FAF" w14:textId="77777777" w:rsidR="000416A5" w:rsidRDefault="000416A5">
                    <w:pPr>
                      <w:pStyle w:val="Bibliography"/>
                      <w:rPr>
                        <w:noProof/>
                      </w:rPr>
                    </w:pPr>
                    <w:r>
                      <w:rPr>
                        <w:noProof/>
                      </w:rPr>
                      <w:t xml:space="preserve">[31] </w:t>
                    </w:r>
                  </w:p>
                </w:tc>
                <w:tc>
                  <w:tcPr>
                    <w:tcW w:w="8267" w:type="dxa"/>
                    <w:hideMark/>
                  </w:tcPr>
                  <w:p w14:paraId="28069B82" w14:textId="77777777" w:rsidR="000416A5" w:rsidRDefault="000416A5">
                    <w:pPr>
                      <w:pStyle w:val="Bibliography"/>
                      <w:rPr>
                        <w:noProof/>
                      </w:rPr>
                    </w:pPr>
                    <w:r>
                      <w:rPr>
                        <w:noProof/>
                      </w:rPr>
                      <w:t>H.M Government, “The Town and Country Planning (Environmental Impact Assessment) Regulations 2017,” 2017.</w:t>
                    </w:r>
                  </w:p>
                </w:tc>
              </w:tr>
              <w:tr w:rsidR="000416A5" w14:paraId="6B7FABB5" w14:textId="77777777" w:rsidTr="00BE622F">
                <w:trPr>
                  <w:divId w:val="276836238"/>
                  <w:tblCellSpacing w:w="15" w:type="dxa"/>
                </w:trPr>
                <w:tc>
                  <w:tcPr>
                    <w:tcW w:w="659" w:type="dxa"/>
                    <w:hideMark/>
                  </w:tcPr>
                  <w:p w14:paraId="31B53842" w14:textId="77777777" w:rsidR="000416A5" w:rsidRDefault="000416A5">
                    <w:pPr>
                      <w:pStyle w:val="Bibliography"/>
                      <w:rPr>
                        <w:noProof/>
                      </w:rPr>
                    </w:pPr>
                    <w:r>
                      <w:rPr>
                        <w:noProof/>
                      </w:rPr>
                      <w:t xml:space="preserve">[32] </w:t>
                    </w:r>
                  </w:p>
                </w:tc>
                <w:tc>
                  <w:tcPr>
                    <w:tcW w:w="8267" w:type="dxa"/>
                    <w:hideMark/>
                  </w:tcPr>
                  <w:p w14:paraId="103C11B3" w14:textId="77777777" w:rsidR="000416A5" w:rsidRDefault="000416A5">
                    <w:pPr>
                      <w:pStyle w:val="Bibliography"/>
                      <w:rPr>
                        <w:noProof/>
                      </w:rPr>
                    </w:pPr>
                    <w:r>
                      <w:rPr>
                        <w:noProof/>
                      </w:rPr>
                      <w:t>H.M Government, “The Town and Country Planning (Environmental Impact Assessment) (Wales) Regulations 2017,” 2017.</w:t>
                    </w:r>
                  </w:p>
                </w:tc>
              </w:tr>
              <w:tr w:rsidR="000416A5" w14:paraId="5C40AFC6" w14:textId="77777777" w:rsidTr="00BE622F">
                <w:trPr>
                  <w:divId w:val="276836238"/>
                  <w:tblCellSpacing w:w="15" w:type="dxa"/>
                </w:trPr>
                <w:tc>
                  <w:tcPr>
                    <w:tcW w:w="659" w:type="dxa"/>
                    <w:hideMark/>
                  </w:tcPr>
                  <w:p w14:paraId="1BEB3AFD" w14:textId="77777777" w:rsidR="000416A5" w:rsidRDefault="000416A5">
                    <w:pPr>
                      <w:pStyle w:val="Bibliography"/>
                      <w:rPr>
                        <w:noProof/>
                      </w:rPr>
                    </w:pPr>
                    <w:r>
                      <w:rPr>
                        <w:noProof/>
                      </w:rPr>
                      <w:t xml:space="preserve">[33] </w:t>
                    </w:r>
                  </w:p>
                </w:tc>
                <w:tc>
                  <w:tcPr>
                    <w:tcW w:w="8267" w:type="dxa"/>
                    <w:hideMark/>
                  </w:tcPr>
                  <w:p w14:paraId="2A42B5AE" w14:textId="77777777" w:rsidR="000416A5" w:rsidRDefault="000416A5">
                    <w:pPr>
                      <w:pStyle w:val="Bibliography"/>
                      <w:rPr>
                        <w:noProof/>
                      </w:rPr>
                    </w:pPr>
                    <w:r>
                      <w:rPr>
                        <w:noProof/>
                      </w:rPr>
                      <w:t>H.M Government, “The Town and Country Planning (Environmental Impact Assessment) (Scotland) Regulations 2017,” 2017.</w:t>
                    </w:r>
                  </w:p>
                </w:tc>
              </w:tr>
              <w:tr w:rsidR="000416A5" w14:paraId="07FCFE85" w14:textId="77777777" w:rsidTr="00BE622F">
                <w:trPr>
                  <w:divId w:val="276836238"/>
                  <w:tblCellSpacing w:w="15" w:type="dxa"/>
                </w:trPr>
                <w:tc>
                  <w:tcPr>
                    <w:tcW w:w="659" w:type="dxa"/>
                    <w:hideMark/>
                  </w:tcPr>
                  <w:p w14:paraId="38A4176C" w14:textId="77777777" w:rsidR="000416A5" w:rsidRDefault="000416A5">
                    <w:pPr>
                      <w:pStyle w:val="Bibliography"/>
                      <w:rPr>
                        <w:noProof/>
                      </w:rPr>
                    </w:pPr>
                    <w:r>
                      <w:rPr>
                        <w:noProof/>
                      </w:rPr>
                      <w:t xml:space="preserve">[34] </w:t>
                    </w:r>
                  </w:p>
                </w:tc>
                <w:tc>
                  <w:tcPr>
                    <w:tcW w:w="8267" w:type="dxa"/>
                    <w:hideMark/>
                  </w:tcPr>
                  <w:p w14:paraId="0A235192" w14:textId="5D0463D3" w:rsidR="000416A5" w:rsidRDefault="000416A5">
                    <w:pPr>
                      <w:pStyle w:val="Bibliography"/>
                      <w:rPr>
                        <w:noProof/>
                      </w:rPr>
                    </w:pPr>
                    <w:r>
                      <w:rPr>
                        <w:noProof/>
                      </w:rPr>
                      <w:t>ONR, “Memorandum of Understanding between the Office for Nuclear Regulation and the Environment Agency on matters of mutual interest in England”</w:t>
                    </w:r>
                    <w:r w:rsidR="00431138">
                      <w:rPr>
                        <w:noProof/>
                      </w:rPr>
                      <w:t>.</w:t>
                    </w:r>
                  </w:p>
                </w:tc>
              </w:tr>
              <w:tr w:rsidR="000416A5" w14:paraId="132CDB12" w14:textId="77777777" w:rsidTr="00BE622F">
                <w:trPr>
                  <w:divId w:val="276836238"/>
                  <w:tblCellSpacing w:w="15" w:type="dxa"/>
                </w:trPr>
                <w:tc>
                  <w:tcPr>
                    <w:tcW w:w="659" w:type="dxa"/>
                    <w:hideMark/>
                  </w:tcPr>
                  <w:p w14:paraId="0FBCFBCD" w14:textId="77777777" w:rsidR="000416A5" w:rsidRDefault="000416A5">
                    <w:pPr>
                      <w:pStyle w:val="Bibliography"/>
                      <w:rPr>
                        <w:noProof/>
                      </w:rPr>
                    </w:pPr>
                    <w:r>
                      <w:rPr>
                        <w:noProof/>
                      </w:rPr>
                      <w:t xml:space="preserve">[35] </w:t>
                    </w:r>
                  </w:p>
                </w:tc>
                <w:tc>
                  <w:tcPr>
                    <w:tcW w:w="8267" w:type="dxa"/>
                    <w:hideMark/>
                  </w:tcPr>
                  <w:p w14:paraId="6014A5E3" w14:textId="21518926" w:rsidR="000416A5" w:rsidRDefault="000416A5">
                    <w:pPr>
                      <w:pStyle w:val="Bibliography"/>
                      <w:rPr>
                        <w:noProof/>
                      </w:rPr>
                    </w:pPr>
                    <w:r>
                      <w:rPr>
                        <w:noProof/>
                      </w:rPr>
                      <w:t>ONR, “Memorandum of Understanding between the Office for Nuclear Regulation and the Natural Resources Body for Wales on matters of mutual interest in Wales”.</w:t>
                    </w:r>
                  </w:p>
                </w:tc>
              </w:tr>
              <w:tr w:rsidR="000416A5" w14:paraId="431967F5" w14:textId="77777777" w:rsidTr="00BE622F">
                <w:trPr>
                  <w:divId w:val="276836238"/>
                  <w:tblCellSpacing w:w="15" w:type="dxa"/>
                </w:trPr>
                <w:tc>
                  <w:tcPr>
                    <w:tcW w:w="659" w:type="dxa"/>
                    <w:hideMark/>
                  </w:tcPr>
                  <w:p w14:paraId="3ADD00B4" w14:textId="77777777" w:rsidR="000416A5" w:rsidRDefault="000416A5">
                    <w:pPr>
                      <w:pStyle w:val="Bibliography"/>
                      <w:rPr>
                        <w:noProof/>
                      </w:rPr>
                    </w:pPr>
                    <w:r>
                      <w:rPr>
                        <w:noProof/>
                      </w:rPr>
                      <w:t xml:space="preserve">[36] </w:t>
                    </w:r>
                  </w:p>
                </w:tc>
                <w:tc>
                  <w:tcPr>
                    <w:tcW w:w="8267" w:type="dxa"/>
                    <w:hideMark/>
                  </w:tcPr>
                  <w:p w14:paraId="4B70D7F3" w14:textId="69BBE417" w:rsidR="000416A5" w:rsidRDefault="000416A5">
                    <w:pPr>
                      <w:pStyle w:val="Bibliography"/>
                      <w:rPr>
                        <w:noProof/>
                      </w:rPr>
                    </w:pPr>
                    <w:r>
                      <w:rPr>
                        <w:noProof/>
                      </w:rPr>
                      <w:t>ONR, “Memorandum of Understanding between the Office for Nuclear Regulation and the Scottish Environment Protection Agency on matters of mutual interest in Scotland”.</w:t>
                    </w:r>
                  </w:p>
                </w:tc>
              </w:tr>
              <w:tr w:rsidR="000416A5" w14:paraId="4AE27F1D" w14:textId="77777777" w:rsidTr="00BE622F">
                <w:trPr>
                  <w:divId w:val="276836238"/>
                  <w:tblCellSpacing w:w="15" w:type="dxa"/>
                </w:trPr>
                <w:tc>
                  <w:tcPr>
                    <w:tcW w:w="659" w:type="dxa"/>
                    <w:hideMark/>
                  </w:tcPr>
                  <w:p w14:paraId="40B6044F" w14:textId="77777777" w:rsidR="000416A5" w:rsidRDefault="000416A5">
                    <w:pPr>
                      <w:pStyle w:val="Bibliography"/>
                      <w:rPr>
                        <w:noProof/>
                      </w:rPr>
                    </w:pPr>
                    <w:r>
                      <w:rPr>
                        <w:noProof/>
                      </w:rPr>
                      <w:t xml:space="preserve">[37] </w:t>
                    </w:r>
                  </w:p>
                </w:tc>
                <w:tc>
                  <w:tcPr>
                    <w:tcW w:w="8267" w:type="dxa"/>
                    <w:hideMark/>
                  </w:tcPr>
                  <w:p w14:paraId="21D03087" w14:textId="77777777" w:rsidR="000416A5" w:rsidRDefault="000416A5">
                    <w:pPr>
                      <w:pStyle w:val="Bibliography"/>
                      <w:rPr>
                        <w:noProof/>
                      </w:rPr>
                    </w:pPr>
                    <w:r>
                      <w:rPr>
                        <w:noProof/>
                      </w:rPr>
                      <w:t>ONR, “ONR-INSP-GD-061 - Joint Regulatory Guidance to Support the Overarching MoU - EA and ONR”.</w:t>
                    </w:r>
                  </w:p>
                </w:tc>
              </w:tr>
              <w:tr w:rsidR="000416A5" w14:paraId="64BC4466" w14:textId="77777777" w:rsidTr="00BE622F">
                <w:trPr>
                  <w:divId w:val="276836238"/>
                  <w:tblCellSpacing w:w="15" w:type="dxa"/>
                </w:trPr>
                <w:tc>
                  <w:tcPr>
                    <w:tcW w:w="659" w:type="dxa"/>
                    <w:hideMark/>
                  </w:tcPr>
                  <w:p w14:paraId="6E334DBB" w14:textId="77777777" w:rsidR="000416A5" w:rsidRDefault="000416A5">
                    <w:pPr>
                      <w:pStyle w:val="Bibliography"/>
                      <w:rPr>
                        <w:noProof/>
                      </w:rPr>
                    </w:pPr>
                    <w:r>
                      <w:rPr>
                        <w:noProof/>
                      </w:rPr>
                      <w:t xml:space="preserve">[38] </w:t>
                    </w:r>
                  </w:p>
                </w:tc>
                <w:tc>
                  <w:tcPr>
                    <w:tcW w:w="8267" w:type="dxa"/>
                    <w:hideMark/>
                  </w:tcPr>
                  <w:p w14:paraId="4139E2BD" w14:textId="77777777" w:rsidR="000416A5" w:rsidRDefault="000416A5">
                    <w:pPr>
                      <w:pStyle w:val="Bibliography"/>
                      <w:rPr>
                        <w:noProof/>
                      </w:rPr>
                    </w:pPr>
                    <w:r>
                      <w:rPr>
                        <w:noProof/>
                      </w:rPr>
                      <w:t>ONR, “ONR-INSP-GD-062 - Guidance to support the Joint Regulatory MoU between ONR and SEPA”.</w:t>
                    </w:r>
                  </w:p>
                </w:tc>
              </w:tr>
              <w:tr w:rsidR="000416A5" w14:paraId="2415D66D" w14:textId="77777777" w:rsidTr="00BE622F">
                <w:trPr>
                  <w:divId w:val="276836238"/>
                  <w:tblCellSpacing w:w="15" w:type="dxa"/>
                </w:trPr>
                <w:tc>
                  <w:tcPr>
                    <w:tcW w:w="659" w:type="dxa"/>
                    <w:hideMark/>
                  </w:tcPr>
                  <w:p w14:paraId="2598F1CB" w14:textId="77777777" w:rsidR="000416A5" w:rsidRDefault="000416A5">
                    <w:pPr>
                      <w:pStyle w:val="Bibliography"/>
                      <w:rPr>
                        <w:noProof/>
                      </w:rPr>
                    </w:pPr>
                    <w:r>
                      <w:rPr>
                        <w:noProof/>
                      </w:rPr>
                      <w:t xml:space="preserve">[39] </w:t>
                    </w:r>
                  </w:p>
                </w:tc>
                <w:tc>
                  <w:tcPr>
                    <w:tcW w:w="8267" w:type="dxa"/>
                    <w:hideMark/>
                  </w:tcPr>
                  <w:p w14:paraId="7780D26F" w14:textId="77777777" w:rsidR="000416A5" w:rsidRDefault="000416A5">
                    <w:pPr>
                      <w:pStyle w:val="Bibliography"/>
                      <w:rPr>
                        <w:noProof/>
                      </w:rPr>
                    </w:pPr>
                    <w:r>
                      <w:rPr>
                        <w:noProof/>
                      </w:rPr>
                      <w:t>ONR, “ONR-INSP-GD-063 - Joint Regulatory Guidance to Support the Overarching MoU - NRW and ONR”.</w:t>
                    </w:r>
                  </w:p>
                </w:tc>
              </w:tr>
              <w:tr w:rsidR="000416A5" w14:paraId="25B8E693" w14:textId="77777777" w:rsidTr="00BE622F">
                <w:trPr>
                  <w:divId w:val="276836238"/>
                  <w:tblCellSpacing w:w="15" w:type="dxa"/>
                </w:trPr>
                <w:tc>
                  <w:tcPr>
                    <w:tcW w:w="659" w:type="dxa"/>
                    <w:hideMark/>
                  </w:tcPr>
                  <w:p w14:paraId="74CFCEDD" w14:textId="77777777" w:rsidR="000416A5" w:rsidRDefault="000416A5">
                    <w:pPr>
                      <w:pStyle w:val="Bibliography"/>
                      <w:rPr>
                        <w:noProof/>
                      </w:rPr>
                    </w:pPr>
                    <w:r>
                      <w:rPr>
                        <w:noProof/>
                      </w:rPr>
                      <w:t xml:space="preserve">[40] </w:t>
                    </w:r>
                  </w:p>
                </w:tc>
                <w:tc>
                  <w:tcPr>
                    <w:tcW w:w="8267" w:type="dxa"/>
                    <w:hideMark/>
                  </w:tcPr>
                  <w:p w14:paraId="633FE81F" w14:textId="77777777" w:rsidR="000416A5" w:rsidRDefault="000416A5">
                    <w:pPr>
                      <w:pStyle w:val="Bibliography"/>
                      <w:rPr>
                        <w:noProof/>
                      </w:rPr>
                    </w:pPr>
                    <w:r>
                      <w:rPr>
                        <w:noProof/>
                      </w:rPr>
                      <w:t>H.M Government, “The Environmental Permitting (England and Wales) Regulations 2016,” 2016.</w:t>
                    </w:r>
                  </w:p>
                </w:tc>
              </w:tr>
              <w:tr w:rsidR="000416A5" w14:paraId="29F70446" w14:textId="77777777" w:rsidTr="00BE622F">
                <w:trPr>
                  <w:divId w:val="276836238"/>
                  <w:tblCellSpacing w:w="15" w:type="dxa"/>
                </w:trPr>
                <w:tc>
                  <w:tcPr>
                    <w:tcW w:w="659" w:type="dxa"/>
                    <w:hideMark/>
                  </w:tcPr>
                  <w:p w14:paraId="41724BCD" w14:textId="77777777" w:rsidR="000416A5" w:rsidRDefault="000416A5">
                    <w:pPr>
                      <w:pStyle w:val="Bibliography"/>
                      <w:rPr>
                        <w:noProof/>
                      </w:rPr>
                    </w:pPr>
                    <w:r>
                      <w:rPr>
                        <w:noProof/>
                      </w:rPr>
                      <w:t xml:space="preserve">[41] </w:t>
                    </w:r>
                  </w:p>
                </w:tc>
                <w:tc>
                  <w:tcPr>
                    <w:tcW w:w="8267" w:type="dxa"/>
                    <w:hideMark/>
                  </w:tcPr>
                  <w:p w14:paraId="58D2CC5D" w14:textId="77777777" w:rsidR="000416A5" w:rsidRDefault="000416A5">
                    <w:pPr>
                      <w:pStyle w:val="Bibliography"/>
                      <w:rPr>
                        <w:noProof/>
                      </w:rPr>
                    </w:pPr>
                    <w:r>
                      <w:rPr>
                        <w:noProof/>
                      </w:rPr>
                      <w:t>Defra, “Policy for the Long Term Management of Solid Low Level Radioactive Waste in the UK,” March 2007. [Online]. Available: https://assets.publishing.service.gov.uk/government/uploads/system/uploads/attachment_data/file/254393/Low_level_waste_policy.pdf.</w:t>
                    </w:r>
                  </w:p>
                </w:tc>
              </w:tr>
              <w:tr w:rsidR="000416A5" w14:paraId="1330DAA9" w14:textId="77777777" w:rsidTr="00BE622F">
                <w:trPr>
                  <w:divId w:val="276836238"/>
                  <w:tblCellSpacing w:w="15" w:type="dxa"/>
                </w:trPr>
                <w:tc>
                  <w:tcPr>
                    <w:tcW w:w="659" w:type="dxa"/>
                    <w:hideMark/>
                  </w:tcPr>
                  <w:p w14:paraId="046BA7E8" w14:textId="77777777" w:rsidR="000416A5" w:rsidRDefault="000416A5">
                    <w:pPr>
                      <w:pStyle w:val="Bibliography"/>
                      <w:rPr>
                        <w:noProof/>
                      </w:rPr>
                    </w:pPr>
                    <w:r>
                      <w:rPr>
                        <w:noProof/>
                      </w:rPr>
                      <w:t xml:space="preserve">[42] </w:t>
                    </w:r>
                  </w:p>
                </w:tc>
                <w:tc>
                  <w:tcPr>
                    <w:tcW w:w="8267" w:type="dxa"/>
                    <w:hideMark/>
                  </w:tcPr>
                  <w:p w14:paraId="311524C8" w14:textId="77777777" w:rsidR="000416A5" w:rsidRDefault="000416A5">
                    <w:pPr>
                      <w:pStyle w:val="Bibliography"/>
                      <w:rPr>
                        <w:noProof/>
                      </w:rPr>
                    </w:pPr>
                    <w:r>
                      <w:rPr>
                        <w:noProof/>
                      </w:rPr>
                      <w:t xml:space="preserve">DECC, “UK Strategy for the Management of Solid Low Level Waste from the Nuclear Industry,” February 2016. [Online]. Available: </w:t>
                    </w:r>
                    <w:r>
                      <w:rPr>
                        <w:noProof/>
                      </w:rPr>
                      <w:lastRenderedPageBreak/>
                      <w:t>https://assets.publishing.service.gov.uk/government/uploads/system/uploads/attachment_data/file/497114/NI_LLW_Strategy_Final.pdf.</w:t>
                    </w:r>
                  </w:p>
                </w:tc>
              </w:tr>
              <w:tr w:rsidR="000416A5" w14:paraId="4FC8740B" w14:textId="77777777" w:rsidTr="00BE622F">
                <w:trPr>
                  <w:divId w:val="276836238"/>
                  <w:tblCellSpacing w:w="15" w:type="dxa"/>
                </w:trPr>
                <w:tc>
                  <w:tcPr>
                    <w:tcW w:w="659" w:type="dxa"/>
                    <w:hideMark/>
                  </w:tcPr>
                  <w:p w14:paraId="54413C3E" w14:textId="77777777" w:rsidR="000416A5" w:rsidRDefault="000416A5">
                    <w:pPr>
                      <w:pStyle w:val="Bibliography"/>
                      <w:rPr>
                        <w:noProof/>
                      </w:rPr>
                    </w:pPr>
                    <w:r>
                      <w:rPr>
                        <w:noProof/>
                      </w:rPr>
                      <w:lastRenderedPageBreak/>
                      <w:t xml:space="preserve">[43] </w:t>
                    </w:r>
                  </w:p>
                </w:tc>
                <w:tc>
                  <w:tcPr>
                    <w:tcW w:w="8267" w:type="dxa"/>
                    <w:hideMark/>
                  </w:tcPr>
                  <w:p w14:paraId="65B0EEDD" w14:textId="77777777" w:rsidR="000416A5" w:rsidRDefault="000416A5">
                    <w:pPr>
                      <w:pStyle w:val="Bibliography"/>
                      <w:rPr>
                        <w:noProof/>
                      </w:rPr>
                    </w:pPr>
                    <w:r>
                      <w:rPr>
                        <w:noProof/>
                      </w:rPr>
                      <w:t>BEIS, “UK Strategy for Radioactive Discharges - 2018 Review of the 2009 Strategy,” June 2018. [Online]. Available: https://assets.publishing.service.gov.uk/government/uploads/system/uploads/attachment_data/file/718723/2018Rev2009UKStratRadDischargeFin.pdf.</w:t>
                    </w:r>
                  </w:p>
                </w:tc>
              </w:tr>
              <w:tr w:rsidR="000416A5" w14:paraId="440D223E" w14:textId="77777777" w:rsidTr="00BE622F">
                <w:trPr>
                  <w:divId w:val="276836238"/>
                  <w:tblCellSpacing w:w="15" w:type="dxa"/>
                </w:trPr>
                <w:tc>
                  <w:tcPr>
                    <w:tcW w:w="659" w:type="dxa"/>
                    <w:hideMark/>
                  </w:tcPr>
                  <w:p w14:paraId="5818A914" w14:textId="77777777" w:rsidR="000416A5" w:rsidRDefault="000416A5">
                    <w:pPr>
                      <w:pStyle w:val="Bibliography"/>
                      <w:rPr>
                        <w:noProof/>
                      </w:rPr>
                    </w:pPr>
                    <w:r>
                      <w:rPr>
                        <w:noProof/>
                      </w:rPr>
                      <w:t xml:space="preserve">[44] </w:t>
                    </w:r>
                  </w:p>
                </w:tc>
                <w:tc>
                  <w:tcPr>
                    <w:tcW w:w="8267" w:type="dxa"/>
                    <w:hideMark/>
                  </w:tcPr>
                  <w:p w14:paraId="451B515C" w14:textId="77777777" w:rsidR="000416A5" w:rsidRDefault="000416A5">
                    <w:pPr>
                      <w:pStyle w:val="Bibliography"/>
                      <w:rPr>
                        <w:noProof/>
                      </w:rPr>
                    </w:pPr>
                    <w:r>
                      <w:rPr>
                        <w:noProof/>
                      </w:rPr>
                      <w:t>BEIS, “44. Implementing Geological Disposal – Working with Communities. An updated framework for the long-term management of higher activity radioactive waste,” December 2018. [Online]. Available: https://assets.publishing.service.gov.uk/government/uploads/system/uploads/attachment_data/file/766643/Implementing_Geological_Disposal_-_Working_with_Communities.pdf.</w:t>
                    </w:r>
                  </w:p>
                </w:tc>
              </w:tr>
              <w:tr w:rsidR="000416A5" w14:paraId="01E71594" w14:textId="77777777" w:rsidTr="00BE622F">
                <w:trPr>
                  <w:divId w:val="276836238"/>
                  <w:tblCellSpacing w:w="15" w:type="dxa"/>
                </w:trPr>
                <w:tc>
                  <w:tcPr>
                    <w:tcW w:w="659" w:type="dxa"/>
                    <w:hideMark/>
                  </w:tcPr>
                  <w:p w14:paraId="46E78CF9" w14:textId="77777777" w:rsidR="000416A5" w:rsidRDefault="000416A5">
                    <w:pPr>
                      <w:pStyle w:val="Bibliography"/>
                      <w:rPr>
                        <w:noProof/>
                      </w:rPr>
                    </w:pPr>
                    <w:r>
                      <w:rPr>
                        <w:noProof/>
                      </w:rPr>
                      <w:t xml:space="preserve">[45] </w:t>
                    </w:r>
                  </w:p>
                </w:tc>
                <w:tc>
                  <w:tcPr>
                    <w:tcW w:w="8267" w:type="dxa"/>
                    <w:hideMark/>
                  </w:tcPr>
                  <w:p w14:paraId="3C180E3D" w14:textId="77777777" w:rsidR="000416A5" w:rsidRDefault="000416A5">
                    <w:pPr>
                      <w:pStyle w:val="Bibliography"/>
                      <w:rPr>
                        <w:noProof/>
                      </w:rPr>
                    </w:pPr>
                    <w:r>
                      <w:rPr>
                        <w:noProof/>
                      </w:rPr>
                      <w:t>Welsh Government, “Geological Disposal of Higher Activity Radioactive Waste: Working with Communities,” January 2019. [Online]. Available: https://gov.wales/sites/default/files/publications/2019-04/geological-disposal-of-higher-activity-radioactive-waste-guidance-for-communities.pdf.</w:t>
                    </w:r>
                  </w:p>
                </w:tc>
              </w:tr>
              <w:tr w:rsidR="000416A5" w14:paraId="28934ADD" w14:textId="77777777" w:rsidTr="00BE622F">
                <w:trPr>
                  <w:divId w:val="276836238"/>
                  <w:tblCellSpacing w:w="15" w:type="dxa"/>
                </w:trPr>
                <w:tc>
                  <w:tcPr>
                    <w:tcW w:w="659" w:type="dxa"/>
                    <w:hideMark/>
                  </w:tcPr>
                  <w:p w14:paraId="193372F5" w14:textId="77777777" w:rsidR="000416A5" w:rsidRDefault="000416A5">
                    <w:pPr>
                      <w:pStyle w:val="Bibliography"/>
                      <w:rPr>
                        <w:noProof/>
                      </w:rPr>
                    </w:pPr>
                    <w:r>
                      <w:rPr>
                        <w:noProof/>
                      </w:rPr>
                      <w:t xml:space="preserve">[46] </w:t>
                    </w:r>
                  </w:p>
                </w:tc>
                <w:tc>
                  <w:tcPr>
                    <w:tcW w:w="8267" w:type="dxa"/>
                    <w:hideMark/>
                  </w:tcPr>
                  <w:p w14:paraId="65CDF094" w14:textId="77777777" w:rsidR="000416A5" w:rsidRDefault="000416A5">
                    <w:pPr>
                      <w:pStyle w:val="Bibliography"/>
                      <w:rPr>
                        <w:noProof/>
                      </w:rPr>
                    </w:pPr>
                    <w:r>
                      <w:rPr>
                        <w:noProof/>
                      </w:rPr>
                      <w:t>Scottish Government, “Scotland's higher-activity radioactive waste policy,” January 2011. [Online]. Available: https://www.gov.scot/publications/scotlands-higher-activity-radioactive-waste-policy-2011/.</w:t>
                    </w:r>
                  </w:p>
                </w:tc>
              </w:tr>
              <w:tr w:rsidR="000416A5" w14:paraId="0CDBEDBE" w14:textId="77777777" w:rsidTr="00BE622F">
                <w:trPr>
                  <w:divId w:val="276836238"/>
                  <w:tblCellSpacing w:w="15" w:type="dxa"/>
                </w:trPr>
                <w:tc>
                  <w:tcPr>
                    <w:tcW w:w="659" w:type="dxa"/>
                    <w:hideMark/>
                  </w:tcPr>
                  <w:p w14:paraId="35ABC5BF" w14:textId="77777777" w:rsidR="000416A5" w:rsidRDefault="000416A5">
                    <w:pPr>
                      <w:pStyle w:val="Bibliography"/>
                      <w:rPr>
                        <w:noProof/>
                      </w:rPr>
                    </w:pPr>
                    <w:r>
                      <w:rPr>
                        <w:noProof/>
                      </w:rPr>
                      <w:t xml:space="preserve">[47] </w:t>
                    </w:r>
                  </w:p>
                </w:tc>
                <w:tc>
                  <w:tcPr>
                    <w:tcW w:w="8267" w:type="dxa"/>
                    <w:hideMark/>
                  </w:tcPr>
                  <w:p w14:paraId="19CDF27A" w14:textId="77777777" w:rsidR="000416A5" w:rsidRDefault="000416A5">
                    <w:pPr>
                      <w:pStyle w:val="Bibliography"/>
                      <w:rPr>
                        <w:noProof/>
                      </w:rPr>
                    </w:pPr>
                    <w:r>
                      <w:rPr>
                        <w:noProof/>
                      </w:rPr>
                      <w:t>H.M Government, “Review of Radioactive Waste Management Policy,” 1995. [Online]. Available: https://assets.publishing.service.gov.uk/government/uploads/system/uploads/attachment_data/file/829274/review-radioactive-waste-management-policy-cm2919.pdf.</w:t>
                    </w:r>
                  </w:p>
                </w:tc>
              </w:tr>
              <w:tr w:rsidR="000416A5" w14:paraId="36BD4E27" w14:textId="77777777" w:rsidTr="00BE622F">
                <w:trPr>
                  <w:divId w:val="276836238"/>
                  <w:tblCellSpacing w:w="15" w:type="dxa"/>
                </w:trPr>
                <w:tc>
                  <w:tcPr>
                    <w:tcW w:w="659" w:type="dxa"/>
                    <w:hideMark/>
                  </w:tcPr>
                  <w:p w14:paraId="6C3C4712" w14:textId="77777777" w:rsidR="000416A5" w:rsidRDefault="000416A5">
                    <w:pPr>
                      <w:pStyle w:val="Bibliography"/>
                      <w:rPr>
                        <w:noProof/>
                      </w:rPr>
                    </w:pPr>
                    <w:r>
                      <w:rPr>
                        <w:noProof/>
                      </w:rPr>
                      <w:t xml:space="preserve">[48] </w:t>
                    </w:r>
                  </w:p>
                </w:tc>
                <w:tc>
                  <w:tcPr>
                    <w:tcW w:w="8267" w:type="dxa"/>
                    <w:hideMark/>
                  </w:tcPr>
                  <w:p w14:paraId="5F7F6E74" w14:textId="77777777" w:rsidR="000416A5" w:rsidRDefault="000416A5">
                    <w:pPr>
                      <w:pStyle w:val="Bibliography"/>
                      <w:rPr>
                        <w:noProof/>
                      </w:rPr>
                    </w:pPr>
                    <w:r>
                      <w:rPr>
                        <w:noProof/>
                      </w:rPr>
                      <w:t>Department for Trade and Industry, “Managing the Nuclear Legacy – A Strategy for Action,” July 2002. [Online]. Available: https://webarchive.nationalarchives.gov.uk/ukgwa/+/http:/www.dti.gov.uk/nuclearcleanup/ach/whitepaper.pdf.</w:t>
                    </w:r>
                  </w:p>
                </w:tc>
              </w:tr>
              <w:tr w:rsidR="000416A5" w14:paraId="04E219BF" w14:textId="77777777" w:rsidTr="00BE622F">
                <w:trPr>
                  <w:divId w:val="276836238"/>
                  <w:tblCellSpacing w:w="15" w:type="dxa"/>
                </w:trPr>
                <w:tc>
                  <w:tcPr>
                    <w:tcW w:w="659" w:type="dxa"/>
                    <w:hideMark/>
                  </w:tcPr>
                  <w:p w14:paraId="176C0B3B" w14:textId="77777777" w:rsidR="000416A5" w:rsidRDefault="000416A5">
                    <w:pPr>
                      <w:pStyle w:val="Bibliography"/>
                      <w:rPr>
                        <w:noProof/>
                      </w:rPr>
                    </w:pPr>
                    <w:r>
                      <w:rPr>
                        <w:noProof/>
                      </w:rPr>
                      <w:t xml:space="preserve">[49] </w:t>
                    </w:r>
                  </w:p>
                </w:tc>
                <w:tc>
                  <w:tcPr>
                    <w:tcW w:w="8267" w:type="dxa"/>
                    <w:hideMark/>
                  </w:tcPr>
                  <w:p w14:paraId="26F7A0D7" w14:textId="77777777" w:rsidR="000416A5" w:rsidRDefault="000416A5">
                    <w:pPr>
                      <w:pStyle w:val="Bibliography"/>
                      <w:rPr>
                        <w:noProof/>
                      </w:rPr>
                    </w:pPr>
                    <w:r>
                      <w:rPr>
                        <w:noProof/>
                      </w:rPr>
                      <w:t>H.M Government, “The Decommissioning of the UK Nuclear Industry’s Facilities,” September 2004. [Online]. Available: https://assets.publishing.service.gov.uk/government/uploads/system/uploads/attachment_data/file/361068/The_Decommissioning_of_the_UK_Nuclear_Industrys_Facilities.pdf.</w:t>
                    </w:r>
                  </w:p>
                </w:tc>
              </w:tr>
              <w:tr w:rsidR="000416A5" w14:paraId="7ECA13FB" w14:textId="77777777" w:rsidTr="00BE622F">
                <w:trPr>
                  <w:divId w:val="276836238"/>
                  <w:tblCellSpacing w:w="15" w:type="dxa"/>
                </w:trPr>
                <w:tc>
                  <w:tcPr>
                    <w:tcW w:w="659" w:type="dxa"/>
                    <w:hideMark/>
                  </w:tcPr>
                  <w:p w14:paraId="71026C5B" w14:textId="77777777" w:rsidR="000416A5" w:rsidRDefault="000416A5">
                    <w:pPr>
                      <w:pStyle w:val="Bibliography"/>
                      <w:rPr>
                        <w:noProof/>
                      </w:rPr>
                    </w:pPr>
                    <w:r>
                      <w:rPr>
                        <w:noProof/>
                      </w:rPr>
                      <w:t xml:space="preserve">[50] </w:t>
                    </w:r>
                  </w:p>
                </w:tc>
                <w:tc>
                  <w:tcPr>
                    <w:tcW w:w="8267" w:type="dxa"/>
                    <w:hideMark/>
                  </w:tcPr>
                  <w:p w14:paraId="0503D334" w14:textId="77777777" w:rsidR="000416A5" w:rsidRDefault="000416A5">
                    <w:pPr>
                      <w:pStyle w:val="Bibliography"/>
                      <w:rPr>
                        <w:noProof/>
                      </w:rPr>
                    </w:pPr>
                    <w:r>
                      <w:rPr>
                        <w:noProof/>
                      </w:rPr>
                      <w:t xml:space="preserve">Department for Business, Enterprise and Regulatory Reform, “Meeting the Energy Challenge – A White Paper on Nuclear Power,” January 2008. [Online]. Available: </w:t>
                    </w:r>
                    <w:r>
                      <w:rPr>
                        <w:noProof/>
                      </w:rPr>
                      <w:lastRenderedPageBreak/>
                      <w:t>https://assets.publishing.service.gov.uk/government/uploads/system/uploads/attachment_data/file/228944/7296.pdf.</w:t>
                    </w:r>
                  </w:p>
                </w:tc>
              </w:tr>
              <w:tr w:rsidR="000416A5" w14:paraId="74A87722" w14:textId="77777777" w:rsidTr="00BE622F">
                <w:trPr>
                  <w:divId w:val="276836238"/>
                  <w:tblCellSpacing w:w="15" w:type="dxa"/>
                </w:trPr>
                <w:tc>
                  <w:tcPr>
                    <w:tcW w:w="659" w:type="dxa"/>
                    <w:hideMark/>
                  </w:tcPr>
                  <w:p w14:paraId="296D76D3" w14:textId="77777777" w:rsidR="000416A5" w:rsidRDefault="000416A5">
                    <w:pPr>
                      <w:pStyle w:val="Bibliography"/>
                      <w:rPr>
                        <w:noProof/>
                      </w:rPr>
                    </w:pPr>
                    <w:r>
                      <w:rPr>
                        <w:noProof/>
                      </w:rPr>
                      <w:lastRenderedPageBreak/>
                      <w:t xml:space="preserve">[51] </w:t>
                    </w:r>
                  </w:p>
                </w:tc>
                <w:tc>
                  <w:tcPr>
                    <w:tcW w:w="8267" w:type="dxa"/>
                    <w:hideMark/>
                  </w:tcPr>
                  <w:p w14:paraId="67745331" w14:textId="77777777" w:rsidR="000416A5" w:rsidRDefault="000416A5">
                    <w:pPr>
                      <w:pStyle w:val="Bibliography"/>
                      <w:rPr>
                        <w:noProof/>
                      </w:rPr>
                    </w:pPr>
                    <w:r>
                      <w:rPr>
                        <w:noProof/>
                      </w:rPr>
                      <w:t>H.M Goverment, “The Transboundary Radioactive Contamination (England) Direction 2020,” 2020. [Online]. Available: https://www.legislation.gov.uk/uksi/2016/1154/pdfs/uksiod_20161154_en_001.pdf.</w:t>
                    </w:r>
                  </w:p>
                </w:tc>
              </w:tr>
              <w:tr w:rsidR="000416A5" w14:paraId="20397947" w14:textId="77777777" w:rsidTr="00BE622F">
                <w:trPr>
                  <w:divId w:val="276836238"/>
                  <w:tblCellSpacing w:w="15" w:type="dxa"/>
                </w:trPr>
                <w:tc>
                  <w:tcPr>
                    <w:tcW w:w="659" w:type="dxa"/>
                    <w:hideMark/>
                  </w:tcPr>
                  <w:p w14:paraId="7DEF489C" w14:textId="77777777" w:rsidR="000416A5" w:rsidRDefault="000416A5">
                    <w:pPr>
                      <w:pStyle w:val="Bibliography"/>
                      <w:rPr>
                        <w:noProof/>
                      </w:rPr>
                    </w:pPr>
                    <w:r>
                      <w:rPr>
                        <w:noProof/>
                      </w:rPr>
                      <w:t xml:space="preserve">[52] </w:t>
                    </w:r>
                  </w:p>
                </w:tc>
                <w:tc>
                  <w:tcPr>
                    <w:tcW w:w="8267" w:type="dxa"/>
                    <w:hideMark/>
                  </w:tcPr>
                  <w:p w14:paraId="5FC19336" w14:textId="77777777" w:rsidR="000416A5" w:rsidRDefault="000416A5">
                    <w:pPr>
                      <w:pStyle w:val="Bibliography"/>
                      <w:rPr>
                        <w:noProof/>
                      </w:rPr>
                    </w:pPr>
                    <w:r>
                      <w:rPr>
                        <w:noProof/>
                      </w:rPr>
                      <w:t>Scottish Government, “The Transboundary Radioactive Contamination (Scotland) Direction 2021,” March 2021. [Online]. Available: https://www.gov.scot/publications/the-transboundary-radioactive-contamination-scotland-direction-2021/.</w:t>
                    </w:r>
                  </w:p>
                </w:tc>
              </w:tr>
              <w:tr w:rsidR="000416A5" w14:paraId="4D6796B2" w14:textId="77777777" w:rsidTr="00BE622F">
                <w:trPr>
                  <w:divId w:val="276836238"/>
                  <w:tblCellSpacing w:w="15" w:type="dxa"/>
                </w:trPr>
                <w:tc>
                  <w:tcPr>
                    <w:tcW w:w="659" w:type="dxa"/>
                    <w:hideMark/>
                  </w:tcPr>
                  <w:p w14:paraId="57EE5988" w14:textId="77777777" w:rsidR="000416A5" w:rsidRDefault="000416A5">
                    <w:pPr>
                      <w:pStyle w:val="Bibliography"/>
                      <w:rPr>
                        <w:noProof/>
                      </w:rPr>
                    </w:pPr>
                    <w:r>
                      <w:rPr>
                        <w:noProof/>
                      </w:rPr>
                      <w:t xml:space="preserve">[53] </w:t>
                    </w:r>
                  </w:p>
                </w:tc>
                <w:tc>
                  <w:tcPr>
                    <w:tcW w:w="8267" w:type="dxa"/>
                    <w:hideMark/>
                  </w:tcPr>
                  <w:p w14:paraId="6DED8DD8" w14:textId="77777777" w:rsidR="000416A5" w:rsidRDefault="000416A5">
                    <w:pPr>
                      <w:pStyle w:val="Bibliography"/>
                      <w:rPr>
                        <w:noProof/>
                      </w:rPr>
                    </w:pPr>
                    <w:r>
                      <w:rPr>
                        <w:noProof/>
                      </w:rPr>
                      <w:t>European Council, “Directive 2001/42/EC of the European Parliament and of the Council on the assessments of certain plans and programmes on the environment,” 2001.</w:t>
                    </w:r>
                  </w:p>
                </w:tc>
              </w:tr>
            </w:tbl>
            <w:p w14:paraId="1A0D14FD" w14:textId="77777777" w:rsidR="000416A5" w:rsidRDefault="000416A5">
              <w:pPr>
                <w:divId w:val="276836238"/>
                <w:rPr>
                  <w:rFonts w:eastAsia="Times New Roman"/>
                  <w:noProof/>
                </w:rPr>
              </w:pPr>
            </w:p>
            <w:p w14:paraId="5AC1065A" w14:textId="77777777" w:rsidR="003344B8" w:rsidRDefault="003344B8" w:rsidP="003344B8">
              <w:r>
                <w:rPr>
                  <w:b/>
                  <w:bCs/>
                  <w:noProof/>
                </w:rPr>
                <w:fldChar w:fldCharType="end"/>
              </w:r>
            </w:p>
          </w:sdtContent>
        </w:sdt>
      </w:sdtContent>
    </w:sdt>
    <w:p w14:paraId="5B524F3A" w14:textId="77777777" w:rsidR="008930BB" w:rsidRPr="002050C1" w:rsidRDefault="008930BB" w:rsidP="00DE19A2"/>
    <w:sectPr w:rsidR="008930BB" w:rsidRPr="002050C1" w:rsidSect="00674954">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SAGUAZwB1AGwAYQB0AGkAbwBuACAAcABhAHIAYQ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96B90" w14:textId="77777777" w:rsidR="00946C91" w:rsidRDefault="00946C91" w:rsidP="007D199A">
      <w:pPr>
        <w:spacing w:after="0"/>
      </w:pPr>
      <w:r>
        <w:separator/>
      </w:r>
    </w:p>
    <w:p w14:paraId="32A049A2" w14:textId="77777777" w:rsidR="00946C91" w:rsidRDefault="00946C91"/>
  </w:endnote>
  <w:endnote w:type="continuationSeparator" w:id="0">
    <w:p w14:paraId="02D27AA3" w14:textId="77777777" w:rsidR="00946C91" w:rsidRDefault="00946C91" w:rsidP="007D199A">
      <w:pPr>
        <w:spacing w:after="0"/>
      </w:pPr>
      <w:r>
        <w:continuationSeparator/>
      </w:r>
    </w:p>
    <w:p w14:paraId="5FB77BD5" w14:textId="77777777" w:rsidR="00946C91" w:rsidRDefault="00946C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D9457" w14:textId="77777777" w:rsidR="0049411D" w:rsidRDefault="00494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74D7C" w14:textId="77777777" w:rsidR="0049411D" w:rsidRDefault="004941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D1018" w14:textId="77777777" w:rsidR="00946C91" w:rsidRPr="005E0344" w:rsidRDefault="00946C91" w:rsidP="005E0344">
      <w:pPr>
        <w:spacing w:after="120"/>
        <w:rPr>
          <w:color w:val="000000" w:themeColor="text2"/>
        </w:rPr>
      </w:pPr>
      <w:r w:rsidRPr="005E0344">
        <w:rPr>
          <w:color w:val="000000" w:themeColor="text2"/>
        </w:rPr>
        <w:separator/>
      </w:r>
    </w:p>
  </w:footnote>
  <w:footnote w:type="continuationSeparator" w:id="0">
    <w:p w14:paraId="47A4C9A8" w14:textId="77777777" w:rsidR="00946C91" w:rsidRPr="005E0344" w:rsidRDefault="00946C91" w:rsidP="0090581D">
      <w:pPr>
        <w:spacing w:after="120"/>
        <w:rPr>
          <w:color w:val="000000" w:themeColor="text2"/>
        </w:rPr>
      </w:pPr>
      <w:r w:rsidRPr="005E0344">
        <w:rPr>
          <w:color w:val="000000" w:themeColor="text2"/>
        </w:rPr>
        <w:continuationSeparator/>
      </w:r>
    </w:p>
    <w:p w14:paraId="17D917B6" w14:textId="77777777" w:rsidR="00946C91" w:rsidRDefault="00946C91"/>
  </w:footnote>
  <w:footnote w:type="continuationNotice" w:id="1">
    <w:p w14:paraId="12D8DCB1" w14:textId="77777777" w:rsidR="00946C91" w:rsidRDefault="00946C91">
      <w:pPr>
        <w:spacing w:after="0"/>
      </w:pPr>
    </w:p>
    <w:p w14:paraId="24972F12" w14:textId="77777777" w:rsidR="00946C91" w:rsidRDefault="00946C91"/>
  </w:footnote>
  <w:footnote w:id="2">
    <w:p w14:paraId="3DC3A9F5" w14:textId="77777777" w:rsidR="00364843" w:rsidRPr="00652F10" w:rsidRDefault="00364843" w:rsidP="008B061F">
      <w:pPr>
        <w:rPr>
          <w:sz w:val="22"/>
        </w:rPr>
      </w:pPr>
      <w:r w:rsidRPr="00652F10">
        <w:rPr>
          <w:rStyle w:val="FootnoteReference"/>
          <w:sz w:val="22"/>
        </w:rPr>
        <w:footnoteRef/>
      </w:r>
      <w:r w:rsidRPr="00652F10">
        <w:rPr>
          <w:sz w:val="22"/>
        </w:rPr>
        <w:t xml:space="preserve"> EIADR - Nuclear Reactors (Environmental Impact Assessment for Decommissioning) Regulations 1999, as amended. This term is used generally in the text of this report.</w:t>
      </w:r>
    </w:p>
  </w:footnote>
  <w:footnote w:id="3">
    <w:p w14:paraId="165BF373" w14:textId="77777777" w:rsidR="00364843" w:rsidRPr="00652F10" w:rsidRDefault="00364843" w:rsidP="008B061F">
      <w:pPr>
        <w:pStyle w:val="FootnoteText"/>
        <w:ind w:left="0" w:firstLine="0"/>
        <w:rPr>
          <w:sz w:val="22"/>
          <w:szCs w:val="22"/>
        </w:rPr>
      </w:pPr>
      <w:r w:rsidRPr="00652F10">
        <w:rPr>
          <w:rStyle w:val="FootnoteReference"/>
          <w:sz w:val="22"/>
          <w:szCs w:val="22"/>
        </w:rPr>
        <w:footnoteRef/>
      </w:r>
      <w:r w:rsidRPr="00652F10">
        <w:rPr>
          <w:sz w:val="22"/>
          <w:szCs w:val="22"/>
        </w:rPr>
        <w:t xml:space="preserve"> Nuclear Site Licensee is a corporate body that has been granted a site licence under the Nuclear Installations Act 1965 (as amended).</w:t>
      </w:r>
    </w:p>
    <w:p w14:paraId="60973547" w14:textId="77777777" w:rsidR="00364843" w:rsidRDefault="00364843" w:rsidP="00364843">
      <w:pPr>
        <w:pStyle w:val="FootnoteText"/>
      </w:pPr>
    </w:p>
  </w:footnote>
  <w:footnote w:id="4">
    <w:p w14:paraId="6EC05A93" w14:textId="77777777" w:rsidR="00364843" w:rsidRPr="00034623" w:rsidRDefault="00364843" w:rsidP="008F2043">
      <w:pPr>
        <w:pStyle w:val="FootnoteText"/>
        <w:ind w:left="0" w:firstLine="0"/>
        <w:rPr>
          <w:sz w:val="22"/>
          <w:szCs w:val="22"/>
        </w:rPr>
      </w:pPr>
      <w:r w:rsidRPr="00034623">
        <w:rPr>
          <w:rStyle w:val="FootnoteReference"/>
          <w:sz w:val="22"/>
          <w:szCs w:val="22"/>
        </w:rPr>
        <w:footnoteRef/>
      </w:r>
      <w:r w:rsidRPr="00034623">
        <w:rPr>
          <w:sz w:val="22"/>
          <w:szCs w:val="22"/>
        </w:rPr>
        <w:t xml:space="preserve"> Retained EU law is domestic law created at the end of the EU Exit transition period that consists of any EU-derived legislation that was preserved in the UK domestic legal framework by the European Union (Withdrawal) Act 2018. </w:t>
      </w:r>
    </w:p>
  </w:footnote>
  <w:footnote w:id="5">
    <w:p w14:paraId="29FA0ECB" w14:textId="77777777" w:rsidR="00485A4A" w:rsidRDefault="00485A4A" w:rsidP="00485A4A">
      <w:pPr>
        <w:pStyle w:val="FootnoteText"/>
      </w:pPr>
      <w:r>
        <w:rPr>
          <w:rStyle w:val="FootnoteReference"/>
        </w:rPr>
        <w:footnoteRef/>
      </w:r>
      <w:r>
        <w:t xml:space="preserve"> </w:t>
      </w:r>
      <w:r w:rsidRPr="007D13CB">
        <w:t>Cm. 2073. The Agreement was signed in May 1992 and adjusted by a protocol signed at Brussels on 17th March 1993. The agreement came into force on 1 January 1994.</w:t>
      </w:r>
    </w:p>
  </w:footnote>
  <w:footnote w:id="6">
    <w:p w14:paraId="791648B3" w14:textId="77777777" w:rsidR="00485A4A" w:rsidRDefault="00485A4A" w:rsidP="00485A4A">
      <w:pPr>
        <w:pStyle w:val="FootnoteText"/>
      </w:pPr>
      <w:r>
        <w:rPr>
          <w:rStyle w:val="FootnoteReference"/>
        </w:rPr>
        <w:footnoteRef/>
      </w:r>
      <w:r>
        <w:t xml:space="preserve"> </w:t>
      </w:r>
      <w:r w:rsidRPr="007D13CB">
        <w:t>1965 c. 57; as amended by S.I. 1974/2056 and S.I. 1990/1918.</w:t>
      </w:r>
    </w:p>
  </w:footnote>
  <w:footnote w:id="7">
    <w:p w14:paraId="66EFFBC1" w14:textId="77777777" w:rsidR="00485A4A" w:rsidRDefault="00485A4A" w:rsidP="00485A4A">
      <w:pPr>
        <w:pStyle w:val="FootnoteText"/>
      </w:pPr>
      <w:r>
        <w:rPr>
          <w:rStyle w:val="FootnoteReference"/>
        </w:rPr>
        <w:footnoteRef/>
      </w:r>
      <w:r>
        <w:t xml:space="preserve"> </w:t>
      </w:r>
      <w:r w:rsidRPr="007D13CB">
        <w:t>1990 c. 8.</w:t>
      </w:r>
    </w:p>
  </w:footnote>
  <w:footnote w:id="8">
    <w:p w14:paraId="1F99F75A" w14:textId="77777777" w:rsidR="00485A4A" w:rsidRDefault="00485A4A" w:rsidP="00485A4A">
      <w:pPr>
        <w:pStyle w:val="FootnoteText"/>
      </w:pPr>
      <w:r>
        <w:rPr>
          <w:rStyle w:val="FootnoteReference"/>
        </w:rPr>
        <w:footnoteRef/>
      </w:r>
      <w:r>
        <w:t xml:space="preserve"> </w:t>
      </w:r>
      <w:r w:rsidRPr="007D13CB">
        <w:t>1997 c. 8.</w:t>
      </w:r>
    </w:p>
  </w:footnote>
  <w:footnote w:id="9">
    <w:p w14:paraId="38127534" w14:textId="77777777" w:rsidR="00B96988" w:rsidRDefault="00B96988" w:rsidP="008F2043">
      <w:pPr>
        <w:pStyle w:val="FootnoteText"/>
        <w:ind w:left="0" w:firstLine="0"/>
      </w:pPr>
      <w:r>
        <w:rPr>
          <w:rStyle w:val="FootnoteReference"/>
        </w:rPr>
        <w:footnoteRef/>
      </w:r>
      <w:r>
        <w:t xml:space="preserve"> Council Directive 92/43/EEC on the conservation of natural habitats of wild fauna and flora – the ‘Habitats Directive’</w:t>
      </w:r>
    </w:p>
  </w:footnote>
  <w:footnote w:id="10">
    <w:p w14:paraId="7472E56F" w14:textId="77777777" w:rsidR="0092209D" w:rsidRPr="002E24C8" w:rsidRDefault="0092209D" w:rsidP="00484EEC">
      <w:pPr>
        <w:pStyle w:val="FootnoteText"/>
        <w:ind w:left="0" w:firstLine="0"/>
        <w:rPr>
          <w:sz w:val="22"/>
          <w:szCs w:val="22"/>
        </w:rPr>
      </w:pPr>
      <w:r w:rsidRPr="002E24C8">
        <w:rPr>
          <w:rStyle w:val="FootnoteReference"/>
          <w:sz w:val="22"/>
          <w:szCs w:val="22"/>
        </w:rPr>
        <w:footnoteRef/>
      </w:r>
      <w:r w:rsidRPr="002E24C8">
        <w:rPr>
          <w:sz w:val="22"/>
          <w:szCs w:val="22"/>
        </w:rPr>
        <w:t xml:space="preserve"> Areas which support certain endangered, rare or vulnerable species (found in Annex 1 of the Directive) or regularly occurring migratory birds of European importance can be designated as SPAs under the European Communities Council Directive on the Conservation of Wild Birds (2009/147/EC), commonly referred to as the Birds Directive.</w:t>
      </w:r>
    </w:p>
  </w:footnote>
  <w:footnote w:id="11">
    <w:p w14:paraId="76D8CC08" w14:textId="77777777" w:rsidR="0092209D" w:rsidRDefault="0092209D" w:rsidP="00484EEC">
      <w:pPr>
        <w:pStyle w:val="FootnoteText"/>
        <w:ind w:left="0" w:firstLine="0"/>
      </w:pPr>
      <w:r w:rsidRPr="002E24C8">
        <w:rPr>
          <w:rStyle w:val="FootnoteReference"/>
          <w:sz w:val="22"/>
          <w:szCs w:val="22"/>
        </w:rPr>
        <w:footnoteRef/>
      </w:r>
      <w:r w:rsidRPr="002E24C8">
        <w:rPr>
          <w:sz w:val="22"/>
          <w:szCs w:val="22"/>
        </w:rPr>
        <w:t xml:space="preserve"> Areas containing rare or vulnerable habitats or species, which are of European Union interest, can be designated as Special Areas of Conservation (SACs) under the Habitats Directive (92/43/EEC as amended by 97/62/EC). Prior to being ratified by the European Commission, these areas are referred to as candidate SACs (cSACs).</w:t>
      </w:r>
    </w:p>
  </w:footnote>
  <w:footnote w:id="12">
    <w:p w14:paraId="761840B8" w14:textId="77777777" w:rsidR="0092209D" w:rsidRDefault="0092209D" w:rsidP="00484EEC">
      <w:pPr>
        <w:pStyle w:val="FootnoteText"/>
        <w:ind w:left="0" w:firstLine="0"/>
      </w:pPr>
      <w:r>
        <w:rPr>
          <w:rStyle w:val="FootnoteReference"/>
        </w:rPr>
        <w:footnoteRef/>
      </w:r>
      <w:r>
        <w:t xml:space="preserve"> </w:t>
      </w:r>
      <w:r w:rsidRPr="00E623B4">
        <w:t>Natura 2000 is a European network of protected sites which include two types of areas, Special Protection Areas (SPAs) and Special Areas of Conservations (SACs).</w:t>
      </w:r>
    </w:p>
  </w:footnote>
  <w:footnote w:id="13">
    <w:p w14:paraId="41C3C88C" w14:textId="77777777" w:rsidR="00096D6D" w:rsidRPr="00051019" w:rsidRDefault="00096D6D" w:rsidP="00096D6D">
      <w:pPr>
        <w:pStyle w:val="FootnoteText"/>
        <w:rPr>
          <w:sz w:val="22"/>
          <w:szCs w:val="22"/>
        </w:rPr>
      </w:pPr>
      <w:r w:rsidRPr="00051019">
        <w:rPr>
          <w:sz w:val="22"/>
          <w:szCs w:val="22"/>
          <w:vertAlign w:val="superscript"/>
        </w:rPr>
        <w:footnoteRef/>
      </w:r>
      <w:r w:rsidRPr="00051019">
        <w:rPr>
          <w:sz w:val="22"/>
          <w:szCs w:val="22"/>
          <w:vertAlign w:val="superscript"/>
        </w:rPr>
        <w:t xml:space="preserve"> </w:t>
      </w:r>
      <w:r w:rsidRPr="00051019">
        <w:rPr>
          <w:sz w:val="22"/>
          <w:szCs w:val="22"/>
        </w:rPr>
        <w:t>OJ No L 197, 24.7.2012, p. 1.</w:t>
      </w:r>
    </w:p>
  </w:footnote>
  <w:footnote w:id="14">
    <w:p w14:paraId="0EF1689F" w14:textId="77777777" w:rsidR="00096D6D" w:rsidRPr="00051019" w:rsidRDefault="00096D6D" w:rsidP="00096D6D">
      <w:pPr>
        <w:pStyle w:val="FootnoteText"/>
        <w:rPr>
          <w:sz w:val="22"/>
          <w:szCs w:val="22"/>
        </w:rPr>
      </w:pPr>
      <w:r w:rsidRPr="00051019">
        <w:rPr>
          <w:rStyle w:val="FootnoteReference"/>
          <w:sz w:val="22"/>
          <w:szCs w:val="22"/>
        </w:rPr>
        <w:footnoteRef/>
      </w:r>
      <w:r w:rsidRPr="00051019">
        <w:rPr>
          <w:sz w:val="22"/>
          <w:szCs w:val="22"/>
        </w:rPr>
        <w:t xml:space="preserve"> OJ No L 172, 2.7.2009, p. 18.</w:t>
      </w:r>
    </w:p>
  </w:footnote>
  <w:footnote w:id="15">
    <w:p w14:paraId="5E47535B" w14:textId="77777777" w:rsidR="00096D6D" w:rsidRDefault="00096D6D" w:rsidP="00096D6D">
      <w:pPr>
        <w:pStyle w:val="FootnoteText"/>
      </w:pPr>
      <w:r w:rsidRPr="00051019">
        <w:rPr>
          <w:rStyle w:val="FootnoteReference"/>
          <w:sz w:val="22"/>
          <w:szCs w:val="22"/>
        </w:rPr>
        <w:footnoteRef/>
      </w:r>
      <w:r w:rsidRPr="00051019">
        <w:rPr>
          <w:sz w:val="22"/>
          <w:szCs w:val="22"/>
        </w:rPr>
        <w:t xml:space="preserve"> OJ No L 219, 25.7.2014, p.42.</w:t>
      </w:r>
    </w:p>
  </w:footnote>
  <w:footnote w:id="16">
    <w:p w14:paraId="2F056BA6" w14:textId="77777777" w:rsidR="00884BD0" w:rsidRPr="00051019" w:rsidRDefault="00884BD0" w:rsidP="00884BD0">
      <w:pPr>
        <w:pStyle w:val="FootnoteText"/>
        <w:rPr>
          <w:sz w:val="22"/>
          <w:szCs w:val="22"/>
        </w:rPr>
      </w:pPr>
      <w:r w:rsidRPr="00051019">
        <w:rPr>
          <w:rStyle w:val="FootnoteReference"/>
          <w:sz w:val="22"/>
          <w:szCs w:val="22"/>
        </w:rPr>
        <w:footnoteRef/>
      </w:r>
      <w:r w:rsidRPr="00051019">
        <w:rPr>
          <w:sz w:val="22"/>
          <w:szCs w:val="22"/>
        </w:rPr>
        <w:tab/>
        <w:t>S.I. 2017/571, to which there are amendments not relevant to these Regulations.</w:t>
      </w:r>
    </w:p>
  </w:footnote>
  <w:footnote w:id="17">
    <w:p w14:paraId="4F6F2A4E" w14:textId="77777777" w:rsidR="002968C1" w:rsidRDefault="002968C1" w:rsidP="002968C1">
      <w:pPr>
        <w:pStyle w:val="FootnoteText"/>
      </w:pPr>
      <w:r w:rsidRPr="00051019">
        <w:rPr>
          <w:rStyle w:val="FootnoteReference"/>
          <w:sz w:val="22"/>
          <w:szCs w:val="22"/>
        </w:rPr>
        <w:footnoteRef/>
      </w:r>
      <w:r w:rsidRPr="00051019">
        <w:rPr>
          <w:sz w:val="22"/>
          <w:szCs w:val="22"/>
        </w:rPr>
        <w:tab/>
        <w:t>S.I. 2017/572, to which there are amendments not relevant to these Regulations.</w:t>
      </w:r>
    </w:p>
  </w:footnote>
  <w:footnote w:id="18">
    <w:p w14:paraId="15AC64BA" w14:textId="77777777" w:rsidR="00364843" w:rsidRDefault="00364843" w:rsidP="00696645">
      <w:pPr>
        <w:pStyle w:val="FootnoteText"/>
        <w:ind w:left="0" w:firstLine="0"/>
      </w:pPr>
      <w:r w:rsidRPr="00696645">
        <w:rPr>
          <w:rStyle w:val="FootnoteReference"/>
          <w:sz w:val="22"/>
          <w:szCs w:val="22"/>
        </w:rPr>
        <w:footnoteRef/>
      </w:r>
      <w:r w:rsidRPr="00696645">
        <w:rPr>
          <w:sz w:val="22"/>
          <w:szCs w:val="22"/>
        </w:rPr>
        <w:t xml:space="preserve"> This is implemented in the UK via the Transboundary Radioactive Contamination (England) Direction 2020, and the Transboundary Radioactive Contamination (Scotland) Direction 2021. The equivalent direction for Wales is yet to be published.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A53F" w14:textId="77777777" w:rsidR="0049411D" w:rsidRDefault="004941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88F6" w14:textId="77777777" w:rsidR="0049411D" w:rsidRDefault="004941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Pr="00F17B56" w:rsidRDefault="00CE6198" w:rsidP="00F17B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CF394AC" w:rsidR="00177666" w:rsidRPr="003A7E1C" w:rsidRDefault="00E90276"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8B061F">
          <w:rPr>
            <w:sz w:val="20"/>
            <w:szCs w:val="24"/>
          </w:rPr>
          <w:t>Guidance on the Nuclear Reactors (Environmental Impact Assessment for Decommissioning) Regulations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B061F">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B4C"/>
    <w:multiLevelType w:val="hybridMultilevel"/>
    <w:tmpl w:val="51B4D57A"/>
    <w:lvl w:ilvl="0" w:tplc="0809001B">
      <w:start w:val="1"/>
      <w:numFmt w:val="lowerRoman"/>
      <w:lvlText w:val="%1."/>
      <w:lvlJc w:val="righ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 w15:restartNumberingAfterBreak="0">
    <w:nsid w:val="01E3116B"/>
    <w:multiLevelType w:val="hybridMultilevel"/>
    <w:tmpl w:val="BC0457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1E854D6"/>
    <w:multiLevelType w:val="hybridMultilevel"/>
    <w:tmpl w:val="89DE93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FA0E34"/>
    <w:multiLevelType w:val="hybridMultilevel"/>
    <w:tmpl w:val="0A7449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3C83D9E"/>
    <w:multiLevelType w:val="hybridMultilevel"/>
    <w:tmpl w:val="65DADD7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F739A3"/>
    <w:multiLevelType w:val="hybridMultilevel"/>
    <w:tmpl w:val="EB2818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4585A36"/>
    <w:multiLevelType w:val="hybridMultilevel"/>
    <w:tmpl w:val="08ECA46A"/>
    <w:lvl w:ilvl="0" w:tplc="08090017">
      <w:start w:val="1"/>
      <w:numFmt w:val="lowerLetter"/>
      <w:lvlText w:val="%1)"/>
      <w:lvlJc w:val="left"/>
      <w:pPr>
        <w:ind w:left="442" w:hanging="360"/>
      </w:pPr>
    </w:lvl>
    <w:lvl w:ilvl="1" w:tplc="08090019" w:tentative="1">
      <w:start w:val="1"/>
      <w:numFmt w:val="lowerLetter"/>
      <w:lvlText w:val="%2."/>
      <w:lvlJc w:val="left"/>
      <w:pPr>
        <w:ind w:left="1162" w:hanging="360"/>
      </w:pPr>
    </w:lvl>
    <w:lvl w:ilvl="2" w:tplc="0809001B" w:tentative="1">
      <w:start w:val="1"/>
      <w:numFmt w:val="lowerRoman"/>
      <w:lvlText w:val="%3."/>
      <w:lvlJc w:val="right"/>
      <w:pPr>
        <w:ind w:left="1882" w:hanging="180"/>
      </w:pPr>
    </w:lvl>
    <w:lvl w:ilvl="3" w:tplc="0809000F" w:tentative="1">
      <w:start w:val="1"/>
      <w:numFmt w:val="decimal"/>
      <w:lvlText w:val="%4."/>
      <w:lvlJc w:val="left"/>
      <w:pPr>
        <w:ind w:left="2602" w:hanging="360"/>
      </w:pPr>
    </w:lvl>
    <w:lvl w:ilvl="4" w:tplc="08090019" w:tentative="1">
      <w:start w:val="1"/>
      <w:numFmt w:val="lowerLetter"/>
      <w:lvlText w:val="%5."/>
      <w:lvlJc w:val="left"/>
      <w:pPr>
        <w:ind w:left="3322" w:hanging="360"/>
      </w:pPr>
    </w:lvl>
    <w:lvl w:ilvl="5" w:tplc="0809001B" w:tentative="1">
      <w:start w:val="1"/>
      <w:numFmt w:val="lowerRoman"/>
      <w:lvlText w:val="%6."/>
      <w:lvlJc w:val="right"/>
      <w:pPr>
        <w:ind w:left="4042" w:hanging="180"/>
      </w:pPr>
    </w:lvl>
    <w:lvl w:ilvl="6" w:tplc="0809000F" w:tentative="1">
      <w:start w:val="1"/>
      <w:numFmt w:val="decimal"/>
      <w:lvlText w:val="%7."/>
      <w:lvlJc w:val="left"/>
      <w:pPr>
        <w:ind w:left="4762" w:hanging="360"/>
      </w:pPr>
    </w:lvl>
    <w:lvl w:ilvl="7" w:tplc="08090019" w:tentative="1">
      <w:start w:val="1"/>
      <w:numFmt w:val="lowerLetter"/>
      <w:lvlText w:val="%8."/>
      <w:lvlJc w:val="left"/>
      <w:pPr>
        <w:ind w:left="5482" w:hanging="360"/>
      </w:pPr>
    </w:lvl>
    <w:lvl w:ilvl="8" w:tplc="0809001B" w:tentative="1">
      <w:start w:val="1"/>
      <w:numFmt w:val="lowerRoman"/>
      <w:lvlText w:val="%9."/>
      <w:lvlJc w:val="right"/>
      <w:pPr>
        <w:ind w:left="6202" w:hanging="180"/>
      </w:pPr>
    </w:lvl>
  </w:abstractNum>
  <w:abstractNum w:abstractNumId="7" w15:restartNumberingAfterBreak="0">
    <w:nsid w:val="05762508"/>
    <w:multiLevelType w:val="hybridMultilevel"/>
    <w:tmpl w:val="3E5CE3C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6B45025"/>
    <w:multiLevelType w:val="hybridMultilevel"/>
    <w:tmpl w:val="6A7C8F8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6D832C9"/>
    <w:multiLevelType w:val="hybridMultilevel"/>
    <w:tmpl w:val="F19EED6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72C6223"/>
    <w:multiLevelType w:val="hybridMultilevel"/>
    <w:tmpl w:val="2C4CAEB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92B63D8"/>
    <w:multiLevelType w:val="hybridMultilevel"/>
    <w:tmpl w:val="EEC8F87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99017A9"/>
    <w:multiLevelType w:val="hybridMultilevel"/>
    <w:tmpl w:val="A9C8FD64"/>
    <w:lvl w:ilvl="0" w:tplc="404ADF58">
      <w:start w:val="1"/>
      <w:numFmt w:val="lowerLetter"/>
      <w:lvlText w:val="%1)"/>
      <w:lvlJc w:val="left"/>
      <w:pPr>
        <w:ind w:left="1080" w:hanging="360"/>
      </w:pPr>
      <w:rPr>
        <w:rFonts w:hint="default"/>
      </w:rPr>
    </w:lvl>
    <w:lvl w:ilvl="1" w:tplc="36F488D2">
      <w:start w:val="1"/>
      <w:numFmt w:val="decimal"/>
      <w:lvlText w:val="%2."/>
      <w:lvlJc w:val="left"/>
      <w:pPr>
        <w:ind w:left="720" w:hanging="720"/>
      </w:pPr>
      <w:rPr>
        <w:rFonts w:hint="default"/>
      </w:rPr>
    </w:lvl>
    <w:lvl w:ilvl="2" w:tplc="7AEA0510">
      <w:start w:val="1"/>
      <w:numFmt w:val="decimal"/>
      <w:lvlText w:val="%3)"/>
      <w:lvlJc w:val="left"/>
      <w:pPr>
        <w:ind w:left="36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BCC40C0"/>
    <w:multiLevelType w:val="hybridMultilevel"/>
    <w:tmpl w:val="2FCC33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CF076B5"/>
    <w:multiLevelType w:val="hybridMultilevel"/>
    <w:tmpl w:val="C8B8D7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241936"/>
    <w:multiLevelType w:val="hybridMultilevel"/>
    <w:tmpl w:val="1644A9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3C0803"/>
    <w:multiLevelType w:val="hybridMultilevel"/>
    <w:tmpl w:val="FD6E13D8"/>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7" w15:restartNumberingAfterBreak="0">
    <w:nsid w:val="104717DB"/>
    <w:multiLevelType w:val="hybridMultilevel"/>
    <w:tmpl w:val="F19EED6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0D85E9A"/>
    <w:multiLevelType w:val="hybridMultilevel"/>
    <w:tmpl w:val="E93C384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24B074E"/>
    <w:multiLevelType w:val="hybridMultilevel"/>
    <w:tmpl w:val="F0069A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14290B86"/>
    <w:multiLevelType w:val="hybridMultilevel"/>
    <w:tmpl w:val="46FEEB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6771218"/>
    <w:multiLevelType w:val="hybridMultilevel"/>
    <w:tmpl w:val="8DD4A43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7DF7611"/>
    <w:multiLevelType w:val="hybridMultilevel"/>
    <w:tmpl w:val="F96C34C0"/>
    <w:lvl w:ilvl="0" w:tplc="00FE5D46">
      <w:start w:val="1"/>
      <w:numFmt w:val="lowerLetter"/>
      <w:lvlText w:val="%1)"/>
      <w:lvlJc w:val="left"/>
      <w:pPr>
        <w:ind w:left="395" w:hanging="360"/>
      </w:pPr>
      <w:rPr>
        <w:rFonts w:ascii="Arial" w:eastAsiaTheme="minorHAnsi" w:hAnsi="Arial" w:cs="Arial"/>
      </w:rPr>
    </w:lvl>
    <w:lvl w:ilvl="1" w:tplc="08090019" w:tentative="1">
      <w:start w:val="1"/>
      <w:numFmt w:val="lowerLetter"/>
      <w:lvlText w:val="%2."/>
      <w:lvlJc w:val="left"/>
      <w:pPr>
        <w:ind w:left="1115" w:hanging="360"/>
      </w:pPr>
    </w:lvl>
    <w:lvl w:ilvl="2" w:tplc="0809001B" w:tentative="1">
      <w:start w:val="1"/>
      <w:numFmt w:val="lowerRoman"/>
      <w:lvlText w:val="%3."/>
      <w:lvlJc w:val="right"/>
      <w:pPr>
        <w:ind w:left="1835" w:hanging="180"/>
      </w:pPr>
    </w:lvl>
    <w:lvl w:ilvl="3" w:tplc="0809000F" w:tentative="1">
      <w:start w:val="1"/>
      <w:numFmt w:val="decimal"/>
      <w:lvlText w:val="%4."/>
      <w:lvlJc w:val="left"/>
      <w:pPr>
        <w:ind w:left="2555" w:hanging="360"/>
      </w:pPr>
    </w:lvl>
    <w:lvl w:ilvl="4" w:tplc="08090019" w:tentative="1">
      <w:start w:val="1"/>
      <w:numFmt w:val="lowerLetter"/>
      <w:lvlText w:val="%5."/>
      <w:lvlJc w:val="left"/>
      <w:pPr>
        <w:ind w:left="3275" w:hanging="360"/>
      </w:pPr>
    </w:lvl>
    <w:lvl w:ilvl="5" w:tplc="0809001B" w:tentative="1">
      <w:start w:val="1"/>
      <w:numFmt w:val="lowerRoman"/>
      <w:lvlText w:val="%6."/>
      <w:lvlJc w:val="right"/>
      <w:pPr>
        <w:ind w:left="3995" w:hanging="180"/>
      </w:pPr>
    </w:lvl>
    <w:lvl w:ilvl="6" w:tplc="0809000F" w:tentative="1">
      <w:start w:val="1"/>
      <w:numFmt w:val="decimal"/>
      <w:lvlText w:val="%7."/>
      <w:lvlJc w:val="left"/>
      <w:pPr>
        <w:ind w:left="4715" w:hanging="360"/>
      </w:pPr>
    </w:lvl>
    <w:lvl w:ilvl="7" w:tplc="08090019" w:tentative="1">
      <w:start w:val="1"/>
      <w:numFmt w:val="lowerLetter"/>
      <w:lvlText w:val="%8."/>
      <w:lvlJc w:val="left"/>
      <w:pPr>
        <w:ind w:left="5435" w:hanging="360"/>
      </w:pPr>
    </w:lvl>
    <w:lvl w:ilvl="8" w:tplc="0809001B" w:tentative="1">
      <w:start w:val="1"/>
      <w:numFmt w:val="lowerRoman"/>
      <w:lvlText w:val="%9."/>
      <w:lvlJc w:val="right"/>
      <w:pPr>
        <w:ind w:left="6155" w:hanging="180"/>
      </w:pPr>
    </w:lvl>
  </w:abstractNum>
  <w:abstractNum w:abstractNumId="23" w15:restartNumberingAfterBreak="0">
    <w:nsid w:val="18483519"/>
    <w:multiLevelType w:val="hybridMultilevel"/>
    <w:tmpl w:val="829C23D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982498D"/>
    <w:multiLevelType w:val="hybridMultilevel"/>
    <w:tmpl w:val="674682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9F8047B"/>
    <w:multiLevelType w:val="hybridMultilevel"/>
    <w:tmpl w:val="5AEA1BB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A600D2D"/>
    <w:multiLevelType w:val="hybridMultilevel"/>
    <w:tmpl w:val="36908BB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B3F71E4"/>
    <w:multiLevelType w:val="hybridMultilevel"/>
    <w:tmpl w:val="24A2D8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1C4957C8"/>
    <w:multiLevelType w:val="hybridMultilevel"/>
    <w:tmpl w:val="D902E0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1C824C44"/>
    <w:multiLevelType w:val="hybridMultilevel"/>
    <w:tmpl w:val="12FCD4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D39595D"/>
    <w:multiLevelType w:val="hybridMultilevel"/>
    <w:tmpl w:val="BEBA5946"/>
    <w:lvl w:ilvl="0" w:tplc="FF2C05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D806EBB"/>
    <w:multiLevelType w:val="hybridMultilevel"/>
    <w:tmpl w:val="719272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1D8B25C4"/>
    <w:multiLevelType w:val="hybridMultilevel"/>
    <w:tmpl w:val="A2066A6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1DAE548B"/>
    <w:multiLevelType w:val="hybridMultilevel"/>
    <w:tmpl w:val="5B9AB3A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1F554770"/>
    <w:multiLevelType w:val="hybridMultilevel"/>
    <w:tmpl w:val="D2CA241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20C853E9"/>
    <w:multiLevelType w:val="hybridMultilevel"/>
    <w:tmpl w:val="2BCA51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0E814B5"/>
    <w:multiLevelType w:val="hybridMultilevel"/>
    <w:tmpl w:val="8004B92C"/>
    <w:lvl w:ilvl="0" w:tplc="404ADF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22B77D11"/>
    <w:multiLevelType w:val="hybridMultilevel"/>
    <w:tmpl w:val="C4DA8EE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23287101"/>
    <w:multiLevelType w:val="hybridMultilevel"/>
    <w:tmpl w:val="8850FB24"/>
    <w:lvl w:ilvl="0" w:tplc="448868E4">
      <w:start w:val="1"/>
      <w:numFmt w:val="lowerLetter"/>
      <w:lvlText w:val="%1)"/>
      <w:lvlJc w:val="left"/>
      <w:pPr>
        <w:ind w:left="502" w:hanging="360"/>
      </w:pPr>
      <w:rPr>
        <w:color w:val="auto"/>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9" w15:restartNumberingAfterBreak="0">
    <w:nsid w:val="23CE600C"/>
    <w:multiLevelType w:val="hybridMultilevel"/>
    <w:tmpl w:val="6B68EBF6"/>
    <w:lvl w:ilvl="0" w:tplc="CBD08B6E">
      <w:start w:val="1"/>
      <w:numFmt w:val="lowerRoman"/>
      <w:lvlText w:val="%1)"/>
      <w:lvlJc w:val="left"/>
      <w:pPr>
        <w:ind w:left="2160" w:hanging="720"/>
      </w:pPr>
      <w:rPr>
        <w:rFonts w:hint="default"/>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267215D8"/>
    <w:multiLevelType w:val="hybridMultilevel"/>
    <w:tmpl w:val="8116946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27F47EEE"/>
    <w:multiLevelType w:val="hybridMultilevel"/>
    <w:tmpl w:val="8DD4A43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28272A27"/>
    <w:multiLevelType w:val="hybridMultilevel"/>
    <w:tmpl w:val="A27290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96951DE"/>
    <w:multiLevelType w:val="hybridMultilevel"/>
    <w:tmpl w:val="6422E8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A483E23"/>
    <w:multiLevelType w:val="hybridMultilevel"/>
    <w:tmpl w:val="E81E48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2A5D6DE0"/>
    <w:multiLevelType w:val="hybridMultilevel"/>
    <w:tmpl w:val="E80E211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2B5F242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2C614AB1"/>
    <w:multiLevelType w:val="hybridMultilevel"/>
    <w:tmpl w:val="84E4C0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DE27DB6"/>
    <w:multiLevelType w:val="hybridMultilevel"/>
    <w:tmpl w:val="26F00DC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2EFE78FB"/>
    <w:multiLevelType w:val="hybridMultilevel"/>
    <w:tmpl w:val="DBDC3F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17D37D8"/>
    <w:multiLevelType w:val="hybridMultilevel"/>
    <w:tmpl w:val="8850FB24"/>
    <w:lvl w:ilvl="0" w:tplc="448868E4">
      <w:start w:val="1"/>
      <w:numFmt w:val="lowerLetter"/>
      <w:lvlText w:val="%1)"/>
      <w:lvlJc w:val="left"/>
      <w:pPr>
        <w:ind w:left="502" w:hanging="360"/>
      </w:pPr>
      <w:rPr>
        <w:color w:val="auto"/>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2" w15:restartNumberingAfterBreak="0">
    <w:nsid w:val="31925942"/>
    <w:multiLevelType w:val="hybridMultilevel"/>
    <w:tmpl w:val="19D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339650AF"/>
    <w:multiLevelType w:val="hybridMultilevel"/>
    <w:tmpl w:val="29028E0C"/>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4" w15:restartNumberingAfterBreak="0">
    <w:nsid w:val="33EE7FF9"/>
    <w:multiLevelType w:val="hybridMultilevel"/>
    <w:tmpl w:val="FD6E13D8"/>
    <w:lvl w:ilvl="0" w:tplc="6E505D4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5" w15:restartNumberingAfterBreak="0">
    <w:nsid w:val="340D0A4D"/>
    <w:multiLevelType w:val="hybridMultilevel"/>
    <w:tmpl w:val="A2066A6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349448F0"/>
    <w:multiLevelType w:val="hybridMultilevel"/>
    <w:tmpl w:val="CBA4E9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59F552E"/>
    <w:multiLevelType w:val="hybridMultilevel"/>
    <w:tmpl w:val="361659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370E51F4"/>
    <w:multiLevelType w:val="hybridMultilevel"/>
    <w:tmpl w:val="67D4B04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38567BEB"/>
    <w:multiLevelType w:val="hybridMultilevel"/>
    <w:tmpl w:val="58AC1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8665DE4"/>
    <w:multiLevelType w:val="hybridMultilevel"/>
    <w:tmpl w:val="FDC2A2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87C3CD3"/>
    <w:multiLevelType w:val="hybridMultilevel"/>
    <w:tmpl w:val="2142647C"/>
    <w:lvl w:ilvl="0" w:tplc="834A0FFC">
      <w:start w:val="1"/>
      <w:numFmt w:val="lowerLetter"/>
      <w:lvlText w:val="%1)"/>
      <w:lvlJc w:val="left"/>
      <w:pPr>
        <w:ind w:left="360" w:hanging="360"/>
      </w:pPr>
      <w:rPr>
        <w:rFonts w:ascii="Arial" w:eastAsiaTheme="minorHAns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AEE7123"/>
    <w:multiLevelType w:val="hybridMultilevel"/>
    <w:tmpl w:val="91FC14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AFC1400"/>
    <w:multiLevelType w:val="hybridMultilevel"/>
    <w:tmpl w:val="08E69E12"/>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4" w15:restartNumberingAfterBreak="0">
    <w:nsid w:val="3DF06B80"/>
    <w:multiLevelType w:val="hybridMultilevel"/>
    <w:tmpl w:val="95D8114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3E231813"/>
    <w:multiLevelType w:val="hybridMultilevel"/>
    <w:tmpl w:val="8E8C3CC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3E5A4110"/>
    <w:multiLevelType w:val="hybridMultilevel"/>
    <w:tmpl w:val="9BE654F6"/>
    <w:lvl w:ilvl="0" w:tplc="FD6A4FD0">
      <w:start w:val="1"/>
      <w:numFmt w:val="lowerLetter"/>
      <w:lvlText w:val="%1)"/>
      <w:lvlJc w:val="left"/>
      <w:pPr>
        <w:ind w:left="468" w:hanging="360"/>
      </w:pPr>
      <w:rPr>
        <w:color w:val="auto"/>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67" w15:restartNumberingAfterBreak="0">
    <w:nsid w:val="3E836B34"/>
    <w:multiLevelType w:val="hybridMultilevel"/>
    <w:tmpl w:val="51B4D57A"/>
    <w:lvl w:ilvl="0" w:tplc="0809001B">
      <w:start w:val="1"/>
      <w:numFmt w:val="lowerRoman"/>
      <w:lvlText w:val="%1."/>
      <w:lvlJc w:val="righ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68" w15:restartNumberingAfterBreak="0">
    <w:nsid w:val="3F4C7A31"/>
    <w:multiLevelType w:val="hybridMultilevel"/>
    <w:tmpl w:val="C5A254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F555EBE"/>
    <w:multiLevelType w:val="hybridMultilevel"/>
    <w:tmpl w:val="B9B6FBF8"/>
    <w:lvl w:ilvl="0" w:tplc="8D929C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F8C19CF"/>
    <w:multiLevelType w:val="hybridMultilevel"/>
    <w:tmpl w:val="694638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FED2E5B"/>
    <w:multiLevelType w:val="hybridMultilevel"/>
    <w:tmpl w:val="C20828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0CE540D"/>
    <w:multiLevelType w:val="hybridMultilevel"/>
    <w:tmpl w:val="6C3EDE0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412A1943"/>
    <w:multiLevelType w:val="hybridMultilevel"/>
    <w:tmpl w:val="F19EED6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41A9445A"/>
    <w:multiLevelType w:val="hybridMultilevel"/>
    <w:tmpl w:val="5B9AB3A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42736B12"/>
    <w:multiLevelType w:val="hybridMultilevel"/>
    <w:tmpl w:val="A886A68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4291699E"/>
    <w:multiLevelType w:val="hybridMultilevel"/>
    <w:tmpl w:val="C142BD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141086"/>
    <w:multiLevelType w:val="hybridMultilevel"/>
    <w:tmpl w:val="95D8114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44233C3C"/>
    <w:multiLevelType w:val="hybridMultilevel"/>
    <w:tmpl w:val="8DD4A43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44280002"/>
    <w:multiLevelType w:val="hybridMultilevel"/>
    <w:tmpl w:val="EBD0288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4B51960"/>
    <w:multiLevelType w:val="hybridMultilevel"/>
    <w:tmpl w:val="611278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4E36FB0"/>
    <w:multiLevelType w:val="hybridMultilevel"/>
    <w:tmpl w:val="691CCCAC"/>
    <w:lvl w:ilvl="0" w:tplc="0E10C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7264F94"/>
    <w:multiLevelType w:val="hybridMultilevel"/>
    <w:tmpl w:val="57665E1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47536FA1"/>
    <w:multiLevelType w:val="hybridMultilevel"/>
    <w:tmpl w:val="FD6E13D8"/>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84" w15:restartNumberingAfterBreak="0">
    <w:nsid w:val="48715DDA"/>
    <w:multiLevelType w:val="hybridMultilevel"/>
    <w:tmpl w:val="AE5695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A765796"/>
    <w:multiLevelType w:val="hybridMultilevel"/>
    <w:tmpl w:val="2FA2D8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B7B5FDC"/>
    <w:multiLevelType w:val="hybridMultilevel"/>
    <w:tmpl w:val="BB3C79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C6B72CD"/>
    <w:multiLevelType w:val="hybridMultilevel"/>
    <w:tmpl w:val="09E021A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4DA61399"/>
    <w:multiLevelType w:val="hybridMultilevel"/>
    <w:tmpl w:val="CD3C01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E3C09B1"/>
    <w:multiLevelType w:val="hybridMultilevel"/>
    <w:tmpl w:val="DCA40EF4"/>
    <w:lvl w:ilvl="0" w:tplc="14AEDDF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0" w15:restartNumberingAfterBreak="0">
    <w:nsid w:val="4FA11BAB"/>
    <w:multiLevelType w:val="hybridMultilevel"/>
    <w:tmpl w:val="4E78AC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0895C60"/>
    <w:multiLevelType w:val="hybridMultilevel"/>
    <w:tmpl w:val="11009A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2" w15:restartNumberingAfterBreak="0">
    <w:nsid w:val="50952006"/>
    <w:multiLevelType w:val="hybridMultilevel"/>
    <w:tmpl w:val="35985B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1352FBF"/>
    <w:multiLevelType w:val="hybridMultilevel"/>
    <w:tmpl w:val="7DF238C8"/>
    <w:lvl w:ilvl="0" w:tplc="0809000F">
      <w:start w:val="1"/>
      <w:numFmt w:val="decimal"/>
      <w:lvlText w:val="%1."/>
      <w:lvlJc w:val="left"/>
      <w:pPr>
        <w:ind w:left="360" w:hanging="360"/>
      </w:pPr>
    </w:lvl>
    <w:lvl w:ilvl="1" w:tplc="9A6CB2EC">
      <w:start w:val="1"/>
      <w:numFmt w:val="decimal"/>
      <w:lvlText w:val="%2."/>
      <w:lvlJc w:val="left"/>
      <w:pPr>
        <w:ind w:left="360" w:hanging="360"/>
      </w:pPr>
      <w:rPr>
        <w:rFonts w:ascii="Arial" w:eastAsiaTheme="minorHAnsi" w:hAnsi="Arial" w:cs="Arial"/>
        <w:color w:val="auto"/>
        <w:sz w:val="24"/>
        <w:szCs w:val="2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516E263F"/>
    <w:multiLevelType w:val="hybridMultilevel"/>
    <w:tmpl w:val="C1D6A81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53DA081F"/>
    <w:multiLevelType w:val="hybridMultilevel"/>
    <w:tmpl w:val="8F2864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55E61023"/>
    <w:multiLevelType w:val="hybridMultilevel"/>
    <w:tmpl w:val="6FA2215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569C68BE"/>
    <w:multiLevelType w:val="hybridMultilevel"/>
    <w:tmpl w:val="3DE00676"/>
    <w:lvl w:ilvl="0" w:tplc="7396CB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9443E79"/>
    <w:multiLevelType w:val="hybridMultilevel"/>
    <w:tmpl w:val="F0C07F6C"/>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 w15:restartNumberingAfterBreak="0">
    <w:nsid w:val="5AFC493A"/>
    <w:multiLevelType w:val="hybridMultilevel"/>
    <w:tmpl w:val="EB2818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5CC66105"/>
    <w:multiLevelType w:val="hybridMultilevel"/>
    <w:tmpl w:val="209207F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5CC82C90"/>
    <w:multiLevelType w:val="hybridMultilevel"/>
    <w:tmpl w:val="734A4E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D1A74F6"/>
    <w:multiLevelType w:val="hybridMultilevel"/>
    <w:tmpl w:val="DBD621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D555603"/>
    <w:multiLevelType w:val="hybridMultilevel"/>
    <w:tmpl w:val="D7686E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15:restartNumberingAfterBreak="0">
    <w:nsid w:val="5E506A14"/>
    <w:multiLevelType w:val="hybridMultilevel"/>
    <w:tmpl w:val="95D0F1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5EDD04B8"/>
    <w:multiLevelType w:val="hybridMultilevel"/>
    <w:tmpl w:val="65525DA4"/>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6" w15:restartNumberingAfterBreak="0">
    <w:nsid w:val="5EE94B08"/>
    <w:multiLevelType w:val="hybridMultilevel"/>
    <w:tmpl w:val="F7424B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0167D1E"/>
    <w:multiLevelType w:val="hybridMultilevel"/>
    <w:tmpl w:val="87565DB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602C4F2A"/>
    <w:multiLevelType w:val="hybridMultilevel"/>
    <w:tmpl w:val="838E6E88"/>
    <w:lvl w:ilvl="0" w:tplc="0809001B">
      <w:start w:val="1"/>
      <w:numFmt w:val="lowerRoman"/>
      <w:lvlText w:val="%1."/>
      <w:lvlJc w:val="righ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09" w15:restartNumberingAfterBreak="0">
    <w:nsid w:val="61096193"/>
    <w:multiLevelType w:val="hybridMultilevel"/>
    <w:tmpl w:val="FD6E13D8"/>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10" w15:restartNumberingAfterBreak="0">
    <w:nsid w:val="62395DDB"/>
    <w:multiLevelType w:val="hybridMultilevel"/>
    <w:tmpl w:val="852C59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3A02AF6"/>
    <w:multiLevelType w:val="hybridMultilevel"/>
    <w:tmpl w:val="3C5E64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9047EF3"/>
    <w:multiLevelType w:val="hybridMultilevel"/>
    <w:tmpl w:val="51B4D57A"/>
    <w:lvl w:ilvl="0" w:tplc="0809001B">
      <w:start w:val="1"/>
      <w:numFmt w:val="lowerRoman"/>
      <w:lvlText w:val="%1."/>
      <w:lvlJc w:val="righ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13" w15:restartNumberingAfterBreak="0">
    <w:nsid w:val="691E7DE5"/>
    <w:multiLevelType w:val="hybridMultilevel"/>
    <w:tmpl w:val="D34242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9D96620"/>
    <w:multiLevelType w:val="hybridMultilevel"/>
    <w:tmpl w:val="E7DA32E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6A2A2998"/>
    <w:multiLevelType w:val="hybridMultilevel"/>
    <w:tmpl w:val="95D8114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6BE74525"/>
    <w:multiLevelType w:val="hybridMultilevel"/>
    <w:tmpl w:val="0FBCFF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6BE9074B"/>
    <w:multiLevelType w:val="hybridMultilevel"/>
    <w:tmpl w:val="BCA46F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6CAB38EB"/>
    <w:multiLevelType w:val="hybridMultilevel"/>
    <w:tmpl w:val="546AC922"/>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6F6B1A5A"/>
    <w:multiLevelType w:val="hybridMultilevel"/>
    <w:tmpl w:val="5E64BC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01D605F"/>
    <w:multiLevelType w:val="hybridMultilevel"/>
    <w:tmpl w:val="EB2818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702C24F0"/>
    <w:multiLevelType w:val="hybridMultilevel"/>
    <w:tmpl w:val="F02A0C4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713D092D"/>
    <w:multiLevelType w:val="hybridMultilevel"/>
    <w:tmpl w:val="FD6E13D8"/>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2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726A1DFA"/>
    <w:multiLevelType w:val="hybridMultilevel"/>
    <w:tmpl w:val="FD380494"/>
    <w:lvl w:ilvl="0" w:tplc="F0301178">
      <w:start w:val="1"/>
      <w:numFmt w:val="lowerLetter"/>
      <w:lvlText w:val="%1)"/>
      <w:lvlJc w:val="left"/>
      <w:pPr>
        <w:ind w:left="360" w:hanging="360"/>
      </w:pPr>
      <w:rPr>
        <w:rFonts w:ascii="Arial" w:eastAsiaTheme="minorHAns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72FF7FAD"/>
    <w:multiLevelType w:val="hybridMultilevel"/>
    <w:tmpl w:val="DDD279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75A916E6"/>
    <w:multiLevelType w:val="hybridMultilevel"/>
    <w:tmpl w:val="82768D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60A401F"/>
    <w:multiLevelType w:val="hybridMultilevel"/>
    <w:tmpl w:val="38EE795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76E8787E"/>
    <w:multiLevelType w:val="hybridMultilevel"/>
    <w:tmpl w:val="9B127E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79447535"/>
    <w:multiLevelType w:val="hybridMultilevel"/>
    <w:tmpl w:val="10F03B5C"/>
    <w:lvl w:ilvl="0" w:tplc="C6ECFBEA">
      <w:start w:val="1"/>
      <w:numFmt w:val="decimal"/>
      <w:pStyle w:val="Numbered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A387C97"/>
    <w:multiLevelType w:val="hybridMultilevel"/>
    <w:tmpl w:val="931C33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7A46244E"/>
    <w:multiLevelType w:val="hybridMultilevel"/>
    <w:tmpl w:val="D884FA92"/>
    <w:lvl w:ilvl="0" w:tplc="5E986D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AFF612E"/>
    <w:multiLevelType w:val="hybridMultilevel"/>
    <w:tmpl w:val="B7B8AB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4" w15:restartNumberingAfterBreak="0">
    <w:nsid w:val="7B92687A"/>
    <w:multiLevelType w:val="hybridMultilevel"/>
    <w:tmpl w:val="0F1C0B82"/>
    <w:lvl w:ilvl="0" w:tplc="D3C82D9C">
      <w:start w:val="1"/>
      <w:numFmt w:val="decimal"/>
      <w:pStyle w:val="Regulationpara"/>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7C465A9F"/>
    <w:multiLevelType w:val="hybridMultilevel"/>
    <w:tmpl w:val="9972178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6" w15:restartNumberingAfterBreak="0">
    <w:nsid w:val="7D2B2FDB"/>
    <w:multiLevelType w:val="hybridMultilevel"/>
    <w:tmpl w:val="4DFE74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7D7130FF"/>
    <w:multiLevelType w:val="hybridMultilevel"/>
    <w:tmpl w:val="EC3EA4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7D934ABA"/>
    <w:multiLevelType w:val="hybridMultilevel"/>
    <w:tmpl w:val="F6BAC4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7E8C19DC"/>
    <w:multiLevelType w:val="hybridMultilevel"/>
    <w:tmpl w:val="3FF60F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7F0D7AF7"/>
    <w:multiLevelType w:val="hybridMultilevel"/>
    <w:tmpl w:val="45E030D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15:restartNumberingAfterBreak="0">
    <w:nsid w:val="7F507A1A"/>
    <w:multiLevelType w:val="hybridMultilevel"/>
    <w:tmpl w:val="A2A40E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FE67C18"/>
    <w:multiLevelType w:val="hybridMultilevel"/>
    <w:tmpl w:val="97483E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5386787">
    <w:abstractNumId w:val="127"/>
  </w:num>
  <w:num w:numId="2" w16cid:durableId="1853180057">
    <w:abstractNumId w:val="123"/>
  </w:num>
  <w:num w:numId="3" w16cid:durableId="2020963781">
    <w:abstractNumId w:val="50"/>
  </w:num>
  <w:num w:numId="4" w16cid:durableId="1365784236">
    <w:abstractNumId w:val="105"/>
  </w:num>
  <w:num w:numId="5" w16cid:durableId="1792281801">
    <w:abstractNumId w:val="130"/>
  </w:num>
  <w:num w:numId="6" w16cid:durableId="1846899851">
    <w:abstractNumId w:val="66"/>
  </w:num>
  <w:num w:numId="7" w16cid:durableId="265773432">
    <w:abstractNumId w:val="39"/>
  </w:num>
  <w:num w:numId="8" w16cid:durableId="646325352">
    <w:abstractNumId w:val="53"/>
  </w:num>
  <w:num w:numId="9" w16cid:durableId="271864306">
    <w:abstractNumId w:val="51"/>
  </w:num>
  <w:num w:numId="10" w16cid:durableId="1652174691">
    <w:abstractNumId w:val="130"/>
    <w:lvlOverride w:ilvl="0">
      <w:startOverride w:val="1"/>
    </w:lvlOverride>
  </w:num>
  <w:num w:numId="11" w16cid:durableId="1808156262">
    <w:abstractNumId w:val="98"/>
  </w:num>
  <w:num w:numId="12" w16cid:durableId="1410468497">
    <w:abstractNumId w:val="3"/>
  </w:num>
  <w:num w:numId="13" w16cid:durableId="2041126156">
    <w:abstractNumId w:val="19"/>
  </w:num>
  <w:num w:numId="14" w16cid:durableId="1818722178">
    <w:abstractNumId w:val="38"/>
  </w:num>
  <w:num w:numId="15" w16cid:durableId="1114253623">
    <w:abstractNumId w:val="6"/>
  </w:num>
  <w:num w:numId="16" w16cid:durableId="900674518">
    <w:abstractNumId w:val="61"/>
  </w:num>
  <w:num w:numId="17" w16cid:durableId="1142192015">
    <w:abstractNumId w:val="94"/>
  </w:num>
  <w:num w:numId="18" w16cid:durableId="1661691082">
    <w:abstractNumId w:val="25"/>
  </w:num>
  <w:num w:numId="19" w16cid:durableId="43407989">
    <w:abstractNumId w:val="22"/>
  </w:num>
  <w:num w:numId="20" w16cid:durableId="381293179">
    <w:abstractNumId w:val="57"/>
  </w:num>
  <w:num w:numId="21" w16cid:durableId="1463647668">
    <w:abstractNumId w:val="31"/>
  </w:num>
  <w:num w:numId="22" w16cid:durableId="753014780">
    <w:abstractNumId w:val="27"/>
  </w:num>
  <w:num w:numId="23" w16cid:durableId="1075083792">
    <w:abstractNumId w:val="124"/>
  </w:num>
  <w:num w:numId="24" w16cid:durableId="2052222679">
    <w:abstractNumId w:val="82"/>
  </w:num>
  <w:num w:numId="25" w16cid:durableId="470557450">
    <w:abstractNumId w:val="26"/>
  </w:num>
  <w:num w:numId="26" w16cid:durableId="1256405003">
    <w:abstractNumId w:val="96"/>
  </w:num>
  <w:num w:numId="27" w16cid:durableId="948272672">
    <w:abstractNumId w:val="55"/>
  </w:num>
  <w:num w:numId="28" w16cid:durableId="1505363411">
    <w:abstractNumId w:val="32"/>
  </w:num>
  <w:num w:numId="29" w16cid:durableId="495998280">
    <w:abstractNumId w:val="1"/>
  </w:num>
  <w:num w:numId="30" w16cid:durableId="40137101">
    <w:abstractNumId w:val="52"/>
  </w:num>
  <w:num w:numId="31" w16cid:durableId="1630210598">
    <w:abstractNumId w:val="44"/>
  </w:num>
  <w:num w:numId="32" w16cid:durableId="562451002">
    <w:abstractNumId w:val="104"/>
  </w:num>
  <w:num w:numId="33" w16cid:durableId="1076320364">
    <w:abstractNumId w:val="138"/>
  </w:num>
  <w:num w:numId="34" w16cid:durableId="350691927">
    <w:abstractNumId w:val="95"/>
  </w:num>
  <w:num w:numId="35" w16cid:durableId="476262517">
    <w:abstractNumId w:val="107"/>
  </w:num>
  <w:num w:numId="36" w16cid:durableId="2120024549">
    <w:abstractNumId w:val="34"/>
  </w:num>
  <w:num w:numId="37" w16cid:durableId="1903370242">
    <w:abstractNumId w:val="48"/>
  </w:num>
  <w:num w:numId="38" w16cid:durableId="1884511971">
    <w:abstractNumId w:val="108"/>
  </w:num>
  <w:num w:numId="39" w16cid:durableId="1229728556">
    <w:abstractNumId w:val="18"/>
  </w:num>
  <w:num w:numId="40" w16cid:durableId="1360473346">
    <w:abstractNumId w:val="128"/>
  </w:num>
  <w:num w:numId="41" w16cid:durableId="1715151618">
    <w:abstractNumId w:val="23"/>
  </w:num>
  <w:num w:numId="42" w16cid:durableId="498278753">
    <w:abstractNumId w:val="140"/>
  </w:num>
  <w:num w:numId="43" w16cid:durableId="1707369372">
    <w:abstractNumId w:val="58"/>
  </w:num>
  <w:num w:numId="44" w16cid:durableId="1919827592">
    <w:abstractNumId w:val="114"/>
  </w:num>
  <w:num w:numId="45" w16cid:durableId="426971480">
    <w:abstractNumId w:val="137"/>
  </w:num>
  <w:num w:numId="46" w16cid:durableId="1609121350">
    <w:abstractNumId w:val="0"/>
  </w:num>
  <w:num w:numId="47" w16cid:durableId="402530471">
    <w:abstractNumId w:val="40"/>
  </w:num>
  <w:num w:numId="48" w16cid:durableId="1400785749">
    <w:abstractNumId w:val="33"/>
  </w:num>
  <w:num w:numId="49" w16cid:durableId="1222137543">
    <w:abstractNumId w:val="133"/>
  </w:num>
  <w:num w:numId="50" w16cid:durableId="1376391513">
    <w:abstractNumId w:val="74"/>
  </w:num>
  <w:num w:numId="51" w16cid:durableId="1001394182">
    <w:abstractNumId w:val="112"/>
  </w:num>
  <w:num w:numId="52" w16cid:durableId="1798259812">
    <w:abstractNumId w:val="87"/>
  </w:num>
  <w:num w:numId="53" w16cid:durableId="233127061">
    <w:abstractNumId w:val="79"/>
  </w:num>
  <w:num w:numId="54" w16cid:durableId="1724325821">
    <w:abstractNumId w:val="65"/>
  </w:num>
  <w:num w:numId="55" w16cid:durableId="791093006">
    <w:abstractNumId w:val="4"/>
  </w:num>
  <w:num w:numId="56" w16cid:durableId="1558198011">
    <w:abstractNumId w:val="120"/>
  </w:num>
  <w:num w:numId="57" w16cid:durableId="1436556049">
    <w:abstractNumId w:val="67"/>
  </w:num>
  <w:num w:numId="58" w16cid:durableId="656613616">
    <w:abstractNumId w:val="99"/>
  </w:num>
  <w:num w:numId="59" w16cid:durableId="634801813">
    <w:abstractNumId w:val="5"/>
  </w:num>
  <w:num w:numId="60" w16cid:durableId="1767996601">
    <w:abstractNumId w:val="91"/>
  </w:num>
  <w:num w:numId="61" w16cid:durableId="1026369335">
    <w:abstractNumId w:val="28"/>
  </w:num>
  <w:num w:numId="62" w16cid:durableId="1979526804">
    <w:abstractNumId w:val="103"/>
  </w:num>
  <w:num w:numId="63" w16cid:durableId="265384765">
    <w:abstractNumId w:val="13"/>
  </w:num>
  <w:num w:numId="64" w16cid:durableId="519591994">
    <w:abstractNumId w:val="45"/>
  </w:num>
  <w:num w:numId="65" w16cid:durableId="1468013378">
    <w:abstractNumId w:val="135"/>
  </w:num>
  <w:num w:numId="66" w16cid:durableId="635524549">
    <w:abstractNumId w:val="42"/>
  </w:num>
  <w:num w:numId="67" w16cid:durableId="995112433">
    <w:abstractNumId w:val="75"/>
  </w:num>
  <w:num w:numId="68" w16cid:durableId="840581380">
    <w:abstractNumId w:val="63"/>
  </w:num>
  <w:num w:numId="69" w16cid:durableId="1449861164">
    <w:abstractNumId w:val="36"/>
  </w:num>
  <w:num w:numId="70" w16cid:durableId="1972396837">
    <w:abstractNumId w:val="12"/>
  </w:num>
  <w:num w:numId="71" w16cid:durableId="1322544246">
    <w:abstractNumId w:val="59"/>
  </w:num>
  <w:num w:numId="72" w16cid:durableId="112488719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9733167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41046797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427701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96812486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18849698">
    <w:abstractNumId w:val="72"/>
  </w:num>
  <w:num w:numId="78" w16cid:durableId="878861541">
    <w:abstractNumId w:val="77"/>
  </w:num>
  <w:num w:numId="79" w16cid:durableId="1970165990">
    <w:abstractNumId w:val="9"/>
  </w:num>
  <w:num w:numId="80" w16cid:durableId="561675132">
    <w:abstractNumId w:val="21"/>
  </w:num>
  <w:num w:numId="81" w16cid:durableId="869533026">
    <w:abstractNumId w:val="37"/>
  </w:num>
  <w:num w:numId="82" w16cid:durableId="1615014562">
    <w:abstractNumId w:val="100"/>
  </w:num>
  <w:num w:numId="83" w16cid:durableId="910581427">
    <w:abstractNumId w:val="118"/>
  </w:num>
  <w:num w:numId="84" w16cid:durableId="584001823">
    <w:abstractNumId w:val="8"/>
  </w:num>
  <w:num w:numId="85" w16cid:durableId="122895128">
    <w:abstractNumId w:val="115"/>
  </w:num>
  <w:num w:numId="86" w16cid:durableId="1480347023">
    <w:abstractNumId w:val="17"/>
  </w:num>
  <w:num w:numId="87" w16cid:durableId="1258366971">
    <w:abstractNumId w:val="41"/>
  </w:num>
  <w:num w:numId="88" w16cid:durableId="448206206">
    <w:abstractNumId w:val="11"/>
  </w:num>
  <w:num w:numId="89" w16cid:durableId="155264491">
    <w:abstractNumId w:val="10"/>
  </w:num>
  <w:num w:numId="90" w16cid:durableId="695733069">
    <w:abstractNumId w:val="64"/>
  </w:num>
  <w:num w:numId="91" w16cid:durableId="336421992">
    <w:abstractNumId w:val="73"/>
  </w:num>
  <w:num w:numId="92" w16cid:durableId="2120907018">
    <w:abstractNumId w:val="78"/>
  </w:num>
  <w:num w:numId="93" w16cid:durableId="165480610">
    <w:abstractNumId w:val="121"/>
  </w:num>
  <w:num w:numId="94" w16cid:durableId="1157646661">
    <w:abstractNumId w:val="7"/>
  </w:num>
  <w:num w:numId="95" w16cid:durableId="1946451899">
    <w:abstractNumId w:val="93"/>
  </w:num>
  <w:num w:numId="96" w16cid:durableId="202595098">
    <w:abstractNumId w:val="134"/>
  </w:num>
  <w:num w:numId="97" w16cid:durableId="2058317969">
    <w:abstractNumId w:val="134"/>
    <w:lvlOverride w:ilvl="0">
      <w:startOverride w:val="1"/>
    </w:lvlOverride>
  </w:num>
  <w:num w:numId="98" w16cid:durableId="2095126062">
    <w:abstractNumId w:val="134"/>
    <w:lvlOverride w:ilvl="0">
      <w:startOverride w:val="1"/>
    </w:lvlOverride>
  </w:num>
  <w:num w:numId="99" w16cid:durableId="1564021547">
    <w:abstractNumId w:val="134"/>
    <w:lvlOverride w:ilvl="0">
      <w:startOverride w:val="1"/>
    </w:lvlOverride>
  </w:num>
  <w:num w:numId="100" w16cid:durableId="1023361959">
    <w:abstractNumId w:val="50"/>
  </w:num>
  <w:num w:numId="101" w16cid:durableId="1198197020">
    <w:abstractNumId w:val="119"/>
  </w:num>
  <w:num w:numId="102" w16cid:durableId="1754665132">
    <w:abstractNumId w:val="132"/>
  </w:num>
  <w:num w:numId="103" w16cid:durableId="933785531">
    <w:abstractNumId w:val="46"/>
  </w:num>
  <w:num w:numId="104" w16cid:durableId="807285860">
    <w:abstractNumId w:val="97"/>
  </w:num>
  <w:num w:numId="105" w16cid:durableId="1423137164">
    <w:abstractNumId w:val="84"/>
  </w:num>
  <w:num w:numId="106" w16cid:durableId="1346447092">
    <w:abstractNumId w:val="49"/>
  </w:num>
  <w:num w:numId="107" w16cid:durableId="374737004">
    <w:abstractNumId w:val="88"/>
  </w:num>
  <w:num w:numId="108" w16cid:durableId="1777170482">
    <w:abstractNumId w:val="70"/>
  </w:num>
  <w:num w:numId="109" w16cid:durableId="517351226">
    <w:abstractNumId w:val="106"/>
  </w:num>
  <w:num w:numId="110" w16cid:durableId="810900488">
    <w:abstractNumId w:val="15"/>
  </w:num>
  <w:num w:numId="111" w16cid:durableId="688606745">
    <w:abstractNumId w:val="71"/>
  </w:num>
  <w:num w:numId="112" w16cid:durableId="993871925">
    <w:abstractNumId w:val="86"/>
  </w:num>
  <w:num w:numId="113" w16cid:durableId="798690876">
    <w:abstractNumId w:val="29"/>
  </w:num>
  <w:num w:numId="114" w16cid:durableId="843320649">
    <w:abstractNumId w:val="101"/>
  </w:num>
  <w:num w:numId="115" w16cid:durableId="715811346">
    <w:abstractNumId w:val="68"/>
  </w:num>
  <w:num w:numId="116" w16cid:durableId="391386725">
    <w:abstractNumId w:val="2"/>
  </w:num>
  <w:num w:numId="117" w16cid:durableId="1249457783">
    <w:abstractNumId w:val="139"/>
  </w:num>
  <w:num w:numId="118" w16cid:durableId="44716109">
    <w:abstractNumId w:val="136"/>
  </w:num>
  <w:num w:numId="119" w16cid:durableId="1446535547">
    <w:abstractNumId w:val="111"/>
  </w:num>
  <w:num w:numId="120" w16cid:durableId="291132319">
    <w:abstractNumId w:val="14"/>
  </w:num>
  <w:num w:numId="121" w16cid:durableId="960838046">
    <w:abstractNumId w:val="141"/>
  </w:num>
  <w:num w:numId="122" w16cid:durableId="767896329">
    <w:abstractNumId w:val="116"/>
  </w:num>
  <w:num w:numId="123" w16cid:durableId="656763578">
    <w:abstractNumId w:val="117"/>
  </w:num>
  <w:num w:numId="124" w16cid:durableId="645821810">
    <w:abstractNumId w:val="35"/>
  </w:num>
  <w:num w:numId="125" w16cid:durableId="1007905907">
    <w:abstractNumId w:val="80"/>
  </w:num>
  <w:num w:numId="126" w16cid:durableId="401559806">
    <w:abstractNumId w:val="30"/>
  </w:num>
  <w:num w:numId="127" w16cid:durableId="843283091">
    <w:abstractNumId w:val="142"/>
  </w:num>
  <w:num w:numId="128" w16cid:durableId="1565023934">
    <w:abstractNumId w:val="129"/>
  </w:num>
  <w:num w:numId="129" w16cid:durableId="1881551984">
    <w:abstractNumId w:val="76"/>
  </w:num>
  <w:num w:numId="130" w16cid:durableId="210726273">
    <w:abstractNumId w:val="102"/>
  </w:num>
  <w:num w:numId="131" w16cid:durableId="181746981">
    <w:abstractNumId w:val="113"/>
  </w:num>
  <w:num w:numId="132" w16cid:durableId="1103920292">
    <w:abstractNumId w:val="20"/>
  </w:num>
  <w:num w:numId="133" w16cid:durableId="740713845">
    <w:abstractNumId w:val="110"/>
  </w:num>
  <w:num w:numId="134" w16cid:durableId="606549743">
    <w:abstractNumId w:val="89"/>
  </w:num>
  <w:num w:numId="135" w16cid:durableId="1232737165">
    <w:abstractNumId w:val="43"/>
  </w:num>
  <w:num w:numId="136" w16cid:durableId="1312515283">
    <w:abstractNumId w:val="24"/>
  </w:num>
  <w:num w:numId="137" w16cid:durableId="1727021542">
    <w:abstractNumId w:val="126"/>
  </w:num>
  <w:num w:numId="138" w16cid:durableId="1621497539">
    <w:abstractNumId w:val="81"/>
  </w:num>
  <w:num w:numId="139" w16cid:durableId="838423689">
    <w:abstractNumId w:val="131"/>
  </w:num>
  <w:num w:numId="140" w16cid:durableId="1614827403">
    <w:abstractNumId w:val="62"/>
  </w:num>
  <w:num w:numId="141" w16cid:durableId="1371611845">
    <w:abstractNumId w:val="90"/>
  </w:num>
  <w:num w:numId="142" w16cid:durableId="1211770029">
    <w:abstractNumId w:val="92"/>
  </w:num>
  <w:num w:numId="143" w16cid:durableId="67700644">
    <w:abstractNumId w:val="85"/>
  </w:num>
  <w:num w:numId="144" w16cid:durableId="793258610">
    <w:abstractNumId w:val="69"/>
  </w:num>
  <w:num w:numId="145" w16cid:durableId="775056520">
    <w:abstractNumId w:val="60"/>
  </w:num>
  <w:num w:numId="146" w16cid:durableId="25831906">
    <w:abstractNumId w:val="47"/>
  </w:num>
  <w:num w:numId="147" w16cid:durableId="1603567021">
    <w:abstractNumId w:val="56"/>
  </w:num>
  <w:num w:numId="148" w16cid:durableId="1152601093">
    <w:abstractNumId w:val="125"/>
  </w:num>
  <w:num w:numId="149" w16cid:durableId="1973562440">
    <w:abstractNumId w:val="123"/>
  </w:num>
  <w:num w:numId="150" w16cid:durableId="1629436148">
    <w:abstractNumId w:val="127"/>
  </w:num>
  <w:num w:numId="151" w16cid:durableId="1593584047">
    <w:abstractNumId w:val="127"/>
  </w:num>
  <w:num w:numId="152" w16cid:durableId="1722703654">
    <w:abstractNumId w:val="127"/>
  </w:num>
  <w:num w:numId="153" w16cid:durableId="936644431">
    <w:abstractNumId w:val="127"/>
  </w:num>
  <w:num w:numId="154" w16cid:durableId="886333981">
    <w:abstractNumId w:val="54"/>
  </w:num>
  <w:num w:numId="155" w16cid:durableId="1122073888">
    <w:abstractNumId w:val="127"/>
  </w:num>
  <w:num w:numId="156" w16cid:durableId="1775326184">
    <w:abstractNumId w:val="127"/>
  </w:num>
  <w:num w:numId="157" w16cid:durableId="370763833">
    <w:abstractNumId w:val="127"/>
  </w:num>
  <w:num w:numId="158" w16cid:durableId="1299335166">
    <w:abstractNumId w:val="122"/>
  </w:num>
  <w:num w:numId="159" w16cid:durableId="795025805">
    <w:abstractNumId w:val="83"/>
  </w:num>
  <w:num w:numId="160" w16cid:durableId="766199435">
    <w:abstractNumId w:val="127"/>
  </w:num>
  <w:num w:numId="161" w16cid:durableId="39205714">
    <w:abstractNumId w:val="109"/>
  </w:num>
  <w:num w:numId="162" w16cid:durableId="944118752">
    <w:abstractNumId w:val="127"/>
  </w:num>
  <w:num w:numId="163" w16cid:durableId="1507282807">
    <w:abstractNumId w:val="16"/>
  </w:num>
  <w:num w:numId="164" w16cid:durableId="339898211">
    <w:abstractNumId w:val="130"/>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1E3A"/>
    <w:rsid w:val="00021FE5"/>
    <w:rsid w:val="00024522"/>
    <w:rsid w:val="00024B2E"/>
    <w:rsid w:val="00027F4F"/>
    <w:rsid w:val="00030430"/>
    <w:rsid w:val="0003078E"/>
    <w:rsid w:val="00031B89"/>
    <w:rsid w:val="00034623"/>
    <w:rsid w:val="0003693D"/>
    <w:rsid w:val="000416A5"/>
    <w:rsid w:val="0004440F"/>
    <w:rsid w:val="0004459C"/>
    <w:rsid w:val="000466D0"/>
    <w:rsid w:val="00051019"/>
    <w:rsid w:val="00052C8A"/>
    <w:rsid w:val="000548C8"/>
    <w:rsid w:val="000711C1"/>
    <w:rsid w:val="00075605"/>
    <w:rsid w:val="00075C66"/>
    <w:rsid w:val="00080F91"/>
    <w:rsid w:val="000817D4"/>
    <w:rsid w:val="00082879"/>
    <w:rsid w:val="00091EEA"/>
    <w:rsid w:val="00096D6D"/>
    <w:rsid w:val="000A105C"/>
    <w:rsid w:val="000A7C19"/>
    <w:rsid w:val="000A7E11"/>
    <w:rsid w:val="000C2DDC"/>
    <w:rsid w:val="000C3CE1"/>
    <w:rsid w:val="000D2FD4"/>
    <w:rsid w:val="000F1B7B"/>
    <w:rsid w:val="000F2ED4"/>
    <w:rsid w:val="001028E8"/>
    <w:rsid w:val="0010567A"/>
    <w:rsid w:val="00122FCC"/>
    <w:rsid w:val="00124C2B"/>
    <w:rsid w:val="00126752"/>
    <w:rsid w:val="001271D9"/>
    <w:rsid w:val="00130B30"/>
    <w:rsid w:val="00136E45"/>
    <w:rsid w:val="00140E1C"/>
    <w:rsid w:val="00147AE4"/>
    <w:rsid w:val="001571E5"/>
    <w:rsid w:val="001645B7"/>
    <w:rsid w:val="00177666"/>
    <w:rsid w:val="001849CA"/>
    <w:rsid w:val="00185410"/>
    <w:rsid w:val="00186CAE"/>
    <w:rsid w:val="00192352"/>
    <w:rsid w:val="0019407E"/>
    <w:rsid w:val="001A01E8"/>
    <w:rsid w:val="001B363E"/>
    <w:rsid w:val="001B6402"/>
    <w:rsid w:val="001B7590"/>
    <w:rsid w:val="001C3DE9"/>
    <w:rsid w:val="001C4D63"/>
    <w:rsid w:val="001D0DE0"/>
    <w:rsid w:val="001D5AFF"/>
    <w:rsid w:val="001D74B4"/>
    <w:rsid w:val="001E03E1"/>
    <w:rsid w:val="001F059F"/>
    <w:rsid w:val="001F7610"/>
    <w:rsid w:val="00200811"/>
    <w:rsid w:val="00200CA1"/>
    <w:rsid w:val="0021338D"/>
    <w:rsid w:val="00214D43"/>
    <w:rsid w:val="002157E3"/>
    <w:rsid w:val="0021715B"/>
    <w:rsid w:val="00223090"/>
    <w:rsid w:val="002238B4"/>
    <w:rsid w:val="002319AB"/>
    <w:rsid w:val="002319AC"/>
    <w:rsid w:val="00232BC6"/>
    <w:rsid w:val="00234342"/>
    <w:rsid w:val="00234F6C"/>
    <w:rsid w:val="00235CE9"/>
    <w:rsid w:val="00236C2A"/>
    <w:rsid w:val="0024040D"/>
    <w:rsid w:val="00243597"/>
    <w:rsid w:val="00247DBD"/>
    <w:rsid w:val="00251CD7"/>
    <w:rsid w:val="00255683"/>
    <w:rsid w:val="00255FA3"/>
    <w:rsid w:val="00257288"/>
    <w:rsid w:val="00261FB6"/>
    <w:rsid w:val="002629F8"/>
    <w:rsid w:val="00263396"/>
    <w:rsid w:val="002659FA"/>
    <w:rsid w:val="00267815"/>
    <w:rsid w:val="00267D59"/>
    <w:rsid w:val="00280DDF"/>
    <w:rsid w:val="00281ADA"/>
    <w:rsid w:val="002917FF"/>
    <w:rsid w:val="00292ADF"/>
    <w:rsid w:val="002968C1"/>
    <w:rsid w:val="002A0DEC"/>
    <w:rsid w:val="002B1C53"/>
    <w:rsid w:val="002B2099"/>
    <w:rsid w:val="002C5072"/>
    <w:rsid w:val="002E0BE4"/>
    <w:rsid w:val="002E24C8"/>
    <w:rsid w:val="002E3B58"/>
    <w:rsid w:val="002E3E8A"/>
    <w:rsid w:val="002E6A6A"/>
    <w:rsid w:val="002F3397"/>
    <w:rsid w:val="002F6607"/>
    <w:rsid w:val="0030327D"/>
    <w:rsid w:val="0030380D"/>
    <w:rsid w:val="00311E2F"/>
    <w:rsid w:val="00312411"/>
    <w:rsid w:val="003146A6"/>
    <w:rsid w:val="00315CF2"/>
    <w:rsid w:val="00323E71"/>
    <w:rsid w:val="00326F77"/>
    <w:rsid w:val="00327065"/>
    <w:rsid w:val="00331AB8"/>
    <w:rsid w:val="00331ED1"/>
    <w:rsid w:val="00332BB9"/>
    <w:rsid w:val="003344B8"/>
    <w:rsid w:val="00337074"/>
    <w:rsid w:val="003401B0"/>
    <w:rsid w:val="00346C8E"/>
    <w:rsid w:val="00364843"/>
    <w:rsid w:val="0036757D"/>
    <w:rsid w:val="00367BD5"/>
    <w:rsid w:val="00380127"/>
    <w:rsid w:val="00390327"/>
    <w:rsid w:val="00393066"/>
    <w:rsid w:val="00393B78"/>
    <w:rsid w:val="003A01E9"/>
    <w:rsid w:val="003A7E1C"/>
    <w:rsid w:val="003B51F0"/>
    <w:rsid w:val="003C0306"/>
    <w:rsid w:val="003C114C"/>
    <w:rsid w:val="003C465D"/>
    <w:rsid w:val="003C48B2"/>
    <w:rsid w:val="003D2182"/>
    <w:rsid w:val="003D495D"/>
    <w:rsid w:val="003E0491"/>
    <w:rsid w:val="003E098E"/>
    <w:rsid w:val="003E2FAE"/>
    <w:rsid w:val="003E4D5E"/>
    <w:rsid w:val="00407CF7"/>
    <w:rsid w:val="00407D49"/>
    <w:rsid w:val="00415ED6"/>
    <w:rsid w:val="00417CAF"/>
    <w:rsid w:val="00420A11"/>
    <w:rsid w:val="00422265"/>
    <w:rsid w:val="00424286"/>
    <w:rsid w:val="004243BF"/>
    <w:rsid w:val="0042753C"/>
    <w:rsid w:val="00431138"/>
    <w:rsid w:val="004373A7"/>
    <w:rsid w:val="00437D94"/>
    <w:rsid w:val="0044030C"/>
    <w:rsid w:val="00442A7D"/>
    <w:rsid w:val="004648A4"/>
    <w:rsid w:val="00471380"/>
    <w:rsid w:val="00474416"/>
    <w:rsid w:val="00482E58"/>
    <w:rsid w:val="00484EEC"/>
    <w:rsid w:val="00485A4A"/>
    <w:rsid w:val="0049411D"/>
    <w:rsid w:val="00494F0D"/>
    <w:rsid w:val="00496BFD"/>
    <w:rsid w:val="004A2B80"/>
    <w:rsid w:val="004A3DF2"/>
    <w:rsid w:val="004A444C"/>
    <w:rsid w:val="004C1BC3"/>
    <w:rsid w:val="004C361D"/>
    <w:rsid w:val="004C4891"/>
    <w:rsid w:val="004D2C89"/>
    <w:rsid w:val="004E0280"/>
    <w:rsid w:val="004E3932"/>
    <w:rsid w:val="004F1E79"/>
    <w:rsid w:val="004F5F33"/>
    <w:rsid w:val="0050103A"/>
    <w:rsid w:val="00507EBE"/>
    <w:rsid w:val="00511B0F"/>
    <w:rsid w:val="00521C78"/>
    <w:rsid w:val="00523238"/>
    <w:rsid w:val="005368AB"/>
    <w:rsid w:val="00541149"/>
    <w:rsid w:val="00553419"/>
    <w:rsid w:val="0055388E"/>
    <w:rsid w:val="0055427D"/>
    <w:rsid w:val="00562C17"/>
    <w:rsid w:val="00571CED"/>
    <w:rsid w:val="005754AE"/>
    <w:rsid w:val="00577FB5"/>
    <w:rsid w:val="005852D1"/>
    <w:rsid w:val="005859E6"/>
    <w:rsid w:val="00587A22"/>
    <w:rsid w:val="0059299D"/>
    <w:rsid w:val="00595C8C"/>
    <w:rsid w:val="00597747"/>
    <w:rsid w:val="005A4CDD"/>
    <w:rsid w:val="005B57E4"/>
    <w:rsid w:val="005B5ABD"/>
    <w:rsid w:val="005C140A"/>
    <w:rsid w:val="005C1E52"/>
    <w:rsid w:val="005C6763"/>
    <w:rsid w:val="005D0515"/>
    <w:rsid w:val="005D26E4"/>
    <w:rsid w:val="005D3164"/>
    <w:rsid w:val="005D4D7D"/>
    <w:rsid w:val="005E0344"/>
    <w:rsid w:val="005E440B"/>
    <w:rsid w:val="005F2C85"/>
    <w:rsid w:val="00605ADB"/>
    <w:rsid w:val="00607FD7"/>
    <w:rsid w:val="00611C9F"/>
    <w:rsid w:val="006248DE"/>
    <w:rsid w:val="00627555"/>
    <w:rsid w:val="006322A0"/>
    <w:rsid w:val="00634B1A"/>
    <w:rsid w:val="006361FD"/>
    <w:rsid w:val="0064226F"/>
    <w:rsid w:val="00642DDB"/>
    <w:rsid w:val="00652F10"/>
    <w:rsid w:val="00653298"/>
    <w:rsid w:val="00656226"/>
    <w:rsid w:val="006576A4"/>
    <w:rsid w:val="00663A7C"/>
    <w:rsid w:val="00667DF2"/>
    <w:rsid w:val="00670DF1"/>
    <w:rsid w:val="00671345"/>
    <w:rsid w:val="00672A9B"/>
    <w:rsid w:val="00674954"/>
    <w:rsid w:val="00675884"/>
    <w:rsid w:val="00676C89"/>
    <w:rsid w:val="00693472"/>
    <w:rsid w:val="00696645"/>
    <w:rsid w:val="00696EE0"/>
    <w:rsid w:val="00697980"/>
    <w:rsid w:val="006A0C6A"/>
    <w:rsid w:val="006A19EF"/>
    <w:rsid w:val="006A2B22"/>
    <w:rsid w:val="006A43D5"/>
    <w:rsid w:val="006A525B"/>
    <w:rsid w:val="006B4EB1"/>
    <w:rsid w:val="006C045F"/>
    <w:rsid w:val="006C10C4"/>
    <w:rsid w:val="006C4196"/>
    <w:rsid w:val="006C63B0"/>
    <w:rsid w:val="006C76A2"/>
    <w:rsid w:val="006C792E"/>
    <w:rsid w:val="006D116C"/>
    <w:rsid w:val="006E5FC9"/>
    <w:rsid w:val="006E7C42"/>
    <w:rsid w:val="006F168A"/>
    <w:rsid w:val="006F5076"/>
    <w:rsid w:val="006F6009"/>
    <w:rsid w:val="0070321D"/>
    <w:rsid w:val="007068BA"/>
    <w:rsid w:val="00716AB1"/>
    <w:rsid w:val="0072072C"/>
    <w:rsid w:val="00721D63"/>
    <w:rsid w:val="007243B5"/>
    <w:rsid w:val="00732C7B"/>
    <w:rsid w:val="00734989"/>
    <w:rsid w:val="00734D2B"/>
    <w:rsid w:val="007363DD"/>
    <w:rsid w:val="00737705"/>
    <w:rsid w:val="00740504"/>
    <w:rsid w:val="007408D4"/>
    <w:rsid w:val="007420AC"/>
    <w:rsid w:val="00742617"/>
    <w:rsid w:val="007450D4"/>
    <w:rsid w:val="00747DBC"/>
    <w:rsid w:val="00750B95"/>
    <w:rsid w:val="007530F5"/>
    <w:rsid w:val="007571E1"/>
    <w:rsid w:val="007670B5"/>
    <w:rsid w:val="00775283"/>
    <w:rsid w:val="0077545F"/>
    <w:rsid w:val="00783AFA"/>
    <w:rsid w:val="00785427"/>
    <w:rsid w:val="00790540"/>
    <w:rsid w:val="007968CA"/>
    <w:rsid w:val="007A43FF"/>
    <w:rsid w:val="007B3918"/>
    <w:rsid w:val="007C3C1D"/>
    <w:rsid w:val="007D199A"/>
    <w:rsid w:val="007D2EBE"/>
    <w:rsid w:val="007E1C07"/>
    <w:rsid w:val="007F24B6"/>
    <w:rsid w:val="00803D94"/>
    <w:rsid w:val="00810625"/>
    <w:rsid w:val="008229BA"/>
    <w:rsid w:val="00824151"/>
    <w:rsid w:val="008347E2"/>
    <w:rsid w:val="00845390"/>
    <w:rsid w:val="0084601B"/>
    <w:rsid w:val="008606F0"/>
    <w:rsid w:val="00862284"/>
    <w:rsid w:val="00865489"/>
    <w:rsid w:val="0086553D"/>
    <w:rsid w:val="00874FEB"/>
    <w:rsid w:val="00881B6F"/>
    <w:rsid w:val="00882AA4"/>
    <w:rsid w:val="00883E22"/>
    <w:rsid w:val="00884BD0"/>
    <w:rsid w:val="00884E43"/>
    <w:rsid w:val="00887EC6"/>
    <w:rsid w:val="0089084C"/>
    <w:rsid w:val="008930BB"/>
    <w:rsid w:val="00893409"/>
    <w:rsid w:val="00893D9F"/>
    <w:rsid w:val="008A2379"/>
    <w:rsid w:val="008A4329"/>
    <w:rsid w:val="008A4BAD"/>
    <w:rsid w:val="008A578E"/>
    <w:rsid w:val="008B061F"/>
    <w:rsid w:val="008B1519"/>
    <w:rsid w:val="008B2309"/>
    <w:rsid w:val="008B7BCC"/>
    <w:rsid w:val="008C0AB2"/>
    <w:rsid w:val="008C50C3"/>
    <w:rsid w:val="008C7094"/>
    <w:rsid w:val="008D2B97"/>
    <w:rsid w:val="008D49A5"/>
    <w:rsid w:val="008D4E63"/>
    <w:rsid w:val="008D6C81"/>
    <w:rsid w:val="008E6CF0"/>
    <w:rsid w:val="008F1439"/>
    <w:rsid w:val="008F2043"/>
    <w:rsid w:val="008F7051"/>
    <w:rsid w:val="009033A9"/>
    <w:rsid w:val="0090581D"/>
    <w:rsid w:val="009104EE"/>
    <w:rsid w:val="0091439C"/>
    <w:rsid w:val="00920572"/>
    <w:rsid w:val="00920BF2"/>
    <w:rsid w:val="0092209D"/>
    <w:rsid w:val="009349A9"/>
    <w:rsid w:val="00936C52"/>
    <w:rsid w:val="00937EEE"/>
    <w:rsid w:val="00941BA3"/>
    <w:rsid w:val="00943D7C"/>
    <w:rsid w:val="00946C91"/>
    <w:rsid w:val="0095489B"/>
    <w:rsid w:val="00961889"/>
    <w:rsid w:val="00966FB9"/>
    <w:rsid w:val="009671CD"/>
    <w:rsid w:val="00972F49"/>
    <w:rsid w:val="009751A9"/>
    <w:rsid w:val="00980F9C"/>
    <w:rsid w:val="0098632B"/>
    <w:rsid w:val="00997BFB"/>
    <w:rsid w:val="00997D8F"/>
    <w:rsid w:val="009A7348"/>
    <w:rsid w:val="009B0FAC"/>
    <w:rsid w:val="009B462C"/>
    <w:rsid w:val="009C15F3"/>
    <w:rsid w:val="009C3689"/>
    <w:rsid w:val="009C4E06"/>
    <w:rsid w:val="009D67EA"/>
    <w:rsid w:val="009E07C2"/>
    <w:rsid w:val="009E0E52"/>
    <w:rsid w:val="009E481E"/>
    <w:rsid w:val="009F4A79"/>
    <w:rsid w:val="009F72F9"/>
    <w:rsid w:val="00A00205"/>
    <w:rsid w:val="00A00AF0"/>
    <w:rsid w:val="00A01C3E"/>
    <w:rsid w:val="00A12C9E"/>
    <w:rsid w:val="00A14B5A"/>
    <w:rsid w:val="00A3567F"/>
    <w:rsid w:val="00A37698"/>
    <w:rsid w:val="00A41ED3"/>
    <w:rsid w:val="00A517E0"/>
    <w:rsid w:val="00A51BA8"/>
    <w:rsid w:val="00A6544D"/>
    <w:rsid w:val="00A80DB4"/>
    <w:rsid w:val="00A816D3"/>
    <w:rsid w:val="00A81D82"/>
    <w:rsid w:val="00A83BAD"/>
    <w:rsid w:val="00A861FB"/>
    <w:rsid w:val="00A9118F"/>
    <w:rsid w:val="00A93E33"/>
    <w:rsid w:val="00A97264"/>
    <w:rsid w:val="00AA4409"/>
    <w:rsid w:val="00AA588A"/>
    <w:rsid w:val="00AB1E88"/>
    <w:rsid w:val="00AB6970"/>
    <w:rsid w:val="00AC09CD"/>
    <w:rsid w:val="00AC0F57"/>
    <w:rsid w:val="00AC1939"/>
    <w:rsid w:val="00AC7C05"/>
    <w:rsid w:val="00AD167C"/>
    <w:rsid w:val="00AD17C7"/>
    <w:rsid w:val="00AD4041"/>
    <w:rsid w:val="00AE302B"/>
    <w:rsid w:val="00AE78FF"/>
    <w:rsid w:val="00B0167A"/>
    <w:rsid w:val="00B04DE3"/>
    <w:rsid w:val="00B16B49"/>
    <w:rsid w:val="00B16BE5"/>
    <w:rsid w:val="00B259DF"/>
    <w:rsid w:val="00B44B1F"/>
    <w:rsid w:val="00B55792"/>
    <w:rsid w:val="00B563FD"/>
    <w:rsid w:val="00B64141"/>
    <w:rsid w:val="00B64E72"/>
    <w:rsid w:val="00B65383"/>
    <w:rsid w:val="00B77913"/>
    <w:rsid w:val="00B824FB"/>
    <w:rsid w:val="00B8256D"/>
    <w:rsid w:val="00B82646"/>
    <w:rsid w:val="00B849DF"/>
    <w:rsid w:val="00B96988"/>
    <w:rsid w:val="00B97359"/>
    <w:rsid w:val="00B97A8F"/>
    <w:rsid w:val="00B97F5D"/>
    <w:rsid w:val="00BA4E58"/>
    <w:rsid w:val="00BA62CD"/>
    <w:rsid w:val="00BA7074"/>
    <w:rsid w:val="00BB7829"/>
    <w:rsid w:val="00BD1457"/>
    <w:rsid w:val="00BE25CF"/>
    <w:rsid w:val="00BE2AD9"/>
    <w:rsid w:val="00BE592A"/>
    <w:rsid w:val="00BE622F"/>
    <w:rsid w:val="00BF27FE"/>
    <w:rsid w:val="00BF46A8"/>
    <w:rsid w:val="00C043B3"/>
    <w:rsid w:val="00C079AB"/>
    <w:rsid w:val="00C10E61"/>
    <w:rsid w:val="00C14787"/>
    <w:rsid w:val="00C1596D"/>
    <w:rsid w:val="00C15B8D"/>
    <w:rsid w:val="00C17010"/>
    <w:rsid w:val="00C20562"/>
    <w:rsid w:val="00C214C4"/>
    <w:rsid w:val="00C215C3"/>
    <w:rsid w:val="00C23072"/>
    <w:rsid w:val="00C23A96"/>
    <w:rsid w:val="00C249C6"/>
    <w:rsid w:val="00C24CDA"/>
    <w:rsid w:val="00C32CC1"/>
    <w:rsid w:val="00C426EC"/>
    <w:rsid w:val="00C45685"/>
    <w:rsid w:val="00C53876"/>
    <w:rsid w:val="00C6483C"/>
    <w:rsid w:val="00C64AE9"/>
    <w:rsid w:val="00C70CFF"/>
    <w:rsid w:val="00C718FE"/>
    <w:rsid w:val="00C82CC2"/>
    <w:rsid w:val="00C86CEC"/>
    <w:rsid w:val="00C8773D"/>
    <w:rsid w:val="00C87ABB"/>
    <w:rsid w:val="00C91831"/>
    <w:rsid w:val="00C953DF"/>
    <w:rsid w:val="00CA0CA0"/>
    <w:rsid w:val="00CB4CCF"/>
    <w:rsid w:val="00CB65EB"/>
    <w:rsid w:val="00CC0CBA"/>
    <w:rsid w:val="00CC41C5"/>
    <w:rsid w:val="00CC518A"/>
    <w:rsid w:val="00CD5401"/>
    <w:rsid w:val="00CE2709"/>
    <w:rsid w:val="00CE2D64"/>
    <w:rsid w:val="00CE5D14"/>
    <w:rsid w:val="00CE6198"/>
    <w:rsid w:val="00CF1377"/>
    <w:rsid w:val="00CF6230"/>
    <w:rsid w:val="00D017FC"/>
    <w:rsid w:val="00D01E22"/>
    <w:rsid w:val="00D0207C"/>
    <w:rsid w:val="00D0226A"/>
    <w:rsid w:val="00D13147"/>
    <w:rsid w:val="00D463FF"/>
    <w:rsid w:val="00D46406"/>
    <w:rsid w:val="00D5715A"/>
    <w:rsid w:val="00D57841"/>
    <w:rsid w:val="00D71687"/>
    <w:rsid w:val="00D74813"/>
    <w:rsid w:val="00D81FE2"/>
    <w:rsid w:val="00D824D0"/>
    <w:rsid w:val="00D85FDB"/>
    <w:rsid w:val="00DA30BC"/>
    <w:rsid w:val="00DA69C2"/>
    <w:rsid w:val="00DA6D70"/>
    <w:rsid w:val="00DB6050"/>
    <w:rsid w:val="00DC2C34"/>
    <w:rsid w:val="00DC3362"/>
    <w:rsid w:val="00DC35AC"/>
    <w:rsid w:val="00DC77C0"/>
    <w:rsid w:val="00DD2A49"/>
    <w:rsid w:val="00DD311A"/>
    <w:rsid w:val="00DD67B8"/>
    <w:rsid w:val="00DE19A2"/>
    <w:rsid w:val="00DE2C87"/>
    <w:rsid w:val="00DE459A"/>
    <w:rsid w:val="00DF27DA"/>
    <w:rsid w:val="00DF4DBE"/>
    <w:rsid w:val="00E02DAD"/>
    <w:rsid w:val="00E2124C"/>
    <w:rsid w:val="00E36E64"/>
    <w:rsid w:val="00E40820"/>
    <w:rsid w:val="00E45899"/>
    <w:rsid w:val="00E4658F"/>
    <w:rsid w:val="00E54A67"/>
    <w:rsid w:val="00E61C0D"/>
    <w:rsid w:val="00E63EB4"/>
    <w:rsid w:val="00E66160"/>
    <w:rsid w:val="00E71329"/>
    <w:rsid w:val="00E76B60"/>
    <w:rsid w:val="00E8363B"/>
    <w:rsid w:val="00E84966"/>
    <w:rsid w:val="00E90C14"/>
    <w:rsid w:val="00E92383"/>
    <w:rsid w:val="00EA040A"/>
    <w:rsid w:val="00EA1B3A"/>
    <w:rsid w:val="00EA2109"/>
    <w:rsid w:val="00EA45AE"/>
    <w:rsid w:val="00EA5FCE"/>
    <w:rsid w:val="00EB5D6F"/>
    <w:rsid w:val="00EC143B"/>
    <w:rsid w:val="00EC76E9"/>
    <w:rsid w:val="00ED3078"/>
    <w:rsid w:val="00ED318D"/>
    <w:rsid w:val="00ED4D4E"/>
    <w:rsid w:val="00ED6249"/>
    <w:rsid w:val="00EE0C77"/>
    <w:rsid w:val="00EE4E54"/>
    <w:rsid w:val="00EF2789"/>
    <w:rsid w:val="00EF4334"/>
    <w:rsid w:val="00EF6764"/>
    <w:rsid w:val="00F0180C"/>
    <w:rsid w:val="00F17B56"/>
    <w:rsid w:val="00F23CE3"/>
    <w:rsid w:val="00F25C88"/>
    <w:rsid w:val="00F3307B"/>
    <w:rsid w:val="00F4262A"/>
    <w:rsid w:val="00F436BB"/>
    <w:rsid w:val="00F448C0"/>
    <w:rsid w:val="00F44C4B"/>
    <w:rsid w:val="00F47145"/>
    <w:rsid w:val="00F545BF"/>
    <w:rsid w:val="00F56453"/>
    <w:rsid w:val="00F677A7"/>
    <w:rsid w:val="00F71B56"/>
    <w:rsid w:val="00F81429"/>
    <w:rsid w:val="00F832C8"/>
    <w:rsid w:val="00F873B3"/>
    <w:rsid w:val="00F87525"/>
    <w:rsid w:val="00FA21BC"/>
    <w:rsid w:val="00FA33FE"/>
    <w:rsid w:val="00FA42B9"/>
    <w:rsid w:val="00FA755A"/>
    <w:rsid w:val="00FB2B0F"/>
    <w:rsid w:val="00FB3090"/>
    <w:rsid w:val="00FB4F6B"/>
    <w:rsid w:val="00FB5FE1"/>
    <w:rsid w:val="00FC0E8D"/>
    <w:rsid w:val="00FC30D2"/>
    <w:rsid w:val="00FC46EF"/>
    <w:rsid w:val="00FC5384"/>
    <w:rsid w:val="00FD31B3"/>
    <w:rsid w:val="00FD4204"/>
    <w:rsid w:val="00FE3607"/>
    <w:rsid w:val="00FE55E6"/>
    <w:rsid w:val="00FF3CCB"/>
    <w:rsid w:val="00FF57B5"/>
    <w:rsid w:val="00FF7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outlineLvl w:val="0"/>
    </w:pPr>
    <w:rPr>
      <w:color w:val="22413A"/>
      <w:sz w:val="48"/>
    </w:rPr>
  </w:style>
  <w:style w:type="paragraph" w:styleId="Heading2">
    <w:name w:val="heading 2"/>
    <w:basedOn w:val="Normal"/>
    <w:next w:val="Normal"/>
    <w:link w:val="Heading2Char"/>
    <w:qFormat/>
    <w:rsid w:val="00A01C3E"/>
    <w:pPr>
      <w:keepNext/>
      <w:spacing w:before="24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A01C3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F17B56"/>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ListParagraphChar">
    <w:name w:val="List Paragraph Char"/>
    <w:link w:val="ListParagraph"/>
    <w:uiPriority w:val="34"/>
    <w:rsid w:val="00364843"/>
    <w:rPr>
      <w:rFonts w:ascii="Arial" w:hAnsi="Arial"/>
      <w:sz w:val="24"/>
      <w:szCs w:val="22"/>
      <w:lang w:eastAsia="en-US" w:bidi="he-IL"/>
    </w:rPr>
  </w:style>
  <w:style w:type="paragraph" w:customStyle="1" w:styleId="NumberedParagraph">
    <w:name w:val="Numbered Paragraph"/>
    <w:basedOn w:val="Normal"/>
    <w:link w:val="NumberedParagraphChar"/>
    <w:qFormat/>
    <w:rsid w:val="00364843"/>
    <w:pPr>
      <w:numPr>
        <w:numId w:val="5"/>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364843"/>
    <w:rPr>
      <w:rFonts w:ascii="Arial" w:eastAsia="Times New Roman" w:hAnsi="Arial"/>
      <w:sz w:val="24"/>
      <w:szCs w:val="24"/>
      <w:lang w:eastAsia="en-US"/>
    </w:rPr>
  </w:style>
  <w:style w:type="character" w:customStyle="1" w:styleId="normaltextrun">
    <w:name w:val="normaltextrun"/>
    <w:rsid w:val="008930BB"/>
  </w:style>
  <w:style w:type="character" w:customStyle="1" w:styleId="eop">
    <w:name w:val="eop"/>
    <w:rsid w:val="008930BB"/>
  </w:style>
  <w:style w:type="paragraph" w:styleId="TOC4">
    <w:name w:val="toc 4"/>
    <w:basedOn w:val="Normal"/>
    <w:next w:val="Normal"/>
    <w:autoRedefine/>
    <w:uiPriority w:val="39"/>
    <w:unhideWhenUsed/>
    <w:rsid w:val="00331ED1"/>
    <w:pPr>
      <w:spacing w:after="100" w:line="259" w:lineRule="auto"/>
      <w:ind w:left="660"/>
    </w:pPr>
    <w:rPr>
      <w:rFonts w:asciiTheme="minorHAnsi" w:eastAsiaTheme="minorEastAsia" w:hAnsiTheme="minorHAnsi" w:cstheme="minorBidi"/>
      <w:sz w:val="22"/>
      <w:lang w:eastAsia="en-GB" w:bidi="ar-SA"/>
    </w:rPr>
  </w:style>
  <w:style w:type="paragraph" w:styleId="TOC5">
    <w:name w:val="toc 5"/>
    <w:basedOn w:val="Normal"/>
    <w:next w:val="Normal"/>
    <w:autoRedefine/>
    <w:uiPriority w:val="39"/>
    <w:unhideWhenUsed/>
    <w:rsid w:val="00331ED1"/>
    <w:pPr>
      <w:spacing w:after="100" w:line="259" w:lineRule="auto"/>
      <w:ind w:left="880"/>
    </w:pPr>
    <w:rPr>
      <w:rFonts w:asciiTheme="minorHAnsi" w:eastAsiaTheme="minorEastAsia" w:hAnsiTheme="minorHAnsi" w:cstheme="minorBidi"/>
      <w:sz w:val="22"/>
      <w:lang w:eastAsia="en-GB" w:bidi="ar-SA"/>
    </w:rPr>
  </w:style>
  <w:style w:type="paragraph" w:styleId="TOC6">
    <w:name w:val="toc 6"/>
    <w:basedOn w:val="Normal"/>
    <w:next w:val="Normal"/>
    <w:autoRedefine/>
    <w:uiPriority w:val="39"/>
    <w:unhideWhenUsed/>
    <w:rsid w:val="00331ED1"/>
    <w:pPr>
      <w:spacing w:after="100" w:line="259" w:lineRule="auto"/>
      <w:ind w:left="1100"/>
    </w:pPr>
    <w:rPr>
      <w:rFonts w:asciiTheme="minorHAnsi" w:eastAsiaTheme="minorEastAsia" w:hAnsiTheme="minorHAnsi" w:cstheme="minorBidi"/>
      <w:sz w:val="22"/>
      <w:lang w:eastAsia="en-GB" w:bidi="ar-SA"/>
    </w:rPr>
  </w:style>
  <w:style w:type="paragraph" w:styleId="TOC7">
    <w:name w:val="toc 7"/>
    <w:basedOn w:val="Normal"/>
    <w:next w:val="Normal"/>
    <w:autoRedefine/>
    <w:uiPriority w:val="39"/>
    <w:unhideWhenUsed/>
    <w:rsid w:val="00331ED1"/>
    <w:pPr>
      <w:spacing w:after="100" w:line="259" w:lineRule="auto"/>
      <w:ind w:left="1320"/>
    </w:pPr>
    <w:rPr>
      <w:rFonts w:asciiTheme="minorHAnsi" w:eastAsiaTheme="minorEastAsia" w:hAnsiTheme="minorHAnsi" w:cstheme="minorBidi"/>
      <w:sz w:val="22"/>
      <w:lang w:eastAsia="en-GB" w:bidi="ar-SA"/>
    </w:rPr>
  </w:style>
  <w:style w:type="paragraph" w:styleId="TOC8">
    <w:name w:val="toc 8"/>
    <w:basedOn w:val="Normal"/>
    <w:next w:val="Normal"/>
    <w:autoRedefine/>
    <w:uiPriority w:val="39"/>
    <w:unhideWhenUsed/>
    <w:rsid w:val="00331ED1"/>
    <w:pPr>
      <w:spacing w:after="100" w:line="259" w:lineRule="auto"/>
      <w:ind w:left="1540"/>
    </w:pPr>
    <w:rPr>
      <w:rFonts w:asciiTheme="minorHAnsi" w:eastAsiaTheme="minorEastAsia" w:hAnsiTheme="minorHAnsi" w:cstheme="minorBidi"/>
      <w:sz w:val="22"/>
      <w:lang w:eastAsia="en-GB" w:bidi="ar-SA"/>
    </w:rPr>
  </w:style>
  <w:style w:type="paragraph" w:styleId="TOC9">
    <w:name w:val="toc 9"/>
    <w:basedOn w:val="Normal"/>
    <w:next w:val="Normal"/>
    <w:autoRedefine/>
    <w:uiPriority w:val="39"/>
    <w:unhideWhenUsed/>
    <w:rsid w:val="00331ED1"/>
    <w:pPr>
      <w:spacing w:after="100" w:line="259" w:lineRule="auto"/>
      <w:ind w:left="1760"/>
    </w:pPr>
    <w:rPr>
      <w:rFonts w:asciiTheme="minorHAnsi" w:eastAsiaTheme="minorEastAsia" w:hAnsiTheme="minorHAnsi" w:cstheme="minorBidi"/>
      <w:sz w:val="22"/>
      <w:lang w:eastAsia="en-GB" w:bidi="ar-SA"/>
    </w:rPr>
  </w:style>
  <w:style w:type="paragraph" w:customStyle="1" w:styleId="Regulationpara">
    <w:name w:val="Regulation para"/>
    <w:basedOn w:val="ListParagraph"/>
    <w:link w:val="RegulationparaChar"/>
    <w:qFormat/>
    <w:rsid w:val="00315CF2"/>
    <w:pPr>
      <w:numPr>
        <w:numId w:val="96"/>
      </w:numPr>
      <w:ind w:left="714" w:hanging="357"/>
      <w:contextualSpacing w:val="0"/>
    </w:pPr>
  </w:style>
  <w:style w:type="character" w:customStyle="1" w:styleId="RegulationparaChar">
    <w:name w:val="Regulation para Char"/>
    <w:basedOn w:val="ListParagraphChar"/>
    <w:link w:val="Regulationpara"/>
    <w:rsid w:val="00315CF2"/>
    <w:rPr>
      <w:rFonts w:ascii="Arial" w:hAnsi="Arial"/>
      <w:sz w:val="24"/>
      <w:szCs w:val="22"/>
      <w:lang w:eastAsia="en-US" w:bidi="he-IL"/>
    </w:rPr>
  </w:style>
  <w:style w:type="character" w:styleId="FollowedHyperlink">
    <w:name w:val="FollowedHyperlink"/>
    <w:basedOn w:val="DefaultParagraphFont"/>
    <w:uiPriority w:val="99"/>
    <w:semiHidden/>
    <w:unhideWhenUsed/>
    <w:rsid w:val="00B8256D"/>
    <w:rPr>
      <w:color w:val="AA1C76" w:themeColor="followedHyperlink"/>
      <w:u w:val="single"/>
    </w:rPr>
  </w:style>
  <w:style w:type="paragraph" w:styleId="Revision">
    <w:name w:val="Revision"/>
    <w:hidden/>
    <w:uiPriority w:val="99"/>
    <w:semiHidden/>
    <w:rsid w:val="00A97264"/>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44C4B"/>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44C4B"/>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577">
      <w:bodyDiv w:val="1"/>
      <w:marLeft w:val="0"/>
      <w:marRight w:val="0"/>
      <w:marTop w:val="0"/>
      <w:marBottom w:val="0"/>
      <w:divBdr>
        <w:top w:val="none" w:sz="0" w:space="0" w:color="auto"/>
        <w:left w:val="none" w:sz="0" w:space="0" w:color="auto"/>
        <w:bottom w:val="none" w:sz="0" w:space="0" w:color="auto"/>
        <w:right w:val="none" w:sz="0" w:space="0" w:color="auto"/>
      </w:divBdr>
    </w:div>
    <w:div w:id="354800">
      <w:bodyDiv w:val="1"/>
      <w:marLeft w:val="0"/>
      <w:marRight w:val="0"/>
      <w:marTop w:val="0"/>
      <w:marBottom w:val="0"/>
      <w:divBdr>
        <w:top w:val="none" w:sz="0" w:space="0" w:color="auto"/>
        <w:left w:val="none" w:sz="0" w:space="0" w:color="auto"/>
        <w:bottom w:val="none" w:sz="0" w:space="0" w:color="auto"/>
        <w:right w:val="none" w:sz="0" w:space="0" w:color="auto"/>
      </w:divBdr>
    </w:div>
    <w:div w:id="1471462">
      <w:bodyDiv w:val="1"/>
      <w:marLeft w:val="0"/>
      <w:marRight w:val="0"/>
      <w:marTop w:val="0"/>
      <w:marBottom w:val="0"/>
      <w:divBdr>
        <w:top w:val="none" w:sz="0" w:space="0" w:color="auto"/>
        <w:left w:val="none" w:sz="0" w:space="0" w:color="auto"/>
        <w:bottom w:val="none" w:sz="0" w:space="0" w:color="auto"/>
        <w:right w:val="none" w:sz="0" w:space="0" w:color="auto"/>
      </w:divBdr>
    </w:div>
    <w:div w:id="2516798">
      <w:bodyDiv w:val="1"/>
      <w:marLeft w:val="0"/>
      <w:marRight w:val="0"/>
      <w:marTop w:val="0"/>
      <w:marBottom w:val="0"/>
      <w:divBdr>
        <w:top w:val="none" w:sz="0" w:space="0" w:color="auto"/>
        <w:left w:val="none" w:sz="0" w:space="0" w:color="auto"/>
        <w:bottom w:val="none" w:sz="0" w:space="0" w:color="auto"/>
        <w:right w:val="none" w:sz="0" w:space="0" w:color="auto"/>
      </w:divBdr>
    </w:div>
    <w:div w:id="3021165">
      <w:bodyDiv w:val="1"/>
      <w:marLeft w:val="0"/>
      <w:marRight w:val="0"/>
      <w:marTop w:val="0"/>
      <w:marBottom w:val="0"/>
      <w:divBdr>
        <w:top w:val="none" w:sz="0" w:space="0" w:color="auto"/>
        <w:left w:val="none" w:sz="0" w:space="0" w:color="auto"/>
        <w:bottom w:val="none" w:sz="0" w:space="0" w:color="auto"/>
        <w:right w:val="none" w:sz="0" w:space="0" w:color="auto"/>
      </w:divBdr>
    </w:div>
    <w:div w:id="5601060">
      <w:bodyDiv w:val="1"/>
      <w:marLeft w:val="0"/>
      <w:marRight w:val="0"/>
      <w:marTop w:val="0"/>
      <w:marBottom w:val="0"/>
      <w:divBdr>
        <w:top w:val="none" w:sz="0" w:space="0" w:color="auto"/>
        <w:left w:val="none" w:sz="0" w:space="0" w:color="auto"/>
        <w:bottom w:val="none" w:sz="0" w:space="0" w:color="auto"/>
        <w:right w:val="none" w:sz="0" w:space="0" w:color="auto"/>
      </w:divBdr>
    </w:div>
    <w:div w:id="6953661">
      <w:bodyDiv w:val="1"/>
      <w:marLeft w:val="0"/>
      <w:marRight w:val="0"/>
      <w:marTop w:val="0"/>
      <w:marBottom w:val="0"/>
      <w:divBdr>
        <w:top w:val="none" w:sz="0" w:space="0" w:color="auto"/>
        <w:left w:val="none" w:sz="0" w:space="0" w:color="auto"/>
        <w:bottom w:val="none" w:sz="0" w:space="0" w:color="auto"/>
        <w:right w:val="none" w:sz="0" w:space="0" w:color="auto"/>
      </w:divBdr>
    </w:div>
    <w:div w:id="7563596">
      <w:bodyDiv w:val="1"/>
      <w:marLeft w:val="0"/>
      <w:marRight w:val="0"/>
      <w:marTop w:val="0"/>
      <w:marBottom w:val="0"/>
      <w:divBdr>
        <w:top w:val="none" w:sz="0" w:space="0" w:color="auto"/>
        <w:left w:val="none" w:sz="0" w:space="0" w:color="auto"/>
        <w:bottom w:val="none" w:sz="0" w:space="0" w:color="auto"/>
        <w:right w:val="none" w:sz="0" w:space="0" w:color="auto"/>
      </w:divBdr>
    </w:div>
    <w:div w:id="8483360">
      <w:bodyDiv w:val="1"/>
      <w:marLeft w:val="0"/>
      <w:marRight w:val="0"/>
      <w:marTop w:val="0"/>
      <w:marBottom w:val="0"/>
      <w:divBdr>
        <w:top w:val="none" w:sz="0" w:space="0" w:color="auto"/>
        <w:left w:val="none" w:sz="0" w:space="0" w:color="auto"/>
        <w:bottom w:val="none" w:sz="0" w:space="0" w:color="auto"/>
        <w:right w:val="none" w:sz="0" w:space="0" w:color="auto"/>
      </w:divBdr>
    </w:div>
    <w:div w:id="9837603">
      <w:bodyDiv w:val="1"/>
      <w:marLeft w:val="0"/>
      <w:marRight w:val="0"/>
      <w:marTop w:val="0"/>
      <w:marBottom w:val="0"/>
      <w:divBdr>
        <w:top w:val="none" w:sz="0" w:space="0" w:color="auto"/>
        <w:left w:val="none" w:sz="0" w:space="0" w:color="auto"/>
        <w:bottom w:val="none" w:sz="0" w:space="0" w:color="auto"/>
        <w:right w:val="none" w:sz="0" w:space="0" w:color="auto"/>
      </w:divBdr>
    </w:div>
    <w:div w:id="11811462">
      <w:bodyDiv w:val="1"/>
      <w:marLeft w:val="0"/>
      <w:marRight w:val="0"/>
      <w:marTop w:val="0"/>
      <w:marBottom w:val="0"/>
      <w:divBdr>
        <w:top w:val="none" w:sz="0" w:space="0" w:color="auto"/>
        <w:left w:val="none" w:sz="0" w:space="0" w:color="auto"/>
        <w:bottom w:val="none" w:sz="0" w:space="0" w:color="auto"/>
        <w:right w:val="none" w:sz="0" w:space="0" w:color="auto"/>
      </w:divBdr>
    </w:div>
    <w:div w:id="12417907">
      <w:bodyDiv w:val="1"/>
      <w:marLeft w:val="0"/>
      <w:marRight w:val="0"/>
      <w:marTop w:val="0"/>
      <w:marBottom w:val="0"/>
      <w:divBdr>
        <w:top w:val="none" w:sz="0" w:space="0" w:color="auto"/>
        <w:left w:val="none" w:sz="0" w:space="0" w:color="auto"/>
        <w:bottom w:val="none" w:sz="0" w:space="0" w:color="auto"/>
        <w:right w:val="none" w:sz="0" w:space="0" w:color="auto"/>
      </w:divBdr>
    </w:div>
    <w:div w:id="16663400">
      <w:bodyDiv w:val="1"/>
      <w:marLeft w:val="0"/>
      <w:marRight w:val="0"/>
      <w:marTop w:val="0"/>
      <w:marBottom w:val="0"/>
      <w:divBdr>
        <w:top w:val="none" w:sz="0" w:space="0" w:color="auto"/>
        <w:left w:val="none" w:sz="0" w:space="0" w:color="auto"/>
        <w:bottom w:val="none" w:sz="0" w:space="0" w:color="auto"/>
        <w:right w:val="none" w:sz="0" w:space="0" w:color="auto"/>
      </w:divBdr>
    </w:div>
    <w:div w:id="21446393">
      <w:bodyDiv w:val="1"/>
      <w:marLeft w:val="0"/>
      <w:marRight w:val="0"/>
      <w:marTop w:val="0"/>
      <w:marBottom w:val="0"/>
      <w:divBdr>
        <w:top w:val="none" w:sz="0" w:space="0" w:color="auto"/>
        <w:left w:val="none" w:sz="0" w:space="0" w:color="auto"/>
        <w:bottom w:val="none" w:sz="0" w:space="0" w:color="auto"/>
        <w:right w:val="none" w:sz="0" w:space="0" w:color="auto"/>
      </w:divBdr>
    </w:div>
    <w:div w:id="24673887">
      <w:bodyDiv w:val="1"/>
      <w:marLeft w:val="0"/>
      <w:marRight w:val="0"/>
      <w:marTop w:val="0"/>
      <w:marBottom w:val="0"/>
      <w:divBdr>
        <w:top w:val="none" w:sz="0" w:space="0" w:color="auto"/>
        <w:left w:val="none" w:sz="0" w:space="0" w:color="auto"/>
        <w:bottom w:val="none" w:sz="0" w:space="0" w:color="auto"/>
        <w:right w:val="none" w:sz="0" w:space="0" w:color="auto"/>
      </w:divBdr>
    </w:div>
    <w:div w:id="26761494">
      <w:bodyDiv w:val="1"/>
      <w:marLeft w:val="0"/>
      <w:marRight w:val="0"/>
      <w:marTop w:val="0"/>
      <w:marBottom w:val="0"/>
      <w:divBdr>
        <w:top w:val="none" w:sz="0" w:space="0" w:color="auto"/>
        <w:left w:val="none" w:sz="0" w:space="0" w:color="auto"/>
        <w:bottom w:val="none" w:sz="0" w:space="0" w:color="auto"/>
        <w:right w:val="none" w:sz="0" w:space="0" w:color="auto"/>
      </w:divBdr>
    </w:div>
    <w:div w:id="27687652">
      <w:bodyDiv w:val="1"/>
      <w:marLeft w:val="0"/>
      <w:marRight w:val="0"/>
      <w:marTop w:val="0"/>
      <w:marBottom w:val="0"/>
      <w:divBdr>
        <w:top w:val="none" w:sz="0" w:space="0" w:color="auto"/>
        <w:left w:val="none" w:sz="0" w:space="0" w:color="auto"/>
        <w:bottom w:val="none" w:sz="0" w:space="0" w:color="auto"/>
        <w:right w:val="none" w:sz="0" w:space="0" w:color="auto"/>
      </w:divBdr>
    </w:div>
    <w:div w:id="36662290">
      <w:bodyDiv w:val="1"/>
      <w:marLeft w:val="0"/>
      <w:marRight w:val="0"/>
      <w:marTop w:val="0"/>
      <w:marBottom w:val="0"/>
      <w:divBdr>
        <w:top w:val="none" w:sz="0" w:space="0" w:color="auto"/>
        <w:left w:val="none" w:sz="0" w:space="0" w:color="auto"/>
        <w:bottom w:val="none" w:sz="0" w:space="0" w:color="auto"/>
        <w:right w:val="none" w:sz="0" w:space="0" w:color="auto"/>
      </w:divBdr>
    </w:div>
    <w:div w:id="40442444">
      <w:bodyDiv w:val="1"/>
      <w:marLeft w:val="0"/>
      <w:marRight w:val="0"/>
      <w:marTop w:val="0"/>
      <w:marBottom w:val="0"/>
      <w:divBdr>
        <w:top w:val="none" w:sz="0" w:space="0" w:color="auto"/>
        <w:left w:val="none" w:sz="0" w:space="0" w:color="auto"/>
        <w:bottom w:val="none" w:sz="0" w:space="0" w:color="auto"/>
        <w:right w:val="none" w:sz="0" w:space="0" w:color="auto"/>
      </w:divBdr>
    </w:div>
    <w:div w:id="41832509">
      <w:bodyDiv w:val="1"/>
      <w:marLeft w:val="0"/>
      <w:marRight w:val="0"/>
      <w:marTop w:val="0"/>
      <w:marBottom w:val="0"/>
      <w:divBdr>
        <w:top w:val="none" w:sz="0" w:space="0" w:color="auto"/>
        <w:left w:val="none" w:sz="0" w:space="0" w:color="auto"/>
        <w:bottom w:val="none" w:sz="0" w:space="0" w:color="auto"/>
        <w:right w:val="none" w:sz="0" w:space="0" w:color="auto"/>
      </w:divBdr>
    </w:div>
    <w:div w:id="44069198">
      <w:bodyDiv w:val="1"/>
      <w:marLeft w:val="0"/>
      <w:marRight w:val="0"/>
      <w:marTop w:val="0"/>
      <w:marBottom w:val="0"/>
      <w:divBdr>
        <w:top w:val="none" w:sz="0" w:space="0" w:color="auto"/>
        <w:left w:val="none" w:sz="0" w:space="0" w:color="auto"/>
        <w:bottom w:val="none" w:sz="0" w:space="0" w:color="auto"/>
        <w:right w:val="none" w:sz="0" w:space="0" w:color="auto"/>
      </w:divBdr>
    </w:div>
    <w:div w:id="46682355">
      <w:bodyDiv w:val="1"/>
      <w:marLeft w:val="0"/>
      <w:marRight w:val="0"/>
      <w:marTop w:val="0"/>
      <w:marBottom w:val="0"/>
      <w:divBdr>
        <w:top w:val="none" w:sz="0" w:space="0" w:color="auto"/>
        <w:left w:val="none" w:sz="0" w:space="0" w:color="auto"/>
        <w:bottom w:val="none" w:sz="0" w:space="0" w:color="auto"/>
        <w:right w:val="none" w:sz="0" w:space="0" w:color="auto"/>
      </w:divBdr>
    </w:div>
    <w:div w:id="47847477">
      <w:bodyDiv w:val="1"/>
      <w:marLeft w:val="0"/>
      <w:marRight w:val="0"/>
      <w:marTop w:val="0"/>
      <w:marBottom w:val="0"/>
      <w:divBdr>
        <w:top w:val="none" w:sz="0" w:space="0" w:color="auto"/>
        <w:left w:val="none" w:sz="0" w:space="0" w:color="auto"/>
        <w:bottom w:val="none" w:sz="0" w:space="0" w:color="auto"/>
        <w:right w:val="none" w:sz="0" w:space="0" w:color="auto"/>
      </w:divBdr>
    </w:div>
    <w:div w:id="50427636">
      <w:bodyDiv w:val="1"/>
      <w:marLeft w:val="0"/>
      <w:marRight w:val="0"/>
      <w:marTop w:val="0"/>
      <w:marBottom w:val="0"/>
      <w:divBdr>
        <w:top w:val="none" w:sz="0" w:space="0" w:color="auto"/>
        <w:left w:val="none" w:sz="0" w:space="0" w:color="auto"/>
        <w:bottom w:val="none" w:sz="0" w:space="0" w:color="auto"/>
        <w:right w:val="none" w:sz="0" w:space="0" w:color="auto"/>
      </w:divBdr>
    </w:div>
    <w:div w:id="57436870">
      <w:bodyDiv w:val="1"/>
      <w:marLeft w:val="0"/>
      <w:marRight w:val="0"/>
      <w:marTop w:val="0"/>
      <w:marBottom w:val="0"/>
      <w:divBdr>
        <w:top w:val="none" w:sz="0" w:space="0" w:color="auto"/>
        <w:left w:val="none" w:sz="0" w:space="0" w:color="auto"/>
        <w:bottom w:val="none" w:sz="0" w:space="0" w:color="auto"/>
        <w:right w:val="none" w:sz="0" w:space="0" w:color="auto"/>
      </w:divBdr>
    </w:div>
    <w:div w:id="58210337">
      <w:bodyDiv w:val="1"/>
      <w:marLeft w:val="0"/>
      <w:marRight w:val="0"/>
      <w:marTop w:val="0"/>
      <w:marBottom w:val="0"/>
      <w:divBdr>
        <w:top w:val="none" w:sz="0" w:space="0" w:color="auto"/>
        <w:left w:val="none" w:sz="0" w:space="0" w:color="auto"/>
        <w:bottom w:val="none" w:sz="0" w:space="0" w:color="auto"/>
        <w:right w:val="none" w:sz="0" w:space="0" w:color="auto"/>
      </w:divBdr>
    </w:div>
    <w:div w:id="65688594">
      <w:bodyDiv w:val="1"/>
      <w:marLeft w:val="0"/>
      <w:marRight w:val="0"/>
      <w:marTop w:val="0"/>
      <w:marBottom w:val="0"/>
      <w:divBdr>
        <w:top w:val="none" w:sz="0" w:space="0" w:color="auto"/>
        <w:left w:val="none" w:sz="0" w:space="0" w:color="auto"/>
        <w:bottom w:val="none" w:sz="0" w:space="0" w:color="auto"/>
        <w:right w:val="none" w:sz="0" w:space="0" w:color="auto"/>
      </w:divBdr>
    </w:div>
    <w:div w:id="73749724">
      <w:bodyDiv w:val="1"/>
      <w:marLeft w:val="0"/>
      <w:marRight w:val="0"/>
      <w:marTop w:val="0"/>
      <w:marBottom w:val="0"/>
      <w:divBdr>
        <w:top w:val="none" w:sz="0" w:space="0" w:color="auto"/>
        <w:left w:val="none" w:sz="0" w:space="0" w:color="auto"/>
        <w:bottom w:val="none" w:sz="0" w:space="0" w:color="auto"/>
        <w:right w:val="none" w:sz="0" w:space="0" w:color="auto"/>
      </w:divBdr>
    </w:div>
    <w:div w:id="74059786">
      <w:bodyDiv w:val="1"/>
      <w:marLeft w:val="0"/>
      <w:marRight w:val="0"/>
      <w:marTop w:val="0"/>
      <w:marBottom w:val="0"/>
      <w:divBdr>
        <w:top w:val="none" w:sz="0" w:space="0" w:color="auto"/>
        <w:left w:val="none" w:sz="0" w:space="0" w:color="auto"/>
        <w:bottom w:val="none" w:sz="0" w:space="0" w:color="auto"/>
        <w:right w:val="none" w:sz="0" w:space="0" w:color="auto"/>
      </w:divBdr>
    </w:div>
    <w:div w:id="74481166">
      <w:bodyDiv w:val="1"/>
      <w:marLeft w:val="0"/>
      <w:marRight w:val="0"/>
      <w:marTop w:val="0"/>
      <w:marBottom w:val="0"/>
      <w:divBdr>
        <w:top w:val="none" w:sz="0" w:space="0" w:color="auto"/>
        <w:left w:val="none" w:sz="0" w:space="0" w:color="auto"/>
        <w:bottom w:val="none" w:sz="0" w:space="0" w:color="auto"/>
        <w:right w:val="none" w:sz="0" w:space="0" w:color="auto"/>
      </w:divBdr>
    </w:div>
    <w:div w:id="75593333">
      <w:bodyDiv w:val="1"/>
      <w:marLeft w:val="0"/>
      <w:marRight w:val="0"/>
      <w:marTop w:val="0"/>
      <w:marBottom w:val="0"/>
      <w:divBdr>
        <w:top w:val="none" w:sz="0" w:space="0" w:color="auto"/>
        <w:left w:val="none" w:sz="0" w:space="0" w:color="auto"/>
        <w:bottom w:val="none" w:sz="0" w:space="0" w:color="auto"/>
        <w:right w:val="none" w:sz="0" w:space="0" w:color="auto"/>
      </w:divBdr>
    </w:div>
    <w:div w:id="81613032">
      <w:bodyDiv w:val="1"/>
      <w:marLeft w:val="0"/>
      <w:marRight w:val="0"/>
      <w:marTop w:val="0"/>
      <w:marBottom w:val="0"/>
      <w:divBdr>
        <w:top w:val="none" w:sz="0" w:space="0" w:color="auto"/>
        <w:left w:val="none" w:sz="0" w:space="0" w:color="auto"/>
        <w:bottom w:val="none" w:sz="0" w:space="0" w:color="auto"/>
        <w:right w:val="none" w:sz="0" w:space="0" w:color="auto"/>
      </w:divBdr>
    </w:div>
    <w:div w:id="85420976">
      <w:bodyDiv w:val="1"/>
      <w:marLeft w:val="0"/>
      <w:marRight w:val="0"/>
      <w:marTop w:val="0"/>
      <w:marBottom w:val="0"/>
      <w:divBdr>
        <w:top w:val="none" w:sz="0" w:space="0" w:color="auto"/>
        <w:left w:val="none" w:sz="0" w:space="0" w:color="auto"/>
        <w:bottom w:val="none" w:sz="0" w:space="0" w:color="auto"/>
        <w:right w:val="none" w:sz="0" w:space="0" w:color="auto"/>
      </w:divBdr>
    </w:div>
    <w:div w:id="86586693">
      <w:bodyDiv w:val="1"/>
      <w:marLeft w:val="0"/>
      <w:marRight w:val="0"/>
      <w:marTop w:val="0"/>
      <w:marBottom w:val="0"/>
      <w:divBdr>
        <w:top w:val="none" w:sz="0" w:space="0" w:color="auto"/>
        <w:left w:val="none" w:sz="0" w:space="0" w:color="auto"/>
        <w:bottom w:val="none" w:sz="0" w:space="0" w:color="auto"/>
        <w:right w:val="none" w:sz="0" w:space="0" w:color="auto"/>
      </w:divBdr>
    </w:div>
    <w:div w:id="8743211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6297961">
      <w:bodyDiv w:val="1"/>
      <w:marLeft w:val="0"/>
      <w:marRight w:val="0"/>
      <w:marTop w:val="0"/>
      <w:marBottom w:val="0"/>
      <w:divBdr>
        <w:top w:val="none" w:sz="0" w:space="0" w:color="auto"/>
        <w:left w:val="none" w:sz="0" w:space="0" w:color="auto"/>
        <w:bottom w:val="none" w:sz="0" w:space="0" w:color="auto"/>
        <w:right w:val="none" w:sz="0" w:space="0" w:color="auto"/>
      </w:divBdr>
    </w:div>
    <w:div w:id="98306388">
      <w:bodyDiv w:val="1"/>
      <w:marLeft w:val="0"/>
      <w:marRight w:val="0"/>
      <w:marTop w:val="0"/>
      <w:marBottom w:val="0"/>
      <w:divBdr>
        <w:top w:val="none" w:sz="0" w:space="0" w:color="auto"/>
        <w:left w:val="none" w:sz="0" w:space="0" w:color="auto"/>
        <w:bottom w:val="none" w:sz="0" w:space="0" w:color="auto"/>
        <w:right w:val="none" w:sz="0" w:space="0" w:color="auto"/>
      </w:divBdr>
    </w:div>
    <w:div w:id="98915961">
      <w:bodyDiv w:val="1"/>
      <w:marLeft w:val="0"/>
      <w:marRight w:val="0"/>
      <w:marTop w:val="0"/>
      <w:marBottom w:val="0"/>
      <w:divBdr>
        <w:top w:val="none" w:sz="0" w:space="0" w:color="auto"/>
        <w:left w:val="none" w:sz="0" w:space="0" w:color="auto"/>
        <w:bottom w:val="none" w:sz="0" w:space="0" w:color="auto"/>
        <w:right w:val="none" w:sz="0" w:space="0" w:color="auto"/>
      </w:divBdr>
    </w:div>
    <w:div w:id="99181225">
      <w:bodyDiv w:val="1"/>
      <w:marLeft w:val="0"/>
      <w:marRight w:val="0"/>
      <w:marTop w:val="0"/>
      <w:marBottom w:val="0"/>
      <w:divBdr>
        <w:top w:val="none" w:sz="0" w:space="0" w:color="auto"/>
        <w:left w:val="none" w:sz="0" w:space="0" w:color="auto"/>
        <w:bottom w:val="none" w:sz="0" w:space="0" w:color="auto"/>
        <w:right w:val="none" w:sz="0" w:space="0" w:color="auto"/>
      </w:divBdr>
    </w:div>
    <w:div w:id="101144932">
      <w:bodyDiv w:val="1"/>
      <w:marLeft w:val="0"/>
      <w:marRight w:val="0"/>
      <w:marTop w:val="0"/>
      <w:marBottom w:val="0"/>
      <w:divBdr>
        <w:top w:val="none" w:sz="0" w:space="0" w:color="auto"/>
        <w:left w:val="none" w:sz="0" w:space="0" w:color="auto"/>
        <w:bottom w:val="none" w:sz="0" w:space="0" w:color="auto"/>
        <w:right w:val="none" w:sz="0" w:space="0" w:color="auto"/>
      </w:divBdr>
    </w:div>
    <w:div w:id="111435966">
      <w:bodyDiv w:val="1"/>
      <w:marLeft w:val="0"/>
      <w:marRight w:val="0"/>
      <w:marTop w:val="0"/>
      <w:marBottom w:val="0"/>
      <w:divBdr>
        <w:top w:val="none" w:sz="0" w:space="0" w:color="auto"/>
        <w:left w:val="none" w:sz="0" w:space="0" w:color="auto"/>
        <w:bottom w:val="none" w:sz="0" w:space="0" w:color="auto"/>
        <w:right w:val="none" w:sz="0" w:space="0" w:color="auto"/>
      </w:divBdr>
    </w:div>
    <w:div w:id="112595433">
      <w:bodyDiv w:val="1"/>
      <w:marLeft w:val="0"/>
      <w:marRight w:val="0"/>
      <w:marTop w:val="0"/>
      <w:marBottom w:val="0"/>
      <w:divBdr>
        <w:top w:val="none" w:sz="0" w:space="0" w:color="auto"/>
        <w:left w:val="none" w:sz="0" w:space="0" w:color="auto"/>
        <w:bottom w:val="none" w:sz="0" w:space="0" w:color="auto"/>
        <w:right w:val="none" w:sz="0" w:space="0" w:color="auto"/>
      </w:divBdr>
    </w:div>
    <w:div w:id="113182464">
      <w:bodyDiv w:val="1"/>
      <w:marLeft w:val="0"/>
      <w:marRight w:val="0"/>
      <w:marTop w:val="0"/>
      <w:marBottom w:val="0"/>
      <w:divBdr>
        <w:top w:val="none" w:sz="0" w:space="0" w:color="auto"/>
        <w:left w:val="none" w:sz="0" w:space="0" w:color="auto"/>
        <w:bottom w:val="none" w:sz="0" w:space="0" w:color="auto"/>
        <w:right w:val="none" w:sz="0" w:space="0" w:color="auto"/>
      </w:divBdr>
    </w:div>
    <w:div w:id="116686396">
      <w:bodyDiv w:val="1"/>
      <w:marLeft w:val="0"/>
      <w:marRight w:val="0"/>
      <w:marTop w:val="0"/>
      <w:marBottom w:val="0"/>
      <w:divBdr>
        <w:top w:val="none" w:sz="0" w:space="0" w:color="auto"/>
        <w:left w:val="none" w:sz="0" w:space="0" w:color="auto"/>
        <w:bottom w:val="none" w:sz="0" w:space="0" w:color="auto"/>
        <w:right w:val="none" w:sz="0" w:space="0" w:color="auto"/>
      </w:divBdr>
    </w:div>
    <w:div w:id="125049113">
      <w:bodyDiv w:val="1"/>
      <w:marLeft w:val="0"/>
      <w:marRight w:val="0"/>
      <w:marTop w:val="0"/>
      <w:marBottom w:val="0"/>
      <w:divBdr>
        <w:top w:val="none" w:sz="0" w:space="0" w:color="auto"/>
        <w:left w:val="none" w:sz="0" w:space="0" w:color="auto"/>
        <w:bottom w:val="none" w:sz="0" w:space="0" w:color="auto"/>
        <w:right w:val="none" w:sz="0" w:space="0" w:color="auto"/>
      </w:divBdr>
    </w:div>
    <w:div w:id="126553937">
      <w:bodyDiv w:val="1"/>
      <w:marLeft w:val="0"/>
      <w:marRight w:val="0"/>
      <w:marTop w:val="0"/>
      <w:marBottom w:val="0"/>
      <w:divBdr>
        <w:top w:val="none" w:sz="0" w:space="0" w:color="auto"/>
        <w:left w:val="none" w:sz="0" w:space="0" w:color="auto"/>
        <w:bottom w:val="none" w:sz="0" w:space="0" w:color="auto"/>
        <w:right w:val="none" w:sz="0" w:space="0" w:color="auto"/>
      </w:divBdr>
    </w:div>
    <w:div w:id="131798621">
      <w:bodyDiv w:val="1"/>
      <w:marLeft w:val="0"/>
      <w:marRight w:val="0"/>
      <w:marTop w:val="0"/>
      <w:marBottom w:val="0"/>
      <w:divBdr>
        <w:top w:val="none" w:sz="0" w:space="0" w:color="auto"/>
        <w:left w:val="none" w:sz="0" w:space="0" w:color="auto"/>
        <w:bottom w:val="none" w:sz="0" w:space="0" w:color="auto"/>
        <w:right w:val="none" w:sz="0" w:space="0" w:color="auto"/>
      </w:divBdr>
    </w:div>
    <w:div w:id="137118300">
      <w:bodyDiv w:val="1"/>
      <w:marLeft w:val="0"/>
      <w:marRight w:val="0"/>
      <w:marTop w:val="0"/>
      <w:marBottom w:val="0"/>
      <w:divBdr>
        <w:top w:val="none" w:sz="0" w:space="0" w:color="auto"/>
        <w:left w:val="none" w:sz="0" w:space="0" w:color="auto"/>
        <w:bottom w:val="none" w:sz="0" w:space="0" w:color="auto"/>
        <w:right w:val="none" w:sz="0" w:space="0" w:color="auto"/>
      </w:divBdr>
    </w:div>
    <w:div w:id="138303650">
      <w:bodyDiv w:val="1"/>
      <w:marLeft w:val="0"/>
      <w:marRight w:val="0"/>
      <w:marTop w:val="0"/>
      <w:marBottom w:val="0"/>
      <w:divBdr>
        <w:top w:val="none" w:sz="0" w:space="0" w:color="auto"/>
        <w:left w:val="none" w:sz="0" w:space="0" w:color="auto"/>
        <w:bottom w:val="none" w:sz="0" w:space="0" w:color="auto"/>
        <w:right w:val="none" w:sz="0" w:space="0" w:color="auto"/>
      </w:divBdr>
    </w:div>
    <w:div w:id="138765767">
      <w:bodyDiv w:val="1"/>
      <w:marLeft w:val="0"/>
      <w:marRight w:val="0"/>
      <w:marTop w:val="0"/>
      <w:marBottom w:val="0"/>
      <w:divBdr>
        <w:top w:val="none" w:sz="0" w:space="0" w:color="auto"/>
        <w:left w:val="none" w:sz="0" w:space="0" w:color="auto"/>
        <w:bottom w:val="none" w:sz="0" w:space="0" w:color="auto"/>
        <w:right w:val="none" w:sz="0" w:space="0" w:color="auto"/>
      </w:divBdr>
    </w:div>
    <w:div w:id="140735365">
      <w:bodyDiv w:val="1"/>
      <w:marLeft w:val="0"/>
      <w:marRight w:val="0"/>
      <w:marTop w:val="0"/>
      <w:marBottom w:val="0"/>
      <w:divBdr>
        <w:top w:val="none" w:sz="0" w:space="0" w:color="auto"/>
        <w:left w:val="none" w:sz="0" w:space="0" w:color="auto"/>
        <w:bottom w:val="none" w:sz="0" w:space="0" w:color="auto"/>
        <w:right w:val="none" w:sz="0" w:space="0" w:color="auto"/>
      </w:divBdr>
    </w:div>
    <w:div w:id="141196348">
      <w:bodyDiv w:val="1"/>
      <w:marLeft w:val="0"/>
      <w:marRight w:val="0"/>
      <w:marTop w:val="0"/>
      <w:marBottom w:val="0"/>
      <w:divBdr>
        <w:top w:val="none" w:sz="0" w:space="0" w:color="auto"/>
        <w:left w:val="none" w:sz="0" w:space="0" w:color="auto"/>
        <w:bottom w:val="none" w:sz="0" w:space="0" w:color="auto"/>
        <w:right w:val="none" w:sz="0" w:space="0" w:color="auto"/>
      </w:divBdr>
    </w:div>
    <w:div w:id="142545829">
      <w:bodyDiv w:val="1"/>
      <w:marLeft w:val="0"/>
      <w:marRight w:val="0"/>
      <w:marTop w:val="0"/>
      <w:marBottom w:val="0"/>
      <w:divBdr>
        <w:top w:val="none" w:sz="0" w:space="0" w:color="auto"/>
        <w:left w:val="none" w:sz="0" w:space="0" w:color="auto"/>
        <w:bottom w:val="none" w:sz="0" w:space="0" w:color="auto"/>
        <w:right w:val="none" w:sz="0" w:space="0" w:color="auto"/>
      </w:divBdr>
    </w:div>
    <w:div w:id="145170248">
      <w:bodyDiv w:val="1"/>
      <w:marLeft w:val="0"/>
      <w:marRight w:val="0"/>
      <w:marTop w:val="0"/>
      <w:marBottom w:val="0"/>
      <w:divBdr>
        <w:top w:val="none" w:sz="0" w:space="0" w:color="auto"/>
        <w:left w:val="none" w:sz="0" w:space="0" w:color="auto"/>
        <w:bottom w:val="none" w:sz="0" w:space="0" w:color="auto"/>
        <w:right w:val="none" w:sz="0" w:space="0" w:color="auto"/>
      </w:divBdr>
    </w:div>
    <w:div w:id="147137819">
      <w:bodyDiv w:val="1"/>
      <w:marLeft w:val="0"/>
      <w:marRight w:val="0"/>
      <w:marTop w:val="0"/>
      <w:marBottom w:val="0"/>
      <w:divBdr>
        <w:top w:val="none" w:sz="0" w:space="0" w:color="auto"/>
        <w:left w:val="none" w:sz="0" w:space="0" w:color="auto"/>
        <w:bottom w:val="none" w:sz="0" w:space="0" w:color="auto"/>
        <w:right w:val="none" w:sz="0" w:space="0" w:color="auto"/>
      </w:divBdr>
    </w:div>
    <w:div w:id="151141383">
      <w:bodyDiv w:val="1"/>
      <w:marLeft w:val="0"/>
      <w:marRight w:val="0"/>
      <w:marTop w:val="0"/>
      <w:marBottom w:val="0"/>
      <w:divBdr>
        <w:top w:val="none" w:sz="0" w:space="0" w:color="auto"/>
        <w:left w:val="none" w:sz="0" w:space="0" w:color="auto"/>
        <w:bottom w:val="none" w:sz="0" w:space="0" w:color="auto"/>
        <w:right w:val="none" w:sz="0" w:space="0" w:color="auto"/>
      </w:divBdr>
    </w:div>
    <w:div w:id="152843272">
      <w:bodyDiv w:val="1"/>
      <w:marLeft w:val="0"/>
      <w:marRight w:val="0"/>
      <w:marTop w:val="0"/>
      <w:marBottom w:val="0"/>
      <w:divBdr>
        <w:top w:val="none" w:sz="0" w:space="0" w:color="auto"/>
        <w:left w:val="none" w:sz="0" w:space="0" w:color="auto"/>
        <w:bottom w:val="none" w:sz="0" w:space="0" w:color="auto"/>
        <w:right w:val="none" w:sz="0" w:space="0" w:color="auto"/>
      </w:divBdr>
    </w:div>
    <w:div w:id="154036920">
      <w:bodyDiv w:val="1"/>
      <w:marLeft w:val="0"/>
      <w:marRight w:val="0"/>
      <w:marTop w:val="0"/>
      <w:marBottom w:val="0"/>
      <w:divBdr>
        <w:top w:val="none" w:sz="0" w:space="0" w:color="auto"/>
        <w:left w:val="none" w:sz="0" w:space="0" w:color="auto"/>
        <w:bottom w:val="none" w:sz="0" w:space="0" w:color="auto"/>
        <w:right w:val="none" w:sz="0" w:space="0" w:color="auto"/>
      </w:divBdr>
    </w:div>
    <w:div w:id="157308418">
      <w:bodyDiv w:val="1"/>
      <w:marLeft w:val="0"/>
      <w:marRight w:val="0"/>
      <w:marTop w:val="0"/>
      <w:marBottom w:val="0"/>
      <w:divBdr>
        <w:top w:val="none" w:sz="0" w:space="0" w:color="auto"/>
        <w:left w:val="none" w:sz="0" w:space="0" w:color="auto"/>
        <w:bottom w:val="none" w:sz="0" w:space="0" w:color="auto"/>
        <w:right w:val="none" w:sz="0" w:space="0" w:color="auto"/>
      </w:divBdr>
    </w:div>
    <w:div w:id="158273076">
      <w:bodyDiv w:val="1"/>
      <w:marLeft w:val="0"/>
      <w:marRight w:val="0"/>
      <w:marTop w:val="0"/>
      <w:marBottom w:val="0"/>
      <w:divBdr>
        <w:top w:val="none" w:sz="0" w:space="0" w:color="auto"/>
        <w:left w:val="none" w:sz="0" w:space="0" w:color="auto"/>
        <w:bottom w:val="none" w:sz="0" w:space="0" w:color="auto"/>
        <w:right w:val="none" w:sz="0" w:space="0" w:color="auto"/>
      </w:divBdr>
    </w:div>
    <w:div w:id="160699598">
      <w:bodyDiv w:val="1"/>
      <w:marLeft w:val="0"/>
      <w:marRight w:val="0"/>
      <w:marTop w:val="0"/>
      <w:marBottom w:val="0"/>
      <w:divBdr>
        <w:top w:val="none" w:sz="0" w:space="0" w:color="auto"/>
        <w:left w:val="none" w:sz="0" w:space="0" w:color="auto"/>
        <w:bottom w:val="none" w:sz="0" w:space="0" w:color="auto"/>
        <w:right w:val="none" w:sz="0" w:space="0" w:color="auto"/>
      </w:divBdr>
    </w:div>
    <w:div w:id="160970955">
      <w:bodyDiv w:val="1"/>
      <w:marLeft w:val="0"/>
      <w:marRight w:val="0"/>
      <w:marTop w:val="0"/>
      <w:marBottom w:val="0"/>
      <w:divBdr>
        <w:top w:val="none" w:sz="0" w:space="0" w:color="auto"/>
        <w:left w:val="none" w:sz="0" w:space="0" w:color="auto"/>
        <w:bottom w:val="none" w:sz="0" w:space="0" w:color="auto"/>
        <w:right w:val="none" w:sz="0" w:space="0" w:color="auto"/>
      </w:divBdr>
    </w:div>
    <w:div w:id="163669223">
      <w:bodyDiv w:val="1"/>
      <w:marLeft w:val="0"/>
      <w:marRight w:val="0"/>
      <w:marTop w:val="0"/>
      <w:marBottom w:val="0"/>
      <w:divBdr>
        <w:top w:val="none" w:sz="0" w:space="0" w:color="auto"/>
        <w:left w:val="none" w:sz="0" w:space="0" w:color="auto"/>
        <w:bottom w:val="none" w:sz="0" w:space="0" w:color="auto"/>
        <w:right w:val="none" w:sz="0" w:space="0" w:color="auto"/>
      </w:divBdr>
    </w:div>
    <w:div w:id="164829114">
      <w:bodyDiv w:val="1"/>
      <w:marLeft w:val="0"/>
      <w:marRight w:val="0"/>
      <w:marTop w:val="0"/>
      <w:marBottom w:val="0"/>
      <w:divBdr>
        <w:top w:val="none" w:sz="0" w:space="0" w:color="auto"/>
        <w:left w:val="none" w:sz="0" w:space="0" w:color="auto"/>
        <w:bottom w:val="none" w:sz="0" w:space="0" w:color="auto"/>
        <w:right w:val="none" w:sz="0" w:space="0" w:color="auto"/>
      </w:divBdr>
    </w:div>
    <w:div w:id="165093963">
      <w:bodyDiv w:val="1"/>
      <w:marLeft w:val="0"/>
      <w:marRight w:val="0"/>
      <w:marTop w:val="0"/>
      <w:marBottom w:val="0"/>
      <w:divBdr>
        <w:top w:val="none" w:sz="0" w:space="0" w:color="auto"/>
        <w:left w:val="none" w:sz="0" w:space="0" w:color="auto"/>
        <w:bottom w:val="none" w:sz="0" w:space="0" w:color="auto"/>
        <w:right w:val="none" w:sz="0" w:space="0" w:color="auto"/>
      </w:divBdr>
    </w:div>
    <w:div w:id="173034925">
      <w:bodyDiv w:val="1"/>
      <w:marLeft w:val="0"/>
      <w:marRight w:val="0"/>
      <w:marTop w:val="0"/>
      <w:marBottom w:val="0"/>
      <w:divBdr>
        <w:top w:val="none" w:sz="0" w:space="0" w:color="auto"/>
        <w:left w:val="none" w:sz="0" w:space="0" w:color="auto"/>
        <w:bottom w:val="none" w:sz="0" w:space="0" w:color="auto"/>
        <w:right w:val="none" w:sz="0" w:space="0" w:color="auto"/>
      </w:divBdr>
    </w:div>
    <w:div w:id="175388354">
      <w:bodyDiv w:val="1"/>
      <w:marLeft w:val="0"/>
      <w:marRight w:val="0"/>
      <w:marTop w:val="0"/>
      <w:marBottom w:val="0"/>
      <w:divBdr>
        <w:top w:val="none" w:sz="0" w:space="0" w:color="auto"/>
        <w:left w:val="none" w:sz="0" w:space="0" w:color="auto"/>
        <w:bottom w:val="none" w:sz="0" w:space="0" w:color="auto"/>
        <w:right w:val="none" w:sz="0" w:space="0" w:color="auto"/>
      </w:divBdr>
    </w:div>
    <w:div w:id="177282267">
      <w:bodyDiv w:val="1"/>
      <w:marLeft w:val="0"/>
      <w:marRight w:val="0"/>
      <w:marTop w:val="0"/>
      <w:marBottom w:val="0"/>
      <w:divBdr>
        <w:top w:val="none" w:sz="0" w:space="0" w:color="auto"/>
        <w:left w:val="none" w:sz="0" w:space="0" w:color="auto"/>
        <w:bottom w:val="none" w:sz="0" w:space="0" w:color="auto"/>
        <w:right w:val="none" w:sz="0" w:space="0" w:color="auto"/>
      </w:divBdr>
    </w:div>
    <w:div w:id="181751671">
      <w:bodyDiv w:val="1"/>
      <w:marLeft w:val="0"/>
      <w:marRight w:val="0"/>
      <w:marTop w:val="0"/>
      <w:marBottom w:val="0"/>
      <w:divBdr>
        <w:top w:val="none" w:sz="0" w:space="0" w:color="auto"/>
        <w:left w:val="none" w:sz="0" w:space="0" w:color="auto"/>
        <w:bottom w:val="none" w:sz="0" w:space="0" w:color="auto"/>
        <w:right w:val="none" w:sz="0" w:space="0" w:color="auto"/>
      </w:divBdr>
    </w:div>
    <w:div w:id="186257055">
      <w:bodyDiv w:val="1"/>
      <w:marLeft w:val="0"/>
      <w:marRight w:val="0"/>
      <w:marTop w:val="0"/>
      <w:marBottom w:val="0"/>
      <w:divBdr>
        <w:top w:val="none" w:sz="0" w:space="0" w:color="auto"/>
        <w:left w:val="none" w:sz="0" w:space="0" w:color="auto"/>
        <w:bottom w:val="none" w:sz="0" w:space="0" w:color="auto"/>
        <w:right w:val="none" w:sz="0" w:space="0" w:color="auto"/>
      </w:divBdr>
    </w:div>
    <w:div w:id="186407206">
      <w:bodyDiv w:val="1"/>
      <w:marLeft w:val="0"/>
      <w:marRight w:val="0"/>
      <w:marTop w:val="0"/>
      <w:marBottom w:val="0"/>
      <w:divBdr>
        <w:top w:val="none" w:sz="0" w:space="0" w:color="auto"/>
        <w:left w:val="none" w:sz="0" w:space="0" w:color="auto"/>
        <w:bottom w:val="none" w:sz="0" w:space="0" w:color="auto"/>
        <w:right w:val="none" w:sz="0" w:space="0" w:color="auto"/>
      </w:divBdr>
    </w:div>
    <w:div w:id="192766464">
      <w:bodyDiv w:val="1"/>
      <w:marLeft w:val="0"/>
      <w:marRight w:val="0"/>
      <w:marTop w:val="0"/>
      <w:marBottom w:val="0"/>
      <w:divBdr>
        <w:top w:val="none" w:sz="0" w:space="0" w:color="auto"/>
        <w:left w:val="none" w:sz="0" w:space="0" w:color="auto"/>
        <w:bottom w:val="none" w:sz="0" w:space="0" w:color="auto"/>
        <w:right w:val="none" w:sz="0" w:space="0" w:color="auto"/>
      </w:divBdr>
    </w:div>
    <w:div w:id="193076625">
      <w:bodyDiv w:val="1"/>
      <w:marLeft w:val="0"/>
      <w:marRight w:val="0"/>
      <w:marTop w:val="0"/>
      <w:marBottom w:val="0"/>
      <w:divBdr>
        <w:top w:val="none" w:sz="0" w:space="0" w:color="auto"/>
        <w:left w:val="none" w:sz="0" w:space="0" w:color="auto"/>
        <w:bottom w:val="none" w:sz="0" w:space="0" w:color="auto"/>
        <w:right w:val="none" w:sz="0" w:space="0" w:color="auto"/>
      </w:divBdr>
    </w:div>
    <w:div w:id="193080510">
      <w:bodyDiv w:val="1"/>
      <w:marLeft w:val="0"/>
      <w:marRight w:val="0"/>
      <w:marTop w:val="0"/>
      <w:marBottom w:val="0"/>
      <w:divBdr>
        <w:top w:val="none" w:sz="0" w:space="0" w:color="auto"/>
        <w:left w:val="none" w:sz="0" w:space="0" w:color="auto"/>
        <w:bottom w:val="none" w:sz="0" w:space="0" w:color="auto"/>
        <w:right w:val="none" w:sz="0" w:space="0" w:color="auto"/>
      </w:divBdr>
    </w:div>
    <w:div w:id="196545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992685">
      <w:bodyDiv w:val="1"/>
      <w:marLeft w:val="0"/>
      <w:marRight w:val="0"/>
      <w:marTop w:val="0"/>
      <w:marBottom w:val="0"/>
      <w:divBdr>
        <w:top w:val="none" w:sz="0" w:space="0" w:color="auto"/>
        <w:left w:val="none" w:sz="0" w:space="0" w:color="auto"/>
        <w:bottom w:val="none" w:sz="0" w:space="0" w:color="auto"/>
        <w:right w:val="none" w:sz="0" w:space="0" w:color="auto"/>
      </w:divBdr>
    </w:div>
    <w:div w:id="211507917">
      <w:bodyDiv w:val="1"/>
      <w:marLeft w:val="0"/>
      <w:marRight w:val="0"/>
      <w:marTop w:val="0"/>
      <w:marBottom w:val="0"/>
      <w:divBdr>
        <w:top w:val="none" w:sz="0" w:space="0" w:color="auto"/>
        <w:left w:val="none" w:sz="0" w:space="0" w:color="auto"/>
        <w:bottom w:val="none" w:sz="0" w:space="0" w:color="auto"/>
        <w:right w:val="none" w:sz="0" w:space="0" w:color="auto"/>
      </w:divBdr>
    </w:div>
    <w:div w:id="217283269">
      <w:bodyDiv w:val="1"/>
      <w:marLeft w:val="0"/>
      <w:marRight w:val="0"/>
      <w:marTop w:val="0"/>
      <w:marBottom w:val="0"/>
      <w:divBdr>
        <w:top w:val="none" w:sz="0" w:space="0" w:color="auto"/>
        <w:left w:val="none" w:sz="0" w:space="0" w:color="auto"/>
        <w:bottom w:val="none" w:sz="0" w:space="0" w:color="auto"/>
        <w:right w:val="none" w:sz="0" w:space="0" w:color="auto"/>
      </w:divBdr>
    </w:div>
    <w:div w:id="219943180">
      <w:bodyDiv w:val="1"/>
      <w:marLeft w:val="0"/>
      <w:marRight w:val="0"/>
      <w:marTop w:val="0"/>
      <w:marBottom w:val="0"/>
      <w:divBdr>
        <w:top w:val="none" w:sz="0" w:space="0" w:color="auto"/>
        <w:left w:val="none" w:sz="0" w:space="0" w:color="auto"/>
        <w:bottom w:val="none" w:sz="0" w:space="0" w:color="auto"/>
        <w:right w:val="none" w:sz="0" w:space="0" w:color="auto"/>
      </w:divBdr>
    </w:div>
    <w:div w:id="223414381">
      <w:bodyDiv w:val="1"/>
      <w:marLeft w:val="0"/>
      <w:marRight w:val="0"/>
      <w:marTop w:val="0"/>
      <w:marBottom w:val="0"/>
      <w:divBdr>
        <w:top w:val="none" w:sz="0" w:space="0" w:color="auto"/>
        <w:left w:val="none" w:sz="0" w:space="0" w:color="auto"/>
        <w:bottom w:val="none" w:sz="0" w:space="0" w:color="auto"/>
        <w:right w:val="none" w:sz="0" w:space="0" w:color="auto"/>
      </w:divBdr>
    </w:div>
    <w:div w:id="228883220">
      <w:bodyDiv w:val="1"/>
      <w:marLeft w:val="0"/>
      <w:marRight w:val="0"/>
      <w:marTop w:val="0"/>
      <w:marBottom w:val="0"/>
      <w:divBdr>
        <w:top w:val="none" w:sz="0" w:space="0" w:color="auto"/>
        <w:left w:val="none" w:sz="0" w:space="0" w:color="auto"/>
        <w:bottom w:val="none" w:sz="0" w:space="0" w:color="auto"/>
        <w:right w:val="none" w:sz="0" w:space="0" w:color="auto"/>
      </w:divBdr>
    </w:div>
    <w:div w:id="230122392">
      <w:bodyDiv w:val="1"/>
      <w:marLeft w:val="0"/>
      <w:marRight w:val="0"/>
      <w:marTop w:val="0"/>
      <w:marBottom w:val="0"/>
      <w:divBdr>
        <w:top w:val="none" w:sz="0" w:space="0" w:color="auto"/>
        <w:left w:val="none" w:sz="0" w:space="0" w:color="auto"/>
        <w:bottom w:val="none" w:sz="0" w:space="0" w:color="auto"/>
        <w:right w:val="none" w:sz="0" w:space="0" w:color="auto"/>
      </w:divBdr>
    </w:div>
    <w:div w:id="233245694">
      <w:bodyDiv w:val="1"/>
      <w:marLeft w:val="0"/>
      <w:marRight w:val="0"/>
      <w:marTop w:val="0"/>
      <w:marBottom w:val="0"/>
      <w:divBdr>
        <w:top w:val="none" w:sz="0" w:space="0" w:color="auto"/>
        <w:left w:val="none" w:sz="0" w:space="0" w:color="auto"/>
        <w:bottom w:val="none" w:sz="0" w:space="0" w:color="auto"/>
        <w:right w:val="none" w:sz="0" w:space="0" w:color="auto"/>
      </w:divBdr>
    </w:div>
    <w:div w:id="245654734">
      <w:bodyDiv w:val="1"/>
      <w:marLeft w:val="0"/>
      <w:marRight w:val="0"/>
      <w:marTop w:val="0"/>
      <w:marBottom w:val="0"/>
      <w:divBdr>
        <w:top w:val="none" w:sz="0" w:space="0" w:color="auto"/>
        <w:left w:val="none" w:sz="0" w:space="0" w:color="auto"/>
        <w:bottom w:val="none" w:sz="0" w:space="0" w:color="auto"/>
        <w:right w:val="none" w:sz="0" w:space="0" w:color="auto"/>
      </w:divBdr>
    </w:div>
    <w:div w:id="249973974">
      <w:bodyDiv w:val="1"/>
      <w:marLeft w:val="0"/>
      <w:marRight w:val="0"/>
      <w:marTop w:val="0"/>
      <w:marBottom w:val="0"/>
      <w:divBdr>
        <w:top w:val="none" w:sz="0" w:space="0" w:color="auto"/>
        <w:left w:val="none" w:sz="0" w:space="0" w:color="auto"/>
        <w:bottom w:val="none" w:sz="0" w:space="0" w:color="auto"/>
        <w:right w:val="none" w:sz="0" w:space="0" w:color="auto"/>
      </w:divBdr>
    </w:div>
    <w:div w:id="252671553">
      <w:bodyDiv w:val="1"/>
      <w:marLeft w:val="0"/>
      <w:marRight w:val="0"/>
      <w:marTop w:val="0"/>
      <w:marBottom w:val="0"/>
      <w:divBdr>
        <w:top w:val="none" w:sz="0" w:space="0" w:color="auto"/>
        <w:left w:val="none" w:sz="0" w:space="0" w:color="auto"/>
        <w:bottom w:val="none" w:sz="0" w:space="0" w:color="auto"/>
        <w:right w:val="none" w:sz="0" w:space="0" w:color="auto"/>
      </w:divBdr>
    </w:div>
    <w:div w:id="263880662">
      <w:bodyDiv w:val="1"/>
      <w:marLeft w:val="0"/>
      <w:marRight w:val="0"/>
      <w:marTop w:val="0"/>
      <w:marBottom w:val="0"/>
      <w:divBdr>
        <w:top w:val="none" w:sz="0" w:space="0" w:color="auto"/>
        <w:left w:val="none" w:sz="0" w:space="0" w:color="auto"/>
        <w:bottom w:val="none" w:sz="0" w:space="0" w:color="auto"/>
        <w:right w:val="none" w:sz="0" w:space="0" w:color="auto"/>
      </w:divBdr>
    </w:div>
    <w:div w:id="264195248">
      <w:bodyDiv w:val="1"/>
      <w:marLeft w:val="0"/>
      <w:marRight w:val="0"/>
      <w:marTop w:val="0"/>
      <w:marBottom w:val="0"/>
      <w:divBdr>
        <w:top w:val="none" w:sz="0" w:space="0" w:color="auto"/>
        <w:left w:val="none" w:sz="0" w:space="0" w:color="auto"/>
        <w:bottom w:val="none" w:sz="0" w:space="0" w:color="auto"/>
        <w:right w:val="none" w:sz="0" w:space="0" w:color="auto"/>
      </w:divBdr>
    </w:div>
    <w:div w:id="266431471">
      <w:bodyDiv w:val="1"/>
      <w:marLeft w:val="0"/>
      <w:marRight w:val="0"/>
      <w:marTop w:val="0"/>
      <w:marBottom w:val="0"/>
      <w:divBdr>
        <w:top w:val="none" w:sz="0" w:space="0" w:color="auto"/>
        <w:left w:val="none" w:sz="0" w:space="0" w:color="auto"/>
        <w:bottom w:val="none" w:sz="0" w:space="0" w:color="auto"/>
        <w:right w:val="none" w:sz="0" w:space="0" w:color="auto"/>
      </w:divBdr>
    </w:div>
    <w:div w:id="270288980">
      <w:bodyDiv w:val="1"/>
      <w:marLeft w:val="0"/>
      <w:marRight w:val="0"/>
      <w:marTop w:val="0"/>
      <w:marBottom w:val="0"/>
      <w:divBdr>
        <w:top w:val="none" w:sz="0" w:space="0" w:color="auto"/>
        <w:left w:val="none" w:sz="0" w:space="0" w:color="auto"/>
        <w:bottom w:val="none" w:sz="0" w:space="0" w:color="auto"/>
        <w:right w:val="none" w:sz="0" w:space="0" w:color="auto"/>
      </w:divBdr>
    </w:div>
    <w:div w:id="272246961">
      <w:bodyDiv w:val="1"/>
      <w:marLeft w:val="0"/>
      <w:marRight w:val="0"/>
      <w:marTop w:val="0"/>
      <w:marBottom w:val="0"/>
      <w:divBdr>
        <w:top w:val="none" w:sz="0" w:space="0" w:color="auto"/>
        <w:left w:val="none" w:sz="0" w:space="0" w:color="auto"/>
        <w:bottom w:val="none" w:sz="0" w:space="0" w:color="auto"/>
        <w:right w:val="none" w:sz="0" w:space="0" w:color="auto"/>
      </w:divBdr>
    </w:div>
    <w:div w:id="275405199">
      <w:bodyDiv w:val="1"/>
      <w:marLeft w:val="0"/>
      <w:marRight w:val="0"/>
      <w:marTop w:val="0"/>
      <w:marBottom w:val="0"/>
      <w:divBdr>
        <w:top w:val="none" w:sz="0" w:space="0" w:color="auto"/>
        <w:left w:val="none" w:sz="0" w:space="0" w:color="auto"/>
        <w:bottom w:val="none" w:sz="0" w:space="0" w:color="auto"/>
        <w:right w:val="none" w:sz="0" w:space="0" w:color="auto"/>
      </w:divBdr>
    </w:div>
    <w:div w:id="275412967">
      <w:bodyDiv w:val="1"/>
      <w:marLeft w:val="0"/>
      <w:marRight w:val="0"/>
      <w:marTop w:val="0"/>
      <w:marBottom w:val="0"/>
      <w:divBdr>
        <w:top w:val="none" w:sz="0" w:space="0" w:color="auto"/>
        <w:left w:val="none" w:sz="0" w:space="0" w:color="auto"/>
        <w:bottom w:val="none" w:sz="0" w:space="0" w:color="auto"/>
        <w:right w:val="none" w:sz="0" w:space="0" w:color="auto"/>
      </w:divBdr>
    </w:div>
    <w:div w:id="276714902">
      <w:bodyDiv w:val="1"/>
      <w:marLeft w:val="0"/>
      <w:marRight w:val="0"/>
      <w:marTop w:val="0"/>
      <w:marBottom w:val="0"/>
      <w:divBdr>
        <w:top w:val="none" w:sz="0" w:space="0" w:color="auto"/>
        <w:left w:val="none" w:sz="0" w:space="0" w:color="auto"/>
        <w:bottom w:val="none" w:sz="0" w:space="0" w:color="auto"/>
        <w:right w:val="none" w:sz="0" w:space="0" w:color="auto"/>
      </w:divBdr>
    </w:div>
    <w:div w:id="276836238">
      <w:bodyDiv w:val="1"/>
      <w:marLeft w:val="0"/>
      <w:marRight w:val="0"/>
      <w:marTop w:val="0"/>
      <w:marBottom w:val="0"/>
      <w:divBdr>
        <w:top w:val="none" w:sz="0" w:space="0" w:color="auto"/>
        <w:left w:val="none" w:sz="0" w:space="0" w:color="auto"/>
        <w:bottom w:val="none" w:sz="0" w:space="0" w:color="auto"/>
        <w:right w:val="none" w:sz="0" w:space="0" w:color="auto"/>
      </w:divBdr>
    </w:div>
    <w:div w:id="280260152">
      <w:bodyDiv w:val="1"/>
      <w:marLeft w:val="0"/>
      <w:marRight w:val="0"/>
      <w:marTop w:val="0"/>
      <w:marBottom w:val="0"/>
      <w:divBdr>
        <w:top w:val="none" w:sz="0" w:space="0" w:color="auto"/>
        <w:left w:val="none" w:sz="0" w:space="0" w:color="auto"/>
        <w:bottom w:val="none" w:sz="0" w:space="0" w:color="auto"/>
        <w:right w:val="none" w:sz="0" w:space="0" w:color="auto"/>
      </w:divBdr>
    </w:div>
    <w:div w:id="285695757">
      <w:bodyDiv w:val="1"/>
      <w:marLeft w:val="0"/>
      <w:marRight w:val="0"/>
      <w:marTop w:val="0"/>
      <w:marBottom w:val="0"/>
      <w:divBdr>
        <w:top w:val="none" w:sz="0" w:space="0" w:color="auto"/>
        <w:left w:val="none" w:sz="0" w:space="0" w:color="auto"/>
        <w:bottom w:val="none" w:sz="0" w:space="0" w:color="auto"/>
        <w:right w:val="none" w:sz="0" w:space="0" w:color="auto"/>
      </w:divBdr>
    </w:div>
    <w:div w:id="285745329">
      <w:bodyDiv w:val="1"/>
      <w:marLeft w:val="0"/>
      <w:marRight w:val="0"/>
      <w:marTop w:val="0"/>
      <w:marBottom w:val="0"/>
      <w:divBdr>
        <w:top w:val="none" w:sz="0" w:space="0" w:color="auto"/>
        <w:left w:val="none" w:sz="0" w:space="0" w:color="auto"/>
        <w:bottom w:val="none" w:sz="0" w:space="0" w:color="auto"/>
        <w:right w:val="none" w:sz="0" w:space="0" w:color="auto"/>
      </w:divBdr>
    </w:div>
    <w:div w:id="289407921">
      <w:bodyDiv w:val="1"/>
      <w:marLeft w:val="0"/>
      <w:marRight w:val="0"/>
      <w:marTop w:val="0"/>
      <w:marBottom w:val="0"/>
      <w:divBdr>
        <w:top w:val="none" w:sz="0" w:space="0" w:color="auto"/>
        <w:left w:val="none" w:sz="0" w:space="0" w:color="auto"/>
        <w:bottom w:val="none" w:sz="0" w:space="0" w:color="auto"/>
        <w:right w:val="none" w:sz="0" w:space="0" w:color="auto"/>
      </w:divBdr>
    </w:div>
    <w:div w:id="294260306">
      <w:bodyDiv w:val="1"/>
      <w:marLeft w:val="0"/>
      <w:marRight w:val="0"/>
      <w:marTop w:val="0"/>
      <w:marBottom w:val="0"/>
      <w:divBdr>
        <w:top w:val="none" w:sz="0" w:space="0" w:color="auto"/>
        <w:left w:val="none" w:sz="0" w:space="0" w:color="auto"/>
        <w:bottom w:val="none" w:sz="0" w:space="0" w:color="auto"/>
        <w:right w:val="none" w:sz="0" w:space="0" w:color="auto"/>
      </w:divBdr>
    </w:div>
    <w:div w:id="296186882">
      <w:bodyDiv w:val="1"/>
      <w:marLeft w:val="0"/>
      <w:marRight w:val="0"/>
      <w:marTop w:val="0"/>
      <w:marBottom w:val="0"/>
      <w:divBdr>
        <w:top w:val="none" w:sz="0" w:space="0" w:color="auto"/>
        <w:left w:val="none" w:sz="0" w:space="0" w:color="auto"/>
        <w:bottom w:val="none" w:sz="0" w:space="0" w:color="auto"/>
        <w:right w:val="none" w:sz="0" w:space="0" w:color="auto"/>
      </w:divBdr>
    </w:div>
    <w:div w:id="301427652">
      <w:bodyDiv w:val="1"/>
      <w:marLeft w:val="0"/>
      <w:marRight w:val="0"/>
      <w:marTop w:val="0"/>
      <w:marBottom w:val="0"/>
      <w:divBdr>
        <w:top w:val="none" w:sz="0" w:space="0" w:color="auto"/>
        <w:left w:val="none" w:sz="0" w:space="0" w:color="auto"/>
        <w:bottom w:val="none" w:sz="0" w:space="0" w:color="auto"/>
        <w:right w:val="none" w:sz="0" w:space="0" w:color="auto"/>
      </w:divBdr>
    </w:div>
    <w:div w:id="304435196">
      <w:bodyDiv w:val="1"/>
      <w:marLeft w:val="0"/>
      <w:marRight w:val="0"/>
      <w:marTop w:val="0"/>
      <w:marBottom w:val="0"/>
      <w:divBdr>
        <w:top w:val="none" w:sz="0" w:space="0" w:color="auto"/>
        <w:left w:val="none" w:sz="0" w:space="0" w:color="auto"/>
        <w:bottom w:val="none" w:sz="0" w:space="0" w:color="auto"/>
        <w:right w:val="none" w:sz="0" w:space="0" w:color="auto"/>
      </w:divBdr>
    </w:div>
    <w:div w:id="312759119">
      <w:bodyDiv w:val="1"/>
      <w:marLeft w:val="0"/>
      <w:marRight w:val="0"/>
      <w:marTop w:val="0"/>
      <w:marBottom w:val="0"/>
      <w:divBdr>
        <w:top w:val="none" w:sz="0" w:space="0" w:color="auto"/>
        <w:left w:val="none" w:sz="0" w:space="0" w:color="auto"/>
        <w:bottom w:val="none" w:sz="0" w:space="0" w:color="auto"/>
        <w:right w:val="none" w:sz="0" w:space="0" w:color="auto"/>
      </w:divBdr>
    </w:div>
    <w:div w:id="317004647">
      <w:bodyDiv w:val="1"/>
      <w:marLeft w:val="0"/>
      <w:marRight w:val="0"/>
      <w:marTop w:val="0"/>
      <w:marBottom w:val="0"/>
      <w:divBdr>
        <w:top w:val="none" w:sz="0" w:space="0" w:color="auto"/>
        <w:left w:val="none" w:sz="0" w:space="0" w:color="auto"/>
        <w:bottom w:val="none" w:sz="0" w:space="0" w:color="auto"/>
        <w:right w:val="none" w:sz="0" w:space="0" w:color="auto"/>
      </w:divBdr>
    </w:div>
    <w:div w:id="321156994">
      <w:bodyDiv w:val="1"/>
      <w:marLeft w:val="0"/>
      <w:marRight w:val="0"/>
      <w:marTop w:val="0"/>
      <w:marBottom w:val="0"/>
      <w:divBdr>
        <w:top w:val="none" w:sz="0" w:space="0" w:color="auto"/>
        <w:left w:val="none" w:sz="0" w:space="0" w:color="auto"/>
        <w:bottom w:val="none" w:sz="0" w:space="0" w:color="auto"/>
        <w:right w:val="none" w:sz="0" w:space="0" w:color="auto"/>
      </w:divBdr>
    </w:div>
    <w:div w:id="324014670">
      <w:bodyDiv w:val="1"/>
      <w:marLeft w:val="0"/>
      <w:marRight w:val="0"/>
      <w:marTop w:val="0"/>
      <w:marBottom w:val="0"/>
      <w:divBdr>
        <w:top w:val="none" w:sz="0" w:space="0" w:color="auto"/>
        <w:left w:val="none" w:sz="0" w:space="0" w:color="auto"/>
        <w:bottom w:val="none" w:sz="0" w:space="0" w:color="auto"/>
        <w:right w:val="none" w:sz="0" w:space="0" w:color="auto"/>
      </w:divBdr>
    </w:div>
    <w:div w:id="33229666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957711">
      <w:bodyDiv w:val="1"/>
      <w:marLeft w:val="0"/>
      <w:marRight w:val="0"/>
      <w:marTop w:val="0"/>
      <w:marBottom w:val="0"/>
      <w:divBdr>
        <w:top w:val="none" w:sz="0" w:space="0" w:color="auto"/>
        <w:left w:val="none" w:sz="0" w:space="0" w:color="auto"/>
        <w:bottom w:val="none" w:sz="0" w:space="0" w:color="auto"/>
        <w:right w:val="none" w:sz="0" w:space="0" w:color="auto"/>
      </w:divBdr>
    </w:div>
    <w:div w:id="339311718">
      <w:bodyDiv w:val="1"/>
      <w:marLeft w:val="0"/>
      <w:marRight w:val="0"/>
      <w:marTop w:val="0"/>
      <w:marBottom w:val="0"/>
      <w:divBdr>
        <w:top w:val="none" w:sz="0" w:space="0" w:color="auto"/>
        <w:left w:val="none" w:sz="0" w:space="0" w:color="auto"/>
        <w:bottom w:val="none" w:sz="0" w:space="0" w:color="auto"/>
        <w:right w:val="none" w:sz="0" w:space="0" w:color="auto"/>
      </w:divBdr>
    </w:div>
    <w:div w:id="339739314">
      <w:bodyDiv w:val="1"/>
      <w:marLeft w:val="0"/>
      <w:marRight w:val="0"/>
      <w:marTop w:val="0"/>
      <w:marBottom w:val="0"/>
      <w:divBdr>
        <w:top w:val="none" w:sz="0" w:space="0" w:color="auto"/>
        <w:left w:val="none" w:sz="0" w:space="0" w:color="auto"/>
        <w:bottom w:val="none" w:sz="0" w:space="0" w:color="auto"/>
        <w:right w:val="none" w:sz="0" w:space="0" w:color="auto"/>
      </w:divBdr>
    </w:div>
    <w:div w:id="341014275">
      <w:bodyDiv w:val="1"/>
      <w:marLeft w:val="0"/>
      <w:marRight w:val="0"/>
      <w:marTop w:val="0"/>
      <w:marBottom w:val="0"/>
      <w:divBdr>
        <w:top w:val="none" w:sz="0" w:space="0" w:color="auto"/>
        <w:left w:val="none" w:sz="0" w:space="0" w:color="auto"/>
        <w:bottom w:val="none" w:sz="0" w:space="0" w:color="auto"/>
        <w:right w:val="none" w:sz="0" w:space="0" w:color="auto"/>
      </w:divBdr>
    </w:div>
    <w:div w:id="341708340">
      <w:bodyDiv w:val="1"/>
      <w:marLeft w:val="0"/>
      <w:marRight w:val="0"/>
      <w:marTop w:val="0"/>
      <w:marBottom w:val="0"/>
      <w:divBdr>
        <w:top w:val="none" w:sz="0" w:space="0" w:color="auto"/>
        <w:left w:val="none" w:sz="0" w:space="0" w:color="auto"/>
        <w:bottom w:val="none" w:sz="0" w:space="0" w:color="auto"/>
        <w:right w:val="none" w:sz="0" w:space="0" w:color="auto"/>
      </w:divBdr>
    </w:div>
    <w:div w:id="342632096">
      <w:bodyDiv w:val="1"/>
      <w:marLeft w:val="0"/>
      <w:marRight w:val="0"/>
      <w:marTop w:val="0"/>
      <w:marBottom w:val="0"/>
      <w:divBdr>
        <w:top w:val="none" w:sz="0" w:space="0" w:color="auto"/>
        <w:left w:val="none" w:sz="0" w:space="0" w:color="auto"/>
        <w:bottom w:val="none" w:sz="0" w:space="0" w:color="auto"/>
        <w:right w:val="none" w:sz="0" w:space="0" w:color="auto"/>
      </w:divBdr>
    </w:div>
    <w:div w:id="343675863">
      <w:bodyDiv w:val="1"/>
      <w:marLeft w:val="0"/>
      <w:marRight w:val="0"/>
      <w:marTop w:val="0"/>
      <w:marBottom w:val="0"/>
      <w:divBdr>
        <w:top w:val="none" w:sz="0" w:space="0" w:color="auto"/>
        <w:left w:val="none" w:sz="0" w:space="0" w:color="auto"/>
        <w:bottom w:val="none" w:sz="0" w:space="0" w:color="auto"/>
        <w:right w:val="none" w:sz="0" w:space="0" w:color="auto"/>
      </w:divBdr>
    </w:div>
    <w:div w:id="344480294">
      <w:bodyDiv w:val="1"/>
      <w:marLeft w:val="0"/>
      <w:marRight w:val="0"/>
      <w:marTop w:val="0"/>
      <w:marBottom w:val="0"/>
      <w:divBdr>
        <w:top w:val="none" w:sz="0" w:space="0" w:color="auto"/>
        <w:left w:val="none" w:sz="0" w:space="0" w:color="auto"/>
        <w:bottom w:val="none" w:sz="0" w:space="0" w:color="auto"/>
        <w:right w:val="none" w:sz="0" w:space="0" w:color="auto"/>
      </w:divBdr>
    </w:div>
    <w:div w:id="345793246">
      <w:bodyDiv w:val="1"/>
      <w:marLeft w:val="0"/>
      <w:marRight w:val="0"/>
      <w:marTop w:val="0"/>
      <w:marBottom w:val="0"/>
      <w:divBdr>
        <w:top w:val="none" w:sz="0" w:space="0" w:color="auto"/>
        <w:left w:val="none" w:sz="0" w:space="0" w:color="auto"/>
        <w:bottom w:val="none" w:sz="0" w:space="0" w:color="auto"/>
        <w:right w:val="none" w:sz="0" w:space="0" w:color="auto"/>
      </w:divBdr>
    </w:div>
    <w:div w:id="347222582">
      <w:bodyDiv w:val="1"/>
      <w:marLeft w:val="0"/>
      <w:marRight w:val="0"/>
      <w:marTop w:val="0"/>
      <w:marBottom w:val="0"/>
      <w:divBdr>
        <w:top w:val="none" w:sz="0" w:space="0" w:color="auto"/>
        <w:left w:val="none" w:sz="0" w:space="0" w:color="auto"/>
        <w:bottom w:val="none" w:sz="0" w:space="0" w:color="auto"/>
        <w:right w:val="none" w:sz="0" w:space="0" w:color="auto"/>
      </w:divBdr>
    </w:div>
    <w:div w:id="351032163">
      <w:bodyDiv w:val="1"/>
      <w:marLeft w:val="0"/>
      <w:marRight w:val="0"/>
      <w:marTop w:val="0"/>
      <w:marBottom w:val="0"/>
      <w:divBdr>
        <w:top w:val="none" w:sz="0" w:space="0" w:color="auto"/>
        <w:left w:val="none" w:sz="0" w:space="0" w:color="auto"/>
        <w:bottom w:val="none" w:sz="0" w:space="0" w:color="auto"/>
        <w:right w:val="none" w:sz="0" w:space="0" w:color="auto"/>
      </w:divBdr>
    </w:div>
    <w:div w:id="353725863">
      <w:bodyDiv w:val="1"/>
      <w:marLeft w:val="0"/>
      <w:marRight w:val="0"/>
      <w:marTop w:val="0"/>
      <w:marBottom w:val="0"/>
      <w:divBdr>
        <w:top w:val="none" w:sz="0" w:space="0" w:color="auto"/>
        <w:left w:val="none" w:sz="0" w:space="0" w:color="auto"/>
        <w:bottom w:val="none" w:sz="0" w:space="0" w:color="auto"/>
        <w:right w:val="none" w:sz="0" w:space="0" w:color="auto"/>
      </w:divBdr>
    </w:div>
    <w:div w:id="360859967">
      <w:bodyDiv w:val="1"/>
      <w:marLeft w:val="0"/>
      <w:marRight w:val="0"/>
      <w:marTop w:val="0"/>
      <w:marBottom w:val="0"/>
      <w:divBdr>
        <w:top w:val="none" w:sz="0" w:space="0" w:color="auto"/>
        <w:left w:val="none" w:sz="0" w:space="0" w:color="auto"/>
        <w:bottom w:val="none" w:sz="0" w:space="0" w:color="auto"/>
        <w:right w:val="none" w:sz="0" w:space="0" w:color="auto"/>
      </w:divBdr>
    </w:div>
    <w:div w:id="362021739">
      <w:bodyDiv w:val="1"/>
      <w:marLeft w:val="0"/>
      <w:marRight w:val="0"/>
      <w:marTop w:val="0"/>
      <w:marBottom w:val="0"/>
      <w:divBdr>
        <w:top w:val="none" w:sz="0" w:space="0" w:color="auto"/>
        <w:left w:val="none" w:sz="0" w:space="0" w:color="auto"/>
        <w:bottom w:val="none" w:sz="0" w:space="0" w:color="auto"/>
        <w:right w:val="none" w:sz="0" w:space="0" w:color="auto"/>
      </w:divBdr>
    </w:div>
    <w:div w:id="364521659">
      <w:bodyDiv w:val="1"/>
      <w:marLeft w:val="0"/>
      <w:marRight w:val="0"/>
      <w:marTop w:val="0"/>
      <w:marBottom w:val="0"/>
      <w:divBdr>
        <w:top w:val="none" w:sz="0" w:space="0" w:color="auto"/>
        <w:left w:val="none" w:sz="0" w:space="0" w:color="auto"/>
        <w:bottom w:val="none" w:sz="0" w:space="0" w:color="auto"/>
        <w:right w:val="none" w:sz="0" w:space="0" w:color="auto"/>
      </w:divBdr>
    </w:div>
    <w:div w:id="365063280">
      <w:bodyDiv w:val="1"/>
      <w:marLeft w:val="0"/>
      <w:marRight w:val="0"/>
      <w:marTop w:val="0"/>
      <w:marBottom w:val="0"/>
      <w:divBdr>
        <w:top w:val="none" w:sz="0" w:space="0" w:color="auto"/>
        <w:left w:val="none" w:sz="0" w:space="0" w:color="auto"/>
        <w:bottom w:val="none" w:sz="0" w:space="0" w:color="auto"/>
        <w:right w:val="none" w:sz="0" w:space="0" w:color="auto"/>
      </w:divBdr>
    </w:div>
    <w:div w:id="366879110">
      <w:bodyDiv w:val="1"/>
      <w:marLeft w:val="0"/>
      <w:marRight w:val="0"/>
      <w:marTop w:val="0"/>
      <w:marBottom w:val="0"/>
      <w:divBdr>
        <w:top w:val="none" w:sz="0" w:space="0" w:color="auto"/>
        <w:left w:val="none" w:sz="0" w:space="0" w:color="auto"/>
        <w:bottom w:val="none" w:sz="0" w:space="0" w:color="auto"/>
        <w:right w:val="none" w:sz="0" w:space="0" w:color="auto"/>
      </w:divBdr>
    </w:div>
    <w:div w:id="372778150">
      <w:bodyDiv w:val="1"/>
      <w:marLeft w:val="0"/>
      <w:marRight w:val="0"/>
      <w:marTop w:val="0"/>
      <w:marBottom w:val="0"/>
      <w:divBdr>
        <w:top w:val="none" w:sz="0" w:space="0" w:color="auto"/>
        <w:left w:val="none" w:sz="0" w:space="0" w:color="auto"/>
        <w:bottom w:val="none" w:sz="0" w:space="0" w:color="auto"/>
        <w:right w:val="none" w:sz="0" w:space="0" w:color="auto"/>
      </w:divBdr>
    </w:div>
    <w:div w:id="374081601">
      <w:bodyDiv w:val="1"/>
      <w:marLeft w:val="0"/>
      <w:marRight w:val="0"/>
      <w:marTop w:val="0"/>
      <w:marBottom w:val="0"/>
      <w:divBdr>
        <w:top w:val="none" w:sz="0" w:space="0" w:color="auto"/>
        <w:left w:val="none" w:sz="0" w:space="0" w:color="auto"/>
        <w:bottom w:val="none" w:sz="0" w:space="0" w:color="auto"/>
        <w:right w:val="none" w:sz="0" w:space="0" w:color="auto"/>
      </w:divBdr>
    </w:div>
    <w:div w:id="375156312">
      <w:bodyDiv w:val="1"/>
      <w:marLeft w:val="0"/>
      <w:marRight w:val="0"/>
      <w:marTop w:val="0"/>
      <w:marBottom w:val="0"/>
      <w:divBdr>
        <w:top w:val="none" w:sz="0" w:space="0" w:color="auto"/>
        <w:left w:val="none" w:sz="0" w:space="0" w:color="auto"/>
        <w:bottom w:val="none" w:sz="0" w:space="0" w:color="auto"/>
        <w:right w:val="none" w:sz="0" w:space="0" w:color="auto"/>
      </w:divBdr>
    </w:div>
    <w:div w:id="380062685">
      <w:bodyDiv w:val="1"/>
      <w:marLeft w:val="0"/>
      <w:marRight w:val="0"/>
      <w:marTop w:val="0"/>
      <w:marBottom w:val="0"/>
      <w:divBdr>
        <w:top w:val="none" w:sz="0" w:space="0" w:color="auto"/>
        <w:left w:val="none" w:sz="0" w:space="0" w:color="auto"/>
        <w:bottom w:val="none" w:sz="0" w:space="0" w:color="auto"/>
        <w:right w:val="none" w:sz="0" w:space="0" w:color="auto"/>
      </w:divBdr>
    </w:div>
    <w:div w:id="384839685">
      <w:bodyDiv w:val="1"/>
      <w:marLeft w:val="0"/>
      <w:marRight w:val="0"/>
      <w:marTop w:val="0"/>
      <w:marBottom w:val="0"/>
      <w:divBdr>
        <w:top w:val="none" w:sz="0" w:space="0" w:color="auto"/>
        <w:left w:val="none" w:sz="0" w:space="0" w:color="auto"/>
        <w:bottom w:val="none" w:sz="0" w:space="0" w:color="auto"/>
        <w:right w:val="none" w:sz="0" w:space="0" w:color="auto"/>
      </w:divBdr>
    </w:div>
    <w:div w:id="392584444">
      <w:bodyDiv w:val="1"/>
      <w:marLeft w:val="0"/>
      <w:marRight w:val="0"/>
      <w:marTop w:val="0"/>
      <w:marBottom w:val="0"/>
      <w:divBdr>
        <w:top w:val="none" w:sz="0" w:space="0" w:color="auto"/>
        <w:left w:val="none" w:sz="0" w:space="0" w:color="auto"/>
        <w:bottom w:val="none" w:sz="0" w:space="0" w:color="auto"/>
        <w:right w:val="none" w:sz="0" w:space="0" w:color="auto"/>
      </w:divBdr>
    </w:div>
    <w:div w:id="392697963">
      <w:bodyDiv w:val="1"/>
      <w:marLeft w:val="0"/>
      <w:marRight w:val="0"/>
      <w:marTop w:val="0"/>
      <w:marBottom w:val="0"/>
      <w:divBdr>
        <w:top w:val="none" w:sz="0" w:space="0" w:color="auto"/>
        <w:left w:val="none" w:sz="0" w:space="0" w:color="auto"/>
        <w:bottom w:val="none" w:sz="0" w:space="0" w:color="auto"/>
        <w:right w:val="none" w:sz="0" w:space="0" w:color="auto"/>
      </w:divBdr>
    </w:div>
    <w:div w:id="393705213">
      <w:bodyDiv w:val="1"/>
      <w:marLeft w:val="0"/>
      <w:marRight w:val="0"/>
      <w:marTop w:val="0"/>
      <w:marBottom w:val="0"/>
      <w:divBdr>
        <w:top w:val="none" w:sz="0" w:space="0" w:color="auto"/>
        <w:left w:val="none" w:sz="0" w:space="0" w:color="auto"/>
        <w:bottom w:val="none" w:sz="0" w:space="0" w:color="auto"/>
        <w:right w:val="none" w:sz="0" w:space="0" w:color="auto"/>
      </w:divBdr>
    </w:div>
    <w:div w:id="394277955">
      <w:bodyDiv w:val="1"/>
      <w:marLeft w:val="0"/>
      <w:marRight w:val="0"/>
      <w:marTop w:val="0"/>
      <w:marBottom w:val="0"/>
      <w:divBdr>
        <w:top w:val="none" w:sz="0" w:space="0" w:color="auto"/>
        <w:left w:val="none" w:sz="0" w:space="0" w:color="auto"/>
        <w:bottom w:val="none" w:sz="0" w:space="0" w:color="auto"/>
        <w:right w:val="none" w:sz="0" w:space="0" w:color="auto"/>
      </w:divBdr>
    </w:div>
    <w:div w:id="394397831">
      <w:bodyDiv w:val="1"/>
      <w:marLeft w:val="0"/>
      <w:marRight w:val="0"/>
      <w:marTop w:val="0"/>
      <w:marBottom w:val="0"/>
      <w:divBdr>
        <w:top w:val="none" w:sz="0" w:space="0" w:color="auto"/>
        <w:left w:val="none" w:sz="0" w:space="0" w:color="auto"/>
        <w:bottom w:val="none" w:sz="0" w:space="0" w:color="auto"/>
        <w:right w:val="none" w:sz="0" w:space="0" w:color="auto"/>
      </w:divBdr>
    </w:div>
    <w:div w:id="396585878">
      <w:bodyDiv w:val="1"/>
      <w:marLeft w:val="0"/>
      <w:marRight w:val="0"/>
      <w:marTop w:val="0"/>
      <w:marBottom w:val="0"/>
      <w:divBdr>
        <w:top w:val="none" w:sz="0" w:space="0" w:color="auto"/>
        <w:left w:val="none" w:sz="0" w:space="0" w:color="auto"/>
        <w:bottom w:val="none" w:sz="0" w:space="0" w:color="auto"/>
        <w:right w:val="none" w:sz="0" w:space="0" w:color="auto"/>
      </w:divBdr>
    </w:div>
    <w:div w:id="396786613">
      <w:bodyDiv w:val="1"/>
      <w:marLeft w:val="0"/>
      <w:marRight w:val="0"/>
      <w:marTop w:val="0"/>
      <w:marBottom w:val="0"/>
      <w:divBdr>
        <w:top w:val="none" w:sz="0" w:space="0" w:color="auto"/>
        <w:left w:val="none" w:sz="0" w:space="0" w:color="auto"/>
        <w:bottom w:val="none" w:sz="0" w:space="0" w:color="auto"/>
        <w:right w:val="none" w:sz="0" w:space="0" w:color="auto"/>
      </w:divBdr>
    </w:div>
    <w:div w:id="400712293">
      <w:bodyDiv w:val="1"/>
      <w:marLeft w:val="0"/>
      <w:marRight w:val="0"/>
      <w:marTop w:val="0"/>
      <w:marBottom w:val="0"/>
      <w:divBdr>
        <w:top w:val="none" w:sz="0" w:space="0" w:color="auto"/>
        <w:left w:val="none" w:sz="0" w:space="0" w:color="auto"/>
        <w:bottom w:val="none" w:sz="0" w:space="0" w:color="auto"/>
        <w:right w:val="none" w:sz="0" w:space="0" w:color="auto"/>
      </w:divBdr>
    </w:div>
    <w:div w:id="401100167">
      <w:bodyDiv w:val="1"/>
      <w:marLeft w:val="0"/>
      <w:marRight w:val="0"/>
      <w:marTop w:val="0"/>
      <w:marBottom w:val="0"/>
      <w:divBdr>
        <w:top w:val="none" w:sz="0" w:space="0" w:color="auto"/>
        <w:left w:val="none" w:sz="0" w:space="0" w:color="auto"/>
        <w:bottom w:val="none" w:sz="0" w:space="0" w:color="auto"/>
        <w:right w:val="none" w:sz="0" w:space="0" w:color="auto"/>
      </w:divBdr>
    </w:div>
    <w:div w:id="404953572">
      <w:bodyDiv w:val="1"/>
      <w:marLeft w:val="0"/>
      <w:marRight w:val="0"/>
      <w:marTop w:val="0"/>
      <w:marBottom w:val="0"/>
      <w:divBdr>
        <w:top w:val="none" w:sz="0" w:space="0" w:color="auto"/>
        <w:left w:val="none" w:sz="0" w:space="0" w:color="auto"/>
        <w:bottom w:val="none" w:sz="0" w:space="0" w:color="auto"/>
        <w:right w:val="none" w:sz="0" w:space="0" w:color="auto"/>
      </w:divBdr>
    </w:div>
    <w:div w:id="405953340">
      <w:bodyDiv w:val="1"/>
      <w:marLeft w:val="0"/>
      <w:marRight w:val="0"/>
      <w:marTop w:val="0"/>
      <w:marBottom w:val="0"/>
      <w:divBdr>
        <w:top w:val="none" w:sz="0" w:space="0" w:color="auto"/>
        <w:left w:val="none" w:sz="0" w:space="0" w:color="auto"/>
        <w:bottom w:val="none" w:sz="0" w:space="0" w:color="auto"/>
        <w:right w:val="none" w:sz="0" w:space="0" w:color="auto"/>
      </w:divBdr>
    </w:div>
    <w:div w:id="414785105">
      <w:bodyDiv w:val="1"/>
      <w:marLeft w:val="0"/>
      <w:marRight w:val="0"/>
      <w:marTop w:val="0"/>
      <w:marBottom w:val="0"/>
      <w:divBdr>
        <w:top w:val="none" w:sz="0" w:space="0" w:color="auto"/>
        <w:left w:val="none" w:sz="0" w:space="0" w:color="auto"/>
        <w:bottom w:val="none" w:sz="0" w:space="0" w:color="auto"/>
        <w:right w:val="none" w:sz="0" w:space="0" w:color="auto"/>
      </w:divBdr>
    </w:div>
    <w:div w:id="414982098">
      <w:bodyDiv w:val="1"/>
      <w:marLeft w:val="0"/>
      <w:marRight w:val="0"/>
      <w:marTop w:val="0"/>
      <w:marBottom w:val="0"/>
      <w:divBdr>
        <w:top w:val="none" w:sz="0" w:space="0" w:color="auto"/>
        <w:left w:val="none" w:sz="0" w:space="0" w:color="auto"/>
        <w:bottom w:val="none" w:sz="0" w:space="0" w:color="auto"/>
        <w:right w:val="none" w:sz="0" w:space="0" w:color="auto"/>
      </w:divBdr>
    </w:div>
    <w:div w:id="418215209">
      <w:bodyDiv w:val="1"/>
      <w:marLeft w:val="0"/>
      <w:marRight w:val="0"/>
      <w:marTop w:val="0"/>
      <w:marBottom w:val="0"/>
      <w:divBdr>
        <w:top w:val="none" w:sz="0" w:space="0" w:color="auto"/>
        <w:left w:val="none" w:sz="0" w:space="0" w:color="auto"/>
        <w:bottom w:val="none" w:sz="0" w:space="0" w:color="auto"/>
        <w:right w:val="none" w:sz="0" w:space="0" w:color="auto"/>
      </w:divBdr>
    </w:div>
    <w:div w:id="421949455">
      <w:bodyDiv w:val="1"/>
      <w:marLeft w:val="0"/>
      <w:marRight w:val="0"/>
      <w:marTop w:val="0"/>
      <w:marBottom w:val="0"/>
      <w:divBdr>
        <w:top w:val="none" w:sz="0" w:space="0" w:color="auto"/>
        <w:left w:val="none" w:sz="0" w:space="0" w:color="auto"/>
        <w:bottom w:val="none" w:sz="0" w:space="0" w:color="auto"/>
        <w:right w:val="none" w:sz="0" w:space="0" w:color="auto"/>
      </w:divBdr>
    </w:div>
    <w:div w:id="423690803">
      <w:bodyDiv w:val="1"/>
      <w:marLeft w:val="0"/>
      <w:marRight w:val="0"/>
      <w:marTop w:val="0"/>
      <w:marBottom w:val="0"/>
      <w:divBdr>
        <w:top w:val="none" w:sz="0" w:space="0" w:color="auto"/>
        <w:left w:val="none" w:sz="0" w:space="0" w:color="auto"/>
        <w:bottom w:val="none" w:sz="0" w:space="0" w:color="auto"/>
        <w:right w:val="none" w:sz="0" w:space="0" w:color="auto"/>
      </w:divBdr>
    </w:div>
    <w:div w:id="424426709">
      <w:bodyDiv w:val="1"/>
      <w:marLeft w:val="0"/>
      <w:marRight w:val="0"/>
      <w:marTop w:val="0"/>
      <w:marBottom w:val="0"/>
      <w:divBdr>
        <w:top w:val="none" w:sz="0" w:space="0" w:color="auto"/>
        <w:left w:val="none" w:sz="0" w:space="0" w:color="auto"/>
        <w:bottom w:val="none" w:sz="0" w:space="0" w:color="auto"/>
        <w:right w:val="none" w:sz="0" w:space="0" w:color="auto"/>
      </w:divBdr>
    </w:div>
    <w:div w:id="425660245">
      <w:bodyDiv w:val="1"/>
      <w:marLeft w:val="0"/>
      <w:marRight w:val="0"/>
      <w:marTop w:val="0"/>
      <w:marBottom w:val="0"/>
      <w:divBdr>
        <w:top w:val="none" w:sz="0" w:space="0" w:color="auto"/>
        <w:left w:val="none" w:sz="0" w:space="0" w:color="auto"/>
        <w:bottom w:val="none" w:sz="0" w:space="0" w:color="auto"/>
        <w:right w:val="none" w:sz="0" w:space="0" w:color="auto"/>
      </w:divBdr>
    </w:div>
    <w:div w:id="426122639">
      <w:bodyDiv w:val="1"/>
      <w:marLeft w:val="0"/>
      <w:marRight w:val="0"/>
      <w:marTop w:val="0"/>
      <w:marBottom w:val="0"/>
      <w:divBdr>
        <w:top w:val="none" w:sz="0" w:space="0" w:color="auto"/>
        <w:left w:val="none" w:sz="0" w:space="0" w:color="auto"/>
        <w:bottom w:val="none" w:sz="0" w:space="0" w:color="auto"/>
        <w:right w:val="none" w:sz="0" w:space="0" w:color="auto"/>
      </w:divBdr>
    </w:div>
    <w:div w:id="429860246">
      <w:bodyDiv w:val="1"/>
      <w:marLeft w:val="0"/>
      <w:marRight w:val="0"/>
      <w:marTop w:val="0"/>
      <w:marBottom w:val="0"/>
      <w:divBdr>
        <w:top w:val="none" w:sz="0" w:space="0" w:color="auto"/>
        <w:left w:val="none" w:sz="0" w:space="0" w:color="auto"/>
        <w:bottom w:val="none" w:sz="0" w:space="0" w:color="auto"/>
        <w:right w:val="none" w:sz="0" w:space="0" w:color="auto"/>
      </w:divBdr>
    </w:div>
    <w:div w:id="435371761">
      <w:bodyDiv w:val="1"/>
      <w:marLeft w:val="0"/>
      <w:marRight w:val="0"/>
      <w:marTop w:val="0"/>
      <w:marBottom w:val="0"/>
      <w:divBdr>
        <w:top w:val="none" w:sz="0" w:space="0" w:color="auto"/>
        <w:left w:val="none" w:sz="0" w:space="0" w:color="auto"/>
        <w:bottom w:val="none" w:sz="0" w:space="0" w:color="auto"/>
        <w:right w:val="none" w:sz="0" w:space="0" w:color="auto"/>
      </w:divBdr>
    </w:div>
    <w:div w:id="438725848">
      <w:bodyDiv w:val="1"/>
      <w:marLeft w:val="0"/>
      <w:marRight w:val="0"/>
      <w:marTop w:val="0"/>
      <w:marBottom w:val="0"/>
      <w:divBdr>
        <w:top w:val="none" w:sz="0" w:space="0" w:color="auto"/>
        <w:left w:val="none" w:sz="0" w:space="0" w:color="auto"/>
        <w:bottom w:val="none" w:sz="0" w:space="0" w:color="auto"/>
        <w:right w:val="none" w:sz="0" w:space="0" w:color="auto"/>
      </w:divBdr>
    </w:div>
    <w:div w:id="444813342">
      <w:bodyDiv w:val="1"/>
      <w:marLeft w:val="0"/>
      <w:marRight w:val="0"/>
      <w:marTop w:val="0"/>
      <w:marBottom w:val="0"/>
      <w:divBdr>
        <w:top w:val="none" w:sz="0" w:space="0" w:color="auto"/>
        <w:left w:val="none" w:sz="0" w:space="0" w:color="auto"/>
        <w:bottom w:val="none" w:sz="0" w:space="0" w:color="auto"/>
        <w:right w:val="none" w:sz="0" w:space="0" w:color="auto"/>
      </w:divBdr>
    </w:div>
    <w:div w:id="445658855">
      <w:bodyDiv w:val="1"/>
      <w:marLeft w:val="0"/>
      <w:marRight w:val="0"/>
      <w:marTop w:val="0"/>
      <w:marBottom w:val="0"/>
      <w:divBdr>
        <w:top w:val="none" w:sz="0" w:space="0" w:color="auto"/>
        <w:left w:val="none" w:sz="0" w:space="0" w:color="auto"/>
        <w:bottom w:val="none" w:sz="0" w:space="0" w:color="auto"/>
        <w:right w:val="none" w:sz="0" w:space="0" w:color="auto"/>
      </w:divBdr>
    </w:div>
    <w:div w:id="445661317">
      <w:bodyDiv w:val="1"/>
      <w:marLeft w:val="0"/>
      <w:marRight w:val="0"/>
      <w:marTop w:val="0"/>
      <w:marBottom w:val="0"/>
      <w:divBdr>
        <w:top w:val="none" w:sz="0" w:space="0" w:color="auto"/>
        <w:left w:val="none" w:sz="0" w:space="0" w:color="auto"/>
        <w:bottom w:val="none" w:sz="0" w:space="0" w:color="auto"/>
        <w:right w:val="none" w:sz="0" w:space="0" w:color="auto"/>
      </w:divBdr>
    </w:div>
    <w:div w:id="45379268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767469">
      <w:bodyDiv w:val="1"/>
      <w:marLeft w:val="0"/>
      <w:marRight w:val="0"/>
      <w:marTop w:val="0"/>
      <w:marBottom w:val="0"/>
      <w:divBdr>
        <w:top w:val="none" w:sz="0" w:space="0" w:color="auto"/>
        <w:left w:val="none" w:sz="0" w:space="0" w:color="auto"/>
        <w:bottom w:val="none" w:sz="0" w:space="0" w:color="auto"/>
        <w:right w:val="none" w:sz="0" w:space="0" w:color="auto"/>
      </w:divBdr>
    </w:div>
    <w:div w:id="460153606">
      <w:bodyDiv w:val="1"/>
      <w:marLeft w:val="0"/>
      <w:marRight w:val="0"/>
      <w:marTop w:val="0"/>
      <w:marBottom w:val="0"/>
      <w:divBdr>
        <w:top w:val="none" w:sz="0" w:space="0" w:color="auto"/>
        <w:left w:val="none" w:sz="0" w:space="0" w:color="auto"/>
        <w:bottom w:val="none" w:sz="0" w:space="0" w:color="auto"/>
        <w:right w:val="none" w:sz="0" w:space="0" w:color="auto"/>
      </w:divBdr>
    </w:div>
    <w:div w:id="462846408">
      <w:bodyDiv w:val="1"/>
      <w:marLeft w:val="0"/>
      <w:marRight w:val="0"/>
      <w:marTop w:val="0"/>
      <w:marBottom w:val="0"/>
      <w:divBdr>
        <w:top w:val="none" w:sz="0" w:space="0" w:color="auto"/>
        <w:left w:val="none" w:sz="0" w:space="0" w:color="auto"/>
        <w:bottom w:val="none" w:sz="0" w:space="0" w:color="auto"/>
        <w:right w:val="none" w:sz="0" w:space="0" w:color="auto"/>
      </w:divBdr>
    </w:div>
    <w:div w:id="471951167">
      <w:bodyDiv w:val="1"/>
      <w:marLeft w:val="0"/>
      <w:marRight w:val="0"/>
      <w:marTop w:val="0"/>
      <w:marBottom w:val="0"/>
      <w:divBdr>
        <w:top w:val="none" w:sz="0" w:space="0" w:color="auto"/>
        <w:left w:val="none" w:sz="0" w:space="0" w:color="auto"/>
        <w:bottom w:val="none" w:sz="0" w:space="0" w:color="auto"/>
        <w:right w:val="none" w:sz="0" w:space="0" w:color="auto"/>
      </w:divBdr>
    </w:div>
    <w:div w:id="472061857">
      <w:bodyDiv w:val="1"/>
      <w:marLeft w:val="0"/>
      <w:marRight w:val="0"/>
      <w:marTop w:val="0"/>
      <w:marBottom w:val="0"/>
      <w:divBdr>
        <w:top w:val="none" w:sz="0" w:space="0" w:color="auto"/>
        <w:left w:val="none" w:sz="0" w:space="0" w:color="auto"/>
        <w:bottom w:val="none" w:sz="0" w:space="0" w:color="auto"/>
        <w:right w:val="none" w:sz="0" w:space="0" w:color="auto"/>
      </w:divBdr>
    </w:div>
    <w:div w:id="474295675">
      <w:bodyDiv w:val="1"/>
      <w:marLeft w:val="0"/>
      <w:marRight w:val="0"/>
      <w:marTop w:val="0"/>
      <w:marBottom w:val="0"/>
      <w:divBdr>
        <w:top w:val="none" w:sz="0" w:space="0" w:color="auto"/>
        <w:left w:val="none" w:sz="0" w:space="0" w:color="auto"/>
        <w:bottom w:val="none" w:sz="0" w:space="0" w:color="auto"/>
        <w:right w:val="none" w:sz="0" w:space="0" w:color="auto"/>
      </w:divBdr>
    </w:div>
    <w:div w:id="474488841">
      <w:bodyDiv w:val="1"/>
      <w:marLeft w:val="0"/>
      <w:marRight w:val="0"/>
      <w:marTop w:val="0"/>
      <w:marBottom w:val="0"/>
      <w:divBdr>
        <w:top w:val="none" w:sz="0" w:space="0" w:color="auto"/>
        <w:left w:val="none" w:sz="0" w:space="0" w:color="auto"/>
        <w:bottom w:val="none" w:sz="0" w:space="0" w:color="auto"/>
        <w:right w:val="none" w:sz="0" w:space="0" w:color="auto"/>
      </w:divBdr>
    </w:div>
    <w:div w:id="476459059">
      <w:bodyDiv w:val="1"/>
      <w:marLeft w:val="0"/>
      <w:marRight w:val="0"/>
      <w:marTop w:val="0"/>
      <w:marBottom w:val="0"/>
      <w:divBdr>
        <w:top w:val="none" w:sz="0" w:space="0" w:color="auto"/>
        <w:left w:val="none" w:sz="0" w:space="0" w:color="auto"/>
        <w:bottom w:val="none" w:sz="0" w:space="0" w:color="auto"/>
        <w:right w:val="none" w:sz="0" w:space="0" w:color="auto"/>
      </w:divBdr>
    </w:div>
    <w:div w:id="478809007">
      <w:bodyDiv w:val="1"/>
      <w:marLeft w:val="0"/>
      <w:marRight w:val="0"/>
      <w:marTop w:val="0"/>
      <w:marBottom w:val="0"/>
      <w:divBdr>
        <w:top w:val="none" w:sz="0" w:space="0" w:color="auto"/>
        <w:left w:val="none" w:sz="0" w:space="0" w:color="auto"/>
        <w:bottom w:val="none" w:sz="0" w:space="0" w:color="auto"/>
        <w:right w:val="none" w:sz="0" w:space="0" w:color="auto"/>
      </w:divBdr>
    </w:div>
    <w:div w:id="479731859">
      <w:bodyDiv w:val="1"/>
      <w:marLeft w:val="0"/>
      <w:marRight w:val="0"/>
      <w:marTop w:val="0"/>
      <w:marBottom w:val="0"/>
      <w:divBdr>
        <w:top w:val="none" w:sz="0" w:space="0" w:color="auto"/>
        <w:left w:val="none" w:sz="0" w:space="0" w:color="auto"/>
        <w:bottom w:val="none" w:sz="0" w:space="0" w:color="auto"/>
        <w:right w:val="none" w:sz="0" w:space="0" w:color="auto"/>
      </w:divBdr>
    </w:div>
    <w:div w:id="481655190">
      <w:bodyDiv w:val="1"/>
      <w:marLeft w:val="0"/>
      <w:marRight w:val="0"/>
      <w:marTop w:val="0"/>
      <w:marBottom w:val="0"/>
      <w:divBdr>
        <w:top w:val="none" w:sz="0" w:space="0" w:color="auto"/>
        <w:left w:val="none" w:sz="0" w:space="0" w:color="auto"/>
        <w:bottom w:val="none" w:sz="0" w:space="0" w:color="auto"/>
        <w:right w:val="none" w:sz="0" w:space="0" w:color="auto"/>
      </w:divBdr>
    </w:div>
    <w:div w:id="484661029">
      <w:bodyDiv w:val="1"/>
      <w:marLeft w:val="0"/>
      <w:marRight w:val="0"/>
      <w:marTop w:val="0"/>
      <w:marBottom w:val="0"/>
      <w:divBdr>
        <w:top w:val="none" w:sz="0" w:space="0" w:color="auto"/>
        <w:left w:val="none" w:sz="0" w:space="0" w:color="auto"/>
        <w:bottom w:val="none" w:sz="0" w:space="0" w:color="auto"/>
        <w:right w:val="none" w:sz="0" w:space="0" w:color="auto"/>
      </w:divBdr>
    </w:div>
    <w:div w:id="485822353">
      <w:bodyDiv w:val="1"/>
      <w:marLeft w:val="0"/>
      <w:marRight w:val="0"/>
      <w:marTop w:val="0"/>
      <w:marBottom w:val="0"/>
      <w:divBdr>
        <w:top w:val="none" w:sz="0" w:space="0" w:color="auto"/>
        <w:left w:val="none" w:sz="0" w:space="0" w:color="auto"/>
        <w:bottom w:val="none" w:sz="0" w:space="0" w:color="auto"/>
        <w:right w:val="none" w:sz="0" w:space="0" w:color="auto"/>
      </w:divBdr>
    </w:div>
    <w:div w:id="486822930">
      <w:bodyDiv w:val="1"/>
      <w:marLeft w:val="0"/>
      <w:marRight w:val="0"/>
      <w:marTop w:val="0"/>
      <w:marBottom w:val="0"/>
      <w:divBdr>
        <w:top w:val="none" w:sz="0" w:space="0" w:color="auto"/>
        <w:left w:val="none" w:sz="0" w:space="0" w:color="auto"/>
        <w:bottom w:val="none" w:sz="0" w:space="0" w:color="auto"/>
        <w:right w:val="none" w:sz="0" w:space="0" w:color="auto"/>
      </w:divBdr>
    </w:div>
    <w:div w:id="493103500">
      <w:bodyDiv w:val="1"/>
      <w:marLeft w:val="0"/>
      <w:marRight w:val="0"/>
      <w:marTop w:val="0"/>
      <w:marBottom w:val="0"/>
      <w:divBdr>
        <w:top w:val="none" w:sz="0" w:space="0" w:color="auto"/>
        <w:left w:val="none" w:sz="0" w:space="0" w:color="auto"/>
        <w:bottom w:val="none" w:sz="0" w:space="0" w:color="auto"/>
        <w:right w:val="none" w:sz="0" w:space="0" w:color="auto"/>
      </w:divBdr>
    </w:div>
    <w:div w:id="493374618">
      <w:bodyDiv w:val="1"/>
      <w:marLeft w:val="0"/>
      <w:marRight w:val="0"/>
      <w:marTop w:val="0"/>
      <w:marBottom w:val="0"/>
      <w:divBdr>
        <w:top w:val="none" w:sz="0" w:space="0" w:color="auto"/>
        <w:left w:val="none" w:sz="0" w:space="0" w:color="auto"/>
        <w:bottom w:val="none" w:sz="0" w:space="0" w:color="auto"/>
        <w:right w:val="none" w:sz="0" w:space="0" w:color="auto"/>
      </w:divBdr>
    </w:div>
    <w:div w:id="495190277">
      <w:bodyDiv w:val="1"/>
      <w:marLeft w:val="0"/>
      <w:marRight w:val="0"/>
      <w:marTop w:val="0"/>
      <w:marBottom w:val="0"/>
      <w:divBdr>
        <w:top w:val="none" w:sz="0" w:space="0" w:color="auto"/>
        <w:left w:val="none" w:sz="0" w:space="0" w:color="auto"/>
        <w:bottom w:val="none" w:sz="0" w:space="0" w:color="auto"/>
        <w:right w:val="none" w:sz="0" w:space="0" w:color="auto"/>
      </w:divBdr>
    </w:div>
    <w:div w:id="496581174">
      <w:bodyDiv w:val="1"/>
      <w:marLeft w:val="0"/>
      <w:marRight w:val="0"/>
      <w:marTop w:val="0"/>
      <w:marBottom w:val="0"/>
      <w:divBdr>
        <w:top w:val="none" w:sz="0" w:space="0" w:color="auto"/>
        <w:left w:val="none" w:sz="0" w:space="0" w:color="auto"/>
        <w:bottom w:val="none" w:sz="0" w:space="0" w:color="auto"/>
        <w:right w:val="none" w:sz="0" w:space="0" w:color="auto"/>
      </w:divBdr>
    </w:div>
    <w:div w:id="498236797">
      <w:bodyDiv w:val="1"/>
      <w:marLeft w:val="0"/>
      <w:marRight w:val="0"/>
      <w:marTop w:val="0"/>
      <w:marBottom w:val="0"/>
      <w:divBdr>
        <w:top w:val="none" w:sz="0" w:space="0" w:color="auto"/>
        <w:left w:val="none" w:sz="0" w:space="0" w:color="auto"/>
        <w:bottom w:val="none" w:sz="0" w:space="0" w:color="auto"/>
        <w:right w:val="none" w:sz="0" w:space="0" w:color="auto"/>
      </w:divBdr>
    </w:div>
    <w:div w:id="502211322">
      <w:bodyDiv w:val="1"/>
      <w:marLeft w:val="0"/>
      <w:marRight w:val="0"/>
      <w:marTop w:val="0"/>
      <w:marBottom w:val="0"/>
      <w:divBdr>
        <w:top w:val="none" w:sz="0" w:space="0" w:color="auto"/>
        <w:left w:val="none" w:sz="0" w:space="0" w:color="auto"/>
        <w:bottom w:val="none" w:sz="0" w:space="0" w:color="auto"/>
        <w:right w:val="none" w:sz="0" w:space="0" w:color="auto"/>
      </w:divBdr>
    </w:div>
    <w:div w:id="504785329">
      <w:bodyDiv w:val="1"/>
      <w:marLeft w:val="0"/>
      <w:marRight w:val="0"/>
      <w:marTop w:val="0"/>
      <w:marBottom w:val="0"/>
      <w:divBdr>
        <w:top w:val="none" w:sz="0" w:space="0" w:color="auto"/>
        <w:left w:val="none" w:sz="0" w:space="0" w:color="auto"/>
        <w:bottom w:val="none" w:sz="0" w:space="0" w:color="auto"/>
        <w:right w:val="none" w:sz="0" w:space="0" w:color="auto"/>
      </w:divBdr>
    </w:div>
    <w:div w:id="509375325">
      <w:bodyDiv w:val="1"/>
      <w:marLeft w:val="0"/>
      <w:marRight w:val="0"/>
      <w:marTop w:val="0"/>
      <w:marBottom w:val="0"/>
      <w:divBdr>
        <w:top w:val="none" w:sz="0" w:space="0" w:color="auto"/>
        <w:left w:val="none" w:sz="0" w:space="0" w:color="auto"/>
        <w:bottom w:val="none" w:sz="0" w:space="0" w:color="auto"/>
        <w:right w:val="none" w:sz="0" w:space="0" w:color="auto"/>
      </w:divBdr>
    </w:div>
    <w:div w:id="514459103">
      <w:bodyDiv w:val="1"/>
      <w:marLeft w:val="0"/>
      <w:marRight w:val="0"/>
      <w:marTop w:val="0"/>
      <w:marBottom w:val="0"/>
      <w:divBdr>
        <w:top w:val="none" w:sz="0" w:space="0" w:color="auto"/>
        <w:left w:val="none" w:sz="0" w:space="0" w:color="auto"/>
        <w:bottom w:val="none" w:sz="0" w:space="0" w:color="auto"/>
        <w:right w:val="none" w:sz="0" w:space="0" w:color="auto"/>
      </w:divBdr>
    </w:div>
    <w:div w:id="524708927">
      <w:bodyDiv w:val="1"/>
      <w:marLeft w:val="0"/>
      <w:marRight w:val="0"/>
      <w:marTop w:val="0"/>
      <w:marBottom w:val="0"/>
      <w:divBdr>
        <w:top w:val="none" w:sz="0" w:space="0" w:color="auto"/>
        <w:left w:val="none" w:sz="0" w:space="0" w:color="auto"/>
        <w:bottom w:val="none" w:sz="0" w:space="0" w:color="auto"/>
        <w:right w:val="none" w:sz="0" w:space="0" w:color="auto"/>
      </w:divBdr>
    </w:div>
    <w:div w:id="528110235">
      <w:bodyDiv w:val="1"/>
      <w:marLeft w:val="0"/>
      <w:marRight w:val="0"/>
      <w:marTop w:val="0"/>
      <w:marBottom w:val="0"/>
      <w:divBdr>
        <w:top w:val="none" w:sz="0" w:space="0" w:color="auto"/>
        <w:left w:val="none" w:sz="0" w:space="0" w:color="auto"/>
        <w:bottom w:val="none" w:sz="0" w:space="0" w:color="auto"/>
        <w:right w:val="none" w:sz="0" w:space="0" w:color="auto"/>
      </w:divBdr>
    </w:div>
    <w:div w:id="529297994">
      <w:bodyDiv w:val="1"/>
      <w:marLeft w:val="0"/>
      <w:marRight w:val="0"/>
      <w:marTop w:val="0"/>
      <w:marBottom w:val="0"/>
      <w:divBdr>
        <w:top w:val="none" w:sz="0" w:space="0" w:color="auto"/>
        <w:left w:val="none" w:sz="0" w:space="0" w:color="auto"/>
        <w:bottom w:val="none" w:sz="0" w:space="0" w:color="auto"/>
        <w:right w:val="none" w:sz="0" w:space="0" w:color="auto"/>
      </w:divBdr>
    </w:div>
    <w:div w:id="53249497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699094">
      <w:bodyDiv w:val="1"/>
      <w:marLeft w:val="0"/>
      <w:marRight w:val="0"/>
      <w:marTop w:val="0"/>
      <w:marBottom w:val="0"/>
      <w:divBdr>
        <w:top w:val="none" w:sz="0" w:space="0" w:color="auto"/>
        <w:left w:val="none" w:sz="0" w:space="0" w:color="auto"/>
        <w:bottom w:val="none" w:sz="0" w:space="0" w:color="auto"/>
        <w:right w:val="none" w:sz="0" w:space="0" w:color="auto"/>
      </w:divBdr>
    </w:div>
    <w:div w:id="538251088">
      <w:bodyDiv w:val="1"/>
      <w:marLeft w:val="0"/>
      <w:marRight w:val="0"/>
      <w:marTop w:val="0"/>
      <w:marBottom w:val="0"/>
      <w:divBdr>
        <w:top w:val="none" w:sz="0" w:space="0" w:color="auto"/>
        <w:left w:val="none" w:sz="0" w:space="0" w:color="auto"/>
        <w:bottom w:val="none" w:sz="0" w:space="0" w:color="auto"/>
        <w:right w:val="none" w:sz="0" w:space="0" w:color="auto"/>
      </w:divBdr>
    </w:div>
    <w:div w:id="549459118">
      <w:bodyDiv w:val="1"/>
      <w:marLeft w:val="0"/>
      <w:marRight w:val="0"/>
      <w:marTop w:val="0"/>
      <w:marBottom w:val="0"/>
      <w:divBdr>
        <w:top w:val="none" w:sz="0" w:space="0" w:color="auto"/>
        <w:left w:val="none" w:sz="0" w:space="0" w:color="auto"/>
        <w:bottom w:val="none" w:sz="0" w:space="0" w:color="auto"/>
        <w:right w:val="none" w:sz="0" w:space="0" w:color="auto"/>
      </w:divBdr>
    </w:div>
    <w:div w:id="552497526">
      <w:bodyDiv w:val="1"/>
      <w:marLeft w:val="0"/>
      <w:marRight w:val="0"/>
      <w:marTop w:val="0"/>
      <w:marBottom w:val="0"/>
      <w:divBdr>
        <w:top w:val="none" w:sz="0" w:space="0" w:color="auto"/>
        <w:left w:val="none" w:sz="0" w:space="0" w:color="auto"/>
        <w:bottom w:val="none" w:sz="0" w:space="0" w:color="auto"/>
        <w:right w:val="none" w:sz="0" w:space="0" w:color="auto"/>
      </w:divBdr>
    </w:div>
    <w:div w:id="552816603">
      <w:bodyDiv w:val="1"/>
      <w:marLeft w:val="0"/>
      <w:marRight w:val="0"/>
      <w:marTop w:val="0"/>
      <w:marBottom w:val="0"/>
      <w:divBdr>
        <w:top w:val="none" w:sz="0" w:space="0" w:color="auto"/>
        <w:left w:val="none" w:sz="0" w:space="0" w:color="auto"/>
        <w:bottom w:val="none" w:sz="0" w:space="0" w:color="auto"/>
        <w:right w:val="none" w:sz="0" w:space="0" w:color="auto"/>
      </w:divBdr>
    </w:div>
    <w:div w:id="554969102">
      <w:bodyDiv w:val="1"/>
      <w:marLeft w:val="0"/>
      <w:marRight w:val="0"/>
      <w:marTop w:val="0"/>
      <w:marBottom w:val="0"/>
      <w:divBdr>
        <w:top w:val="none" w:sz="0" w:space="0" w:color="auto"/>
        <w:left w:val="none" w:sz="0" w:space="0" w:color="auto"/>
        <w:bottom w:val="none" w:sz="0" w:space="0" w:color="auto"/>
        <w:right w:val="none" w:sz="0" w:space="0" w:color="auto"/>
      </w:divBdr>
    </w:div>
    <w:div w:id="555702151">
      <w:bodyDiv w:val="1"/>
      <w:marLeft w:val="0"/>
      <w:marRight w:val="0"/>
      <w:marTop w:val="0"/>
      <w:marBottom w:val="0"/>
      <w:divBdr>
        <w:top w:val="none" w:sz="0" w:space="0" w:color="auto"/>
        <w:left w:val="none" w:sz="0" w:space="0" w:color="auto"/>
        <w:bottom w:val="none" w:sz="0" w:space="0" w:color="auto"/>
        <w:right w:val="none" w:sz="0" w:space="0" w:color="auto"/>
      </w:divBdr>
    </w:div>
    <w:div w:id="556555656">
      <w:bodyDiv w:val="1"/>
      <w:marLeft w:val="0"/>
      <w:marRight w:val="0"/>
      <w:marTop w:val="0"/>
      <w:marBottom w:val="0"/>
      <w:divBdr>
        <w:top w:val="none" w:sz="0" w:space="0" w:color="auto"/>
        <w:left w:val="none" w:sz="0" w:space="0" w:color="auto"/>
        <w:bottom w:val="none" w:sz="0" w:space="0" w:color="auto"/>
        <w:right w:val="none" w:sz="0" w:space="0" w:color="auto"/>
      </w:divBdr>
    </w:div>
    <w:div w:id="558830312">
      <w:bodyDiv w:val="1"/>
      <w:marLeft w:val="0"/>
      <w:marRight w:val="0"/>
      <w:marTop w:val="0"/>
      <w:marBottom w:val="0"/>
      <w:divBdr>
        <w:top w:val="none" w:sz="0" w:space="0" w:color="auto"/>
        <w:left w:val="none" w:sz="0" w:space="0" w:color="auto"/>
        <w:bottom w:val="none" w:sz="0" w:space="0" w:color="auto"/>
        <w:right w:val="none" w:sz="0" w:space="0" w:color="auto"/>
      </w:divBdr>
    </w:div>
    <w:div w:id="560558384">
      <w:bodyDiv w:val="1"/>
      <w:marLeft w:val="0"/>
      <w:marRight w:val="0"/>
      <w:marTop w:val="0"/>
      <w:marBottom w:val="0"/>
      <w:divBdr>
        <w:top w:val="none" w:sz="0" w:space="0" w:color="auto"/>
        <w:left w:val="none" w:sz="0" w:space="0" w:color="auto"/>
        <w:bottom w:val="none" w:sz="0" w:space="0" w:color="auto"/>
        <w:right w:val="none" w:sz="0" w:space="0" w:color="auto"/>
      </w:divBdr>
    </w:div>
    <w:div w:id="563224840">
      <w:bodyDiv w:val="1"/>
      <w:marLeft w:val="0"/>
      <w:marRight w:val="0"/>
      <w:marTop w:val="0"/>
      <w:marBottom w:val="0"/>
      <w:divBdr>
        <w:top w:val="none" w:sz="0" w:space="0" w:color="auto"/>
        <w:left w:val="none" w:sz="0" w:space="0" w:color="auto"/>
        <w:bottom w:val="none" w:sz="0" w:space="0" w:color="auto"/>
        <w:right w:val="none" w:sz="0" w:space="0" w:color="auto"/>
      </w:divBdr>
    </w:div>
    <w:div w:id="564681468">
      <w:bodyDiv w:val="1"/>
      <w:marLeft w:val="0"/>
      <w:marRight w:val="0"/>
      <w:marTop w:val="0"/>
      <w:marBottom w:val="0"/>
      <w:divBdr>
        <w:top w:val="none" w:sz="0" w:space="0" w:color="auto"/>
        <w:left w:val="none" w:sz="0" w:space="0" w:color="auto"/>
        <w:bottom w:val="none" w:sz="0" w:space="0" w:color="auto"/>
        <w:right w:val="none" w:sz="0" w:space="0" w:color="auto"/>
      </w:divBdr>
    </w:div>
    <w:div w:id="576404348">
      <w:bodyDiv w:val="1"/>
      <w:marLeft w:val="0"/>
      <w:marRight w:val="0"/>
      <w:marTop w:val="0"/>
      <w:marBottom w:val="0"/>
      <w:divBdr>
        <w:top w:val="none" w:sz="0" w:space="0" w:color="auto"/>
        <w:left w:val="none" w:sz="0" w:space="0" w:color="auto"/>
        <w:bottom w:val="none" w:sz="0" w:space="0" w:color="auto"/>
        <w:right w:val="none" w:sz="0" w:space="0" w:color="auto"/>
      </w:divBdr>
    </w:div>
    <w:div w:id="578296673">
      <w:bodyDiv w:val="1"/>
      <w:marLeft w:val="0"/>
      <w:marRight w:val="0"/>
      <w:marTop w:val="0"/>
      <w:marBottom w:val="0"/>
      <w:divBdr>
        <w:top w:val="none" w:sz="0" w:space="0" w:color="auto"/>
        <w:left w:val="none" w:sz="0" w:space="0" w:color="auto"/>
        <w:bottom w:val="none" w:sz="0" w:space="0" w:color="auto"/>
        <w:right w:val="none" w:sz="0" w:space="0" w:color="auto"/>
      </w:divBdr>
    </w:div>
    <w:div w:id="578558167">
      <w:bodyDiv w:val="1"/>
      <w:marLeft w:val="0"/>
      <w:marRight w:val="0"/>
      <w:marTop w:val="0"/>
      <w:marBottom w:val="0"/>
      <w:divBdr>
        <w:top w:val="none" w:sz="0" w:space="0" w:color="auto"/>
        <w:left w:val="none" w:sz="0" w:space="0" w:color="auto"/>
        <w:bottom w:val="none" w:sz="0" w:space="0" w:color="auto"/>
        <w:right w:val="none" w:sz="0" w:space="0" w:color="auto"/>
      </w:divBdr>
    </w:div>
    <w:div w:id="578757920">
      <w:bodyDiv w:val="1"/>
      <w:marLeft w:val="0"/>
      <w:marRight w:val="0"/>
      <w:marTop w:val="0"/>
      <w:marBottom w:val="0"/>
      <w:divBdr>
        <w:top w:val="none" w:sz="0" w:space="0" w:color="auto"/>
        <w:left w:val="none" w:sz="0" w:space="0" w:color="auto"/>
        <w:bottom w:val="none" w:sz="0" w:space="0" w:color="auto"/>
        <w:right w:val="none" w:sz="0" w:space="0" w:color="auto"/>
      </w:divBdr>
    </w:div>
    <w:div w:id="584416499">
      <w:bodyDiv w:val="1"/>
      <w:marLeft w:val="0"/>
      <w:marRight w:val="0"/>
      <w:marTop w:val="0"/>
      <w:marBottom w:val="0"/>
      <w:divBdr>
        <w:top w:val="none" w:sz="0" w:space="0" w:color="auto"/>
        <w:left w:val="none" w:sz="0" w:space="0" w:color="auto"/>
        <w:bottom w:val="none" w:sz="0" w:space="0" w:color="auto"/>
        <w:right w:val="none" w:sz="0" w:space="0" w:color="auto"/>
      </w:divBdr>
    </w:div>
    <w:div w:id="585304834">
      <w:bodyDiv w:val="1"/>
      <w:marLeft w:val="0"/>
      <w:marRight w:val="0"/>
      <w:marTop w:val="0"/>
      <w:marBottom w:val="0"/>
      <w:divBdr>
        <w:top w:val="none" w:sz="0" w:space="0" w:color="auto"/>
        <w:left w:val="none" w:sz="0" w:space="0" w:color="auto"/>
        <w:bottom w:val="none" w:sz="0" w:space="0" w:color="auto"/>
        <w:right w:val="none" w:sz="0" w:space="0" w:color="auto"/>
      </w:divBdr>
    </w:div>
    <w:div w:id="587271420">
      <w:bodyDiv w:val="1"/>
      <w:marLeft w:val="0"/>
      <w:marRight w:val="0"/>
      <w:marTop w:val="0"/>
      <w:marBottom w:val="0"/>
      <w:divBdr>
        <w:top w:val="none" w:sz="0" w:space="0" w:color="auto"/>
        <w:left w:val="none" w:sz="0" w:space="0" w:color="auto"/>
        <w:bottom w:val="none" w:sz="0" w:space="0" w:color="auto"/>
        <w:right w:val="none" w:sz="0" w:space="0" w:color="auto"/>
      </w:divBdr>
    </w:div>
    <w:div w:id="590241958">
      <w:bodyDiv w:val="1"/>
      <w:marLeft w:val="0"/>
      <w:marRight w:val="0"/>
      <w:marTop w:val="0"/>
      <w:marBottom w:val="0"/>
      <w:divBdr>
        <w:top w:val="none" w:sz="0" w:space="0" w:color="auto"/>
        <w:left w:val="none" w:sz="0" w:space="0" w:color="auto"/>
        <w:bottom w:val="none" w:sz="0" w:space="0" w:color="auto"/>
        <w:right w:val="none" w:sz="0" w:space="0" w:color="auto"/>
      </w:divBdr>
    </w:div>
    <w:div w:id="590510718">
      <w:bodyDiv w:val="1"/>
      <w:marLeft w:val="0"/>
      <w:marRight w:val="0"/>
      <w:marTop w:val="0"/>
      <w:marBottom w:val="0"/>
      <w:divBdr>
        <w:top w:val="none" w:sz="0" w:space="0" w:color="auto"/>
        <w:left w:val="none" w:sz="0" w:space="0" w:color="auto"/>
        <w:bottom w:val="none" w:sz="0" w:space="0" w:color="auto"/>
        <w:right w:val="none" w:sz="0" w:space="0" w:color="auto"/>
      </w:divBdr>
    </w:div>
    <w:div w:id="590549912">
      <w:bodyDiv w:val="1"/>
      <w:marLeft w:val="0"/>
      <w:marRight w:val="0"/>
      <w:marTop w:val="0"/>
      <w:marBottom w:val="0"/>
      <w:divBdr>
        <w:top w:val="none" w:sz="0" w:space="0" w:color="auto"/>
        <w:left w:val="none" w:sz="0" w:space="0" w:color="auto"/>
        <w:bottom w:val="none" w:sz="0" w:space="0" w:color="auto"/>
        <w:right w:val="none" w:sz="0" w:space="0" w:color="auto"/>
      </w:divBdr>
    </w:div>
    <w:div w:id="596670573">
      <w:bodyDiv w:val="1"/>
      <w:marLeft w:val="0"/>
      <w:marRight w:val="0"/>
      <w:marTop w:val="0"/>
      <w:marBottom w:val="0"/>
      <w:divBdr>
        <w:top w:val="none" w:sz="0" w:space="0" w:color="auto"/>
        <w:left w:val="none" w:sz="0" w:space="0" w:color="auto"/>
        <w:bottom w:val="none" w:sz="0" w:space="0" w:color="auto"/>
        <w:right w:val="none" w:sz="0" w:space="0" w:color="auto"/>
      </w:divBdr>
    </w:div>
    <w:div w:id="596981800">
      <w:bodyDiv w:val="1"/>
      <w:marLeft w:val="0"/>
      <w:marRight w:val="0"/>
      <w:marTop w:val="0"/>
      <w:marBottom w:val="0"/>
      <w:divBdr>
        <w:top w:val="none" w:sz="0" w:space="0" w:color="auto"/>
        <w:left w:val="none" w:sz="0" w:space="0" w:color="auto"/>
        <w:bottom w:val="none" w:sz="0" w:space="0" w:color="auto"/>
        <w:right w:val="none" w:sz="0" w:space="0" w:color="auto"/>
      </w:divBdr>
    </w:div>
    <w:div w:id="602568955">
      <w:bodyDiv w:val="1"/>
      <w:marLeft w:val="0"/>
      <w:marRight w:val="0"/>
      <w:marTop w:val="0"/>
      <w:marBottom w:val="0"/>
      <w:divBdr>
        <w:top w:val="none" w:sz="0" w:space="0" w:color="auto"/>
        <w:left w:val="none" w:sz="0" w:space="0" w:color="auto"/>
        <w:bottom w:val="none" w:sz="0" w:space="0" w:color="auto"/>
        <w:right w:val="none" w:sz="0" w:space="0" w:color="auto"/>
      </w:divBdr>
    </w:div>
    <w:div w:id="604192796">
      <w:bodyDiv w:val="1"/>
      <w:marLeft w:val="0"/>
      <w:marRight w:val="0"/>
      <w:marTop w:val="0"/>
      <w:marBottom w:val="0"/>
      <w:divBdr>
        <w:top w:val="none" w:sz="0" w:space="0" w:color="auto"/>
        <w:left w:val="none" w:sz="0" w:space="0" w:color="auto"/>
        <w:bottom w:val="none" w:sz="0" w:space="0" w:color="auto"/>
        <w:right w:val="none" w:sz="0" w:space="0" w:color="auto"/>
      </w:divBdr>
    </w:div>
    <w:div w:id="604339485">
      <w:bodyDiv w:val="1"/>
      <w:marLeft w:val="0"/>
      <w:marRight w:val="0"/>
      <w:marTop w:val="0"/>
      <w:marBottom w:val="0"/>
      <w:divBdr>
        <w:top w:val="none" w:sz="0" w:space="0" w:color="auto"/>
        <w:left w:val="none" w:sz="0" w:space="0" w:color="auto"/>
        <w:bottom w:val="none" w:sz="0" w:space="0" w:color="auto"/>
        <w:right w:val="none" w:sz="0" w:space="0" w:color="auto"/>
      </w:divBdr>
    </w:div>
    <w:div w:id="605160882">
      <w:bodyDiv w:val="1"/>
      <w:marLeft w:val="0"/>
      <w:marRight w:val="0"/>
      <w:marTop w:val="0"/>
      <w:marBottom w:val="0"/>
      <w:divBdr>
        <w:top w:val="none" w:sz="0" w:space="0" w:color="auto"/>
        <w:left w:val="none" w:sz="0" w:space="0" w:color="auto"/>
        <w:bottom w:val="none" w:sz="0" w:space="0" w:color="auto"/>
        <w:right w:val="none" w:sz="0" w:space="0" w:color="auto"/>
      </w:divBdr>
    </w:div>
    <w:div w:id="605428363">
      <w:bodyDiv w:val="1"/>
      <w:marLeft w:val="0"/>
      <w:marRight w:val="0"/>
      <w:marTop w:val="0"/>
      <w:marBottom w:val="0"/>
      <w:divBdr>
        <w:top w:val="none" w:sz="0" w:space="0" w:color="auto"/>
        <w:left w:val="none" w:sz="0" w:space="0" w:color="auto"/>
        <w:bottom w:val="none" w:sz="0" w:space="0" w:color="auto"/>
        <w:right w:val="none" w:sz="0" w:space="0" w:color="auto"/>
      </w:divBdr>
    </w:div>
    <w:div w:id="606158062">
      <w:bodyDiv w:val="1"/>
      <w:marLeft w:val="0"/>
      <w:marRight w:val="0"/>
      <w:marTop w:val="0"/>
      <w:marBottom w:val="0"/>
      <w:divBdr>
        <w:top w:val="none" w:sz="0" w:space="0" w:color="auto"/>
        <w:left w:val="none" w:sz="0" w:space="0" w:color="auto"/>
        <w:bottom w:val="none" w:sz="0" w:space="0" w:color="auto"/>
        <w:right w:val="none" w:sz="0" w:space="0" w:color="auto"/>
      </w:divBdr>
    </w:div>
    <w:div w:id="612982083">
      <w:bodyDiv w:val="1"/>
      <w:marLeft w:val="0"/>
      <w:marRight w:val="0"/>
      <w:marTop w:val="0"/>
      <w:marBottom w:val="0"/>
      <w:divBdr>
        <w:top w:val="none" w:sz="0" w:space="0" w:color="auto"/>
        <w:left w:val="none" w:sz="0" w:space="0" w:color="auto"/>
        <w:bottom w:val="none" w:sz="0" w:space="0" w:color="auto"/>
        <w:right w:val="none" w:sz="0" w:space="0" w:color="auto"/>
      </w:divBdr>
    </w:div>
    <w:div w:id="616765343">
      <w:bodyDiv w:val="1"/>
      <w:marLeft w:val="0"/>
      <w:marRight w:val="0"/>
      <w:marTop w:val="0"/>
      <w:marBottom w:val="0"/>
      <w:divBdr>
        <w:top w:val="none" w:sz="0" w:space="0" w:color="auto"/>
        <w:left w:val="none" w:sz="0" w:space="0" w:color="auto"/>
        <w:bottom w:val="none" w:sz="0" w:space="0" w:color="auto"/>
        <w:right w:val="none" w:sz="0" w:space="0" w:color="auto"/>
      </w:divBdr>
    </w:div>
    <w:div w:id="620261276">
      <w:bodyDiv w:val="1"/>
      <w:marLeft w:val="0"/>
      <w:marRight w:val="0"/>
      <w:marTop w:val="0"/>
      <w:marBottom w:val="0"/>
      <w:divBdr>
        <w:top w:val="none" w:sz="0" w:space="0" w:color="auto"/>
        <w:left w:val="none" w:sz="0" w:space="0" w:color="auto"/>
        <w:bottom w:val="none" w:sz="0" w:space="0" w:color="auto"/>
        <w:right w:val="none" w:sz="0" w:space="0" w:color="auto"/>
      </w:divBdr>
    </w:div>
    <w:div w:id="620765951">
      <w:bodyDiv w:val="1"/>
      <w:marLeft w:val="0"/>
      <w:marRight w:val="0"/>
      <w:marTop w:val="0"/>
      <w:marBottom w:val="0"/>
      <w:divBdr>
        <w:top w:val="none" w:sz="0" w:space="0" w:color="auto"/>
        <w:left w:val="none" w:sz="0" w:space="0" w:color="auto"/>
        <w:bottom w:val="none" w:sz="0" w:space="0" w:color="auto"/>
        <w:right w:val="none" w:sz="0" w:space="0" w:color="auto"/>
      </w:divBdr>
    </w:div>
    <w:div w:id="621424406">
      <w:bodyDiv w:val="1"/>
      <w:marLeft w:val="0"/>
      <w:marRight w:val="0"/>
      <w:marTop w:val="0"/>
      <w:marBottom w:val="0"/>
      <w:divBdr>
        <w:top w:val="none" w:sz="0" w:space="0" w:color="auto"/>
        <w:left w:val="none" w:sz="0" w:space="0" w:color="auto"/>
        <w:bottom w:val="none" w:sz="0" w:space="0" w:color="auto"/>
        <w:right w:val="none" w:sz="0" w:space="0" w:color="auto"/>
      </w:divBdr>
    </w:div>
    <w:div w:id="622539850">
      <w:bodyDiv w:val="1"/>
      <w:marLeft w:val="0"/>
      <w:marRight w:val="0"/>
      <w:marTop w:val="0"/>
      <w:marBottom w:val="0"/>
      <w:divBdr>
        <w:top w:val="none" w:sz="0" w:space="0" w:color="auto"/>
        <w:left w:val="none" w:sz="0" w:space="0" w:color="auto"/>
        <w:bottom w:val="none" w:sz="0" w:space="0" w:color="auto"/>
        <w:right w:val="none" w:sz="0" w:space="0" w:color="auto"/>
      </w:divBdr>
    </w:div>
    <w:div w:id="623968514">
      <w:bodyDiv w:val="1"/>
      <w:marLeft w:val="0"/>
      <w:marRight w:val="0"/>
      <w:marTop w:val="0"/>
      <w:marBottom w:val="0"/>
      <w:divBdr>
        <w:top w:val="none" w:sz="0" w:space="0" w:color="auto"/>
        <w:left w:val="none" w:sz="0" w:space="0" w:color="auto"/>
        <w:bottom w:val="none" w:sz="0" w:space="0" w:color="auto"/>
        <w:right w:val="none" w:sz="0" w:space="0" w:color="auto"/>
      </w:divBdr>
    </w:div>
    <w:div w:id="626817722">
      <w:bodyDiv w:val="1"/>
      <w:marLeft w:val="0"/>
      <w:marRight w:val="0"/>
      <w:marTop w:val="0"/>
      <w:marBottom w:val="0"/>
      <w:divBdr>
        <w:top w:val="none" w:sz="0" w:space="0" w:color="auto"/>
        <w:left w:val="none" w:sz="0" w:space="0" w:color="auto"/>
        <w:bottom w:val="none" w:sz="0" w:space="0" w:color="auto"/>
        <w:right w:val="none" w:sz="0" w:space="0" w:color="auto"/>
      </w:divBdr>
    </w:div>
    <w:div w:id="628097616">
      <w:bodyDiv w:val="1"/>
      <w:marLeft w:val="0"/>
      <w:marRight w:val="0"/>
      <w:marTop w:val="0"/>
      <w:marBottom w:val="0"/>
      <w:divBdr>
        <w:top w:val="none" w:sz="0" w:space="0" w:color="auto"/>
        <w:left w:val="none" w:sz="0" w:space="0" w:color="auto"/>
        <w:bottom w:val="none" w:sz="0" w:space="0" w:color="auto"/>
        <w:right w:val="none" w:sz="0" w:space="0" w:color="auto"/>
      </w:divBdr>
    </w:div>
    <w:div w:id="629167392">
      <w:bodyDiv w:val="1"/>
      <w:marLeft w:val="0"/>
      <w:marRight w:val="0"/>
      <w:marTop w:val="0"/>
      <w:marBottom w:val="0"/>
      <w:divBdr>
        <w:top w:val="none" w:sz="0" w:space="0" w:color="auto"/>
        <w:left w:val="none" w:sz="0" w:space="0" w:color="auto"/>
        <w:bottom w:val="none" w:sz="0" w:space="0" w:color="auto"/>
        <w:right w:val="none" w:sz="0" w:space="0" w:color="auto"/>
      </w:divBdr>
    </w:div>
    <w:div w:id="629627601">
      <w:bodyDiv w:val="1"/>
      <w:marLeft w:val="0"/>
      <w:marRight w:val="0"/>
      <w:marTop w:val="0"/>
      <w:marBottom w:val="0"/>
      <w:divBdr>
        <w:top w:val="none" w:sz="0" w:space="0" w:color="auto"/>
        <w:left w:val="none" w:sz="0" w:space="0" w:color="auto"/>
        <w:bottom w:val="none" w:sz="0" w:space="0" w:color="auto"/>
        <w:right w:val="none" w:sz="0" w:space="0" w:color="auto"/>
      </w:divBdr>
    </w:div>
    <w:div w:id="630019120">
      <w:bodyDiv w:val="1"/>
      <w:marLeft w:val="0"/>
      <w:marRight w:val="0"/>
      <w:marTop w:val="0"/>
      <w:marBottom w:val="0"/>
      <w:divBdr>
        <w:top w:val="none" w:sz="0" w:space="0" w:color="auto"/>
        <w:left w:val="none" w:sz="0" w:space="0" w:color="auto"/>
        <w:bottom w:val="none" w:sz="0" w:space="0" w:color="auto"/>
        <w:right w:val="none" w:sz="0" w:space="0" w:color="auto"/>
      </w:divBdr>
    </w:div>
    <w:div w:id="630210958">
      <w:bodyDiv w:val="1"/>
      <w:marLeft w:val="0"/>
      <w:marRight w:val="0"/>
      <w:marTop w:val="0"/>
      <w:marBottom w:val="0"/>
      <w:divBdr>
        <w:top w:val="none" w:sz="0" w:space="0" w:color="auto"/>
        <w:left w:val="none" w:sz="0" w:space="0" w:color="auto"/>
        <w:bottom w:val="none" w:sz="0" w:space="0" w:color="auto"/>
        <w:right w:val="none" w:sz="0" w:space="0" w:color="auto"/>
      </w:divBdr>
    </w:div>
    <w:div w:id="630745783">
      <w:bodyDiv w:val="1"/>
      <w:marLeft w:val="0"/>
      <w:marRight w:val="0"/>
      <w:marTop w:val="0"/>
      <w:marBottom w:val="0"/>
      <w:divBdr>
        <w:top w:val="none" w:sz="0" w:space="0" w:color="auto"/>
        <w:left w:val="none" w:sz="0" w:space="0" w:color="auto"/>
        <w:bottom w:val="none" w:sz="0" w:space="0" w:color="auto"/>
        <w:right w:val="none" w:sz="0" w:space="0" w:color="auto"/>
      </w:divBdr>
    </w:div>
    <w:div w:id="631788281">
      <w:bodyDiv w:val="1"/>
      <w:marLeft w:val="0"/>
      <w:marRight w:val="0"/>
      <w:marTop w:val="0"/>
      <w:marBottom w:val="0"/>
      <w:divBdr>
        <w:top w:val="none" w:sz="0" w:space="0" w:color="auto"/>
        <w:left w:val="none" w:sz="0" w:space="0" w:color="auto"/>
        <w:bottom w:val="none" w:sz="0" w:space="0" w:color="auto"/>
        <w:right w:val="none" w:sz="0" w:space="0" w:color="auto"/>
      </w:divBdr>
    </w:div>
    <w:div w:id="632488407">
      <w:bodyDiv w:val="1"/>
      <w:marLeft w:val="0"/>
      <w:marRight w:val="0"/>
      <w:marTop w:val="0"/>
      <w:marBottom w:val="0"/>
      <w:divBdr>
        <w:top w:val="none" w:sz="0" w:space="0" w:color="auto"/>
        <w:left w:val="none" w:sz="0" w:space="0" w:color="auto"/>
        <w:bottom w:val="none" w:sz="0" w:space="0" w:color="auto"/>
        <w:right w:val="none" w:sz="0" w:space="0" w:color="auto"/>
      </w:divBdr>
    </w:div>
    <w:div w:id="634412656">
      <w:bodyDiv w:val="1"/>
      <w:marLeft w:val="0"/>
      <w:marRight w:val="0"/>
      <w:marTop w:val="0"/>
      <w:marBottom w:val="0"/>
      <w:divBdr>
        <w:top w:val="none" w:sz="0" w:space="0" w:color="auto"/>
        <w:left w:val="none" w:sz="0" w:space="0" w:color="auto"/>
        <w:bottom w:val="none" w:sz="0" w:space="0" w:color="auto"/>
        <w:right w:val="none" w:sz="0" w:space="0" w:color="auto"/>
      </w:divBdr>
    </w:div>
    <w:div w:id="636493499">
      <w:bodyDiv w:val="1"/>
      <w:marLeft w:val="0"/>
      <w:marRight w:val="0"/>
      <w:marTop w:val="0"/>
      <w:marBottom w:val="0"/>
      <w:divBdr>
        <w:top w:val="none" w:sz="0" w:space="0" w:color="auto"/>
        <w:left w:val="none" w:sz="0" w:space="0" w:color="auto"/>
        <w:bottom w:val="none" w:sz="0" w:space="0" w:color="auto"/>
        <w:right w:val="none" w:sz="0" w:space="0" w:color="auto"/>
      </w:divBdr>
    </w:div>
    <w:div w:id="640160159">
      <w:bodyDiv w:val="1"/>
      <w:marLeft w:val="0"/>
      <w:marRight w:val="0"/>
      <w:marTop w:val="0"/>
      <w:marBottom w:val="0"/>
      <w:divBdr>
        <w:top w:val="none" w:sz="0" w:space="0" w:color="auto"/>
        <w:left w:val="none" w:sz="0" w:space="0" w:color="auto"/>
        <w:bottom w:val="none" w:sz="0" w:space="0" w:color="auto"/>
        <w:right w:val="none" w:sz="0" w:space="0" w:color="auto"/>
      </w:divBdr>
    </w:div>
    <w:div w:id="642737373">
      <w:bodyDiv w:val="1"/>
      <w:marLeft w:val="0"/>
      <w:marRight w:val="0"/>
      <w:marTop w:val="0"/>
      <w:marBottom w:val="0"/>
      <w:divBdr>
        <w:top w:val="none" w:sz="0" w:space="0" w:color="auto"/>
        <w:left w:val="none" w:sz="0" w:space="0" w:color="auto"/>
        <w:bottom w:val="none" w:sz="0" w:space="0" w:color="auto"/>
        <w:right w:val="none" w:sz="0" w:space="0" w:color="auto"/>
      </w:divBdr>
    </w:div>
    <w:div w:id="648436110">
      <w:bodyDiv w:val="1"/>
      <w:marLeft w:val="0"/>
      <w:marRight w:val="0"/>
      <w:marTop w:val="0"/>
      <w:marBottom w:val="0"/>
      <w:divBdr>
        <w:top w:val="none" w:sz="0" w:space="0" w:color="auto"/>
        <w:left w:val="none" w:sz="0" w:space="0" w:color="auto"/>
        <w:bottom w:val="none" w:sz="0" w:space="0" w:color="auto"/>
        <w:right w:val="none" w:sz="0" w:space="0" w:color="auto"/>
      </w:divBdr>
    </w:div>
    <w:div w:id="649216817">
      <w:bodyDiv w:val="1"/>
      <w:marLeft w:val="0"/>
      <w:marRight w:val="0"/>
      <w:marTop w:val="0"/>
      <w:marBottom w:val="0"/>
      <w:divBdr>
        <w:top w:val="none" w:sz="0" w:space="0" w:color="auto"/>
        <w:left w:val="none" w:sz="0" w:space="0" w:color="auto"/>
        <w:bottom w:val="none" w:sz="0" w:space="0" w:color="auto"/>
        <w:right w:val="none" w:sz="0" w:space="0" w:color="auto"/>
      </w:divBdr>
    </w:div>
    <w:div w:id="650787741">
      <w:bodyDiv w:val="1"/>
      <w:marLeft w:val="0"/>
      <w:marRight w:val="0"/>
      <w:marTop w:val="0"/>
      <w:marBottom w:val="0"/>
      <w:divBdr>
        <w:top w:val="none" w:sz="0" w:space="0" w:color="auto"/>
        <w:left w:val="none" w:sz="0" w:space="0" w:color="auto"/>
        <w:bottom w:val="none" w:sz="0" w:space="0" w:color="auto"/>
        <w:right w:val="none" w:sz="0" w:space="0" w:color="auto"/>
      </w:divBdr>
    </w:div>
    <w:div w:id="652834106">
      <w:bodyDiv w:val="1"/>
      <w:marLeft w:val="0"/>
      <w:marRight w:val="0"/>
      <w:marTop w:val="0"/>
      <w:marBottom w:val="0"/>
      <w:divBdr>
        <w:top w:val="none" w:sz="0" w:space="0" w:color="auto"/>
        <w:left w:val="none" w:sz="0" w:space="0" w:color="auto"/>
        <w:bottom w:val="none" w:sz="0" w:space="0" w:color="auto"/>
        <w:right w:val="none" w:sz="0" w:space="0" w:color="auto"/>
      </w:divBdr>
    </w:div>
    <w:div w:id="652880097">
      <w:bodyDiv w:val="1"/>
      <w:marLeft w:val="0"/>
      <w:marRight w:val="0"/>
      <w:marTop w:val="0"/>
      <w:marBottom w:val="0"/>
      <w:divBdr>
        <w:top w:val="none" w:sz="0" w:space="0" w:color="auto"/>
        <w:left w:val="none" w:sz="0" w:space="0" w:color="auto"/>
        <w:bottom w:val="none" w:sz="0" w:space="0" w:color="auto"/>
        <w:right w:val="none" w:sz="0" w:space="0" w:color="auto"/>
      </w:divBdr>
    </w:div>
    <w:div w:id="653147079">
      <w:bodyDiv w:val="1"/>
      <w:marLeft w:val="0"/>
      <w:marRight w:val="0"/>
      <w:marTop w:val="0"/>
      <w:marBottom w:val="0"/>
      <w:divBdr>
        <w:top w:val="none" w:sz="0" w:space="0" w:color="auto"/>
        <w:left w:val="none" w:sz="0" w:space="0" w:color="auto"/>
        <w:bottom w:val="none" w:sz="0" w:space="0" w:color="auto"/>
        <w:right w:val="none" w:sz="0" w:space="0" w:color="auto"/>
      </w:divBdr>
    </w:div>
    <w:div w:id="653919161">
      <w:bodyDiv w:val="1"/>
      <w:marLeft w:val="0"/>
      <w:marRight w:val="0"/>
      <w:marTop w:val="0"/>
      <w:marBottom w:val="0"/>
      <w:divBdr>
        <w:top w:val="none" w:sz="0" w:space="0" w:color="auto"/>
        <w:left w:val="none" w:sz="0" w:space="0" w:color="auto"/>
        <w:bottom w:val="none" w:sz="0" w:space="0" w:color="auto"/>
        <w:right w:val="none" w:sz="0" w:space="0" w:color="auto"/>
      </w:divBdr>
    </w:div>
    <w:div w:id="654530889">
      <w:bodyDiv w:val="1"/>
      <w:marLeft w:val="0"/>
      <w:marRight w:val="0"/>
      <w:marTop w:val="0"/>
      <w:marBottom w:val="0"/>
      <w:divBdr>
        <w:top w:val="none" w:sz="0" w:space="0" w:color="auto"/>
        <w:left w:val="none" w:sz="0" w:space="0" w:color="auto"/>
        <w:bottom w:val="none" w:sz="0" w:space="0" w:color="auto"/>
        <w:right w:val="none" w:sz="0" w:space="0" w:color="auto"/>
      </w:divBdr>
    </w:div>
    <w:div w:id="656498920">
      <w:bodyDiv w:val="1"/>
      <w:marLeft w:val="0"/>
      <w:marRight w:val="0"/>
      <w:marTop w:val="0"/>
      <w:marBottom w:val="0"/>
      <w:divBdr>
        <w:top w:val="none" w:sz="0" w:space="0" w:color="auto"/>
        <w:left w:val="none" w:sz="0" w:space="0" w:color="auto"/>
        <w:bottom w:val="none" w:sz="0" w:space="0" w:color="auto"/>
        <w:right w:val="none" w:sz="0" w:space="0" w:color="auto"/>
      </w:divBdr>
    </w:div>
    <w:div w:id="656687842">
      <w:bodyDiv w:val="1"/>
      <w:marLeft w:val="0"/>
      <w:marRight w:val="0"/>
      <w:marTop w:val="0"/>
      <w:marBottom w:val="0"/>
      <w:divBdr>
        <w:top w:val="none" w:sz="0" w:space="0" w:color="auto"/>
        <w:left w:val="none" w:sz="0" w:space="0" w:color="auto"/>
        <w:bottom w:val="none" w:sz="0" w:space="0" w:color="auto"/>
        <w:right w:val="none" w:sz="0" w:space="0" w:color="auto"/>
      </w:divBdr>
    </w:div>
    <w:div w:id="661662229">
      <w:bodyDiv w:val="1"/>
      <w:marLeft w:val="0"/>
      <w:marRight w:val="0"/>
      <w:marTop w:val="0"/>
      <w:marBottom w:val="0"/>
      <w:divBdr>
        <w:top w:val="none" w:sz="0" w:space="0" w:color="auto"/>
        <w:left w:val="none" w:sz="0" w:space="0" w:color="auto"/>
        <w:bottom w:val="none" w:sz="0" w:space="0" w:color="auto"/>
        <w:right w:val="none" w:sz="0" w:space="0" w:color="auto"/>
      </w:divBdr>
    </w:div>
    <w:div w:id="661928738">
      <w:bodyDiv w:val="1"/>
      <w:marLeft w:val="0"/>
      <w:marRight w:val="0"/>
      <w:marTop w:val="0"/>
      <w:marBottom w:val="0"/>
      <w:divBdr>
        <w:top w:val="none" w:sz="0" w:space="0" w:color="auto"/>
        <w:left w:val="none" w:sz="0" w:space="0" w:color="auto"/>
        <w:bottom w:val="none" w:sz="0" w:space="0" w:color="auto"/>
        <w:right w:val="none" w:sz="0" w:space="0" w:color="auto"/>
      </w:divBdr>
    </w:div>
    <w:div w:id="665014749">
      <w:bodyDiv w:val="1"/>
      <w:marLeft w:val="0"/>
      <w:marRight w:val="0"/>
      <w:marTop w:val="0"/>
      <w:marBottom w:val="0"/>
      <w:divBdr>
        <w:top w:val="none" w:sz="0" w:space="0" w:color="auto"/>
        <w:left w:val="none" w:sz="0" w:space="0" w:color="auto"/>
        <w:bottom w:val="none" w:sz="0" w:space="0" w:color="auto"/>
        <w:right w:val="none" w:sz="0" w:space="0" w:color="auto"/>
      </w:divBdr>
    </w:div>
    <w:div w:id="667097451">
      <w:bodyDiv w:val="1"/>
      <w:marLeft w:val="0"/>
      <w:marRight w:val="0"/>
      <w:marTop w:val="0"/>
      <w:marBottom w:val="0"/>
      <w:divBdr>
        <w:top w:val="none" w:sz="0" w:space="0" w:color="auto"/>
        <w:left w:val="none" w:sz="0" w:space="0" w:color="auto"/>
        <w:bottom w:val="none" w:sz="0" w:space="0" w:color="auto"/>
        <w:right w:val="none" w:sz="0" w:space="0" w:color="auto"/>
      </w:divBdr>
    </w:div>
    <w:div w:id="673997343">
      <w:bodyDiv w:val="1"/>
      <w:marLeft w:val="0"/>
      <w:marRight w:val="0"/>
      <w:marTop w:val="0"/>
      <w:marBottom w:val="0"/>
      <w:divBdr>
        <w:top w:val="none" w:sz="0" w:space="0" w:color="auto"/>
        <w:left w:val="none" w:sz="0" w:space="0" w:color="auto"/>
        <w:bottom w:val="none" w:sz="0" w:space="0" w:color="auto"/>
        <w:right w:val="none" w:sz="0" w:space="0" w:color="auto"/>
      </w:divBdr>
    </w:div>
    <w:div w:id="681125350">
      <w:bodyDiv w:val="1"/>
      <w:marLeft w:val="0"/>
      <w:marRight w:val="0"/>
      <w:marTop w:val="0"/>
      <w:marBottom w:val="0"/>
      <w:divBdr>
        <w:top w:val="none" w:sz="0" w:space="0" w:color="auto"/>
        <w:left w:val="none" w:sz="0" w:space="0" w:color="auto"/>
        <w:bottom w:val="none" w:sz="0" w:space="0" w:color="auto"/>
        <w:right w:val="none" w:sz="0" w:space="0" w:color="auto"/>
      </w:divBdr>
    </w:div>
    <w:div w:id="689330770">
      <w:bodyDiv w:val="1"/>
      <w:marLeft w:val="0"/>
      <w:marRight w:val="0"/>
      <w:marTop w:val="0"/>
      <w:marBottom w:val="0"/>
      <w:divBdr>
        <w:top w:val="none" w:sz="0" w:space="0" w:color="auto"/>
        <w:left w:val="none" w:sz="0" w:space="0" w:color="auto"/>
        <w:bottom w:val="none" w:sz="0" w:space="0" w:color="auto"/>
        <w:right w:val="none" w:sz="0" w:space="0" w:color="auto"/>
      </w:divBdr>
    </w:div>
    <w:div w:id="689987462">
      <w:bodyDiv w:val="1"/>
      <w:marLeft w:val="0"/>
      <w:marRight w:val="0"/>
      <w:marTop w:val="0"/>
      <w:marBottom w:val="0"/>
      <w:divBdr>
        <w:top w:val="none" w:sz="0" w:space="0" w:color="auto"/>
        <w:left w:val="none" w:sz="0" w:space="0" w:color="auto"/>
        <w:bottom w:val="none" w:sz="0" w:space="0" w:color="auto"/>
        <w:right w:val="none" w:sz="0" w:space="0" w:color="auto"/>
      </w:divBdr>
    </w:div>
    <w:div w:id="695882968">
      <w:bodyDiv w:val="1"/>
      <w:marLeft w:val="0"/>
      <w:marRight w:val="0"/>
      <w:marTop w:val="0"/>
      <w:marBottom w:val="0"/>
      <w:divBdr>
        <w:top w:val="none" w:sz="0" w:space="0" w:color="auto"/>
        <w:left w:val="none" w:sz="0" w:space="0" w:color="auto"/>
        <w:bottom w:val="none" w:sz="0" w:space="0" w:color="auto"/>
        <w:right w:val="none" w:sz="0" w:space="0" w:color="auto"/>
      </w:divBdr>
    </w:div>
    <w:div w:id="699549675">
      <w:bodyDiv w:val="1"/>
      <w:marLeft w:val="0"/>
      <w:marRight w:val="0"/>
      <w:marTop w:val="0"/>
      <w:marBottom w:val="0"/>
      <w:divBdr>
        <w:top w:val="none" w:sz="0" w:space="0" w:color="auto"/>
        <w:left w:val="none" w:sz="0" w:space="0" w:color="auto"/>
        <w:bottom w:val="none" w:sz="0" w:space="0" w:color="auto"/>
        <w:right w:val="none" w:sz="0" w:space="0" w:color="auto"/>
      </w:divBdr>
    </w:div>
    <w:div w:id="702748090">
      <w:bodyDiv w:val="1"/>
      <w:marLeft w:val="0"/>
      <w:marRight w:val="0"/>
      <w:marTop w:val="0"/>
      <w:marBottom w:val="0"/>
      <w:divBdr>
        <w:top w:val="none" w:sz="0" w:space="0" w:color="auto"/>
        <w:left w:val="none" w:sz="0" w:space="0" w:color="auto"/>
        <w:bottom w:val="none" w:sz="0" w:space="0" w:color="auto"/>
        <w:right w:val="none" w:sz="0" w:space="0" w:color="auto"/>
      </w:divBdr>
    </w:div>
    <w:div w:id="708606593">
      <w:bodyDiv w:val="1"/>
      <w:marLeft w:val="0"/>
      <w:marRight w:val="0"/>
      <w:marTop w:val="0"/>
      <w:marBottom w:val="0"/>
      <w:divBdr>
        <w:top w:val="none" w:sz="0" w:space="0" w:color="auto"/>
        <w:left w:val="none" w:sz="0" w:space="0" w:color="auto"/>
        <w:bottom w:val="none" w:sz="0" w:space="0" w:color="auto"/>
        <w:right w:val="none" w:sz="0" w:space="0" w:color="auto"/>
      </w:divBdr>
    </w:div>
    <w:div w:id="708843509">
      <w:bodyDiv w:val="1"/>
      <w:marLeft w:val="0"/>
      <w:marRight w:val="0"/>
      <w:marTop w:val="0"/>
      <w:marBottom w:val="0"/>
      <w:divBdr>
        <w:top w:val="none" w:sz="0" w:space="0" w:color="auto"/>
        <w:left w:val="none" w:sz="0" w:space="0" w:color="auto"/>
        <w:bottom w:val="none" w:sz="0" w:space="0" w:color="auto"/>
        <w:right w:val="none" w:sz="0" w:space="0" w:color="auto"/>
      </w:divBdr>
    </w:div>
    <w:div w:id="709260863">
      <w:bodyDiv w:val="1"/>
      <w:marLeft w:val="0"/>
      <w:marRight w:val="0"/>
      <w:marTop w:val="0"/>
      <w:marBottom w:val="0"/>
      <w:divBdr>
        <w:top w:val="none" w:sz="0" w:space="0" w:color="auto"/>
        <w:left w:val="none" w:sz="0" w:space="0" w:color="auto"/>
        <w:bottom w:val="none" w:sz="0" w:space="0" w:color="auto"/>
        <w:right w:val="none" w:sz="0" w:space="0" w:color="auto"/>
      </w:divBdr>
    </w:div>
    <w:div w:id="709765704">
      <w:bodyDiv w:val="1"/>
      <w:marLeft w:val="0"/>
      <w:marRight w:val="0"/>
      <w:marTop w:val="0"/>
      <w:marBottom w:val="0"/>
      <w:divBdr>
        <w:top w:val="none" w:sz="0" w:space="0" w:color="auto"/>
        <w:left w:val="none" w:sz="0" w:space="0" w:color="auto"/>
        <w:bottom w:val="none" w:sz="0" w:space="0" w:color="auto"/>
        <w:right w:val="none" w:sz="0" w:space="0" w:color="auto"/>
      </w:divBdr>
    </w:div>
    <w:div w:id="715619176">
      <w:bodyDiv w:val="1"/>
      <w:marLeft w:val="0"/>
      <w:marRight w:val="0"/>
      <w:marTop w:val="0"/>
      <w:marBottom w:val="0"/>
      <w:divBdr>
        <w:top w:val="none" w:sz="0" w:space="0" w:color="auto"/>
        <w:left w:val="none" w:sz="0" w:space="0" w:color="auto"/>
        <w:bottom w:val="none" w:sz="0" w:space="0" w:color="auto"/>
        <w:right w:val="none" w:sz="0" w:space="0" w:color="auto"/>
      </w:divBdr>
    </w:div>
    <w:div w:id="717973559">
      <w:bodyDiv w:val="1"/>
      <w:marLeft w:val="0"/>
      <w:marRight w:val="0"/>
      <w:marTop w:val="0"/>
      <w:marBottom w:val="0"/>
      <w:divBdr>
        <w:top w:val="none" w:sz="0" w:space="0" w:color="auto"/>
        <w:left w:val="none" w:sz="0" w:space="0" w:color="auto"/>
        <w:bottom w:val="none" w:sz="0" w:space="0" w:color="auto"/>
        <w:right w:val="none" w:sz="0" w:space="0" w:color="auto"/>
      </w:divBdr>
    </w:div>
    <w:div w:id="718288775">
      <w:bodyDiv w:val="1"/>
      <w:marLeft w:val="0"/>
      <w:marRight w:val="0"/>
      <w:marTop w:val="0"/>
      <w:marBottom w:val="0"/>
      <w:divBdr>
        <w:top w:val="none" w:sz="0" w:space="0" w:color="auto"/>
        <w:left w:val="none" w:sz="0" w:space="0" w:color="auto"/>
        <w:bottom w:val="none" w:sz="0" w:space="0" w:color="auto"/>
        <w:right w:val="none" w:sz="0" w:space="0" w:color="auto"/>
      </w:divBdr>
    </w:div>
    <w:div w:id="726613394">
      <w:bodyDiv w:val="1"/>
      <w:marLeft w:val="0"/>
      <w:marRight w:val="0"/>
      <w:marTop w:val="0"/>
      <w:marBottom w:val="0"/>
      <w:divBdr>
        <w:top w:val="none" w:sz="0" w:space="0" w:color="auto"/>
        <w:left w:val="none" w:sz="0" w:space="0" w:color="auto"/>
        <w:bottom w:val="none" w:sz="0" w:space="0" w:color="auto"/>
        <w:right w:val="none" w:sz="0" w:space="0" w:color="auto"/>
      </w:divBdr>
    </w:div>
    <w:div w:id="727531482">
      <w:bodyDiv w:val="1"/>
      <w:marLeft w:val="0"/>
      <w:marRight w:val="0"/>
      <w:marTop w:val="0"/>
      <w:marBottom w:val="0"/>
      <w:divBdr>
        <w:top w:val="none" w:sz="0" w:space="0" w:color="auto"/>
        <w:left w:val="none" w:sz="0" w:space="0" w:color="auto"/>
        <w:bottom w:val="none" w:sz="0" w:space="0" w:color="auto"/>
        <w:right w:val="none" w:sz="0" w:space="0" w:color="auto"/>
      </w:divBdr>
    </w:div>
    <w:div w:id="733241668">
      <w:bodyDiv w:val="1"/>
      <w:marLeft w:val="0"/>
      <w:marRight w:val="0"/>
      <w:marTop w:val="0"/>
      <w:marBottom w:val="0"/>
      <w:divBdr>
        <w:top w:val="none" w:sz="0" w:space="0" w:color="auto"/>
        <w:left w:val="none" w:sz="0" w:space="0" w:color="auto"/>
        <w:bottom w:val="none" w:sz="0" w:space="0" w:color="auto"/>
        <w:right w:val="none" w:sz="0" w:space="0" w:color="auto"/>
      </w:divBdr>
    </w:div>
    <w:div w:id="740256256">
      <w:bodyDiv w:val="1"/>
      <w:marLeft w:val="0"/>
      <w:marRight w:val="0"/>
      <w:marTop w:val="0"/>
      <w:marBottom w:val="0"/>
      <w:divBdr>
        <w:top w:val="none" w:sz="0" w:space="0" w:color="auto"/>
        <w:left w:val="none" w:sz="0" w:space="0" w:color="auto"/>
        <w:bottom w:val="none" w:sz="0" w:space="0" w:color="auto"/>
        <w:right w:val="none" w:sz="0" w:space="0" w:color="auto"/>
      </w:divBdr>
    </w:div>
    <w:div w:id="747533777">
      <w:bodyDiv w:val="1"/>
      <w:marLeft w:val="0"/>
      <w:marRight w:val="0"/>
      <w:marTop w:val="0"/>
      <w:marBottom w:val="0"/>
      <w:divBdr>
        <w:top w:val="none" w:sz="0" w:space="0" w:color="auto"/>
        <w:left w:val="none" w:sz="0" w:space="0" w:color="auto"/>
        <w:bottom w:val="none" w:sz="0" w:space="0" w:color="auto"/>
        <w:right w:val="none" w:sz="0" w:space="0" w:color="auto"/>
      </w:divBdr>
    </w:div>
    <w:div w:id="749234197">
      <w:bodyDiv w:val="1"/>
      <w:marLeft w:val="0"/>
      <w:marRight w:val="0"/>
      <w:marTop w:val="0"/>
      <w:marBottom w:val="0"/>
      <w:divBdr>
        <w:top w:val="none" w:sz="0" w:space="0" w:color="auto"/>
        <w:left w:val="none" w:sz="0" w:space="0" w:color="auto"/>
        <w:bottom w:val="none" w:sz="0" w:space="0" w:color="auto"/>
        <w:right w:val="none" w:sz="0" w:space="0" w:color="auto"/>
      </w:divBdr>
    </w:div>
    <w:div w:id="751657212">
      <w:bodyDiv w:val="1"/>
      <w:marLeft w:val="0"/>
      <w:marRight w:val="0"/>
      <w:marTop w:val="0"/>
      <w:marBottom w:val="0"/>
      <w:divBdr>
        <w:top w:val="none" w:sz="0" w:space="0" w:color="auto"/>
        <w:left w:val="none" w:sz="0" w:space="0" w:color="auto"/>
        <w:bottom w:val="none" w:sz="0" w:space="0" w:color="auto"/>
        <w:right w:val="none" w:sz="0" w:space="0" w:color="auto"/>
      </w:divBdr>
    </w:div>
    <w:div w:id="755516462">
      <w:bodyDiv w:val="1"/>
      <w:marLeft w:val="0"/>
      <w:marRight w:val="0"/>
      <w:marTop w:val="0"/>
      <w:marBottom w:val="0"/>
      <w:divBdr>
        <w:top w:val="none" w:sz="0" w:space="0" w:color="auto"/>
        <w:left w:val="none" w:sz="0" w:space="0" w:color="auto"/>
        <w:bottom w:val="none" w:sz="0" w:space="0" w:color="auto"/>
        <w:right w:val="none" w:sz="0" w:space="0" w:color="auto"/>
      </w:divBdr>
    </w:div>
    <w:div w:id="757749932">
      <w:bodyDiv w:val="1"/>
      <w:marLeft w:val="0"/>
      <w:marRight w:val="0"/>
      <w:marTop w:val="0"/>
      <w:marBottom w:val="0"/>
      <w:divBdr>
        <w:top w:val="none" w:sz="0" w:space="0" w:color="auto"/>
        <w:left w:val="none" w:sz="0" w:space="0" w:color="auto"/>
        <w:bottom w:val="none" w:sz="0" w:space="0" w:color="auto"/>
        <w:right w:val="none" w:sz="0" w:space="0" w:color="auto"/>
      </w:divBdr>
    </w:div>
    <w:div w:id="758060901">
      <w:bodyDiv w:val="1"/>
      <w:marLeft w:val="0"/>
      <w:marRight w:val="0"/>
      <w:marTop w:val="0"/>
      <w:marBottom w:val="0"/>
      <w:divBdr>
        <w:top w:val="none" w:sz="0" w:space="0" w:color="auto"/>
        <w:left w:val="none" w:sz="0" w:space="0" w:color="auto"/>
        <w:bottom w:val="none" w:sz="0" w:space="0" w:color="auto"/>
        <w:right w:val="none" w:sz="0" w:space="0" w:color="auto"/>
      </w:divBdr>
    </w:div>
    <w:div w:id="759447151">
      <w:bodyDiv w:val="1"/>
      <w:marLeft w:val="0"/>
      <w:marRight w:val="0"/>
      <w:marTop w:val="0"/>
      <w:marBottom w:val="0"/>
      <w:divBdr>
        <w:top w:val="none" w:sz="0" w:space="0" w:color="auto"/>
        <w:left w:val="none" w:sz="0" w:space="0" w:color="auto"/>
        <w:bottom w:val="none" w:sz="0" w:space="0" w:color="auto"/>
        <w:right w:val="none" w:sz="0" w:space="0" w:color="auto"/>
      </w:divBdr>
    </w:div>
    <w:div w:id="764035596">
      <w:bodyDiv w:val="1"/>
      <w:marLeft w:val="0"/>
      <w:marRight w:val="0"/>
      <w:marTop w:val="0"/>
      <w:marBottom w:val="0"/>
      <w:divBdr>
        <w:top w:val="none" w:sz="0" w:space="0" w:color="auto"/>
        <w:left w:val="none" w:sz="0" w:space="0" w:color="auto"/>
        <w:bottom w:val="none" w:sz="0" w:space="0" w:color="auto"/>
        <w:right w:val="none" w:sz="0" w:space="0" w:color="auto"/>
      </w:divBdr>
    </w:div>
    <w:div w:id="765542891">
      <w:bodyDiv w:val="1"/>
      <w:marLeft w:val="0"/>
      <w:marRight w:val="0"/>
      <w:marTop w:val="0"/>
      <w:marBottom w:val="0"/>
      <w:divBdr>
        <w:top w:val="none" w:sz="0" w:space="0" w:color="auto"/>
        <w:left w:val="none" w:sz="0" w:space="0" w:color="auto"/>
        <w:bottom w:val="none" w:sz="0" w:space="0" w:color="auto"/>
        <w:right w:val="none" w:sz="0" w:space="0" w:color="auto"/>
      </w:divBdr>
    </w:div>
    <w:div w:id="770319224">
      <w:bodyDiv w:val="1"/>
      <w:marLeft w:val="0"/>
      <w:marRight w:val="0"/>
      <w:marTop w:val="0"/>
      <w:marBottom w:val="0"/>
      <w:divBdr>
        <w:top w:val="none" w:sz="0" w:space="0" w:color="auto"/>
        <w:left w:val="none" w:sz="0" w:space="0" w:color="auto"/>
        <w:bottom w:val="none" w:sz="0" w:space="0" w:color="auto"/>
        <w:right w:val="none" w:sz="0" w:space="0" w:color="auto"/>
      </w:divBdr>
    </w:div>
    <w:div w:id="771828277">
      <w:bodyDiv w:val="1"/>
      <w:marLeft w:val="0"/>
      <w:marRight w:val="0"/>
      <w:marTop w:val="0"/>
      <w:marBottom w:val="0"/>
      <w:divBdr>
        <w:top w:val="none" w:sz="0" w:space="0" w:color="auto"/>
        <w:left w:val="none" w:sz="0" w:space="0" w:color="auto"/>
        <w:bottom w:val="none" w:sz="0" w:space="0" w:color="auto"/>
        <w:right w:val="none" w:sz="0" w:space="0" w:color="auto"/>
      </w:divBdr>
    </w:div>
    <w:div w:id="774322398">
      <w:bodyDiv w:val="1"/>
      <w:marLeft w:val="0"/>
      <w:marRight w:val="0"/>
      <w:marTop w:val="0"/>
      <w:marBottom w:val="0"/>
      <w:divBdr>
        <w:top w:val="none" w:sz="0" w:space="0" w:color="auto"/>
        <w:left w:val="none" w:sz="0" w:space="0" w:color="auto"/>
        <w:bottom w:val="none" w:sz="0" w:space="0" w:color="auto"/>
        <w:right w:val="none" w:sz="0" w:space="0" w:color="auto"/>
      </w:divBdr>
    </w:div>
    <w:div w:id="775293400">
      <w:bodyDiv w:val="1"/>
      <w:marLeft w:val="0"/>
      <w:marRight w:val="0"/>
      <w:marTop w:val="0"/>
      <w:marBottom w:val="0"/>
      <w:divBdr>
        <w:top w:val="none" w:sz="0" w:space="0" w:color="auto"/>
        <w:left w:val="none" w:sz="0" w:space="0" w:color="auto"/>
        <w:bottom w:val="none" w:sz="0" w:space="0" w:color="auto"/>
        <w:right w:val="none" w:sz="0" w:space="0" w:color="auto"/>
      </w:divBdr>
    </w:div>
    <w:div w:id="777678789">
      <w:bodyDiv w:val="1"/>
      <w:marLeft w:val="0"/>
      <w:marRight w:val="0"/>
      <w:marTop w:val="0"/>
      <w:marBottom w:val="0"/>
      <w:divBdr>
        <w:top w:val="none" w:sz="0" w:space="0" w:color="auto"/>
        <w:left w:val="none" w:sz="0" w:space="0" w:color="auto"/>
        <w:bottom w:val="none" w:sz="0" w:space="0" w:color="auto"/>
        <w:right w:val="none" w:sz="0" w:space="0" w:color="auto"/>
      </w:divBdr>
    </w:div>
    <w:div w:id="786120814">
      <w:bodyDiv w:val="1"/>
      <w:marLeft w:val="0"/>
      <w:marRight w:val="0"/>
      <w:marTop w:val="0"/>
      <w:marBottom w:val="0"/>
      <w:divBdr>
        <w:top w:val="none" w:sz="0" w:space="0" w:color="auto"/>
        <w:left w:val="none" w:sz="0" w:space="0" w:color="auto"/>
        <w:bottom w:val="none" w:sz="0" w:space="0" w:color="auto"/>
        <w:right w:val="none" w:sz="0" w:space="0" w:color="auto"/>
      </w:divBdr>
    </w:div>
    <w:div w:id="786585257">
      <w:bodyDiv w:val="1"/>
      <w:marLeft w:val="0"/>
      <w:marRight w:val="0"/>
      <w:marTop w:val="0"/>
      <w:marBottom w:val="0"/>
      <w:divBdr>
        <w:top w:val="none" w:sz="0" w:space="0" w:color="auto"/>
        <w:left w:val="none" w:sz="0" w:space="0" w:color="auto"/>
        <w:bottom w:val="none" w:sz="0" w:space="0" w:color="auto"/>
        <w:right w:val="none" w:sz="0" w:space="0" w:color="auto"/>
      </w:divBdr>
    </w:div>
    <w:div w:id="794952925">
      <w:bodyDiv w:val="1"/>
      <w:marLeft w:val="0"/>
      <w:marRight w:val="0"/>
      <w:marTop w:val="0"/>
      <w:marBottom w:val="0"/>
      <w:divBdr>
        <w:top w:val="none" w:sz="0" w:space="0" w:color="auto"/>
        <w:left w:val="none" w:sz="0" w:space="0" w:color="auto"/>
        <w:bottom w:val="none" w:sz="0" w:space="0" w:color="auto"/>
        <w:right w:val="none" w:sz="0" w:space="0" w:color="auto"/>
      </w:divBdr>
    </w:div>
    <w:div w:id="803154077">
      <w:bodyDiv w:val="1"/>
      <w:marLeft w:val="0"/>
      <w:marRight w:val="0"/>
      <w:marTop w:val="0"/>
      <w:marBottom w:val="0"/>
      <w:divBdr>
        <w:top w:val="none" w:sz="0" w:space="0" w:color="auto"/>
        <w:left w:val="none" w:sz="0" w:space="0" w:color="auto"/>
        <w:bottom w:val="none" w:sz="0" w:space="0" w:color="auto"/>
        <w:right w:val="none" w:sz="0" w:space="0" w:color="auto"/>
      </w:divBdr>
    </w:div>
    <w:div w:id="804154899">
      <w:bodyDiv w:val="1"/>
      <w:marLeft w:val="0"/>
      <w:marRight w:val="0"/>
      <w:marTop w:val="0"/>
      <w:marBottom w:val="0"/>
      <w:divBdr>
        <w:top w:val="none" w:sz="0" w:space="0" w:color="auto"/>
        <w:left w:val="none" w:sz="0" w:space="0" w:color="auto"/>
        <w:bottom w:val="none" w:sz="0" w:space="0" w:color="auto"/>
        <w:right w:val="none" w:sz="0" w:space="0" w:color="auto"/>
      </w:divBdr>
    </w:div>
    <w:div w:id="813330741">
      <w:bodyDiv w:val="1"/>
      <w:marLeft w:val="0"/>
      <w:marRight w:val="0"/>
      <w:marTop w:val="0"/>
      <w:marBottom w:val="0"/>
      <w:divBdr>
        <w:top w:val="none" w:sz="0" w:space="0" w:color="auto"/>
        <w:left w:val="none" w:sz="0" w:space="0" w:color="auto"/>
        <w:bottom w:val="none" w:sz="0" w:space="0" w:color="auto"/>
        <w:right w:val="none" w:sz="0" w:space="0" w:color="auto"/>
      </w:divBdr>
    </w:div>
    <w:div w:id="815419328">
      <w:bodyDiv w:val="1"/>
      <w:marLeft w:val="0"/>
      <w:marRight w:val="0"/>
      <w:marTop w:val="0"/>
      <w:marBottom w:val="0"/>
      <w:divBdr>
        <w:top w:val="none" w:sz="0" w:space="0" w:color="auto"/>
        <w:left w:val="none" w:sz="0" w:space="0" w:color="auto"/>
        <w:bottom w:val="none" w:sz="0" w:space="0" w:color="auto"/>
        <w:right w:val="none" w:sz="0" w:space="0" w:color="auto"/>
      </w:divBdr>
    </w:div>
    <w:div w:id="817695890">
      <w:bodyDiv w:val="1"/>
      <w:marLeft w:val="0"/>
      <w:marRight w:val="0"/>
      <w:marTop w:val="0"/>
      <w:marBottom w:val="0"/>
      <w:divBdr>
        <w:top w:val="none" w:sz="0" w:space="0" w:color="auto"/>
        <w:left w:val="none" w:sz="0" w:space="0" w:color="auto"/>
        <w:bottom w:val="none" w:sz="0" w:space="0" w:color="auto"/>
        <w:right w:val="none" w:sz="0" w:space="0" w:color="auto"/>
      </w:divBdr>
    </w:div>
    <w:div w:id="818769106">
      <w:bodyDiv w:val="1"/>
      <w:marLeft w:val="0"/>
      <w:marRight w:val="0"/>
      <w:marTop w:val="0"/>
      <w:marBottom w:val="0"/>
      <w:divBdr>
        <w:top w:val="none" w:sz="0" w:space="0" w:color="auto"/>
        <w:left w:val="none" w:sz="0" w:space="0" w:color="auto"/>
        <w:bottom w:val="none" w:sz="0" w:space="0" w:color="auto"/>
        <w:right w:val="none" w:sz="0" w:space="0" w:color="auto"/>
      </w:divBdr>
    </w:div>
    <w:div w:id="819270898">
      <w:bodyDiv w:val="1"/>
      <w:marLeft w:val="0"/>
      <w:marRight w:val="0"/>
      <w:marTop w:val="0"/>
      <w:marBottom w:val="0"/>
      <w:divBdr>
        <w:top w:val="none" w:sz="0" w:space="0" w:color="auto"/>
        <w:left w:val="none" w:sz="0" w:space="0" w:color="auto"/>
        <w:bottom w:val="none" w:sz="0" w:space="0" w:color="auto"/>
        <w:right w:val="none" w:sz="0" w:space="0" w:color="auto"/>
      </w:divBdr>
    </w:div>
    <w:div w:id="823548692">
      <w:bodyDiv w:val="1"/>
      <w:marLeft w:val="0"/>
      <w:marRight w:val="0"/>
      <w:marTop w:val="0"/>
      <w:marBottom w:val="0"/>
      <w:divBdr>
        <w:top w:val="none" w:sz="0" w:space="0" w:color="auto"/>
        <w:left w:val="none" w:sz="0" w:space="0" w:color="auto"/>
        <w:bottom w:val="none" w:sz="0" w:space="0" w:color="auto"/>
        <w:right w:val="none" w:sz="0" w:space="0" w:color="auto"/>
      </w:divBdr>
    </w:div>
    <w:div w:id="826551637">
      <w:bodyDiv w:val="1"/>
      <w:marLeft w:val="0"/>
      <w:marRight w:val="0"/>
      <w:marTop w:val="0"/>
      <w:marBottom w:val="0"/>
      <w:divBdr>
        <w:top w:val="none" w:sz="0" w:space="0" w:color="auto"/>
        <w:left w:val="none" w:sz="0" w:space="0" w:color="auto"/>
        <w:bottom w:val="none" w:sz="0" w:space="0" w:color="auto"/>
        <w:right w:val="none" w:sz="0" w:space="0" w:color="auto"/>
      </w:divBdr>
    </w:div>
    <w:div w:id="829373323">
      <w:bodyDiv w:val="1"/>
      <w:marLeft w:val="0"/>
      <w:marRight w:val="0"/>
      <w:marTop w:val="0"/>
      <w:marBottom w:val="0"/>
      <w:divBdr>
        <w:top w:val="none" w:sz="0" w:space="0" w:color="auto"/>
        <w:left w:val="none" w:sz="0" w:space="0" w:color="auto"/>
        <w:bottom w:val="none" w:sz="0" w:space="0" w:color="auto"/>
        <w:right w:val="none" w:sz="0" w:space="0" w:color="auto"/>
      </w:divBdr>
    </w:div>
    <w:div w:id="834758846">
      <w:bodyDiv w:val="1"/>
      <w:marLeft w:val="0"/>
      <w:marRight w:val="0"/>
      <w:marTop w:val="0"/>
      <w:marBottom w:val="0"/>
      <w:divBdr>
        <w:top w:val="none" w:sz="0" w:space="0" w:color="auto"/>
        <w:left w:val="none" w:sz="0" w:space="0" w:color="auto"/>
        <w:bottom w:val="none" w:sz="0" w:space="0" w:color="auto"/>
        <w:right w:val="none" w:sz="0" w:space="0" w:color="auto"/>
      </w:divBdr>
    </w:div>
    <w:div w:id="843251844">
      <w:bodyDiv w:val="1"/>
      <w:marLeft w:val="0"/>
      <w:marRight w:val="0"/>
      <w:marTop w:val="0"/>
      <w:marBottom w:val="0"/>
      <w:divBdr>
        <w:top w:val="none" w:sz="0" w:space="0" w:color="auto"/>
        <w:left w:val="none" w:sz="0" w:space="0" w:color="auto"/>
        <w:bottom w:val="none" w:sz="0" w:space="0" w:color="auto"/>
        <w:right w:val="none" w:sz="0" w:space="0" w:color="auto"/>
      </w:divBdr>
    </w:div>
    <w:div w:id="844595065">
      <w:bodyDiv w:val="1"/>
      <w:marLeft w:val="0"/>
      <w:marRight w:val="0"/>
      <w:marTop w:val="0"/>
      <w:marBottom w:val="0"/>
      <w:divBdr>
        <w:top w:val="none" w:sz="0" w:space="0" w:color="auto"/>
        <w:left w:val="none" w:sz="0" w:space="0" w:color="auto"/>
        <w:bottom w:val="none" w:sz="0" w:space="0" w:color="auto"/>
        <w:right w:val="none" w:sz="0" w:space="0" w:color="auto"/>
      </w:divBdr>
    </w:div>
    <w:div w:id="853954679">
      <w:bodyDiv w:val="1"/>
      <w:marLeft w:val="0"/>
      <w:marRight w:val="0"/>
      <w:marTop w:val="0"/>
      <w:marBottom w:val="0"/>
      <w:divBdr>
        <w:top w:val="none" w:sz="0" w:space="0" w:color="auto"/>
        <w:left w:val="none" w:sz="0" w:space="0" w:color="auto"/>
        <w:bottom w:val="none" w:sz="0" w:space="0" w:color="auto"/>
        <w:right w:val="none" w:sz="0" w:space="0" w:color="auto"/>
      </w:divBdr>
    </w:div>
    <w:div w:id="854459094">
      <w:bodyDiv w:val="1"/>
      <w:marLeft w:val="0"/>
      <w:marRight w:val="0"/>
      <w:marTop w:val="0"/>
      <w:marBottom w:val="0"/>
      <w:divBdr>
        <w:top w:val="none" w:sz="0" w:space="0" w:color="auto"/>
        <w:left w:val="none" w:sz="0" w:space="0" w:color="auto"/>
        <w:bottom w:val="none" w:sz="0" w:space="0" w:color="auto"/>
        <w:right w:val="none" w:sz="0" w:space="0" w:color="auto"/>
      </w:divBdr>
    </w:div>
    <w:div w:id="854611825">
      <w:bodyDiv w:val="1"/>
      <w:marLeft w:val="0"/>
      <w:marRight w:val="0"/>
      <w:marTop w:val="0"/>
      <w:marBottom w:val="0"/>
      <w:divBdr>
        <w:top w:val="none" w:sz="0" w:space="0" w:color="auto"/>
        <w:left w:val="none" w:sz="0" w:space="0" w:color="auto"/>
        <w:bottom w:val="none" w:sz="0" w:space="0" w:color="auto"/>
        <w:right w:val="none" w:sz="0" w:space="0" w:color="auto"/>
      </w:divBdr>
    </w:div>
    <w:div w:id="854732152">
      <w:bodyDiv w:val="1"/>
      <w:marLeft w:val="0"/>
      <w:marRight w:val="0"/>
      <w:marTop w:val="0"/>
      <w:marBottom w:val="0"/>
      <w:divBdr>
        <w:top w:val="none" w:sz="0" w:space="0" w:color="auto"/>
        <w:left w:val="none" w:sz="0" w:space="0" w:color="auto"/>
        <w:bottom w:val="none" w:sz="0" w:space="0" w:color="auto"/>
        <w:right w:val="none" w:sz="0" w:space="0" w:color="auto"/>
      </w:divBdr>
    </w:div>
    <w:div w:id="855538842">
      <w:bodyDiv w:val="1"/>
      <w:marLeft w:val="0"/>
      <w:marRight w:val="0"/>
      <w:marTop w:val="0"/>
      <w:marBottom w:val="0"/>
      <w:divBdr>
        <w:top w:val="none" w:sz="0" w:space="0" w:color="auto"/>
        <w:left w:val="none" w:sz="0" w:space="0" w:color="auto"/>
        <w:bottom w:val="none" w:sz="0" w:space="0" w:color="auto"/>
        <w:right w:val="none" w:sz="0" w:space="0" w:color="auto"/>
      </w:divBdr>
    </w:div>
    <w:div w:id="860893789">
      <w:bodyDiv w:val="1"/>
      <w:marLeft w:val="0"/>
      <w:marRight w:val="0"/>
      <w:marTop w:val="0"/>
      <w:marBottom w:val="0"/>
      <w:divBdr>
        <w:top w:val="none" w:sz="0" w:space="0" w:color="auto"/>
        <w:left w:val="none" w:sz="0" w:space="0" w:color="auto"/>
        <w:bottom w:val="none" w:sz="0" w:space="0" w:color="auto"/>
        <w:right w:val="none" w:sz="0" w:space="0" w:color="auto"/>
      </w:divBdr>
    </w:div>
    <w:div w:id="861164353">
      <w:bodyDiv w:val="1"/>
      <w:marLeft w:val="0"/>
      <w:marRight w:val="0"/>
      <w:marTop w:val="0"/>
      <w:marBottom w:val="0"/>
      <w:divBdr>
        <w:top w:val="none" w:sz="0" w:space="0" w:color="auto"/>
        <w:left w:val="none" w:sz="0" w:space="0" w:color="auto"/>
        <w:bottom w:val="none" w:sz="0" w:space="0" w:color="auto"/>
        <w:right w:val="none" w:sz="0" w:space="0" w:color="auto"/>
      </w:divBdr>
    </w:div>
    <w:div w:id="861668687">
      <w:bodyDiv w:val="1"/>
      <w:marLeft w:val="0"/>
      <w:marRight w:val="0"/>
      <w:marTop w:val="0"/>
      <w:marBottom w:val="0"/>
      <w:divBdr>
        <w:top w:val="none" w:sz="0" w:space="0" w:color="auto"/>
        <w:left w:val="none" w:sz="0" w:space="0" w:color="auto"/>
        <w:bottom w:val="none" w:sz="0" w:space="0" w:color="auto"/>
        <w:right w:val="none" w:sz="0" w:space="0" w:color="auto"/>
      </w:divBdr>
    </w:div>
    <w:div w:id="862862623">
      <w:bodyDiv w:val="1"/>
      <w:marLeft w:val="0"/>
      <w:marRight w:val="0"/>
      <w:marTop w:val="0"/>
      <w:marBottom w:val="0"/>
      <w:divBdr>
        <w:top w:val="none" w:sz="0" w:space="0" w:color="auto"/>
        <w:left w:val="none" w:sz="0" w:space="0" w:color="auto"/>
        <w:bottom w:val="none" w:sz="0" w:space="0" w:color="auto"/>
        <w:right w:val="none" w:sz="0" w:space="0" w:color="auto"/>
      </w:divBdr>
    </w:div>
    <w:div w:id="864097406">
      <w:bodyDiv w:val="1"/>
      <w:marLeft w:val="0"/>
      <w:marRight w:val="0"/>
      <w:marTop w:val="0"/>
      <w:marBottom w:val="0"/>
      <w:divBdr>
        <w:top w:val="none" w:sz="0" w:space="0" w:color="auto"/>
        <w:left w:val="none" w:sz="0" w:space="0" w:color="auto"/>
        <w:bottom w:val="none" w:sz="0" w:space="0" w:color="auto"/>
        <w:right w:val="none" w:sz="0" w:space="0" w:color="auto"/>
      </w:divBdr>
    </w:div>
    <w:div w:id="868689865">
      <w:bodyDiv w:val="1"/>
      <w:marLeft w:val="0"/>
      <w:marRight w:val="0"/>
      <w:marTop w:val="0"/>
      <w:marBottom w:val="0"/>
      <w:divBdr>
        <w:top w:val="none" w:sz="0" w:space="0" w:color="auto"/>
        <w:left w:val="none" w:sz="0" w:space="0" w:color="auto"/>
        <w:bottom w:val="none" w:sz="0" w:space="0" w:color="auto"/>
        <w:right w:val="none" w:sz="0" w:space="0" w:color="auto"/>
      </w:divBdr>
    </w:div>
    <w:div w:id="871498039">
      <w:bodyDiv w:val="1"/>
      <w:marLeft w:val="0"/>
      <w:marRight w:val="0"/>
      <w:marTop w:val="0"/>
      <w:marBottom w:val="0"/>
      <w:divBdr>
        <w:top w:val="none" w:sz="0" w:space="0" w:color="auto"/>
        <w:left w:val="none" w:sz="0" w:space="0" w:color="auto"/>
        <w:bottom w:val="none" w:sz="0" w:space="0" w:color="auto"/>
        <w:right w:val="none" w:sz="0" w:space="0" w:color="auto"/>
      </w:divBdr>
    </w:div>
    <w:div w:id="873615977">
      <w:bodyDiv w:val="1"/>
      <w:marLeft w:val="0"/>
      <w:marRight w:val="0"/>
      <w:marTop w:val="0"/>
      <w:marBottom w:val="0"/>
      <w:divBdr>
        <w:top w:val="none" w:sz="0" w:space="0" w:color="auto"/>
        <w:left w:val="none" w:sz="0" w:space="0" w:color="auto"/>
        <w:bottom w:val="none" w:sz="0" w:space="0" w:color="auto"/>
        <w:right w:val="none" w:sz="0" w:space="0" w:color="auto"/>
      </w:divBdr>
    </w:div>
    <w:div w:id="875198828">
      <w:bodyDiv w:val="1"/>
      <w:marLeft w:val="0"/>
      <w:marRight w:val="0"/>
      <w:marTop w:val="0"/>
      <w:marBottom w:val="0"/>
      <w:divBdr>
        <w:top w:val="none" w:sz="0" w:space="0" w:color="auto"/>
        <w:left w:val="none" w:sz="0" w:space="0" w:color="auto"/>
        <w:bottom w:val="none" w:sz="0" w:space="0" w:color="auto"/>
        <w:right w:val="none" w:sz="0" w:space="0" w:color="auto"/>
      </w:divBdr>
    </w:div>
    <w:div w:id="878778949">
      <w:bodyDiv w:val="1"/>
      <w:marLeft w:val="0"/>
      <w:marRight w:val="0"/>
      <w:marTop w:val="0"/>
      <w:marBottom w:val="0"/>
      <w:divBdr>
        <w:top w:val="none" w:sz="0" w:space="0" w:color="auto"/>
        <w:left w:val="none" w:sz="0" w:space="0" w:color="auto"/>
        <w:bottom w:val="none" w:sz="0" w:space="0" w:color="auto"/>
        <w:right w:val="none" w:sz="0" w:space="0" w:color="auto"/>
      </w:divBdr>
    </w:div>
    <w:div w:id="883639433">
      <w:bodyDiv w:val="1"/>
      <w:marLeft w:val="0"/>
      <w:marRight w:val="0"/>
      <w:marTop w:val="0"/>
      <w:marBottom w:val="0"/>
      <w:divBdr>
        <w:top w:val="none" w:sz="0" w:space="0" w:color="auto"/>
        <w:left w:val="none" w:sz="0" w:space="0" w:color="auto"/>
        <w:bottom w:val="none" w:sz="0" w:space="0" w:color="auto"/>
        <w:right w:val="none" w:sz="0" w:space="0" w:color="auto"/>
      </w:divBdr>
    </w:div>
    <w:div w:id="892153696">
      <w:bodyDiv w:val="1"/>
      <w:marLeft w:val="0"/>
      <w:marRight w:val="0"/>
      <w:marTop w:val="0"/>
      <w:marBottom w:val="0"/>
      <w:divBdr>
        <w:top w:val="none" w:sz="0" w:space="0" w:color="auto"/>
        <w:left w:val="none" w:sz="0" w:space="0" w:color="auto"/>
        <w:bottom w:val="none" w:sz="0" w:space="0" w:color="auto"/>
        <w:right w:val="none" w:sz="0" w:space="0" w:color="auto"/>
      </w:divBdr>
    </w:div>
    <w:div w:id="896165373">
      <w:bodyDiv w:val="1"/>
      <w:marLeft w:val="0"/>
      <w:marRight w:val="0"/>
      <w:marTop w:val="0"/>
      <w:marBottom w:val="0"/>
      <w:divBdr>
        <w:top w:val="none" w:sz="0" w:space="0" w:color="auto"/>
        <w:left w:val="none" w:sz="0" w:space="0" w:color="auto"/>
        <w:bottom w:val="none" w:sz="0" w:space="0" w:color="auto"/>
        <w:right w:val="none" w:sz="0" w:space="0" w:color="auto"/>
      </w:divBdr>
    </w:div>
    <w:div w:id="900407940">
      <w:bodyDiv w:val="1"/>
      <w:marLeft w:val="0"/>
      <w:marRight w:val="0"/>
      <w:marTop w:val="0"/>
      <w:marBottom w:val="0"/>
      <w:divBdr>
        <w:top w:val="none" w:sz="0" w:space="0" w:color="auto"/>
        <w:left w:val="none" w:sz="0" w:space="0" w:color="auto"/>
        <w:bottom w:val="none" w:sz="0" w:space="0" w:color="auto"/>
        <w:right w:val="none" w:sz="0" w:space="0" w:color="auto"/>
      </w:divBdr>
    </w:div>
    <w:div w:id="901064112">
      <w:bodyDiv w:val="1"/>
      <w:marLeft w:val="0"/>
      <w:marRight w:val="0"/>
      <w:marTop w:val="0"/>
      <w:marBottom w:val="0"/>
      <w:divBdr>
        <w:top w:val="none" w:sz="0" w:space="0" w:color="auto"/>
        <w:left w:val="none" w:sz="0" w:space="0" w:color="auto"/>
        <w:bottom w:val="none" w:sz="0" w:space="0" w:color="auto"/>
        <w:right w:val="none" w:sz="0" w:space="0" w:color="auto"/>
      </w:divBdr>
    </w:div>
    <w:div w:id="901717818">
      <w:bodyDiv w:val="1"/>
      <w:marLeft w:val="0"/>
      <w:marRight w:val="0"/>
      <w:marTop w:val="0"/>
      <w:marBottom w:val="0"/>
      <w:divBdr>
        <w:top w:val="none" w:sz="0" w:space="0" w:color="auto"/>
        <w:left w:val="none" w:sz="0" w:space="0" w:color="auto"/>
        <w:bottom w:val="none" w:sz="0" w:space="0" w:color="auto"/>
        <w:right w:val="none" w:sz="0" w:space="0" w:color="auto"/>
      </w:divBdr>
    </w:div>
    <w:div w:id="905914591">
      <w:bodyDiv w:val="1"/>
      <w:marLeft w:val="0"/>
      <w:marRight w:val="0"/>
      <w:marTop w:val="0"/>
      <w:marBottom w:val="0"/>
      <w:divBdr>
        <w:top w:val="none" w:sz="0" w:space="0" w:color="auto"/>
        <w:left w:val="none" w:sz="0" w:space="0" w:color="auto"/>
        <w:bottom w:val="none" w:sz="0" w:space="0" w:color="auto"/>
        <w:right w:val="none" w:sz="0" w:space="0" w:color="auto"/>
      </w:divBdr>
    </w:div>
    <w:div w:id="906502689">
      <w:bodyDiv w:val="1"/>
      <w:marLeft w:val="0"/>
      <w:marRight w:val="0"/>
      <w:marTop w:val="0"/>
      <w:marBottom w:val="0"/>
      <w:divBdr>
        <w:top w:val="none" w:sz="0" w:space="0" w:color="auto"/>
        <w:left w:val="none" w:sz="0" w:space="0" w:color="auto"/>
        <w:bottom w:val="none" w:sz="0" w:space="0" w:color="auto"/>
        <w:right w:val="none" w:sz="0" w:space="0" w:color="auto"/>
      </w:divBdr>
    </w:div>
    <w:div w:id="907764366">
      <w:bodyDiv w:val="1"/>
      <w:marLeft w:val="0"/>
      <w:marRight w:val="0"/>
      <w:marTop w:val="0"/>
      <w:marBottom w:val="0"/>
      <w:divBdr>
        <w:top w:val="none" w:sz="0" w:space="0" w:color="auto"/>
        <w:left w:val="none" w:sz="0" w:space="0" w:color="auto"/>
        <w:bottom w:val="none" w:sz="0" w:space="0" w:color="auto"/>
        <w:right w:val="none" w:sz="0" w:space="0" w:color="auto"/>
      </w:divBdr>
    </w:div>
    <w:div w:id="914709434">
      <w:bodyDiv w:val="1"/>
      <w:marLeft w:val="0"/>
      <w:marRight w:val="0"/>
      <w:marTop w:val="0"/>
      <w:marBottom w:val="0"/>
      <w:divBdr>
        <w:top w:val="none" w:sz="0" w:space="0" w:color="auto"/>
        <w:left w:val="none" w:sz="0" w:space="0" w:color="auto"/>
        <w:bottom w:val="none" w:sz="0" w:space="0" w:color="auto"/>
        <w:right w:val="none" w:sz="0" w:space="0" w:color="auto"/>
      </w:divBdr>
    </w:div>
    <w:div w:id="916474921">
      <w:bodyDiv w:val="1"/>
      <w:marLeft w:val="0"/>
      <w:marRight w:val="0"/>
      <w:marTop w:val="0"/>
      <w:marBottom w:val="0"/>
      <w:divBdr>
        <w:top w:val="none" w:sz="0" w:space="0" w:color="auto"/>
        <w:left w:val="none" w:sz="0" w:space="0" w:color="auto"/>
        <w:bottom w:val="none" w:sz="0" w:space="0" w:color="auto"/>
        <w:right w:val="none" w:sz="0" w:space="0" w:color="auto"/>
      </w:divBdr>
    </w:div>
    <w:div w:id="919368275">
      <w:bodyDiv w:val="1"/>
      <w:marLeft w:val="0"/>
      <w:marRight w:val="0"/>
      <w:marTop w:val="0"/>
      <w:marBottom w:val="0"/>
      <w:divBdr>
        <w:top w:val="none" w:sz="0" w:space="0" w:color="auto"/>
        <w:left w:val="none" w:sz="0" w:space="0" w:color="auto"/>
        <w:bottom w:val="none" w:sz="0" w:space="0" w:color="auto"/>
        <w:right w:val="none" w:sz="0" w:space="0" w:color="auto"/>
      </w:divBdr>
    </w:div>
    <w:div w:id="922297955">
      <w:bodyDiv w:val="1"/>
      <w:marLeft w:val="0"/>
      <w:marRight w:val="0"/>
      <w:marTop w:val="0"/>
      <w:marBottom w:val="0"/>
      <w:divBdr>
        <w:top w:val="none" w:sz="0" w:space="0" w:color="auto"/>
        <w:left w:val="none" w:sz="0" w:space="0" w:color="auto"/>
        <w:bottom w:val="none" w:sz="0" w:space="0" w:color="auto"/>
        <w:right w:val="none" w:sz="0" w:space="0" w:color="auto"/>
      </w:divBdr>
    </w:div>
    <w:div w:id="923143663">
      <w:bodyDiv w:val="1"/>
      <w:marLeft w:val="0"/>
      <w:marRight w:val="0"/>
      <w:marTop w:val="0"/>
      <w:marBottom w:val="0"/>
      <w:divBdr>
        <w:top w:val="none" w:sz="0" w:space="0" w:color="auto"/>
        <w:left w:val="none" w:sz="0" w:space="0" w:color="auto"/>
        <w:bottom w:val="none" w:sz="0" w:space="0" w:color="auto"/>
        <w:right w:val="none" w:sz="0" w:space="0" w:color="auto"/>
      </w:divBdr>
    </w:div>
    <w:div w:id="923222165">
      <w:bodyDiv w:val="1"/>
      <w:marLeft w:val="0"/>
      <w:marRight w:val="0"/>
      <w:marTop w:val="0"/>
      <w:marBottom w:val="0"/>
      <w:divBdr>
        <w:top w:val="none" w:sz="0" w:space="0" w:color="auto"/>
        <w:left w:val="none" w:sz="0" w:space="0" w:color="auto"/>
        <w:bottom w:val="none" w:sz="0" w:space="0" w:color="auto"/>
        <w:right w:val="none" w:sz="0" w:space="0" w:color="auto"/>
      </w:divBdr>
    </w:div>
    <w:div w:id="933323237">
      <w:bodyDiv w:val="1"/>
      <w:marLeft w:val="0"/>
      <w:marRight w:val="0"/>
      <w:marTop w:val="0"/>
      <w:marBottom w:val="0"/>
      <w:divBdr>
        <w:top w:val="none" w:sz="0" w:space="0" w:color="auto"/>
        <w:left w:val="none" w:sz="0" w:space="0" w:color="auto"/>
        <w:bottom w:val="none" w:sz="0" w:space="0" w:color="auto"/>
        <w:right w:val="none" w:sz="0" w:space="0" w:color="auto"/>
      </w:divBdr>
    </w:div>
    <w:div w:id="935675511">
      <w:bodyDiv w:val="1"/>
      <w:marLeft w:val="0"/>
      <w:marRight w:val="0"/>
      <w:marTop w:val="0"/>
      <w:marBottom w:val="0"/>
      <w:divBdr>
        <w:top w:val="none" w:sz="0" w:space="0" w:color="auto"/>
        <w:left w:val="none" w:sz="0" w:space="0" w:color="auto"/>
        <w:bottom w:val="none" w:sz="0" w:space="0" w:color="auto"/>
        <w:right w:val="none" w:sz="0" w:space="0" w:color="auto"/>
      </w:divBdr>
    </w:div>
    <w:div w:id="936331518">
      <w:bodyDiv w:val="1"/>
      <w:marLeft w:val="0"/>
      <w:marRight w:val="0"/>
      <w:marTop w:val="0"/>
      <w:marBottom w:val="0"/>
      <w:divBdr>
        <w:top w:val="none" w:sz="0" w:space="0" w:color="auto"/>
        <w:left w:val="none" w:sz="0" w:space="0" w:color="auto"/>
        <w:bottom w:val="none" w:sz="0" w:space="0" w:color="auto"/>
        <w:right w:val="none" w:sz="0" w:space="0" w:color="auto"/>
      </w:divBdr>
    </w:div>
    <w:div w:id="937710676">
      <w:bodyDiv w:val="1"/>
      <w:marLeft w:val="0"/>
      <w:marRight w:val="0"/>
      <w:marTop w:val="0"/>
      <w:marBottom w:val="0"/>
      <w:divBdr>
        <w:top w:val="none" w:sz="0" w:space="0" w:color="auto"/>
        <w:left w:val="none" w:sz="0" w:space="0" w:color="auto"/>
        <w:bottom w:val="none" w:sz="0" w:space="0" w:color="auto"/>
        <w:right w:val="none" w:sz="0" w:space="0" w:color="auto"/>
      </w:divBdr>
    </w:div>
    <w:div w:id="939794183">
      <w:bodyDiv w:val="1"/>
      <w:marLeft w:val="0"/>
      <w:marRight w:val="0"/>
      <w:marTop w:val="0"/>
      <w:marBottom w:val="0"/>
      <w:divBdr>
        <w:top w:val="none" w:sz="0" w:space="0" w:color="auto"/>
        <w:left w:val="none" w:sz="0" w:space="0" w:color="auto"/>
        <w:bottom w:val="none" w:sz="0" w:space="0" w:color="auto"/>
        <w:right w:val="none" w:sz="0" w:space="0" w:color="auto"/>
      </w:divBdr>
    </w:div>
    <w:div w:id="942566858">
      <w:bodyDiv w:val="1"/>
      <w:marLeft w:val="0"/>
      <w:marRight w:val="0"/>
      <w:marTop w:val="0"/>
      <w:marBottom w:val="0"/>
      <w:divBdr>
        <w:top w:val="none" w:sz="0" w:space="0" w:color="auto"/>
        <w:left w:val="none" w:sz="0" w:space="0" w:color="auto"/>
        <w:bottom w:val="none" w:sz="0" w:space="0" w:color="auto"/>
        <w:right w:val="none" w:sz="0" w:space="0" w:color="auto"/>
      </w:divBdr>
    </w:div>
    <w:div w:id="942884453">
      <w:bodyDiv w:val="1"/>
      <w:marLeft w:val="0"/>
      <w:marRight w:val="0"/>
      <w:marTop w:val="0"/>
      <w:marBottom w:val="0"/>
      <w:divBdr>
        <w:top w:val="none" w:sz="0" w:space="0" w:color="auto"/>
        <w:left w:val="none" w:sz="0" w:space="0" w:color="auto"/>
        <w:bottom w:val="none" w:sz="0" w:space="0" w:color="auto"/>
        <w:right w:val="none" w:sz="0" w:space="0" w:color="auto"/>
      </w:divBdr>
    </w:div>
    <w:div w:id="949166965">
      <w:bodyDiv w:val="1"/>
      <w:marLeft w:val="0"/>
      <w:marRight w:val="0"/>
      <w:marTop w:val="0"/>
      <w:marBottom w:val="0"/>
      <w:divBdr>
        <w:top w:val="none" w:sz="0" w:space="0" w:color="auto"/>
        <w:left w:val="none" w:sz="0" w:space="0" w:color="auto"/>
        <w:bottom w:val="none" w:sz="0" w:space="0" w:color="auto"/>
        <w:right w:val="none" w:sz="0" w:space="0" w:color="auto"/>
      </w:divBdr>
    </w:div>
    <w:div w:id="951132046">
      <w:bodyDiv w:val="1"/>
      <w:marLeft w:val="0"/>
      <w:marRight w:val="0"/>
      <w:marTop w:val="0"/>
      <w:marBottom w:val="0"/>
      <w:divBdr>
        <w:top w:val="none" w:sz="0" w:space="0" w:color="auto"/>
        <w:left w:val="none" w:sz="0" w:space="0" w:color="auto"/>
        <w:bottom w:val="none" w:sz="0" w:space="0" w:color="auto"/>
        <w:right w:val="none" w:sz="0" w:space="0" w:color="auto"/>
      </w:divBdr>
    </w:div>
    <w:div w:id="957368747">
      <w:bodyDiv w:val="1"/>
      <w:marLeft w:val="0"/>
      <w:marRight w:val="0"/>
      <w:marTop w:val="0"/>
      <w:marBottom w:val="0"/>
      <w:divBdr>
        <w:top w:val="none" w:sz="0" w:space="0" w:color="auto"/>
        <w:left w:val="none" w:sz="0" w:space="0" w:color="auto"/>
        <w:bottom w:val="none" w:sz="0" w:space="0" w:color="auto"/>
        <w:right w:val="none" w:sz="0" w:space="0" w:color="auto"/>
      </w:divBdr>
    </w:div>
    <w:div w:id="958682648">
      <w:bodyDiv w:val="1"/>
      <w:marLeft w:val="0"/>
      <w:marRight w:val="0"/>
      <w:marTop w:val="0"/>
      <w:marBottom w:val="0"/>
      <w:divBdr>
        <w:top w:val="none" w:sz="0" w:space="0" w:color="auto"/>
        <w:left w:val="none" w:sz="0" w:space="0" w:color="auto"/>
        <w:bottom w:val="none" w:sz="0" w:space="0" w:color="auto"/>
        <w:right w:val="none" w:sz="0" w:space="0" w:color="auto"/>
      </w:divBdr>
    </w:div>
    <w:div w:id="958923329">
      <w:bodyDiv w:val="1"/>
      <w:marLeft w:val="0"/>
      <w:marRight w:val="0"/>
      <w:marTop w:val="0"/>
      <w:marBottom w:val="0"/>
      <w:divBdr>
        <w:top w:val="none" w:sz="0" w:space="0" w:color="auto"/>
        <w:left w:val="none" w:sz="0" w:space="0" w:color="auto"/>
        <w:bottom w:val="none" w:sz="0" w:space="0" w:color="auto"/>
        <w:right w:val="none" w:sz="0" w:space="0" w:color="auto"/>
      </w:divBdr>
    </w:div>
    <w:div w:id="962154084">
      <w:bodyDiv w:val="1"/>
      <w:marLeft w:val="0"/>
      <w:marRight w:val="0"/>
      <w:marTop w:val="0"/>
      <w:marBottom w:val="0"/>
      <w:divBdr>
        <w:top w:val="none" w:sz="0" w:space="0" w:color="auto"/>
        <w:left w:val="none" w:sz="0" w:space="0" w:color="auto"/>
        <w:bottom w:val="none" w:sz="0" w:space="0" w:color="auto"/>
        <w:right w:val="none" w:sz="0" w:space="0" w:color="auto"/>
      </w:divBdr>
    </w:div>
    <w:div w:id="968172392">
      <w:bodyDiv w:val="1"/>
      <w:marLeft w:val="0"/>
      <w:marRight w:val="0"/>
      <w:marTop w:val="0"/>
      <w:marBottom w:val="0"/>
      <w:divBdr>
        <w:top w:val="none" w:sz="0" w:space="0" w:color="auto"/>
        <w:left w:val="none" w:sz="0" w:space="0" w:color="auto"/>
        <w:bottom w:val="none" w:sz="0" w:space="0" w:color="auto"/>
        <w:right w:val="none" w:sz="0" w:space="0" w:color="auto"/>
      </w:divBdr>
    </w:div>
    <w:div w:id="969558345">
      <w:bodyDiv w:val="1"/>
      <w:marLeft w:val="0"/>
      <w:marRight w:val="0"/>
      <w:marTop w:val="0"/>
      <w:marBottom w:val="0"/>
      <w:divBdr>
        <w:top w:val="none" w:sz="0" w:space="0" w:color="auto"/>
        <w:left w:val="none" w:sz="0" w:space="0" w:color="auto"/>
        <w:bottom w:val="none" w:sz="0" w:space="0" w:color="auto"/>
        <w:right w:val="none" w:sz="0" w:space="0" w:color="auto"/>
      </w:divBdr>
    </w:div>
    <w:div w:id="97294880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994494">
      <w:bodyDiv w:val="1"/>
      <w:marLeft w:val="0"/>
      <w:marRight w:val="0"/>
      <w:marTop w:val="0"/>
      <w:marBottom w:val="0"/>
      <w:divBdr>
        <w:top w:val="none" w:sz="0" w:space="0" w:color="auto"/>
        <w:left w:val="none" w:sz="0" w:space="0" w:color="auto"/>
        <w:bottom w:val="none" w:sz="0" w:space="0" w:color="auto"/>
        <w:right w:val="none" w:sz="0" w:space="0" w:color="auto"/>
      </w:divBdr>
    </w:div>
    <w:div w:id="975842849">
      <w:bodyDiv w:val="1"/>
      <w:marLeft w:val="0"/>
      <w:marRight w:val="0"/>
      <w:marTop w:val="0"/>
      <w:marBottom w:val="0"/>
      <w:divBdr>
        <w:top w:val="none" w:sz="0" w:space="0" w:color="auto"/>
        <w:left w:val="none" w:sz="0" w:space="0" w:color="auto"/>
        <w:bottom w:val="none" w:sz="0" w:space="0" w:color="auto"/>
        <w:right w:val="none" w:sz="0" w:space="0" w:color="auto"/>
      </w:divBdr>
    </w:div>
    <w:div w:id="982737718">
      <w:bodyDiv w:val="1"/>
      <w:marLeft w:val="0"/>
      <w:marRight w:val="0"/>
      <w:marTop w:val="0"/>
      <w:marBottom w:val="0"/>
      <w:divBdr>
        <w:top w:val="none" w:sz="0" w:space="0" w:color="auto"/>
        <w:left w:val="none" w:sz="0" w:space="0" w:color="auto"/>
        <w:bottom w:val="none" w:sz="0" w:space="0" w:color="auto"/>
        <w:right w:val="none" w:sz="0" w:space="0" w:color="auto"/>
      </w:divBdr>
    </w:div>
    <w:div w:id="982925969">
      <w:bodyDiv w:val="1"/>
      <w:marLeft w:val="0"/>
      <w:marRight w:val="0"/>
      <w:marTop w:val="0"/>
      <w:marBottom w:val="0"/>
      <w:divBdr>
        <w:top w:val="none" w:sz="0" w:space="0" w:color="auto"/>
        <w:left w:val="none" w:sz="0" w:space="0" w:color="auto"/>
        <w:bottom w:val="none" w:sz="0" w:space="0" w:color="auto"/>
        <w:right w:val="none" w:sz="0" w:space="0" w:color="auto"/>
      </w:divBdr>
    </w:div>
    <w:div w:id="987589907">
      <w:bodyDiv w:val="1"/>
      <w:marLeft w:val="0"/>
      <w:marRight w:val="0"/>
      <w:marTop w:val="0"/>
      <w:marBottom w:val="0"/>
      <w:divBdr>
        <w:top w:val="none" w:sz="0" w:space="0" w:color="auto"/>
        <w:left w:val="none" w:sz="0" w:space="0" w:color="auto"/>
        <w:bottom w:val="none" w:sz="0" w:space="0" w:color="auto"/>
        <w:right w:val="none" w:sz="0" w:space="0" w:color="auto"/>
      </w:divBdr>
    </w:div>
    <w:div w:id="993216182">
      <w:bodyDiv w:val="1"/>
      <w:marLeft w:val="0"/>
      <w:marRight w:val="0"/>
      <w:marTop w:val="0"/>
      <w:marBottom w:val="0"/>
      <w:divBdr>
        <w:top w:val="none" w:sz="0" w:space="0" w:color="auto"/>
        <w:left w:val="none" w:sz="0" w:space="0" w:color="auto"/>
        <w:bottom w:val="none" w:sz="0" w:space="0" w:color="auto"/>
        <w:right w:val="none" w:sz="0" w:space="0" w:color="auto"/>
      </w:divBdr>
    </w:div>
    <w:div w:id="993416541">
      <w:bodyDiv w:val="1"/>
      <w:marLeft w:val="0"/>
      <w:marRight w:val="0"/>
      <w:marTop w:val="0"/>
      <w:marBottom w:val="0"/>
      <w:divBdr>
        <w:top w:val="none" w:sz="0" w:space="0" w:color="auto"/>
        <w:left w:val="none" w:sz="0" w:space="0" w:color="auto"/>
        <w:bottom w:val="none" w:sz="0" w:space="0" w:color="auto"/>
        <w:right w:val="none" w:sz="0" w:space="0" w:color="auto"/>
      </w:divBdr>
    </w:div>
    <w:div w:id="995376498">
      <w:bodyDiv w:val="1"/>
      <w:marLeft w:val="0"/>
      <w:marRight w:val="0"/>
      <w:marTop w:val="0"/>
      <w:marBottom w:val="0"/>
      <w:divBdr>
        <w:top w:val="none" w:sz="0" w:space="0" w:color="auto"/>
        <w:left w:val="none" w:sz="0" w:space="0" w:color="auto"/>
        <w:bottom w:val="none" w:sz="0" w:space="0" w:color="auto"/>
        <w:right w:val="none" w:sz="0" w:space="0" w:color="auto"/>
      </w:divBdr>
    </w:div>
    <w:div w:id="997072715">
      <w:bodyDiv w:val="1"/>
      <w:marLeft w:val="0"/>
      <w:marRight w:val="0"/>
      <w:marTop w:val="0"/>
      <w:marBottom w:val="0"/>
      <w:divBdr>
        <w:top w:val="none" w:sz="0" w:space="0" w:color="auto"/>
        <w:left w:val="none" w:sz="0" w:space="0" w:color="auto"/>
        <w:bottom w:val="none" w:sz="0" w:space="0" w:color="auto"/>
        <w:right w:val="none" w:sz="0" w:space="0" w:color="auto"/>
      </w:divBdr>
    </w:div>
    <w:div w:id="997927162">
      <w:bodyDiv w:val="1"/>
      <w:marLeft w:val="0"/>
      <w:marRight w:val="0"/>
      <w:marTop w:val="0"/>
      <w:marBottom w:val="0"/>
      <w:divBdr>
        <w:top w:val="none" w:sz="0" w:space="0" w:color="auto"/>
        <w:left w:val="none" w:sz="0" w:space="0" w:color="auto"/>
        <w:bottom w:val="none" w:sz="0" w:space="0" w:color="auto"/>
        <w:right w:val="none" w:sz="0" w:space="0" w:color="auto"/>
      </w:divBdr>
    </w:div>
    <w:div w:id="1001587379">
      <w:bodyDiv w:val="1"/>
      <w:marLeft w:val="0"/>
      <w:marRight w:val="0"/>
      <w:marTop w:val="0"/>
      <w:marBottom w:val="0"/>
      <w:divBdr>
        <w:top w:val="none" w:sz="0" w:space="0" w:color="auto"/>
        <w:left w:val="none" w:sz="0" w:space="0" w:color="auto"/>
        <w:bottom w:val="none" w:sz="0" w:space="0" w:color="auto"/>
        <w:right w:val="none" w:sz="0" w:space="0" w:color="auto"/>
      </w:divBdr>
    </w:div>
    <w:div w:id="1002507658">
      <w:bodyDiv w:val="1"/>
      <w:marLeft w:val="0"/>
      <w:marRight w:val="0"/>
      <w:marTop w:val="0"/>
      <w:marBottom w:val="0"/>
      <w:divBdr>
        <w:top w:val="none" w:sz="0" w:space="0" w:color="auto"/>
        <w:left w:val="none" w:sz="0" w:space="0" w:color="auto"/>
        <w:bottom w:val="none" w:sz="0" w:space="0" w:color="auto"/>
        <w:right w:val="none" w:sz="0" w:space="0" w:color="auto"/>
      </w:divBdr>
    </w:div>
    <w:div w:id="1003432617">
      <w:bodyDiv w:val="1"/>
      <w:marLeft w:val="0"/>
      <w:marRight w:val="0"/>
      <w:marTop w:val="0"/>
      <w:marBottom w:val="0"/>
      <w:divBdr>
        <w:top w:val="none" w:sz="0" w:space="0" w:color="auto"/>
        <w:left w:val="none" w:sz="0" w:space="0" w:color="auto"/>
        <w:bottom w:val="none" w:sz="0" w:space="0" w:color="auto"/>
        <w:right w:val="none" w:sz="0" w:space="0" w:color="auto"/>
      </w:divBdr>
    </w:div>
    <w:div w:id="1009451823">
      <w:bodyDiv w:val="1"/>
      <w:marLeft w:val="0"/>
      <w:marRight w:val="0"/>
      <w:marTop w:val="0"/>
      <w:marBottom w:val="0"/>
      <w:divBdr>
        <w:top w:val="none" w:sz="0" w:space="0" w:color="auto"/>
        <w:left w:val="none" w:sz="0" w:space="0" w:color="auto"/>
        <w:bottom w:val="none" w:sz="0" w:space="0" w:color="auto"/>
        <w:right w:val="none" w:sz="0" w:space="0" w:color="auto"/>
      </w:divBdr>
    </w:div>
    <w:div w:id="1010763067">
      <w:bodyDiv w:val="1"/>
      <w:marLeft w:val="0"/>
      <w:marRight w:val="0"/>
      <w:marTop w:val="0"/>
      <w:marBottom w:val="0"/>
      <w:divBdr>
        <w:top w:val="none" w:sz="0" w:space="0" w:color="auto"/>
        <w:left w:val="none" w:sz="0" w:space="0" w:color="auto"/>
        <w:bottom w:val="none" w:sz="0" w:space="0" w:color="auto"/>
        <w:right w:val="none" w:sz="0" w:space="0" w:color="auto"/>
      </w:divBdr>
    </w:div>
    <w:div w:id="1013797699">
      <w:bodyDiv w:val="1"/>
      <w:marLeft w:val="0"/>
      <w:marRight w:val="0"/>
      <w:marTop w:val="0"/>
      <w:marBottom w:val="0"/>
      <w:divBdr>
        <w:top w:val="none" w:sz="0" w:space="0" w:color="auto"/>
        <w:left w:val="none" w:sz="0" w:space="0" w:color="auto"/>
        <w:bottom w:val="none" w:sz="0" w:space="0" w:color="auto"/>
        <w:right w:val="none" w:sz="0" w:space="0" w:color="auto"/>
      </w:divBdr>
    </w:div>
    <w:div w:id="1015036059">
      <w:bodyDiv w:val="1"/>
      <w:marLeft w:val="0"/>
      <w:marRight w:val="0"/>
      <w:marTop w:val="0"/>
      <w:marBottom w:val="0"/>
      <w:divBdr>
        <w:top w:val="none" w:sz="0" w:space="0" w:color="auto"/>
        <w:left w:val="none" w:sz="0" w:space="0" w:color="auto"/>
        <w:bottom w:val="none" w:sz="0" w:space="0" w:color="auto"/>
        <w:right w:val="none" w:sz="0" w:space="0" w:color="auto"/>
      </w:divBdr>
    </w:div>
    <w:div w:id="1017267309">
      <w:bodyDiv w:val="1"/>
      <w:marLeft w:val="0"/>
      <w:marRight w:val="0"/>
      <w:marTop w:val="0"/>
      <w:marBottom w:val="0"/>
      <w:divBdr>
        <w:top w:val="none" w:sz="0" w:space="0" w:color="auto"/>
        <w:left w:val="none" w:sz="0" w:space="0" w:color="auto"/>
        <w:bottom w:val="none" w:sz="0" w:space="0" w:color="auto"/>
        <w:right w:val="none" w:sz="0" w:space="0" w:color="auto"/>
      </w:divBdr>
    </w:div>
    <w:div w:id="1019045534">
      <w:bodyDiv w:val="1"/>
      <w:marLeft w:val="0"/>
      <w:marRight w:val="0"/>
      <w:marTop w:val="0"/>
      <w:marBottom w:val="0"/>
      <w:divBdr>
        <w:top w:val="none" w:sz="0" w:space="0" w:color="auto"/>
        <w:left w:val="none" w:sz="0" w:space="0" w:color="auto"/>
        <w:bottom w:val="none" w:sz="0" w:space="0" w:color="auto"/>
        <w:right w:val="none" w:sz="0" w:space="0" w:color="auto"/>
      </w:divBdr>
    </w:div>
    <w:div w:id="1022130358">
      <w:bodyDiv w:val="1"/>
      <w:marLeft w:val="0"/>
      <w:marRight w:val="0"/>
      <w:marTop w:val="0"/>
      <w:marBottom w:val="0"/>
      <w:divBdr>
        <w:top w:val="none" w:sz="0" w:space="0" w:color="auto"/>
        <w:left w:val="none" w:sz="0" w:space="0" w:color="auto"/>
        <w:bottom w:val="none" w:sz="0" w:space="0" w:color="auto"/>
        <w:right w:val="none" w:sz="0" w:space="0" w:color="auto"/>
      </w:divBdr>
    </w:div>
    <w:div w:id="1023435400">
      <w:bodyDiv w:val="1"/>
      <w:marLeft w:val="0"/>
      <w:marRight w:val="0"/>
      <w:marTop w:val="0"/>
      <w:marBottom w:val="0"/>
      <w:divBdr>
        <w:top w:val="none" w:sz="0" w:space="0" w:color="auto"/>
        <w:left w:val="none" w:sz="0" w:space="0" w:color="auto"/>
        <w:bottom w:val="none" w:sz="0" w:space="0" w:color="auto"/>
        <w:right w:val="none" w:sz="0" w:space="0" w:color="auto"/>
      </w:divBdr>
    </w:div>
    <w:div w:id="1026322906">
      <w:bodyDiv w:val="1"/>
      <w:marLeft w:val="0"/>
      <w:marRight w:val="0"/>
      <w:marTop w:val="0"/>
      <w:marBottom w:val="0"/>
      <w:divBdr>
        <w:top w:val="none" w:sz="0" w:space="0" w:color="auto"/>
        <w:left w:val="none" w:sz="0" w:space="0" w:color="auto"/>
        <w:bottom w:val="none" w:sz="0" w:space="0" w:color="auto"/>
        <w:right w:val="none" w:sz="0" w:space="0" w:color="auto"/>
      </w:divBdr>
    </w:div>
    <w:div w:id="1027172551">
      <w:bodyDiv w:val="1"/>
      <w:marLeft w:val="0"/>
      <w:marRight w:val="0"/>
      <w:marTop w:val="0"/>
      <w:marBottom w:val="0"/>
      <w:divBdr>
        <w:top w:val="none" w:sz="0" w:space="0" w:color="auto"/>
        <w:left w:val="none" w:sz="0" w:space="0" w:color="auto"/>
        <w:bottom w:val="none" w:sz="0" w:space="0" w:color="auto"/>
        <w:right w:val="none" w:sz="0" w:space="0" w:color="auto"/>
      </w:divBdr>
    </w:div>
    <w:div w:id="1028724232">
      <w:bodyDiv w:val="1"/>
      <w:marLeft w:val="0"/>
      <w:marRight w:val="0"/>
      <w:marTop w:val="0"/>
      <w:marBottom w:val="0"/>
      <w:divBdr>
        <w:top w:val="none" w:sz="0" w:space="0" w:color="auto"/>
        <w:left w:val="none" w:sz="0" w:space="0" w:color="auto"/>
        <w:bottom w:val="none" w:sz="0" w:space="0" w:color="auto"/>
        <w:right w:val="none" w:sz="0" w:space="0" w:color="auto"/>
      </w:divBdr>
    </w:div>
    <w:div w:id="1030375674">
      <w:bodyDiv w:val="1"/>
      <w:marLeft w:val="0"/>
      <w:marRight w:val="0"/>
      <w:marTop w:val="0"/>
      <w:marBottom w:val="0"/>
      <w:divBdr>
        <w:top w:val="none" w:sz="0" w:space="0" w:color="auto"/>
        <w:left w:val="none" w:sz="0" w:space="0" w:color="auto"/>
        <w:bottom w:val="none" w:sz="0" w:space="0" w:color="auto"/>
        <w:right w:val="none" w:sz="0" w:space="0" w:color="auto"/>
      </w:divBdr>
    </w:div>
    <w:div w:id="1030453374">
      <w:bodyDiv w:val="1"/>
      <w:marLeft w:val="0"/>
      <w:marRight w:val="0"/>
      <w:marTop w:val="0"/>
      <w:marBottom w:val="0"/>
      <w:divBdr>
        <w:top w:val="none" w:sz="0" w:space="0" w:color="auto"/>
        <w:left w:val="none" w:sz="0" w:space="0" w:color="auto"/>
        <w:bottom w:val="none" w:sz="0" w:space="0" w:color="auto"/>
        <w:right w:val="none" w:sz="0" w:space="0" w:color="auto"/>
      </w:divBdr>
    </w:div>
    <w:div w:id="1034580936">
      <w:bodyDiv w:val="1"/>
      <w:marLeft w:val="0"/>
      <w:marRight w:val="0"/>
      <w:marTop w:val="0"/>
      <w:marBottom w:val="0"/>
      <w:divBdr>
        <w:top w:val="none" w:sz="0" w:space="0" w:color="auto"/>
        <w:left w:val="none" w:sz="0" w:space="0" w:color="auto"/>
        <w:bottom w:val="none" w:sz="0" w:space="0" w:color="auto"/>
        <w:right w:val="none" w:sz="0" w:space="0" w:color="auto"/>
      </w:divBdr>
    </w:div>
    <w:div w:id="1037505142">
      <w:bodyDiv w:val="1"/>
      <w:marLeft w:val="0"/>
      <w:marRight w:val="0"/>
      <w:marTop w:val="0"/>
      <w:marBottom w:val="0"/>
      <w:divBdr>
        <w:top w:val="none" w:sz="0" w:space="0" w:color="auto"/>
        <w:left w:val="none" w:sz="0" w:space="0" w:color="auto"/>
        <w:bottom w:val="none" w:sz="0" w:space="0" w:color="auto"/>
        <w:right w:val="none" w:sz="0" w:space="0" w:color="auto"/>
      </w:divBdr>
    </w:div>
    <w:div w:id="1038896478">
      <w:bodyDiv w:val="1"/>
      <w:marLeft w:val="0"/>
      <w:marRight w:val="0"/>
      <w:marTop w:val="0"/>
      <w:marBottom w:val="0"/>
      <w:divBdr>
        <w:top w:val="none" w:sz="0" w:space="0" w:color="auto"/>
        <w:left w:val="none" w:sz="0" w:space="0" w:color="auto"/>
        <w:bottom w:val="none" w:sz="0" w:space="0" w:color="auto"/>
        <w:right w:val="none" w:sz="0" w:space="0" w:color="auto"/>
      </w:divBdr>
    </w:div>
    <w:div w:id="1040738737">
      <w:bodyDiv w:val="1"/>
      <w:marLeft w:val="0"/>
      <w:marRight w:val="0"/>
      <w:marTop w:val="0"/>
      <w:marBottom w:val="0"/>
      <w:divBdr>
        <w:top w:val="none" w:sz="0" w:space="0" w:color="auto"/>
        <w:left w:val="none" w:sz="0" w:space="0" w:color="auto"/>
        <w:bottom w:val="none" w:sz="0" w:space="0" w:color="auto"/>
        <w:right w:val="none" w:sz="0" w:space="0" w:color="auto"/>
      </w:divBdr>
    </w:div>
    <w:div w:id="1041125857">
      <w:bodyDiv w:val="1"/>
      <w:marLeft w:val="0"/>
      <w:marRight w:val="0"/>
      <w:marTop w:val="0"/>
      <w:marBottom w:val="0"/>
      <w:divBdr>
        <w:top w:val="none" w:sz="0" w:space="0" w:color="auto"/>
        <w:left w:val="none" w:sz="0" w:space="0" w:color="auto"/>
        <w:bottom w:val="none" w:sz="0" w:space="0" w:color="auto"/>
        <w:right w:val="none" w:sz="0" w:space="0" w:color="auto"/>
      </w:divBdr>
    </w:div>
    <w:div w:id="1043486771">
      <w:bodyDiv w:val="1"/>
      <w:marLeft w:val="0"/>
      <w:marRight w:val="0"/>
      <w:marTop w:val="0"/>
      <w:marBottom w:val="0"/>
      <w:divBdr>
        <w:top w:val="none" w:sz="0" w:space="0" w:color="auto"/>
        <w:left w:val="none" w:sz="0" w:space="0" w:color="auto"/>
        <w:bottom w:val="none" w:sz="0" w:space="0" w:color="auto"/>
        <w:right w:val="none" w:sz="0" w:space="0" w:color="auto"/>
      </w:divBdr>
    </w:div>
    <w:div w:id="1044064272">
      <w:bodyDiv w:val="1"/>
      <w:marLeft w:val="0"/>
      <w:marRight w:val="0"/>
      <w:marTop w:val="0"/>
      <w:marBottom w:val="0"/>
      <w:divBdr>
        <w:top w:val="none" w:sz="0" w:space="0" w:color="auto"/>
        <w:left w:val="none" w:sz="0" w:space="0" w:color="auto"/>
        <w:bottom w:val="none" w:sz="0" w:space="0" w:color="auto"/>
        <w:right w:val="none" w:sz="0" w:space="0" w:color="auto"/>
      </w:divBdr>
    </w:div>
    <w:div w:id="1051074484">
      <w:bodyDiv w:val="1"/>
      <w:marLeft w:val="0"/>
      <w:marRight w:val="0"/>
      <w:marTop w:val="0"/>
      <w:marBottom w:val="0"/>
      <w:divBdr>
        <w:top w:val="none" w:sz="0" w:space="0" w:color="auto"/>
        <w:left w:val="none" w:sz="0" w:space="0" w:color="auto"/>
        <w:bottom w:val="none" w:sz="0" w:space="0" w:color="auto"/>
        <w:right w:val="none" w:sz="0" w:space="0" w:color="auto"/>
      </w:divBdr>
    </w:div>
    <w:div w:id="1052657475">
      <w:bodyDiv w:val="1"/>
      <w:marLeft w:val="0"/>
      <w:marRight w:val="0"/>
      <w:marTop w:val="0"/>
      <w:marBottom w:val="0"/>
      <w:divBdr>
        <w:top w:val="none" w:sz="0" w:space="0" w:color="auto"/>
        <w:left w:val="none" w:sz="0" w:space="0" w:color="auto"/>
        <w:bottom w:val="none" w:sz="0" w:space="0" w:color="auto"/>
        <w:right w:val="none" w:sz="0" w:space="0" w:color="auto"/>
      </w:divBdr>
    </w:div>
    <w:div w:id="1052852504">
      <w:bodyDiv w:val="1"/>
      <w:marLeft w:val="0"/>
      <w:marRight w:val="0"/>
      <w:marTop w:val="0"/>
      <w:marBottom w:val="0"/>
      <w:divBdr>
        <w:top w:val="none" w:sz="0" w:space="0" w:color="auto"/>
        <w:left w:val="none" w:sz="0" w:space="0" w:color="auto"/>
        <w:bottom w:val="none" w:sz="0" w:space="0" w:color="auto"/>
        <w:right w:val="none" w:sz="0" w:space="0" w:color="auto"/>
      </w:divBdr>
    </w:div>
    <w:div w:id="1053774298">
      <w:bodyDiv w:val="1"/>
      <w:marLeft w:val="0"/>
      <w:marRight w:val="0"/>
      <w:marTop w:val="0"/>
      <w:marBottom w:val="0"/>
      <w:divBdr>
        <w:top w:val="none" w:sz="0" w:space="0" w:color="auto"/>
        <w:left w:val="none" w:sz="0" w:space="0" w:color="auto"/>
        <w:bottom w:val="none" w:sz="0" w:space="0" w:color="auto"/>
        <w:right w:val="none" w:sz="0" w:space="0" w:color="auto"/>
      </w:divBdr>
    </w:div>
    <w:div w:id="1054282288">
      <w:bodyDiv w:val="1"/>
      <w:marLeft w:val="0"/>
      <w:marRight w:val="0"/>
      <w:marTop w:val="0"/>
      <w:marBottom w:val="0"/>
      <w:divBdr>
        <w:top w:val="none" w:sz="0" w:space="0" w:color="auto"/>
        <w:left w:val="none" w:sz="0" w:space="0" w:color="auto"/>
        <w:bottom w:val="none" w:sz="0" w:space="0" w:color="auto"/>
        <w:right w:val="none" w:sz="0" w:space="0" w:color="auto"/>
      </w:divBdr>
    </w:div>
    <w:div w:id="1059717148">
      <w:bodyDiv w:val="1"/>
      <w:marLeft w:val="0"/>
      <w:marRight w:val="0"/>
      <w:marTop w:val="0"/>
      <w:marBottom w:val="0"/>
      <w:divBdr>
        <w:top w:val="none" w:sz="0" w:space="0" w:color="auto"/>
        <w:left w:val="none" w:sz="0" w:space="0" w:color="auto"/>
        <w:bottom w:val="none" w:sz="0" w:space="0" w:color="auto"/>
        <w:right w:val="none" w:sz="0" w:space="0" w:color="auto"/>
      </w:divBdr>
    </w:div>
    <w:div w:id="1064068109">
      <w:bodyDiv w:val="1"/>
      <w:marLeft w:val="0"/>
      <w:marRight w:val="0"/>
      <w:marTop w:val="0"/>
      <w:marBottom w:val="0"/>
      <w:divBdr>
        <w:top w:val="none" w:sz="0" w:space="0" w:color="auto"/>
        <w:left w:val="none" w:sz="0" w:space="0" w:color="auto"/>
        <w:bottom w:val="none" w:sz="0" w:space="0" w:color="auto"/>
        <w:right w:val="none" w:sz="0" w:space="0" w:color="auto"/>
      </w:divBdr>
    </w:div>
    <w:div w:id="1065641249">
      <w:bodyDiv w:val="1"/>
      <w:marLeft w:val="0"/>
      <w:marRight w:val="0"/>
      <w:marTop w:val="0"/>
      <w:marBottom w:val="0"/>
      <w:divBdr>
        <w:top w:val="none" w:sz="0" w:space="0" w:color="auto"/>
        <w:left w:val="none" w:sz="0" w:space="0" w:color="auto"/>
        <w:bottom w:val="none" w:sz="0" w:space="0" w:color="auto"/>
        <w:right w:val="none" w:sz="0" w:space="0" w:color="auto"/>
      </w:divBdr>
    </w:div>
    <w:div w:id="1067918662">
      <w:bodyDiv w:val="1"/>
      <w:marLeft w:val="0"/>
      <w:marRight w:val="0"/>
      <w:marTop w:val="0"/>
      <w:marBottom w:val="0"/>
      <w:divBdr>
        <w:top w:val="none" w:sz="0" w:space="0" w:color="auto"/>
        <w:left w:val="none" w:sz="0" w:space="0" w:color="auto"/>
        <w:bottom w:val="none" w:sz="0" w:space="0" w:color="auto"/>
        <w:right w:val="none" w:sz="0" w:space="0" w:color="auto"/>
      </w:divBdr>
    </w:div>
    <w:div w:id="1080635647">
      <w:bodyDiv w:val="1"/>
      <w:marLeft w:val="0"/>
      <w:marRight w:val="0"/>
      <w:marTop w:val="0"/>
      <w:marBottom w:val="0"/>
      <w:divBdr>
        <w:top w:val="none" w:sz="0" w:space="0" w:color="auto"/>
        <w:left w:val="none" w:sz="0" w:space="0" w:color="auto"/>
        <w:bottom w:val="none" w:sz="0" w:space="0" w:color="auto"/>
        <w:right w:val="none" w:sz="0" w:space="0" w:color="auto"/>
      </w:divBdr>
    </w:div>
    <w:div w:id="1084841502">
      <w:bodyDiv w:val="1"/>
      <w:marLeft w:val="0"/>
      <w:marRight w:val="0"/>
      <w:marTop w:val="0"/>
      <w:marBottom w:val="0"/>
      <w:divBdr>
        <w:top w:val="none" w:sz="0" w:space="0" w:color="auto"/>
        <w:left w:val="none" w:sz="0" w:space="0" w:color="auto"/>
        <w:bottom w:val="none" w:sz="0" w:space="0" w:color="auto"/>
        <w:right w:val="none" w:sz="0" w:space="0" w:color="auto"/>
      </w:divBdr>
    </w:div>
    <w:div w:id="1086340387">
      <w:bodyDiv w:val="1"/>
      <w:marLeft w:val="0"/>
      <w:marRight w:val="0"/>
      <w:marTop w:val="0"/>
      <w:marBottom w:val="0"/>
      <w:divBdr>
        <w:top w:val="none" w:sz="0" w:space="0" w:color="auto"/>
        <w:left w:val="none" w:sz="0" w:space="0" w:color="auto"/>
        <w:bottom w:val="none" w:sz="0" w:space="0" w:color="auto"/>
        <w:right w:val="none" w:sz="0" w:space="0" w:color="auto"/>
      </w:divBdr>
    </w:div>
    <w:div w:id="1087120295">
      <w:bodyDiv w:val="1"/>
      <w:marLeft w:val="0"/>
      <w:marRight w:val="0"/>
      <w:marTop w:val="0"/>
      <w:marBottom w:val="0"/>
      <w:divBdr>
        <w:top w:val="none" w:sz="0" w:space="0" w:color="auto"/>
        <w:left w:val="none" w:sz="0" w:space="0" w:color="auto"/>
        <w:bottom w:val="none" w:sz="0" w:space="0" w:color="auto"/>
        <w:right w:val="none" w:sz="0" w:space="0" w:color="auto"/>
      </w:divBdr>
    </w:div>
    <w:div w:id="1088386273">
      <w:bodyDiv w:val="1"/>
      <w:marLeft w:val="0"/>
      <w:marRight w:val="0"/>
      <w:marTop w:val="0"/>
      <w:marBottom w:val="0"/>
      <w:divBdr>
        <w:top w:val="none" w:sz="0" w:space="0" w:color="auto"/>
        <w:left w:val="none" w:sz="0" w:space="0" w:color="auto"/>
        <w:bottom w:val="none" w:sz="0" w:space="0" w:color="auto"/>
        <w:right w:val="none" w:sz="0" w:space="0" w:color="auto"/>
      </w:divBdr>
    </w:div>
    <w:div w:id="1091853587">
      <w:bodyDiv w:val="1"/>
      <w:marLeft w:val="0"/>
      <w:marRight w:val="0"/>
      <w:marTop w:val="0"/>
      <w:marBottom w:val="0"/>
      <w:divBdr>
        <w:top w:val="none" w:sz="0" w:space="0" w:color="auto"/>
        <w:left w:val="none" w:sz="0" w:space="0" w:color="auto"/>
        <w:bottom w:val="none" w:sz="0" w:space="0" w:color="auto"/>
        <w:right w:val="none" w:sz="0" w:space="0" w:color="auto"/>
      </w:divBdr>
    </w:div>
    <w:div w:id="1098868085">
      <w:bodyDiv w:val="1"/>
      <w:marLeft w:val="0"/>
      <w:marRight w:val="0"/>
      <w:marTop w:val="0"/>
      <w:marBottom w:val="0"/>
      <w:divBdr>
        <w:top w:val="none" w:sz="0" w:space="0" w:color="auto"/>
        <w:left w:val="none" w:sz="0" w:space="0" w:color="auto"/>
        <w:bottom w:val="none" w:sz="0" w:space="0" w:color="auto"/>
        <w:right w:val="none" w:sz="0" w:space="0" w:color="auto"/>
      </w:divBdr>
    </w:div>
    <w:div w:id="1101294937">
      <w:bodyDiv w:val="1"/>
      <w:marLeft w:val="0"/>
      <w:marRight w:val="0"/>
      <w:marTop w:val="0"/>
      <w:marBottom w:val="0"/>
      <w:divBdr>
        <w:top w:val="none" w:sz="0" w:space="0" w:color="auto"/>
        <w:left w:val="none" w:sz="0" w:space="0" w:color="auto"/>
        <w:bottom w:val="none" w:sz="0" w:space="0" w:color="auto"/>
        <w:right w:val="none" w:sz="0" w:space="0" w:color="auto"/>
      </w:divBdr>
    </w:div>
    <w:div w:id="1103653427">
      <w:bodyDiv w:val="1"/>
      <w:marLeft w:val="0"/>
      <w:marRight w:val="0"/>
      <w:marTop w:val="0"/>
      <w:marBottom w:val="0"/>
      <w:divBdr>
        <w:top w:val="none" w:sz="0" w:space="0" w:color="auto"/>
        <w:left w:val="none" w:sz="0" w:space="0" w:color="auto"/>
        <w:bottom w:val="none" w:sz="0" w:space="0" w:color="auto"/>
        <w:right w:val="none" w:sz="0" w:space="0" w:color="auto"/>
      </w:divBdr>
    </w:div>
    <w:div w:id="1107582584">
      <w:bodyDiv w:val="1"/>
      <w:marLeft w:val="0"/>
      <w:marRight w:val="0"/>
      <w:marTop w:val="0"/>
      <w:marBottom w:val="0"/>
      <w:divBdr>
        <w:top w:val="none" w:sz="0" w:space="0" w:color="auto"/>
        <w:left w:val="none" w:sz="0" w:space="0" w:color="auto"/>
        <w:bottom w:val="none" w:sz="0" w:space="0" w:color="auto"/>
        <w:right w:val="none" w:sz="0" w:space="0" w:color="auto"/>
      </w:divBdr>
    </w:div>
    <w:div w:id="1114179151">
      <w:bodyDiv w:val="1"/>
      <w:marLeft w:val="0"/>
      <w:marRight w:val="0"/>
      <w:marTop w:val="0"/>
      <w:marBottom w:val="0"/>
      <w:divBdr>
        <w:top w:val="none" w:sz="0" w:space="0" w:color="auto"/>
        <w:left w:val="none" w:sz="0" w:space="0" w:color="auto"/>
        <w:bottom w:val="none" w:sz="0" w:space="0" w:color="auto"/>
        <w:right w:val="none" w:sz="0" w:space="0" w:color="auto"/>
      </w:divBdr>
    </w:div>
    <w:div w:id="1115716626">
      <w:bodyDiv w:val="1"/>
      <w:marLeft w:val="0"/>
      <w:marRight w:val="0"/>
      <w:marTop w:val="0"/>
      <w:marBottom w:val="0"/>
      <w:divBdr>
        <w:top w:val="none" w:sz="0" w:space="0" w:color="auto"/>
        <w:left w:val="none" w:sz="0" w:space="0" w:color="auto"/>
        <w:bottom w:val="none" w:sz="0" w:space="0" w:color="auto"/>
        <w:right w:val="none" w:sz="0" w:space="0" w:color="auto"/>
      </w:divBdr>
    </w:div>
    <w:div w:id="1118337370">
      <w:bodyDiv w:val="1"/>
      <w:marLeft w:val="0"/>
      <w:marRight w:val="0"/>
      <w:marTop w:val="0"/>
      <w:marBottom w:val="0"/>
      <w:divBdr>
        <w:top w:val="none" w:sz="0" w:space="0" w:color="auto"/>
        <w:left w:val="none" w:sz="0" w:space="0" w:color="auto"/>
        <w:bottom w:val="none" w:sz="0" w:space="0" w:color="auto"/>
        <w:right w:val="none" w:sz="0" w:space="0" w:color="auto"/>
      </w:divBdr>
    </w:div>
    <w:div w:id="1118643578">
      <w:bodyDiv w:val="1"/>
      <w:marLeft w:val="0"/>
      <w:marRight w:val="0"/>
      <w:marTop w:val="0"/>
      <w:marBottom w:val="0"/>
      <w:divBdr>
        <w:top w:val="none" w:sz="0" w:space="0" w:color="auto"/>
        <w:left w:val="none" w:sz="0" w:space="0" w:color="auto"/>
        <w:bottom w:val="none" w:sz="0" w:space="0" w:color="auto"/>
        <w:right w:val="none" w:sz="0" w:space="0" w:color="auto"/>
      </w:divBdr>
    </w:div>
    <w:div w:id="1119492328">
      <w:bodyDiv w:val="1"/>
      <w:marLeft w:val="0"/>
      <w:marRight w:val="0"/>
      <w:marTop w:val="0"/>
      <w:marBottom w:val="0"/>
      <w:divBdr>
        <w:top w:val="none" w:sz="0" w:space="0" w:color="auto"/>
        <w:left w:val="none" w:sz="0" w:space="0" w:color="auto"/>
        <w:bottom w:val="none" w:sz="0" w:space="0" w:color="auto"/>
        <w:right w:val="none" w:sz="0" w:space="0" w:color="auto"/>
      </w:divBdr>
    </w:div>
    <w:div w:id="1121222209">
      <w:bodyDiv w:val="1"/>
      <w:marLeft w:val="0"/>
      <w:marRight w:val="0"/>
      <w:marTop w:val="0"/>
      <w:marBottom w:val="0"/>
      <w:divBdr>
        <w:top w:val="none" w:sz="0" w:space="0" w:color="auto"/>
        <w:left w:val="none" w:sz="0" w:space="0" w:color="auto"/>
        <w:bottom w:val="none" w:sz="0" w:space="0" w:color="auto"/>
        <w:right w:val="none" w:sz="0" w:space="0" w:color="auto"/>
      </w:divBdr>
    </w:div>
    <w:div w:id="1121849789">
      <w:bodyDiv w:val="1"/>
      <w:marLeft w:val="0"/>
      <w:marRight w:val="0"/>
      <w:marTop w:val="0"/>
      <w:marBottom w:val="0"/>
      <w:divBdr>
        <w:top w:val="none" w:sz="0" w:space="0" w:color="auto"/>
        <w:left w:val="none" w:sz="0" w:space="0" w:color="auto"/>
        <w:bottom w:val="none" w:sz="0" w:space="0" w:color="auto"/>
        <w:right w:val="none" w:sz="0" w:space="0" w:color="auto"/>
      </w:divBdr>
    </w:div>
    <w:div w:id="1127047816">
      <w:bodyDiv w:val="1"/>
      <w:marLeft w:val="0"/>
      <w:marRight w:val="0"/>
      <w:marTop w:val="0"/>
      <w:marBottom w:val="0"/>
      <w:divBdr>
        <w:top w:val="none" w:sz="0" w:space="0" w:color="auto"/>
        <w:left w:val="none" w:sz="0" w:space="0" w:color="auto"/>
        <w:bottom w:val="none" w:sz="0" w:space="0" w:color="auto"/>
        <w:right w:val="none" w:sz="0" w:space="0" w:color="auto"/>
      </w:divBdr>
    </w:div>
    <w:div w:id="113386653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109802">
      <w:bodyDiv w:val="1"/>
      <w:marLeft w:val="0"/>
      <w:marRight w:val="0"/>
      <w:marTop w:val="0"/>
      <w:marBottom w:val="0"/>
      <w:divBdr>
        <w:top w:val="none" w:sz="0" w:space="0" w:color="auto"/>
        <w:left w:val="none" w:sz="0" w:space="0" w:color="auto"/>
        <w:bottom w:val="none" w:sz="0" w:space="0" w:color="auto"/>
        <w:right w:val="none" w:sz="0" w:space="0" w:color="auto"/>
      </w:divBdr>
    </w:div>
    <w:div w:id="1140654637">
      <w:bodyDiv w:val="1"/>
      <w:marLeft w:val="0"/>
      <w:marRight w:val="0"/>
      <w:marTop w:val="0"/>
      <w:marBottom w:val="0"/>
      <w:divBdr>
        <w:top w:val="none" w:sz="0" w:space="0" w:color="auto"/>
        <w:left w:val="none" w:sz="0" w:space="0" w:color="auto"/>
        <w:bottom w:val="none" w:sz="0" w:space="0" w:color="auto"/>
        <w:right w:val="none" w:sz="0" w:space="0" w:color="auto"/>
      </w:divBdr>
    </w:div>
    <w:div w:id="1140686185">
      <w:bodyDiv w:val="1"/>
      <w:marLeft w:val="0"/>
      <w:marRight w:val="0"/>
      <w:marTop w:val="0"/>
      <w:marBottom w:val="0"/>
      <w:divBdr>
        <w:top w:val="none" w:sz="0" w:space="0" w:color="auto"/>
        <w:left w:val="none" w:sz="0" w:space="0" w:color="auto"/>
        <w:bottom w:val="none" w:sz="0" w:space="0" w:color="auto"/>
        <w:right w:val="none" w:sz="0" w:space="0" w:color="auto"/>
      </w:divBdr>
    </w:div>
    <w:div w:id="1142580629">
      <w:bodyDiv w:val="1"/>
      <w:marLeft w:val="0"/>
      <w:marRight w:val="0"/>
      <w:marTop w:val="0"/>
      <w:marBottom w:val="0"/>
      <w:divBdr>
        <w:top w:val="none" w:sz="0" w:space="0" w:color="auto"/>
        <w:left w:val="none" w:sz="0" w:space="0" w:color="auto"/>
        <w:bottom w:val="none" w:sz="0" w:space="0" w:color="auto"/>
        <w:right w:val="none" w:sz="0" w:space="0" w:color="auto"/>
      </w:divBdr>
    </w:div>
    <w:div w:id="1143037750">
      <w:bodyDiv w:val="1"/>
      <w:marLeft w:val="0"/>
      <w:marRight w:val="0"/>
      <w:marTop w:val="0"/>
      <w:marBottom w:val="0"/>
      <w:divBdr>
        <w:top w:val="none" w:sz="0" w:space="0" w:color="auto"/>
        <w:left w:val="none" w:sz="0" w:space="0" w:color="auto"/>
        <w:bottom w:val="none" w:sz="0" w:space="0" w:color="auto"/>
        <w:right w:val="none" w:sz="0" w:space="0" w:color="auto"/>
      </w:divBdr>
    </w:div>
    <w:div w:id="1143276970">
      <w:bodyDiv w:val="1"/>
      <w:marLeft w:val="0"/>
      <w:marRight w:val="0"/>
      <w:marTop w:val="0"/>
      <w:marBottom w:val="0"/>
      <w:divBdr>
        <w:top w:val="none" w:sz="0" w:space="0" w:color="auto"/>
        <w:left w:val="none" w:sz="0" w:space="0" w:color="auto"/>
        <w:bottom w:val="none" w:sz="0" w:space="0" w:color="auto"/>
        <w:right w:val="none" w:sz="0" w:space="0" w:color="auto"/>
      </w:divBdr>
    </w:div>
    <w:div w:id="1143621731">
      <w:bodyDiv w:val="1"/>
      <w:marLeft w:val="0"/>
      <w:marRight w:val="0"/>
      <w:marTop w:val="0"/>
      <w:marBottom w:val="0"/>
      <w:divBdr>
        <w:top w:val="none" w:sz="0" w:space="0" w:color="auto"/>
        <w:left w:val="none" w:sz="0" w:space="0" w:color="auto"/>
        <w:bottom w:val="none" w:sz="0" w:space="0" w:color="auto"/>
        <w:right w:val="none" w:sz="0" w:space="0" w:color="auto"/>
      </w:divBdr>
    </w:div>
    <w:div w:id="1145318947">
      <w:bodyDiv w:val="1"/>
      <w:marLeft w:val="0"/>
      <w:marRight w:val="0"/>
      <w:marTop w:val="0"/>
      <w:marBottom w:val="0"/>
      <w:divBdr>
        <w:top w:val="none" w:sz="0" w:space="0" w:color="auto"/>
        <w:left w:val="none" w:sz="0" w:space="0" w:color="auto"/>
        <w:bottom w:val="none" w:sz="0" w:space="0" w:color="auto"/>
        <w:right w:val="none" w:sz="0" w:space="0" w:color="auto"/>
      </w:divBdr>
    </w:div>
    <w:div w:id="1146822664">
      <w:bodyDiv w:val="1"/>
      <w:marLeft w:val="0"/>
      <w:marRight w:val="0"/>
      <w:marTop w:val="0"/>
      <w:marBottom w:val="0"/>
      <w:divBdr>
        <w:top w:val="none" w:sz="0" w:space="0" w:color="auto"/>
        <w:left w:val="none" w:sz="0" w:space="0" w:color="auto"/>
        <w:bottom w:val="none" w:sz="0" w:space="0" w:color="auto"/>
        <w:right w:val="none" w:sz="0" w:space="0" w:color="auto"/>
      </w:divBdr>
    </w:div>
    <w:div w:id="1148009451">
      <w:bodyDiv w:val="1"/>
      <w:marLeft w:val="0"/>
      <w:marRight w:val="0"/>
      <w:marTop w:val="0"/>
      <w:marBottom w:val="0"/>
      <w:divBdr>
        <w:top w:val="none" w:sz="0" w:space="0" w:color="auto"/>
        <w:left w:val="none" w:sz="0" w:space="0" w:color="auto"/>
        <w:bottom w:val="none" w:sz="0" w:space="0" w:color="auto"/>
        <w:right w:val="none" w:sz="0" w:space="0" w:color="auto"/>
      </w:divBdr>
    </w:div>
    <w:div w:id="1150898897">
      <w:bodyDiv w:val="1"/>
      <w:marLeft w:val="0"/>
      <w:marRight w:val="0"/>
      <w:marTop w:val="0"/>
      <w:marBottom w:val="0"/>
      <w:divBdr>
        <w:top w:val="none" w:sz="0" w:space="0" w:color="auto"/>
        <w:left w:val="none" w:sz="0" w:space="0" w:color="auto"/>
        <w:bottom w:val="none" w:sz="0" w:space="0" w:color="auto"/>
        <w:right w:val="none" w:sz="0" w:space="0" w:color="auto"/>
      </w:divBdr>
    </w:div>
    <w:div w:id="1154029819">
      <w:bodyDiv w:val="1"/>
      <w:marLeft w:val="0"/>
      <w:marRight w:val="0"/>
      <w:marTop w:val="0"/>
      <w:marBottom w:val="0"/>
      <w:divBdr>
        <w:top w:val="none" w:sz="0" w:space="0" w:color="auto"/>
        <w:left w:val="none" w:sz="0" w:space="0" w:color="auto"/>
        <w:bottom w:val="none" w:sz="0" w:space="0" w:color="auto"/>
        <w:right w:val="none" w:sz="0" w:space="0" w:color="auto"/>
      </w:divBdr>
    </w:div>
    <w:div w:id="1155220450">
      <w:bodyDiv w:val="1"/>
      <w:marLeft w:val="0"/>
      <w:marRight w:val="0"/>
      <w:marTop w:val="0"/>
      <w:marBottom w:val="0"/>
      <w:divBdr>
        <w:top w:val="none" w:sz="0" w:space="0" w:color="auto"/>
        <w:left w:val="none" w:sz="0" w:space="0" w:color="auto"/>
        <w:bottom w:val="none" w:sz="0" w:space="0" w:color="auto"/>
        <w:right w:val="none" w:sz="0" w:space="0" w:color="auto"/>
      </w:divBdr>
    </w:div>
    <w:div w:id="1157845982">
      <w:bodyDiv w:val="1"/>
      <w:marLeft w:val="0"/>
      <w:marRight w:val="0"/>
      <w:marTop w:val="0"/>
      <w:marBottom w:val="0"/>
      <w:divBdr>
        <w:top w:val="none" w:sz="0" w:space="0" w:color="auto"/>
        <w:left w:val="none" w:sz="0" w:space="0" w:color="auto"/>
        <w:bottom w:val="none" w:sz="0" w:space="0" w:color="auto"/>
        <w:right w:val="none" w:sz="0" w:space="0" w:color="auto"/>
      </w:divBdr>
    </w:div>
    <w:div w:id="1158494968">
      <w:bodyDiv w:val="1"/>
      <w:marLeft w:val="0"/>
      <w:marRight w:val="0"/>
      <w:marTop w:val="0"/>
      <w:marBottom w:val="0"/>
      <w:divBdr>
        <w:top w:val="none" w:sz="0" w:space="0" w:color="auto"/>
        <w:left w:val="none" w:sz="0" w:space="0" w:color="auto"/>
        <w:bottom w:val="none" w:sz="0" w:space="0" w:color="auto"/>
        <w:right w:val="none" w:sz="0" w:space="0" w:color="auto"/>
      </w:divBdr>
    </w:div>
    <w:div w:id="1160342126">
      <w:bodyDiv w:val="1"/>
      <w:marLeft w:val="0"/>
      <w:marRight w:val="0"/>
      <w:marTop w:val="0"/>
      <w:marBottom w:val="0"/>
      <w:divBdr>
        <w:top w:val="none" w:sz="0" w:space="0" w:color="auto"/>
        <w:left w:val="none" w:sz="0" w:space="0" w:color="auto"/>
        <w:bottom w:val="none" w:sz="0" w:space="0" w:color="auto"/>
        <w:right w:val="none" w:sz="0" w:space="0" w:color="auto"/>
      </w:divBdr>
    </w:div>
    <w:div w:id="1160543018">
      <w:bodyDiv w:val="1"/>
      <w:marLeft w:val="0"/>
      <w:marRight w:val="0"/>
      <w:marTop w:val="0"/>
      <w:marBottom w:val="0"/>
      <w:divBdr>
        <w:top w:val="none" w:sz="0" w:space="0" w:color="auto"/>
        <w:left w:val="none" w:sz="0" w:space="0" w:color="auto"/>
        <w:bottom w:val="none" w:sz="0" w:space="0" w:color="auto"/>
        <w:right w:val="none" w:sz="0" w:space="0" w:color="auto"/>
      </w:divBdr>
    </w:div>
    <w:div w:id="1161315679">
      <w:bodyDiv w:val="1"/>
      <w:marLeft w:val="0"/>
      <w:marRight w:val="0"/>
      <w:marTop w:val="0"/>
      <w:marBottom w:val="0"/>
      <w:divBdr>
        <w:top w:val="none" w:sz="0" w:space="0" w:color="auto"/>
        <w:left w:val="none" w:sz="0" w:space="0" w:color="auto"/>
        <w:bottom w:val="none" w:sz="0" w:space="0" w:color="auto"/>
        <w:right w:val="none" w:sz="0" w:space="0" w:color="auto"/>
      </w:divBdr>
    </w:div>
    <w:div w:id="1164396081">
      <w:bodyDiv w:val="1"/>
      <w:marLeft w:val="0"/>
      <w:marRight w:val="0"/>
      <w:marTop w:val="0"/>
      <w:marBottom w:val="0"/>
      <w:divBdr>
        <w:top w:val="none" w:sz="0" w:space="0" w:color="auto"/>
        <w:left w:val="none" w:sz="0" w:space="0" w:color="auto"/>
        <w:bottom w:val="none" w:sz="0" w:space="0" w:color="auto"/>
        <w:right w:val="none" w:sz="0" w:space="0" w:color="auto"/>
      </w:divBdr>
    </w:div>
    <w:div w:id="1165125924">
      <w:bodyDiv w:val="1"/>
      <w:marLeft w:val="0"/>
      <w:marRight w:val="0"/>
      <w:marTop w:val="0"/>
      <w:marBottom w:val="0"/>
      <w:divBdr>
        <w:top w:val="none" w:sz="0" w:space="0" w:color="auto"/>
        <w:left w:val="none" w:sz="0" w:space="0" w:color="auto"/>
        <w:bottom w:val="none" w:sz="0" w:space="0" w:color="auto"/>
        <w:right w:val="none" w:sz="0" w:space="0" w:color="auto"/>
      </w:divBdr>
    </w:div>
    <w:div w:id="1165439455">
      <w:bodyDiv w:val="1"/>
      <w:marLeft w:val="0"/>
      <w:marRight w:val="0"/>
      <w:marTop w:val="0"/>
      <w:marBottom w:val="0"/>
      <w:divBdr>
        <w:top w:val="none" w:sz="0" w:space="0" w:color="auto"/>
        <w:left w:val="none" w:sz="0" w:space="0" w:color="auto"/>
        <w:bottom w:val="none" w:sz="0" w:space="0" w:color="auto"/>
        <w:right w:val="none" w:sz="0" w:space="0" w:color="auto"/>
      </w:divBdr>
    </w:div>
    <w:div w:id="1166240305">
      <w:bodyDiv w:val="1"/>
      <w:marLeft w:val="0"/>
      <w:marRight w:val="0"/>
      <w:marTop w:val="0"/>
      <w:marBottom w:val="0"/>
      <w:divBdr>
        <w:top w:val="none" w:sz="0" w:space="0" w:color="auto"/>
        <w:left w:val="none" w:sz="0" w:space="0" w:color="auto"/>
        <w:bottom w:val="none" w:sz="0" w:space="0" w:color="auto"/>
        <w:right w:val="none" w:sz="0" w:space="0" w:color="auto"/>
      </w:divBdr>
    </w:div>
    <w:div w:id="1166551502">
      <w:bodyDiv w:val="1"/>
      <w:marLeft w:val="0"/>
      <w:marRight w:val="0"/>
      <w:marTop w:val="0"/>
      <w:marBottom w:val="0"/>
      <w:divBdr>
        <w:top w:val="none" w:sz="0" w:space="0" w:color="auto"/>
        <w:left w:val="none" w:sz="0" w:space="0" w:color="auto"/>
        <w:bottom w:val="none" w:sz="0" w:space="0" w:color="auto"/>
        <w:right w:val="none" w:sz="0" w:space="0" w:color="auto"/>
      </w:divBdr>
    </w:div>
    <w:div w:id="1167133510">
      <w:bodyDiv w:val="1"/>
      <w:marLeft w:val="0"/>
      <w:marRight w:val="0"/>
      <w:marTop w:val="0"/>
      <w:marBottom w:val="0"/>
      <w:divBdr>
        <w:top w:val="none" w:sz="0" w:space="0" w:color="auto"/>
        <w:left w:val="none" w:sz="0" w:space="0" w:color="auto"/>
        <w:bottom w:val="none" w:sz="0" w:space="0" w:color="auto"/>
        <w:right w:val="none" w:sz="0" w:space="0" w:color="auto"/>
      </w:divBdr>
    </w:div>
    <w:div w:id="1170680202">
      <w:bodyDiv w:val="1"/>
      <w:marLeft w:val="0"/>
      <w:marRight w:val="0"/>
      <w:marTop w:val="0"/>
      <w:marBottom w:val="0"/>
      <w:divBdr>
        <w:top w:val="none" w:sz="0" w:space="0" w:color="auto"/>
        <w:left w:val="none" w:sz="0" w:space="0" w:color="auto"/>
        <w:bottom w:val="none" w:sz="0" w:space="0" w:color="auto"/>
        <w:right w:val="none" w:sz="0" w:space="0" w:color="auto"/>
      </w:divBdr>
    </w:div>
    <w:div w:id="1174566517">
      <w:bodyDiv w:val="1"/>
      <w:marLeft w:val="0"/>
      <w:marRight w:val="0"/>
      <w:marTop w:val="0"/>
      <w:marBottom w:val="0"/>
      <w:divBdr>
        <w:top w:val="none" w:sz="0" w:space="0" w:color="auto"/>
        <w:left w:val="none" w:sz="0" w:space="0" w:color="auto"/>
        <w:bottom w:val="none" w:sz="0" w:space="0" w:color="auto"/>
        <w:right w:val="none" w:sz="0" w:space="0" w:color="auto"/>
      </w:divBdr>
    </w:div>
    <w:div w:id="1175919844">
      <w:bodyDiv w:val="1"/>
      <w:marLeft w:val="0"/>
      <w:marRight w:val="0"/>
      <w:marTop w:val="0"/>
      <w:marBottom w:val="0"/>
      <w:divBdr>
        <w:top w:val="none" w:sz="0" w:space="0" w:color="auto"/>
        <w:left w:val="none" w:sz="0" w:space="0" w:color="auto"/>
        <w:bottom w:val="none" w:sz="0" w:space="0" w:color="auto"/>
        <w:right w:val="none" w:sz="0" w:space="0" w:color="auto"/>
      </w:divBdr>
    </w:div>
    <w:div w:id="1176650681">
      <w:bodyDiv w:val="1"/>
      <w:marLeft w:val="0"/>
      <w:marRight w:val="0"/>
      <w:marTop w:val="0"/>
      <w:marBottom w:val="0"/>
      <w:divBdr>
        <w:top w:val="none" w:sz="0" w:space="0" w:color="auto"/>
        <w:left w:val="none" w:sz="0" w:space="0" w:color="auto"/>
        <w:bottom w:val="none" w:sz="0" w:space="0" w:color="auto"/>
        <w:right w:val="none" w:sz="0" w:space="0" w:color="auto"/>
      </w:divBdr>
    </w:div>
    <w:div w:id="1177888889">
      <w:bodyDiv w:val="1"/>
      <w:marLeft w:val="0"/>
      <w:marRight w:val="0"/>
      <w:marTop w:val="0"/>
      <w:marBottom w:val="0"/>
      <w:divBdr>
        <w:top w:val="none" w:sz="0" w:space="0" w:color="auto"/>
        <w:left w:val="none" w:sz="0" w:space="0" w:color="auto"/>
        <w:bottom w:val="none" w:sz="0" w:space="0" w:color="auto"/>
        <w:right w:val="none" w:sz="0" w:space="0" w:color="auto"/>
      </w:divBdr>
    </w:div>
    <w:div w:id="1179270569">
      <w:bodyDiv w:val="1"/>
      <w:marLeft w:val="0"/>
      <w:marRight w:val="0"/>
      <w:marTop w:val="0"/>
      <w:marBottom w:val="0"/>
      <w:divBdr>
        <w:top w:val="none" w:sz="0" w:space="0" w:color="auto"/>
        <w:left w:val="none" w:sz="0" w:space="0" w:color="auto"/>
        <w:bottom w:val="none" w:sz="0" w:space="0" w:color="auto"/>
        <w:right w:val="none" w:sz="0" w:space="0" w:color="auto"/>
      </w:divBdr>
    </w:div>
    <w:div w:id="1188836795">
      <w:bodyDiv w:val="1"/>
      <w:marLeft w:val="0"/>
      <w:marRight w:val="0"/>
      <w:marTop w:val="0"/>
      <w:marBottom w:val="0"/>
      <w:divBdr>
        <w:top w:val="none" w:sz="0" w:space="0" w:color="auto"/>
        <w:left w:val="none" w:sz="0" w:space="0" w:color="auto"/>
        <w:bottom w:val="none" w:sz="0" w:space="0" w:color="auto"/>
        <w:right w:val="none" w:sz="0" w:space="0" w:color="auto"/>
      </w:divBdr>
    </w:div>
    <w:div w:id="1193573947">
      <w:bodyDiv w:val="1"/>
      <w:marLeft w:val="0"/>
      <w:marRight w:val="0"/>
      <w:marTop w:val="0"/>
      <w:marBottom w:val="0"/>
      <w:divBdr>
        <w:top w:val="none" w:sz="0" w:space="0" w:color="auto"/>
        <w:left w:val="none" w:sz="0" w:space="0" w:color="auto"/>
        <w:bottom w:val="none" w:sz="0" w:space="0" w:color="auto"/>
        <w:right w:val="none" w:sz="0" w:space="0" w:color="auto"/>
      </w:divBdr>
    </w:div>
    <w:div w:id="1197815672">
      <w:bodyDiv w:val="1"/>
      <w:marLeft w:val="0"/>
      <w:marRight w:val="0"/>
      <w:marTop w:val="0"/>
      <w:marBottom w:val="0"/>
      <w:divBdr>
        <w:top w:val="none" w:sz="0" w:space="0" w:color="auto"/>
        <w:left w:val="none" w:sz="0" w:space="0" w:color="auto"/>
        <w:bottom w:val="none" w:sz="0" w:space="0" w:color="auto"/>
        <w:right w:val="none" w:sz="0" w:space="0" w:color="auto"/>
      </w:divBdr>
    </w:div>
    <w:div w:id="1200893594">
      <w:bodyDiv w:val="1"/>
      <w:marLeft w:val="0"/>
      <w:marRight w:val="0"/>
      <w:marTop w:val="0"/>
      <w:marBottom w:val="0"/>
      <w:divBdr>
        <w:top w:val="none" w:sz="0" w:space="0" w:color="auto"/>
        <w:left w:val="none" w:sz="0" w:space="0" w:color="auto"/>
        <w:bottom w:val="none" w:sz="0" w:space="0" w:color="auto"/>
        <w:right w:val="none" w:sz="0" w:space="0" w:color="auto"/>
      </w:divBdr>
    </w:div>
    <w:div w:id="1208758942">
      <w:bodyDiv w:val="1"/>
      <w:marLeft w:val="0"/>
      <w:marRight w:val="0"/>
      <w:marTop w:val="0"/>
      <w:marBottom w:val="0"/>
      <w:divBdr>
        <w:top w:val="none" w:sz="0" w:space="0" w:color="auto"/>
        <w:left w:val="none" w:sz="0" w:space="0" w:color="auto"/>
        <w:bottom w:val="none" w:sz="0" w:space="0" w:color="auto"/>
        <w:right w:val="none" w:sz="0" w:space="0" w:color="auto"/>
      </w:divBdr>
    </w:div>
    <w:div w:id="1211654966">
      <w:bodyDiv w:val="1"/>
      <w:marLeft w:val="0"/>
      <w:marRight w:val="0"/>
      <w:marTop w:val="0"/>
      <w:marBottom w:val="0"/>
      <w:divBdr>
        <w:top w:val="none" w:sz="0" w:space="0" w:color="auto"/>
        <w:left w:val="none" w:sz="0" w:space="0" w:color="auto"/>
        <w:bottom w:val="none" w:sz="0" w:space="0" w:color="auto"/>
        <w:right w:val="none" w:sz="0" w:space="0" w:color="auto"/>
      </w:divBdr>
    </w:div>
    <w:div w:id="1214998965">
      <w:bodyDiv w:val="1"/>
      <w:marLeft w:val="0"/>
      <w:marRight w:val="0"/>
      <w:marTop w:val="0"/>
      <w:marBottom w:val="0"/>
      <w:divBdr>
        <w:top w:val="none" w:sz="0" w:space="0" w:color="auto"/>
        <w:left w:val="none" w:sz="0" w:space="0" w:color="auto"/>
        <w:bottom w:val="none" w:sz="0" w:space="0" w:color="auto"/>
        <w:right w:val="none" w:sz="0" w:space="0" w:color="auto"/>
      </w:divBdr>
    </w:div>
    <w:div w:id="1215580398">
      <w:bodyDiv w:val="1"/>
      <w:marLeft w:val="0"/>
      <w:marRight w:val="0"/>
      <w:marTop w:val="0"/>
      <w:marBottom w:val="0"/>
      <w:divBdr>
        <w:top w:val="none" w:sz="0" w:space="0" w:color="auto"/>
        <w:left w:val="none" w:sz="0" w:space="0" w:color="auto"/>
        <w:bottom w:val="none" w:sz="0" w:space="0" w:color="auto"/>
        <w:right w:val="none" w:sz="0" w:space="0" w:color="auto"/>
      </w:divBdr>
    </w:div>
    <w:div w:id="1217742657">
      <w:bodyDiv w:val="1"/>
      <w:marLeft w:val="0"/>
      <w:marRight w:val="0"/>
      <w:marTop w:val="0"/>
      <w:marBottom w:val="0"/>
      <w:divBdr>
        <w:top w:val="none" w:sz="0" w:space="0" w:color="auto"/>
        <w:left w:val="none" w:sz="0" w:space="0" w:color="auto"/>
        <w:bottom w:val="none" w:sz="0" w:space="0" w:color="auto"/>
        <w:right w:val="none" w:sz="0" w:space="0" w:color="auto"/>
      </w:divBdr>
    </w:div>
    <w:div w:id="1217857315">
      <w:bodyDiv w:val="1"/>
      <w:marLeft w:val="0"/>
      <w:marRight w:val="0"/>
      <w:marTop w:val="0"/>
      <w:marBottom w:val="0"/>
      <w:divBdr>
        <w:top w:val="none" w:sz="0" w:space="0" w:color="auto"/>
        <w:left w:val="none" w:sz="0" w:space="0" w:color="auto"/>
        <w:bottom w:val="none" w:sz="0" w:space="0" w:color="auto"/>
        <w:right w:val="none" w:sz="0" w:space="0" w:color="auto"/>
      </w:divBdr>
    </w:div>
    <w:div w:id="1217859999">
      <w:bodyDiv w:val="1"/>
      <w:marLeft w:val="0"/>
      <w:marRight w:val="0"/>
      <w:marTop w:val="0"/>
      <w:marBottom w:val="0"/>
      <w:divBdr>
        <w:top w:val="none" w:sz="0" w:space="0" w:color="auto"/>
        <w:left w:val="none" w:sz="0" w:space="0" w:color="auto"/>
        <w:bottom w:val="none" w:sz="0" w:space="0" w:color="auto"/>
        <w:right w:val="none" w:sz="0" w:space="0" w:color="auto"/>
      </w:divBdr>
    </w:div>
    <w:div w:id="1226377062">
      <w:bodyDiv w:val="1"/>
      <w:marLeft w:val="0"/>
      <w:marRight w:val="0"/>
      <w:marTop w:val="0"/>
      <w:marBottom w:val="0"/>
      <w:divBdr>
        <w:top w:val="none" w:sz="0" w:space="0" w:color="auto"/>
        <w:left w:val="none" w:sz="0" w:space="0" w:color="auto"/>
        <w:bottom w:val="none" w:sz="0" w:space="0" w:color="auto"/>
        <w:right w:val="none" w:sz="0" w:space="0" w:color="auto"/>
      </w:divBdr>
    </w:div>
    <w:div w:id="1228493996">
      <w:bodyDiv w:val="1"/>
      <w:marLeft w:val="0"/>
      <w:marRight w:val="0"/>
      <w:marTop w:val="0"/>
      <w:marBottom w:val="0"/>
      <w:divBdr>
        <w:top w:val="none" w:sz="0" w:space="0" w:color="auto"/>
        <w:left w:val="none" w:sz="0" w:space="0" w:color="auto"/>
        <w:bottom w:val="none" w:sz="0" w:space="0" w:color="auto"/>
        <w:right w:val="none" w:sz="0" w:space="0" w:color="auto"/>
      </w:divBdr>
    </w:div>
    <w:div w:id="1228686412">
      <w:bodyDiv w:val="1"/>
      <w:marLeft w:val="0"/>
      <w:marRight w:val="0"/>
      <w:marTop w:val="0"/>
      <w:marBottom w:val="0"/>
      <w:divBdr>
        <w:top w:val="none" w:sz="0" w:space="0" w:color="auto"/>
        <w:left w:val="none" w:sz="0" w:space="0" w:color="auto"/>
        <w:bottom w:val="none" w:sz="0" w:space="0" w:color="auto"/>
        <w:right w:val="none" w:sz="0" w:space="0" w:color="auto"/>
      </w:divBdr>
    </w:div>
    <w:div w:id="1236820013">
      <w:bodyDiv w:val="1"/>
      <w:marLeft w:val="0"/>
      <w:marRight w:val="0"/>
      <w:marTop w:val="0"/>
      <w:marBottom w:val="0"/>
      <w:divBdr>
        <w:top w:val="none" w:sz="0" w:space="0" w:color="auto"/>
        <w:left w:val="none" w:sz="0" w:space="0" w:color="auto"/>
        <w:bottom w:val="none" w:sz="0" w:space="0" w:color="auto"/>
        <w:right w:val="none" w:sz="0" w:space="0" w:color="auto"/>
      </w:divBdr>
    </w:div>
    <w:div w:id="1242643663">
      <w:bodyDiv w:val="1"/>
      <w:marLeft w:val="0"/>
      <w:marRight w:val="0"/>
      <w:marTop w:val="0"/>
      <w:marBottom w:val="0"/>
      <w:divBdr>
        <w:top w:val="none" w:sz="0" w:space="0" w:color="auto"/>
        <w:left w:val="none" w:sz="0" w:space="0" w:color="auto"/>
        <w:bottom w:val="none" w:sz="0" w:space="0" w:color="auto"/>
        <w:right w:val="none" w:sz="0" w:space="0" w:color="auto"/>
      </w:divBdr>
    </w:div>
    <w:div w:id="1244070443">
      <w:bodyDiv w:val="1"/>
      <w:marLeft w:val="0"/>
      <w:marRight w:val="0"/>
      <w:marTop w:val="0"/>
      <w:marBottom w:val="0"/>
      <w:divBdr>
        <w:top w:val="none" w:sz="0" w:space="0" w:color="auto"/>
        <w:left w:val="none" w:sz="0" w:space="0" w:color="auto"/>
        <w:bottom w:val="none" w:sz="0" w:space="0" w:color="auto"/>
        <w:right w:val="none" w:sz="0" w:space="0" w:color="auto"/>
      </w:divBdr>
    </w:div>
    <w:div w:id="1245796620">
      <w:bodyDiv w:val="1"/>
      <w:marLeft w:val="0"/>
      <w:marRight w:val="0"/>
      <w:marTop w:val="0"/>
      <w:marBottom w:val="0"/>
      <w:divBdr>
        <w:top w:val="none" w:sz="0" w:space="0" w:color="auto"/>
        <w:left w:val="none" w:sz="0" w:space="0" w:color="auto"/>
        <w:bottom w:val="none" w:sz="0" w:space="0" w:color="auto"/>
        <w:right w:val="none" w:sz="0" w:space="0" w:color="auto"/>
      </w:divBdr>
    </w:div>
    <w:div w:id="1256597666">
      <w:bodyDiv w:val="1"/>
      <w:marLeft w:val="0"/>
      <w:marRight w:val="0"/>
      <w:marTop w:val="0"/>
      <w:marBottom w:val="0"/>
      <w:divBdr>
        <w:top w:val="none" w:sz="0" w:space="0" w:color="auto"/>
        <w:left w:val="none" w:sz="0" w:space="0" w:color="auto"/>
        <w:bottom w:val="none" w:sz="0" w:space="0" w:color="auto"/>
        <w:right w:val="none" w:sz="0" w:space="0" w:color="auto"/>
      </w:divBdr>
    </w:div>
    <w:div w:id="1257128168">
      <w:bodyDiv w:val="1"/>
      <w:marLeft w:val="0"/>
      <w:marRight w:val="0"/>
      <w:marTop w:val="0"/>
      <w:marBottom w:val="0"/>
      <w:divBdr>
        <w:top w:val="none" w:sz="0" w:space="0" w:color="auto"/>
        <w:left w:val="none" w:sz="0" w:space="0" w:color="auto"/>
        <w:bottom w:val="none" w:sz="0" w:space="0" w:color="auto"/>
        <w:right w:val="none" w:sz="0" w:space="0" w:color="auto"/>
      </w:divBdr>
    </w:div>
    <w:div w:id="1257129910">
      <w:bodyDiv w:val="1"/>
      <w:marLeft w:val="0"/>
      <w:marRight w:val="0"/>
      <w:marTop w:val="0"/>
      <w:marBottom w:val="0"/>
      <w:divBdr>
        <w:top w:val="none" w:sz="0" w:space="0" w:color="auto"/>
        <w:left w:val="none" w:sz="0" w:space="0" w:color="auto"/>
        <w:bottom w:val="none" w:sz="0" w:space="0" w:color="auto"/>
        <w:right w:val="none" w:sz="0" w:space="0" w:color="auto"/>
      </w:divBdr>
    </w:div>
    <w:div w:id="1262951759">
      <w:bodyDiv w:val="1"/>
      <w:marLeft w:val="0"/>
      <w:marRight w:val="0"/>
      <w:marTop w:val="0"/>
      <w:marBottom w:val="0"/>
      <w:divBdr>
        <w:top w:val="none" w:sz="0" w:space="0" w:color="auto"/>
        <w:left w:val="none" w:sz="0" w:space="0" w:color="auto"/>
        <w:bottom w:val="none" w:sz="0" w:space="0" w:color="auto"/>
        <w:right w:val="none" w:sz="0" w:space="0" w:color="auto"/>
      </w:divBdr>
    </w:div>
    <w:div w:id="1264000223">
      <w:bodyDiv w:val="1"/>
      <w:marLeft w:val="0"/>
      <w:marRight w:val="0"/>
      <w:marTop w:val="0"/>
      <w:marBottom w:val="0"/>
      <w:divBdr>
        <w:top w:val="none" w:sz="0" w:space="0" w:color="auto"/>
        <w:left w:val="none" w:sz="0" w:space="0" w:color="auto"/>
        <w:bottom w:val="none" w:sz="0" w:space="0" w:color="auto"/>
        <w:right w:val="none" w:sz="0" w:space="0" w:color="auto"/>
      </w:divBdr>
    </w:div>
    <w:div w:id="1265066573">
      <w:bodyDiv w:val="1"/>
      <w:marLeft w:val="0"/>
      <w:marRight w:val="0"/>
      <w:marTop w:val="0"/>
      <w:marBottom w:val="0"/>
      <w:divBdr>
        <w:top w:val="none" w:sz="0" w:space="0" w:color="auto"/>
        <w:left w:val="none" w:sz="0" w:space="0" w:color="auto"/>
        <w:bottom w:val="none" w:sz="0" w:space="0" w:color="auto"/>
        <w:right w:val="none" w:sz="0" w:space="0" w:color="auto"/>
      </w:divBdr>
    </w:div>
    <w:div w:id="1266814932">
      <w:bodyDiv w:val="1"/>
      <w:marLeft w:val="0"/>
      <w:marRight w:val="0"/>
      <w:marTop w:val="0"/>
      <w:marBottom w:val="0"/>
      <w:divBdr>
        <w:top w:val="none" w:sz="0" w:space="0" w:color="auto"/>
        <w:left w:val="none" w:sz="0" w:space="0" w:color="auto"/>
        <w:bottom w:val="none" w:sz="0" w:space="0" w:color="auto"/>
        <w:right w:val="none" w:sz="0" w:space="0" w:color="auto"/>
      </w:divBdr>
    </w:div>
    <w:div w:id="1276595726">
      <w:bodyDiv w:val="1"/>
      <w:marLeft w:val="0"/>
      <w:marRight w:val="0"/>
      <w:marTop w:val="0"/>
      <w:marBottom w:val="0"/>
      <w:divBdr>
        <w:top w:val="none" w:sz="0" w:space="0" w:color="auto"/>
        <w:left w:val="none" w:sz="0" w:space="0" w:color="auto"/>
        <w:bottom w:val="none" w:sz="0" w:space="0" w:color="auto"/>
        <w:right w:val="none" w:sz="0" w:space="0" w:color="auto"/>
      </w:divBdr>
    </w:div>
    <w:div w:id="1282031804">
      <w:bodyDiv w:val="1"/>
      <w:marLeft w:val="0"/>
      <w:marRight w:val="0"/>
      <w:marTop w:val="0"/>
      <w:marBottom w:val="0"/>
      <w:divBdr>
        <w:top w:val="none" w:sz="0" w:space="0" w:color="auto"/>
        <w:left w:val="none" w:sz="0" w:space="0" w:color="auto"/>
        <w:bottom w:val="none" w:sz="0" w:space="0" w:color="auto"/>
        <w:right w:val="none" w:sz="0" w:space="0" w:color="auto"/>
      </w:divBdr>
    </w:div>
    <w:div w:id="1282302605">
      <w:bodyDiv w:val="1"/>
      <w:marLeft w:val="0"/>
      <w:marRight w:val="0"/>
      <w:marTop w:val="0"/>
      <w:marBottom w:val="0"/>
      <w:divBdr>
        <w:top w:val="none" w:sz="0" w:space="0" w:color="auto"/>
        <w:left w:val="none" w:sz="0" w:space="0" w:color="auto"/>
        <w:bottom w:val="none" w:sz="0" w:space="0" w:color="auto"/>
        <w:right w:val="none" w:sz="0" w:space="0" w:color="auto"/>
      </w:divBdr>
    </w:div>
    <w:div w:id="1283994442">
      <w:bodyDiv w:val="1"/>
      <w:marLeft w:val="0"/>
      <w:marRight w:val="0"/>
      <w:marTop w:val="0"/>
      <w:marBottom w:val="0"/>
      <w:divBdr>
        <w:top w:val="none" w:sz="0" w:space="0" w:color="auto"/>
        <w:left w:val="none" w:sz="0" w:space="0" w:color="auto"/>
        <w:bottom w:val="none" w:sz="0" w:space="0" w:color="auto"/>
        <w:right w:val="none" w:sz="0" w:space="0" w:color="auto"/>
      </w:divBdr>
    </w:div>
    <w:div w:id="1283998761">
      <w:bodyDiv w:val="1"/>
      <w:marLeft w:val="0"/>
      <w:marRight w:val="0"/>
      <w:marTop w:val="0"/>
      <w:marBottom w:val="0"/>
      <w:divBdr>
        <w:top w:val="none" w:sz="0" w:space="0" w:color="auto"/>
        <w:left w:val="none" w:sz="0" w:space="0" w:color="auto"/>
        <w:bottom w:val="none" w:sz="0" w:space="0" w:color="auto"/>
        <w:right w:val="none" w:sz="0" w:space="0" w:color="auto"/>
      </w:divBdr>
    </w:div>
    <w:div w:id="1284651361">
      <w:bodyDiv w:val="1"/>
      <w:marLeft w:val="0"/>
      <w:marRight w:val="0"/>
      <w:marTop w:val="0"/>
      <w:marBottom w:val="0"/>
      <w:divBdr>
        <w:top w:val="none" w:sz="0" w:space="0" w:color="auto"/>
        <w:left w:val="none" w:sz="0" w:space="0" w:color="auto"/>
        <w:bottom w:val="none" w:sz="0" w:space="0" w:color="auto"/>
        <w:right w:val="none" w:sz="0" w:space="0" w:color="auto"/>
      </w:divBdr>
    </w:div>
    <w:div w:id="1287539442">
      <w:bodyDiv w:val="1"/>
      <w:marLeft w:val="0"/>
      <w:marRight w:val="0"/>
      <w:marTop w:val="0"/>
      <w:marBottom w:val="0"/>
      <w:divBdr>
        <w:top w:val="none" w:sz="0" w:space="0" w:color="auto"/>
        <w:left w:val="none" w:sz="0" w:space="0" w:color="auto"/>
        <w:bottom w:val="none" w:sz="0" w:space="0" w:color="auto"/>
        <w:right w:val="none" w:sz="0" w:space="0" w:color="auto"/>
      </w:divBdr>
    </w:div>
    <w:div w:id="1288199637">
      <w:bodyDiv w:val="1"/>
      <w:marLeft w:val="0"/>
      <w:marRight w:val="0"/>
      <w:marTop w:val="0"/>
      <w:marBottom w:val="0"/>
      <w:divBdr>
        <w:top w:val="none" w:sz="0" w:space="0" w:color="auto"/>
        <w:left w:val="none" w:sz="0" w:space="0" w:color="auto"/>
        <w:bottom w:val="none" w:sz="0" w:space="0" w:color="auto"/>
        <w:right w:val="none" w:sz="0" w:space="0" w:color="auto"/>
      </w:divBdr>
    </w:div>
    <w:div w:id="1289435604">
      <w:bodyDiv w:val="1"/>
      <w:marLeft w:val="0"/>
      <w:marRight w:val="0"/>
      <w:marTop w:val="0"/>
      <w:marBottom w:val="0"/>
      <w:divBdr>
        <w:top w:val="none" w:sz="0" w:space="0" w:color="auto"/>
        <w:left w:val="none" w:sz="0" w:space="0" w:color="auto"/>
        <w:bottom w:val="none" w:sz="0" w:space="0" w:color="auto"/>
        <w:right w:val="none" w:sz="0" w:space="0" w:color="auto"/>
      </w:divBdr>
    </w:div>
    <w:div w:id="1293251306">
      <w:bodyDiv w:val="1"/>
      <w:marLeft w:val="0"/>
      <w:marRight w:val="0"/>
      <w:marTop w:val="0"/>
      <w:marBottom w:val="0"/>
      <w:divBdr>
        <w:top w:val="none" w:sz="0" w:space="0" w:color="auto"/>
        <w:left w:val="none" w:sz="0" w:space="0" w:color="auto"/>
        <w:bottom w:val="none" w:sz="0" w:space="0" w:color="auto"/>
        <w:right w:val="none" w:sz="0" w:space="0" w:color="auto"/>
      </w:divBdr>
    </w:div>
    <w:div w:id="1296986232">
      <w:bodyDiv w:val="1"/>
      <w:marLeft w:val="0"/>
      <w:marRight w:val="0"/>
      <w:marTop w:val="0"/>
      <w:marBottom w:val="0"/>
      <w:divBdr>
        <w:top w:val="none" w:sz="0" w:space="0" w:color="auto"/>
        <w:left w:val="none" w:sz="0" w:space="0" w:color="auto"/>
        <w:bottom w:val="none" w:sz="0" w:space="0" w:color="auto"/>
        <w:right w:val="none" w:sz="0" w:space="0" w:color="auto"/>
      </w:divBdr>
    </w:div>
    <w:div w:id="1300259872">
      <w:bodyDiv w:val="1"/>
      <w:marLeft w:val="0"/>
      <w:marRight w:val="0"/>
      <w:marTop w:val="0"/>
      <w:marBottom w:val="0"/>
      <w:divBdr>
        <w:top w:val="none" w:sz="0" w:space="0" w:color="auto"/>
        <w:left w:val="none" w:sz="0" w:space="0" w:color="auto"/>
        <w:bottom w:val="none" w:sz="0" w:space="0" w:color="auto"/>
        <w:right w:val="none" w:sz="0" w:space="0" w:color="auto"/>
      </w:divBdr>
    </w:div>
    <w:div w:id="1300769285">
      <w:bodyDiv w:val="1"/>
      <w:marLeft w:val="0"/>
      <w:marRight w:val="0"/>
      <w:marTop w:val="0"/>
      <w:marBottom w:val="0"/>
      <w:divBdr>
        <w:top w:val="none" w:sz="0" w:space="0" w:color="auto"/>
        <w:left w:val="none" w:sz="0" w:space="0" w:color="auto"/>
        <w:bottom w:val="none" w:sz="0" w:space="0" w:color="auto"/>
        <w:right w:val="none" w:sz="0" w:space="0" w:color="auto"/>
      </w:divBdr>
    </w:div>
    <w:div w:id="1301568893">
      <w:bodyDiv w:val="1"/>
      <w:marLeft w:val="0"/>
      <w:marRight w:val="0"/>
      <w:marTop w:val="0"/>
      <w:marBottom w:val="0"/>
      <w:divBdr>
        <w:top w:val="none" w:sz="0" w:space="0" w:color="auto"/>
        <w:left w:val="none" w:sz="0" w:space="0" w:color="auto"/>
        <w:bottom w:val="none" w:sz="0" w:space="0" w:color="auto"/>
        <w:right w:val="none" w:sz="0" w:space="0" w:color="auto"/>
      </w:divBdr>
    </w:div>
    <w:div w:id="1301882470">
      <w:bodyDiv w:val="1"/>
      <w:marLeft w:val="0"/>
      <w:marRight w:val="0"/>
      <w:marTop w:val="0"/>
      <w:marBottom w:val="0"/>
      <w:divBdr>
        <w:top w:val="none" w:sz="0" w:space="0" w:color="auto"/>
        <w:left w:val="none" w:sz="0" w:space="0" w:color="auto"/>
        <w:bottom w:val="none" w:sz="0" w:space="0" w:color="auto"/>
        <w:right w:val="none" w:sz="0" w:space="0" w:color="auto"/>
      </w:divBdr>
    </w:div>
    <w:div w:id="1308781291">
      <w:bodyDiv w:val="1"/>
      <w:marLeft w:val="0"/>
      <w:marRight w:val="0"/>
      <w:marTop w:val="0"/>
      <w:marBottom w:val="0"/>
      <w:divBdr>
        <w:top w:val="none" w:sz="0" w:space="0" w:color="auto"/>
        <w:left w:val="none" w:sz="0" w:space="0" w:color="auto"/>
        <w:bottom w:val="none" w:sz="0" w:space="0" w:color="auto"/>
        <w:right w:val="none" w:sz="0" w:space="0" w:color="auto"/>
      </w:divBdr>
    </w:div>
    <w:div w:id="1308824629">
      <w:bodyDiv w:val="1"/>
      <w:marLeft w:val="0"/>
      <w:marRight w:val="0"/>
      <w:marTop w:val="0"/>
      <w:marBottom w:val="0"/>
      <w:divBdr>
        <w:top w:val="none" w:sz="0" w:space="0" w:color="auto"/>
        <w:left w:val="none" w:sz="0" w:space="0" w:color="auto"/>
        <w:bottom w:val="none" w:sz="0" w:space="0" w:color="auto"/>
        <w:right w:val="none" w:sz="0" w:space="0" w:color="auto"/>
      </w:divBdr>
    </w:div>
    <w:div w:id="1309482222">
      <w:bodyDiv w:val="1"/>
      <w:marLeft w:val="0"/>
      <w:marRight w:val="0"/>
      <w:marTop w:val="0"/>
      <w:marBottom w:val="0"/>
      <w:divBdr>
        <w:top w:val="none" w:sz="0" w:space="0" w:color="auto"/>
        <w:left w:val="none" w:sz="0" w:space="0" w:color="auto"/>
        <w:bottom w:val="none" w:sz="0" w:space="0" w:color="auto"/>
        <w:right w:val="none" w:sz="0" w:space="0" w:color="auto"/>
      </w:divBdr>
    </w:div>
    <w:div w:id="1311014200">
      <w:bodyDiv w:val="1"/>
      <w:marLeft w:val="0"/>
      <w:marRight w:val="0"/>
      <w:marTop w:val="0"/>
      <w:marBottom w:val="0"/>
      <w:divBdr>
        <w:top w:val="none" w:sz="0" w:space="0" w:color="auto"/>
        <w:left w:val="none" w:sz="0" w:space="0" w:color="auto"/>
        <w:bottom w:val="none" w:sz="0" w:space="0" w:color="auto"/>
        <w:right w:val="none" w:sz="0" w:space="0" w:color="auto"/>
      </w:divBdr>
    </w:div>
    <w:div w:id="1312640338">
      <w:bodyDiv w:val="1"/>
      <w:marLeft w:val="0"/>
      <w:marRight w:val="0"/>
      <w:marTop w:val="0"/>
      <w:marBottom w:val="0"/>
      <w:divBdr>
        <w:top w:val="none" w:sz="0" w:space="0" w:color="auto"/>
        <w:left w:val="none" w:sz="0" w:space="0" w:color="auto"/>
        <w:bottom w:val="none" w:sz="0" w:space="0" w:color="auto"/>
        <w:right w:val="none" w:sz="0" w:space="0" w:color="auto"/>
      </w:divBdr>
    </w:div>
    <w:div w:id="1320958838">
      <w:bodyDiv w:val="1"/>
      <w:marLeft w:val="0"/>
      <w:marRight w:val="0"/>
      <w:marTop w:val="0"/>
      <w:marBottom w:val="0"/>
      <w:divBdr>
        <w:top w:val="none" w:sz="0" w:space="0" w:color="auto"/>
        <w:left w:val="none" w:sz="0" w:space="0" w:color="auto"/>
        <w:bottom w:val="none" w:sz="0" w:space="0" w:color="auto"/>
        <w:right w:val="none" w:sz="0" w:space="0" w:color="auto"/>
      </w:divBdr>
    </w:div>
    <w:div w:id="1325088489">
      <w:bodyDiv w:val="1"/>
      <w:marLeft w:val="0"/>
      <w:marRight w:val="0"/>
      <w:marTop w:val="0"/>
      <w:marBottom w:val="0"/>
      <w:divBdr>
        <w:top w:val="none" w:sz="0" w:space="0" w:color="auto"/>
        <w:left w:val="none" w:sz="0" w:space="0" w:color="auto"/>
        <w:bottom w:val="none" w:sz="0" w:space="0" w:color="auto"/>
        <w:right w:val="none" w:sz="0" w:space="0" w:color="auto"/>
      </w:divBdr>
    </w:div>
    <w:div w:id="1328898594">
      <w:bodyDiv w:val="1"/>
      <w:marLeft w:val="0"/>
      <w:marRight w:val="0"/>
      <w:marTop w:val="0"/>
      <w:marBottom w:val="0"/>
      <w:divBdr>
        <w:top w:val="none" w:sz="0" w:space="0" w:color="auto"/>
        <w:left w:val="none" w:sz="0" w:space="0" w:color="auto"/>
        <w:bottom w:val="none" w:sz="0" w:space="0" w:color="auto"/>
        <w:right w:val="none" w:sz="0" w:space="0" w:color="auto"/>
      </w:divBdr>
    </w:div>
    <w:div w:id="1333532535">
      <w:bodyDiv w:val="1"/>
      <w:marLeft w:val="0"/>
      <w:marRight w:val="0"/>
      <w:marTop w:val="0"/>
      <w:marBottom w:val="0"/>
      <w:divBdr>
        <w:top w:val="none" w:sz="0" w:space="0" w:color="auto"/>
        <w:left w:val="none" w:sz="0" w:space="0" w:color="auto"/>
        <w:bottom w:val="none" w:sz="0" w:space="0" w:color="auto"/>
        <w:right w:val="none" w:sz="0" w:space="0" w:color="auto"/>
      </w:divBdr>
    </w:div>
    <w:div w:id="1341004953">
      <w:bodyDiv w:val="1"/>
      <w:marLeft w:val="0"/>
      <w:marRight w:val="0"/>
      <w:marTop w:val="0"/>
      <w:marBottom w:val="0"/>
      <w:divBdr>
        <w:top w:val="none" w:sz="0" w:space="0" w:color="auto"/>
        <w:left w:val="none" w:sz="0" w:space="0" w:color="auto"/>
        <w:bottom w:val="none" w:sz="0" w:space="0" w:color="auto"/>
        <w:right w:val="none" w:sz="0" w:space="0" w:color="auto"/>
      </w:divBdr>
    </w:div>
    <w:div w:id="1349520647">
      <w:bodyDiv w:val="1"/>
      <w:marLeft w:val="0"/>
      <w:marRight w:val="0"/>
      <w:marTop w:val="0"/>
      <w:marBottom w:val="0"/>
      <w:divBdr>
        <w:top w:val="none" w:sz="0" w:space="0" w:color="auto"/>
        <w:left w:val="none" w:sz="0" w:space="0" w:color="auto"/>
        <w:bottom w:val="none" w:sz="0" w:space="0" w:color="auto"/>
        <w:right w:val="none" w:sz="0" w:space="0" w:color="auto"/>
      </w:divBdr>
    </w:div>
    <w:div w:id="1350060461">
      <w:bodyDiv w:val="1"/>
      <w:marLeft w:val="0"/>
      <w:marRight w:val="0"/>
      <w:marTop w:val="0"/>
      <w:marBottom w:val="0"/>
      <w:divBdr>
        <w:top w:val="none" w:sz="0" w:space="0" w:color="auto"/>
        <w:left w:val="none" w:sz="0" w:space="0" w:color="auto"/>
        <w:bottom w:val="none" w:sz="0" w:space="0" w:color="auto"/>
        <w:right w:val="none" w:sz="0" w:space="0" w:color="auto"/>
      </w:divBdr>
    </w:div>
    <w:div w:id="1355038309">
      <w:bodyDiv w:val="1"/>
      <w:marLeft w:val="0"/>
      <w:marRight w:val="0"/>
      <w:marTop w:val="0"/>
      <w:marBottom w:val="0"/>
      <w:divBdr>
        <w:top w:val="none" w:sz="0" w:space="0" w:color="auto"/>
        <w:left w:val="none" w:sz="0" w:space="0" w:color="auto"/>
        <w:bottom w:val="none" w:sz="0" w:space="0" w:color="auto"/>
        <w:right w:val="none" w:sz="0" w:space="0" w:color="auto"/>
      </w:divBdr>
    </w:div>
    <w:div w:id="1357583178">
      <w:bodyDiv w:val="1"/>
      <w:marLeft w:val="0"/>
      <w:marRight w:val="0"/>
      <w:marTop w:val="0"/>
      <w:marBottom w:val="0"/>
      <w:divBdr>
        <w:top w:val="none" w:sz="0" w:space="0" w:color="auto"/>
        <w:left w:val="none" w:sz="0" w:space="0" w:color="auto"/>
        <w:bottom w:val="none" w:sz="0" w:space="0" w:color="auto"/>
        <w:right w:val="none" w:sz="0" w:space="0" w:color="auto"/>
      </w:divBdr>
    </w:div>
    <w:div w:id="1365401979">
      <w:bodyDiv w:val="1"/>
      <w:marLeft w:val="0"/>
      <w:marRight w:val="0"/>
      <w:marTop w:val="0"/>
      <w:marBottom w:val="0"/>
      <w:divBdr>
        <w:top w:val="none" w:sz="0" w:space="0" w:color="auto"/>
        <w:left w:val="none" w:sz="0" w:space="0" w:color="auto"/>
        <w:bottom w:val="none" w:sz="0" w:space="0" w:color="auto"/>
        <w:right w:val="none" w:sz="0" w:space="0" w:color="auto"/>
      </w:divBdr>
    </w:div>
    <w:div w:id="1368599674">
      <w:bodyDiv w:val="1"/>
      <w:marLeft w:val="0"/>
      <w:marRight w:val="0"/>
      <w:marTop w:val="0"/>
      <w:marBottom w:val="0"/>
      <w:divBdr>
        <w:top w:val="none" w:sz="0" w:space="0" w:color="auto"/>
        <w:left w:val="none" w:sz="0" w:space="0" w:color="auto"/>
        <w:bottom w:val="none" w:sz="0" w:space="0" w:color="auto"/>
        <w:right w:val="none" w:sz="0" w:space="0" w:color="auto"/>
      </w:divBdr>
    </w:div>
    <w:div w:id="1368602411">
      <w:bodyDiv w:val="1"/>
      <w:marLeft w:val="0"/>
      <w:marRight w:val="0"/>
      <w:marTop w:val="0"/>
      <w:marBottom w:val="0"/>
      <w:divBdr>
        <w:top w:val="none" w:sz="0" w:space="0" w:color="auto"/>
        <w:left w:val="none" w:sz="0" w:space="0" w:color="auto"/>
        <w:bottom w:val="none" w:sz="0" w:space="0" w:color="auto"/>
        <w:right w:val="none" w:sz="0" w:space="0" w:color="auto"/>
      </w:divBdr>
    </w:div>
    <w:div w:id="1369254444">
      <w:bodyDiv w:val="1"/>
      <w:marLeft w:val="0"/>
      <w:marRight w:val="0"/>
      <w:marTop w:val="0"/>
      <w:marBottom w:val="0"/>
      <w:divBdr>
        <w:top w:val="none" w:sz="0" w:space="0" w:color="auto"/>
        <w:left w:val="none" w:sz="0" w:space="0" w:color="auto"/>
        <w:bottom w:val="none" w:sz="0" w:space="0" w:color="auto"/>
        <w:right w:val="none" w:sz="0" w:space="0" w:color="auto"/>
      </w:divBdr>
    </w:div>
    <w:div w:id="1371801520">
      <w:bodyDiv w:val="1"/>
      <w:marLeft w:val="0"/>
      <w:marRight w:val="0"/>
      <w:marTop w:val="0"/>
      <w:marBottom w:val="0"/>
      <w:divBdr>
        <w:top w:val="none" w:sz="0" w:space="0" w:color="auto"/>
        <w:left w:val="none" w:sz="0" w:space="0" w:color="auto"/>
        <w:bottom w:val="none" w:sz="0" w:space="0" w:color="auto"/>
        <w:right w:val="none" w:sz="0" w:space="0" w:color="auto"/>
      </w:divBdr>
    </w:div>
    <w:div w:id="1374576198">
      <w:bodyDiv w:val="1"/>
      <w:marLeft w:val="0"/>
      <w:marRight w:val="0"/>
      <w:marTop w:val="0"/>
      <w:marBottom w:val="0"/>
      <w:divBdr>
        <w:top w:val="none" w:sz="0" w:space="0" w:color="auto"/>
        <w:left w:val="none" w:sz="0" w:space="0" w:color="auto"/>
        <w:bottom w:val="none" w:sz="0" w:space="0" w:color="auto"/>
        <w:right w:val="none" w:sz="0" w:space="0" w:color="auto"/>
      </w:divBdr>
    </w:div>
    <w:div w:id="1379084736">
      <w:bodyDiv w:val="1"/>
      <w:marLeft w:val="0"/>
      <w:marRight w:val="0"/>
      <w:marTop w:val="0"/>
      <w:marBottom w:val="0"/>
      <w:divBdr>
        <w:top w:val="none" w:sz="0" w:space="0" w:color="auto"/>
        <w:left w:val="none" w:sz="0" w:space="0" w:color="auto"/>
        <w:bottom w:val="none" w:sz="0" w:space="0" w:color="auto"/>
        <w:right w:val="none" w:sz="0" w:space="0" w:color="auto"/>
      </w:divBdr>
    </w:div>
    <w:div w:id="1380472725">
      <w:bodyDiv w:val="1"/>
      <w:marLeft w:val="0"/>
      <w:marRight w:val="0"/>
      <w:marTop w:val="0"/>
      <w:marBottom w:val="0"/>
      <w:divBdr>
        <w:top w:val="none" w:sz="0" w:space="0" w:color="auto"/>
        <w:left w:val="none" w:sz="0" w:space="0" w:color="auto"/>
        <w:bottom w:val="none" w:sz="0" w:space="0" w:color="auto"/>
        <w:right w:val="none" w:sz="0" w:space="0" w:color="auto"/>
      </w:divBdr>
    </w:div>
    <w:div w:id="1383098854">
      <w:bodyDiv w:val="1"/>
      <w:marLeft w:val="0"/>
      <w:marRight w:val="0"/>
      <w:marTop w:val="0"/>
      <w:marBottom w:val="0"/>
      <w:divBdr>
        <w:top w:val="none" w:sz="0" w:space="0" w:color="auto"/>
        <w:left w:val="none" w:sz="0" w:space="0" w:color="auto"/>
        <w:bottom w:val="none" w:sz="0" w:space="0" w:color="auto"/>
        <w:right w:val="none" w:sz="0" w:space="0" w:color="auto"/>
      </w:divBdr>
    </w:div>
    <w:div w:id="1383212418">
      <w:bodyDiv w:val="1"/>
      <w:marLeft w:val="0"/>
      <w:marRight w:val="0"/>
      <w:marTop w:val="0"/>
      <w:marBottom w:val="0"/>
      <w:divBdr>
        <w:top w:val="none" w:sz="0" w:space="0" w:color="auto"/>
        <w:left w:val="none" w:sz="0" w:space="0" w:color="auto"/>
        <w:bottom w:val="none" w:sz="0" w:space="0" w:color="auto"/>
        <w:right w:val="none" w:sz="0" w:space="0" w:color="auto"/>
      </w:divBdr>
    </w:div>
    <w:div w:id="1386567674">
      <w:bodyDiv w:val="1"/>
      <w:marLeft w:val="0"/>
      <w:marRight w:val="0"/>
      <w:marTop w:val="0"/>
      <w:marBottom w:val="0"/>
      <w:divBdr>
        <w:top w:val="none" w:sz="0" w:space="0" w:color="auto"/>
        <w:left w:val="none" w:sz="0" w:space="0" w:color="auto"/>
        <w:bottom w:val="none" w:sz="0" w:space="0" w:color="auto"/>
        <w:right w:val="none" w:sz="0" w:space="0" w:color="auto"/>
      </w:divBdr>
    </w:div>
    <w:div w:id="1386759870">
      <w:bodyDiv w:val="1"/>
      <w:marLeft w:val="0"/>
      <w:marRight w:val="0"/>
      <w:marTop w:val="0"/>
      <w:marBottom w:val="0"/>
      <w:divBdr>
        <w:top w:val="none" w:sz="0" w:space="0" w:color="auto"/>
        <w:left w:val="none" w:sz="0" w:space="0" w:color="auto"/>
        <w:bottom w:val="none" w:sz="0" w:space="0" w:color="auto"/>
        <w:right w:val="none" w:sz="0" w:space="0" w:color="auto"/>
      </w:divBdr>
    </w:div>
    <w:div w:id="1389183124">
      <w:bodyDiv w:val="1"/>
      <w:marLeft w:val="0"/>
      <w:marRight w:val="0"/>
      <w:marTop w:val="0"/>
      <w:marBottom w:val="0"/>
      <w:divBdr>
        <w:top w:val="none" w:sz="0" w:space="0" w:color="auto"/>
        <w:left w:val="none" w:sz="0" w:space="0" w:color="auto"/>
        <w:bottom w:val="none" w:sz="0" w:space="0" w:color="auto"/>
        <w:right w:val="none" w:sz="0" w:space="0" w:color="auto"/>
      </w:divBdr>
    </w:div>
    <w:div w:id="1389263624">
      <w:bodyDiv w:val="1"/>
      <w:marLeft w:val="0"/>
      <w:marRight w:val="0"/>
      <w:marTop w:val="0"/>
      <w:marBottom w:val="0"/>
      <w:divBdr>
        <w:top w:val="none" w:sz="0" w:space="0" w:color="auto"/>
        <w:left w:val="none" w:sz="0" w:space="0" w:color="auto"/>
        <w:bottom w:val="none" w:sz="0" w:space="0" w:color="auto"/>
        <w:right w:val="none" w:sz="0" w:space="0" w:color="auto"/>
      </w:divBdr>
    </w:div>
    <w:div w:id="1390616098">
      <w:bodyDiv w:val="1"/>
      <w:marLeft w:val="0"/>
      <w:marRight w:val="0"/>
      <w:marTop w:val="0"/>
      <w:marBottom w:val="0"/>
      <w:divBdr>
        <w:top w:val="none" w:sz="0" w:space="0" w:color="auto"/>
        <w:left w:val="none" w:sz="0" w:space="0" w:color="auto"/>
        <w:bottom w:val="none" w:sz="0" w:space="0" w:color="auto"/>
        <w:right w:val="none" w:sz="0" w:space="0" w:color="auto"/>
      </w:divBdr>
    </w:div>
    <w:div w:id="1393187602">
      <w:bodyDiv w:val="1"/>
      <w:marLeft w:val="0"/>
      <w:marRight w:val="0"/>
      <w:marTop w:val="0"/>
      <w:marBottom w:val="0"/>
      <w:divBdr>
        <w:top w:val="none" w:sz="0" w:space="0" w:color="auto"/>
        <w:left w:val="none" w:sz="0" w:space="0" w:color="auto"/>
        <w:bottom w:val="none" w:sz="0" w:space="0" w:color="auto"/>
        <w:right w:val="none" w:sz="0" w:space="0" w:color="auto"/>
      </w:divBdr>
    </w:div>
    <w:div w:id="1399860541">
      <w:bodyDiv w:val="1"/>
      <w:marLeft w:val="0"/>
      <w:marRight w:val="0"/>
      <w:marTop w:val="0"/>
      <w:marBottom w:val="0"/>
      <w:divBdr>
        <w:top w:val="none" w:sz="0" w:space="0" w:color="auto"/>
        <w:left w:val="none" w:sz="0" w:space="0" w:color="auto"/>
        <w:bottom w:val="none" w:sz="0" w:space="0" w:color="auto"/>
        <w:right w:val="none" w:sz="0" w:space="0" w:color="auto"/>
      </w:divBdr>
    </w:div>
    <w:div w:id="1400202517">
      <w:bodyDiv w:val="1"/>
      <w:marLeft w:val="0"/>
      <w:marRight w:val="0"/>
      <w:marTop w:val="0"/>
      <w:marBottom w:val="0"/>
      <w:divBdr>
        <w:top w:val="none" w:sz="0" w:space="0" w:color="auto"/>
        <w:left w:val="none" w:sz="0" w:space="0" w:color="auto"/>
        <w:bottom w:val="none" w:sz="0" w:space="0" w:color="auto"/>
        <w:right w:val="none" w:sz="0" w:space="0" w:color="auto"/>
      </w:divBdr>
    </w:div>
    <w:div w:id="140545006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4626842">
      <w:bodyDiv w:val="1"/>
      <w:marLeft w:val="0"/>
      <w:marRight w:val="0"/>
      <w:marTop w:val="0"/>
      <w:marBottom w:val="0"/>
      <w:divBdr>
        <w:top w:val="none" w:sz="0" w:space="0" w:color="auto"/>
        <w:left w:val="none" w:sz="0" w:space="0" w:color="auto"/>
        <w:bottom w:val="none" w:sz="0" w:space="0" w:color="auto"/>
        <w:right w:val="none" w:sz="0" w:space="0" w:color="auto"/>
      </w:divBdr>
    </w:div>
    <w:div w:id="1415857485">
      <w:bodyDiv w:val="1"/>
      <w:marLeft w:val="0"/>
      <w:marRight w:val="0"/>
      <w:marTop w:val="0"/>
      <w:marBottom w:val="0"/>
      <w:divBdr>
        <w:top w:val="none" w:sz="0" w:space="0" w:color="auto"/>
        <w:left w:val="none" w:sz="0" w:space="0" w:color="auto"/>
        <w:bottom w:val="none" w:sz="0" w:space="0" w:color="auto"/>
        <w:right w:val="none" w:sz="0" w:space="0" w:color="auto"/>
      </w:divBdr>
    </w:div>
    <w:div w:id="1421411929">
      <w:bodyDiv w:val="1"/>
      <w:marLeft w:val="0"/>
      <w:marRight w:val="0"/>
      <w:marTop w:val="0"/>
      <w:marBottom w:val="0"/>
      <w:divBdr>
        <w:top w:val="none" w:sz="0" w:space="0" w:color="auto"/>
        <w:left w:val="none" w:sz="0" w:space="0" w:color="auto"/>
        <w:bottom w:val="none" w:sz="0" w:space="0" w:color="auto"/>
        <w:right w:val="none" w:sz="0" w:space="0" w:color="auto"/>
      </w:divBdr>
    </w:div>
    <w:div w:id="1434666228">
      <w:bodyDiv w:val="1"/>
      <w:marLeft w:val="0"/>
      <w:marRight w:val="0"/>
      <w:marTop w:val="0"/>
      <w:marBottom w:val="0"/>
      <w:divBdr>
        <w:top w:val="none" w:sz="0" w:space="0" w:color="auto"/>
        <w:left w:val="none" w:sz="0" w:space="0" w:color="auto"/>
        <w:bottom w:val="none" w:sz="0" w:space="0" w:color="auto"/>
        <w:right w:val="none" w:sz="0" w:space="0" w:color="auto"/>
      </w:divBdr>
    </w:div>
    <w:div w:id="143972051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17980">
      <w:bodyDiv w:val="1"/>
      <w:marLeft w:val="0"/>
      <w:marRight w:val="0"/>
      <w:marTop w:val="0"/>
      <w:marBottom w:val="0"/>
      <w:divBdr>
        <w:top w:val="none" w:sz="0" w:space="0" w:color="auto"/>
        <w:left w:val="none" w:sz="0" w:space="0" w:color="auto"/>
        <w:bottom w:val="none" w:sz="0" w:space="0" w:color="auto"/>
        <w:right w:val="none" w:sz="0" w:space="0" w:color="auto"/>
      </w:divBdr>
    </w:div>
    <w:div w:id="1441608915">
      <w:bodyDiv w:val="1"/>
      <w:marLeft w:val="0"/>
      <w:marRight w:val="0"/>
      <w:marTop w:val="0"/>
      <w:marBottom w:val="0"/>
      <w:divBdr>
        <w:top w:val="none" w:sz="0" w:space="0" w:color="auto"/>
        <w:left w:val="none" w:sz="0" w:space="0" w:color="auto"/>
        <w:bottom w:val="none" w:sz="0" w:space="0" w:color="auto"/>
        <w:right w:val="none" w:sz="0" w:space="0" w:color="auto"/>
      </w:divBdr>
    </w:div>
    <w:div w:id="1444224228">
      <w:bodyDiv w:val="1"/>
      <w:marLeft w:val="0"/>
      <w:marRight w:val="0"/>
      <w:marTop w:val="0"/>
      <w:marBottom w:val="0"/>
      <w:divBdr>
        <w:top w:val="none" w:sz="0" w:space="0" w:color="auto"/>
        <w:left w:val="none" w:sz="0" w:space="0" w:color="auto"/>
        <w:bottom w:val="none" w:sz="0" w:space="0" w:color="auto"/>
        <w:right w:val="none" w:sz="0" w:space="0" w:color="auto"/>
      </w:divBdr>
    </w:div>
    <w:div w:id="1444380016">
      <w:bodyDiv w:val="1"/>
      <w:marLeft w:val="0"/>
      <w:marRight w:val="0"/>
      <w:marTop w:val="0"/>
      <w:marBottom w:val="0"/>
      <w:divBdr>
        <w:top w:val="none" w:sz="0" w:space="0" w:color="auto"/>
        <w:left w:val="none" w:sz="0" w:space="0" w:color="auto"/>
        <w:bottom w:val="none" w:sz="0" w:space="0" w:color="auto"/>
        <w:right w:val="none" w:sz="0" w:space="0" w:color="auto"/>
      </w:divBdr>
    </w:div>
    <w:div w:id="1445341537">
      <w:bodyDiv w:val="1"/>
      <w:marLeft w:val="0"/>
      <w:marRight w:val="0"/>
      <w:marTop w:val="0"/>
      <w:marBottom w:val="0"/>
      <w:divBdr>
        <w:top w:val="none" w:sz="0" w:space="0" w:color="auto"/>
        <w:left w:val="none" w:sz="0" w:space="0" w:color="auto"/>
        <w:bottom w:val="none" w:sz="0" w:space="0" w:color="auto"/>
        <w:right w:val="none" w:sz="0" w:space="0" w:color="auto"/>
      </w:divBdr>
    </w:div>
    <w:div w:id="1446846318">
      <w:bodyDiv w:val="1"/>
      <w:marLeft w:val="0"/>
      <w:marRight w:val="0"/>
      <w:marTop w:val="0"/>
      <w:marBottom w:val="0"/>
      <w:divBdr>
        <w:top w:val="none" w:sz="0" w:space="0" w:color="auto"/>
        <w:left w:val="none" w:sz="0" w:space="0" w:color="auto"/>
        <w:bottom w:val="none" w:sz="0" w:space="0" w:color="auto"/>
        <w:right w:val="none" w:sz="0" w:space="0" w:color="auto"/>
      </w:divBdr>
    </w:div>
    <w:div w:id="1453671455">
      <w:bodyDiv w:val="1"/>
      <w:marLeft w:val="0"/>
      <w:marRight w:val="0"/>
      <w:marTop w:val="0"/>
      <w:marBottom w:val="0"/>
      <w:divBdr>
        <w:top w:val="none" w:sz="0" w:space="0" w:color="auto"/>
        <w:left w:val="none" w:sz="0" w:space="0" w:color="auto"/>
        <w:bottom w:val="none" w:sz="0" w:space="0" w:color="auto"/>
        <w:right w:val="none" w:sz="0" w:space="0" w:color="auto"/>
      </w:divBdr>
    </w:div>
    <w:div w:id="1457873382">
      <w:bodyDiv w:val="1"/>
      <w:marLeft w:val="0"/>
      <w:marRight w:val="0"/>
      <w:marTop w:val="0"/>
      <w:marBottom w:val="0"/>
      <w:divBdr>
        <w:top w:val="none" w:sz="0" w:space="0" w:color="auto"/>
        <w:left w:val="none" w:sz="0" w:space="0" w:color="auto"/>
        <w:bottom w:val="none" w:sz="0" w:space="0" w:color="auto"/>
        <w:right w:val="none" w:sz="0" w:space="0" w:color="auto"/>
      </w:divBdr>
    </w:div>
    <w:div w:id="1459954841">
      <w:bodyDiv w:val="1"/>
      <w:marLeft w:val="0"/>
      <w:marRight w:val="0"/>
      <w:marTop w:val="0"/>
      <w:marBottom w:val="0"/>
      <w:divBdr>
        <w:top w:val="none" w:sz="0" w:space="0" w:color="auto"/>
        <w:left w:val="none" w:sz="0" w:space="0" w:color="auto"/>
        <w:bottom w:val="none" w:sz="0" w:space="0" w:color="auto"/>
        <w:right w:val="none" w:sz="0" w:space="0" w:color="auto"/>
      </w:divBdr>
    </w:div>
    <w:div w:id="1461336002">
      <w:bodyDiv w:val="1"/>
      <w:marLeft w:val="0"/>
      <w:marRight w:val="0"/>
      <w:marTop w:val="0"/>
      <w:marBottom w:val="0"/>
      <w:divBdr>
        <w:top w:val="none" w:sz="0" w:space="0" w:color="auto"/>
        <w:left w:val="none" w:sz="0" w:space="0" w:color="auto"/>
        <w:bottom w:val="none" w:sz="0" w:space="0" w:color="auto"/>
        <w:right w:val="none" w:sz="0" w:space="0" w:color="auto"/>
      </w:divBdr>
    </w:div>
    <w:div w:id="1464470218">
      <w:bodyDiv w:val="1"/>
      <w:marLeft w:val="0"/>
      <w:marRight w:val="0"/>
      <w:marTop w:val="0"/>
      <w:marBottom w:val="0"/>
      <w:divBdr>
        <w:top w:val="none" w:sz="0" w:space="0" w:color="auto"/>
        <w:left w:val="none" w:sz="0" w:space="0" w:color="auto"/>
        <w:bottom w:val="none" w:sz="0" w:space="0" w:color="auto"/>
        <w:right w:val="none" w:sz="0" w:space="0" w:color="auto"/>
      </w:divBdr>
    </w:div>
    <w:div w:id="1465275593">
      <w:bodyDiv w:val="1"/>
      <w:marLeft w:val="0"/>
      <w:marRight w:val="0"/>
      <w:marTop w:val="0"/>
      <w:marBottom w:val="0"/>
      <w:divBdr>
        <w:top w:val="none" w:sz="0" w:space="0" w:color="auto"/>
        <w:left w:val="none" w:sz="0" w:space="0" w:color="auto"/>
        <w:bottom w:val="none" w:sz="0" w:space="0" w:color="auto"/>
        <w:right w:val="none" w:sz="0" w:space="0" w:color="auto"/>
      </w:divBdr>
    </w:div>
    <w:div w:id="1470437441">
      <w:bodyDiv w:val="1"/>
      <w:marLeft w:val="0"/>
      <w:marRight w:val="0"/>
      <w:marTop w:val="0"/>
      <w:marBottom w:val="0"/>
      <w:divBdr>
        <w:top w:val="none" w:sz="0" w:space="0" w:color="auto"/>
        <w:left w:val="none" w:sz="0" w:space="0" w:color="auto"/>
        <w:bottom w:val="none" w:sz="0" w:space="0" w:color="auto"/>
        <w:right w:val="none" w:sz="0" w:space="0" w:color="auto"/>
      </w:divBdr>
    </w:div>
    <w:div w:id="1470438275">
      <w:bodyDiv w:val="1"/>
      <w:marLeft w:val="0"/>
      <w:marRight w:val="0"/>
      <w:marTop w:val="0"/>
      <w:marBottom w:val="0"/>
      <w:divBdr>
        <w:top w:val="none" w:sz="0" w:space="0" w:color="auto"/>
        <w:left w:val="none" w:sz="0" w:space="0" w:color="auto"/>
        <w:bottom w:val="none" w:sz="0" w:space="0" w:color="auto"/>
        <w:right w:val="none" w:sz="0" w:space="0" w:color="auto"/>
      </w:divBdr>
    </w:div>
    <w:div w:id="1472675228">
      <w:bodyDiv w:val="1"/>
      <w:marLeft w:val="0"/>
      <w:marRight w:val="0"/>
      <w:marTop w:val="0"/>
      <w:marBottom w:val="0"/>
      <w:divBdr>
        <w:top w:val="none" w:sz="0" w:space="0" w:color="auto"/>
        <w:left w:val="none" w:sz="0" w:space="0" w:color="auto"/>
        <w:bottom w:val="none" w:sz="0" w:space="0" w:color="auto"/>
        <w:right w:val="none" w:sz="0" w:space="0" w:color="auto"/>
      </w:divBdr>
    </w:div>
    <w:div w:id="1473331471">
      <w:bodyDiv w:val="1"/>
      <w:marLeft w:val="0"/>
      <w:marRight w:val="0"/>
      <w:marTop w:val="0"/>
      <w:marBottom w:val="0"/>
      <w:divBdr>
        <w:top w:val="none" w:sz="0" w:space="0" w:color="auto"/>
        <w:left w:val="none" w:sz="0" w:space="0" w:color="auto"/>
        <w:bottom w:val="none" w:sz="0" w:space="0" w:color="auto"/>
        <w:right w:val="none" w:sz="0" w:space="0" w:color="auto"/>
      </w:divBdr>
    </w:div>
    <w:div w:id="1475029834">
      <w:bodyDiv w:val="1"/>
      <w:marLeft w:val="0"/>
      <w:marRight w:val="0"/>
      <w:marTop w:val="0"/>
      <w:marBottom w:val="0"/>
      <w:divBdr>
        <w:top w:val="none" w:sz="0" w:space="0" w:color="auto"/>
        <w:left w:val="none" w:sz="0" w:space="0" w:color="auto"/>
        <w:bottom w:val="none" w:sz="0" w:space="0" w:color="auto"/>
        <w:right w:val="none" w:sz="0" w:space="0" w:color="auto"/>
      </w:divBdr>
    </w:div>
    <w:div w:id="1475292564">
      <w:bodyDiv w:val="1"/>
      <w:marLeft w:val="0"/>
      <w:marRight w:val="0"/>
      <w:marTop w:val="0"/>
      <w:marBottom w:val="0"/>
      <w:divBdr>
        <w:top w:val="none" w:sz="0" w:space="0" w:color="auto"/>
        <w:left w:val="none" w:sz="0" w:space="0" w:color="auto"/>
        <w:bottom w:val="none" w:sz="0" w:space="0" w:color="auto"/>
        <w:right w:val="none" w:sz="0" w:space="0" w:color="auto"/>
      </w:divBdr>
    </w:div>
    <w:div w:id="1480876722">
      <w:bodyDiv w:val="1"/>
      <w:marLeft w:val="0"/>
      <w:marRight w:val="0"/>
      <w:marTop w:val="0"/>
      <w:marBottom w:val="0"/>
      <w:divBdr>
        <w:top w:val="none" w:sz="0" w:space="0" w:color="auto"/>
        <w:left w:val="none" w:sz="0" w:space="0" w:color="auto"/>
        <w:bottom w:val="none" w:sz="0" w:space="0" w:color="auto"/>
        <w:right w:val="none" w:sz="0" w:space="0" w:color="auto"/>
      </w:divBdr>
    </w:div>
    <w:div w:id="1485470939">
      <w:bodyDiv w:val="1"/>
      <w:marLeft w:val="0"/>
      <w:marRight w:val="0"/>
      <w:marTop w:val="0"/>
      <w:marBottom w:val="0"/>
      <w:divBdr>
        <w:top w:val="none" w:sz="0" w:space="0" w:color="auto"/>
        <w:left w:val="none" w:sz="0" w:space="0" w:color="auto"/>
        <w:bottom w:val="none" w:sz="0" w:space="0" w:color="auto"/>
        <w:right w:val="none" w:sz="0" w:space="0" w:color="auto"/>
      </w:divBdr>
    </w:div>
    <w:div w:id="1485733018">
      <w:bodyDiv w:val="1"/>
      <w:marLeft w:val="0"/>
      <w:marRight w:val="0"/>
      <w:marTop w:val="0"/>
      <w:marBottom w:val="0"/>
      <w:divBdr>
        <w:top w:val="none" w:sz="0" w:space="0" w:color="auto"/>
        <w:left w:val="none" w:sz="0" w:space="0" w:color="auto"/>
        <w:bottom w:val="none" w:sz="0" w:space="0" w:color="auto"/>
        <w:right w:val="none" w:sz="0" w:space="0" w:color="auto"/>
      </w:divBdr>
    </w:div>
    <w:div w:id="1486973916">
      <w:bodyDiv w:val="1"/>
      <w:marLeft w:val="0"/>
      <w:marRight w:val="0"/>
      <w:marTop w:val="0"/>
      <w:marBottom w:val="0"/>
      <w:divBdr>
        <w:top w:val="none" w:sz="0" w:space="0" w:color="auto"/>
        <w:left w:val="none" w:sz="0" w:space="0" w:color="auto"/>
        <w:bottom w:val="none" w:sz="0" w:space="0" w:color="auto"/>
        <w:right w:val="none" w:sz="0" w:space="0" w:color="auto"/>
      </w:divBdr>
    </w:div>
    <w:div w:id="1488207458">
      <w:bodyDiv w:val="1"/>
      <w:marLeft w:val="0"/>
      <w:marRight w:val="0"/>
      <w:marTop w:val="0"/>
      <w:marBottom w:val="0"/>
      <w:divBdr>
        <w:top w:val="none" w:sz="0" w:space="0" w:color="auto"/>
        <w:left w:val="none" w:sz="0" w:space="0" w:color="auto"/>
        <w:bottom w:val="none" w:sz="0" w:space="0" w:color="auto"/>
        <w:right w:val="none" w:sz="0" w:space="0" w:color="auto"/>
      </w:divBdr>
    </w:div>
    <w:div w:id="1488934489">
      <w:bodyDiv w:val="1"/>
      <w:marLeft w:val="0"/>
      <w:marRight w:val="0"/>
      <w:marTop w:val="0"/>
      <w:marBottom w:val="0"/>
      <w:divBdr>
        <w:top w:val="none" w:sz="0" w:space="0" w:color="auto"/>
        <w:left w:val="none" w:sz="0" w:space="0" w:color="auto"/>
        <w:bottom w:val="none" w:sz="0" w:space="0" w:color="auto"/>
        <w:right w:val="none" w:sz="0" w:space="0" w:color="auto"/>
      </w:divBdr>
    </w:div>
    <w:div w:id="1491167744">
      <w:bodyDiv w:val="1"/>
      <w:marLeft w:val="0"/>
      <w:marRight w:val="0"/>
      <w:marTop w:val="0"/>
      <w:marBottom w:val="0"/>
      <w:divBdr>
        <w:top w:val="none" w:sz="0" w:space="0" w:color="auto"/>
        <w:left w:val="none" w:sz="0" w:space="0" w:color="auto"/>
        <w:bottom w:val="none" w:sz="0" w:space="0" w:color="auto"/>
        <w:right w:val="none" w:sz="0" w:space="0" w:color="auto"/>
      </w:divBdr>
    </w:div>
    <w:div w:id="1494223361">
      <w:bodyDiv w:val="1"/>
      <w:marLeft w:val="0"/>
      <w:marRight w:val="0"/>
      <w:marTop w:val="0"/>
      <w:marBottom w:val="0"/>
      <w:divBdr>
        <w:top w:val="none" w:sz="0" w:space="0" w:color="auto"/>
        <w:left w:val="none" w:sz="0" w:space="0" w:color="auto"/>
        <w:bottom w:val="none" w:sz="0" w:space="0" w:color="auto"/>
        <w:right w:val="none" w:sz="0" w:space="0" w:color="auto"/>
      </w:divBdr>
    </w:div>
    <w:div w:id="1503085736">
      <w:bodyDiv w:val="1"/>
      <w:marLeft w:val="0"/>
      <w:marRight w:val="0"/>
      <w:marTop w:val="0"/>
      <w:marBottom w:val="0"/>
      <w:divBdr>
        <w:top w:val="none" w:sz="0" w:space="0" w:color="auto"/>
        <w:left w:val="none" w:sz="0" w:space="0" w:color="auto"/>
        <w:bottom w:val="none" w:sz="0" w:space="0" w:color="auto"/>
        <w:right w:val="none" w:sz="0" w:space="0" w:color="auto"/>
      </w:divBdr>
    </w:div>
    <w:div w:id="1507867747">
      <w:bodyDiv w:val="1"/>
      <w:marLeft w:val="0"/>
      <w:marRight w:val="0"/>
      <w:marTop w:val="0"/>
      <w:marBottom w:val="0"/>
      <w:divBdr>
        <w:top w:val="none" w:sz="0" w:space="0" w:color="auto"/>
        <w:left w:val="none" w:sz="0" w:space="0" w:color="auto"/>
        <w:bottom w:val="none" w:sz="0" w:space="0" w:color="auto"/>
        <w:right w:val="none" w:sz="0" w:space="0" w:color="auto"/>
      </w:divBdr>
    </w:div>
    <w:div w:id="1508011375">
      <w:bodyDiv w:val="1"/>
      <w:marLeft w:val="0"/>
      <w:marRight w:val="0"/>
      <w:marTop w:val="0"/>
      <w:marBottom w:val="0"/>
      <w:divBdr>
        <w:top w:val="none" w:sz="0" w:space="0" w:color="auto"/>
        <w:left w:val="none" w:sz="0" w:space="0" w:color="auto"/>
        <w:bottom w:val="none" w:sz="0" w:space="0" w:color="auto"/>
        <w:right w:val="none" w:sz="0" w:space="0" w:color="auto"/>
      </w:divBdr>
    </w:div>
    <w:div w:id="1508977289">
      <w:bodyDiv w:val="1"/>
      <w:marLeft w:val="0"/>
      <w:marRight w:val="0"/>
      <w:marTop w:val="0"/>
      <w:marBottom w:val="0"/>
      <w:divBdr>
        <w:top w:val="none" w:sz="0" w:space="0" w:color="auto"/>
        <w:left w:val="none" w:sz="0" w:space="0" w:color="auto"/>
        <w:bottom w:val="none" w:sz="0" w:space="0" w:color="auto"/>
        <w:right w:val="none" w:sz="0" w:space="0" w:color="auto"/>
      </w:divBdr>
    </w:div>
    <w:div w:id="1511021703">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5459500">
      <w:bodyDiv w:val="1"/>
      <w:marLeft w:val="0"/>
      <w:marRight w:val="0"/>
      <w:marTop w:val="0"/>
      <w:marBottom w:val="0"/>
      <w:divBdr>
        <w:top w:val="none" w:sz="0" w:space="0" w:color="auto"/>
        <w:left w:val="none" w:sz="0" w:space="0" w:color="auto"/>
        <w:bottom w:val="none" w:sz="0" w:space="0" w:color="auto"/>
        <w:right w:val="none" w:sz="0" w:space="0" w:color="auto"/>
      </w:divBdr>
    </w:div>
    <w:div w:id="1516577634">
      <w:bodyDiv w:val="1"/>
      <w:marLeft w:val="0"/>
      <w:marRight w:val="0"/>
      <w:marTop w:val="0"/>
      <w:marBottom w:val="0"/>
      <w:divBdr>
        <w:top w:val="none" w:sz="0" w:space="0" w:color="auto"/>
        <w:left w:val="none" w:sz="0" w:space="0" w:color="auto"/>
        <w:bottom w:val="none" w:sz="0" w:space="0" w:color="auto"/>
        <w:right w:val="none" w:sz="0" w:space="0" w:color="auto"/>
      </w:divBdr>
    </w:div>
    <w:div w:id="1517618344">
      <w:bodyDiv w:val="1"/>
      <w:marLeft w:val="0"/>
      <w:marRight w:val="0"/>
      <w:marTop w:val="0"/>
      <w:marBottom w:val="0"/>
      <w:divBdr>
        <w:top w:val="none" w:sz="0" w:space="0" w:color="auto"/>
        <w:left w:val="none" w:sz="0" w:space="0" w:color="auto"/>
        <w:bottom w:val="none" w:sz="0" w:space="0" w:color="auto"/>
        <w:right w:val="none" w:sz="0" w:space="0" w:color="auto"/>
      </w:divBdr>
    </w:div>
    <w:div w:id="1524437848">
      <w:bodyDiv w:val="1"/>
      <w:marLeft w:val="0"/>
      <w:marRight w:val="0"/>
      <w:marTop w:val="0"/>
      <w:marBottom w:val="0"/>
      <w:divBdr>
        <w:top w:val="none" w:sz="0" w:space="0" w:color="auto"/>
        <w:left w:val="none" w:sz="0" w:space="0" w:color="auto"/>
        <w:bottom w:val="none" w:sz="0" w:space="0" w:color="auto"/>
        <w:right w:val="none" w:sz="0" w:space="0" w:color="auto"/>
      </w:divBdr>
    </w:div>
    <w:div w:id="1525483403">
      <w:bodyDiv w:val="1"/>
      <w:marLeft w:val="0"/>
      <w:marRight w:val="0"/>
      <w:marTop w:val="0"/>
      <w:marBottom w:val="0"/>
      <w:divBdr>
        <w:top w:val="none" w:sz="0" w:space="0" w:color="auto"/>
        <w:left w:val="none" w:sz="0" w:space="0" w:color="auto"/>
        <w:bottom w:val="none" w:sz="0" w:space="0" w:color="auto"/>
        <w:right w:val="none" w:sz="0" w:space="0" w:color="auto"/>
      </w:divBdr>
    </w:div>
    <w:div w:id="1529832059">
      <w:bodyDiv w:val="1"/>
      <w:marLeft w:val="0"/>
      <w:marRight w:val="0"/>
      <w:marTop w:val="0"/>
      <w:marBottom w:val="0"/>
      <w:divBdr>
        <w:top w:val="none" w:sz="0" w:space="0" w:color="auto"/>
        <w:left w:val="none" w:sz="0" w:space="0" w:color="auto"/>
        <w:bottom w:val="none" w:sz="0" w:space="0" w:color="auto"/>
        <w:right w:val="none" w:sz="0" w:space="0" w:color="auto"/>
      </w:divBdr>
    </w:div>
    <w:div w:id="1535731502">
      <w:bodyDiv w:val="1"/>
      <w:marLeft w:val="0"/>
      <w:marRight w:val="0"/>
      <w:marTop w:val="0"/>
      <w:marBottom w:val="0"/>
      <w:divBdr>
        <w:top w:val="none" w:sz="0" w:space="0" w:color="auto"/>
        <w:left w:val="none" w:sz="0" w:space="0" w:color="auto"/>
        <w:bottom w:val="none" w:sz="0" w:space="0" w:color="auto"/>
        <w:right w:val="none" w:sz="0" w:space="0" w:color="auto"/>
      </w:divBdr>
    </w:div>
    <w:div w:id="1537231315">
      <w:bodyDiv w:val="1"/>
      <w:marLeft w:val="0"/>
      <w:marRight w:val="0"/>
      <w:marTop w:val="0"/>
      <w:marBottom w:val="0"/>
      <w:divBdr>
        <w:top w:val="none" w:sz="0" w:space="0" w:color="auto"/>
        <w:left w:val="none" w:sz="0" w:space="0" w:color="auto"/>
        <w:bottom w:val="none" w:sz="0" w:space="0" w:color="auto"/>
        <w:right w:val="none" w:sz="0" w:space="0" w:color="auto"/>
      </w:divBdr>
    </w:div>
    <w:div w:id="1538813230">
      <w:bodyDiv w:val="1"/>
      <w:marLeft w:val="0"/>
      <w:marRight w:val="0"/>
      <w:marTop w:val="0"/>
      <w:marBottom w:val="0"/>
      <w:divBdr>
        <w:top w:val="none" w:sz="0" w:space="0" w:color="auto"/>
        <w:left w:val="none" w:sz="0" w:space="0" w:color="auto"/>
        <w:bottom w:val="none" w:sz="0" w:space="0" w:color="auto"/>
        <w:right w:val="none" w:sz="0" w:space="0" w:color="auto"/>
      </w:divBdr>
    </w:div>
    <w:div w:id="1540313850">
      <w:bodyDiv w:val="1"/>
      <w:marLeft w:val="0"/>
      <w:marRight w:val="0"/>
      <w:marTop w:val="0"/>
      <w:marBottom w:val="0"/>
      <w:divBdr>
        <w:top w:val="none" w:sz="0" w:space="0" w:color="auto"/>
        <w:left w:val="none" w:sz="0" w:space="0" w:color="auto"/>
        <w:bottom w:val="none" w:sz="0" w:space="0" w:color="auto"/>
        <w:right w:val="none" w:sz="0" w:space="0" w:color="auto"/>
      </w:divBdr>
    </w:div>
    <w:div w:id="1544634977">
      <w:bodyDiv w:val="1"/>
      <w:marLeft w:val="0"/>
      <w:marRight w:val="0"/>
      <w:marTop w:val="0"/>
      <w:marBottom w:val="0"/>
      <w:divBdr>
        <w:top w:val="none" w:sz="0" w:space="0" w:color="auto"/>
        <w:left w:val="none" w:sz="0" w:space="0" w:color="auto"/>
        <w:bottom w:val="none" w:sz="0" w:space="0" w:color="auto"/>
        <w:right w:val="none" w:sz="0" w:space="0" w:color="auto"/>
      </w:divBdr>
    </w:div>
    <w:div w:id="1549418735">
      <w:bodyDiv w:val="1"/>
      <w:marLeft w:val="0"/>
      <w:marRight w:val="0"/>
      <w:marTop w:val="0"/>
      <w:marBottom w:val="0"/>
      <w:divBdr>
        <w:top w:val="none" w:sz="0" w:space="0" w:color="auto"/>
        <w:left w:val="none" w:sz="0" w:space="0" w:color="auto"/>
        <w:bottom w:val="none" w:sz="0" w:space="0" w:color="auto"/>
        <w:right w:val="none" w:sz="0" w:space="0" w:color="auto"/>
      </w:divBdr>
    </w:div>
    <w:div w:id="1552811170">
      <w:bodyDiv w:val="1"/>
      <w:marLeft w:val="0"/>
      <w:marRight w:val="0"/>
      <w:marTop w:val="0"/>
      <w:marBottom w:val="0"/>
      <w:divBdr>
        <w:top w:val="none" w:sz="0" w:space="0" w:color="auto"/>
        <w:left w:val="none" w:sz="0" w:space="0" w:color="auto"/>
        <w:bottom w:val="none" w:sz="0" w:space="0" w:color="auto"/>
        <w:right w:val="none" w:sz="0" w:space="0" w:color="auto"/>
      </w:divBdr>
    </w:div>
    <w:div w:id="1554196077">
      <w:bodyDiv w:val="1"/>
      <w:marLeft w:val="0"/>
      <w:marRight w:val="0"/>
      <w:marTop w:val="0"/>
      <w:marBottom w:val="0"/>
      <w:divBdr>
        <w:top w:val="none" w:sz="0" w:space="0" w:color="auto"/>
        <w:left w:val="none" w:sz="0" w:space="0" w:color="auto"/>
        <w:bottom w:val="none" w:sz="0" w:space="0" w:color="auto"/>
        <w:right w:val="none" w:sz="0" w:space="0" w:color="auto"/>
      </w:divBdr>
    </w:div>
    <w:div w:id="1554849964">
      <w:bodyDiv w:val="1"/>
      <w:marLeft w:val="0"/>
      <w:marRight w:val="0"/>
      <w:marTop w:val="0"/>
      <w:marBottom w:val="0"/>
      <w:divBdr>
        <w:top w:val="none" w:sz="0" w:space="0" w:color="auto"/>
        <w:left w:val="none" w:sz="0" w:space="0" w:color="auto"/>
        <w:bottom w:val="none" w:sz="0" w:space="0" w:color="auto"/>
        <w:right w:val="none" w:sz="0" w:space="0" w:color="auto"/>
      </w:divBdr>
    </w:div>
    <w:div w:id="1554852169">
      <w:bodyDiv w:val="1"/>
      <w:marLeft w:val="0"/>
      <w:marRight w:val="0"/>
      <w:marTop w:val="0"/>
      <w:marBottom w:val="0"/>
      <w:divBdr>
        <w:top w:val="none" w:sz="0" w:space="0" w:color="auto"/>
        <w:left w:val="none" w:sz="0" w:space="0" w:color="auto"/>
        <w:bottom w:val="none" w:sz="0" w:space="0" w:color="auto"/>
        <w:right w:val="none" w:sz="0" w:space="0" w:color="auto"/>
      </w:divBdr>
    </w:div>
    <w:div w:id="1558395067">
      <w:bodyDiv w:val="1"/>
      <w:marLeft w:val="0"/>
      <w:marRight w:val="0"/>
      <w:marTop w:val="0"/>
      <w:marBottom w:val="0"/>
      <w:divBdr>
        <w:top w:val="none" w:sz="0" w:space="0" w:color="auto"/>
        <w:left w:val="none" w:sz="0" w:space="0" w:color="auto"/>
        <w:bottom w:val="none" w:sz="0" w:space="0" w:color="auto"/>
        <w:right w:val="none" w:sz="0" w:space="0" w:color="auto"/>
      </w:divBdr>
    </w:div>
    <w:div w:id="1561096133">
      <w:bodyDiv w:val="1"/>
      <w:marLeft w:val="0"/>
      <w:marRight w:val="0"/>
      <w:marTop w:val="0"/>
      <w:marBottom w:val="0"/>
      <w:divBdr>
        <w:top w:val="none" w:sz="0" w:space="0" w:color="auto"/>
        <w:left w:val="none" w:sz="0" w:space="0" w:color="auto"/>
        <w:bottom w:val="none" w:sz="0" w:space="0" w:color="auto"/>
        <w:right w:val="none" w:sz="0" w:space="0" w:color="auto"/>
      </w:divBdr>
    </w:div>
    <w:div w:id="1566142888">
      <w:bodyDiv w:val="1"/>
      <w:marLeft w:val="0"/>
      <w:marRight w:val="0"/>
      <w:marTop w:val="0"/>
      <w:marBottom w:val="0"/>
      <w:divBdr>
        <w:top w:val="none" w:sz="0" w:space="0" w:color="auto"/>
        <w:left w:val="none" w:sz="0" w:space="0" w:color="auto"/>
        <w:bottom w:val="none" w:sz="0" w:space="0" w:color="auto"/>
        <w:right w:val="none" w:sz="0" w:space="0" w:color="auto"/>
      </w:divBdr>
    </w:div>
    <w:div w:id="1567952404">
      <w:bodyDiv w:val="1"/>
      <w:marLeft w:val="0"/>
      <w:marRight w:val="0"/>
      <w:marTop w:val="0"/>
      <w:marBottom w:val="0"/>
      <w:divBdr>
        <w:top w:val="none" w:sz="0" w:space="0" w:color="auto"/>
        <w:left w:val="none" w:sz="0" w:space="0" w:color="auto"/>
        <w:bottom w:val="none" w:sz="0" w:space="0" w:color="auto"/>
        <w:right w:val="none" w:sz="0" w:space="0" w:color="auto"/>
      </w:divBdr>
    </w:div>
    <w:div w:id="1574849846">
      <w:bodyDiv w:val="1"/>
      <w:marLeft w:val="0"/>
      <w:marRight w:val="0"/>
      <w:marTop w:val="0"/>
      <w:marBottom w:val="0"/>
      <w:divBdr>
        <w:top w:val="none" w:sz="0" w:space="0" w:color="auto"/>
        <w:left w:val="none" w:sz="0" w:space="0" w:color="auto"/>
        <w:bottom w:val="none" w:sz="0" w:space="0" w:color="auto"/>
        <w:right w:val="none" w:sz="0" w:space="0" w:color="auto"/>
      </w:divBdr>
    </w:div>
    <w:div w:id="1575580234">
      <w:bodyDiv w:val="1"/>
      <w:marLeft w:val="0"/>
      <w:marRight w:val="0"/>
      <w:marTop w:val="0"/>
      <w:marBottom w:val="0"/>
      <w:divBdr>
        <w:top w:val="none" w:sz="0" w:space="0" w:color="auto"/>
        <w:left w:val="none" w:sz="0" w:space="0" w:color="auto"/>
        <w:bottom w:val="none" w:sz="0" w:space="0" w:color="auto"/>
        <w:right w:val="none" w:sz="0" w:space="0" w:color="auto"/>
      </w:divBdr>
    </w:div>
    <w:div w:id="1577590221">
      <w:bodyDiv w:val="1"/>
      <w:marLeft w:val="0"/>
      <w:marRight w:val="0"/>
      <w:marTop w:val="0"/>
      <w:marBottom w:val="0"/>
      <w:divBdr>
        <w:top w:val="none" w:sz="0" w:space="0" w:color="auto"/>
        <w:left w:val="none" w:sz="0" w:space="0" w:color="auto"/>
        <w:bottom w:val="none" w:sz="0" w:space="0" w:color="auto"/>
        <w:right w:val="none" w:sz="0" w:space="0" w:color="auto"/>
      </w:divBdr>
    </w:div>
    <w:div w:id="1580098976">
      <w:bodyDiv w:val="1"/>
      <w:marLeft w:val="0"/>
      <w:marRight w:val="0"/>
      <w:marTop w:val="0"/>
      <w:marBottom w:val="0"/>
      <w:divBdr>
        <w:top w:val="none" w:sz="0" w:space="0" w:color="auto"/>
        <w:left w:val="none" w:sz="0" w:space="0" w:color="auto"/>
        <w:bottom w:val="none" w:sz="0" w:space="0" w:color="auto"/>
        <w:right w:val="none" w:sz="0" w:space="0" w:color="auto"/>
      </w:divBdr>
    </w:div>
    <w:div w:id="1585338112">
      <w:bodyDiv w:val="1"/>
      <w:marLeft w:val="0"/>
      <w:marRight w:val="0"/>
      <w:marTop w:val="0"/>
      <w:marBottom w:val="0"/>
      <w:divBdr>
        <w:top w:val="none" w:sz="0" w:space="0" w:color="auto"/>
        <w:left w:val="none" w:sz="0" w:space="0" w:color="auto"/>
        <w:bottom w:val="none" w:sz="0" w:space="0" w:color="auto"/>
        <w:right w:val="none" w:sz="0" w:space="0" w:color="auto"/>
      </w:divBdr>
    </w:div>
    <w:div w:id="1587377645">
      <w:bodyDiv w:val="1"/>
      <w:marLeft w:val="0"/>
      <w:marRight w:val="0"/>
      <w:marTop w:val="0"/>
      <w:marBottom w:val="0"/>
      <w:divBdr>
        <w:top w:val="none" w:sz="0" w:space="0" w:color="auto"/>
        <w:left w:val="none" w:sz="0" w:space="0" w:color="auto"/>
        <w:bottom w:val="none" w:sz="0" w:space="0" w:color="auto"/>
        <w:right w:val="none" w:sz="0" w:space="0" w:color="auto"/>
      </w:divBdr>
    </w:div>
    <w:div w:id="1588153882">
      <w:bodyDiv w:val="1"/>
      <w:marLeft w:val="0"/>
      <w:marRight w:val="0"/>
      <w:marTop w:val="0"/>
      <w:marBottom w:val="0"/>
      <w:divBdr>
        <w:top w:val="none" w:sz="0" w:space="0" w:color="auto"/>
        <w:left w:val="none" w:sz="0" w:space="0" w:color="auto"/>
        <w:bottom w:val="none" w:sz="0" w:space="0" w:color="auto"/>
        <w:right w:val="none" w:sz="0" w:space="0" w:color="auto"/>
      </w:divBdr>
    </w:div>
    <w:div w:id="1590114495">
      <w:bodyDiv w:val="1"/>
      <w:marLeft w:val="0"/>
      <w:marRight w:val="0"/>
      <w:marTop w:val="0"/>
      <w:marBottom w:val="0"/>
      <w:divBdr>
        <w:top w:val="none" w:sz="0" w:space="0" w:color="auto"/>
        <w:left w:val="none" w:sz="0" w:space="0" w:color="auto"/>
        <w:bottom w:val="none" w:sz="0" w:space="0" w:color="auto"/>
        <w:right w:val="none" w:sz="0" w:space="0" w:color="auto"/>
      </w:divBdr>
    </w:div>
    <w:div w:id="1590116431">
      <w:bodyDiv w:val="1"/>
      <w:marLeft w:val="0"/>
      <w:marRight w:val="0"/>
      <w:marTop w:val="0"/>
      <w:marBottom w:val="0"/>
      <w:divBdr>
        <w:top w:val="none" w:sz="0" w:space="0" w:color="auto"/>
        <w:left w:val="none" w:sz="0" w:space="0" w:color="auto"/>
        <w:bottom w:val="none" w:sz="0" w:space="0" w:color="auto"/>
        <w:right w:val="none" w:sz="0" w:space="0" w:color="auto"/>
      </w:divBdr>
    </w:div>
    <w:div w:id="1593202694">
      <w:bodyDiv w:val="1"/>
      <w:marLeft w:val="0"/>
      <w:marRight w:val="0"/>
      <w:marTop w:val="0"/>
      <w:marBottom w:val="0"/>
      <w:divBdr>
        <w:top w:val="none" w:sz="0" w:space="0" w:color="auto"/>
        <w:left w:val="none" w:sz="0" w:space="0" w:color="auto"/>
        <w:bottom w:val="none" w:sz="0" w:space="0" w:color="auto"/>
        <w:right w:val="none" w:sz="0" w:space="0" w:color="auto"/>
      </w:divBdr>
    </w:div>
    <w:div w:id="1594044362">
      <w:bodyDiv w:val="1"/>
      <w:marLeft w:val="0"/>
      <w:marRight w:val="0"/>
      <w:marTop w:val="0"/>
      <w:marBottom w:val="0"/>
      <w:divBdr>
        <w:top w:val="none" w:sz="0" w:space="0" w:color="auto"/>
        <w:left w:val="none" w:sz="0" w:space="0" w:color="auto"/>
        <w:bottom w:val="none" w:sz="0" w:space="0" w:color="auto"/>
        <w:right w:val="none" w:sz="0" w:space="0" w:color="auto"/>
      </w:divBdr>
    </w:div>
    <w:div w:id="1595430059">
      <w:bodyDiv w:val="1"/>
      <w:marLeft w:val="0"/>
      <w:marRight w:val="0"/>
      <w:marTop w:val="0"/>
      <w:marBottom w:val="0"/>
      <w:divBdr>
        <w:top w:val="none" w:sz="0" w:space="0" w:color="auto"/>
        <w:left w:val="none" w:sz="0" w:space="0" w:color="auto"/>
        <w:bottom w:val="none" w:sz="0" w:space="0" w:color="auto"/>
        <w:right w:val="none" w:sz="0" w:space="0" w:color="auto"/>
      </w:divBdr>
    </w:div>
    <w:div w:id="1599144766">
      <w:bodyDiv w:val="1"/>
      <w:marLeft w:val="0"/>
      <w:marRight w:val="0"/>
      <w:marTop w:val="0"/>
      <w:marBottom w:val="0"/>
      <w:divBdr>
        <w:top w:val="none" w:sz="0" w:space="0" w:color="auto"/>
        <w:left w:val="none" w:sz="0" w:space="0" w:color="auto"/>
        <w:bottom w:val="none" w:sz="0" w:space="0" w:color="auto"/>
        <w:right w:val="none" w:sz="0" w:space="0" w:color="auto"/>
      </w:divBdr>
    </w:div>
    <w:div w:id="1600329224">
      <w:bodyDiv w:val="1"/>
      <w:marLeft w:val="0"/>
      <w:marRight w:val="0"/>
      <w:marTop w:val="0"/>
      <w:marBottom w:val="0"/>
      <w:divBdr>
        <w:top w:val="none" w:sz="0" w:space="0" w:color="auto"/>
        <w:left w:val="none" w:sz="0" w:space="0" w:color="auto"/>
        <w:bottom w:val="none" w:sz="0" w:space="0" w:color="auto"/>
        <w:right w:val="none" w:sz="0" w:space="0" w:color="auto"/>
      </w:divBdr>
    </w:div>
    <w:div w:id="1607081124">
      <w:bodyDiv w:val="1"/>
      <w:marLeft w:val="0"/>
      <w:marRight w:val="0"/>
      <w:marTop w:val="0"/>
      <w:marBottom w:val="0"/>
      <w:divBdr>
        <w:top w:val="none" w:sz="0" w:space="0" w:color="auto"/>
        <w:left w:val="none" w:sz="0" w:space="0" w:color="auto"/>
        <w:bottom w:val="none" w:sz="0" w:space="0" w:color="auto"/>
        <w:right w:val="none" w:sz="0" w:space="0" w:color="auto"/>
      </w:divBdr>
    </w:div>
    <w:div w:id="1610622950">
      <w:bodyDiv w:val="1"/>
      <w:marLeft w:val="0"/>
      <w:marRight w:val="0"/>
      <w:marTop w:val="0"/>
      <w:marBottom w:val="0"/>
      <w:divBdr>
        <w:top w:val="none" w:sz="0" w:space="0" w:color="auto"/>
        <w:left w:val="none" w:sz="0" w:space="0" w:color="auto"/>
        <w:bottom w:val="none" w:sz="0" w:space="0" w:color="auto"/>
        <w:right w:val="none" w:sz="0" w:space="0" w:color="auto"/>
      </w:divBdr>
    </w:div>
    <w:div w:id="1614049396">
      <w:bodyDiv w:val="1"/>
      <w:marLeft w:val="0"/>
      <w:marRight w:val="0"/>
      <w:marTop w:val="0"/>
      <w:marBottom w:val="0"/>
      <w:divBdr>
        <w:top w:val="none" w:sz="0" w:space="0" w:color="auto"/>
        <w:left w:val="none" w:sz="0" w:space="0" w:color="auto"/>
        <w:bottom w:val="none" w:sz="0" w:space="0" w:color="auto"/>
        <w:right w:val="none" w:sz="0" w:space="0" w:color="auto"/>
      </w:divBdr>
    </w:div>
    <w:div w:id="1621838397">
      <w:bodyDiv w:val="1"/>
      <w:marLeft w:val="0"/>
      <w:marRight w:val="0"/>
      <w:marTop w:val="0"/>
      <w:marBottom w:val="0"/>
      <w:divBdr>
        <w:top w:val="none" w:sz="0" w:space="0" w:color="auto"/>
        <w:left w:val="none" w:sz="0" w:space="0" w:color="auto"/>
        <w:bottom w:val="none" w:sz="0" w:space="0" w:color="auto"/>
        <w:right w:val="none" w:sz="0" w:space="0" w:color="auto"/>
      </w:divBdr>
    </w:div>
    <w:div w:id="162302848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129699">
      <w:bodyDiv w:val="1"/>
      <w:marLeft w:val="0"/>
      <w:marRight w:val="0"/>
      <w:marTop w:val="0"/>
      <w:marBottom w:val="0"/>
      <w:divBdr>
        <w:top w:val="none" w:sz="0" w:space="0" w:color="auto"/>
        <w:left w:val="none" w:sz="0" w:space="0" w:color="auto"/>
        <w:bottom w:val="none" w:sz="0" w:space="0" w:color="auto"/>
        <w:right w:val="none" w:sz="0" w:space="0" w:color="auto"/>
      </w:divBdr>
    </w:div>
    <w:div w:id="1633441820">
      <w:bodyDiv w:val="1"/>
      <w:marLeft w:val="0"/>
      <w:marRight w:val="0"/>
      <w:marTop w:val="0"/>
      <w:marBottom w:val="0"/>
      <w:divBdr>
        <w:top w:val="none" w:sz="0" w:space="0" w:color="auto"/>
        <w:left w:val="none" w:sz="0" w:space="0" w:color="auto"/>
        <w:bottom w:val="none" w:sz="0" w:space="0" w:color="auto"/>
        <w:right w:val="none" w:sz="0" w:space="0" w:color="auto"/>
      </w:divBdr>
    </w:div>
    <w:div w:id="1635714188">
      <w:bodyDiv w:val="1"/>
      <w:marLeft w:val="0"/>
      <w:marRight w:val="0"/>
      <w:marTop w:val="0"/>
      <w:marBottom w:val="0"/>
      <w:divBdr>
        <w:top w:val="none" w:sz="0" w:space="0" w:color="auto"/>
        <w:left w:val="none" w:sz="0" w:space="0" w:color="auto"/>
        <w:bottom w:val="none" w:sz="0" w:space="0" w:color="auto"/>
        <w:right w:val="none" w:sz="0" w:space="0" w:color="auto"/>
      </w:divBdr>
    </w:div>
    <w:div w:id="1637757299">
      <w:bodyDiv w:val="1"/>
      <w:marLeft w:val="0"/>
      <w:marRight w:val="0"/>
      <w:marTop w:val="0"/>
      <w:marBottom w:val="0"/>
      <w:divBdr>
        <w:top w:val="none" w:sz="0" w:space="0" w:color="auto"/>
        <w:left w:val="none" w:sz="0" w:space="0" w:color="auto"/>
        <w:bottom w:val="none" w:sz="0" w:space="0" w:color="auto"/>
        <w:right w:val="none" w:sz="0" w:space="0" w:color="auto"/>
      </w:divBdr>
    </w:div>
    <w:div w:id="1641106826">
      <w:bodyDiv w:val="1"/>
      <w:marLeft w:val="0"/>
      <w:marRight w:val="0"/>
      <w:marTop w:val="0"/>
      <w:marBottom w:val="0"/>
      <w:divBdr>
        <w:top w:val="none" w:sz="0" w:space="0" w:color="auto"/>
        <w:left w:val="none" w:sz="0" w:space="0" w:color="auto"/>
        <w:bottom w:val="none" w:sz="0" w:space="0" w:color="auto"/>
        <w:right w:val="none" w:sz="0" w:space="0" w:color="auto"/>
      </w:divBdr>
    </w:div>
    <w:div w:id="1643080767">
      <w:bodyDiv w:val="1"/>
      <w:marLeft w:val="0"/>
      <w:marRight w:val="0"/>
      <w:marTop w:val="0"/>
      <w:marBottom w:val="0"/>
      <w:divBdr>
        <w:top w:val="none" w:sz="0" w:space="0" w:color="auto"/>
        <w:left w:val="none" w:sz="0" w:space="0" w:color="auto"/>
        <w:bottom w:val="none" w:sz="0" w:space="0" w:color="auto"/>
        <w:right w:val="none" w:sz="0" w:space="0" w:color="auto"/>
      </w:divBdr>
    </w:div>
    <w:div w:id="1644626189">
      <w:bodyDiv w:val="1"/>
      <w:marLeft w:val="0"/>
      <w:marRight w:val="0"/>
      <w:marTop w:val="0"/>
      <w:marBottom w:val="0"/>
      <w:divBdr>
        <w:top w:val="none" w:sz="0" w:space="0" w:color="auto"/>
        <w:left w:val="none" w:sz="0" w:space="0" w:color="auto"/>
        <w:bottom w:val="none" w:sz="0" w:space="0" w:color="auto"/>
        <w:right w:val="none" w:sz="0" w:space="0" w:color="auto"/>
      </w:divBdr>
    </w:div>
    <w:div w:id="1644966671">
      <w:bodyDiv w:val="1"/>
      <w:marLeft w:val="0"/>
      <w:marRight w:val="0"/>
      <w:marTop w:val="0"/>
      <w:marBottom w:val="0"/>
      <w:divBdr>
        <w:top w:val="none" w:sz="0" w:space="0" w:color="auto"/>
        <w:left w:val="none" w:sz="0" w:space="0" w:color="auto"/>
        <w:bottom w:val="none" w:sz="0" w:space="0" w:color="auto"/>
        <w:right w:val="none" w:sz="0" w:space="0" w:color="auto"/>
      </w:divBdr>
    </w:div>
    <w:div w:id="1645041621">
      <w:bodyDiv w:val="1"/>
      <w:marLeft w:val="0"/>
      <w:marRight w:val="0"/>
      <w:marTop w:val="0"/>
      <w:marBottom w:val="0"/>
      <w:divBdr>
        <w:top w:val="none" w:sz="0" w:space="0" w:color="auto"/>
        <w:left w:val="none" w:sz="0" w:space="0" w:color="auto"/>
        <w:bottom w:val="none" w:sz="0" w:space="0" w:color="auto"/>
        <w:right w:val="none" w:sz="0" w:space="0" w:color="auto"/>
      </w:divBdr>
    </w:div>
    <w:div w:id="1646467119">
      <w:bodyDiv w:val="1"/>
      <w:marLeft w:val="0"/>
      <w:marRight w:val="0"/>
      <w:marTop w:val="0"/>
      <w:marBottom w:val="0"/>
      <w:divBdr>
        <w:top w:val="none" w:sz="0" w:space="0" w:color="auto"/>
        <w:left w:val="none" w:sz="0" w:space="0" w:color="auto"/>
        <w:bottom w:val="none" w:sz="0" w:space="0" w:color="auto"/>
        <w:right w:val="none" w:sz="0" w:space="0" w:color="auto"/>
      </w:divBdr>
    </w:div>
    <w:div w:id="1655138900">
      <w:bodyDiv w:val="1"/>
      <w:marLeft w:val="0"/>
      <w:marRight w:val="0"/>
      <w:marTop w:val="0"/>
      <w:marBottom w:val="0"/>
      <w:divBdr>
        <w:top w:val="none" w:sz="0" w:space="0" w:color="auto"/>
        <w:left w:val="none" w:sz="0" w:space="0" w:color="auto"/>
        <w:bottom w:val="none" w:sz="0" w:space="0" w:color="auto"/>
        <w:right w:val="none" w:sz="0" w:space="0" w:color="auto"/>
      </w:divBdr>
    </w:div>
    <w:div w:id="1657952858">
      <w:bodyDiv w:val="1"/>
      <w:marLeft w:val="0"/>
      <w:marRight w:val="0"/>
      <w:marTop w:val="0"/>
      <w:marBottom w:val="0"/>
      <w:divBdr>
        <w:top w:val="none" w:sz="0" w:space="0" w:color="auto"/>
        <w:left w:val="none" w:sz="0" w:space="0" w:color="auto"/>
        <w:bottom w:val="none" w:sz="0" w:space="0" w:color="auto"/>
        <w:right w:val="none" w:sz="0" w:space="0" w:color="auto"/>
      </w:divBdr>
    </w:div>
    <w:div w:id="1660844609">
      <w:bodyDiv w:val="1"/>
      <w:marLeft w:val="0"/>
      <w:marRight w:val="0"/>
      <w:marTop w:val="0"/>
      <w:marBottom w:val="0"/>
      <w:divBdr>
        <w:top w:val="none" w:sz="0" w:space="0" w:color="auto"/>
        <w:left w:val="none" w:sz="0" w:space="0" w:color="auto"/>
        <w:bottom w:val="none" w:sz="0" w:space="0" w:color="auto"/>
        <w:right w:val="none" w:sz="0" w:space="0" w:color="auto"/>
      </w:divBdr>
    </w:div>
    <w:div w:id="1661889783">
      <w:bodyDiv w:val="1"/>
      <w:marLeft w:val="0"/>
      <w:marRight w:val="0"/>
      <w:marTop w:val="0"/>
      <w:marBottom w:val="0"/>
      <w:divBdr>
        <w:top w:val="none" w:sz="0" w:space="0" w:color="auto"/>
        <w:left w:val="none" w:sz="0" w:space="0" w:color="auto"/>
        <w:bottom w:val="none" w:sz="0" w:space="0" w:color="auto"/>
        <w:right w:val="none" w:sz="0" w:space="0" w:color="auto"/>
      </w:divBdr>
    </w:div>
    <w:div w:id="1668556557">
      <w:bodyDiv w:val="1"/>
      <w:marLeft w:val="0"/>
      <w:marRight w:val="0"/>
      <w:marTop w:val="0"/>
      <w:marBottom w:val="0"/>
      <w:divBdr>
        <w:top w:val="none" w:sz="0" w:space="0" w:color="auto"/>
        <w:left w:val="none" w:sz="0" w:space="0" w:color="auto"/>
        <w:bottom w:val="none" w:sz="0" w:space="0" w:color="auto"/>
        <w:right w:val="none" w:sz="0" w:space="0" w:color="auto"/>
      </w:divBdr>
    </w:div>
    <w:div w:id="1668702396">
      <w:bodyDiv w:val="1"/>
      <w:marLeft w:val="0"/>
      <w:marRight w:val="0"/>
      <w:marTop w:val="0"/>
      <w:marBottom w:val="0"/>
      <w:divBdr>
        <w:top w:val="none" w:sz="0" w:space="0" w:color="auto"/>
        <w:left w:val="none" w:sz="0" w:space="0" w:color="auto"/>
        <w:bottom w:val="none" w:sz="0" w:space="0" w:color="auto"/>
        <w:right w:val="none" w:sz="0" w:space="0" w:color="auto"/>
      </w:divBdr>
    </w:div>
    <w:div w:id="1670063730">
      <w:bodyDiv w:val="1"/>
      <w:marLeft w:val="0"/>
      <w:marRight w:val="0"/>
      <w:marTop w:val="0"/>
      <w:marBottom w:val="0"/>
      <w:divBdr>
        <w:top w:val="none" w:sz="0" w:space="0" w:color="auto"/>
        <w:left w:val="none" w:sz="0" w:space="0" w:color="auto"/>
        <w:bottom w:val="none" w:sz="0" w:space="0" w:color="auto"/>
        <w:right w:val="none" w:sz="0" w:space="0" w:color="auto"/>
      </w:divBdr>
    </w:div>
    <w:div w:id="1671832523">
      <w:bodyDiv w:val="1"/>
      <w:marLeft w:val="0"/>
      <w:marRight w:val="0"/>
      <w:marTop w:val="0"/>
      <w:marBottom w:val="0"/>
      <w:divBdr>
        <w:top w:val="none" w:sz="0" w:space="0" w:color="auto"/>
        <w:left w:val="none" w:sz="0" w:space="0" w:color="auto"/>
        <w:bottom w:val="none" w:sz="0" w:space="0" w:color="auto"/>
        <w:right w:val="none" w:sz="0" w:space="0" w:color="auto"/>
      </w:divBdr>
    </w:div>
    <w:div w:id="1673603621">
      <w:bodyDiv w:val="1"/>
      <w:marLeft w:val="0"/>
      <w:marRight w:val="0"/>
      <w:marTop w:val="0"/>
      <w:marBottom w:val="0"/>
      <w:divBdr>
        <w:top w:val="none" w:sz="0" w:space="0" w:color="auto"/>
        <w:left w:val="none" w:sz="0" w:space="0" w:color="auto"/>
        <w:bottom w:val="none" w:sz="0" w:space="0" w:color="auto"/>
        <w:right w:val="none" w:sz="0" w:space="0" w:color="auto"/>
      </w:divBdr>
    </w:div>
    <w:div w:id="1675375847">
      <w:bodyDiv w:val="1"/>
      <w:marLeft w:val="0"/>
      <w:marRight w:val="0"/>
      <w:marTop w:val="0"/>
      <w:marBottom w:val="0"/>
      <w:divBdr>
        <w:top w:val="none" w:sz="0" w:space="0" w:color="auto"/>
        <w:left w:val="none" w:sz="0" w:space="0" w:color="auto"/>
        <w:bottom w:val="none" w:sz="0" w:space="0" w:color="auto"/>
        <w:right w:val="none" w:sz="0" w:space="0" w:color="auto"/>
      </w:divBdr>
    </w:div>
    <w:div w:id="1677266253">
      <w:bodyDiv w:val="1"/>
      <w:marLeft w:val="0"/>
      <w:marRight w:val="0"/>
      <w:marTop w:val="0"/>
      <w:marBottom w:val="0"/>
      <w:divBdr>
        <w:top w:val="none" w:sz="0" w:space="0" w:color="auto"/>
        <w:left w:val="none" w:sz="0" w:space="0" w:color="auto"/>
        <w:bottom w:val="none" w:sz="0" w:space="0" w:color="auto"/>
        <w:right w:val="none" w:sz="0" w:space="0" w:color="auto"/>
      </w:divBdr>
    </w:div>
    <w:div w:id="1678313241">
      <w:bodyDiv w:val="1"/>
      <w:marLeft w:val="0"/>
      <w:marRight w:val="0"/>
      <w:marTop w:val="0"/>
      <w:marBottom w:val="0"/>
      <w:divBdr>
        <w:top w:val="none" w:sz="0" w:space="0" w:color="auto"/>
        <w:left w:val="none" w:sz="0" w:space="0" w:color="auto"/>
        <w:bottom w:val="none" w:sz="0" w:space="0" w:color="auto"/>
        <w:right w:val="none" w:sz="0" w:space="0" w:color="auto"/>
      </w:divBdr>
    </w:div>
    <w:div w:id="1679189242">
      <w:bodyDiv w:val="1"/>
      <w:marLeft w:val="0"/>
      <w:marRight w:val="0"/>
      <w:marTop w:val="0"/>
      <w:marBottom w:val="0"/>
      <w:divBdr>
        <w:top w:val="none" w:sz="0" w:space="0" w:color="auto"/>
        <w:left w:val="none" w:sz="0" w:space="0" w:color="auto"/>
        <w:bottom w:val="none" w:sz="0" w:space="0" w:color="auto"/>
        <w:right w:val="none" w:sz="0" w:space="0" w:color="auto"/>
      </w:divBdr>
    </w:div>
    <w:div w:id="1681393361">
      <w:bodyDiv w:val="1"/>
      <w:marLeft w:val="0"/>
      <w:marRight w:val="0"/>
      <w:marTop w:val="0"/>
      <w:marBottom w:val="0"/>
      <w:divBdr>
        <w:top w:val="none" w:sz="0" w:space="0" w:color="auto"/>
        <w:left w:val="none" w:sz="0" w:space="0" w:color="auto"/>
        <w:bottom w:val="none" w:sz="0" w:space="0" w:color="auto"/>
        <w:right w:val="none" w:sz="0" w:space="0" w:color="auto"/>
      </w:divBdr>
    </w:div>
    <w:div w:id="1682200329">
      <w:bodyDiv w:val="1"/>
      <w:marLeft w:val="0"/>
      <w:marRight w:val="0"/>
      <w:marTop w:val="0"/>
      <w:marBottom w:val="0"/>
      <w:divBdr>
        <w:top w:val="none" w:sz="0" w:space="0" w:color="auto"/>
        <w:left w:val="none" w:sz="0" w:space="0" w:color="auto"/>
        <w:bottom w:val="none" w:sz="0" w:space="0" w:color="auto"/>
        <w:right w:val="none" w:sz="0" w:space="0" w:color="auto"/>
      </w:divBdr>
    </w:div>
    <w:div w:id="1682733882">
      <w:bodyDiv w:val="1"/>
      <w:marLeft w:val="0"/>
      <w:marRight w:val="0"/>
      <w:marTop w:val="0"/>
      <w:marBottom w:val="0"/>
      <w:divBdr>
        <w:top w:val="none" w:sz="0" w:space="0" w:color="auto"/>
        <w:left w:val="none" w:sz="0" w:space="0" w:color="auto"/>
        <w:bottom w:val="none" w:sz="0" w:space="0" w:color="auto"/>
        <w:right w:val="none" w:sz="0" w:space="0" w:color="auto"/>
      </w:divBdr>
    </w:div>
    <w:div w:id="1685091847">
      <w:bodyDiv w:val="1"/>
      <w:marLeft w:val="0"/>
      <w:marRight w:val="0"/>
      <w:marTop w:val="0"/>
      <w:marBottom w:val="0"/>
      <w:divBdr>
        <w:top w:val="none" w:sz="0" w:space="0" w:color="auto"/>
        <w:left w:val="none" w:sz="0" w:space="0" w:color="auto"/>
        <w:bottom w:val="none" w:sz="0" w:space="0" w:color="auto"/>
        <w:right w:val="none" w:sz="0" w:space="0" w:color="auto"/>
      </w:divBdr>
    </w:div>
    <w:div w:id="1685938928">
      <w:bodyDiv w:val="1"/>
      <w:marLeft w:val="0"/>
      <w:marRight w:val="0"/>
      <w:marTop w:val="0"/>
      <w:marBottom w:val="0"/>
      <w:divBdr>
        <w:top w:val="none" w:sz="0" w:space="0" w:color="auto"/>
        <w:left w:val="none" w:sz="0" w:space="0" w:color="auto"/>
        <w:bottom w:val="none" w:sz="0" w:space="0" w:color="auto"/>
        <w:right w:val="none" w:sz="0" w:space="0" w:color="auto"/>
      </w:divBdr>
    </w:div>
    <w:div w:id="1689210140">
      <w:bodyDiv w:val="1"/>
      <w:marLeft w:val="0"/>
      <w:marRight w:val="0"/>
      <w:marTop w:val="0"/>
      <w:marBottom w:val="0"/>
      <w:divBdr>
        <w:top w:val="none" w:sz="0" w:space="0" w:color="auto"/>
        <w:left w:val="none" w:sz="0" w:space="0" w:color="auto"/>
        <w:bottom w:val="none" w:sz="0" w:space="0" w:color="auto"/>
        <w:right w:val="none" w:sz="0" w:space="0" w:color="auto"/>
      </w:divBdr>
    </w:div>
    <w:div w:id="1692802236">
      <w:bodyDiv w:val="1"/>
      <w:marLeft w:val="0"/>
      <w:marRight w:val="0"/>
      <w:marTop w:val="0"/>
      <w:marBottom w:val="0"/>
      <w:divBdr>
        <w:top w:val="none" w:sz="0" w:space="0" w:color="auto"/>
        <w:left w:val="none" w:sz="0" w:space="0" w:color="auto"/>
        <w:bottom w:val="none" w:sz="0" w:space="0" w:color="auto"/>
        <w:right w:val="none" w:sz="0" w:space="0" w:color="auto"/>
      </w:divBdr>
    </w:div>
    <w:div w:id="1693990445">
      <w:bodyDiv w:val="1"/>
      <w:marLeft w:val="0"/>
      <w:marRight w:val="0"/>
      <w:marTop w:val="0"/>
      <w:marBottom w:val="0"/>
      <w:divBdr>
        <w:top w:val="none" w:sz="0" w:space="0" w:color="auto"/>
        <w:left w:val="none" w:sz="0" w:space="0" w:color="auto"/>
        <w:bottom w:val="none" w:sz="0" w:space="0" w:color="auto"/>
        <w:right w:val="none" w:sz="0" w:space="0" w:color="auto"/>
      </w:divBdr>
    </w:div>
    <w:div w:id="1694188702">
      <w:bodyDiv w:val="1"/>
      <w:marLeft w:val="0"/>
      <w:marRight w:val="0"/>
      <w:marTop w:val="0"/>
      <w:marBottom w:val="0"/>
      <w:divBdr>
        <w:top w:val="none" w:sz="0" w:space="0" w:color="auto"/>
        <w:left w:val="none" w:sz="0" w:space="0" w:color="auto"/>
        <w:bottom w:val="none" w:sz="0" w:space="0" w:color="auto"/>
        <w:right w:val="none" w:sz="0" w:space="0" w:color="auto"/>
      </w:divBdr>
    </w:div>
    <w:div w:id="1694457694">
      <w:bodyDiv w:val="1"/>
      <w:marLeft w:val="0"/>
      <w:marRight w:val="0"/>
      <w:marTop w:val="0"/>
      <w:marBottom w:val="0"/>
      <w:divBdr>
        <w:top w:val="none" w:sz="0" w:space="0" w:color="auto"/>
        <w:left w:val="none" w:sz="0" w:space="0" w:color="auto"/>
        <w:bottom w:val="none" w:sz="0" w:space="0" w:color="auto"/>
        <w:right w:val="none" w:sz="0" w:space="0" w:color="auto"/>
      </w:divBdr>
    </w:div>
    <w:div w:id="1694988464">
      <w:bodyDiv w:val="1"/>
      <w:marLeft w:val="0"/>
      <w:marRight w:val="0"/>
      <w:marTop w:val="0"/>
      <w:marBottom w:val="0"/>
      <w:divBdr>
        <w:top w:val="none" w:sz="0" w:space="0" w:color="auto"/>
        <w:left w:val="none" w:sz="0" w:space="0" w:color="auto"/>
        <w:bottom w:val="none" w:sz="0" w:space="0" w:color="auto"/>
        <w:right w:val="none" w:sz="0" w:space="0" w:color="auto"/>
      </w:divBdr>
    </w:div>
    <w:div w:id="1695309038">
      <w:bodyDiv w:val="1"/>
      <w:marLeft w:val="0"/>
      <w:marRight w:val="0"/>
      <w:marTop w:val="0"/>
      <w:marBottom w:val="0"/>
      <w:divBdr>
        <w:top w:val="none" w:sz="0" w:space="0" w:color="auto"/>
        <w:left w:val="none" w:sz="0" w:space="0" w:color="auto"/>
        <w:bottom w:val="none" w:sz="0" w:space="0" w:color="auto"/>
        <w:right w:val="none" w:sz="0" w:space="0" w:color="auto"/>
      </w:divBdr>
    </w:div>
    <w:div w:id="1703044778">
      <w:bodyDiv w:val="1"/>
      <w:marLeft w:val="0"/>
      <w:marRight w:val="0"/>
      <w:marTop w:val="0"/>
      <w:marBottom w:val="0"/>
      <w:divBdr>
        <w:top w:val="none" w:sz="0" w:space="0" w:color="auto"/>
        <w:left w:val="none" w:sz="0" w:space="0" w:color="auto"/>
        <w:bottom w:val="none" w:sz="0" w:space="0" w:color="auto"/>
        <w:right w:val="none" w:sz="0" w:space="0" w:color="auto"/>
      </w:divBdr>
    </w:div>
    <w:div w:id="1704401734">
      <w:bodyDiv w:val="1"/>
      <w:marLeft w:val="0"/>
      <w:marRight w:val="0"/>
      <w:marTop w:val="0"/>
      <w:marBottom w:val="0"/>
      <w:divBdr>
        <w:top w:val="none" w:sz="0" w:space="0" w:color="auto"/>
        <w:left w:val="none" w:sz="0" w:space="0" w:color="auto"/>
        <w:bottom w:val="none" w:sz="0" w:space="0" w:color="auto"/>
        <w:right w:val="none" w:sz="0" w:space="0" w:color="auto"/>
      </w:divBdr>
    </w:div>
    <w:div w:id="1711027862">
      <w:bodyDiv w:val="1"/>
      <w:marLeft w:val="0"/>
      <w:marRight w:val="0"/>
      <w:marTop w:val="0"/>
      <w:marBottom w:val="0"/>
      <w:divBdr>
        <w:top w:val="none" w:sz="0" w:space="0" w:color="auto"/>
        <w:left w:val="none" w:sz="0" w:space="0" w:color="auto"/>
        <w:bottom w:val="none" w:sz="0" w:space="0" w:color="auto"/>
        <w:right w:val="none" w:sz="0" w:space="0" w:color="auto"/>
      </w:divBdr>
    </w:div>
    <w:div w:id="1711414027">
      <w:bodyDiv w:val="1"/>
      <w:marLeft w:val="0"/>
      <w:marRight w:val="0"/>
      <w:marTop w:val="0"/>
      <w:marBottom w:val="0"/>
      <w:divBdr>
        <w:top w:val="none" w:sz="0" w:space="0" w:color="auto"/>
        <w:left w:val="none" w:sz="0" w:space="0" w:color="auto"/>
        <w:bottom w:val="none" w:sz="0" w:space="0" w:color="auto"/>
        <w:right w:val="none" w:sz="0" w:space="0" w:color="auto"/>
      </w:divBdr>
    </w:div>
    <w:div w:id="1713076300">
      <w:bodyDiv w:val="1"/>
      <w:marLeft w:val="0"/>
      <w:marRight w:val="0"/>
      <w:marTop w:val="0"/>
      <w:marBottom w:val="0"/>
      <w:divBdr>
        <w:top w:val="none" w:sz="0" w:space="0" w:color="auto"/>
        <w:left w:val="none" w:sz="0" w:space="0" w:color="auto"/>
        <w:bottom w:val="none" w:sz="0" w:space="0" w:color="auto"/>
        <w:right w:val="none" w:sz="0" w:space="0" w:color="auto"/>
      </w:divBdr>
    </w:div>
    <w:div w:id="1716807309">
      <w:bodyDiv w:val="1"/>
      <w:marLeft w:val="0"/>
      <w:marRight w:val="0"/>
      <w:marTop w:val="0"/>
      <w:marBottom w:val="0"/>
      <w:divBdr>
        <w:top w:val="none" w:sz="0" w:space="0" w:color="auto"/>
        <w:left w:val="none" w:sz="0" w:space="0" w:color="auto"/>
        <w:bottom w:val="none" w:sz="0" w:space="0" w:color="auto"/>
        <w:right w:val="none" w:sz="0" w:space="0" w:color="auto"/>
      </w:divBdr>
    </w:div>
    <w:div w:id="1721781725">
      <w:bodyDiv w:val="1"/>
      <w:marLeft w:val="0"/>
      <w:marRight w:val="0"/>
      <w:marTop w:val="0"/>
      <w:marBottom w:val="0"/>
      <w:divBdr>
        <w:top w:val="none" w:sz="0" w:space="0" w:color="auto"/>
        <w:left w:val="none" w:sz="0" w:space="0" w:color="auto"/>
        <w:bottom w:val="none" w:sz="0" w:space="0" w:color="auto"/>
        <w:right w:val="none" w:sz="0" w:space="0" w:color="auto"/>
      </w:divBdr>
    </w:div>
    <w:div w:id="1722631705">
      <w:bodyDiv w:val="1"/>
      <w:marLeft w:val="0"/>
      <w:marRight w:val="0"/>
      <w:marTop w:val="0"/>
      <w:marBottom w:val="0"/>
      <w:divBdr>
        <w:top w:val="none" w:sz="0" w:space="0" w:color="auto"/>
        <w:left w:val="none" w:sz="0" w:space="0" w:color="auto"/>
        <w:bottom w:val="none" w:sz="0" w:space="0" w:color="auto"/>
        <w:right w:val="none" w:sz="0" w:space="0" w:color="auto"/>
      </w:divBdr>
    </w:div>
    <w:div w:id="1728455364">
      <w:bodyDiv w:val="1"/>
      <w:marLeft w:val="0"/>
      <w:marRight w:val="0"/>
      <w:marTop w:val="0"/>
      <w:marBottom w:val="0"/>
      <w:divBdr>
        <w:top w:val="none" w:sz="0" w:space="0" w:color="auto"/>
        <w:left w:val="none" w:sz="0" w:space="0" w:color="auto"/>
        <w:bottom w:val="none" w:sz="0" w:space="0" w:color="auto"/>
        <w:right w:val="none" w:sz="0" w:space="0" w:color="auto"/>
      </w:divBdr>
    </w:div>
    <w:div w:id="1730036907">
      <w:bodyDiv w:val="1"/>
      <w:marLeft w:val="0"/>
      <w:marRight w:val="0"/>
      <w:marTop w:val="0"/>
      <w:marBottom w:val="0"/>
      <w:divBdr>
        <w:top w:val="none" w:sz="0" w:space="0" w:color="auto"/>
        <w:left w:val="none" w:sz="0" w:space="0" w:color="auto"/>
        <w:bottom w:val="none" w:sz="0" w:space="0" w:color="auto"/>
        <w:right w:val="none" w:sz="0" w:space="0" w:color="auto"/>
      </w:divBdr>
    </w:div>
    <w:div w:id="1732119212">
      <w:bodyDiv w:val="1"/>
      <w:marLeft w:val="0"/>
      <w:marRight w:val="0"/>
      <w:marTop w:val="0"/>
      <w:marBottom w:val="0"/>
      <w:divBdr>
        <w:top w:val="none" w:sz="0" w:space="0" w:color="auto"/>
        <w:left w:val="none" w:sz="0" w:space="0" w:color="auto"/>
        <w:bottom w:val="none" w:sz="0" w:space="0" w:color="auto"/>
        <w:right w:val="none" w:sz="0" w:space="0" w:color="auto"/>
      </w:divBdr>
    </w:div>
    <w:div w:id="1736389540">
      <w:bodyDiv w:val="1"/>
      <w:marLeft w:val="0"/>
      <w:marRight w:val="0"/>
      <w:marTop w:val="0"/>
      <w:marBottom w:val="0"/>
      <w:divBdr>
        <w:top w:val="none" w:sz="0" w:space="0" w:color="auto"/>
        <w:left w:val="none" w:sz="0" w:space="0" w:color="auto"/>
        <w:bottom w:val="none" w:sz="0" w:space="0" w:color="auto"/>
        <w:right w:val="none" w:sz="0" w:space="0" w:color="auto"/>
      </w:divBdr>
    </w:div>
    <w:div w:id="1739091277">
      <w:bodyDiv w:val="1"/>
      <w:marLeft w:val="0"/>
      <w:marRight w:val="0"/>
      <w:marTop w:val="0"/>
      <w:marBottom w:val="0"/>
      <w:divBdr>
        <w:top w:val="none" w:sz="0" w:space="0" w:color="auto"/>
        <w:left w:val="none" w:sz="0" w:space="0" w:color="auto"/>
        <w:bottom w:val="none" w:sz="0" w:space="0" w:color="auto"/>
        <w:right w:val="none" w:sz="0" w:space="0" w:color="auto"/>
      </w:divBdr>
    </w:div>
    <w:div w:id="1742098052">
      <w:bodyDiv w:val="1"/>
      <w:marLeft w:val="0"/>
      <w:marRight w:val="0"/>
      <w:marTop w:val="0"/>
      <w:marBottom w:val="0"/>
      <w:divBdr>
        <w:top w:val="none" w:sz="0" w:space="0" w:color="auto"/>
        <w:left w:val="none" w:sz="0" w:space="0" w:color="auto"/>
        <w:bottom w:val="none" w:sz="0" w:space="0" w:color="auto"/>
        <w:right w:val="none" w:sz="0" w:space="0" w:color="auto"/>
      </w:divBdr>
    </w:div>
    <w:div w:id="1747070487">
      <w:bodyDiv w:val="1"/>
      <w:marLeft w:val="0"/>
      <w:marRight w:val="0"/>
      <w:marTop w:val="0"/>
      <w:marBottom w:val="0"/>
      <w:divBdr>
        <w:top w:val="none" w:sz="0" w:space="0" w:color="auto"/>
        <w:left w:val="none" w:sz="0" w:space="0" w:color="auto"/>
        <w:bottom w:val="none" w:sz="0" w:space="0" w:color="auto"/>
        <w:right w:val="none" w:sz="0" w:space="0" w:color="auto"/>
      </w:divBdr>
    </w:div>
    <w:div w:id="1754860771">
      <w:bodyDiv w:val="1"/>
      <w:marLeft w:val="0"/>
      <w:marRight w:val="0"/>
      <w:marTop w:val="0"/>
      <w:marBottom w:val="0"/>
      <w:divBdr>
        <w:top w:val="none" w:sz="0" w:space="0" w:color="auto"/>
        <w:left w:val="none" w:sz="0" w:space="0" w:color="auto"/>
        <w:bottom w:val="none" w:sz="0" w:space="0" w:color="auto"/>
        <w:right w:val="none" w:sz="0" w:space="0" w:color="auto"/>
      </w:divBdr>
    </w:div>
    <w:div w:id="1755004695">
      <w:bodyDiv w:val="1"/>
      <w:marLeft w:val="0"/>
      <w:marRight w:val="0"/>
      <w:marTop w:val="0"/>
      <w:marBottom w:val="0"/>
      <w:divBdr>
        <w:top w:val="none" w:sz="0" w:space="0" w:color="auto"/>
        <w:left w:val="none" w:sz="0" w:space="0" w:color="auto"/>
        <w:bottom w:val="none" w:sz="0" w:space="0" w:color="auto"/>
        <w:right w:val="none" w:sz="0" w:space="0" w:color="auto"/>
      </w:divBdr>
    </w:div>
    <w:div w:id="1757480365">
      <w:bodyDiv w:val="1"/>
      <w:marLeft w:val="0"/>
      <w:marRight w:val="0"/>
      <w:marTop w:val="0"/>
      <w:marBottom w:val="0"/>
      <w:divBdr>
        <w:top w:val="none" w:sz="0" w:space="0" w:color="auto"/>
        <w:left w:val="none" w:sz="0" w:space="0" w:color="auto"/>
        <w:bottom w:val="none" w:sz="0" w:space="0" w:color="auto"/>
        <w:right w:val="none" w:sz="0" w:space="0" w:color="auto"/>
      </w:divBdr>
    </w:div>
    <w:div w:id="1758284644">
      <w:bodyDiv w:val="1"/>
      <w:marLeft w:val="0"/>
      <w:marRight w:val="0"/>
      <w:marTop w:val="0"/>
      <w:marBottom w:val="0"/>
      <w:divBdr>
        <w:top w:val="none" w:sz="0" w:space="0" w:color="auto"/>
        <w:left w:val="none" w:sz="0" w:space="0" w:color="auto"/>
        <w:bottom w:val="none" w:sz="0" w:space="0" w:color="auto"/>
        <w:right w:val="none" w:sz="0" w:space="0" w:color="auto"/>
      </w:divBdr>
    </w:div>
    <w:div w:id="1758870086">
      <w:bodyDiv w:val="1"/>
      <w:marLeft w:val="0"/>
      <w:marRight w:val="0"/>
      <w:marTop w:val="0"/>
      <w:marBottom w:val="0"/>
      <w:divBdr>
        <w:top w:val="none" w:sz="0" w:space="0" w:color="auto"/>
        <w:left w:val="none" w:sz="0" w:space="0" w:color="auto"/>
        <w:bottom w:val="none" w:sz="0" w:space="0" w:color="auto"/>
        <w:right w:val="none" w:sz="0" w:space="0" w:color="auto"/>
      </w:divBdr>
    </w:div>
    <w:div w:id="1762988252">
      <w:bodyDiv w:val="1"/>
      <w:marLeft w:val="0"/>
      <w:marRight w:val="0"/>
      <w:marTop w:val="0"/>
      <w:marBottom w:val="0"/>
      <w:divBdr>
        <w:top w:val="none" w:sz="0" w:space="0" w:color="auto"/>
        <w:left w:val="none" w:sz="0" w:space="0" w:color="auto"/>
        <w:bottom w:val="none" w:sz="0" w:space="0" w:color="auto"/>
        <w:right w:val="none" w:sz="0" w:space="0" w:color="auto"/>
      </w:divBdr>
    </w:div>
    <w:div w:id="1762988776">
      <w:bodyDiv w:val="1"/>
      <w:marLeft w:val="0"/>
      <w:marRight w:val="0"/>
      <w:marTop w:val="0"/>
      <w:marBottom w:val="0"/>
      <w:divBdr>
        <w:top w:val="none" w:sz="0" w:space="0" w:color="auto"/>
        <w:left w:val="none" w:sz="0" w:space="0" w:color="auto"/>
        <w:bottom w:val="none" w:sz="0" w:space="0" w:color="auto"/>
        <w:right w:val="none" w:sz="0" w:space="0" w:color="auto"/>
      </w:divBdr>
    </w:div>
    <w:div w:id="1763334484">
      <w:bodyDiv w:val="1"/>
      <w:marLeft w:val="0"/>
      <w:marRight w:val="0"/>
      <w:marTop w:val="0"/>
      <w:marBottom w:val="0"/>
      <w:divBdr>
        <w:top w:val="none" w:sz="0" w:space="0" w:color="auto"/>
        <w:left w:val="none" w:sz="0" w:space="0" w:color="auto"/>
        <w:bottom w:val="none" w:sz="0" w:space="0" w:color="auto"/>
        <w:right w:val="none" w:sz="0" w:space="0" w:color="auto"/>
      </w:divBdr>
    </w:div>
    <w:div w:id="1763604521">
      <w:bodyDiv w:val="1"/>
      <w:marLeft w:val="0"/>
      <w:marRight w:val="0"/>
      <w:marTop w:val="0"/>
      <w:marBottom w:val="0"/>
      <w:divBdr>
        <w:top w:val="none" w:sz="0" w:space="0" w:color="auto"/>
        <w:left w:val="none" w:sz="0" w:space="0" w:color="auto"/>
        <w:bottom w:val="none" w:sz="0" w:space="0" w:color="auto"/>
        <w:right w:val="none" w:sz="0" w:space="0" w:color="auto"/>
      </w:divBdr>
    </w:div>
    <w:div w:id="1763718057">
      <w:bodyDiv w:val="1"/>
      <w:marLeft w:val="0"/>
      <w:marRight w:val="0"/>
      <w:marTop w:val="0"/>
      <w:marBottom w:val="0"/>
      <w:divBdr>
        <w:top w:val="none" w:sz="0" w:space="0" w:color="auto"/>
        <w:left w:val="none" w:sz="0" w:space="0" w:color="auto"/>
        <w:bottom w:val="none" w:sz="0" w:space="0" w:color="auto"/>
        <w:right w:val="none" w:sz="0" w:space="0" w:color="auto"/>
      </w:divBdr>
    </w:div>
    <w:div w:id="1764299081">
      <w:bodyDiv w:val="1"/>
      <w:marLeft w:val="0"/>
      <w:marRight w:val="0"/>
      <w:marTop w:val="0"/>
      <w:marBottom w:val="0"/>
      <w:divBdr>
        <w:top w:val="none" w:sz="0" w:space="0" w:color="auto"/>
        <w:left w:val="none" w:sz="0" w:space="0" w:color="auto"/>
        <w:bottom w:val="none" w:sz="0" w:space="0" w:color="auto"/>
        <w:right w:val="none" w:sz="0" w:space="0" w:color="auto"/>
      </w:divBdr>
    </w:div>
    <w:div w:id="1765371096">
      <w:bodyDiv w:val="1"/>
      <w:marLeft w:val="0"/>
      <w:marRight w:val="0"/>
      <w:marTop w:val="0"/>
      <w:marBottom w:val="0"/>
      <w:divBdr>
        <w:top w:val="none" w:sz="0" w:space="0" w:color="auto"/>
        <w:left w:val="none" w:sz="0" w:space="0" w:color="auto"/>
        <w:bottom w:val="none" w:sz="0" w:space="0" w:color="auto"/>
        <w:right w:val="none" w:sz="0" w:space="0" w:color="auto"/>
      </w:divBdr>
    </w:div>
    <w:div w:id="1771927334">
      <w:bodyDiv w:val="1"/>
      <w:marLeft w:val="0"/>
      <w:marRight w:val="0"/>
      <w:marTop w:val="0"/>
      <w:marBottom w:val="0"/>
      <w:divBdr>
        <w:top w:val="none" w:sz="0" w:space="0" w:color="auto"/>
        <w:left w:val="none" w:sz="0" w:space="0" w:color="auto"/>
        <w:bottom w:val="none" w:sz="0" w:space="0" w:color="auto"/>
        <w:right w:val="none" w:sz="0" w:space="0" w:color="auto"/>
      </w:divBdr>
    </w:div>
    <w:div w:id="1772237636">
      <w:bodyDiv w:val="1"/>
      <w:marLeft w:val="0"/>
      <w:marRight w:val="0"/>
      <w:marTop w:val="0"/>
      <w:marBottom w:val="0"/>
      <w:divBdr>
        <w:top w:val="none" w:sz="0" w:space="0" w:color="auto"/>
        <w:left w:val="none" w:sz="0" w:space="0" w:color="auto"/>
        <w:bottom w:val="none" w:sz="0" w:space="0" w:color="auto"/>
        <w:right w:val="none" w:sz="0" w:space="0" w:color="auto"/>
      </w:divBdr>
    </w:div>
    <w:div w:id="1774351819">
      <w:bodyDiv w:val="1"/>
      <w:marLeft w:val="0"/>
      <w:marRight w:val="0"/>
      <w:marTop w:val="0"/>
      <w:marBottom w:val="0"/>
      <w:divBdr>
        <w:top w:val="none" w:sz="0" w:space="0" w:color="auto"/>
        <w:left w:val="none" w:sz="0" w:space="0" w:color="auto"/>
        <w:bottom w:val="none" w:sz="0" w:space="0" w:color="auto"/>
        <w:right w:val="none" w:sz="0" w:space="0" w:color="auto"/>
      </w:divBdr>
    </w:div>
    <w:div w:id="1774669543">
      <w:bodyDiv w:val="1"/>
      <w:marLeft w:val="0"/>
      <w:marRight w:val="0"/>
      <w:marTop w:val="0"/>
      <w:marBottom w:val="0"/>
      <w:divBdr>
        <w:top w:val="none" w:sz="0" w:space="0" w:color="auto"/>
        <w:left w:val="none" w:sz="0" w:space="0" w:color="auto"/>
        <w:bottom w:val="none" w:sz="0" w:space="0" w:color="auto"/>
        <w:right w:val="none" w:sz="0" w:space="0" w:color="auto"/>
      </w:divBdr>
    </w:div>
    <w:div w:id="1775973605">
      <w:bodyDiv w:val="1"/>
      <w:marLeft w:val="0"/>
      <w:marRight w:val="0"/>
      <w:marTop w:val="0"/>
      <w:marBottom w:val="0"/>
      <w:divBdr>
        <w:top w:val="none" w:sz="0" w:space="0" w:color="auto"/>
        <w:left w:val="none" w:sz="0" w:space="0" w:color="auto"/>
        <w:bottom w:val="none" w:sz="0" w:space="0" w:color="auto"/>
        <w:right w:val="none" w:sz="0" w:space="0" w:color="auto"/>
      </w:divBdr>
    </w:div>
    <w:div w:id="1776750669">
      <w:bodyDiv w:val="1"/>
      <w:marLeft w:val="0"/>
      <w:marRight w:val="0"/>
      <w:marTop w:val="0"/>
      <w:marBottom w:val="0"/>
      <w:divBdr>
        <w:top w:val="none" w:sz="0" w:space="0" w:color="auto"/>
        <w:left w:val="none" w:sz="0" w:space="0" w:color="auto"/>
        <w:bottom w:val="none" w:sz="0" w:space="0" w:color="auto"/>
        <w:right w:val="none" w:sz="0" w:space="0" w:color="auto"/>
      </w:divBdr>
    </w:div>
    <w:div w:id="1779176859">
      <w:bodyDiv w:val="1"/>
      <w:marLeft w:val="0"/>
      <w:marRight w:val="0"/>
      <w:marTop w:val="0"/>
      <w:marBottom w:val="0"/>
      <w:divBdr>
        <w:top w:val="none" w:sz="0" w:space="0" w:color="auto"/>
        <w:left w:val="none" w:sz="0" w:space="0" w:color="auto"/>
        <w:bottom w:val="none" w:sz="0" w:space="0" w:color="auto"/>
        <w:right w:val="none" w:sz="0" w:space="0" w:color="auto"/>
      </w:divBdr>
    </w:div>
    <w:div w:id="1779449785">
      <w:bodyDiv w:val="1"/>
      <w:marLeft w:val="0"/>
      <w:marRight w:val="0"/>
      <w:marTop w:val="0"/>
      <w:marBottom w:val="0"/>
      <w:divBdr>
        <w:top w:val="none" w:sz="0" w:space="0" w:color="auto"/>
        <w:left w:val="none" w:sz="0" w:space="0" w:color="auto"/>
        <w:bottom w:val="none" w:sz="0" w:space="0" w:color="auto"/>
        <w:right w:val="none" w:sz="0" w:space="0" w:color="auto"/>
      </w:divBdr>
    </w:div>
    <w:div w:id="1782534656">
      <w:bodyDiv w:val="1"/>
      <w:marLeft w:val="0"/>
      <w:marRight w:val="0"/>
      <w:marTop w:val="0"/>
      <w:marBottom w:val="0"/>
      <w:divBdr>
        <w:top w:val="none" w:sz="0" w:space="0" w:color="auto"/>
        <w:left w:val="none" w:sz="0" w:space="0" w:color="auto"/>
        <w:bottom w:val="none" w:sz="0" w:space="0" w:color="auto"/>
        <w:right w:val="none" w:sz="0" w:space="0" w:color="auto"/>
      </w:divBdr>
    </w:div>
    <w:div w:id="1782604835">
      <w:bodyDiv w:val="1"/>
      <w:marLeft w:val="0"/>
      <w:marRight w:val="0"/>
      <w:marTop w:val="0"/>
      <w:marBottom w:val="0"/>
      <w:divBdr>
        <w:top w:val="none" w:sz="0" w:space="0" w:color="auto"/>
        <w:left w:val="none" w:sz="0" w:space="0" w:color="auto"/>
        <w:bottom w:val="none" w:sz="0" w:space="0" w:color="auto"/>
        <w:right w:val="none" w:sz="0" w:space="0" w:color="auto"/>
      </w:divBdr>
    </w:div>
    <w:div w:id="1784424948">
      <w:bodyDiv w:val="1"/>
      <w:marLeft w:val="0"/>
      <w:marRight w:val="0"/>
      <w:marTop w:val="0"/>
      <w:marBottom w:val="0"/>
      <w:divBdr>
        <w:top w:val="none" w:sz="0" w:space="0" w:color="auto"/>
        <w:left w:val="none" w:sz="0" w:space="0" w:color="auto"/>
        <w:bottom w:val="none" w:sz="0" w:space="0" w:color="auto"/>
        <w:right w:val="none" w:sz="0" w:space="0" w:color="auto"/>
      </w:divBdr>
    </w:div>
    <w:div w:id="1792363567">
      <w:bodyDiv w:val="1"/>
      <w:marLeft w:val="0"/>
      <w:marRight w:val="0"/>
      <w:marTop w:val="0"/>
      <w:marBottom w:val="0"/>
      <w:divBdr>
        <w:top w:val="none" w:sz="0" w:space="0" w:color="auto"/>
        <w:left w:val="none" w:sz="0" w:space="0" w:color="auto"/>
        <w:bottom w:val="none" w:sz="0" w:space="0" w:color="auto"/>
        <w:right w:val="none" w:sz="0" w:space="0" w:color="auto"/>
      </w:divBdr>
    </w:div>
    <w:div w:id="1793983492">
      <w:bodyDiv w:val="1"/>
      <w:marLeft w:val="0"/>
      <w:marRight w:val="0"/>
      <w:marTop w:val="0"/>
      <w:marBottom w:val="0"/>
      <w:divBdr>
        <w:top w:val="none" w:sz="0" w:space="0" w:color="auto"/>
        <w:left w:val="none" w:sz="0" w:space="0" w:color="auto"/>
        <w:bottom w:val="none" w:sz="0" w:space="0" w:color="auto"/>
        <w:right w:val="none" w:sz="0" w:space="0" w:color="auto"/>
      </w:divBdr>
    </w:div>
    <w:div w:id="1794060332">
      <w:bodyDiv w:val="1"/>
      <w:marLeft w:val="0"/>
      <w:marRight w:val="0"/>
      <w:marTop w:val="0"/>
      <w:marBottom w:val="0"/>
      <w:divBdr>
        <w:top w:val="none" w:sz="0" w:space="0" w:color="auto"/>
        <w:left w:val="none" w:sz="0" w:space="0" w:color="auto"/>
        <w:bottom w:val="none" w:sz="0" w:space="0" w:color="auto"/>
        <w:right w:val="none" w:sz="0" w:space="0" w:color="auto"/>
      </w:divBdr>
    </w:div>
    <w:div w:id="1795902623">
      <w:bodyDiv w:val="1"/>
      <w:marLeft w:val="0"/>
      <w:marRight w:val="0"/>
      <w:marTop w:val="0"/>
      <w:marBottom w:val="0"/>
      <w:divBdr>
        <w:top w:val="none" w:sz="0" w:space="0" w:color="auto"/>
        <w:left w:val="none" w:sz="0" w:space="0" w:color="auto"/>
        <w:bottom w:val="none" w:sz="0" w:space="0" w:color="auto"/>
        <w:right w:val="none" w:sz="0" w:space="0" w:color="auto"/>
      </w:divBdr>
    </w:div>
    <w:div w:id="1798600222">
      <w:bodyDiv w:val="1"/>
      <w:marLeft w:val="0"/>
      <w:marRight w:val="0"/>
      <w:marTop w:val="0"/>
      <w:marBottom w:val="0"/>
      <w:divBdr>
        <w:top w:val="none" w:sz="0" w:space="0" w:color="auto"/>
        <w:left w:val="none" w:sz="0" w:space="0" w:color="auto"/>
        <w:bottom w:val="none" w:sz="0" w:space="0" w:color="auto"/>
        <w:right w:val="none" w:sz="0" w:space="0" w:color="auto"/>
      </w:divBdr>
    </w:div>
    <w:div w:id="1799254980">
      <w:bodyDiv w:val="1"/>
      <w:marLeft w:val="0"/>
      <w:marRight w:val="0"/>
      <w:marTop w:val="0"/>
      <w:marBottom w:val="0"/>
      <w:divBdr>
        <w:top w:val="none" w:sz="0" w:space="0" w:color="auto"/>
        <w:left w:val="none" w:sz="0" w:space="0" w:color="auto"/>
        <w:bottom w:val="none" w:sz="0" w:space="0" w:color="auto"/>
        <w:right w:val="none" w:sz="0" w:space="0" w:color="auto"/>
      </w:divBdr>
    </w:div>
    <w:div w:id="180099900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83713">
      <w:bodyDiv w:val="1"/>
      <w:marLeft w:val="0"/>
      <w:marRight w:val="0"/>
      <w:marTop w:val="0"/>
      <w:marBottom w:val="0"/>
      <w:divBdr>
        <w:top w:val="none" w:sz="0" w:space="0" w:color="auto"/>
        <w:left w:val="none" w:sz="0" w:space="0" w:color="auto"/>
        <w:bottom w:val="none" w:sz="0" w:space="0" w:color="auto"/>
        <w:right w:val="none" w:sz="0" w:space="0" w:color="auto"/>
      </w:divBdr>
    </w:div>
    <w:div w:id="1808428557">
      <w:bodyDiv w:val="1"/>
      <w:marLeft w:val="0"/>
      <w:marRight w:val="0"/>
      <w:marTop w:val="0"/>
      <w:marBottom w:val="0"/>
      <w:divBdr>
        <w:top w:val="none" w:sz="0" w:space="0" w:color="auto"/>
        <w:left w:val="none" w:sz="0" w:space="0" w:color="auto"/>
        <w:bottom w:val="none" w:sz="0" w:space="0" w:color="auto"/>
        <w:right w:val="none" w:sz="0" w:space="0" w:color="auto"/>
      </w:divBdr>
    </w:div>
    <w:div w:id="1810904053">
      <w:bodyDiv w:val="1"/>
      <w:marLeft w:val="0"/>
      <w:marRight w:val="0"/>
      <w:marTop w:val="0"/>
      <w:marBottom w:val="0"/>
      <w:divBdr>
        <w:top w:val="none" w:sz="0" w:space="0" w:color="auto"/>
        <w:left w:val="none" w:sz="0" w:space="0" w:color="auto"/>
        <w:bottom w:val="none" w:sz="0" w:space="0" w:color="auto"/>
        <w:right w:val="none" w:sz="0" w:space="0" w:color="auto"/>
      </w:divBdr>
    </w:div>
    <w:div w:id="1812482687">
      <w:bodyDiv w:val="1"/>
      <w:marLeft w:val="0"/>
      <w:marRight w:val="0"/>
      <w:marTop w:val="0"/>
      <w:marBottom w:val="0"/>
      <w:divBdr>
        <w:top w:val="none" w:sz="0" w:space="0" w:color="auto"/>
        <w:left w:val="none" w:sz="0" w:space="0" w:color="auto"/>
        <w:bottom w:val="none" w:sz="0" w:space="0" w:color="auto"/>
        <w:right w:val="none" w:sz="0" w:space="0" w:color="auto"/>
      </w:divBdr>
    </w:div>
    <w:div w:id="1812869110">
      <w:bodyDiv w:val="1"/>
      <w:marLeft w:val="0"/>
      <w:marRight w:val="0"/>
      <w:marTop w:val="0"/>
      <w:marBottom w:val="0"/>
      <w:divBdr>
        <w:top w:val="none" w:sz="0" w:space="0" w:color="auto"/>
        <w:left w:val="none" w:sz="0" w:space="0" w:color="auto"/>
        <w:bottom w:val="none" w:sz="0" w:space="0" w:color="auto"/>
        <w:right w:val="none" w:sz="0" w:space="0" w:color="auto"/>
      </w:divBdr>
    </w:div>
    <w:div w:id="1815368595">
      <w:bodyDiv w:val="1"/>
      <w:marLeft w:val="0"/>
      <w:marRight w:val="0"/>
      <w:marTop w:val="0"/>
      <w:marBottom w:val="0"/>
      <w:divBdr>
        <w:top w:val="none" w:sz="0" w:space="0" w:color="auto"/>
        <w:left w:val="none" w:sz="0" w:space="0" w:color="auto"/>
        <w:bottom w:val="none" w:sz="0" w:space="0" w:color="auto"/>
        <w:right w:val="none" w:sz="0" w:space="0" w:color="auto"/>
      </w:divBdr>
    </w:div>
    <w:div w:id="1815444732">
      <w:bodyDiv w:val="1"/>
      <w:marLeft w:val="0"/>
      <w:marRight w:val="0"/>
      <w:marTop w:val="0"/>
      <w:marBottom w:val="0"/>
      <w:divBdr>
        <w:top w:val="none" w:sz="0" w:space="0" w:color="auto"/>
        <w:left w:val="none" w:sz="0" w:space="0" w:color="auto"/>
        <w:bottom w:val="none" w:sz="0" w:space="0" w:color="auto"/>
        <w:right w:val="none" w:sz="0" w:space="0" w:color="auto"/>
      </w:divBdr>
    </w:div>
    <w:div w:id="1816222425">
      <w:bodyDiv w:val="1"/>
      <w:marLeft w:val="0"/>
      <w:marRight w:val="0"/>
      <w:marTop w:val="0"/>
      <w:marBottom w:val="0"/>
      <w:divBdr>
        <w:top w:val="none" w:sz="0" w:space="0" w:color="auto"/>
        <w:left w:val="none" w:sz="0" w:space="0" w:color="auto"/>
        <w:bottom w:val="none" w:sz="0" w:space="0" w:color="auto"/>
        <w:right w:val="none" w:sz="0" w:space="0" w:color="auto"/>
      </w:divBdr>
    </w:div>
    <w:div w:id="1818447452">
      <w:bodyDiv w:val="1"/>
      <w:marLeft w:val="0"/>
      <w:marRight w:val="0"/>
      <w:marTop w:val="0"/>
      <w:marBottom w:val="0"/>
      <w:divBdr>
        <w:top w:val="none" w:sz="0" w:space="0" w:color="auto"/>
        <w:left w:val="none" w:sz="0" w:space="0" w:color="auto"/>
        <w:bottom w:val="none" w:sz="0" w:space="0" w:color="auto"/>
        <w:right w:val="none" w:sz="0" w:space="0" w:color="auto"/>
      </w:divBdr>
    </w:div>
    <w:div w:id="1819377177">
      <w:bodyDiv w:val="1"/>
      <w:marLeft w:val="0"/>
      <w:marRight w:val="0"/>
      <w:marTop w:val="0"/>
      <w:marBottom w:val="0"/>
      <w:divBdr>
        <w:top w:val="none" w:sz="0" w:space="0" w:color="auto"/>
        <w:left w:val="none" w:sz="0" w:space="0" w:color="auto"/>
        <w:bottom w:val="none" w:sz="0" w:space="0" w:color="auto"/>
        <w:right w:val="none" w:sz="0" w:space="0" w:color="auto"/>
      </w:divBdr>
    </w:div>
    <w:div w:id="1820686554">
      <w:bodyDiv w:val="1"/>
      <w:marLeft w:val="0"/>
      <w:marRight w:val="0"/>
      <w:marTop w:val="0"/>
      <w:marBottom w:val="0"/>
      <w:divBdr>
        <w:top w:val="none" w:sz="0" w:space="0" w:color="auto"/>
        <w:left w:val="none" w:sz="0" w:space="0" w:color="auto"/>
        <w:bottom w:val="none" w:sz="0" w:space="0" w:color="auto"/>
        <w:right w:val="none" w:sz="0" w:space="0" w:color="auto"/>
      </w:divBdr>
    </w:div>
    <w:div w:id="182106917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5392318">
      <w:bodyDiv w:val="1"/>
      <w:marLeft w:val="0"/>
      <w:marRight w:val="0"/>
      <w:marTop w:val="0"/>
      <w:marBottom w:val="0"/>
      <w:divBdr>
        <w:top w:val="none" w:sz="0" w:space="0" w:color="auto"/>
        <w:left w:val="none" w:sz="0" w:space="0" w:color="auto"/>
        <w:bottom w:val="none" w:sz="0" w:space="0" w:color="auto"/>
        <w:right w:val="none" w:sz="0" w:space="0" w:color="auto"/>
      </w:divBdr>
    </w:div>
    <w:div w:id="1826509868">
      <w:bodyDiv w:val="1"/>
      <w:marLeft w:val="0"/>
      <w:marRight w:val="0"/>
      <w:marTop w:val="0"/>
      <w:marBottom w:val="0"/>
      <w:divBdr>
        <w:top w:val="none" w:sz="0" w:space="0" w:color="auto"/>
        <w:left w:val="none" w:sz="0" w:space="0" w:color="auto"/>
        <w:bottom w:val="none" w:sz="0" w:space="0" w:color="auto"/>
        <w:right w:val="none" w:sz="0" w:space="0" w:color="auto"/>
      </w:divBdr>
    </w:div>
    <w:div w:id="1832061075">
      <w:bodyDiv w:val="1"/>
      <w:marLeft w:val="0"/>
      <w:marRight w:val="0"/>
      <w:marTop w:val="0"/>
      <w:marBottom w:val="0"/>
      <w:divBdr>
        <w:top w:val="none" w:sz="0" w:space="0" w:color="auto"/>
        <w:left w:val="none" w:sz="0" w:space="0" w:color="auto"/>
        <w:bottom w:val="none" w:sz="0" w:space="0" w:color="auto"/>
        <w:right w:val="none" w:sz="0" w:space="0" w:color="auto"/>
      </w:divBdr>
    </w:div>
    <w:div w:id="1837765003">
      <w:bodyDiv w:val="1"/>
      <w:marLeft w:val="0"/>
      <w:marRight w:val="0"/>
      <w:marTop w:val="0"/>
      <w:marBottom w:val="0"/>
      <w:divBdr>
        <w:top w:val="none" w:sz="0" w:space="0" w:color="auto"/>
        <w:left w:val="none" w:sz="0" w:space="0" w:color="auto"/>
        <w:bottom w:val="none" w:sz="0" w:space="0" w:color="auto"/>
        <w:right w:val="none" w:sz="0" w:space="0" w:color="auto"/>
      </w:divBdr>
    </w:div>
    <w:div w:id="1849321558">
      <w:bodyDiv w:val="1"/>
      <w:marLeft w:val="0"/>
      <w:marRight w:val="0"/>
      <w:marTop w:val="0"/>
      <w:marBottom w:val="0"/>
      <w:divBdr>
        <w:top w:val="none" w:sz="0" w:space="0" w:color="auto"/>
        <w:left w:val="none" w:sz="0" w:space="0" w:color="auto"/>
        <w:bottom w:val="none" w:sz="0" w:space="0" w:color="auto"/>
        <w:right w:val="none" w:sz="0" w:space="0" w:color="auto"/>
      </w:divBdr>
    </w:div>
    <w:div w:id="1851677853">
      <w:bodyDiv w:val="1"/>
      <w:marLeft w:val="0"/>
      <w:marRight w:val="0"/>
      <w:marTop w:val="0"/>
      <w:marBottom w:val="0"/>
      <w:divBdr>
        <w:top w:val="none" w:sz="0" w:space="0" w:color="auto"/>
        <w:left w:val="none" w:sz="0" w:space="0" w:color="auto"/>
        <w:bottom w:val="none" w:sz="0" w:space="0" w:color="auto"/>
        <w:right w:val="none" w:sz="0" w:space="0" w:color="auto"/>
      </w:divBdr>
    </w:div>
    <w:div w:id="1856458097">
      <w:bodyDiv w:val="1"/>
      <w:marLeft w:val="0"/>
      <w:marRight w:val="0"/>
      <w:marTop w:val="0"/>
      <w:marBottom w:val="0"/>
      <w:divBdr>
        <w:top w:val="none" w:sz="0" w:space="0" w:color="auto"/>
        <w:left w:val="none" w:sz="0" w:space="0" w:color="auto"/>
        <w:bottom w:val="none" w:sz="0" w:space="0" w:color="auto"/>
        <w:right w:val="none" w:sz="0" w:space="0" w:color="auto"/>
      </w:divBdr>
    </w:div>
    <w:div w:id="1856579684">
      <w:bodyDiv w:val="1"/>
      <w:marLeft w:val="0"/>
      <w:marRight w:val="0"/>
      <w:marTop w:val="0"/>
      <w:marBottom w:val="0"/>
      <w:divBdr>
        <w:top w:val="none" w:sz="0" w:space="0" w:color="auto"/>
        <w:left w:val="none" w:sz="0" w:space="0" w:color="auto"/>
        <w:bottom w:val="none" w:sz="0" w:space="0" w:color="auto"/>
        <w:right w:val="none" w:sz="0" w:space="0" w:color="auto"/>
      </w:divBdr>
    </w:div>
    <w:div w:id="1867406333">
      <w:bodyDiv w:val="1"/>
      <w:marLeft w:val="0"/>
      <w:marRight w:val="0"/>
      <w:marTop w:val="0"/>
      <w:marBottom w:val="0"/>
      <w:divBdr>
        <w:top w:val="none" w:sz="0" w:space="0" w:color="auto"/>
        <w:left w:val="none" w:sz="0" w:space="0" w:color="auto"/>
        <w:bottom w:val="none" w:sz="0" w:space="0" w:color="auto"/>
        <w:right w:val="none" w:sz="0" w:space="0" w:color="auto"/>
      </w:divBdr>
    </w:div>
    <w:div w:id="1870604994">
      <w:bodyDiv w:val="1"/>
      <w:marLeft w:val="0"/>
      <w:marRight w:val="0"/>
      <w:marTop w:val="0"/>
      <w:marBottom w:val="0"/>
      <w:divBdr>
        <w:top w:val="none" w:sz="0" w:space="0" w:color="auto"/>
        <w:left w:val="none" w:sz="0" w:space="0" w:color="auto"/>
        <w:bottom w:val="none" w:sz="0" w:space="0" w:color="auto"/>
        <w:right w:val="none" w:sz="0" w:space="0" w:color="auto"/>
      </w:divBdr>
    </w:div>
    <w:div w:id="1875077719">
      <w:bodyDiv w:val="1"/>
      <w:marLeft w:val="0"/>
      <w:marRight w:val="0"/>
      <w:marTop w:val="0"/>
      <w:marBottom w:val="0"/>
      <w:divBdr>
        <w:top w:val="none" w:sz="0" w:space="0" w:color="auto"/>
        <w:left w:val="none" w:sz="0" w:space="0" w:color="auto"/>
        <w:bottom w:val="none" w:sz="0" w:space="0" w:color="auto"/>
        <w:right w:val="none" w:sz="0" w:space="0" w:color="auto"/>
      </w:divBdr>
    </w:div>
    <w:div w:id="1878465634">
      <w:bodyDiv w:val="1"/>
      <w:marLeft w:val="0"/>
      <w:marRight w:val="0"/>
      <w:marTop w:val="0"/>
      <w:marBottom w:val="0"/>
      <w:divBdr>
        <w:top w:val="none" w:sz="0" w:space="0" w:color="auto"/>
        <w:left w:val="none" w:sz="0" w:space="0" w:color="auto"/>
        <w:bottom w:val="none" w:sz="0" w:space="0" w:color="auto"/>
        <w:right w:val="none" w:sz="0" w:space="0" w:color="auto"/>
      </w:divBdr>
    </w:div>
    <w:div w:id="1879270921">
      <w:bodyDiv w:val="1"/>
      <w:marLeft w:val="0"/>
      <w:marRight w:val="0"/>
      <w:marTop w:val="0"/>
      <w:marBottom w:val="0"/>
      <w:divBdr>
        <w:top w:val="none" w:sz="0" w:space="0" w:color="auto"/>
        <w:left w:val="none" w:sz="0" w:space="0" w:color="auto"/>
        <w:bottom w:val="none" w:sz="0" w:space="0" w:color="auto"/>
        <w:right w:val="none" w:sz="0" w:space="0" w:color="auto"/>
      </w:divBdr>
    </w:div>
    <w:div w:id="1881433294">
      <w:bodyDiv w:val="1"/>
      <w:marLeft w:val="0"/>
      <w:marRight w:val="0"/>
      <w:marTop w:val="0"/>
      <w:marBottom w:val="0"/>
      <w:divBdr>
        <w:top w:val="none" w:sz="0" w:space="0" w:color="auto"/>
        <w:left w:val="none" w:sz="0" w:space="0" w:color="auto"/>
        <w:bottom w:val="none" w:sz="0" w:space="0" w:color="auto"/>
        <w:right w:val="none" w:sz="0" w:space="0" w:color="auto"/>
      </w:divBdr>
    </w:div>
    <w:div w:id="1882208445">
      <w:bodyDiv w:val="1"/>
      <w:marLeft w:val="0"/>
      <w:marRight w:val="0"/>
      <w:marTop w:val="0"/>
      <w:marBottom w:val="0"/>
      <w:divBdr>
        <w:top w:val="none" w:sz="0" w:space="0" w:color="auto"/>
        <w:left w:val="none" w:sz="0" w:space="0" w:color="auto"/>
        <w:bottom w:val="none" w:sz="0" w:space="0" w:color="auto"/>
        <w:right w:val="none" w:sz="0" w:space="0" w:color="auto"/>
      </w:divBdr>
    </w:div>
    <w:div w:id="1884441251">
      <w:bodyDiv w:val="1"/>
      <w:marLeft w:val="0"/>
      <w:marRight w:val="0"/>
      <w:marTop w:val="0"/>
      <w:marBottom w:val="0"/>
      <w:divBdr>
        <w:top w:val="none" w:sz="0" w:space="0" w:color="auto"/>
        <w:left w:val="none" w:sz="0" w:space="0" w:color="auto"/>
        <w:bottom w:val="none" w:sz="0" w:space="0" w:color="auto"/>
        <w:right w:val="none" w:sz="0" w:space="0" w:color="auto"/>
      </w:divBdr>
    </w:div>
    <w:div w:id="1885411851">
      <w:bodyDiv w:val="1"/>
      <w:marLeft w:val="0"/>
      <w:marRight w:val="0"/>
      <w:marTop w:val="0"/>
      <w:marBottom w:val="0"/>
      <w:divBdr>
        <w:top w:val="none" w:sz="0" w:space="0" w:color="auto"/>
        <w:left w:val="none" w:sz="0" w:space="0" w:color="auto"/>
        <w:bottom w:val="none" w:sz="0" w:space="0" w:color="auto"/>
        <w:right w:val="none" w:sz="0" w:space="0" w:color="auto"/>
      </w:divBdr>
    </w:div>
    <w:div w:id="1887140902">
      <w:bodyDiv w:val="1"/>
      <w:marLeft w:val="0"/>
      <w:marRight w:val="0"/>
      <w:marTop w:val="0"/>
      <w:marBottom w:val="0"/>
      <w:divBdr>
        <w:top w:val="none" w:sz="0" w:space="0" w:color="auto"/>
        <w:left w:val="none" w:sz="0" w:space="0" w:color="auto"/>
        <w:bottom w:val="none" w:sz="0" w:space="0" w:color="auto"/>
        <w:right w:val="none" w:sz="0" w:space="0" w:color="auto"/>
      </w:divBdr>
    </w:div>
    <w:div w:id="1887251560">
      <w:bodyDiv w:val="1"/>
      <w:marLeft w:val="0"/>
      <w:marRight w:val="0"/>
      <w:marTop w:val="0"/>
      <w:marBottom w:val="0"/>
      <w:divBdr>
        <w:top w:val="none" w:sz="0" w:space="0" w:color="auto"/>
        <w:left w:val="none" w:sz="0" w:space="0" w:color="auto"/>
        <w:bottom w:val="none" w:sz="0" w:space="0" w:color="auto"/>
        <w:right w:val="none" w:sz="0" w:space="0" w:color="auto"/>
      </w:divBdr>
    </w:div>
    <w:div w:id="1889411545">
      <w:bodyDiv w:val="1"/>
      <w:marLeft w:val="0"/>
      <w:marRight w:val="0"/>
      <w:marTop w:val="0"/>
      <w:marBottom w:val="0"/>
      <w:divBdr>
        <w:top w:val="none" w:sz="0" w:space="0" w:color="auto"/>
        <w:left w:val="none" w:sz="0" w:space="0" w:color="auto"/>
        <w:bottom w:val="none" w:sz="0" w:space="0" w:color="auto"/>
        <w:right w:val="none" w:sz="0" w:space="0" w:color="auto"/>
      </w:divBdr>
    </w:div>
    <w:div w:id="1891645733">
      <w:bodyDiv w:val="1"/>
      <w:marLeft w:val="0"/>
      <w:marRight w:val="0"/>
      <w:marTop w:val="0"/>
      <w:marBottom w:val="0"/>
      <w:divBdr>
        <w:top w:val="none" w:sz="0" w:space="0" w:color="auto"/>
        <w:left w:val="none" w:sz="0" w:space="0" w:color="auto"/>
        <w:bottom w:val="none" w:sz="0" w:space="0" w:color="auto"/>
        <w:right w:val="none" w:sz="0" w:space="0" w:color="auto"/>
      </w:divBdr>
    </w:div>
    <w:div w:id="1893350275">
      <w:bodyDiv w:val="1"/>
      <w:marLeft w:val="0"/>
      <w:marRight w:val="0"/>
      <w:marTop w:val="0"/>
      <w:marBottom w:val="0"/>
      <w:divBdr>
        <w:top w:val="none" w:sz="0" w:space="0" w:color="auto"/>
        <w:left w:val="none" w:sz="0" w:space="0" w:color="auto"/>
        <w:bottom w:val="none" w:sz="0" w:space="0" w:color="auto"/>
        <w:right w:val="none" w:sz="0" w:space="0" w:color="auto"/>
      </w:divBdr>
    </w:div>
    <w:div w:id="1894538390">
      <w:bodyDiv w:val="1"/>
      <w:marLeft w:val="0"/>
      <w:marRight w:val="0"/>
      <w:marTop w:val="0"/>
      <w:marBottom w:val="0"/>
      <w:divBdr>
        <w:top w:val="none" w:sz="0" w:space="0" w:color="auto"/>
        <w:left w:val="none" w:sz="0" w:space="0" w:color="auto"/>
        <w:bottom w:val="none" w:sz="0" w:space="0" w:color="auto"/>
        <w:right w:val="none" w:sz="0" w:space="0" w:color="auto"/>
      </w:divBdr>
    </w:div>
    <w:div w:id="1896117679">
      <w:bodyDiv w:val="1"/>
      <w:marLeft w:val="0"/>
      <w:marRight w:val="0"/>
      <w:marTop w:val="0"/>
      <w:marBottom w:val="0"/>
      <w:divBdr>
        <w:top w:val="none" w:sz="0" w:space="0" w:color="auto"/>
        <w:left w:val="none" w:sz="0" w:space="0" w:color="auto"/>
        <w:bottom w:val="none" w:sz="0" w:space="0" w:color="auto"/>
        <w:right w:val="none" w:sz="0" w:space="0" w:color="auto"/>
      </w:divBdr>
    </w:div>
    <w:div w:id="1896157172">
      <w:bodyDiv w:val="1"/>
      <w:marLeft w:val="0"/>
      <w:marRight w:val="0"/>
      <w:marTop w:val="0"/>
      <w:marBottom w:val="0"/>
      <w:divBdr>
        <w:top w:val="none" w:sz="0" w:space="0" w:color="auto"/>
        <w:left w:val="none" w:sz="0" w:space="0" w:color="auto"/>
        <w:bottom w:val="none" w:sz="0" w:space="0" w:color="auto"/>
        <w:right w:val="none" w:sz="0" w:space="0" w:color="auto"/>
      </w:divBdr>
    </w:div>
    <w:div w:id="1897399548">
      <w:bodyDiv w:val="1"/>
      <w:marLeft w:val="0"/>
      <w:marRight w:val="0"/>
      <w:marTop w:val="0"/>
      <w:marBottom w:val="0"/>
      <w:divBdr>
        <w:top w:val="none" w:sz="0" w:space="0" w:color="auto"/>
        <w:left w:val="none" w:sz="0" w:space="0" w:color="auto"/>
        <w:bottom w:val="none" w:sz="0" w:space="0" w:color="auto"/>
        <w:right w:val="none" w:sz="0" w:space="0" w:color="auto"/>
      </w:divBdr>
    </w:div>
    <w:div w:id="1898272809">
      <w:bodyDiv w:val="1"/>
      <w:marLeft w:val="0"/>
      <w:marRight w:val="0"/>
      <w:marTop w:val="0"/>
      <w:marBottom w:val="0"/>
      <w:divBdr>
        <w:top w:val="none" w:sz="0" w:space="0" w:color="auto"/>
        <w:left w:val="none" w:sz="0" w:space="0" w:color="auto"/>
        <w:bottom w:val="none" w:sz="0" w:space="0" w:color="auto"/>
        <w:right w:val="none" w:sz="0" w:space="0" w:color="auto"/>
      </w:divBdr>
    </w:div>
    <w:div w:id="1899198162">
      <w:bodyDiv w:val="1"/>
      <w:marLeft w:val="0"/>
      <w:marRight w:val="0"/>
      <w:marTop w:val="0"/>
      <w:marBottom w:val="0"/>
      <w:divBdr>
        <w:top w:val="none" w:sz="0" w:space="0" w:color="auto"/>
        <w:left w:val="none" w:sz="0" w:space="0" w:color="auto"/>
        <w:bottom w:val="none" w:sz="0" w:space="0" w:color="auto"/>
        <w:right w:val="none" w:sz="0" w:space="0" w:color="auto"/>
      </w:divBdr>
    </w:div>
    <w:div w:id="1901675817">
      <w:bodyDiv w:val="1"/>
      <w:marLeft w:val="0"/>
      <w:marRight w:val="0"/>
      <w:marTop w:val="0"/>
      <w:marBottom w:val="0"/>
      <w:divBdr>
        <w:top w:val="none" w:sz="0" w:space="0" w:color="auto"/>
        <w:left w:val="none" w:sz="0" w:space="0" w:color="auto"/>
        <w:bottom w:val="none" w:sz="0" w:space="0" w:color="auto"/>
        <w:right w:val="none" w:sz="0" w:space="0" w:color="auto"/>
      </w:divBdr>
    </w:div>
    <w:div w:id="1911959251">
      <w:bodyDiv w:val="1"/>
      <w:marLeft w:val="0"/>
      <w:marRight w:val="0"/>
      <w:marTop w:val="0"/>
      <w:marBottom w:val="0"/>
      <w:divBdr>
        <w:top w:val="none" w:sz="0" w:space="0" w:color="auto"/>
        <w:left w:val="none" w:sz="0" w:space="0" w:color="auto"/>
        <w:bottom w:val="none" w:sz="0" w:space="0" w:color="auto"/>
        <w:right w:val="none" w:sz="0" w:space="0" w:color="auto"/>
      </w:divBdr>
    </w:div>
    <w:div w:id="1912228695">
      <w:bodyDiv w:val="1"/>
      <w:marLeft w:val="0"/>
      <w:marRight w:val="0"/>
      <w:marTop w:val="0"/>
      <w:marBottom w:val="0"/>
      <w:divBdr>
        <w:top w:val="none" w:sz="0" w:space="0" w:color="auto"/>
        <w:left w:val="none" w:sz="0" w:space="0" w:color="auto"/>
        <w:bottom w:val="none" w:sz="0" w:space="0" w:color="auto"/>
        <w:right w:val="none" w:sz="0" w:space="0" w:color="auto"/>
      </w:divBdr>
    </w:div>
    <w:div w:id="1912276835">
      <w:bodyDiv w:val="1"/>
      <w:marLeft w:val="0"/>
      <w:marRight w:val="0"/>
      <w:marTop w:val="0"/>
      <w:marBottom w:val="0"/>
      <w:divBdr>
        <w:top w:val="none" w:sz="0" w:space="0" w:color="auto"/>
        <w:left w:val="none" w:sz="0" w:space="0" w:color="auto"/>
        <w:bottom w:val="none" w:sz="0" w:space="0" w:color="auto"/>
        <w:right w:val="none" w:sz="0" w:space="0" w:color="auto"/>
      </w:divBdr>
    </w:div>
    <w:div w:id="1913150895">
      <w:bodyDiv w:val="1"/>
      <w:marLeft w:val="0"/>
      <w:marRight w:val="0"/>
      <w:marTop w:val="0"/>
      <w:marBottom w:val="0"/>
      <w:divBdr>
        <w:top w:val="none" w:sz="0" w:space="0" w:color="auto"/>
        <w:left w:val="none" w:sz="0" w:space="0" w:color="auto"/>
        <w:bottom w:val="none" w:sz="0" w:space="0" w:color="auto"/>
        <w:right w:val="none" w:sz="0" w:space="0" w:color="auto"/>
      </w:divBdr>
    </w:div>
    <w:div w:id="1920630258">
      <w:bodyDiv w:val="1"/>
      <w:marLeft w:val="0"/>
      <w:marRight w:val="0"/>
      <w:marTop w:val="0"/>
      <w:marBottom w:val="0"/>
      <w:divBdr>
        <w:top w:val="none" w:sz="0" w:space="0" w:color="auto"/>
        <w:left w:val="none" w:sz="0" w:space="0" w:color="auto"/>
        <w:bottom w:val="none" w:sz="0" w:space="0" w:color="auto"/>
        <w:right w:val="none" w:sz="0" w:space="0" w:color="auto"/>
      </w:divBdr>
    </w:div>
    <w:div w:id="1923054577">
      <w:bodyDiv w:val="1"/>
      <w:marLeft w:val="0"/>
      <w:marRight w:val="0"/>
      <w:marTop w:val="0"/>
      <w:marBottom w:val="0"/>
      <w:divBdr>
        <w:top w:val="none" w:sz="0" w:space="0" w:color="auto"/>
        <w:left w:val="none" w:sz="0" w:space="0" w:color="auto"/>
        <w:bottom w:val="none" w:sz="0" w:space="0" w:color="auto"/>
        <w:right w:val="none" w:sz="0" w:space="0" w:color="auto"/>
      </w:divBdr>
    </w:div>
    <w:div w:id="1924142022">
      <w:bodyDiv w:val="1"/>
      <w:marLeft w:val="0"/>
      <w:marRight w:val="0"/>
      <w:marTop w:val="0"/>
      <w:marBottom w:val="0"/>
      <w:divBdr>
        <w:top w:val="none" w:sz="0" w:space="0" w:color="auto"/>
        <w:left w:val="none" w:sz="0" w:space="0" w:color="auto"/>
        <w:bottom w:val="none" w:sz="0" w:space="0" w:color="auto"/>
        <w:right w:val="none" w:sz="0" w:space="0" w:color="auto"/>
      </w:divBdr>
    </w:div>
    <w:div w:id="1927372716">
      <w:bodyDiv w:val="1"/>
      <w:marLeft w:val="0"/>
      <w:marRight w:val="0"/>
      <w:marTop w:val="0"/>
      <w:marBottom w:val="0"/>
      <w:divBdr>
        <w:top w:val="none" w:sz="0" w:space="0" w:color="auto"/>
        <w:left w:val="none" w:sz="0" w:space="0" w:color="auto"/>
        <w:bottom w:val="none" w:sz="0" w:space="0" w:color="auto"/>
        <w:right w:val="none" w:sz="0" w:space="0" w:color="auto"/>
      </w:divBdr>
    </w:div>
    <w:div w:id="1927768139">
      <w:bodyDiv w:val="1"/>
      <w:marLeft w:val="0"/>
      <w:marRight w:val="0"/>
      <w:marTop w:val="0"/>
      <w:marBottom w:val="0"/>
      <w:divBdr>
        <w:top w:val="none" w:sz="0" w:space="0" w:color="auto"/>
        <w:left w:val="none" w:sz="0" w:space="0" w:color="auto"/>
        <w:bottom w:val="none" w:sz="0" w:space="0" w:color="auto"/>
        <w:right w:val="none" w:sz="0" w:space="0" w:color="auto"/>
      </w:divBdr>
    </w:div>
    <w:div w:id="1932354851">
      <w:bodyDiv w:val="1"/>
      <w:marLeft w:val="0"/>
      <w:marRight w:val="0"/>
      <w:marTop w:val="0"/>
      <w:marBottom w:val="0"/>
      <w:divBdr>
        <w:top w:val="none" w:sz="0" w:space="0" w:color="auto"/>
        <w:left w:val="none" w:sz="0" w:space="0" w:color="auto"/>
        <w:bottom w:val="none" w:sz="0" w:space="0" w:color="auto"/>
        <w:right w:val="none" w:sz="0" w:space="0" w:color="auto"/>
      </w:divBdr>
    </w:div>
    <w:div w:id="1936207357">
      <w:bodyDiv w:val="1"/>
      <w:marLeft w:val="0"/>
      <w:marRight w:val="0"/>
      <w:marTop w:val="0"/>
      <w:marBottom w:val="0"/>
      <w:divBdr>
        <w:top w:val="none" w:sz="0" w:space="0" w:color="auto"/>
        <w:left w:val="none" w:sz="0" w:space="0" w:color="auto"/>
        <w:bottom w:val="none" w:sz="0" w:space="0" w:color="auto"/>
        <w:right w:val="none" w:sz="0" w:space="0" w:color="auto"/>
      </w:divBdr>
    </w:div>
    <w:div w:id="1936934050">
      <w:bodyDiv w:val="1"/>
      <w:marLeft w:val="0"/>
      <w:marRight w:val="0"/>
      <w:marTop w:val="0"/>
      <w:marBottom w:val="0"/>
      <w:divBdr>
        <w:top w:val="none" w:sz="0" w:space="0" w:color="auto"/>
        <w:left w:val="none" w:sz="0" w:space="0" w:color="auto"/>
        <w:bottom w:val="none" w:sz="0" w:space="0" w:color="auto"/>
        <w:right w:val="none" w:sz="0" w:space="0" w:color="auto"/>
      </w:divBdr>
    </w:div>
    <w:div w:id="1937250288">
      <w:bodyDiv w:val="1"/>
      <w:marLeft w:val="0"/>
      <w:marRight w:val="0"/>
      <w:marTop w:val="0"/>
      <w:marBottom w:val="0"/>
      <w:divBdr>
        <w:top w:val="none" w:sz="0" w:space="0" w:color="auto"/>
        <w:left w:val="none" w:sz="0" w:space="0" w:color="auto"/>
        <w:bottom w:val="none" w:sz="0" w:space="0" w:color="auto"/>
        <w:right w:val="none" w:sz="0" w:space="0" w:color="auto"/>
      </w:divBdr>
    </w:div>
    <w:div w:id="1946762431">
      <w:bodyDiv w:val="1"/>
      <w:marLeft w:val="0"/>
      <w:marRight w:val="0"/>
      <w:marTop w:val="0"/>
      <w:marBottom w:val="0"/>
      <w:divBdr>
        <w:top w:val="none" w:sz="0" w:space="0" w:color="auto"/>
        <w:left w:val="none" w:sz="0" w:space="0" w:color="auto"/>
        <w:bottom w:val="none" w:sz="0" w:space="0" w:color="auto"/>
        <w:right w:val="none" w:sz="0" w:space="0" w:color="auto"/>
      </w:divBdr>
    </w:div>
    <w:div w:id="1949198193">
      <w:bodyDiv w:val="1"/>
      <w:marLeft w:val="0"/>
      <w:marRight w:val="0"/>
      <w:marTop w:val="0"/>
      <w:marBottom w:val="0"/>
      <w:divBdr>
        <w:top w:val="none" w:sz="0" w:space="0" w:color="auto"/>
        <w:left w:val="none" w:sz="0" w:space="0" w:color="auto"/>
        <w:bottom w:val="none" w:sz="0" w:space="0" w:color="auto"/>
        <w:right w:val="none" w:sz="0" w:space="0" w:color="auto"/>
      </w:divBdr>
    </w:div>
    <w:div w:id="1950820762">
      <w:bodyDiv w:val="1"/>
      <w:marLeft w:val="0"/>
      <w:marRight w:val="0"/>
      <w:marTop w:val="0"/>
      <w:marBottom w:val="0"/>
      <w:divBdr>
        <w:top w:val="none" w:sz="0" w:space="0" w:color="auto"/>
        <w:left w:val="none" w:sz="0" w:space="0" w:color="auto"/>
        <w:bottom w:val="none" w:sz="0" w:space="0" w:color="auto"/>
        <w:right w:val="none" w:sz="0" w:space="0" w:color="auto"/>
      </w:divBdr>
    </w:div>
    <w:div w:id="1954435872">
      <w:bodyDiv w:val="1"/>
      <w:marLeft w:val="0"/>
      <w:marRight w:val="0"/>
      <w:marTop w:val="0"/>
      <w:marBottom w:val="0"/>
      <w:divBdr>
        <w:top w:val="none" w:sz="0" w:space="0" w:color="auto"/>
        <w:left w:val="none" w:sz="0" w:space="0" w:color="auto"/>
        <w:bottom w:val="none" w:sz="0" w:space="0" w:color="auto"/>
        <w:right w:val="none" w:sz="0" w:space="0" w:color="auto"/>
      </w:divBdr>
    </w:div>
    <w:div w:id="1956282140">
      <w:bodyDiv w:val="1"/>
      <w:marLeft w:val="0"/>
      <w:marRight w:val="0"/>
      <w:marTop w:val="0"/>
      <w:marBottom w:val="0"/>
      <w:divBdr>
        <w:top w:val="none" w:sz="0" w:space="0" w:color="auto"/>
        <w:left w:val="none" w:sz="0" w:space="0" w:color="auto"/>
        <w:bottom w:val="none" w:sz="0" w:space="0" w:color="auto"/>
        <w:right w:val="none" w:sz="0" w:space="0" w:color="auto"/>
      </w:divBdr>
    </w:div>
    <w:div w:id="1959950230">
      <w:bodyDiv w:val="1"/>
      <w:marLeft w:val="0"/>
      <w:marRight w:val="0"/>
      <w:marTop w:val="0"/>
      <w:marBottom w:val="0"/>
      <w:divBdr>
        <w:top w:val="none" w:sz="0" w:space="0" w:color="auto"/>
        <w:left w:val="none" w:sz="0" w:space="0" w:color="auto"/>
        <w:bottom w:val="none" w:sz="0" w:space="0" w:color="auto"/>
        <w:right w:val="none" w:sz="0" w:space="0" w:color="auto"/>
      </w:divBdr>
    </w:div>
    <w:div w:id="1961720865">
      <w:bodyDiv w:val="1"/>
      <w:marLeft w:val="0"/>
      <w:marRight w:val="0"/>
      <w:marTop w:val="0"/>
      <w:marBottom w:val="0"/>
      <w:divBdr>
        <w:top w:val="none" w:sz="0" w:space="0" w:color="auto"/>
        <w:left w:val="none" w:sz="0" w:space="0" w:color="auto"/>
        <w:bottom w:val="none" w:sz="0" w:space="0" w:color="auto"/>
        <w:right w:val="none" w:sz="0" w:space="0" w:color="auto"/>
      </w:divBdr>
    </w:div>
    <w:div w:id="1962296689">
      <w:bodyDiv w:val="1"/>
      <w:marLeft w:val="0"/>
      <w:marRight w:val="0"/>
      <w:marTop w:val="0"/>
      <w:marBottom w:val="0"/>
      <w:divBdr>
        <w:top w:val="none" w:sz="0" w:space="0" w:color="auto"/>
        <w:left w:val="none" w:sz="0" w:space="0" w:color="auto"/>
        <w:bottom w:val="none" w:sz="0" w:space="0" w:color="auto"/>
        <w:right w:val="none" w:sz="0" w:space="0" w:color="auto"/>
      </w:divBdr>
    </w:div>
    <w:div w:id="1962832793">
      <w:bodyDiv w:val="1"/>
      <w:marLeft w:val="0"/>
      <w:marRight w:val="0"/>
      <w:marTop w:val="0"/>
      <w:marBottom w:val="0"/>
      <w:divBdr>
        <w:top w:val="none" w:sz="0" w:space="0" w:color="auto"/>
        <w:left w:val="none" w:sz="0" w:space="0" w:color="auto"/>
        <w:bottom w:val="none" w:sz="0" w:space="0" w:color="auto"/>
        <w:right w:val="none" w:sz="0" w:space="0" w:color="auto"/>
      </w:divBdr>
    </w:div>
    <w:div w:id="1964338804">
      <w:bodyDiv w:val="1"/>
      <w:marLeft w:val="0"/>
      <w:marRight w:val="0"/>
      <w:marTop w:val="0"/>
      <w:marBottom w:val="0"/>
      <w:divBdr>
        <w:top w:val="none" w:sz="0" w:space="0" w:color="auto"/>
        <w:left w:val="none" w:sz="0" w:space="0" w:color="auto"/>
        <w:bottom w:val="none" w:sz="0" w:space="0" w:color="auto"/>
        <w:right w:val="none" w:sz="0" w:space="0" w:color="auto"/>
      </w:divBdr>
    </w:div>
    <w:div w:id="1965110744">
      <w:bodyDiv w:val="1"/>
      <w:marLeft w:val="0"/>
      <w:marRight w:val="0"/>
      <w:marTop w:val="0"/>
      <w:marBottom w:val="0"/>
      <w:divBdr>
        <w:top w:val="none" w:sz="0" w:space="0" w:color="auto"/>
        <w:left w:val="none" w:sz="0" w:space="0" w:color="auto"/>
        <w:bottom w:val="none" w:sz="0" w:space="0" w:color="auto"/>
        <w:right w:val="none" w:sz="0" w:space="0" w:color="auto"/>
      </w:divBdr>
    </w:div>
    <w:div w:id="1966347604">
      <w:bodyDiv w:val="1"/>
      <w:marLeft w:val="0"/>
      <w:marRight w:val="0"/>
      <w:marTop w:val="0"/>
      <w:marBottom w:val="0"/>
      <w:divBdr>
        <w:top w:val="none" w:sz="0" w:space="0" w:color="auto"/>
        <w:left w:val="none" w:sz="0" w:space="0" w:color="auto"/>
        <w:bottom w:val="none" w:sz="0" w:space="0" w:color="auto"/>
        <w:right w:val="none" w:sz="0" w:space="0" w:color="auto"/>
      </w:divBdr>
    </w:div>
    <w:div w:id="1974171991">
      <w:bodyDiv w:val="1"/>
      <w:marLeft w:val="0"/>
      <w:marRight w:val="0"/>
      <w:marTop w:val="0"/>
      <w:marBottom w:val="0"/>
      <w:divBdr>
        <w:top w:val="none" w:sz="0" w:space="0" w:color="auto"/>
        <w:left w:val="none" w:sz="0" w:space="0" w:color="auto"/>
        <w:bottom w:val="none" w:sz="0" w:space="0" w:color="auto"/>
        <w:right w:val="none" w:sz="0" w:space="0" w:color="auto"/>
      </w:divBdr>
    </w:div>
    <w:div w:id="1982806273">
      <w:bodyDiv w:val="1"/>
      <w:marLeft w:val="0"/>
      <w:marRight w:val="0"/>
      <w:marTop w:val="0"/>
      <w:marBottom w:val="0"/>
      <w:divBdr>
        <w:top w:val="none" w:sz="0" w:space="0" w:color="auto"/>
        <w:left w:val="none" w:sz="0" w:space="0" w:color="auto"/>
        <w:bottom w:val="none" w:sz="0" w:space="0" w:color="auto"/>
        <w:right w:val="none" w:sz="0" w:space="0" w:color="auto"/>
      </w:divBdr>
    </w:div>
    <w:div w:id="1983077956">
      <w:bodyDiv w:val="1"/>
      <w:marLeft w:val="0"/>
      <w:marRight w:val="0"/>
      <w:marTop w:val="0"/>
      <w:marBottom w:val="0"/>
      <w:divBdr>
        <w:top w:val="none" w:sz="0" w:space="0" w:color="auto"/>
        <w:left w:val="none" w:sz="0" w:space="0" w:color="auto"/>
        <w:bottom w:val="none" w:sz="0" w:space="0" w:color="auto"/>
        <w:right w:val="none" w:sz="0" w:space="0" w:color="auto"/>
      </w:divBdr>
    </w:div>
    <w:div w:id="1983388056">
      <w:bodyDiv w:val="1"/>
      <w:marLeft w:val="0"/>
      <w:marRight w:val="0"/>
      <w:marTop w:val="0"/>
      <w:marBottom w:val="0"/>
      <w:divBdr>
        <w:top w:val="none" w:sz="0" w:space="0" w:color="auto"/>
        <w:left w:val="none" w:sz="0" w:space="0" w:color="auto"/>
        <w:bottom w:val="none" w:sz="0" w:space="0" w:color="auto"/>
        <w:right w:val="none" w:sz="0" w:space="0" w:color="auto"/>
      </w:divBdr>
    </w:div>
    <w:div w:id="1990744394">
      <w:bodyDiv w:val="1"/>
      <w:marLeft w:val="0"/>
      <w:marRight w:val="0"/>
      <w:marTop w:val="0"/>
      <w:marBottom w:val="0"/>
      <w:divBdr>
        <w:top w:val="none" w:sz="0" w:space="0" w:color="auto"/>
        <w:left w:val="none" w:sz="0" w:space="0" w:color="auto"/>
        <w:bottom w:val="none" w:sz="0" w:space="0" w:color="auto"/>
        <w:right w:val="none" w:sz="0" w:space="0" w:color="auto"/>
      </w:divBdr>
    </w:div>
    <w:div w:id="1991981546">
      <w:bodyDiv w:val="1"/>
      <w:marLeft w:val="0"/>
      <w:marRight w:val="0"/>
      <w:marTop w:val="0"/>
      <w:marBottom w:val="0"/>
      <w:divBdr>
        <w:top w:val="none" w:sz="0" w:space="0" w:color="auto"/>
        <w:left w:val="none" w:sz="0" w:space="0" w:color="auto"/>
        <w:bottom w:val="none" w:sz="0" w:space="0" w:color="auto"/>
        <w:right w:val="none" w:sz="0" w:space="0" w:color="auto"/>
      </w:divBdr>
    </w:div>
    <w:div w:id="1992366985">
      <w:bodyDiv w:val="1"/>
      <w:marLeft w:val="0"/>
      <w:marRight w:val="0"/>
      <w:marTop w:val="0"/>
      <w:marBottom w:val="0"/>
      <w:divBdr>
        <w:top w:val="none" w:sz="0" w:space="0" w:color="auto"/>
        <w:left w:val="none" w:sz="0" w:space="0" w:color="auto"/>
        <w:bottom w:val="none" w:sz="0" w:space="0" w:color="auto"/>
        <w:right w:val="none" w:sz="0" w:space="0" w:color="auto"/>
      </w:divBdr>
    </w:div>
    <w:div w:id="1999267202">
      <w:bodyDiv w:val="1"/>
      <w:marLeft w:val="0"/>
      <w:marRight w:val="0"/>
      <w:marTop w:val="0"/>
      <w:marBottom w:val="0"/>
      <w:divBdr>
        <w:top w:val="none" w:sz="0" w:space="0" w:color="auto"/>
        <w:left w:val="none" w:sz="0" w:space="0" w:color="auto"/>
        <w:bottom w:val="none" w:sz="0" w:space="0" w:color="auto"/>
        <w:right w:val="none" w:sz="0" w:space="0" w:color="auto"/>
      </w:divBdr>
    </w:div>
    <w:div w:id="2000494269">
      <w:bodyDiv w:val="1"/>
      <w:marLeft w:val="0"/>
      <w:marRight w:val="0"/>
      <w:marTop w:val="0"/>
      <w:marBottom w:val="0"/>
      <w:divBdr>
        <w:top w:val="none" w:sz="0" w:space="0" w:color="auto"/>
        <w:left w:val="none" w:sz="0" w:space="0" w:color="auto"/>
        <w:bottom w:val="none" w:sz="0" w:space="0" w:color="auto"/>
        <w:right w:val="none" w:sz="0" w:space="0" w:color="auto"/>
      </w:divBdr>
    </w:div>
    <w:div w:id="2001346191">
      <w:bodyDiv w:val="1"/>
      <w:marLeft w:val="0"/>
      <w:marRight w:val="0"/>
      <w:marTop w:val="0"/>
      <w:marBottom w:val="0"/>
      <w:divBdr>
        <w:top w:val="none" w:sz="0" w:space="0" w:color="auto"/>
        <w:left w:val="none" w:sz="0" w:space="0" w:color="auto"/>
        <w:bottom w:val="none" w:sz="0" w:space="0" w:color="auto"/>
        <w:right w:val="none" w:sz="0" w:space="0" w:color="auto"/>
      </w:divBdr>
    </w:div>
    <w:div w:id="2004115236">
      <w:bodyDiv w:val="1"/>
      <w:marLeft w:val="0"/>
      <w:marRight w:val="0"/>
      <w:marTop w:val="0"/>
      <w:marBottom w:val="0"/>
      <w:divBdr>
        <w:top w:val="none" w:sz="0" w:space="0" w:color="auto"/>
        <w:left w:val="none" w:sz="0" w:space="0" w:color="auto"/>
        <w:bottom w:val="none" w:sz="0" w:space="0" w:color="auto"/>
        <w:right w:val="none" w:sz="0" w:space="0" w:color="auto"/>
      </w:divBdr>
    </w:div>
    <w:div w:id="2014450667">
      <w:bodyDiv w:val="1"/>
      <w:marLeft w:val="0"/>
      <w:marRight w:val="0"/>
      <w:marTop w:val="0"/>
      <w:marBottom w:val="0"/>
      <w:divBdr>
        <w:top w:val="none" w:sz="0" w:space="0" w:color="auto"/>
        <w:left w:val="none" w:sz="0" w:space="0" w:color="auto"/>
        <w:bottom w:val="none" w:sz="0" w:space="0" w:color="auto"/>
        <w:right w:val="none" w:sz="0" w:space="0" w:color="auto"/>
      </w:divBdr>
    </w:div>
    <w:div w:id="2015565771">
      <w:bodyDiv w:val="1"/>
      <w:marLeft w:val="0"/>
      <w:marRight w:val="0"/>
      <w:marTop w:val="0"/>
      <w:marBottom w:val="0"/>
      <w:divBdr>
        <w:top w:val="none" w:sz="0" w:space="0" w:color="auto"/>
        <w:left w:val="none" w:sz="0" w:space="0" w:color="auto"/>
        <w:bottom w:val="none" w:sz="0" w:space="0" w:color="auto"/>
        <w:right w:val="none" w:sz="0" w:space="0" w:color="auto"/>
      </w:divBdr>
    </w:div>
    <w:div w:id="2017153419">
      <w:bodyDiv w:val="1"/>
      <w:marLeft w:val="0"/>
      <w:marRight w:val="0"/>
      <w:marTop w:val="0"/>
      <w:marBottom w:val="0"/>
      <w:divBdr>
        <w:top w:val="none" w:sz="0" w:space="0" w:color="auto"/>
        <w:left w:val="none" w:sz="0" w:space="0" w:color="auto"/>
        <w:bottom w:val="none" w:sz="0" w:space="0" w:color="auto"/>
        <w:right w:val="none" w:sz="0" w:space="0" w:color="auto"/>
      </w:divBdr>
    </w:div>
    <w:div w:id="2018460911">
      <w:bodyDiv w:val="1"/>
      <w:marLeft w:val="0"/>
      <w:marRight w:val="0"/>
      <w:marTop w:val="0"/>
      <w:marBottom w:val="0"/>
      <w:divBdr>
        <w:top w:val="none" w:sz="0" w:space="0" w:color="auto"/>
        <w:left w:val="none" w:sz="0" w:space="0" w:color="auto"/>
        <w:bottom w:val="none" w:sz="0" w:space="0" w:color="auto"/>
        <w:right w:val="none" w:sz="0" w:space="0" w:color="auto"/>
      </w:divBdr>
    </w:div>
    <w:div w:id="2019426527">
      <w:bodyDiv w:val="1"/>
      <w:marLeft w:val="0"/>
      <w:marRight w:val="0"/>
      <w:marTop w:val="0"/>
      <w:marBottom w:val="0"/>
      <w:divBdr>
        <w:top w:val="none" w:sz="0" w:space="0" w:color="auto"/>
        <w:left w:val="none" w:sz="0" w:space="0" w:color="auto"/>
        <w:bottom w:val="none" w:sz="0" w:space="0" w:color="auto"/>
        <w:right w:val="none" w:sz="0" w:space="0" w:color="auto"/>
      </w:divBdr>
    </w:div>
    <w:div w:id="2021467008">
      <w:bodyDiv w:val="1"/>
      <w:marLeft w:val="0"/>
      <w:marRight w:val="0"/>
      <w:marTop w:val="0"/>
      <w:marBottom w:val="0"/>
      <w:divBdr>
        <w:top w:val="none" w:sz="0" w:space="0" w:color="auto"/>
        <w:left w:val="none" w:sz="0" w:space="0" w:color="auto"/>
        <w:bottom w:val="none" w:sz="0" w:space="0" w:color="auto"/>
        <w:right w:val="none" w:sz="0" w:space="0" w:color="auto"/>
      </w:divBdr>
    </w:div>
    <w:div w:id="2024820347">
      <w:bodyDiv w:val="1"/>
      <w:marLeft w:val="0"/>
      <w:marRight w:val="0"/>
      <w:marTop w:val="0"/>
      <w:marBottom w:val="0"/>
      <w:divBdr>
        <w:top w:val="none" w:sz="0" w:space="0" w:color="auto"/>
        <w:left w:val="none" w:sz="0" w:space="0" w:color="auto"/>
        <w:bottom w:val="none" w:sz="0" w:space="0" w:color="auto"/>
        <w:right w:val="none" w:sz="0" w:space="0" w:color="auto"/>
      </w:divBdr>
    </w:div>
    <w:div w:id="2025476397">
      <w:bodyDiv w:val="1"/>
      <w:marLeft w:val="0"/>
      <w:marRight w:val="0"/>
      <w:marTop w:val="0"/>
      <w:marBottom w:val="0"/>
      <w:divBdr>
        <w:top w:val="none" w:sz="0" w:space="0" w:color="auto"/>
        <w:left w:val="none" w:sz="0" w:space="0" w:color="auto"/>
        <w:bottom w:val="none" w:sz="0" w:space="0" w:color="auto"/>
        <w:right w:val="none" w:sz="0" w:space="0" w:color="auto"/>
      </w:divBdr>
    </w:div>
    <w:div w:id="2025815476">
      <w:bodyDiv w:val="1"/>
      <w:marLeft w:val="0"/>
      <w:marRight w:val="0"/>
      <w:marTop w:val="0"/>
      <w:marBottom w:val="0"/>
      <w:divBdr>
        <w:top w:val="none" w:sz="0" w:space="0" w:color="auto"/>
        <w:left w:val="none" w:sz="0" w:space="0" w:color="auto"/>
        <w:bottom w:val="none" w:sz="0" w:space="0" w:color="auto"/>
        <w:right w:val="none" w:sz="0" w:space="0" w:color="auto"/>
      </w:divBdr>
    </w:div>
    <w:div w:id="2026319528">
      <w:bodyDiv w:val="1"/>
      <w:marLeft w:val="0"/>
      <w:marRight w:val="0"/>
      <w:marTop w:val="0"/>
      <w:marBottom w:val="0"/>
      <w:divBdr>
        <w:top w:val="none" w:sz="0" w:space="0" w:color="auto"/>
        <w:left w:val="none" w:sz="0" w:space="0" w:color="auto"/>
        <w:bottom w:val="none" w:sz="0" w:space="0" w:color="auto"/>
        <w:right w:val="none" w:sz="0" w:space="0" w:color="auto"/>
      </w:divBdr>
    </w:div>
    <w:div w:id="2026978943">
      <w:bodyDiv w:val="1"/>
      <w:marLeft w:val="0"/>
      <w:marRight w:val="0"/>
      <w:marTop w:val="0"/>
      <w:marBottom w:val="0"/>
      <w:divBdr>
        <w:top w:val="none" w:sz="0" w:space="0" w:color="auto"/>
        <w:left w:val="none" w:sz="0" w:space="0" w:color="auto"/>
        <w:bottom w:val="none" w:sz="0" w:space="0" w:color="auto"/>
        <w:right w:val="none" w:sz="0" w:space="0" w:color="auto"/>
      </w:divBdr>
    </w:div>
    <w:div w:id="2027367589">
      <w:bodyDiv w:val="1"/>
      <w:marLeft w:val="0"/>
      <w:marRight w:val="0"/>
      <w:marTop w:val="0"/>
      <w:marBottom w:val="0"/>
      <w:divBdr>
        <w:top w:val="none" w:sz="0" w:space="0" w:color="auto"/>
        <w:left w:val="none" w:sz="0" w:space="0" w:color="auto"/>
        <w:bottom w:val="none" w:sz="0" w:space="0" w:color="auto"/>
        <w:right w:val="none" w:sz="0" w:space="0" w:color="auto"/>
      </w:divBdr>
    </w:div>
    <w:div w:id="2034379258">
      <w:bodyDiv w:val="1"/>
      <w:marLeft w:val="0"/>
      <w:marRight w:val="0"/>
      <w:marTop w:val="0"/>
      <w:marBottom w:val="0"/>
      <w:divBdr>
        <w:top w:val="none" w:sz="0" w:space="0" w:color="auto"/>
        <w:left w:val="none" w:sz="0" w:space="0" w:color="auto"/>
        <w:bottom w:val="none" w:sz="0" w:space="0" w:color="auto"/>
        <w:right w:val="none" w:sz="0" w:space="0" w:color="auto"/>
      </w:divBdr>
    </w:div>
    <w:div w:id="2035301869">
      <w:bodyDiv w:val="1"/>
      <w:marLeft w:val="0"/>
      <w:marRight w:val="0"/>
      <w:marTop w:val="0"/>
      <w:marBottom w:val="0"/>
      <w:divBdr>
        <w:top w:val="none" w:sz="0" w:space="0" w:color="auto"/>
        <w:left w:val="none" w:sz="0" w:space="0" w:color="auto"/>
        <w:bottom w:val="none" w:sz="0" w:space="0" w:color="auto"/>
        <w:right w:val="none" w:sz="0" w:space="0" w:color="auto"/>
      </w:divBdr>
    </w:div>
    <w:div w:id="2035768856">
      <w:bodyDiv w:val="1"/>
      <w:marLeft w:val="0"/>
      <w:marRight w:val="0"/>
      <w:marTop w:val="0"/>
      <w:marBottom w:val="0"/>
      <w:divBdr>
        <w:top w:val="none" w:sz="0" w:space="0" w:color="auto"/>
        <w:left w:val="none" w:sz="0" w:space="0" w:color="auto"/>
        <w:bottom w:val="none" w:sz="0" w:space="0" w:color="auto"/>
        <w:right w:val="none" w:sz="0" w:space="0" w:color="auto"/>
      </w:divBdr>
    </w:div>
    <w:div w:id="2037198081">
      <w:bodyDiv w:val="1"/>
      <w:marLeft w:val="0"/>
      <w:marRight w:val="0"/>
      <w:marTop w:val="0"/>
      <w:marBottom w:val="0"/>
      <w:divBdr>
        <w:top w:val="none" w:sz="0" w:space="0" w:color="auto"/>
        <w:left w:val="none" w:sz="0" w:space="0" w:color="auto"/>
        <w:bottom w:val="none" w:sz="0" w:space="0" w:color="auto"/>
        <w:right w:val="none" w:sz="0" w:space="0" w:color="auto"/>
      </w:divBdr>
    </w:div>
    <w:div w:id="2048941954">
      <w:bodyDiv w:val="1"/>
      <w:marLeft w:val="0"/>
      <w:marRight w:val="0"/>
      <w:marTop w:val="0"/>
      <w:marBottom w:val="0"/>
      <w:divBdr>
        <w:top w:val="none" w:sz="0" w:space="0" w:color="auto"/>
        <w:left w:val="none" w:sz="0" w:space="0" w:color="auto"/>
        <w:bottom w:val="none" w:sz="0" w:space="0" w:color="auto"/>
        <w:right w:val="none" w:sz="0" w:space="0" w:color="auto"/>
      </w:divBdr>
    </w:div>
    <w:div w:id="2066635029">
      <w:bodyDiv w:val="1"/>
      <w:marLeft w:val="0"/>
      <w:marRight w:val="0"/>
      <w:marTop w:val="0"/>
      <w:marBottom w:val="0"/>
      <w:divBdr>
        <w:top w:val="none" w:sz="0" w:space="0" w:color="auto"/>
        <w:left w:val="none" w:sz="0" w:space="0" w:color="auto"/>
        <w:bottom w:val="none" w:sz="0" w:space="0" w:color="auto"/>
        <w:right w:val="none" w:sz="0" w:space="0" w:color="auto"/>
      </w:divBdr>
    </w:div>
    <w:div w:id="2068331491">
      <w:bodyDiv w:val="1"/>
      <w:marLeft w:val="0"/>
      <w:marRight w:val="0"/>
      <w:marTop w:val="0"/>
      <w:marBottom w:val="0"/>
      <w:divBdr>
        <w:top w:val="none" w:sz="0" w:space="0" w:color="auto"/>
        <w:left w:val="none" w:sz="0" w:space="0" w:color="auto"/>
        <w:bottom w:val="none" w:sz="0" w:space="0" w:color="auto"/>
        <w:right w:val="none" w:sz="0" w:space="0" w:color="auto"/>
      </w:divBdr>
    </w:div>
    <w:div w:id="2070417054">
      <w:bodyDiv w:val="1"/>
      <w:marLeft w:val="0"/>
      <w:marRight w:val="0"/>
      <w:marTop w:val="0"/>
      <w:marBottom w:val="0"/>
      <w:divBdr>
        <w:top w:val="none" w:sz="0" w:space="0" w:color="auto"/>
        <w:left w:val="none" w:sz="0" w:space="0" w:color="auto"/>
        <w:bottom w:val="none" w:sz="0" w:space="0" w:color="auto"/>
        <w:right w:val="none" w:sz="0" w:space="0" w:color="auto"/>
      </w:divBdr>
    </w:div>
    <w:div w:id="2070496112">
      <w:bodyDiv w:val="1"/>
      <w:marLeft w:val="0"/>
      <w:marRight w:val="0"/>
      <w:marTop w:val="0"/>
      <w:marBottom w:val="0"/>
      <w:divBdr>
        <w:top w:val="none" w:sz="0" w:space="0" w:color="auto"/>
        <w:left w:val="none" w:sz="0" w:space="0" w:color="auto"/>
        <w:bottom w:val="none" w:sz="0" w:space="0" w:color="auto"/>
        <w:right w:val="none" w:sz="0" w:space="0" w:color="auto"/>
      </w:divBdr>
    </w:div>
    <w:div w:id="2074306227">
      <w:bodyDiv w:val="1"/>
      <w:marLeft w:val="0"/>
      <w:marRight w:val="0"/>
      <w:marTop w:val="0"/>
      <w:marBottom w:val="0"/>
      <w:divBdr>
        <w:top w:val="none" w:sz="0" w:space="0" w:color="auto"/>
        <w:left w:val="none" w:sz="0" w:space="0" w:color="auto"/>
        <w:bottom w:val="none" w:sz="0" w:space="0" w:color="auto"/>
        <w:right w:val="none" w:sz="0" w:space="0" w:color="auto"/>
      </w:divBdr>
    </w:div>
    <w:div w:id="2074355336">
      <w:bodyDiv w:val="1"/>
      <w:marLeft w:val="0"/>
      <w:marRight w:val="0"/>
      <w:marTop w:val="0"/>
      <w:marBottom w:val="0"/>
      <w:divBdr>
        <w:top w:val="none" w:sz="0" w:space="0" w:color="auto"/>
        <w:left w:val="none" w:sz="0" w:space="0" w:color="auto"/>
        <w:bottom w:val="none" w:sz="0" w:space="0" w:color="auto"/>
        <w:right w:val="none" w:sz="0" w:space="0" w:color="auto"/>
      </w:divBdr>
    </w:div>
    <w:div w:id="2076510496">
      <w:bodyDiv w:val="1"/>
      <w:marLeft w:val="0"/>
      <w:marRight w:val="0"/>
      <w:marTop w:val="0"/>
      <w:marBottom w:val="0"/>
      <w:divBdr>
        <w:top w:val="none" w:sz="0" w:space="0" w:color="auto"/>
        <w:left w:val="none" w:sz="0" w:space="0" w:color="auto"/>
        <w:bottom w:val="none" w:sz="0" w:space="0" w:color="auto"/>
        <w:right w:val="none" w:sz="0" w:space="0" w:color="auto"/>
      </w:divBdr>
    </w:div>
    <w:div w:id="2080864541">
      <w:bodyDiv w:val="1"/>
      <w:marLeft w:val="0"/>
      <w:marRight w:val="0"/>
      <w:marTop w:val="0"/>
      <w:marBottom w:val="0"/>
      <w:divBdr>
        <w:top w:val="none" w:sz="0" w:space="0" w:color="auto"/>
        <w:left w:val="none" w:sz="0" w:space="0" w:color="auto"/>
        <w:bottom w:val="none" w:sz="0" w:space="0" w:color="auto"/>
        <w:right w:val="none" w:sz="0" w:space="0" w:color="auto"/>
      </w:divBdr>
    </w:div>
    <w:div w:id="2080904609">
      <w:bodyDiv w:val="1"/>
      <w:marLeft w:val="0"/>
      <w:marRight w:val="0"/>
      <w:marTop w:val="0"/>
      <w:marBottom w:val="0"/>
      <w:divBdr>
        <w:top w:val="none" w:sz="0" w:space="0" w:color="auto"/>
        <w:left w:val="none" w:sz="0" w:space="0" w:color="auto"/>
        <w:bottom w:val="none" w:sz="0" w:space="0" w:color="auto"/>
        <w:right w:val="none" w:sz="0" w:space="0" w:color="auto"/>
      </w:divBdr>
    </w:div>
    <w:div w:id="208432764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262272">
      <w:bodyDiv w:val="1"/>
      <w:marLeft w:val="0"/>
      <w:marRight w:val="0"/>
      <w:marTop w:val="0"/>
      <w:marBottom w:val="0"/>
      <w:divBdr>
        <w:top w:val="none" w:sz="0" w:space="0" w:color="auto"/>
        <w:left w:val="none" w:sz="0" w:space="0" w:color="auto"/>
        <w:bottom w:val="none" w:sz="0" w:space="0" w:color="auto"/>
        <w:right w:val="none" w:sz="0" w:space="0" w:color="auto"/>
      </w:divBdr>
    </w:div>
    <w:div w:id="2088917939">
      <w:bodyDiv w:val="1"/>
      <w:marLeft w:val="0"/>
      <w:marRight w:val="0"/>
      <w:marTop w:val="0"/>
      <w:marBottom w:val="0"/>
      <w:divBdr>
        <w:top w:val="none" w:sz="0" w:space="0" w:color="auto"/>
        <w:left w:val="none" w:sz="0" w:space="0" w:color="auto"/>
        <w:bottom w:val="none" w:sz="0" w:space="0" w:color="auto"/>
        <w:right w:val="none" w:sz="0" w:space="0" w:color="auto"/>
      </w:divBdr>
    </w:div>
    <w:div w:id="2091464515">
      <w:bodyDiv w:val="1"/>
      <w:marLeft w:val="0"/>
      <w:marRight w:val="0"/>
      <w:marTop w:val="0"/>
      <w:marBottom w:val="0"/>
      <w:divBdr>
        <w:top w:val="none" w:sz="0" w:space="0" w:color="auto"/>
        <w:left w:val="none" w:sz="0" w:space="0" w:color="auto"/>
        <w:bottom w:val="none" w:sz="0" w:space="0" w:color="auto"/>
        <w:right w:val="none" w:sz="0" w:space="0" w:color="auto"/>
      </w:divBdr>
    </w:div>
    <w:div w:id="2092968446">
      <w:bodyDiv w:val="1"/>
      <w:marLeft w:val="0"/>
      <w:marRight w:val="0"/>
      <w:marTop w:val="0"/>
      <w:marBottom w:val="0"/>
      <w:divBdr>
        <w:top w:val="none" w:sz="0" w:space="0" w:color="auto"/>
        <w:left w:val="none" w:sz="0" w:space="0" w:color="auto"/>
        <w:bottom w:val="none" w:sz="0" w:space="0" w:color="auto"/>
        <w:right w:val="none" w:sz="0" w:space="0" w:color="auto"/>
      </w:divBdr>
    </w:div>
    <w:div w:id="2093886484">
      <w:bodyDiv w:val="1"/>
      <w:marLeft w:val="0"/>
      <w:marRight w:val="0"/>
      <w:marTop w:val="0"/>
      <w:marBottom w:val="0"/>
      <w:divBdr>
        <w:top w:val="none" w:sz="0" w:space="0" w:color="auto"/>
        <w:left w:val="none" w:sz="0" w:space="0" w:color="auto"/>
        <w:bottom w:val="none" w:sz="0" w:space="0" w:color="auto"/>
        <w:right w:val="none" w:sz="0" w:space="0" w:color="auto"/>
      </w:divBdr>
    </w:div>
    <w:div w:id="2095199091">
      <w:bodyDiv w:val="1"/>
      <w:marLeft w:val="0"/>
      <w:marRight w:val="0"/>
      <w:marTop w:val="0"/>
      <w:marBottom w:val="0"/>
      <w:divBdr>
        <w:top w:val="none" w:sz="0" w:space="0" w:color="auto"/>
        <w:left w:val="none" w:sz="0" w:space="0" w:color="auto"/>
        <w:bottom w:val="none" w:sz="0" w:space="0" w:color="auto"/>
        <w:right w:val="none" w:sz="0" w:space="0" w:color="auto"/>
      </w:divBdr>
    </w:div>
    <w:div w:id="2095517757">
      <w:bodyDiv w:val="1"/>
      <w:marLeft w:val="0"/>
      <w:marRight w:val="0"/>
      <w:marTop w:val="0"/>
      <w:marBottom w:val="0"/>
      <w:divBdr>
        <w:top w:val="none" w:sz="0" w:space="0" w:color="auto"/>
        <w:left w:val="none" w:sz="0" w:space="0" w:color="auto"/>
        <w:bottom w:val="none" w:sz="0" w:space="0" w:color="auto"/>
        <w:right w:val="none" w:sz="0" w:space="0" w:color="auto"/>
      </w:divBdr>
    </w:div>
    <w:div w:id="2095592440">
      <w:bodyDiv w:val="1"/>
      <w:marLeft w:val="0"/>
      <w:marRight w:val="0"/>
      <w:marTop w:val="0"/>
      <w:marBottom w:val="0"/>
      <w:divBdr>
        <w:top w:val="none" w:sz="0" w:space="0" w:color="auto"/>
        <w:left w:val="none" w:sz="0" w:space="0" w:color="auto"/>
        <w:bottom w:val="none" w:sz="0" w:space="0" w:color="auto"/>
        <w:right w:val="none" w:sz="0" w:space="0" w:color="auto"/>
      </w:divBdr>
    </w:div>
    <w:div w:id="2099517363">
      <w:bodyDiv w:val="1"/>
      <w:marLeft w:val="0"/>
      <w:marRight w:val="0"/>
      <w:marTop w:val="0"/>
      <w:marBottom w:val="0"/>
      <w:divBdr>
        <w:top w:val="none" w:sz="0" w:space="0" w:color="auto"/>
        <w:left w:val="none" w:sz="0" w:space="0" w:color="auto"/>
        <w:bottom w:val="none" w:sz="0" w:space="0" w:color="auto"/>
        <w:right w:val="none" w:sz="0" w:space="0" w:color="auto"/>
      </w:divBdr>
    </w:div>
    <w:div w:id="2101489730">
      <w:bodyDiv w:val="1"/>
      <w:marLeft w:val="0"/>
      <w:marRight w:val="0"/>
      <w:marTop w:val="0"/>
      <w:marBottom w:val="0"/>
      <w:divBdr>
        <w:top w:val="none" w:sz="0" w:space="0" w:color="auto"/>
        <w:left w:val="none" w:sz="0" w:space="0" w:color="auto"/>
        <w:bottom w:val="none" w:sz="0" w:space="0" w:color="auto"/>
        <w:right w:val="none" w:sz="0" w:space="0" w:color="auto"/>
      </w:divBdr>
    </w:div>
    <w:div w:id="2101677058">
      <w:bodyDiv w:val="1"/>
      <w:marLeft w:val="0"/>
      <w:marRight w:val="0"/>
      <w:marTop w:val="0"/>
      <w:marBottom w:val="0"/>
      <w:divBdr>
        <w:top w:val="none" w:sz="0" w:space="0" w:color="auto"/>
        <w:left w:val="none" w:sz="0" w:space="0" w:color="auto"/>
        <w:bottom w:val="none" w:sz="0" w:space="0" w:color="auto"/>
        <w:right w:val="none" w:sz="0" w:space="0" w:color="auto"/>
      </w:divBdr>
    </w:div>
    <w:div w:id="2103917427">
      <w:bodyDiv w:val="1"/>
      <w:marLeft w:val="0"/>
      <w:marRight w:val="0"/>
      <w:marTop w:val="0"/>
      <w:marBottom w:val="0"/>
      <w:divBdr>
        <w:top w:val="none" w:sz="0" w:space="0" w:color="auto"/>
        <w:left w:val="none" w:sz="0" w:space="0" w:color="auto"/>
        <w:bottom w:val="none" w:sz="0" w:space="0" w:color="auto"/>
        <w:right w:val="none" w:sz="0" w:space="0" w:color="auto"/>
      </w:divBdr>
    </w:div>
    <w:div w:id="210923347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441738">
      <w:bodyDiv w:val="1"/>
      <w:marLeft w:val="0"/>
      <w:marRight w:val="0"/>
      <w:marTop w:val="0"/>
      <w:marBottom w:val="0"/>
      <w:divBdr>
        <w:top w:val="none" w:sz="0" w:space="0" w:color="auto"/>
        <w:left w:val="none" w:sz="0" w:space="0" w:color="auto"/>
        <w:bottom w:val="none" w:sz="0" w:space="0" w:color="auto"/>
        <w:right w:val="none" w:sz="0" w:space="0" w:color="auto"/>
      </w:divBdr>
    </w:div>
    <w:div w:id="2121296647">
      <w:bodyDiv w:val="1"/>
      <w:marLeft w:val="0"/>
      <w:marRight w:val="0"/>
      <w:marTop w:val="0"/>
      <w:marBottom w:val="0"/>
      <w:divBdr>
        <w:top w:val="none" w:sz="0" w:space="0" w:color="auto"/>
        <w:left w:val="none" w:sz="0" w:space="0" w:color="auto"/>
        <w:bottom w:val="none" w:sz="0" w:space="0" w:color="auto"/>
        <w:right w:val="none" w:sz="0" w:space="0" w:color="auto"/>
      </w:divBdr>
    </w:div>
    <w:div w:id="2121869733">
      <w:bodyDiv w:val="1"/>
      <w:marLeft w:val="0"/>
      <w:marRight w:val="0"/>
      <w:marTop w:val="0"/>
      <w:marBottom w:val="0"/>
      <w:divBdr>
        <w:top w:val="none" w:sz="0" w:space="0" w:color="auto"/>
        <w:left w:val="none" w:sz="0" w:space="0" w:color="auto"/>
        <w:bottom w:val="none" w:sz="0" w:space="0" w:color="auto"/>
        <w:right w:val="none" w:sz="0" w:space="0" w:color="auto"/>
      </w:divBdr>
    </w:div>
    <w:div w:id="2130124221">
      <w:bodyDiv w:val="1"/>
      <w:marLeft w:val="0"/>
      <w:marRight w:val="0"/>
      <w:marTop w:val="0"/>
      <w:marBottom w:val="0"/>
      <w:divBdr>
        <w:top w:val="none" w:sz="0" w:space="0" w:color="auto"/>
        <w:left w:val="none" w:sz="0" w:space="0" w:color="auto"/>
        <w:bottom w:val="none" w:sz="0" w:space="0" w:color="auto"/>
        <w:right w:val="none" w:sz="0" w:space="0" w:color="auto"/>
      </w:divBdr>
    </w:div>
    <w:div w:id="2131506655">
      <w:bodyDiv w:val="1"/>
      <w:marLeft w:val="0"/>
      <w:marRight w:val="0"/>
      <w:marTop w:val="0"/>
      <w:marBottom w:val="0"/>
      <w:divBdr>
        <w:top w:val="none" w:sz="0" w:space="0" w:color="auto"/>
        <w:left w:val="none" w:sz="0" w:space="0" w:color="auto"/>
        <w:bottom w:val="none" w:sz="0" w:space="0" w:color="auto"/>
        <w:right w:val="none" w:sz="0" w:space="0" w:color="auto"/>
      </w:divBdr>
    </w:div>
    <w:div w:id="2134590363">
      <w:bodyDiv w:val="1"/>
      <w:marLeft w:val="0"/>
      <w:marRight w:val="0"/>
      <w:marTop w:val="0"/>
      <w:marBottom w:val="0"/>
      <w:divBdr>
        <w:top w:val="none" w:sz="0" w:space="0" w:color="auto"/>
        <w:left w:val="none" w:sz="0" w:space="0" w:color="auto"/>
        <w:bottom w:val="none" w:sz="0" w:space="0" w:color="auto"/>
        <w:right w:val="none" w:sz="0" w:space="0" w:color="auto"/>
      </w:divBdr>
    </w:div>
    <w:div w:id="2134902630">
      <w:bodyDiv w:val="1"/>
      <w:marLeft w:val="0"/>
      <w:marRight w:val="0"/>
      <w:marTop w:val="0"/>
      <w:marBottom w:val="0"/>
      <w:divBdr>
        <w:top w:val="none" w:sz="0" w:space="0" w:color="auto"/>
        <w:left w:val="none" w:sz="0" w:space="0" w:color="auto"/>
        <w:bottom w:val="none" w:sz="0" w:space="0" w:color="auto"/>
        <w:right w:val="none" w:sz="0" w:space="0" w:color="auto"/>
      </w:divBdr>
    </w:div>
    <w:div w:id="2135981295">
      <w:bodyDiv w:val="1"/>
      <w:marLeft w:val="0"/>
      <w:marRight w:val="0"/>
      <w:marTop w:val="0"/>
      <w:marBottom w:val="0"/>
      <w:divBdr>
        <w:top w:val="none" w:sz="0" w:space="0" w:color="auto"/>
        <w:left w:val="none" w:sz="0" w:space="0" w:color="auto"/>
        <w:bottom w:val="none" w:sz="0" w:space="0" w:color="auto"/>
        <w:right w:val="none" w:sz="0" w:space="0" w:color="auto"/>
      </w:divBdr>
    </w:div>
    <w:div w:id="2139031781">
      <w:bodyDiv w:val="1"/>
      <w:marLeft w:val="0"/>
      <w:marRight w:val="0"/>
      <w:marTop w:val="0"/>
      <w:marBottom w:val="0"/>
      <w:divBdr>
        <w:top w:val="none" w:sz="0" w:space="0" w:color="auto"/>
        <w:left w:val="none" w:sz="0" w:space="0" w:color="auto"/>
        <w:bottom w:val="none" w:sz="0" w:space="0" w:color="auto"/>
        <w:right w:val="none" w:sz="0" w:space="0" w:color="auto"/>
      </w:divBdr>
    </w:div>
    <w:div w:id="2140494263">
      <w:bodyDiv w:val="1"/>
      <w:marLeft w:val="0"/>
      <w:marRight w:val="0"/>
      <w:marTop w:val="0"/>
      <w:marBottom w:val="0"/>
      <w:divBdr>
        <w:top w:val="none" w:sz="0" w:space="0" w:color="auto"/>
        <w:left w:val="none" w:sz="0" w:space="0" w:color="auto"/>
        <w:bottom w:val="none" w:sz="0" w:space="0" w:color="auto"/>
        <w:right w:val="none" w:sz="0" w:space="0" w:color="auto"/>
      </w:divBdr>
    </w:div>
    <w:div w:id="2141461388">
      <w:bodyDiv w:val="1"/>
      <w:marLeft w:val="0"/>
      <w:marRight w:val="0"/>
      <w:marTop w:val="0"/>
      <w:marBottom w:val="0"/>
      <w:divBdr>
        <w:top w:val="none" w:sz="0" w:space="0" w:color="auto"/>
        <w:left w:val="none" w:sz="0" w:space="0" w:color="auto"/>
        <w:bottom w:val="none" w:sz="0" w:space="0" w:color="auto"/>
        <w:right w:val="none" w:sz="0" w:space="0" w:color="auto"/>
      </w:divBdr>
    </w:div>
    <w:div w:id="2142797588">
      <w:bodyDiv w:val="1"/>
      <w:marLeft w:val="0"/>
      <w:marRight w:val="0"/>
      <w:marTop w:val="0"/>
      <w:marBottom w:val="0"/>
      <w:divBdr>
        <w:top w:val="none" w:sz="0" w:space="0" w:color="auto"/>
        <w:left w:val="none" w:sz="0" w:space="0" w:color="auto"/>
        <w:bottom w:val="none" w:sz="0" w:space="0" w:color="auto"/>
        <w:right w:val="none" w:sz="0" w:space="0" w:color="auto"/>
      </w:divBdr>
    </w:div>
    <w:div w:id="2143452986">
      <w:bodyDiv w:val="1"/>
      <w:marLeft w:val="0"/>
      <w:marRight w:val="0"/>
      <w:marTop w:val="0"/>
      <w:marBottom w:val="0"/>
      <w:divBdr>
        <w:top w:val="none" w:sz="0" w:space="0" w:color="auto"/>
        <w:left w:val="none" w:sz="0" w:space="0" w:color="auto"/>
        <w:bottom w:val="none" w:sz="0" w:space="0" w:color="auto"/>
        <w:right w:val="none" w:sz="0" w:space="0" w:color="auto"/>
      </w:divBdr>
    </w:div>
    <w:div w:id="2143696237">
      <w:bodyDiv w:val="1"/>
      <w:marLeft w:val="0"/>
      <w:marRight w:val="0"/>
      <w:marTop w:val="0"/>
      <w:marBottom w:val="0"/>
      <w:divBdr>
        <w:top w:val="none" w:sz="0" w:space="0" w:color="auto"/>
        <w:left w:val="none" w:sz="0" w:space="0" w:color="auto"/>
        <w:bottom w:val="none" w:sz="0" w:space="0" w:color="auto"/>
        <w:right w:val="none" w:sz="0" w:space="0" w:color="auto"/>
      </w:divBdr>
    </w:div>
    <w:div w:id="214453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onr.org.uk/documents/2018/onr-eiadr-position-statement.pdf" TargetMode="Externa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onr.org.uk/eiadr.htm"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onr.org.uk/eiadr.htm"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2.pn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leave\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6E0A"/>
    <w:rsid w:val="000B1C10"/>
    <w:rsid w:val="0015636F"/>
    <w:rsid w:val="00183F29"/>
    <w:rsid w:val="002550FD"/>
    <w:rsid w:val="0027700F"/>
    <w:rsid w:val="002B08C7"/>
    <w:rsid w:val="00333F8E"/>
    <w:rsid w:val="00350199"/>
    <w:rsid w:val="007154C5"/>
    <w:rsid w:val="007F5A5D"/>
    <w:rsid w:val="00835E07"/>
    <w:rsid w:val="00A81DC7"/>
    <w:rsid w:val="00C41BCC"/>
    <w:rsid w:val="00DD7BA4"/>
    <w:rsid w:val="00E24AF1"/>
    <w:rsid w:val="00E318CE"/>
    <w:rsid w:val="00E646E1"/>
    <w:rsid w:val="00E77D59"/>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HMG991</b:Tag>
    <b:SourceType>ElectronicSource</b:SourceType>
    <b:Guid>{6A558CDC-A3C6-48ED-9909-DAAAAD995739}</b:Guid>
    <b:Author>
      <b:Author>
        <b:Corporate>H.M Government</b:Corporate>
      </b:Author>
    </b:Author>
    <b:Title>Nuclear Reactors (Environmental Impact Assessment for Decommissioning) Regulations 1999</b:Title>
    <b:Year>1999</b:Year>
    <b:RefOrder>1</b:RefOrder>
  </b:Source>
  <b:Source>
    <b:Tag>HMG183</b:Tag>
    <b:SourceType>ElectronicSource</b:SourceType>
    <b:Guid>{82CCE96D-317E-47CA-B585-32CBF33BA460}</b:Guid>
    <b:Title>The Nuclear Reactors (Environmental Impact Assessment for Decommissioning) (Amendment) Regulations 2018</b:Title>
    <b:Year>2018</b:Year>
    <b:Author>
      <b:Author>
        <b:Corporate>H.M Government</b:Corporate>
      </b:Author>
    </b:Author>
    <b:RefOrder>2</b:RefOrder>
  </b:Source>
  <b:Source>
    <b:Tag>HMG191</b:Tag>
    <b:SourceType>ElectronicSource</b:SourceType>
    <b:Guid>{AE3A6440-941B-4F0B-8CB2-049BFFA79B6A}</b:Guid>
    <b:Author>
      <b:Author>
        <b:Corporate>H.M Government</b:Corporate>
      </b:Author>
    </b:Author>
    <b:Title>The Ionising Radiation (Environmental and Public Protection) (Miscellaneous Amendments) (EU Exit) Regulations 2019</b:Title>
    <b:Year>2019</b:Year>
    <b:RefOrder>3</b:RefOrder>
  </b:Source>
  <b:Source>
    <b:Tag>Eur14</b:Tag>
    <b:SourceType>ElectronicSource</b:SourceType>
    <b:Guid>{3E96FA74-8C0D-4394-BDAC-EB97856F973E}</b:Guid>
    <b:Author>
      <b:Author>
        <b:Corporate>European Council</b:Corporate>
      </b:Author>
    </b:Author>
    <b:Title>Directive 2014/52/EU of the European Parliament and of the Council</b:Title>
    <b:Year>2014</b:Year>
    <b:RefOrder>5</b:RefOrder>
  </b:Source>
  <b:Source>
    <b:Tag>Eur11</b:Tag>
    <b:SourceType>ElectronicSource</b:SourceType>
    <b:Guid>{CF469169-A3E3-4D10-A225-057C4B326CBC}</b:Guid>
    <b:Author>
      <b:Author>
        <b:Corporate>European Council</b:Corporate>
      </b:Author>
    </b:Author>
    <b:Title>Directive 2011/92/EU of the European Parliament and of the Council</b:Title>
    <b:Year>2011</b:Year>
    <b:RefOrder>4</b:RefOrder>
  </b:Source>
  <b:Source>
    <b:Tag>HMG74</b:Tag>
    <b:SourceType>ElectronicSource</b:SourceType>
    <b:Guid>{E41EC25F-C0C7-4B67-8ECD-311E1E73E650}</b:Guid>
    <b:Title>Health and Safety at Work etc. Act 1974</b:Title>
    <b:Year>1974</b:Year>
    <b:Author>
      <b:Author>
        <b:Corporate>H.M Government</b:Corporate>
      </b:Author>
    </b:Author>
    <b:URL>https://www.legislation.gov.uk/ukpga/1974/37/contents</b:URL>
    <b:RefOrder>7</b:RefOrder>
  </b:Source>
  <b:Source>
    <b:Tag>HMG65</b:Tag>
    <b:SourceType>Report</b:SourceType>
    <b:Guid>{ABF39405-4EB0-44AD-809E-4E63A9803117}</b:Guid>
    <b:Author>
      <b:Author>
        <b:Corporate>H.M Government</b:Corporate>
      </b:Author>
    </b:Author>
    <b:Title>Nuclear Installations Act 1965 c. 57</b:Title>
    <b:Year>1965</b:Year>
    <b:RefOrder>8</b:RefOrder>
  </b:Source>
  <b:Source>
    <b:Tag>HMG176</b:Tag>
    <b:SourceType>ElectronicSource</b:SourceType>
    <b:Guid>{23020E66-81CC-4F93-AE36-A4E34C48F38F}</b:Guid>
    <b:Author>
      <b:Author>
        <b:Corporate>H.M Government</b:Corporate>
      </b:Author>
    </b:Author>
    <b:Title>The Conservation of Habitats and Species Regulations 2017</b:Title>
    <b:Year>2017</b:Year>
    <b:RefOrder>9</b:RefOrder>
  </b:Source>
  <b:Source>
    <b:Tag>HMG102</b:Tag>
    <b:SourceType>ElectronicSource</b:SourceType>
    <b:Guid>{385482A3-D3D6-48D7-822C-3D762D69C331}</b:Guid>
    <b:Author>
      <b:Author>
        <b:Corporate>H.M Government</b:Corporate>
      </b:Author>
    </b:Author>
    <b:Title>The Conservation of Habitats and Species Regulations 2010</b:Title>
    <b:Year>2010</b:Year>
    <b:RefOrder>10</b:RefOrder>
  </b:Source>
  <b:Source>
    <b:Tag>HMG177</b:Tag>
    <b:SourceType>DocumentFromInternetSite</b:SourceType>
    <b:Guid>{FD8C3EBA-23FF-4CCF-850B-D267D238E8A6}</b:Guid>
    <b:Title>Explanatory Memorandum to the Conservation of Habitats and Species Regulations 2017</b:Title>
    <b:Year>2017</b:Year>
    <b:Author>
      <b:Author>
        <b:Corporate>H.M Government</b:Corporate>
      </b:Author>
    </b:Author>
    <b:URL>https://www.legislation.gov.uk/uksi/2017/1012/pdfs/uksiem_20171012_en.pdf</b:URL>
    <b:RefOrder>11</b:RefOrder>
  </b:Source>
  <b:Source>
    <b:Tag>Min17</b:Tag>
    <b:SourceType>InternetSite</b:SourceType>
    <b:Guid>{811368BA-40A5-461E-9B27-4832224D7917}</b:Guid>
    <b:Author>
      <b:Author>
        <b:Corporate>Ministry of Housing, Communities and Local Government</b:Corporate>
      </b:Author>
    </b:Author>
    <b:Title>Guidance on Environmental Impact Assessment: Explains the requirements of the Town and Country Planning</b:Title>
    <b:Year>2017</b:Year>
    <b:Month>July</b:Month>
    <b:URL>https://www.gov.uk/guidance/environmental-impact-assessment</b:URL>
    <b:RefOrder>13</b:RefOrder>
  </b:Source>
  <b:Source>
    <b:Tag>Eur17</b:Tag>
    <b:SourceType>DocumentFromInternetSite</b:SourceType>
    <b:Guid>{1B7F5C12-0C2B-4DD0-803B-8650AB4FB79A}</b:Guid>
    <b:Title>Environmental Impact Assessment of Projects: Guidance on Screening</b:Title>
    <b:Year>2017</b:Year>
    <b:URL>https://ec.europa.eu/environment/eia/pdf/EIA_guidance_Screening_final.pdf</b:URL>
    <b:Author>
      <b:Author>
        <b:Corporate>European Union</b:Corporate>
      </b:Author>
    </b:Author>
    <b:RefOrder>15</b:RefOrder>
  </b:Source>
  <b:Source>
    <b:Tag>Eur171</b:Tag>
    <b:SourceType>DocumentFromInternetSite</b:SourceType>
    <b:Guid>{15F015A1-75D7-49D2-B24B-3B93C57D11E2}</b:Guid>
    <b:Author>
      <b:Author>
        <b:Corporate>European Union</b:Corporate>
      </b:Author>
    </b:Author>
    <b:Title>Environmental Impact Assessment of Projects: Guidance on Scoping</b:Title>
    <b:Year>2017</b:Year>
    <b:URL>https://ec.europa.eu/environment/eia/pdf/EIA_guidance_Scoping_final.pdf </b:URL>
    <b:RefOrder>16</b:RefOrder>
  </b:Source>
  <b:Source>
    <b:Tag>Eur172</b:Tag>
    <b:SourceType>DocumentFromInternetSite</b:SourceType>
    <b:Guid>{5CDC72DB-BB9F-43F0-A3AA-39A0853FB85C}</b:Guid>
    <b:Author>
      <b:Author>
        <b:Corporate>European Union</b:Corporate>
      </b:Author>
    </b:Author>
    <b:Title>Environmental Impact Assessment of Projects: Guidance on the preparation of the Environmental Impact Assessment Report</b:Title>
    <b:Year>2017</b:Year>
    <b:URL>https://ec.europa.eu/environment/eia/pdf/EIA_guidance_EIA_report_final.pdf</b:URL>
    <b:RefOrder>17</b:RefOrder>
  </b:Source>
  <b:Source>
    <b:Tag>HMG042</b:Tag>
    <b:SourceType>ElectronicSource</b:SourceType>
    <b:Guid>{40CB7ACC-D67E-4E60-B6D8-DCE21510885D}</b:Guid>
    <b:Title>The Environmental Information Regulations 2004</b:Title>
    <b:Year>2004</b:Year>
    <b:Author>
      <b:Author>
        <b:Corporate>H.M Government</b:Corporate>
      </b:Author>
    </b:Author>
    <b:RefOrder>18</b:RefOrder>
  </b:Source>
  <b:Source>
    <b:Tag>HMG043</b:Tag>
    <b:SourceType>ElectronicSource</b:SourceType>
    <b:Guid>{54223ABB-F54F-4620-8548-5AEA82F5A9BF}</b:Guid>
    <b:Author>
      <b:Author>
        <b:Corporate>H.M Government</b:Corporate>
      </b:Author>
    </b:Author>
    <b:Title>The Environmental Information (Scotland) Regulations 2004</b:Title>
    <b:Year>2004</b:Year>
    <b:RefOrder>19</b:RefOrder>
  </b:Source>
  <b:Source>
    <b:Tag>IAE36</b:Tag>
    <b:SourceType>DocumentFromInternetSite</b:SourceType>
    <b:Guid>{7860071B-35C6-4D5D-86B4-9F50F90F9C9A}</b:Guid>
    <b:URL>https://inis.iaea.org/collection/NCLCollectionStore/_Public/36/090/36090322.pdf</b:URL>
    <b:Author>
      <b:Author>
        <b:Corporate>European Commission</b:Corporate>
      </b:Author>
    </b:Author>
    <b:Title>, Environmental Impact Assessment for the Decommissioning of Nuclear Installations; Final Report Volume 2; Guidance for Undertaking an EIA of Proposals to Decommission a Nuclear Power Plant</b:Title>
    <b:Year>2001</b:Year>
    <b:Month>June</b:Month>
    <b:RefOrder>14</b:RefOrder>
  </b:Source>
  <b:Source>
    <b:Tag>HMG99</b:Tag>
    <b:SourceType>ElectronicSource</b:SourceType>
    <b:Guid>{B2F137EE-0EC3-47A1-A1DE-7156D438B51D}</b:Guid>
    <b:Author>
      <b:Author>
        <b:Corporate>H.M Government</b:Corporate>
      </b:Author>
    </b:Author>
    <b:Title>The Management of Health and Safety at Work Regulations 1999 (MHSW)</b:Title>
    <b:Year>1999</b:Year>
    <b:RefOrder>20</b:RefOrder>
  </b:Source>
  <b:Source>
    <b:Tag>HMG8</b:Tag>
    <b:SourceType>ElectronicSource</b:SourceType>
    <b:Guid>{F13FAA0B-634B-47AA-A1E5-5458CEDD5A5A}</b:Guid>
    <b:Title>The Construction (Design and Management) Regulations 2015</b:Title>
    <b:URL>https://www.legislation.gov.uk/uksi/2015/51/contents/made</b:URL>
    <b:Author>
      <b:Author>
        <b:Corporate>H.M Goverment</b:Corporate>
      </b:Author>
    </b:Author>
    <b:ProductionCompany>2015</b:ProductionCompany>
    <b:RefOrder>21</b:RefOrder>
  </b:Source>
  <b:Source>
    <b:Tag>HMG17</b:Tag>
    <b:SourceType>ElectronicSource</b:SourceType>
    <b:Guid>{38D3A675-C7EB-410F-917A-46A63B946964}</b:Guid>
    <b:Author>
      <b:Author>
        <b:Corporate>H.M Government</b:Corporate>
      </b:Author>
    </b:Author>
    <b:Title>The Ionising Radiations Regulations 2017</b:Title>
    <b:Year>2017</b:Year>
    <b:URL>https://www.legislation.gov.uk/uksi/2017/1075/contents/made</b:URL>
    <b:RefOrder>22</b:RefOrder>
  </b:Source>
  <b:Source>
    <b:Tag>HMG184</b:Tag>
    <b:SourceType>ElectronicSource</b:SourceType>
    <b:Guid>{F49C7581-B533-474F-942A-FB90A54D9CA1}</b:Guid>
    <b:Author>
      <b:Author>
        <b:Corporate>H.M Government</b:Corporate>
      </b:Author>
    </b:Author>
    <b:Title>The Environmental Authorisations (Scotland) Regulations 2018</b:Title>
    <b:Year>2018</b:Year>
    <b:RefOrder>23</b:RefOrder>
  </b:Source>
  <b:Source>
    <b:Tag>HMG90</b:Tag>
    <b:SourceType>ElectronicSource</b:SourceType>
    <b:Guid>{FD6FA355-C11F-42F6-B4DE-B6B31BBF1EE1}</b:Guid>
    <b:Author>
      <b:Author>
        <b:Corporate>H.M Government</b:Corporate>
      </b:Author>
    </b:Author>
    <b:Title>Environmental Protection Act 1990</b:Title>
    <b:Year>1990</b:Year>
    <b:RefOrder>24</b:RefOrder>
  </b:Source>
  <b:Source>
    <b:Tag>HMG94</b:Tag>
    <b:SourceType>ElectronicSource</b:SourceType>
    <b:Guid>{1EF8905A-415F-476E-814B-CFA37CCEE547}</b:Guid>
    <b:Author>
      <b:Author>
        <b:Corporate>H.M Government</b:Corporate>
      </b:Author>
    </b:Author>
    <b:Title>The Conservation (Natural Habitats, &amp;c.) Regulations 1994 (as amended by The Conservation (Natural Habitats, &amp;c.) (Amendment) Regulations</b:Title>
    <b:Year>1994</b:Year>
    <b:RefOrder>12</b:RefOrder>
  </b:Source>
  <b:Source>
    <b:Tag>HMG81</b:Tag>
    <b:SourceType>ElectronicSource</b:SourceType>
    <b:Guid>{5F4E03BC-A020-402D-881C-737E60CA7F7C}</b:Guid>
    <b:Author>
      <b:Author>
        <b:Corporate>H.M Government</b:Corporate>
      </b:Author>
    </b:Author>
    <b:Title>Wildlife and Countryside Act 1981 </b:Title>
    <b:Year>1981</b:Year>
    <b:RefOrder>25</b:RefOrder>
  </b:Source>
  <b:Source>
    <b:Tag>HMG003</b:Tag>
    <b:SourceType>ElectronicSource</b:SourceType>
    <b:Guid>{4ECB64C6-6275-439B-9F21-1AEA62A9D71B}</b:Guid>
    <b:Author>
      <b:Author>
        <b:Corporate>H.M Government</b:Corporate>
      </b:Author>
    </b:Author>
    <b:Title>Countryside and Rights of Way Act 2000</b:Title>
    <b:Year>2000</b:Year>
    <b:RefOrder>26</b:RefOrder>
  </b:Source>
  <b:Source>
    <b:Tag>HMG044</b:Tag>
    <b:SourceType>ElectronicSource</b:SourceType>
    <b:Guid>{C800F523-4248-46CD-A85D-1F216322C595}</b:Guid>
    <b:Author>
      <b:Author>
        <b:Corporate>H.M Government</b:Corporate>
      </b:Author>
    </b:Author>
    <b:Title>Nature Conservation (Scotland) Act 2004</b:Title>
    <b:Year>2004</b:Year>
    <b:RefOrder>27</b:RefOrder>
  </b:Source>
  <b:Source>
    <b:Tag>HMG062</b:Tag>
    <b:SourceType>ElectronicSource</b:SourceType>
    <b:Guid>{36448E46-EBB8-43AC-AB56-260363B7A66E}</b:Guid>
    <b:Author>
      <b:Author>
        <b:Corporate>H.M Government</b:Corporate>
      </b:Author>
    </b:Author>
    <b:Title>Natural Environment and Rural Communities Act 2006 </b:Title>
    <b:Year>2006</b:Year>
    <b:RefOrder>28</b:RefOrder>
  </b:Source>
  <b:Source>
    <b:Tag>Eur00</b:Tag>
    <b:SourceType>ElectronicSource</b:SourceType>
    <b:Guid>{CC20B794-9C4A-4092-A36D-E56C099BD57A}</b:Guid>
    <b:Author>
      <b:Author>
        <b:Corporate>European Council</b:Corporate>
      </b:Author>
    </b:Author>
    <b:Title>Directive 2000/60/EC of the European Parliament and of the Council establishing a framework for the Community action in the field of water policy</b:Title>
    <b:Year>2000</b:Year>
    <b:RefOrder>29</b:RefOrder>
  </b:Source>
  <b:Source>
    <b:Tag>ONR92</b:Tag>
    <b:SourceType>ElectronicSource</b:SourceType>
    <b:Guid>{F7F603C2-7497-4679-AB16-EF9B96819D7F}</b:Guid>
    <b:Author>
      <b:Author>
        <b:Corporate>ONR</b:Corporate>
      </b:Author>
    </b:Author>
    <b:Title>Licensing Nuclear Installations</b:Title>
    <b:RefOrder>30</b:RefOrder>
  </b:Source>
  <b:Source>
    <b:Tag>HMG178</b:Tag>
    <b:SourceType>ElectronicSource</b:SourceType>
    <b:Guid>{9224CFD5-710F-40A0-B42D-C5483BF0DEC5}</b:Guid>
    <b:Author>
      <b:Author>
        <b:Corporate>H.M Government</b:Corporate>
      </b:Author>
    </b:Author>
    <b:Title>The Town and Country Planning (Environmental Impact Assessment) Regulations  2017</b:Title>
    <b:Year>2017</b:Year>
    <b:RefOrder>31</b:RefOrder>
  </b:Source>
  <b:Source>
    <b:Tag>HMG179</b:Tag>
    <b:SourceType>ElectronicSource</b:SourceType>
    <b:Guid>{7A59E70C-62FC-4CA4-9252-F171653D0832}</b:Guid>
    <b:Author>
      <b:Author>
        <b:Corporate>H.M Government</b:Corporate>
      </b:Author>
    </b:Author>
    <b:Title>The Town and Country Planning (Environmental Impact Assessment) (Scotland) Regulations 2017</b:Title>
    <b:Year>2017</b:Year>
    <b:RefOrder>33</b:RefOrder>
  </b:Source>
  <b:Source>
    <b:Tag>HMG1710</b:Tag>
    <b:SourceType>ElectronicSource</b:SourceType>
    <b:Guid>{4DD9D404-ACC9-48DD-B1EA-A1FAB21CC50D}</b:Guid>
    <b:Author>
      <b:Author>
        <b:Corporate>H.M Government</b:Corporate>
      </b:Author>
    </b:Author>
    <b:Title>The Town and Country Planning (Environmental Impact Assessment) (Wales) Regulations 2017</b:Title>
    <b:Year>2017</b:Year>
    <b:RefOrder>32</b:RefOrder>
  </b:Source>
  <b:Source>
    <b:Tag>ONR1515</b:Tag>
    <b:SourceType>ElectronicSource</b:SourceType>
    <b:Guid>{0AB476E9-64B4-4E05-8537-1D1DD8FE4EBA}</b:Guid>
    <b:Author>
      <b:Author>
        <b:Corporate>ONR</b:Corporate>
      </b:Author>
    </b:Author>
    <b:Title>Memorandum of Understanding between the Office for Nuclear Regulation and the Natural Resources Body for Wales on matters of mutual interest in Wales</b:Title>
    <b:Year>2015</b:Year>
    <b:RefOrder>35</b:RefOrder>
  </b:Source>
  <b:Source>
    <b:Tag>ONR1911</b:Tag>
    <b:SourceType>ElectronicSource</b:SourceType>
    <b:Guid>{03571542-D41C-4678-9293-18A09DDB0F83}</b:Guid>
    <b:Author>
      <b:Author>
        <b:Corporate>ONR</b:Corporate>
      </b:Author>
    </b:Author>
    <b:Title>Memorandum of Understanding between the Office for Nuclear Regulation and the Scottish Environment Protection Agency on matters of mutual interest in Scotland</b:Title>
    <b:Year>2019</b:Year>
    <b:RefOrder>36</b:RefOrder>
  </b:Source>
  <b:Source>
    <b:Tag>ONR121</b:Tag>
    <b:SourceType>ElectronicSource</b:SourceType>
    <b:Guid>{1494D9C0-3BC2-4729-92C2-72CEDE1471FD}</b:Guid>
    <b:Author>
      <b:Author>
        <b:Corporate>ONR</b:Corporate>
      </b:Author>
    </b:Author>
    <b:Title>ONR-INSP-GD-061 - Joint Regulatory Guidance to Support the Overarching MoU - EA and ONR</b:Title>
    <b:RefOrder>37</b:RefOrder>
  </b:Source>
  <b:Source>
    <b:Tag>ONR122</b:Tag>
    <b:SourceType>ElectronicSource</b:SourceType>
    <b:Guid>{D54D066D-4863-4373-B006-B4DC47ABE175}</b:Guid>
    <b:Author>
      <b:Author>
        <b:Corporate>ONR</b:Corporate>
      </b:Author>
    </b:Author>
    <b:Title>ONR-INSP-GD-062 - Guidance to support the Joint Regulatory MoU between ONR and SEPA</b:Title>
    <b:RefOrder>38</b:RefOrder>
  </b:Source>
  <b:Source>
    <b:Tag>ONR123</b:Tag>
    <b:SourceType>ElectronicSource</b:SourceType>
    <b:Guid>{AAD6E94D-09D2-4455-A5BC-778A139FA489}</b:Guid>
    <b:Author>
      <b:Author>
        <b:Corporate>ONR</b:Corporate>
      </b:Author>
    </b:Author>
    <b:Title>ONR-INSP-GD-063 - Joint Regulatory Guidance to Support the Overarching MoU - NRW and ONR</b:Title>
    <b:RefOrder>39</b:RefOrder>
  </b:Source>
  <b:Source>
    <b:Tag>HMG161</b:Tag>
    <b:SourceType>ElectronicSource</b:SourceType>
    <b:Guid>{2A6D1DA2-9CB6-4223-967E-7C4F02FE30B1}</b:Guid>
    <b:Author>
      <b:Author>
        <b:Corporate>H.M Government</b:Corporate>
      </b:Author>
    </b:Author>
    <b:Title>The Environmental Permitting (England and Wales) Regulations 2016</b:Title>
    <b:Year>2016</b:Year>
    <b:RefOrder>40</b:RefOrder>
  </b:Source>
  <b:Source>
    <b:Tag>ONR1514</b:Tag>
    <b:SourceType>ElectronicSource</b:SourceType>
    <b:Guid>{D5504C02-7806-49E0-BB75-8CB62EFCE6F6}</b:Guid>
    <b:Author>
      <b:Author>
        <b:Corporate>ONR</b:Corporate>
      </b:Author>
    </b:Author>
    <b:Title>Memorandum of Understanding between the Office for Nuclear Regulation and the Environment Agency on matters of mutual interest in England</b:Title>
    <b:Year>2015</b:Year>
    <b:RefOrder>34</b:RefOrder>
  </b:Source>
  <b:Source>
    <b:Tag>Def07</b:Tag>
    <b:SourceType>DocumentFromInternetSite</b:SourceType>
    <b:Guid>{ABC9C53E-D9FA-44EA-AE1D-063ADD6DDD90}</b:Guid>
    <b:Title>Policy for the Long Term Management of Solid Low Level Radioactive Waste in the UK</b:Title>
    <b:Year>2007</b:Year>
    <b:Author>
      <b:Author>
        <b:Corporate>Defra</b:Corporate>
      </b:Author>
    </b:Author>
    <b:Month>March</b:Month>
    <b:URL>https://assets.publishing.service.gov.uk/government/uploads/system/uploads/attachment_data/file/254393/Low_level_waste_policy.pdf</b:URL>
    <b:RefOrder>41</b:RefOrder>
  </b:Source>
  <b:Source>
    <b:Tag>DEC16</b:Tag>
    <b:SourceType>DocumentFromInternetSite</b:SourceType>
    <b:Guid>{E9A36C0F-6768-467D-A8A6-CAD1E88D2BF4}</b:Guid>
    <b:Author>
      <b:Author>
        <b:Corporate>DECC</b:Corporate>
      </b:Author>
    </b:Author>
    <b:Title>UK Strategy for the Management of Solid Low Level Waste from the Nuclear Industry</b:Title>
    <b:Year>2016</b:Year>
    <b:Month>February</b:Month>
    <b:URL>https://assets.publishing.service.gov.uk/government/uploads/system/uploads/attachment_data/file/497114/NI_LLW_Strategy_Final.pdf</b:URL>
    <b:RefOrder>42</b:RefOrder>
  </b:Source>
  <b:Source>
    <b:Tag>BEI18</b:Tag>
    <b:SourceType>DocumentFromInternetSite</b:SourceType>
    <b:Guid>{87F790FA-3B83-4F9A-A91F-9D4A9D243642}</b:Guid>
    <b:Author>
      <b:Author>
        <b:Corporate>BEIS</b:Corporate>
      </b:Author>
    </b:Author>
    <b:Title>UK Strategy for Radioactive Discharges - 2018 Review of the 2009 Strategy</b:Title>
    <b:Year>2018</b:Year>
    <b:Month>June</b:Month>
    <b:URL>https://assets.publishing.service.gov.uk/government/uploads/system/uploads/attachment_data/file/718723/2018Rev2009UKStratRadDischargeFin.pdf</b:URL>
    <b:RefOrder>43</b:RefOrder>
  </b:Source>
  <b:Source>
    <b:Tag>BEI1</b:Tag>
    <b:SourceType>DocumentFromInternetSite</b:SourceType>
    <b:Guid>{4CAE0A24-0834-49D9-BED3-5E9E3594BE10}</b:Guid>
    <b:Author>
      <b:Author>
        <b:Corporate>BEIS</b:Corporate>
      </b:Author>
    </b:Author>
    <b:URL>https://assets.publishing.service.gov.uk/government/uploads/system/uploads/attachment_data/file/766643/Implementing_Geological_Disposal_-_Working_with_Communities.pdf</b:URL>
    <b:Title>44.	Implementing Geological Disposal – Working with Communities. An updated framework for the long-term management of higher activity radioactive waste</b:Title>
    <b:Year>2018</b:Year>
    <b:Month>December</b:Month>
    <b:RefOrder>44</b:RefOrder>
  </b:Source>
  <b:Source>
    <b:Tag>Wel</b:Tag>
    <b:SourceType>DocumentFromInternetSite</b:SourceType>
    <b:Guid>{A6397687-8E98-4406-8FC5-0F4672158A83}</b:Guid>
    <b:Author>
      <b:Author>
        <b:Corporate>Welsh Government</b:Corporate>
      </b:Author>
    </b:Author>
    <b:URL>https://gov.wales/sites/default/files/publications/2019-04/geological-disposal-of-higher-activity-radioactive-waste-guidance-for-communities.pdf</b:URL>
    <b:Title>Geological Disposal of Higher Activity Radioactive Waste: Working with Communities</b:Title>
    <b:Year>2019</b:Year>
    <b:Month>January</b:Month>
    <b:RefOrder>45</b:RefOrder>
  </b:Source>
  <b:Source>
    <b:Tag>Sco11</b:Tag>
    <b:SourceType>InternetSite</b:SourceType>
    <b:Guid>{663DEA0E-6BB7-409F-8BAF-D25C99BA6249}</b:Guid>
    <b:Title>Scotland's higher-activity radioactive waste policy</b:Title>
    <b:Year>2011</b:Year>
    <b:Month>January</b:Month>
    <b:URL>https://www.gov.scot/publications/scotlands-higher-activity-radioactive-waste-policy-2011/</b:URL>
    <b:Author>
      <b:Author>
        <b:Corporate>Scottish Government</b:Corporate>
      </b:Author>
    </b:Author>
    <b:RefOrder>46</b:RefOrder>
  </b:Source>
  <b:Source>
    <b:Tag>HMG95</b:Tag>
    <b:SourceType>DocumentFromInternetSite</b:SourceType>
    <b:Guid>{4D922C49-7E0B-40E7-A63A-FF739D89C2A3}</b:Guid>
    <b:Title>Review of Radioactive Waste Management Policy</b:Title>
    <b:Year>1995</b:Year>
    <b:URL>https://assets.publishing.service.gov.uk/government/uploads/system/uploads/attachment_data/file/829274/review-radioactive-waste-management-policy-cm2919.pdf</b:URL>
    <b:Author>
      <b:Author>
        <b:Corporate>H.M Government</b:Corporate>
      </b:Author>
    </b:Author>
    <b:RefOrder>47</b:RefOrder>
  </b:Source>
  <b:Source>
    <b:Tag>Dep2</b:Tag>
    <b:SourceType>DocumentFromInternetSite</b:SourceType>
    <b:Guid>{80500C95-2D0B-419A-9C9C-2B495BC48E20}</b:Guid>
    <b:Author>
      <b:Author>
        <b:Corporate>Department for Trade and Industry</b:Corporate>
      </b:Author>
    </b:Author>
    <b:Title>Managing the Nuclear Legacy – A Strategy for Action</b:Title>
    <b:Year>2002</b:Year>
    <b:Month>July</b:Month>
    <b:URL>https://webarchive.nationalarchives.gov.uk/ukgwa/+/http:/www.dti.gov.uk/nuclearcleanup/ach/whitepaper.pdf</b:URL>
    <b:RefOrder>48</b:RefOrder>
  </b:Source>
  <b:Source>
    <b:Tag>HMG041</b:Tag>
    <b:SourceType>DocumentFromInternetSite</b:SourceType>
    <b:Guid>{BE48E6A8-0597-4A49-93C3-B81B505149A2}</b:Guid>
    <b:Title>The Decommissioning of the UK Nuclear Industry’s Facilities</b:Title>
    <b:Year>2004</b:Year>
    <b:Month>September</b:Month>
    <b:URL>https://assets.publishing.service.gov.uk/government/uploads/system/uploads/attachment_data/file/361068/The_Decommissioning_of_the_UK_Nuclear_Industrys_Facilities.pdf</b:URL>
    <b:Author>
      <b:Author>
        <b:Corporate>H.M Government</b:Corporate>
      </b:Author>
    </b:Author>
    <b:RefOrder>49</b:RefOrder>
  </b:Source>
  <b:Source>
    <b:Tag>HMG</b:Tag>
    <b:SourceType>DocumentFromInternetSite</b:SourceType>
    <b:Guid>{69ABB8A1-C317-4D7A-8394-5A4E02433C3A}</b:Guid>
    <b:Author>
      <b:Author>
        <b:Corporate>Department for Business, Enterprise and Regulatory Reform</b:Corporate>
      </b:Author>
    </b:Author>
    <b:URL>https://assets.publishing.service.gov.uk/government/uploads/system/uploads/attachment_data/file/228944/7296.pdf</b:URL>
    <b:Title>Meeting the Energy Challenge – A White Paper on Nuclear Power</b:Title>
    <b:Year>2008</b:Year>
    <b:Month>January</b:Month>
    <b:RefOrder>50</b:RefOrder>
  </b:Source>
  <b:Source>
    <b:Tag>HMG20</b:Tag>
    <b:SourceType>DocumentFromInternetSite</b:SourceType>
    <b:Guid>{57D7A97F-AD95-4AA4-8307-D41FEBEA4E3E}</b:Guid>
    <b:Author>
      <b:Author>
        <b:Corporate>H.M Goverment</b:Corporate>
      </b:Author>
    </b:Author>
    <b:Title>The Transboundary Radioactive Contamination (England) Direction 2020</b:Title>
    <b:Year>2020</b:Year>
    <b:URL>https://www.legislation.gov.uk/uksi/2016/1154/pdfs/uksiod_20161154_en_001.pdf</b:URL>
    <b:RefOrder>51</b:RefOrder>
  </b:Source>
  <b:Source>
    <b:Tag>Sco1</b:Tag>
    <b:SourceType>InternetSite</b:SourceType>
    <b:Guid>{DBCF5D3C-966C-4342-A00F-8E096238EE04}</b:Guid>
    <b:Author>
      <b:Author>
        <b:Corporate>Scottish Government</b:Corporate>
      </b:Author>
    </b:Author>
    <b:URL>https://www.gov.scot/publications/the-transboundary-radioactive-contamination-scotland-direction-2021/</b:URL>
    <b:Title>The Transboundary Radioactive Contamination (Scotland) Direction 2021</b:Title>
    <b:Year>2021</b:Year>
    <b:Month>March</b:Month>
    <b:RefOrder>52</b:RefOrder>
  </b:Source>
  <b:Source>
    <b:Tag>Eur01</b:Tag>
    <b:SourceType>ElectronicSource</b:SourceType>
    <b:Guid>{6209CE75-802D-4595-877E-83F6ECB955FD}</b:Guid>
    <b:Title>Directive 2001/42/EC of the European Parliament and of the Council on the assessments of certain plans and programmes on the environment</b:Title>
    <b:Year>2001</b:Year>
    <b:Author>
      <b:Author>
        <b:Corporate>European Council</b:Corporate>
      </b:Author>
    </b:Author>
    <b:RefOrder>53</b:RefOrder>
  </b:Source>
  <b:Source>
    <b:Tag>ONR18</b:Tag>
    <b:SourceType>Misc</b:SourceType>
    <b:Guid>{CDB09438-C90C-4435-979F-F199283CA676}</b:Guid>
    <b:Author>
      <b:Author>
        <b:NameList>
          <b:Person>
            <b:Last>ONR</b:Last>
          </b:Person>
        </b:NameList>
      </b:Author>
    </b:Author>
    <b:Title>ONR position statement on the application to off-site structures of the Nuclear Reactors (Environmental Impact Assessment for Decommissioning) Regulations 1999 (EIADR), as amended.</b:Title>
    <b:Year>2018</b:Year>
    <b:Publisher>ONR</b:Publishe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527291-230A-4DB9-BBFE-7C074CE84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92</Pages>
  <Words>24655</Words>
  <Characters>140539</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Guidance on the Nuclear Reactors (Environmental Impact Assessment for Decommissioning) Regulations</vt:lpstr>
    </vt:vector>
  </TitlesOfParts>
  <Manager>Office for Nuclear Regulation</Manager>
  <Company>Office for Nuclear Regulation</Company>
  <LinksUpToDate>false</LinksUpToDate>
  <CharactersWithSpaces>164865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the Nuclear Reactors (Environmental Impact Assessment for Decommissioning) Regulations</dc:title>
  <dc:subject>[Subtitle or description]</dc:subject>
  <cp:keywords>[Key words separated by commas]</cp:keywords>
  <dc:description/>
  <cp:revision>2</cp:revision>
  <cp:lastPrinted>2016-11-28T11:35:00Z</cp:lastPrinted>
  <dcterms:created xsi:type="dcterms:W3CDTF">2023-03-31T12:25:00Z</dcterms:created>
  <dcterms:modified xsi:type="dcterms:W3CDTF">2023-03-31T12:25:00Z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