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0EC7DE27" w14:textId="2C0A0ECF" w:rsidR="000B190B" w:rsidRPr="000B190B" w:rsidRDefault="000B190B" w:rsidP="000B190B">
            <w:pPr>
              <w:pStyle w:val="CoverTitle"/>
              <w:ind w:left="0"/>
              <w:rPr>
                <w:b w:val="0"/>
                <w:bCs/>
                <w:color w:val="033835" w:themeColor="accent1" w:themeShade="80"/>
                <w:sz w:val="32"/>
                <w:szCs w:val="32"/>
              </w:rPr>
            </w:pPr>
            <w:r w:rsidRPr="000B190B">
              <w:rPr>
                <w:b w:val="0"/>
                <w:bCs/>
                <w:color w:val="033835" w:themeColor="accent1" w:themeShade="80"/>
                <w:sz w:val="32"/>
                <w:szCs w:val="32"/>
              </w:rPr>
              <w:t>ONR Guidance Document</w:t>
            </w:r>
          </w:p>
          <w:sdt>
            <w:sdtPr>
              <w:rPr>
                <w:sz w:val="72"/>
                <w:szCs w:val="72"/>
              </w:rPr>
              <w:id w:val="1228188510"/>
              <w:placeholder>
                <w:docPart w:val="DefaultPlaceholder_-1854013440"/>
              </w:placeholder>
            </w:sdtPr>
            <w:sdtEndPr/>
            <w:sdtContent>
              <w:p w14:paraId="7C4EA414" w14:textId="6AC2BC4B" w:rsidR="00D0226A" w:rsidRPr="001E03E1" w:rsidRDefault="000B0895" w:rsidP="000B190B">
                <w:pPr>
                  <w:pStyle w:val="CoverTitle"/>
                  <w:ind w:left="0"/>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F1717C">
                      <w:rPr>
                        <w:sz w:val="72"/>
                        <w:szCs w:val="72"/>
                      </w:rPr>
                      <w:t xml:space="preserve">Five </w:t>
                    </w:r>
                    <w:r w:rsidR="000B190B">
                      <w:rPr>
                        <w:sz w:val="72"/>
                        <w:szCs w:val="72"/>
                      </w:rPr>
                      <w:t>s</w:t>
                    </w:r>
                    <w:r w:rsidR="00F1717C">
                      <w:rPr>
                        <w:sz w:val="72"/>
                        <w:szCs w:val="72"/>
                      </w:rPr>
                      <w:t xml:space="preserve">teps to </w:t>
                    </w:r>
                    <w:r w:rsidR="000B190B">
                      <w:rPr>
                        <w:sz w:val="72"/>
                        <w:szCs w:val="72"/>
                      </w:rPr>
                      <w:t>t</w:t>
                    </w:r>
                    <w:r w:rsidR="00F1717C">
                      <w:rPr>
                        <w:sz w:val="72"/>
                        <w:szCs w:val="72"/>
                      </w:rPr>
                      <w:t xml:space="preserve">ransport </w:t>
                    </w:r>
                    <w:r w:rsidR="000B190B">
                      <w:rPr>
                        <w:sz w:val="72"/>
                        <w:szCs w:val="72"/>
                      </w:rPr>
                      <w:t>e</w:t>
                    </w:r>
                    <w:r w:rsidR="00F1717C">
                      <w:rPr>
                        <w:sz w:val="72"/>
                        <w:szCs w:val="72"/>
                      </w:rPr>
                      <w:t xml:space="preserve">mergency </w:t>
                    </w:r>
                    <w:r w:rsidR="000B190B">
                      <w:rPr>
                        <w:sz w:val="72"/>
                        <w:szCs w:val="72"/>
                      </w:rPr>
                      <w:t>p</w:t>
                    </w:r>
                    <w:r w:rsidR="00F1717C">
                      <w:rPr>
                        <w:sz w:val="72"/>
                        <w:szCs w:val="72"/>
                      </w:rPr>
                      <w:t>lanning</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FDB4B56" w14:textId="6C10B266" w:rsidR="00595C8C" w:rsidRDefault="00595C8C" w:rsidP="00323E71">
      <w:pPr>
        <w:sectPr w:rsidR="00595C8C" w:rsidSect="00B23A5E">
          <w:headerReference w:type="default" r:id="rId16"/>
          <w:pgSz w:w="11906" w:h="16838" w:code="9"/>
          <w:pgMar w:top="1440" w:right="1440" w:bottom="1440" w:left="144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100B7647" w14:textId="77777777" w:rsidR="008B4F50" w:rsidRDefault="004353CB">
      <w:pPr>
        <w:pStyle w:val="TOC1"/>
        <w:tabs>
          <w:tab w:val="left" w:pos="720"/>
        </w:tabs>
      </w:pPr>
      <w:r>
        <w:tab/>
      </w:r>
      <w:r w:rsidR="00AD167C">
        <w:fldChar w:fldCharType="begin"/>
      </w:r>
      <w:r w:rsidR="00716AB1" w:rsidRPr="00893D9F">
        <w:instrText xml:space="preserve"> TOC \h \z \t "Heading 1,</w:instrText>
      </w:r>
      <w:r w:rsidR="009C15F3" w:rsidRPr="00893D9F">
        <w:instrText>1</w:instrText>
      </w:r>
      <w:r w:rsidR="00716AB1" w:rsidRPr="00893D9F">
        <w:instrText>,Heading 2,</w:instrText>
      </w:r>
      <w:r w:rsidR="009C15F3" w:rsidRPr="00893D9F">
        <w:instrText>2</w:instrText>
      </w:r>
      <w:r w:rsidR="00716AB1" w:rsidRPr="00893D9F">
        <w:instrText xml:space="preserve">" </w:instrText>
      </w:r>
      <w:r w:rsidR="00AD167C">
        <w:fldChar w:fldCharType="separate"/>
      </w:r>
    </w:p>
    <w:p w14:paraId="22C53FD6" w14:textId="6C907DE0" w:rsidR="008B4F50" w:rsidRDefault="008B4F5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5713324" w:history="1">
        <w:r w:rsidRPr="004B542D">
          <w:rPr>
            <w:rStyle w:val="Hyperlink"/>
          </w:rPr>
          <w:t>1.</w:t>
        </w:r>
        <w:r>
          <w:rPr>
            <w:rFonts w:asciiTheme="minorHAnsi" w:eastAsiaTheme="minorEastAsia" w:hAnsiTheme="minorHAnsi" w:cstheme="minorBidi"/>
            <w:kern w:val="2"/>
            <w:szCs w:val="24"/>
            <w:lang w:eastAsia="en-GB" w:bidi="ar-SA"/>
            <w14:ligatures w14:val="standardContextual"/>
          </w:rPr>
          <w:tab/>
        </w:r>
        <w:r w:rsidRPr="004B542D">
          <w:rPr>
            <w:rStyle w:val="Hyperlink"/>
          </w:rPr>
          <w:t>Introduction</w:t>
        </w:r>
        <w:r>
          <w:rPr>
            <w:webHidden/>
          </w:rPr>
          <w:tab/>
        </w:r>
        <w:r>
          <w:rPr>
            <w:webHidden/>
          </w:rPr>
          <w:fldChar w:fldCharType="begin"/>
        </w:r>
        <w:r>
          <w:rPr>
            <w:webHidden/>
          </w:rPr>
          <w:instrText xml:space="preserve"> PAGEREF _Toc235713324 \h </w:instrText>
        </w:r>
        <w:r>
          <w:rPr>
            <w:webHidden/>
          </w:rPr>
        </w:r>
        <w:r>
          <w:rPr>
            <w:webHidden/>
          </w:rPr>
          <w:fldChar w:fldCharType="separate"/>
        </w:r>
        <w:r>
          <w:rPr>
            <w:webHidden/>
          </w:rPr>
          <w:t>3</w:t>
        </w:r>
        <w:r>
          <w:rPr>
            <w:webHidden/>
          </w:rPr>
          <w:fldChar w:fldCharType="end"/>
        </w:r>
      </w:hyperlink>
    </w:p>
    <w:p w14:paraId="042EB782" w14:textId="10CA9777" w:rsidR="008B4F50" w:rsidRDefault="008B4F5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5713325" w:history="1">
        <w:r w:rsidRPr="004B542D">
          <w:rPr>
            <w:rStyle w:val="Hyperlink"/>
          </w:rPr>
          <w:t>2.</w:t>
        </w:r>
        <w:r>
          <w:rPr>
            <w:rFonts w:asciiTheme="minorHAnsi" w:eastAsiaTheme="minorEastAsia" w:hAnsiTheme="minorHAnsi" w:cstheme="minorBidi"/>
            <w:kern w:val="2"/>
            <w:szCs w:val="24"/>
            <w:lang w:eastAsia="en-GB" w:bidi="ar-SA"/>
            <w14:ligatures w14:val="standardContextual"/>
          </w:rPr>
          <w:tab/>
        </w:r>
        <w:r w:rsidRPr="004B542D">
          <w:rPr>
            <w:rStyle w:val="Hyperlink"/>
          </w:rPr>
          <w:t>Who should read this guide?</w:t>
        </w:r>
        <w:r>
          <w:rPr>
            <w:webHidden/>
          </w:rPr>
          <w:tab/>
        </w:r>
        <w:r>
          <w:rPr>
            <w:webHidden/>
          </w:rPr>
          <w:fldChar w:fldCharType="begin"/>
        </w:r>
        <w:r>
          <w:rPr>
            <w:webHidden/>
          </w:rPr>
          <w:instrText xml:space="preserve"> PAGEREF _Toc235713325 \h </w:instrText>
        </w:r>
        <w:r>
          <w:rPr>
            <w:webHidden/>
          </w:rPr>
        </w:r>
        <w:r>
          <w:rPr>
            <w:webHidden/>
          </w:rPr>
          <w:fldChar w:fldCharType="separate"/>
        </w:r>
        <w:r>
          <w:rPr>
            <w:webHidden/>
          </w:rPr>
          <w:t>4</w:t>
        </w:r>
        <w:r>
          <w:rPr>
            <w:webHidden/>
          </w:rPr>
          <w:fldChar w:fldCharType="end"/>
        </w:r>
      </w:hyperlink>
    </w:p>
    <w:p w14:paraId="0F42A3A3" w14:textId="67A1A0EC" w:rsidR="008B4F50" w:rsidRDefault="008B4F5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5713326" w:history="1">
        <w:r w:rsidRPr="004B542D">
          <w:rPr>
            <w:rStyle w:val="Hyperlink"/>
          </w:rPr>
          <w:t>3.</w:t>
        </w:r>
        <w:r>
          <w:rPr>
            <w:rFonts w:asciiTheme="minorHAnsi" w:eastAsiaTheme="minorEastAsia" w:hAnsiTheme="minorHAnsi" w:cstheme="minorBidi"/>
            <w:kern w:val="2"/>
            <w:szCs w:val="24"/>
            <w:lang w:eastAsia="en-GB" w:bidi="ar-SA"/>
            <w14:ligatures w14:val="standardContextual"/>
          </w:rPr>
          <w:tab/>
        </w:r>
        <w:r w:rsidRPr="004B542D">
          <w:rPr>
            <w:rStyle w:val="Hyperlink"/>
          </w:rPr>
          <w:t>What is a transport radiation emergency?</w:t>
        </w:r>
        <w:r>
          <w:rPr>
            <w:webHidden/>
          </w:rPr>
          <w:tab/>
        </w:r>
        <w:r>
          <w:rPr>
            <w:webHidden/>
          </w:rPr>
          <w:fldChar w:fldCharType="begin"/>
        </w:r>
        <w:r>
          <w:rPr>
            <w:webHidden/>
          </w:rPr>
          <w:instrText xml:space="preserve"> PAGEREF _Toc235713326 \h </w:instrText>
        </w:r>
        <w:r>
          <w:rPr>
            <w:webHidden/>
          </w:rPr>
        </w:r>
        <w:r>
          <w:rPr>
            <w:webHidden/>
          </w:rPr>
          <w:fldChar w:fldCharType="separate"/>
        </w:r>
        <w:r>
          <w:rPr>
            <w:webHidden/>
          </w:rPr>
          <w:t>5</w:t>
        </w:r>
        <w:r>
          <w:rPr>
            <w:webHidden/>
          </w:rPr>
          <w:fldChar w:fldCharType="end"/>
        </w:r>
      </w:hyperlink>
    </w:p>
    <w:p w14:paraId="0A8C5A8B" w14:textId="3932C1E6" w:rsidR="008B4F50" w:rsidRDefault="008B4F5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5713327" w:history="1">
        <w:r w:rsidRPr="004B542D">
          <w:rPr>
            <w:rStyle w:val="Hyperlink"/>
          </w:rPr>
          <w:t>4.</w:t>
        </w:r>
        <w:r>
          <w:rPr>
            <w:rFonts w:asciiTheme="minorHAnsi" w:eastAsiaTheme="minorEastAsia" w:hAnsiTheme="minorHAnsi" w:cstheme="minorBidi"/>
            <w:kern w:val="2"/>
            <w:szCs w:val="24"/>
            <w:lang w:eastAsia="en-GB" w:bidi="ar-SA"/>
            <w14:ligatures w14:val="standardContextual"/>
          </w:rPr>
          <w:tab/>
        </w:r>
        <w:r w:rsidRPr="004B542D">
          <w:rPr>
            <w:rStyle w:val="Hyperlink"/>
          </w:rPr>
          <w:t>Who are emergency workers?</w:t>
        </w:r>
        <w:r>
          <w:rPr>
            <w:webHidden/>
          </w:rPr>
          <w:tab/>
        </w:r>
        <w:r>
          <w:rPr>
            <w:webHidden/>
          </w:rPr>
          <w:fldChar w:fldCharType="begin"/>
        </w:r>
        <w:r>
          <w:rPr>
            <w:webHidden/>
          </w:rPr>
          <w:instrText xml:space="preserve"> PAGEREF _Toc235713327 \h </w:instrText>
        </w:r>
        <w:r>
          <w:rPr>
            <w:webHidden/>
          </w:rPr>
        </w:r>
        <w:r>
          <w:rPr>
            <w:webHidden/>
          </w:rPr>
          <w:fldChar w:fldCharType="separate"/>
        </w:r>
        <w:r>
          <w:rPr>
            <w:webHidden/>
          </w:rPr>
          <w:t>6</w:t>
        </w:r>
        <w:r>
          <w:rPr>
            <w:webHidden/>
          </w:rPr>
          <w:fldChar w:fldCharType="end"/>
        </w:r>
      </w:hyperlink>
    </w:p>
    <w:p w14:paraId="457A2E0F" w14:textId="5DAF5825" w:rsidR="008B4F50" w:rsidRDefault="008B4F5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5713328" w:history="1">
        <w:r w:rsidRPr="004B542D">
          <w:rPr>
            <w:rStyle w:val="Hyperlink"/>
          </w:rPr>
          <w:t>5.</w:t>
        </w:r>
        <w:r>
          <w:rPr>
            <w:rFonts w:asciiTheme="minorHAnsi" w:eastAsiaTheme="minorEastAsia" w:hAnsiTheme="minorHAnsi" w:cstheme="minorBidi"/>
            <w:kern w:val="2"/>
            <w:szCs w:val="24"/>
            <w:lang w:eastAsia="en-GB" w:bidi="ar-SA"/>
            <w14:ligatures w14:val="standardContextual"/>
          </w:rPr>
          <w:tab/>
        </w:r>
        <w:r w:rsidRPr="004B542D">
          <w:rPr>
            <w:rStyle w:val="Hyperlink"/>
          </w:rPr>
          <w:t>What is an emergency exposure?</w:t>
        </w:r>
        <w:r>
          <w:rPr>
            <w:webHidden/>
          </w:rPr>
          <w:tab/>
        </w:r>
        <w:r>
          <w:rPr>
            <w:webHidden/>
          </w:rPr>
          <w:fldChar w:fldCharType="begin"/>
        </w:r>
        <w:r>
          <w:rPr>
            <w:webHidden/>
          </w:rPr>
          <w:instrText xml:space="preserve"> PAGEREF _Toc235713328 \h </w:instrText>
        </w:r>
        <w:r>
          <w:rPr>
            <w:webHidden/>
          </w:rPr>
        </w:r>
        <w:r>
          <w:rPr>
            <w:webHidden/>
          </w:rPr>
          <w:fldChar w:fldCharType="separate"/>
        </w:r>
        <w:r>
          <w:rPr>
            <w:webHidden/>
          </w:rPr>
          <w:t>6</w:t>
        </w:r>
        <w:r>
          <w:rPr>
            <w:webHidden/>
          </w:rPr>
          <w:fldChar w:fldCharType="end"/>
        </w:r>
      </w:hyperlink>
    </w:p>
    <w:p w14:paraId="7B45CBB0" w14:textId="567F63CB" w:rsidR="008B4F50" w:rsidRDefault="008B4F5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5713329" w:history="1">
        <w:r w:rsidRPr="004B542D">
          <w:rPr>
            <w:rStyle w:val="Hyperlink"/>
          </w:rPr>
          <w:t>6.</w:t>
        </w:r>
        <w:r>
          <w:rPr>
            <w:rFonts w:asciiTheme="minorHAnsi" w:eastAsiaTheme="minorEastAsia" w:hAnsiTheme="minorHAnsi" w:cstheme="minorBidi"/>
            <w:kern w:val="2"/>
            <w:szCs w:val="24"/>
            <w:lang w:eastAsia="en-GB" w:bidi="ar-SA"/>
            <w14:ligatures w14:val="standardContextual"/>
          </w:rPr>
          <w:tab/>
        </w:r>
        <w:r w:rsidRPr="004B542D">
          <w:rPr>
            <w:rStyle w:val="Hyperlink"/>
          </w:rPr>
          <w:t>Five steps to transport emergency planning</w:t>
        </w:r>
        <w:r>
          <w:rPr>
            <w:webHidden/>
          </w:rPr>
          <w:tab/>
        </w:r>
        <w:r>
          <w:rPr>
            <w:webHidden/>
          </w:rPr>
          <w:fldChar w:fldCharType="begin"/>
        </w:r>
        <w:r>
          <w:rPr>
            <w:webHidden/>
          </w:rPr>
          <w:instrText xml:space="preserve"> PAGEREF _Toc235713329 \h </w:instrText>
        </w:r>
        <w:r>
          <w:rPr>
            <w:webHidden/>
          </w:rPr>
        </w:r>
        <w:r>
          <w:rPr>
            <w:webHidden/>
          </w:rPr>
          <w:fldChar w:fldCharType="separate"/>
        </w:r>
        <w:r>
          <w:rPr>
            <w:webHidden/>
          </w:rPr>
          <w:t>7</w:t>
        </w:r>
        <w:r>
          <w:rPr>
            <w:webHidden/>
          </w:rPr>
          <w:fldChar w:fldCharType="end"/>
        </w:r>
      </w:hyperlink>
    </w:p>
    <w:p w14:paraId="3FA421C3" w14:textId="39F2CFA1" w:rsidR="008B4F50" w:rsidRDefault="008B4F50">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5713330" w:history="1">
        <w:r w:rsidRPr="004B542D">
          <w:rPr>
            <w:rStyle w:val="Hyperlink"/>
          </w:rPr>
          <w:t>6.1.</w:t>
        </w:r>
        <w:r>
          <w:rPr>
            <w:rFonts w:asciiTheme="minorHAnsi" w:eastAsiaTheme="minorEastAsia" w:hAnsiTheme="minorHAnsi" w:cstheme="minorBidi"/>
            <w:kern w:val="2"/>
            <w:szCs w:val="24"/>
            <w:lang w:eastAsia="en-GB" w:bidi="ar-SA"/>
            <w14:ligatures w14:val="standardContextual"/>
          </w:rPr>
          <w:tab/>
        </w:r>
        <w:r w:rsidRPr="004B542D">
          <w:rPr>
            <w:rStyle w:val="Hyperlink"/>
          </w:rPr>
          <w:t>Step 1 – Evaluate whether an emergency plan is required</w:t>
        </w:r>
        <w:r>
          <w:rPr>
            <w:webHidden/>
          </w:rPr>
          <w:tab/>
        </w:r>
        <w:r>
          <w:rPr>
            <w:webHidden/>
          </w:rPr>
          <w:fldChar w:fldCharType="begin"/>
        </w:r>
        <w:r>
          <w:rPr>
            <w:webHidden/>
          </w:rPr>
          <w:instrText xml:space="preserve"> PAGEREF _Toc235713330 \h </w:instrText>
        </w:r>
        <w:r>
          <w:rPr>
            <w:webHidden/>
          </w:rPr>
        </w:r>
        <w:r>
          <w:rPr>
            <w:webHidden/>
          </w:rPr>
          <w:fldChar w:fldCharType="separate"/>
        </w:r>
        <w:r>
          <w:rPr>
            <w:webHidden/>
          </w:rPr>
          <w:t>7</w:t>
        </w:r>
        <w:r>
          <w:rPr>
            <w:webHidden/>
          </w:rPr>
          <w:fldChar w:fldCharType="end"/>
        </w:r>
      </w:hyperlink>
    </w:p>
    <w:p w14:paraId="16B01560" w14:textId="278647EA" w:rsidR="008B4F50" w:rsidRDefault="008B4F50">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5713331" w:history="1">
        <w:r w:rsidRPr="004B542D">
          <w:rPr>
            <w:rStyle w:val="Hyperlink"/>
          </w:rPr>
          <w:t>6.2.</w:t>
        </w:r>
        <w:r>
          <w:rPr>
            <w:rFonts w:asciiTheme="minorHAnsi" w:eastAsiaTheme="minorEastAsia" w:hAnsiTheme="minorHAnsi" w:cstheme="minorBidi"/>
            <w:kern w:val="2"/>
            <w:szCs w:val="24"/>
            <w:lang w:eastAsia="en-GB" w:bidi="ar-SA"/>
            <w14:ligatures w14:val="standardContextual"/>
          </w:rPr>
          <w:tab/>
        </w:r>
        <w:r w:rsidRPr="004B542D">
          <w:rPr>
            <w:rStyle w:val="Hyperlink"/>
          </w:rPr>
          <w:t>Step 2 – Preparing an emergency plan</w:t>
        </w:r>
        <w:r>
          <w:rPr>
            <w:webHidden/>
          </w:rPr>
          <w:tab/>
        </w:r>
        <w:r>
          <w:rPr>
            <w:webHidden/>
          </w:rPr>
          <w:fldChar w:fldCharType="begin"/>
        </w:r>
        <w:r>
          <w:rPr>
            <w:webHidden/>
          </w:rPr>
          <w:instrText xml:space="preserve"> PAGEREF _Toc235713331 \h </w:instrText>
        </w:r>
        <w:r>
          <w:rPr>
            <w:webHidden/>
          </w:rPr>
        </w:r>
        <w:r>
          <w:rPr>
            <w:webHidden/>
          </w:rPr>
          <w:fldChar w:fldCharType="separate"/>
        </w:r>
        <w:r>
          <w:rPr>
            <w:webHidden/>
          </w:rPr>
          <w:t>8</w:t>
        </w:r>
        <w:r>
          <w:rPr>
            <w:webHidden/>
          </w:rPr>
          <w:fldChar w:fldCharType="end"/>
        </w:r>
      </w:hyperlink>
    </w:p>
    <w:p w14:paraId="7C30CE0D" w14:textId="39B773B3" w:rsidR="008B4F50" w:rsidRDefault="008B4F50">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5713332" w:history="1">
        <w:r w:rsidRPr="004B542D">
          <w:rPr>
            <w:rStyle w:val="Hyperlink"/>
          </w:rPr>
          <w:t>6.3.</w:t>
        </w:r>
        <w:r>
          <w:rPr>
            <w:rFonts w:asciiTheme="minorHAnsi" w:eastAsiaTheme="minorEastAsia" w:hAnsiTheme="minorHAnsi" w:cstheme="minorBidi"/>
            <w:kern w:val="2"/>
            <w:szCs w:val="24"/>
            <w:lang w:eastAsia="en-GB" w:bidi="ar-SA"/>
            <w14:ligatures w14:val="standardContextual"/>
          </w:rPr>
          <w:tab/>
        </w:r>
        <w:r w:rsidRPr="004B542D">
          <w:rPr>
            <w:rStyle w:val="Hyperlink"/>
          </w:rPr>
          <w:t>Step 3 – Review and testing of the emergency plan</w:t>
        </w:r>
        <w:r>
          <w:rPr>
            <w:webHidden/>
          </w:rPr>
          <w:tab/>
        </w:r>
        <w:r>
          <w:rPr>
            <w:webHidden/>
          </w:rPr>
          <w:fldChar w:fldCharType="begin"/>
        </w:r>
        <w:r>
          <w:rPr>
            <w:webHidden/>
          </w:rPr>
          <w:instrText xml:space="preserve"> PAGEREF _Toc235713332 \h </w:instrText>
        </w:r>
        <w:r>
          <w:rPr>
            <w:webHidden/>
          </w:rPr>
        </w:r>
        <w:r>
          <w:rPr>
            <w:webHidden/>
          </w:rPr>
          <w:fldChar w:fldCharType="separate"/>
        </w:r>
        <w:r>
          <w:rPr>
            <w:webHidden/>
          </w:rPr>
          <w:t>11</w:t>
        </w:r>
        <w:r>
          <w:rPr>
            <w:webHidden/>
          </w:rPr>
          <w:fldChar w:fldCharType="end"/>
        </w:r>
      </w:hyperlink>
    </w:p>
    <w:p w14:paraId="775DC22E" w14:textId="66A604A2" w:rsidR="008B4F50" w:rsidRDefault="008B4F50">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5713333" w:history="1">
        <w:r w:rsidRPr="004B542D">
          <w:rPr>
            <w:rStyle w:val="Hyperlink"/>
          </w:rPr>
          <w:t>6.4.</w:t>
        </w:r>
        <w:r>
          <w:rPr>
            <w:rFonts w:asciiTheme="minorHAnsi" w:eastAsiaTheme="minorEastAsia" w:hAnsiTheme="minorHAnsi" w:cstheme="minorBidi"/>
            <w:kern w:val="2"/>
            <w:szCs w:val="24"/>
            <w:lang w:eastAsia="en-GB" w:bidi="ar-SA"/>
            <w14:ligatures w14:val="standardContextual"/>
          </w:rPr>
          <w:tab/>
        </w:r>
        <w:r w:rsidRPr="004B542D">
          <w:rPr>
            <w:rStyle w:val="Hyperlink"/>
          </w:rPr>
          <w:t>Step 4 – Implementing the emergency plan</w:t>
        </w:r>
        <w:r>
          <w:rPr>
            <w:webHidden/>
          </w:rPr>
          <w:tab/>
        </w:r>
        <w:r>
          <w:rPr>
            <w:webHidden/>
          </w:rPr>
          <w:fldChar w:fldCharType="begin"/>
        </w:r>
        <w:r>
          <w:rPr>
            <w:webHidden/>
          </w:rPr>
          <w:instrText xml:space="preserve"> PAGEREF _Toc235713333 \h </w:instrText>
        </w:r>
        <w:r>
          <w:rPr>
            <w:webHidden/>
          </w:rPr>
        </w:r>
        <w:r>
          <w:rPr>
            <w:webHidden/>
          </w:rPr>
          <w:fldChar w:fldCharType="separate"/>
        </w:r>
        <w:r>
          <w:rPr>
            <w:webHidden/>
          </w:rPr>
          <w:t>15</w:t>
        </w:r>
        <w:r>
          <w:rPr>
            <w:webHidden/>
          </w:rPr>
          <w:fldChar w:fldCharType="end"/>
        </w:r>
      </w:hyperlink>
    </w:p>
    <w:p w14:paraId="62EF497B" w14:textId="2365B14C" w:rsidR="008B4F50" w:rsidRDefault="008B4F50">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5713334" w:history="1">
        <w:r w:rsidRPr="004B542D">
          <w:rPr>
            <w:rStyle w:val="Hyperlink"/>
          </w:rPr>
          <w:t>6.5.</w:t>
        </w:r>
        <w:r>
          <w:rPr>
            <w:rFonts w:asciiTheme="minorHAnsi" w:eastAsiaTheme="minorEastAsia" w:hAnsiTheme="minorHAnsi" w:cstheme="minorBidi"/>
            <w:kern w:val="2"/>
            <w:szCs w:val="24"/>
            <w:lang w:eastAsia="en-GB" w:bidi="ar-SA"/>
            <w14:ligatures w14:val="standardContextual"/>
          </w:rPr>
          <w:tab/>
        </w:r>
        <w:r w:rsidRPr="004B542D">
          <w:rPr>
            <w:rStyle w:val="Hyperlink"/>
          </w:rPr>
          <w:t>Step 5 – Reporting requirements after a radiation emergency</w:t>
        </w:r>
        <w:r>
          <w:rPr>
            <w:webHidden/>
          </w:rPr>
          <w:tab/>
        </w:r>
        <w:r>
          <w:rPr>
            <w:webHidden/>
          </w:rPr>
          <w:fldChar w:fldCharType="begin"/>
        </w:r>
        <w:r>
          <w:rPr>
            <w:webHidden/>
          </w:rPr>
          <w:instrText xml:space="preserve"> PAGEREF _Toc235713334 \h </w:instrText>
        </w:r>
        <w:r>
          <w:rPr>
            <w:webHidden/>
          </w:rPr>
        </w:r>
        <w:r>
          <w:rPr>
            <w:webHidden/>
          </w:rPr>
          <w:fldChar w:fldCharType="separate"/>
        </w:r>
        <w:r>
          <w:rPr>
            <w:webHidden/>
          </w:rPr>
          <w:t>19</w:t>
        </w:r>
        <w:r>
          <w:rPr>
            <w:webHidden/>
          </w:rPr>
          <w:fldChar w:fldCharType="end"/>
        </w:r>
      </w:hyperlink>
    </w:p>
    <w:p w14:paraId="10E2EDBF" w14:textId="76D8CDF8" w:rsidR="008B4F50" w:rsidRDefault="008B4F50">
      <w:pPr>
        <w:pStyle w:val="TOC1"/>
        <w:rPr>
          <w:rFonts w:asciiTheme="minorHAnsi" w:eastAsiaTheme="minorEastAsia" w:hAnsiTheme="minorHAnsi" w:cstheme="minorBidi"/>
          <w:kern w:val="2"/>
          <w:szCs w:val="24"/>
          <w:lang w:eastAsia="en-GB" w:bidi="ar-SA"/>
          <w14:ligatures w14:val="standardContextual"/>
        </w:rPr>
      </w:pPr>
      <w:hyperlink w:anchor="_Toc235713335" w:history="1">
        <w:r w:rsidRPr="004B542D">
          <w:rPr>
            <w:rStyle w:val="Hyperlink"/>
          </w:rPr>
          <w:t>References</w:t>
        </w:r>
        <w:r>
          <w:rPr>
            <w:webHidden/>
          </w:rPr>
          <w:tab/>
        </w:r>
        <w:r>
          <w:rPr>
            <w:webHidden/>
          </w:rPr>
          <w:fldChar w:fldCharType="begin"/>
        </w:r>
        <w:r>
          <w:rPr>
            <w:webHidden/>
          </w:rPr>
          <w:instrText xml:space="preserve"> PAGEREF _Toc235713335 \h </w:instrText>
        </w:r>
        <w:r>
          <w:rPr>
            <w:webHidden/>
          </w:rPr>
        </w:r>
        <w:r>
          <w:rPr>
            <w:webHidden/>
          </w:rPr>
          <w:fldChar w:fldCharType="separate"/>
        </w:r>
        <w:r>
          <w:rPr>
            <w:webHidden/>
          </w:rPr>
          <w:t>22</w:t>
        </w:r>
        <w:r>
          <w:rPr>
            <w:webHidden/>
          </w:rPr>
          <w:fldChar w:fldCharType="end"/>
        </w:r>
      </w:hyperlink>
    </w:p>
    <w:p w14:paraId="6CC767BD" w14:textId="3D53D812" w:rsidR="008B4F50" w:rsidRDefault="008B4F50">
      <w:pPr>
        <w:pStyle w:val="TOC1"/>
        <w:rPr>
          <w:rFonts w:asciiTheme="minorHAnsi" w:eastAsiaTheme="minorEastAsia" w:hAnsiTheme="minorHAnsi" w:cstheme="minorBidi"/>
          <w:kern w:val="2"/>
          <w:szCs w:val="24"/>
          <w:lang w:eastAsia="en-GB" w:bidi="ar-SA"/>
          <w14:ligatures w14:val="standardContextual"/>
        </w:rPr>
      </w:pPr>
      <w:hyperlink w:anchor="_Toc235713336" w:history="1">
        <w:r w:rsidRPr="004B542D">
          <w:rPr>
            <w:rStyle w:val="Hyperlink"/>
          </w:rPr>
          <w:t>Glossary</w:t>
        </w:r>
        <w:r>
          <w:rPr>
            <w:webHidden/>
          </w:rPr>
          <w:tab/>
        </w:r>
        <w:r>
          <w:rPr>
            <w:webHidden/>
          </w:rPr>
          <w:fldChar w:fldCharType="begin"/>
        </w:r>
        <w:r>
          <w:rPr>
            <w:webHidden/>
          </w:rPr>
          <w:instrText xml:space="preserve"> PAGEREF _Toc235713336 \h </w:instrText>
        </w:r>
        <w:r>
          <w:rPr>
            <w:webHidden/>
          </w:rPr>
        </w:r>
        <w:r>
          <w:rPr>
            <w:webHidden/>
          </w:rPr>
          <w:fldChar w:fldCharType="separate"/>
        </w:r>
        <w:r>
          <w:rPr>
            <w:webHidden/>
          </w:rPr>
          <w:t>23</w:t>
        </w:r>
        <w:r>
          <w:rPr>
            <w:webHidden/>
          </w:rPr>
          <w:fldChar w:fldCharType="end"/>
        </w:r>
      </w:hyperlink>
    </w:p>
    <w:p w14:paraId="38E3B612" w14:textId="70D9314F" w:rsidR="008B4F50" w:rsidRDefault="008B4F50">
      <w:pPr>
        <w:pStyle w:val="TOC1"/>
        <w:rPr>
          <w:rFonts w:asciiTheme="minorHAnsi" w:eastAsiaTheme="minorEastAsia" w:hAnsiTheme="minorHAnsi" w:cstheme="minorBidi"/>
          <w:kern w:val="2"/>
          <w:szCs w:val="24"/>
          <w:lang w:eastAsia="en-GB" w:bidi="ar-SA"/>
          <w14:ligatures w14:val="standardContextual"/>
        </w:rPr>
      </w:pPr>
      <w:hyperlink w:anchor="_Toc235713337" w:history="1">
        <w:r w:rsidRPr="004B542D">
          <w:rPr>
            <w:rStyle w:val="Hyperlink"/>
          </w:rPr>
          <w:t>Document control information</w:t>
        </w:r>
        <w:r>
          <w:rPr>
            <w:webHidden/>
          </w:rPr>
          <w:tab/>
        </w:r>
        <w:r>
          <w:rPr>
            <w:webHidden/>
          </w:rPr>
          <w:fldChar w:fldCharType="begin"/>
        </w:r>
        <w:r>
          <w:rPr>
            <w:webHidden/>
          </w:rPr>
          <w:instrText xml:space="preserve"> PAGEREF _Toc235713337 \h </w:instrText>
        </w:r>
        <w:r>
          <w:rPr>
            <w:webHidden/>
          </w:rPr>
        </w:r>
        <w:r>
          <w:rPr>
            <w:webHidden/>
          </w:rPr>
          <w:fldChar w:fldCharType="separate"/>
        </w:r>
        <w:r>
          <w:rPr>
            <w:webHidden/>
          </w:rPr>
          <w:t>23</w:t>
        </w:r>
        <w:r>
          <w:rPr>
            <w:webHidden/>
          </w:rPr>
          <w:fldChar w:fldCharType="end"/>
        </w:r>
      </w:hyperlink>
    </w:p>
    <w:p w14:paraId="0CC4B54A" w14:textId="26F023DA" w:rsidR="00267815" w:rsidRDefault="00AD167C" w:rsidP="00267815">
      <w:r>
        <w:fldChar w:fldCharType="end"/>
      </w:r>
    </w:p>
    <w:p w14:paraId="716B9A7E" w14:textId="77777777" w:rsidR="003E098E" w:rsidRDefault="003E098E" w:rsidP="00267815"/>
    <w:p w14:paraId="4812BFF8" w14:textId="1D099CA0" w:rsidR="003E098E" w:rsidRDefault="003E098E" w:rsidP="00267815">
      <w:pPr>
        <w:sectPr w:rsidR="003E098E" w:rsidSect="00B23A5E">
          <w:headerReference w:type="even" r:id="rId17"/>
          <w:headerReference w:type="default" r:id="rId18"/>
          <w:footerReference w:type="even" r:id="rId19"/>
          <w:footerReference w:type="default" r:id="rId20"/>
          <w:pgSz w:w="11906" w:h="16838" w:code="9"/>
          <w:pgMar w:top="1440" w:right="1440" w:bottom="1440" w:left="1440" w:header="397" w:footer="397" w:gutter="0"/>
          <w:cols w:space="312"/>
          <w:docGrid w:linePitch="360"/>
        </w:sectPr>
      </w:pPr>
    </w:p>
    <w:p w14:paraId="43A875A4" w14:textId="7F61F835" w:rsidR="008D49A5" w:rsidRPr="00223090" w:rsidRDefault="008D49A5" w:rsidP="00223090">
      <w:pPr>
        <w:pStyle w:val="Heading1"/>
      </w:pPr>
      <w:bookmarkStart w:id="1" w:name="_Toc235713324"/>
      <w:bookmarkEnd w:id="0"/>
      <w:r w:rsidRPr="00223090">
        <w:lastRenderedPageBreak/>
        <w:t>Introduction</w:t>
      </w:r>
      <w:bookmarkEnd w:id="1"/>
    </w:p>
    <w:p w14:paraId="68F1490A" w14:textId="56268FA6" w:rsidR="00DB0986" w:rsidRDefault="00527A9E" w:rsidP="00C963E6">
      <w:pPr>
        <w:pStyle w:val="F9-Paragraph"/>
        <w:numPr>
          <w:ilvl w:val="0"/>
          <w:numId w:val="27"/>
        </w:numPr>
        <w:ind w:left="851" w:hanging="851"/>
      </w:pPr>
      <w:bookmarkStart w:id="2" w:name="_Hlk64448648"/>
      <w:r>
        <w:t xml:space="preserve">Dutyholders wishing to transport class 7 </w:t>
      </w:r>
      <w:r w:rsidR="00AA61A6">
        <w:t>dangerous</w:t>
      </w:r>
      <w:r>
        <w:t xml:space="preserve"> </w:t>
      </w:r>
      <w:r w:rsidR="000106B4">
        <w:t>goods</w:t>
      </w:r>
      <w:r w:rsidR="00AA61A6">
        <w:t xml:space="preserve"> (radioactive material)</w:t>
      </w:r>
      <w:r w:rsidR="000106B4">
        <w:t xml:space="preserve"> into or within Great Britain (GB) by road, rail or inland waterway</w:t>
      </w:r>
      <w:r w:rsidR="00CE436B">
        <w:t>s</w:t>
      </w:r>
      <w:r w:rsidR="000106B4">
        <w:t xml:space="preserve"> must comply with the Carriage of Dangerous Goods and Use of Transportable Pressure Equipment Regulation</w:t>
      </w:r>
      <w:r w:rsidR="006A1E11">
        <w:t>s 2009 (CDG) [</w:t>
      </w:r>
      <w:r w:rsidR="00370279">
        <w:t>r</w:t>
      </w:r>
      <w:r w:rsidR="00945C6A">
        <w:t>ef.</w:t>
      </w:r>
      <w:sdt>
        <w:sdtPr>
          <w:id w:val="-81682331"/>
          <w:citation/>
        </w:sdtPr>
        <w:sdtEndPr/>
        <w:sdtContent>
          <w:r w:rsidR="00945C6A">
            <w:fldChar w:fldCharType="begin"/>
          </w:r>
          <w:r w:rsidR="00945C6A">
            <w:instrText xml:space="preserve"> CITATION CDG \l 2057 </w:instrText>
          </w:r>
          <w:r w:rsidR="00945C6A">
            <w:fldChar w:fldCharType="separate"/>
          </w:r>
          <w:r w:rsidR="000B190B">
            <w:rPr>
              <w:noProof/>
            </w:rPr>
            <w:t xml:space="preserve"> </w:t>
          </w:r>
          <w:r w:rsidR="000B190B" w:rsidRPr="000B190B">
            <w:rPr>
              <w:noProof/>
            </w:rPr>
            <w:t>[1]</w:t>
          </w:r>
          <w:r w:rsidR="00945C6A">
            <w:fldChar w:fldCharType="end"/>
          </w:r>
        </w:sdtContent>
      </w:sdt>
      <w:r w:rsidR="005B2A61">
        <w:t>]</w:t>
      </w:r>
      <w:r w:rsidR="004B6B6C">
        <w:t>.</w:t>
      </w:r>
    </w:p>
    <w:p w14:paraId="2B3B8F0E" w14:textId="62C9409B" w:rsidR="00935B20" w:rsidRDefault="00935B20" w:rsidP="00935B20">
      <w:pPr>
        <w:pStyle w:val="F9-Paragraph"/>
        <w:numPr>
          <w:ilvl w:val="0"/>
          <w:numId w:val="27"/>
        </w:numPr>
        <w:ind w:left="851" w:hanging="851"/>
      </w:pPr>
      <w:r w:rsidRPr="00935B20">
        <w:t xml:space="preserve">An amendment to CDG came into effect on 21 April 2019 (known as the Carriage of Dangerous Goods (Amendment) Regulations 2019). </w:t>
      </w:r>
      <w:r w:rsidR="000B190B">
        <w:br/>
      </w:r>
      <w:r w:rsidRPr="00935B20">
        <w:t xml:space="preserve">The amendment changed the requirements for emergency plans for dutyholders such as consignors and carriers of </w:t>
      </w:r>
      <w:r w:rsidR="00006545">
        <w:t>c</w:t>
      </w:r>
      <w:r w:rsidRPr="00935B20">
        <w:t xml:space="preserve">lass 7 dangerous goods. The legal duties relating to emergency plans are now set out in </w:t>
      </w:r>
      <w:r w:rsidR="00310027">
        <w:t>Part 1</w:t>
      </w:r>
      <w:r w:rsidRPr="00935B20">
        <w:t xml:space="preserve"> of Schedule 2 of the amended version of CDG.</w:t>
      </w:r>
    </w:p>
    <w:p w14:paraId="4DE1C9D8" w14:textId="65CC5B4F" w:rsidR="00503797" w:rsidRDefault="00503797" w:rsidP="00935B20">
      <w:pPr>
        <w:pStyle w:val="F9-Paragraph"/>
        <w:numPr>
          <w:ilvl w:val="0"/>
          <w:numId w:val="27"/>
        </w:numPr>
        <w:ind w:left="851" w:hanging="851"/>
      </w:pPr>
      <w:r>
        <w:t xml:space="preserve">The purpose of having a CDG emergency plan (referred </w:t>
      </w:r>
      <w:r w:rsidR="00EB5950">
        <w:t xml:space="preserve">to </w:t>
      </w:r>
      <w:r w:rsidR="00481507">
        <w:t xml:space="preserve">within this document </w:t>
      </w:r>
      <w:r>
        <w:t>as “emergency plan”), before transport takes place, is to prevent or mitigate the consequences of a radiation emergency</w:t>
      </w:r>
      <w:r w:rsidR="00496FF2">
        <w:t xml:space="preserve">. </w:t>
      </w:r>
      <w:r w:rsidR="00272041" w:rsidRPr="00272041">
        <w:t>Having a plan in place should also ensure that certain information about the emergency is shared with relevant authorities.</w:t>
      </w:r>
    </w:p>
    <w:p w14:paraId="753A91FB" w14:textId="52EE17C3" w:rsidR="000700C4" w:rsidRPr="000700C4" w:rsidRDefault="00E3522D" w:rsidP="00A53CA7">
      <w:pPr>
        <w:pStyle w:val="F9-Paragraph"/>
        <w:numPr>
          <w:ilvl w:val="0"/>
          <w:numId w:val="27"/>
        </w:numPr>
        <w:ind w:left="851" w:hanging="851"/>
      </w:pPr>
      <w:r>
        <w:t xml:space="preserve">The Office for Nuclear Regulation (ONR) </w:t>
      </w:r>
      <w:r w:rsidRPr="00E3522D">
        <w:t xml:space="preserve">is the </w:t>
      </w:r>
      <w:r>
        <w:t>c</w:t>
      </w:r>
      <w:r w:rsidRPr="00E3522D">
        <w:t xml:space="preserve">ompetent and </w:t>
      </w:r>
      <w:r>
        <w:t>e</w:t>
      </w:r>
      <w:r w:rsidRPr="00E3522D">
        <w:t xml:space="preserve">nforcing </w:t>
      </w:r>
      <w:r>
        <w:t>a</w:t>
      </w:r>
      <w:r w:rsidRPr="00E3522D">
        <w:t xml:space="preserve">uthority for CDG and the </w:t>
      </w:r>
      <w:r w:rsidR="00077CEA">
        <w:t>e</w:t>
      </w:r>
      <w:r w:rsidRPr="00E3522D">
        <w:t xml:space="preserve">nforcing </w:t>
      </w:r>
      <w:r w:rsidR="00077CEA">
        <w:t>a</w:t>
      </w:r>
      <w:r w:rsidRPr="00E3522D">
        <w:t xml:space="preserve">uthority for </w:t>
      </w:r>
      <w:r w:rsidR="003E5C0C" w:rsidRPr="003E5C0C">
        <w:t>the Ionising Radiations Regulations 2017 (IRR17)</w:t>
      </w:r>
      <w:r w:rsidRPr="00E3522D">
        <w:t xml:space="preserve"> for the civil transport of </w:t>
      </w:r>
      <w:r>
        <w:t xml:space="preserve">class 7 </w:t>
      </w:r>
      <w:r w:rsidR="0002561B">
        <w:t>dange</w:t>
      </w:r>
      <w:r w:rsidR="00BA511D">
        <w:t>r</w:t>
      </w:r>
      <w:r w:rsidR="0002561B">
        <w:t>o</w:t>
      </w:r>
      <w:r w:rsidR="00BA511D">
        <w:t>us</w:t>
      </w:r>
      <w:r w:rsidR="0002561B">
        <w:t xml:space="preserve"> goods</w:t>
      </w:r>
      <w:r w:rsidR="00023CBA">
        <w:t xml:space="preserve"> </w:t>
      </w:r>
      <w:r w:rsidRPr="00E3522D">
        <w:t>by road</w:t>
      </w:r>
      <w:r w:rsidR="00BA511D">
        <w:t xml:space="preserve">, </w:t>
      </w:r>
      <w:r w:rsidRPr="00E3522D">
        <w:t>rail and inland waterways in G</w:t>
      </w:r>
      <w:r w:rsidR="00D434E1">
        <w:t>B</w:t>
      </w:r>
      <w:r>
        <w:t xml:space="preserve">. ONR </w:t>
      </w:r>
      <w:r w:rsidR="000700C4" w:rsidRPr="000700C4">
        <w:t>has considered the requirements of Schedule 2 of CDG and incorporated these into five practical steps, which are set out in this guide. The five steps offer a logical approach to help dutyholders decide if an emergency plan is required and to subsequently prepare and implement the plan as necessary. This guide is applicable to the civil carriage of class 7 dangerous goods by road, rail</w:t>
      </w:r>
      <w:r w:rsidR="00F303E6">
        <w:t xml:space="preserve"> and</w:t>
      </w:r>
      <w:r w:rsidR="00712506">
        <w:t xml:space="preserve"> </w:t>
      </w:r>
      <w:r w:rsidR="000700C4" w:rsidRPr="000700C4">
        <w:t>inland waterway</w:t>
      </w:r>
      <w:r w:rsidR="00BC472E">
        <w:t>s</w:t>
      </w:r>
      <w:r w:rsidR="00481507">
        <w:rPr>
          <w:rStyle w:val="FootnoteReference"/>
        </w:rPr>
        <w:footnoteReference w:id="2"/>
      </w:r>
      <w:r w:rsidR="00481507">
        <w:t xml:space="preserve">. </w:t>
      </w:r>
      <w:r w:rsidR="000700C4" w:rsidRPr="000700C4">
        <w:t xml:space="preserve">The guide is not applicable to sea or air transport or transport belonging to or under the responsibility of one of the armed forces. </w:t>
      </w:r>
    </w:p>
    <w:p w14:paraId="028C9EFA" w14:textId="77777777" w:rsidR="000B190B" w:rsidRDefault="000B190B" w:rsidP="003A7D6C">
      <w:pPr>
        <w:pStyle w:val="Heading1"/>
        <w:sectPr w:rsidR="000B190B" w:rsidSect="00B23A5E">
          <w:headerReference w:type="even" r:id="rId21"/>
          <w:headerReference w:type="default" r:id="rId22"/>
          <w:footerReference w:type="even" r:id="rId23"/>
          <w:pgSz w:w="11906" w:h="16838" w:code="9"/>
          <w:pgMar w:top="1440" w:right="1440" w:bottom="1440" w:left="1440" w:header="397" w:footer="397" w:gutter="0"/>
          <w:cols w:space="312"/>
          <w:docGrid w:linePitch="360"/>
        </w:sectPr>
      </w:pPr>
    </w:p>
    <w:p w14:paraId="4E3E5464" w14:textId="5BE627F7" w:rsidR="00272041" w:rsidRDefault="003A7D6C" w:rsidP="003A7D6C">
      <w:pPr>
        <w:pStyle w:val="Heading1"/>
      </w:pPr>
      <w:bookmarkStart w:id="3" w:name="_Toc235713325"/>
      <w:r>
        <w:lastRenderedPageBreak/>
        <w:t>Who should read this guide?</w:t>
      </w:r>
      <w:bookmarkEnd w:id="3"/>
    </w:p>
    <w:p w14:paraId="0D33A0C5" w14:textId="2F2F8D7E" w:rsidR="00B726C3" w:rsidRDefault="005E4743" w:rsidP="003A7D6C">
      <w:pPr>
        <w:pStyle w:val="F9-Paragraph"/>
      </w:pPr>
      <w:r>
        <w:t xml:space="preserve">This guide is </w:t>
      </w:r>
      <w:r w:rsidR="003E3CD3">
        <w:t xml:space="preserve">aimed </w:t>
      </w:r>
      <w:r>
        <w:t>primarily at</w:t>
      </w:r>
      <w:r w:rsidR="009B3B1D">
        <w:t xml:space="preserve"> dutyholders with responsibility for ensuring </w:t>
      </w:r>
      <w:r w:rsidR="0087248B">
        <w:t>class 7 dangerous goods</w:t>
      </w:r>
      <w:r w:rsidR="009B3B1D">
        <w:t xml:space="preserve"> are safely transported into or within GB by road</w:t>
      </w:r>
      <w:r w:rsidR="00121566">
        <w:t xml:space="preserve">, rail </w:t>
      </w:r>
      <w:r w:rsidR="00815CC3">
        <w:t>and</w:t>
      </w:r>
      <w:r w:rsidR="00121566">
        <w:t xml:space="preserve"> inland waterway</w:t>
      </w:r>
      <w:r w:rsidR="00815CC3">
        <w:t>s</w:t>
      </w:r>
      <w:r w:rsidR="003E3CD3">
        <w:t>,</w:t>
      </w:r>
      <w:r w:rsidR="00746808">
        <w:t xml:space="preserve"> </w:t>
      </w:r>
      <w:r w:rsidR="006F57CE">
        <w:t xml:space="preserve">including </w:t>
      </w:r>
      <w:r w:rsidR="00746808">
        <w:t>dutyholders based overseas</w:t>
      </w:r>
      <w:r w:rsidR="001A12FA">
        <w:t xml:space="preserve"> who are transporting within</w:t>
      </w:r>
      <w:r w:rsidR="00815CC3">
        <w:t xml:space="preserve"> or </w:t>
      </w:r>
      <w:r w:rsidR="007F01EF">
        <w:t>into</w:t>
      </w:r>
      <w:r w:rsidR="001A12FA">
        <w:t xml:space="preserve"> GB</w:t>
      </w:r>
      <w:r w:rsidR="00A65E12">
        <w:t xml:space="preserve">. </w:t>
      </w:r>
      <w:r w:rsidR="007D168A" w:rsidRPr="007D168A">
        <w:t>To ensure compliance with GB specific legislation dutyholders based overseas should consult, and may need to appoint, suitably qualified and experienced Dangerous Goods Safety Advisers (DGSAs) and Radiation Protection Advisers (RPAs).</w:t>
      </w:r>
    </w:p>
    <w:p w14:paraId="13F74F1C" w14:textId="7ED47018" w:rsidR="005723CB" w:rsidRDefault="005723CB" w:rsidP="005723CB">
      <w:pPr>
        <w:pStyle w:val="F9-Paragraph"/>
      </w:pPr>
      <w:r w:rsidRPr="005723CB">
        <w:t xml:space="preserve">CDG </w:t>
      </w:r>
      <w:r w:rsidR="007F01EF">
        <w:t>Schedule 2</w:t>
      </w:r>
      <w:r w:rsidR="00EB1021">
        <w:t xml:space="preserve"> </w:t>
      </w:r>
      <w:r w:rsidRPr="005723CB">
        <w:t xml:space="preserve">places the majority of duties on </w:t>
      </w:r>
      <w:r w:rsidR="00B02856">
        <w:t xml:space="preserve">consignors and </w:t>
      </w:r>
      <w:r w:rsidRPr="005723CB">
        <w:t>carriers of class 7</w:t>
      </w:r>
      <w:r w:rsidR="005501CD">
        <w:t xml:space="preserve"> dangerous</w:t>
      </w:r>
      <w:r w:rsidRPr="005723CB">
        <w:t xml:space="preserve"> goods for emergency planning. For example, </w:t>
      </w:r>
      <w:r w:rsidR="003D588A">
        <w:t xml:space="preserve">consignors and carriers </w:t>
      </w:r>
      <w:r w:rsidRPr="005723CB">
        <w:t xml:space="preserve">are the dutyholders </w:t>
      </w:r>
      <w:r w:rsidR="00C772B0">
        <w:t>responsible for</w:t>
      </w:r>
      <w:r w:rsidRPr="005723CB">
        <w:t xml:space="preserve"> preparing, implementing and testing emergency plans and reporting emergencies. CDG also places specific duties on those with a role in the emergency plan, such as drivers and vessel masters.</w:t>
      </w:r>
    </w:p>
    <w:p w14:paraId="3AD11C75" w14:textId="194AB9DE" w:rsidR="00332209" w:rsidRDefault="00F94FA1" w:rsidP="005723CB">
      <w:pPr>
        <w:pStyle w:val="F9-Paragraph"/>
      </w:pPr>
      <w:r w:rsidRPr="00F94FA1">
        <w:t>Where transport occurs over a large distance or internationally</w:t>
      </w:r>
      <w:r w:rsidR="003E3CD3">
        <w:t>,</w:t>
      </w:r>
      <w:r w:rsidRPr="00F94FA1">
        <w:t xml:space="preserve"> the ability of the consignor to respond to a radiation emergency may not be sufficient to meet the </w:t>
      </w:r>
      <w:r w:rsidR="00651004">
        <w:t>emergency preparedness and response requirements of C</w:t>
      </w:r>
      <w:r>
        <w:t>DG</w:t>
      </w:r>
      <w:r w:rsidRPr="00F94FA1">
        <w:t xml:space="preserve">. </w:t>
      </w:r>
      <w:r w:rsidR="000B190B">
        <w:br/>
      </w:r>
      <w:r w:rsidRPr="00F94FA1">
        <w:t>In such cases, where the consignee</w:t>
      </w:r>
      <w:r w:rsidR="00351B8B">
        <w:t xml:space="preserve"> or importer</w:t>
      </w:r>
      <w:r w:rsidRPr="00F94FA1">
        <w:t xml:space="preserve"> is involved in arranging the transport, in accordance with CDG Reg</w:t>
      </w:r>
      <w:r w:rsidR="0089495F">
        <w:t>ulation</w:t>
      </w:r>
      <w:r w:rsidRPr="00F94FA1">
        <w:t xml:space="preserve"> 5, the consignee</w:t>
      </w:r>
      <w:r w:rsidR="00702ADA">
        <w:t xml:space="preserve"> or </w:t>
      </w:r>
      <w:r w:rsidR="001B15E6">
        <w:t>importer</w:t>
      </w:r>
      <w:r w:rsidRPr="00F94FA1">
        <w:t xml:space="preserve"> may have a duty to ensure that </w:t>
      </w:r>
      <w:r w:rsidR="001B15E6">
        <w:t>appropriate</w:t>
      </w:r>
      <w:r w:rsidR="001B15E6" w:rsidRPr="00F94FA1">
        <w:t xml:space="preserve"> </w:t>
      </w:r>
      <w:r w:rsidRPr="00F94FA1">
        <w:t xml:space="preserve">emergency plans are put in place. This </w:t>
      </w:r>
      <w:r w:rsidR="001B15E6">
        <w:t>can</w:t>
      </w:r>
      <w:r w:rsidR="001B15E6" w:rsidRPr="00F94FA1">
        <w:t xml:space="preserve"> </w:t>
      </w:r>
      <w:r w:rsidRPr="00F94FA1">
        <w:t xml:space="preserve">include taking on the </w:t>
      </w:r>
      <w:r w:rsidR="000F7FA5">
        <w:t xml:space="preserve">CDG </w:t>
      </w:r>
      <w:r w:rsidRPr="00F94FA1">
        <w:t xml:space="preserve">Schedule 2 duties of the consignor. Where this occurs it should be clear in </w:t>
      </w:r>
      <w:r w:rsidR="002B52B0">
        <w:t xml:space="preserve">the written </w:t>
      </w:r>
      <w:r w:rsidRPr="00F94FA1">
        <w:t>contract and</w:t>
      </w:r>
      <w:r w:rsidR="00222DCE">
        <w:t xml:space="preserve"> any associated</w:t>
      </w:r>
      <w:r w:rsidRPr="00F94FA1">
        <w:t xml:space="preserve"> documentation </w:t>
      </w:r>
      <w:r w:rsidR="0098465F">
        <w:t xml:space="preserve">should clearly identify </w:t>
      </w:r>
      <w:r w:rsidR="0098588A">
        <w:t>the</w:t>
      </w:r>
      <w:r w:rsidRPr="00F94FA1">
        <w:t xml:space="preserve"> responsibilities of all parties.</w:t>
      </w:r>
      <w:r w:rsidR="000D1DA7">
        <w:t xml:space="preserve"> </w:t>
      </w:r>
      <w:r w:rsidR="000D1DA7" w:rsidRPr="000D1DA7">
        <w:t>In cases</w:t>
      </w:r>
      <w:r w:rsidR="00793EA0">
        <w:t xml:space="preserve"> where the consignee or importer take on the responsibilities of the consignor, </w:t>
      </w:r>
      <w:r w:rsidR="000D1DA7" w:rsidRPr="000D1DA7">
        <w:t>it is the consignee</w:t>
      </w:r>
      <w:r w:rsidR="00C304B3">
        <w:t xml:space="preserve"> or importer</w:t>
      </w:r>
      <w:r w:rsidR="00614AA1">
        <w:t>’</w:t>
      </w:r>
      <w:r w:rsidR="000D1DA7" w:rsidRPr="000D1DA7">
        <w:t xml:space="preserve">s duty to ensure that any carrier or consignee acting under their control or </w:t>
      </w:r>
      <w:r w:rsidR="001B15E6">
        <w:t xml:space="preserve">by their </w:t>
      </w:r>
      <w:r w:rsidR="000D1DA7" w:rsidRPr="000D1DA7">
        <w:t>request is compliant with the relevant legislation.</w:t>
      </w:r>
    </w:p>
    <w:p w14:paraId="3BFC5C6C" w14:textId="150454CC" w:rsidR="00725589" w:rsidRPr="00725589" w:rsidRDefault="00725589" w:rsidP="00725589">
      <w:pPr>
        <w:pStyle w:val="F9-Paragraph"/>
      </w:pPr>
      <w:r>
        <w:t>This guide may also be of use to s</w:t>
      </w:r>
      <w:r w:rsidRPr="00725589">
        <w:t>afety professionals involved in advising dutyholders on their emergency plans, including DGSAs and RPAs</w:t>
      </w:r>
      <w:r>
        <w:t xml:space="preserve">. </w:t>
      </w:r>
      <w:r w:rsidRPr="00725589">
        <w:t xml:space="preserve">  </w:t>
      </w:r>
    </w:p>
    <w:p w14:paraId="1C6BB061" w14:textId="77777777" w:rsidR="000B190B" w:rsidRDefault="000B190B" w:rsidP="000F7FA5">
      <w:pPr>
        <w:pStyle w:val="Heading1"/>
        <w:sectPr w:rsidR="000B190B" w:rsidSect="00B23A5E">
          <w:pgSz w:w="11906" w:h="16838" w:code="9"/>
          <w:pgMar w:top="1440" w:right="1440" w:bottom="1440" w:left="1440" w:header="397" w:footer="397" w:gutter="0"/>
          <w:cols w:space="312"/>
          <w:docGrid w:linePitch="360"/>
        </w:sectPr>
      </w:pPr>
    </w:p>
    <w:p w14:paraId="3C3C3AB1" w14:textId="56EE787D" w:rsidR="00C71026" w:rsidRDefault="00B207C1" w:rsidP="000F7FA5">
      <w:pPr>
        <w:pStyle w:val="Heading1"/>
      </w:pPr>
      <w:bookmarkStart w:id="4" w:name="_Toc235713326"/>
      <w:r>
        <w:lastRenderedPageBreak/>
        <w:t>What is a transport radiation emergency?</w:t>
      </w:r>
      <w:bookmarkEnd w:id="4"/>
    </w:p>
    <w:p w14:paraId="406B9292" w14:textId="0A92A90E" w:rsidR="00B207C1" w:rsidRDefault="00267433" w:rsidP="00AC55CD">
      <w:pPr>
        <w:pStyle w:val="F9-Paragraph"/>
      </w:pPr>
      <w:r>
        <w:t>A t</w:t>
      </w:r>
      <w:r w:rsidR="00AC55CD">
        <w:t xml:space="preserve">ransport radiation emergency </w:t>
      </w:r>
      <w:r>
        <w:t>is</w:t>
      </w:r>
      <w:r w:rsidR="00AC55CD">
        <w:t xml:space="preserve"> an unexpected situation arising during the carriage of class 7 dangerous goods that requires prompt action to protect workers or members of the public from </w:t>
      </w:r>
      <w:r w:rsidR="005C5F0B">
        <w:t xml:space="preserve">the serious consequences of </w:t>
      </w:r>
      <w:r w:rsidR="00AC55CD">
        <w:t xml:space="preserve">radiation exposure or risks to their health and safety. </w:t>
      </w:r>
      <w:r w:rsidR="00314158">
        <w:t xml:space="preserve">A radiation emergency may involve a loss of radiation shielding, release of all or part of the radioactive contents of a package, or an uncontrolled criticality event. </w:t>
      </w:r>
    </w:p>
    <w:p w14:paraId="71ED52A2" w14:textId="77777777" w:rsidR="00314158" w:rsidRPr="00314158" w:rsidRDefault="00314158" w:rsidP="00314158">
      <w:pPr>
        <w:pStyle w:val="F9-Paragraph"/>
      </w:pPr>
      <w:r w:rsidRPr="00314158">
        <w:t xml:space="preserve">Protection of workers and members of the public extends to include the protection of human life, health and safety, quality of life, property and the environment. </w:t>
      </w:r>
    </w:p>
    <w:p w14:paraId="0713A063" w14:textId="736AACF4" w:rsidR="00314158" w:rsidRPr="00314158" w:rsidRDefault="00314158" w:rsidP="00314158">
      <w:pPr>
        <w:pStyle w:val="F9-Paragraph"/>
      </w:pPr>
      <w:r w:rsidRPr="00314158">
        <w:t xml:space="preserve">Events are not considered to be radiation emergencies where the estimated effective radiation doses are at or below 1 mSv to any individual over a period of one year following the emergency. This is because, in most cases, serious consequences do not occur below 1 mSv. Whether an emergency plan is required under CDG or not, </w:t>
      </w:r>
      <w:r w:rsidR="003E5C0C">
        <w:t xml:space="preserve">IRR17 </w:t>
      </w:r>
      <w:r w:rsidRPr="00314158">
        <w:t>[</w:t>
      </w:r>
      <w:r w:rsidR="00370279">
        <w:t>r</w:t>
      </w:r>
      <w:r w:rsidRPr="00314158">
        <w:t xml:space="preserve">ef. </w:t>
      </w:r>
      <w:sdt>
        <w:sdtPr>
          <w:id w:val="45655679"/>
          <w:citation/>
        </w:sdtPr>
        <w:sdtEndPr/>
        <w:sdtContent>
          <w:r>
            <w:fldChar w:fldCharType="begin"/>
          </w:r>
          <w:r>
            <w:instrText xml:space="preserve"> CITATION Hea \l 2057 </w:instrText>
          </w:r>
          <w:r>
            <w:fldChar w:fldCharType="separate"/>
          </w:r>
          <w:r w:rsidR="000B190B" w:rsidRPr="000B190B">
            <w:rPr>
              <w:noProof/>
            </w:rPr>
            <w:t>[2]</w:t>
          </w:r>
          <w:r>
            <w:fldChar w:fldCharType="end"/>
          </w:r>
        </w:sdtContent>
      </w:sdt>
      <w:r w:rsidRPr="00314158">
        <w:t>] require</w:t>
      </w:r>
      <w:r w:rsidR="003E5C0C">
        <w:t>s</w:t>
      </w:r>
      <w:r w:rsidRPr="00314158">
        <w:t xml:space="preserve"> contingency plans to be made whenever a radiation accident is reasonably foreseeable, i.e.</w:t>
      </w:r>
      <w:r w:rsidR="000B190B">
        <w:t>,</w:t>
      </w:r>
      <w:r w:rsidRPr="00314158">
        <w:t xml:space="preserve"> the 1 mSv dose is not applicable to contingency plans made under IRR17. </w:t>
      </w:r>
    </w:p>
    <w:p w14:paraId="1A9B3F5F" w14:textId="77777777" w:rsidR="000B190B" w:rsidRDefault="000B190B" w:rsidP="00314158">
      <w:pPr>
        <w:pStyle w:val="Heading1"/>
        <w:sectPr w:rsidR="000B190B" w:rsidSect="00B23A5E">
          <w:pgSz w:w="11906" w:h="16838" w:code="9"/>
          <w:pgMar w:top="1440" w:right="1440" w:bottom="1440" w:left="1440" w:header="397" w:footer="397" w:gutter="0"/>
          <w:cols w:space="312"/>
          <w:docGrid w:linePitch="360"/>
        </w:sectPr>
      </w:pPr>
    </w:p>
    <w:p w14:paraId="6F46AA9B" w14:textId="4C72B58D" w:rsidR="00314158" w:rsidRDefault="00314158" w:rsidP="00314158">
      <w:pPr>
        <w:pStyle w:val="Heading1"/>
      </w:pPr>
      <w:bookmarkStart w:id="5" w:name="_Toc235713327"/>
      <w:r>
        <w:lastRenderedPageBreak/>
        <w:t>Who are emergency workers?</w:t>
      </w:r>
      <w:bookmarkEnd w:id="5"/>
    </w:p>
    <w:p w14:paraId="4B23D467" w14:textId="11D0784D" w:rsidR="00314158" w:rsidRPr="00314158" w:rsidRDefault="00314158" w:rsidP="00314158">
      <w:pPr>
        <w:pStyle w:val="F9-Paragraph"/>
      </w:pPr>
      <w:r w:rsidRPr="00314158">
        <w:t xml:space="preserve">An emergency worker, for the purposes of CDG, is a person who might be exposed to radiation as a result of taking action in response to a radiation emergency. The person will have taken this action either because they have a defined role in the emergency plan as a Category 1 responder or because they have been identified in the plan to assist in the handling of the emergency. </w:t>
      </w:r>
    </w:p>
    <w:p w14:paraId="1A0C4DB8" w14:textId="0C28E230" w:rsidR="00314158" w:rsidRDefault="00314158" w:rsidP="00AE52E7">
      <w:pPr>
        <w:pStyle w:val="F9-Paragraph"/>
      </w:pPr>
      <w:r w:rsidRPr="00314158">
        <w:t xml:space="preserve">Category 1 </w:t>
      </w:r>
      <w:r w:rsidR="002F670D">
        <w:t xml:space="preserve">and Category 2 </w:t>
      </w:r>
      <w:r w:rsidRPr="00314158">
        <w:t>responder</w:t>
      </w:r>
      <w:r w:rsidR="002F670D">
        <w:t>s</w:t>
      </w:r>
      <w:r w:rsidR="007A069C">
        <w:t xml:space="preserve"> </w:t>
      </w:r>
      <w:r w:rsidR="002F670D">
        <w:t>are</w:t>
      </w:r>
      <w:r w:rsidR="007A069C">
        <w:t xml:space="preserve"> </w:t>
      </w:r>
      <w:r w:rsidRPr="00314158">
        <w:t>role</w:t>
      </w:r>
      <w:r w:rsidR="002F670D">
        <w:t>s</w:t>
      </w:r>
      <w:r w:rsidRPr="00314158">
        <w:t xml:space="preserve"> specified within CDG, although the legal definition of the roles is from The Civil Contingencies Act 2004. This separate but related legislation governs emergency preparedness and response for most other types of emergenc</w:t>
      </w:r>
      <w:r w:rsidR="00C81736">
        <w:t>ies</w:t>
      </w:r>
      <w:r w:rsidRPr="00314158">
        <w:t xml:space="preserve">. </w:t>
      </w:r>
      <w:r w:rsidR="00C73B8C">
        <w:t>Category 1 responders include</w:t>
      </w:r>
      <w:r w:rsidR="008519C8">
        <w:t xml:space="preserve"> </w:t>
      </w:r>
      <w:r w:rsidRPr="00314158">
        <w:t xml:space="preserve">organisations at the core of the response to most emergencies, </w:t>
      </w:r>
      <w:r w:rsidR="000B190B">
        <w:br/>
      </w:r>
      <w:r w:rsidRPr="00314158">
        <w:t>i.e.</w:t>
      </w:r>
      <w:r w:rsidR="000B190B">
        <w:t>,</w:t>
      </w:r>
      <w:r w:rsidRPr="00314158">
        <w:t xml:space="preserve"> the emergency services, local authorities and NHS bodies. </w:t>
      </w:r>
      <w:r w:rsidR="00C73B8C">
        <w:t>Category 2 responders</w:t>
      </w:r>
      <w:r w:rsidR="00C32B9D">
        <w:t xml:space="preserve"> include organisations with a less direct role</w:t>
      </w:r>
      <w:r w:rsidR="00F22BE0">
        <w:t xml:space="preserve"> such as ONR, the Health and Safety Executive (HSE) and transport and utilities companies. </w:t>
      </w:r>
    </w:p>
    <w:p w14:paraId="3A8640EA" w14:textId="4B1C1836" w:rsidR="00107A25" w:rsidRDefault="00845BA5" w:rsidP="00314158">
      <w:pPr>
        <w:pStyle w:val="F9-Paragraph"/>
      </w:pPr>
      <w:r>
        <w:t>Employees or other workers</w:t>
      </w:r>
      <w:r w:rsidR="00503038">
        <w:t xml:space="preserve"> (including emergency services)</w:t>
      </w:r>
      <w:r>
        <w:t xml:space="preserve"> identified within the emergency plan as being required to assist in the handling of the e</w:t>
      </w:r>
      <w:r w:rsidR="00364CAF">
        <w:t>mergency may be considered eme</w:t>
      </w:r>
      <w:r w:rsidR="00267491">
        <w:t xml:space="preserve">rgency workers. This may include </w:t>
      </w:r>
      <w:r w:rsidR="0035439B">
        <w:t xml:space="preserve">workers for </w:t>
      </w:r>
      <w:r w:rsidR="005D4ED2">
        <w:t>companies such as recovery vehicle drivers or crane operators.</w:t>
      </w:r>
    </w:p>
    <w:p w14:paraId="43079849" w14:textId="3D6A853D" w:rsidR="00314158" w:rsidRDefault="00314158" w:rsidP="00314158">
      <w:pPr>
        <w:pStyle w:val="F9-Paragraph"/>
      </w:pPr>
      <w:r w:rsidRPr="00314158">
        <w:t xml:space="preserve">Members of the public, persons without a defined role in the emergency plan and workers not specifically employed to assist in the transition from an emergency are not considered to be emergency workers. </w:t>
      </w:r>
    </w:p>
    <w:p w14:paraId="570D0FD2" w14:textId="77777777" w:rsidR="000B190B" w:rsidRPr="00314158" w:rsidRDefault="000B190B" w:rsidP="000B190B">
      <w:pPr>
        <w:pStyle w:val="F9-Paragraph"/>
        <w:numPr>
          <w:ilvl w:val="0"/>
          <w:numId w:val="0"/>
        </w:numPr>
        <w:ind w:left="851"/>
      </w:pPr>
    </w:p>
    <w:p w14:paraId="6ECF2E46" w14:textId="6F80A150" w:rsidR="00314158" w:rsidRDefault="00840E35" w:rsidP="00840E35">
      <w:pPr>
        <w:pStyle w:val="Heading1"/>
      </w:pPr>
      <w:bookmarkStart w:id="6" w:name="_Toc235713328"/>
      <w:r>
        <w:t>What is an emergency exposure</w:t>
      </w:r>
      <w:r w:rsidR="00B52CFC">
        <w:t>?</w:t>
      </w:r>
      <w:bookmarkEnd w:id="6"/>
    </w:p>
    <w:p w14:paraId="55379FCD" w14:textId="42EF6A2A" w:rsidR="00840E35" w:rsidRPr="00840E35" w:rsidRDefault="00840E35" w:rsidP="00840E35">
      <w:pPr>
        <w:pStyle w:val="F9-Paragraph"/>
      </w:pPr>
      <w:r w:rsidRPr="00840E35">
        <w:t xml:space="preserve">An emergency exposure is the radiation dose received by an employee in responding to a radiation emergency. It is not the dose received from an event leading up to the radiation emergency (before the radiation emergency occurs). These doses are the subject of IRR17. </w:t>
      </w:r>
    </w:p>
    <w:p w14:paraId="0B44D740" w14:textId="1779F40D" w:rsidR="00840E35" w:rsidRPr="00840E35" w:rsidRDefault="00840E35" w:rsidP="00840E35">
      <w:pPr>
        <w:pStyle w:val="F9-Paragraph"/>
      </w:pPr>
      <w:r w:rsidRPr="00840E35">
        <w:t xml:space="preserve">An emergency exposure </w:t>
      </w:r>
      <w:r w:rsidR="00880B85">
        <w:t xml:space="preserve">could </w:t>
      </w:r>
      <w:r w:rsidRPr="00840E35">
        <w:t>result in a radiation dose that exceeds one of the dose limits stated in Regulation 12 of IRR17 [</w:t>
      </w:r>
      <w:r w:rsidR="00370279">
        <w:t>r</w:t>
      </w:r>
      <w:r w:rsidRPr="00840E35">
        <w:t>ef.</w:t>
      </w:r>
      <w:sdt>
        <w:sdtPr>
          <w:id w:val="-850340975"/>
          <w:citation/>
        </w:sdtPr>
        <w:sdtEndPr/>
        <w:sdtContent>
          <w:r w:rsidR="00B858F9">
            <w:fldChar w:fldCharType="begin"/>
          </w:r>
          <w:r w:rsidR="00B858F9">
            <w:instrText xml:space="preserve"> CITATION Hea \l 2057 </w:instrText>
          </w:r>
          <w:r w:rsidR="00B858F9">
            <w:fldChar w:fldCharType="separate"/>
          </w:r>
          <w:r w:rsidR="000B190B">
            <w:rPr>
              <w:noProof/>
            </w:rPr>
            <w:t xml:space="preserve"> </w:t>
          </w:r>
          <w:r w:rsidR="000B190B" w:rsidRPr="000B190B">
            <w:rPr>
              <w:noProof/>
            </w:rPr>
            <w:t>[2]</w:t>
          </w:r>
          <w:r w:rsidR="00B858F9">
            <w:fldChar w:fldCharType="end"/>
          </w:r>
        </w:sdtContent>
      </w:sdt>
      <w:r w:rsidRPr="00840E35">
        <w:t xml:space="preserve">]. </w:t>
      </w:r>
      <w:r w:rsidR="000B190B">
        <w:br/>
      </w:r>
      <w:r w:rsidRPr="00840E35">
        <w:t xml:space="preserve">Emergency exposures are only permitted to be accrued by emergency workers during a radiation emergency to: </w:t>
      </w:r>
    </w:p>
    <w:p w14:paraId="151D6339" w14:textId="28C559B6" w:rsidR="00840E35" w:rsidRDefault="00840E35" w:rsidP="00840E35">
      <w:pPr>
        <w:pStyle w:val="Bulletlist1"/>
      </w:pPr>
      <w:r>
        <w:t>Bring help to endangered persons;</w:t>
      </w:r>
    </w:p>
    <w:p w14:paraId="073AECE2" w14:textId="7E507F03" w:rsidR="00840E35" w:rsidRDefault="00840E35" w:rsidP="00840E35">
      <w:pPr>
        <w:pStyle w:val="Bulletlist1"/>
      </w:pPr>
      <w:r>
        <w:t>Prevent exposure of a large number of persons; or</w:t>
      </w:r>
    </w:p>
    <w:p w14:paraId="48010411" w14:textId="4DDBA35D" w:rsidR="00840E35" w:rsidRDefault="00840E35" w:rsidP="00840E35">
      <w:pPr>
        <w:pStyle w:val="Bulletlist1"/>
      </w:pPr>
      <w:r>
        <w:t>Save a valuable installation or goods.</w:t>
      </w:r>
    </w:p>
    <w:p w14:paraId="2FAA29EF" w14:textId="77777777" w:rsidR="000B190B" w:rsidRDefault="000B190B" w:rsidP="00840E35">
      <w:pPr>
        <w:pStyle w:val="Heading1"/>
        <w:sectPr w:rsidR="000B190B" w:rsidSect="00B23A5E">
          <w:pgSz w:w="11906" w:h="16838" w:code="9"/>
          <w:pgMar w:top="1440" w:right="1440" w:bottom="1440" w:left="1440" w:header="397" w:footer="397" w:gutter="0"/>
          <w:cols w:space="312"/>
          <w:docGrid w:linePitch="360"/>
        </w:sectPr>
      </w:pPr>
    </w:p>
    <w:p w14:paraId="5174A355" w14:textId="749815B8" w:rsidR="00840E35" w:rsidRDefault="00840E35" w:rsidP="00840E35">
      <w:pPr>
        <w:pStyle w:val="Heading1"/>
      </w:pPr>
      <w:bookmarkStart w:id="7" w:name="_Toc235713329"/>
      <w:r>
        <w:lastRenderedPageBreak/>
        <w:t>Five steps to transport emergency planning</w:t>
      </w:r>
      <w:bookmarkEnd w:id="7"/>
    </w:p>
    <w:p w14:paraId="12F0A31B" w14:textId="7E9693CE" w:rsidR="00840E35" w:rsidRDefault="00840E35" w:rsidP="00840E35">
      <w:pPr>
        <w:pStyle w:val="Heading2"/>
      </w:pPr>
      <w:bookmarkStart w:id="8" w:name="_Toc235713330"/>
      <w:r>
        <w:t>Step 1 – Evaluate whether an emergency plan is required</w:t>
      </w:r>
      <w:bookmarkEnd w:id="8"/>
    </w:p>
    <w:p w14:paraId="0E94820F" w14:textId="3CD19A11" w:rsidR="00B858F9" w:rsidRPr="00B858F9" w:rsidRDefault="00A13DD2" w:rsidP="00B858F9">
      <w:pPr>
        <w:pStyle w:val="F9-Paragraph"/>
      </w:pPr>
      <w:r>
        <w:t>CDG Schedule 2</w:t>
      </w:r>
      <w:r w:rsidR="002E316C">
        <w:t xml:space="preserve">, </w:t>
      </w:r>
      <w:r w:rsidR="005722BC">
        <w:t>P</w:t>
      </w:r>
      <w:r w:rsidR="002E316C">
        <w:t>ara</w:t>
      </w:r>
      <w:r w:rsidR="005722BC">
        <w:t>graph</w:t>
      </w:r>
      <w:r w:rsidR="002E316C">
        <w:t xml:space="preserve"> </w:t>
      </w:r>
      <w:r w:rsidR="001524C7">
        <w:t>2 requires dutyholder</w:t>
      </w:r>
      <w:r w:rsidR="00FF52CF">
        <w:t>s to</w:t>
      </w:r>
      <w:r w:rsidR="001524C7">
        <w:t xml:space="preserve"> carry out an IRR17 radiation risk assessment </w:t>
      </w:r>
      <w:r w:rsidR="00D32B90">
        <w:t xml:space="preserve">(RRA) </w:t>
      </w:r>
      <w:r w:rsidR="001524C7">
        <w:t>as if they were an employer</w:t>
      </w:r>
      <w:r w:rsidR="00F550BE">
        <w:t xml:space="preserve"> under those regulations</w:t>
      </w:r>
      <w:r w:rsidR="001524C7">
        <w:t xml:space="preserve">. </w:t>
      </w:r>
      <w:r w:rsidR="00B858F9" w:rsidRPr="00B858F9">
        <w:t>Regulation 8 of IRR17 requires employers (as the dutyholders) to perform a RRA before doing work for the first time with radioactive material. This definition includes dutyholders carrying out work involving the transport of radioactive material. Dutyholders must ensure the RRA is suitable and sufficient and must review the assessment if there is reason to suspect it is no longer valid or there has been significant change in the work activity.</w:t>
      </w:r>
    </w:p>
    <w:p w14:paraId="3F762BAC" w14:textId="3E300369" w:rsidR="00B858F9" w:rsidRPr="00B858F9" w:rsidRDefault="00B858F9" w:rsidP="00B858F9">
      <w:pPr>
        <w:pStyle w:val="F9-Paragraph"/>
      </w:pPr>
      <w:r>
        <w:t>The RRA can be completed</w:t>
      </w:r>
      <w:r w:rsidRPr="00B858F9">
        <w:t xml:space="preserve"> by any person deemed competent by the dutyholder. However, as stated in IRR17 regulation 8 guidance paragraph 72, ‘when conducting a radiation risk assessment, employers must consult an RPA about the matters to be considered’. </w:t>
      </w:r>
    </w:p>
    <w:p w14:paraId="65C64194" w14:textId="37B9603F" w:rsidR="00B858F9" w:rsidRPr="00B858F9" w:rsidRDefault="00B858F9" w:rsidP="00B858F9">
      <w:pPr>
        <w:pStyle w:val="F9-Paragraph"/>
      </w:pPr>
      <w:r w:rsidRPr="00B858F9">
        <w:t>ONR has produced transport RRA</w:t>
      </w:r>
      <w:r w:rsidR="00791DFF">
        <w:t xml:space="preserve"> guidance</w:t>
      </w:r>
      <w:r w:rsidRPr="00B858F9">
        <w:t xml:space="preserve"> [</w:t>
      </w:r>
      <w:r w:rsidR="00370279">
        <w:t>r</w:t>
      </w:r>
      <w:r w:rsidRPr="00B858F9">
        <w:t>ef.</w:t>
      </w:r>
      <w:sdt>
        <w:sdtPr>
          <w:id w:val="187266762"/>
          <w:citation/>
        </w:sdtPr>
        <w:sdtEndPr/>
        <w:sdtContent>
          <w:r>
            <w:fldChar w:fldCharType="begin"/>
          </w:r>
          <w:r w:rsidR="00710D30">
            <w:instrText xml:space="preserve">CITATION TDT \l 2057 </w:instrText>
          </w:r>
          <w:r>
            <w:fldChar w:fldCharType="separate"/>
          </w:r>
          <w:r w:rsidR="000B190B">
            <w:rPr>
              <w:noProof/>
            </w:rPr>
            <w:t xml:space="preserve"> </w:t>
          </w:r>
          <w:r w:rsidR="000B190B" w:rsidRPr="000B190B">
            <w:rPr>
              <w:noProof/>
            </w:rPr>
            <w:t>[3]</w:t>
          </w:r>
          <w:r>
            <w:fldChar w:fldCharType="end"/>
          </w:r>
        </w:sdtContent>
      </w:sdt>
      <w:r w:rsidRPr="00B858F9">
        <w:t xml:space="preserve">] </w:t>
      </w:r>
      <w:r w:rsidR="00A5671D">
        <w:t>which</w:t>
      </w:r>
      <w:r w:rsidRPr="00B858F9">
        <w:t xml:space="preserve"> includes specific guidance on how radiation doses that could be accrued in a</w:t>
      </w:r>
      <w:r w:rsidR="004C375E">
        <w:t xml:space="preserve"> radiation e</w:t>
      </w:r>
      <w:r w:rsidRPr="00B858F9">
        <w:t xml:space="preserve">mergency should be assessed. Dutyholders should consult their appointed RPA for advice </w:t>
      </w:r>
      <w:r w:rsidR="004C375E">
        <w:t>in estimating</w:t>
      </w:r>
      <w:r w:rsidRPr="00B858F9">
        <w:t xml:space="preserve"> these doses.</w:t>
      </w:r>
      <w:r w:rsidR="00C57BA2">
        <w:t xml:space="preserve"> </w:t>
      </w:r>
      <w:r w:rsidR="00C57BA2" w:rsidRPr="00C57BA2">
        <w:t>The Radioactive Material Transport Users Committee (RAMTUC) has also produced a guidance note on assessment of accident doses as part of transport RRAs</w:t>
      </w:r>
      <w:r w:rsidR="00C57BA2">
        <w:t xml:space="preserve"> [</w:t>
      </w:r>
      <w:r w:rsidR="00370279">
        <w:t>r</w:t>
      </w:r>
      <w:r w:rsidR="00C57BA2">
        <w:t>ef.</w:t>
      </w:r>
      <w:sdt>
        <w:sdtPr>
          <w:id w:val="-45143083"/>
          <w:citation/>
        </w:sdtPr>
        <w:sdtEndPr/>
        <w:sdtContent>
          <w:r w:rsidR="00C57BA2">
            <w:fldChar w:fldCharType="begin"/>
          </w:r>
          <w:r w:rsidR="00C57BA2">
            <w:instrText xml:space="preserve"> CITATION Rad1 \l 2057 </w:instrText>
          </w:r>
          <w:r w:rsidR="00C57BA2">
            <w:fldChar w:fldCharType="separate"/>
          </w:r>
          <w:r w:rsidR="000B190B">
            <w:rPr>
              <w:noProof/>
            </w:rPr>
            <w:t xml:space="preserve"> </w:t>
          </w:r>
          <w:r w:rsidR="000B190B" w:rsidRPr="000B190B">
            <w:rPr>
              <w:noProof/>
            </w:rPr>
            <w:t>[4]</w:t>
          </w:r>
          <w:r w:rsidR="00C57BA2">
            <w:fldChar w:fldCharType="end"/>
          </w:r>
        </w:sdtContent>
      </w:sdt>
      <w:r w:rsidR="00C57BA2">
        <w:t>]</w:t>
      </w:r>
      <w:r w:rsidR="00C8726C">
        <w:t>, which ONR considers to be good practice</w:t>
      </w:r>
    </w:p>
    <w:p w14:paraId="0397E92B" w14:textId="3DAF8733" w:rsidR="00C13505" w:rsidRPr="00C13505" w:rsidRDefault="00C13505" w:rsidP="00C13505">
      <w:pPr>
        <w:pStyle w:val="F9-Paragraph"/>
      </w:pPr>
      <w:r w:rsidRPr="00C13505">
        <w:t xml:space="preserve">An emergency plan is required </w:t>
      </w:r>
      <w:r w:rsidR="00EF12FC">
        <w:t>(CDG, Schedule 2, Para</w:t>
      </w:r>
      <w:r w:rsidR="00A5671D">
        <w:t>graph</w:t>
      </w:r>
      <w:r w:rsidR="00EF12FC">
        <w:t xml:space="preserve"> 3) </w:t>
      </w:r>
      <w:r w:rsidRPr="00C13505">
        <w:t>whe</w:t>
      </w:r>
      <w:r w:rsidR="00CD7609">
        <w:t>n</w:t>
      </w:r>
      <w:r w:rsidRPr="00C13505">
        <w:t xml:space="preserve"> the RRA identifies a reasonably foreseeable </w:t>
      </w:r>
      <w:r w:rsidR="00D67FC0">
        <w:t>radiation accident</w:t>
      </w:r>
      <w:r w:rsidRPr="00C13505">
        <w:t xml:space="preserve"> which could give rise to an effective dose above 1 mSv to any individual over a period of one year following the emergency (i.e. a radiation emergency). Dutyholders should consult their appointed DGSA</w:t>
      </w:r>
      <w:r w:rsidR="009E26F5">
        <w:t>/RPA</w:t>
      </w:r>
      <w:r w:rsidRPr="00C13505">
        <w:t xml:space="preserve"> to determine the extent of emergency planning required under CDG. </w:t>
      </w:r>
      <w:r w:rsidR="005F6D7C">
        <w:t xml:space="preserve">Emergency plans prepared under CDG Schedule 2 must also meet the requirements </w:t>
      </w:r>
      <w:r w:rsidR="007E2F7D">
        <w:t xml:space="preserve">of IRR17 Regulations 13 contingency plans. </w:t>
      </w:r>
    </w:p>
    <w:p w14:paraId="1C3DD28E" w14:textId="59F869D1" w:rsidR="00C13505" w:rsidRPr="00C13505" w:rsidRDefault="00C13505" w:rsidP="00C13505">
      <w:pPr>
        <w:pStyle w:val="F9-Paragraph"/>
      </w:pPr>
      <w:r w:rsidRPr="00C13505">
        <w:t xml:space="preserve">Where </w:t>
      </w:r>
      <w:r w:rsidR="004C375E">
        <w:t>a</w:t>
      </w:r>
      <w:r w:rsidRPr="00C13505">
        <w:t xml:space="preserve"> dutyholder reaches the conclusion that </w:t>
      </w:r>
      <w:r w:rsidR="004C375E">
        <w:t>a</w:t>
      </w:r>
      <w:r w:rsidRPr="00C13505">
        <w:t xml:space="preserve"> radiation emergency </w:t>
      </w:r>
      <w:r w:rsidR="004C375E">
        <w:t>cannot</w:t>
      </w:r>
      <w:r w:rsidRPr="00C13505">
        <w:t xml:space="preserve"> occur, there is no requirement for a CDG emergency plan</w:t>
      </w:r>
      <w:r w:rsidR="00F751F7">
        <w:t xml:space="preserve"> (CDG, Schedule 2, Para 3(2))</w:t>
      </w:r>
      <w:r w:rsidRPr="00C13505">
        <w:t xml:space="preserve">. However, IRR17 Regulation 13 contingency plans will still be required. </w:t>
      </w:r>
    </w:p>
    <w:p w14:paraId="7B3AF253" w14:textId="77777777" w:rsidR="000B190B" w:rsidRDefault="000B190B" w:rsidP="00C13505">
      <w:pPr>
        <w:pStyle w:val="F9-Paragraph"/>
        <w:sectPr w:rsidR="000B190B" w:rsidSect="00B23A5E">
          <w:pgSz w:w="11906" w:h="16838" w:code="9"/>
          <w:pgMar w:top="1440" w:right="1440" w:bottom="1440" w:left="1440" w:header="397" w:footer="397" w:gutter="0"/>
          <w:cols w:space="312"/>
          <w:docGrid w:linePitch="360"/>
        </w:sectPr>
      </w:pPr>
    </w:p>
    <w:p w14:paraId="5D07540C" w14:textId="77777777" w:rsidR="00C13505" w:rsidRDefault="00C13505" w:rsidP="00C13505">
      <w:pPr>
        <w:pStyle w:val="F9-Paragraph"/>
      </w:pPr>
      <w:r w:rsidRPr="00C13505">
        <w:lastRenderedPageBreak/>
        <w:t>CDG emergency plans require more detailed planning for radiation emergencies than the contingency planning requirements set out in IRR17 Regulation 13. It may be possible to integrate CDG emergency plans and IRR17 contingency plans to reduce duplication in documentation and streamline emergency responses. However, if dutyholders choose to have one emergency plan covering multiple consignments that can and cannot result in a radiation emergency, it needs to be made clear which consignments can result in a radiation emergency and what additional actions are required to comply with CDG.</w:t>
      </w:r>
    </w:p>
    <w:p w14:paraId="0780DE26" w14:textId="77777777" w:rsidR="00614AA1" w:rsidRPr="00A55D7E" w:rsidRDefault="000D1DA7" w:rsidP="000D1DA7">
      <w:pPr>
        <w:pStyle w:val="F9-Paragraph"/>
      </w:pPr>
      <w:r w:rsidRPr="00A55D7E">
        <w:t xml:space="preserve">The National Arrangements for Incidents involving Radioactivity (NAIR) scheme cannot be claimed as being wholly or partially part of an emergency plan. </w:t>
      </w:r>
    </w:p>
    <w:p w14:paraId="3BD07766" w14:textId="70F21166" w:rsidR="000D1DA7" w:rsidRPr="00C13505" w:rsidRDefault="000D1DA7" w:rsidP="000D1DA7">
      <w:pPr>
        <w:pStyle w:val="F9-Paragraph"/>
      </w:pPr>
      <w:r w:rsidRPr="000D1DA7">
        <w:t>The RADSAFE scheme can be claimed as part of an emergency plan, but does not alone constitute an emergency plan under CDG.</w:t>
      </w:r>
      <w:r w:rsidR="00D22BC1">
        <w:t xml:space="preserve"> </w:t>
      </w:r>
      <w:r w:rsidR="000B190B">
        <w:br/>
      </w:r>
      <w:r w:rsidR="00D22BC1">
        <w:t xml:space="preserve">Dutyholders should consider how the RADSAFE </w:t>
      </w:r>
      <w:r w:rsidR="00CD5036">
        <w:t>s</w:t>
      </w:r>
      <w:r w:rsidR="00D22BC1">
        <w:t xml:space="preserve">cheme interfaces with their emergency plans and what </w:t>
      </w:r>
      <w:r w:rsidR="00E67FD2">
        <w:t xml:space="preserve">legal responsibilities they have or are willing for RADSAFE to </w:t>
      </w:r>
      <w:r w:rsidR="00B711B2">
        <w:t>undertake</w:t>
      </w:r>
      <w:r w:rsidR="00E67FD2">
        <w:t xml:space="preserve"> on their behalf.</w:t>
      </w:r>
    </w:p>
    <w:p w14:paraId="5499F83F" w14:textId="7CC924BC" w:rsidR="00840E35" w:rsidRDefault="00C13505" w:rsidP="00C13505">
      <w:pPr>
        <w:pStyle w:val="Heading2"/>
      </w:pPr>
      <w:bookmarkStart w:id="9" w:name="_Toc235713331"/>
      <w:r>
        <w:t>Step 2 – Preparing an emergency plan</w:t>
      </w:r>
      <w:bookmarkEnd w:id="9"/>
    </w:p>
    <w:p w14:paraId="640F9012" w14:textId="5A1CB203" w:rsidR="00C13505" w:rsidRPr="00C13505" w:rsidRDefault="00C13505" w:rsidP="00C13505">
      <w:pPr>
        <w:pStyle w:val="F9-Paragraph"/>
      </w:pPr>
      <w:r w:rsidRPr="00C13505">
        <w:t xml:space="preserve">Emergency plans must be adequate to prevent or mitigate the consequences of radiation emergencies identified in the RRA. To be considered “adequate”, such plans and supporting arrangements must contain certain information specified in CDG Schedule 2. A summary of this required information is as follows: </w:t>
      </w:r>
    </w:p>
    <w:p w14:paraId="43C00C01" w14:textId="77777777" w:rsidR="00C13505" w:rsidRPr="00C13505" w:rsidRDefault="00C13505" w:rsidP="00C13505">
      <w:pPr>
        <w:pStyle w:val="Bulletlist1"/>
      </w:pPr>
      <w:r w:rsidRPr="00C13505">
        <w:t xml:space="preserve">Command and control arrangements, including the name or position of the persons authorised to set the emergency procedures in motion and in charge of coordinating the mitigatory action. The emergency plan should also contain information on personnel who have roles within the emergency plan. </w:t>
      </w:r>
    </w:p>
    <w:p w14:paraId="15567E34" w14:textId="119271B1" w:rsidR="000D1DA7" w:rsidRPr="000D1DA7" w:rsidRDefault="000D1DA7" w:rsidP="000D1DA7">
      <w:pPr>
        <w:pStyle w:val="Bulletlist1"/>
      </w:pPr>
      <w:r w:rsidRPr="000D1DA7">
        <w:t>A list of all identified radiation emergenc</w:t>
      </w:r>
      <w:r>
        <w:t>y scenarios</w:t>
      </w:r>
      <w:r w:rsidRPr="000D1DA7">
        <w:t xml:space="preserve"> and a description of the action to be taken to prevent or limit the consequences of radiation emergencies, or events which could lead to radiation emergencies. </w:t>
      </w:r>
      <w:r w:rsidR="000B190B">
        <w:br/>
      </w:r>
      <w:r w:rsidRPr="000D1DA7">
        <w:t>This should include how to obtain specialist advice and support where damage to a package(s) is suspected, for example, from the consignor(s), the appointed DGSA or RPA.</w:t>
      </w:r>
    </w:p>
    <w:p w14:paraId="5A77225C" w14:textId="3A203BB0" w:rsidR="000D1DA7" w:rsidRPr="000D1DA7" w:rsidRDefault="000D1DA7" w:rsidP="000D1DA7">
      <w:pPr>
        <w:pStyle w:val="Bulletlist1"/>
      </w:pPr>
      <w:r w:rsidRPr="000D1DA7">
        <w:t xml:space="preserve">A description of the safety equipment and resources available to assist in preventing or limiting the consequences of radiation emergencies. </w:t>
      </w:r>
      <w:r w:rsidR="000B190B">
        <w:br/>
      </w:r>
      <w:r w:rsidRPr="000D1DA7">
        <w:t xml:space="preserve">This could include, for example, </w:t>
      </w:r>
      <w:r w:rsidR="00BE004D">
        <w:t xml:space="preserve">additional shielding, </w:t>
      </w:r>
      <w:r w:rsidR="0099578E">
        <w:t>material</w:t>
      </w:r>
      <w:r w:rsidR="00BE004D">
        <w:t xml:space="preserve"> handling equipment and spare packaging – this should be in addition to the required onboard </w:t>
      </w:r>
      <w:r w:rsidRPr="000D1DA7">
        <w:t>fire extinguishers, spills kits and personal protective equipment (PPE).</w:t>
      </w:r>
    </w:p>
    <w:p w14:paraId="5C0708BC" w14:textId="2F8B189F" w:rsidR="000D1DA7" w:rsidRPr="000D1DA7" w:rsidRDefault="000D1DA7" w:rsidP="000D1DA7">
      <w:pPr>
        <w:pStyle w:val="Bulletlist1"/>
      </w:pPr>
      <w:r w:rsidRPr="000D1DA7">
        <w:lastRenderedPageBreak/>
        <w:t xml:space="preserve">A description of the actions required to minimise driver (or vessel master) </w:t>
      </w:r>
      <w:r w:rsidR="00E83230">
        <w:t xml:space="preserve">radiation </w:t>
      </w:r>
      <w:r w:rsidRPr="000D1DA7">
        <w:t>exposure including how to identify package damage</w:t>
      </w:r>
      <w:r w:rsidR="00580762">
        <w:t xml:space="preserve"> and</w:t>
      </w:r>
      <w:r w:rsidRPr="000D1DA7">
        <w:t xml:space="preserve"> actions the driver (or vessel master) should tak</w:t>
      </w:r>
      <w:r w:rsidR="00E33680">
        <w:t>e</w:t>
      </w:r>
      <w:r w:rsidRPr="000D1DA7">
        <w:t xml:space="preserve">. </w:t>
      </w:r>
    </w:p>
    <w:p w14:paraId="429AD6B2" w14:textId="019EA51C" w:rsidR="000D1DA7" w:rsidRPr="000D1DA7" w:rsidRDefault="000D1DA7" w:rsidP="000D1DA7">
      <w:pPr>
        <w:pStyle w:val="Bulletlist1"/>
      </w:pPr>
      <w:r w:rsidRPr="000D1DA7">
        <w:t xml:space="preserve">Actions to ensure </w:t>
      </w:r>
      <w:r w:rsidR="00DE7AC6">
        <w:t>class 7 dangerous goods</w:t>
      </w:r>
      <w:r w:rsidRPr="000D1DA7">
        <w:t xml:space="preserve"> remain secure, including what to do if the vehicle or vessel is damaged to the extent that it is vulnerable, for example, where there are broken windows or doors are not lockable. The emergency plan should dovetail with the security plan made under ADR Section 1.10.3.2 or </w:t>
      </w:r>
      <w:r>
        <w:t xml:space="preserve">the Nuclear Industries Security Regulations </w:t>
      </w:r>
      <w:r w:rsidR="00B45BF5">
        <w:t xml:space="preserve">2003 </w:t>
      </w:r>
      <w:r>
        <w:t>(NISR)</w:t>
      </w:r>
      <w:r w:rsidR="000B190B">
        <w:t>,</w:t>
      </w:r>
      <w:r w:rsidRPr="000D1DA7">
        <w:t xml:space="preserve"> where appropriate. </w:t>
      </w:r>
    </w:p>
    <w:p w14:paraId="7C4B124D" w14:textId="5842765F" w:rsidR="000D1DA7" w:rsidRPr="000D1DA7" w:rsidRDefault="000D1DA7" w:rsidP="000D1DA7">
      <w:pPr>
        <w:pStyle w:val="Bulletlist1"/>
      </w:pPr>
      <w:r w:rsidRPr="000D1DA7">
        <w:t>The arrangements for limiting the risks to persons likely to be affected by a radiation emergency including how warnings are to be given and the actions persons are expected to take. Such arrangements may include the use of cordons, barrier tape, marking</w:t>
      </w:r>
      <w:r w:rsidR="0039147D">
        <w:t>s</w:t>
      </w:r>
      <w:r w:rsidRPr="000D1DA7">
        <w:t xml:space="preserve"> or cones to restrict access to the scene or endeavouring to keep people upwind of the event. </w:t>
      </w:r>
    </w:p>
    <w:p w14:paraId="263CDFAF" w14:textId="743843B6" w:rsidR="000D1DA7" w:rsidRPr="000D1DA7" w:rsidRDefault="000D1DA7" w:rsidP="000D1DA7">
      <w:pPr>
        <w:pStyle w:val="Bulletlist1"/>
      </w:pPr>
      <w:r w:rsidRPr="000D1DA7">
        <w:t>The arrangements for notifying the relevant local authority, ONR, the emergency services, the consignor and carrier in the event of a radiation emergency. This should include the type of information which should be contained in the initial notification. Transport taking place within a single or few local authority area</w:t>
      </w:r>
      <w:r w:rsidR="00E87BD5">
        <w:t>s</w:t>
      </w:r>
      <w:r w:rsidRPr="000D1DA7">
        <w:t xml:space="preserve"> will require specific contact details for those local authorities. Where the transport takes place through many local authority areas, it is sufficient to have generic arrangements to identify which local authority area the radiation emergency has taken place and how their contact details would be obtained.</w:t>
      </w:r>
    </w:p>
    <w:p w14:paraId="5A20DF22" w14:textId="77777777" w:rsidR="000D1DA7" w:rsidRPr="000D1DA7" w:rsidRDefault="000D1DA7" w:rsidP="000D1DA7">
      <w:pPr>
        <w:pStyle w:val="Bulletlist1"/>
      </w:pPr>
      <w:r w:rsidRPr="000D1DA7">
        <w:t xml:space="preserve">The arrangements for providing relevant organisations, including Category 1 and Category 2 responders, with more detailed information as it becomes available to enable those with a role in the emergency plan to fulfil their role in a safe manner. Arrangements should detail the provision of information including the nature of the radiation emergency, the nature of the radioactive material and packages involved in the radiation emergency, measured dose rates and other hazards associated with the radiation emergency. </w:t>
      </w:r>
    </w:p>
    <w:p w14:paraId="22785EB5" w14:textId="0DED3478" w:rsidR="000D1DA7" w:rsidRPr="000D1DA7" w:rsidRDefault="000D1DA7" w:rsidP="000D1DA7">
      <w:pPr>
        <w:pStyle w:val="Bulletlist1"/>
      </w:pPr>
      <w:r w:rsidRPr="000D1DA7">
        <w:t xml:space="preserve">Arrangements for assisting the relevant local authority </w:t>
      </w:r>
      <w:r w:rsidR="004B2E03">
        <w:t xml:space="preserve">with mitigatory </w:t>
      </w:r>
      <w:r w:rsidRPr="000D1DA7">
        <w:t xml:space="preserve"> actions. Dutyholders should provide proactive assistance to the local authority, for example sharing their knowledge and understanding of the packages, their contents and the risks arising from full or partial release of the contents or loss of radiation shielding.</w:t>
      </w:r>
    </w:p>
    <w:p w14:paraId="341E4D3C" w14:textId="77777777" w:rsidR="000D1DA7" w:rsidRPr="000D1DA7" w:rsidRDefault="000D1DA7" w:rsidP="000D1DA7">
      <w:pPr>
        <w:pStyle w:val="Bulletlist1"/>
      </w:pPr>
      <w:r w:rsidRPr="000D1DA7">
        <w:t xml:space="preserve">The arrangements for emergency exposures including the dose levels which have been determined as appropriate for the purpose of putting the plan into effect. This should include arrangements to keep doses below a 100 mSv reference level (as specified in CDG, Schedule 2, paragraph 9(1)). </w:t>
      </w:r>
    </w:p>
    <w:p w14:paraId="553999C3" w14:textId="4BCEDB5B" w:rsidR="000D1DA7" w:rsidRPr="000D1DA7" w:rsidRDefault="000D1DA7" w:rsidP="000D1DA7">
      <w:pPr>
        <w:pStyle w:val="Bulletlist1"/>
      </w:pPr>
      <w:r w:rsidRPr="000D1DA7">
        <w:lastRenderedPageBreak/>
        <w:t>Arrangements that the dutyholder, or their agent, consider may assist in the transition from a radiation emergency to a situation where no further intervention is required. Consignors, local authority, the police and other emergency services may all need to be involved in bringing about this transition. CDG does not require the emergency plan to cover the ‘recovery phase</w:t>
      </w:r>
      <w:r w:rsidR="002B4BC1">
        <w:rPr>
          <w:rStyle w:val="FootnoteReference"/>
        </w:rPr>
        <w:footnoteReference w:id="3"/>
      </w:r>
      <w:r w:rsidRPr="000D1DA7">
        <w:t xml:space="preserve">’ following the event as this is subject to other legislation. However, ONR considers package retrieval, and where appropriate decontamination, to be part of the emergency until a stable state is achieved, i.e. the radioactive material is contained in a safe location or able to be </w:t>
      </w:r>
      <w:proofErr w:type="spellStart"/>
      <w:r w:rsidRPr="000D1DA7">
        <w:t>onwardly</w:t>
      </w:r>
      <w:proofErr w:type="spellEnd"/>
      <w:r w:rsidRPr="000D1DA7">
        <w:t xml:space="preserve"> transported in accordance with CDG09. </w:t>
      </w:r>
    </w:p>
    <w:p w14:paraId="1B1AC9EC" w14:textId="3E30D24D" w:rsidR="009B3D7C" w:rsidRPr="009B3D7C" w:rsidRDefault="009B3D7C" w:rsidP="009B3D7C">
      <w:pPr>
        <w:pStyle w:val="F9-Paragraph"/>
      </w:pPr>
      <w:r w:rsidRPr="009B3D7C">
        <w:t xml:space="preserve">Dutyholders must ensure that any employee who may be involved with or affected by the arrangements in the emergency plan is provided with suitable and sufficient information, instruction and training. This is not limited to drivers and/or </w:t>
      </w:r>
      <w:r w:rsidR="006C0945" w:rsidRPr="009B3D7C">
        <w:t>responders but</w:t>
      </w:r>
      <w:r w:rsidRPr="009B3D7C">
        <w:t xml:space="preserve"> may also include receptionists and managers etc. who may be involved in dealing with reports of incidents and liaising with other organisations. They must also be provided with any equipment necessary to restrict their exposure to ionising radiation, including PPE and dosimetry. The aim is to allow them to perform their roles effectively whilst restricting their exposure, so far as is reasonably practicable. </w:t>
      </w:r>
      <w:r w:rsidR="000B190B">
        <w:br/>
      </w:r>
      <w:r w:rsidRPr="009B3D7C">
        <w:t>Dutyholders must keep this information and training up to date and subject to regular review. For example, training records should be suitable to identify who has been trained, the nature of the training and when refresher training is needed. Employees are likely to require further information, instruction and training whenever changes are made to the emergency arrangements.</w:t>
      </w:r>
    </w:p>
    <w:p w14:paraId="3F956927" w14:textId="2F63DE6C" w:rsidR="00C13505" w:rsidRDefault="00C81C41" w:rsidP="009B3D7C">
      <w:pPr>
        <w:pStyle w:val="F9-Paragraph"/>
      </w:pPr>
      <w:r>
        <w:t xml:space="preserve">Carriers </w:t>
      </w:r>
      <w:r w:rsidRPr="00C81C41">
        <w:t>and consignors have a duty to cooperate with each other in the preparation of their emergency plans to enable each other to comply with the requirements of CDG. This includes cooperation with operators of in</w:t>
      </w:r>
      <w:r w:rsidR="000A5FF3">
        <w:t>-</w:t>
      </w:r>
      <w:r w:rsidRPr="00C81C41">
        <w:t>transit sheds (e.g. berths, rail or road depots and airport cargo sheds). This is important because emergency plans must be in place where required for consignments during storage</w:t>
      </w:r>
      <w:r w:rsidR="000A5FF3">
        <w:t>-</w:t>
      </w:r>
      <w:r w:rsidRPr="00C81C41">
        <w:t>in</w:t>
      </w:r>
      <w:r w:rsidR="000A5FF3">
        <w:t>-</w:t>
      </w:r>
      <w:r w:rsidRPr="00C81C41">
        <w:t>transit. It is important that these emergency plans align with any plans made by operators of transit sheds under other legislation.</w:t>
      </w:r>
    </w:p>
    <w:p w14:paraId="267946C6" w14:textId="77777777" w:rsidR="000B190B" w:rsidRDefault="000B190B" w:rsidP="009B3D7C">
      <w:pPr>
        <w:pStyle w:val="F9-Paragraph"/>
        <w:sectPr w:rsidR="000B190B" w:rsidSect="00B23A5E">
          <w:pgSz w:w="11906" w:h="16838" w:code="9"/>
          <w:pgMar w:top="1440" w:right="1440" w:bottom="1440" w:left="1440" w:header="397" w:footer="397" w:gutter="0"/>
          <w:cols w:space="312"/>
          <w:docGrid w:linePitch="360"/>
        </w:sectPr>
      </w:pPr>
    </w:p>
    <w:p w14:paraId="6BEF00D1" w14:textId="03F69BCF" w:rsidR="00C81C41" w:rsidRDefault="00C81C41" w:rsidP="009B3D7C">
      <w:pPr>
        <w:pStyle w:val="F9-Paragraph"/>
      </w:pPr>
      <w:r w:rsidRPr="00C81C41">
        <w:lastRenderedPageBreak/>
        <w:t>Cooperation includes sharing details of the emergency plan, contact details, interface requirements and any other information that may assist in ensuring a radiation emergency is correctly responded to. Where some aspects of an emergency plan may be restricted due to security or other reasons, these may be excluded from being shared so long as this does not impact the other dutyholders</w:t>
      </w:r>
      <w:r w:rsidR="000A5FF3">
        <w:t>’</w:t>
      </w:r>
      <w:r w:rsidRPr="00C81C41">
        <w:t xml:space="preserve"> ability to produce a compliant and coordinated plan.</w:t>
      </w:r>
      <w:r w:rsidR="00FF4316">
        <w:t xml:space="preserve"> Regulation 16 of IRR17 also requires cooperation between dutyholders where, as could be the case in a transport radiation emergency, work with ionising radiation undertaken by one employer could give rise to exposure of an employee of another employer. </w:t>
      </w:r>
    </w:p>
    <w:p w14:paraId="09372635" w14:textId="34E3FAA5" w:rsidR="00C81C41" w:rsidRDefault="00C81C41" w:rsidP="009B3D7C">
      <w:pPr>
        <w:pStyle w:val="F9-Paragraph"/>
      </w:pPr>
      <w:r>
        <w:t xml:space="preserve">Further guidance on preparing an emergency plan can be found </w:t>
      </w:r>
      <w:r w:rsidRPr="00C81C41">
        <w:t>in IAEA Specific Safety Guide No. SSG-65, Preparedness and Response for a Nuclear or Radiological Emergency Involving the Transport of Radioactive Material [</w:t>
      </w:r>
      <w:r w:rsidR="00370279">
        <w:t>r</w:t>
      </w:r>
      <w:r w:rsidRPr="00C81C41">
        <w:t xml:space="preserve">ef. </w:t>
      </w:r>
      <w:sdt>
        <w:sdtPr>
          <w:id w:val="1245998918"/>
          <w:citation/>
        </w:sdtPr>
        <w:sdtEndPr/>
        <w:sdtContent>
          <w:r>
            <w:fldChar w:fldCharType="begin"/>
          </w:r>
          <w:r>
            <w:instrText xml:space="preserve">CITATION IAE2 \l 2057 </w:instrText>
          </w:r>
          <w:r>
            <w:fldChar w:fldCharType="separate"/>
          </w:r>
          <w:r w:rsidR="000B190B" w:rsidRPr="000B190B">
            <w:rPr>
              <w:noProof/>
            </w:rPr>
            <w:t>[5]</w:t>
          </w:r>
          <w:r>
            <w:fldChar w:fldCharType="end"/>
          </w:r>
        </w:sdtContent>
      </w:sdt>
      <w:r w:rsidRPr="00C81C41">
        <w:t>].</w:t>
      </w:r>
    </w:p>
    <w:p w14:paraId="20BEFEA5" w14:textId="2970DC07" w:rsidR="00C81C41" w:rsidRDefault="00C81C41" w:rsidP="009B3D7C">
      <w:pPr>
        <w:pStyle w:val="F9-Paragraph"/>
      </w:pPr>
      <w:r>
        <w:t xml:space="preserve">ONR has also developed a Technical Inspection Guide (TIG) </w:t>
      </w:r>
      <w:r w:rsidR="00F914E9">
        <w:t>on transport radiation emergency preparedness and response [</w:t>
      </w:r>
      <w:r w:rsidR="00370279">
        <w:t>r</w:t>
      </w:r>
      <w:r w:rsidR="00F914E9">
        <w:t xml:space="preserve">ef. </w:t>
      </w:r>
      <w:sdt>
        <w:sdtPr>
          <w:id w:val="1876500307"/>
          <w:citation/>
        </w:sdtPr>
        <w:sdtEndPr/>
        <w:sdtContent>
          <w:r w:rsidR="00F914E9">
            <w:fldChar w:fldCharType="begin"/>
          </w:r>
          <w:r w:rsidR="00710D30">
            <w:instrText xml:space="preserve">CITATION ONR32 \l 2057 </w:instrText>
          </w:r>
          <w:r w:rsidR="00F914E9">
            <w:fldChar w:fldCharType="separate"/>
          </w:r>
          <w:r w:rsidR="000B190B" w:rsidRPr="000B190B">
            <w:rPr>
              <w:noProof/>
            </w:rPr>
            <w:t>[6]</w:t>
          </w:r>
          <w:r w:rsidR="00F914E9">
            <w:fldChar w:fldCharType="end"/>
          </w:r>
        </w:sdtContent>
      </w:sdt>
      <w:r w:rsidR="00F914E9">
        <w:t xml:space="preserve">]. The purpose of this guidance is to aid inspectors in their inspections of dutyholder’s compliance with transport emergency preparedness and response requirements </w:t>
      </w:r>
      <w:r w:rsidR="00550C74">
        <w:t>al</w:t>
      </w:r>
      <w:r w:rsidR="00F914E9">
        <w:t xml:space="preserve">though </w:t>
      </w:r>
      <w:r w:rsidR="00E33680">
        <w:t xml:space="preserve">this guidance </w:t>
      </w:r>
      <w:r w:rsidR="00F914E9">
        <w:t xml:space="preserve">may also be of use to dutyholders. </w:t>
      </w:r>
    </w:p>
    <w:p w14:paraId="58EF38EC" w14:textId="70F20F28" w:rsidR="00F914E9" w:rsidRDefault="00F914E9" w:rsidP="00F914E9">
      <w:pPr>
        <w:pStyle w:val="Heading2"/>
      </w:pPr>
      <w:bookmarkStart w:id="10" w:name="_Toc235713332"/>
      <w:r>
        <w:t>Step 3 – Review and testing of the emergency plan</w:t>
      </w:r>
      <w:bookmarkEnd w:id="10"/>
    </w:p>
    <w:p w14:paraId="5EA62D9B" w14:textId="243348D4" w:rsidR="00672EBE" w:rsidRDefault="00672EBE" w:rsidP="00672EBE">
      <w:pPr>
        <w:pStyle w:val="Heading3"/>
      </w:pPr>
      <w:bookmarkStart w:id="11" w:name="_Ref235712591"/>
      <w:r>
        <w:t>Review/revision of the emergency plan</w:t>
      </w:r>
      <w:bookmarkEnd w:id="11"/>
    </w:p>
    <w:p w14:paraId="6CCFFD86" w14:textId="17717824" w:rsidR="00F914E9" w:rsidRDefault="00E33680" w:rsidP="00F914E9">
      <w:pPr>
        <w:pStyle w:val="F9-Paragraph"/>
      </w:pPr>
      <w:r w:rsidRPr="00E33680">
        <w:t>CDG</w:t>
      </w:r>
      <w:r w:rsidR="00A937C6">
        <w:t xml:space="preserve"> Schedule 2</w:t>
      </w:r>
      <w:r w:rsidRPr="00E33680">
        <w:t xml:space="preserve"> requires dutyholders, at suitable intervals not exceeding three years, to review and where necessary revise the emergency plan. </w:t>
      </w:r>
      <w:r w:rsidR="000B190B">
        <w:br/>
      </w:r>
      <w:r w:rsidRPr="00E33680">
        <w:t>The purpose of reviewing emergency plans is to ensure that the plan is representative of the carriage being undertaken, up to date and effective. The aspects which should be considered when reviewing the emergency plan include;</w:t>
      </w:r>
    </w:p>
    <w:p w14:paraId="30CC2862" w14:textId="44EEC965" w:rsidR="00E33680" w:rsidRDefault="00E33680" w:rsidP="00E33680">
      <w:pPr>
        <w:pStyle w:val="Bulletlist1"/>
      </w:pPr>
      <w:r>
        <w:t xml:space="preserve">Changes occurring in the carriage of packages to which the plan relates, such as changes in the </w:t>
      </w:r>
      <w:r w:rsidR="00430866">
        <w:t>characteristics of the material and the package type being transported.</w:t>
      </w:r>
      <w:r w:rsidR="002F7347">
        <w:t xml:space="preserve"> This would also warrant a material change to the IRR17 Regulations 8 RRA from which the radiation emergency scenarios are derived. </w:t>
      </w:r>
    </w:p>
    <w:p w14:paraId="79DE20F3" w14:textId="4BB2223C" w:rsidR="00430866" w:rsidRDefault="00430866" w:rsidP="00E33680">
      <w:pPr>
        <w:pStyle w:val="Bulletlist1"/>
      </w:pPr>
      <w:r>
        <w:t xml:space="preserve">Changes to the emergency services or dutyholder employees who have a </w:t>
      </w:r>
      <w:r w:rsidR="002F7347">
        <w:t xml:space="preserve">defined </w:t>
      </w:r>
      <w:r>
        <w:t>role in the emergency plan.</w:t>
      </w:r>
    </w:p>
    <w:p w14:paraId="3F3AB236" w14:textId="45E3D9FD" w:rsidR="00430866" w:rsidRDefault="002F7347" w:rsidP="00E33680">
      <w:pPr>
        <w:pStyle w:val="Bulletlist1"/>
      </w:pPr>
      <w:r>
        <w:t xml:space="preserve">New knowledge or guidance, whether technical or otherwise, concerning the response to radiation emergencies. This would also include any changes to legislation. </w:t>
      </w:r>
    </w:p>
    <w:p w14:paraId="5EDAC371" w14:textId="280F7276" w:rsidR="00A2225A" w:rsidRDefault="00A2225A" w:rsidP="00E33680">
      <w:pPr>
        <w:pStyle w:val="Bulletlist1"/>
      </w:pPr>
      <w:r>
        <w:t xml:space="preserve">Any relevant information derived from a report or review of the consequences of any radiation emergency. </w:t>
      </w:r>
    </w:p>
    <w:p w14:paraId="61CBF433" w14:textId="55B31600" w:rsidR="00A2225A" w:rsidRDefault="00A2225A" w:rsidP="00E33680">
      <w:pPr>
        <w:pStyle w:val="Bulletlist1"/>
      </w:pPr>
      <w:r>
        <w:lastRenderedPageBreak/>
        <w:t xml:space="preserve">Operational experience gained from normal carriage or incidents which did not lead to radiation emergencies. </w:t>
      </w:r>
    </w:p>
    <w:p w14:paraId="2EF09755" w14:textId="27DF58FD" w:rsidR="00A2225A" w:rsidRDefault="00A2225A" w:rsidP="00E33680">
      <w:pPr>
        <w:pStyle w:val="Bulletlist1"/>
      </w:pPr>
      <w:r>
        <w:t>Wider operational experience which may be shared through industry bodies o</w:t>
      </w:r>
      <w:r w:rsidR="00BF668D">
        <w:t>r</w:t>
      </w:r>
      <w:r>
        <w:t xml:space="preserve"> recommendations made by the dutyholder’s RPA or DGSA. </w:t>
      </w:r>
    </w:p>
    <w:p w14:paraId="33A70490" w14:textId="07DBA288" w:rsidR="00A2225A" w:rsidRDefault="00A2225A" w:rsidP="00E33680">
      <w:pPr>
        <w:pStyle w:val="Bulletlist1"/>
      </w:pPr>
      <w:r w:rsidRPr="00A2225A">
        <w:t>Lessons learnt from tests of the emergency plan such as the ability of emergency workers to implement the plan and whether the plan was sufficient to mitigate the emergency. This also includes lessons identified in the report on the outcome of the test</w:t>
      </w:r>
      <w:r>
        <w:t>.</w:t>
      </w:r>
    </w:p>
    <w:p w14:paraId="11C0C88D" w14:textId="068C7A87" w:rsidR="00A2225A" w:rsidRDefault="00A2225A" w:rsidP="00E33680">
      <w:pPr>
        <w:pStyle w:val="Bulletlist1"/>
      </w:pPr>
      <w:r w:rsidRPr="00A2225A">
        <w:t>Lessons learned from the United Kingdom’s participating in emergency exercises at national and international level</w:t>
      </w:r>
      <w:r>
        <w:t>.</w:t>
      </w:r>
    </w:p>
    <w:p w14:paraId="378739FC" w14:textId="66D799B2" w:rsidR="00A2225A" w:rsidRDefault="00A2225A" w:rsidP="00A2225A">
      <w:pPr>
        <w:pStyle w:val="F9-Paragraph"/>
      </w:pPr>
      <w:r w:rsidRPr="00A2225A">
        <w:t>This review/revision required under Paragraph 5(1) of Schedule 2 of CDG should take place prior to the test of the plan so that the test of the plan can target any changes made to the plan and to ensure that the revised plan can be implemented and is effective.</w:t>
      </w:r>
    </w:p>
    <w:p w14:paraId="5982D323" w14:textId="2FF4C6D5" w:rsidR="00A2225A" w:rsidRDefault="00672EBE" w:rsidP="00672EBE">
      <w:pPr>
        <w:pStyle w:val="Heading3"/>
      </w:pPr>
      <w:r>
        <w:t>Testing of emergency plans</w:t>
      </w:r>
    </w:p>
    <w:p w14:paraId="502FC160" w14:textId="10CFB8A0" w:rsidR="00672EBE" w:rsidRPr="00672EBE" w:rsidRDefault="00672EBE" w:rsidP="00672EBE">
      <w:pPr>
        <w:pStyle w:val="F9-Paragraph"/>
      </w:pPr>
      <w:r w:rsidRPr="00672EBE">
        <w:t xml:space="preserve">CDG </w:t>
      </w:r>
      <w:r w:rsidR="00467B19">
        <w:t xml:space="preserve">Schedule 2 </w:t>
      </w:r>
      <w:r w:rsidRPr="00672EBE">
        <w:t xml:space="preserve">also requires emergency plans to be tested at suitable intervals not exceeding three years (assuming the plan is to be used on more than one occasion). </w:t>
      </w:r>
      <w:r w:rsidR="0074125F">
        <w:t xml:space="preserve">ONR considers </w:t>
      </w:r>
      <w:r w:rsidR="006E62B1">
        <w:t xml:space="preserve">it good practice for dutyholders to undertake some form of testing on an annual basis. </w:t>
      </w:r>
    </w:p>
    <w:p w14:paraId="0A911AB0" w14:textId="3478CB1F" w:rsidR="00672EBE" w:rsidRPr="00672EBE" w:rsidRDefault="00672EBE" w:rsidP="00672EBE">
      <w:pPr>
        <w:pStyle w:val="F9-Paragraph"/>
      </w:pPr>
      <w:r w:rsidRPr="00672EBE">
        <w:t>The purpose of testing emergency plans is to ensure that the plan can be implemented and that the plan is sufficient to bring about a practical response to the radiation emergency. The test</w:t>
      </w:r>
      <w:r>
        <w:t xml:space="preserve"> of the emergency plan should not be used as the primary means of training employees</w:t>
      </w:r>
      <w:r w:rsidR="00C0163B">
        <w:t xml:space="preserve"> and employees should be trained prior to any involvement in a test.</w:t>
      </w:r>
      <w:r w:rsidRPr="00672EBE">
        <w:t xml:space="preserve"> Testing of the emergency plan should be proportionate to the risks</w:t>
      </w:r>
      <w:r w:rsidR="009B3733">
        <w:t xml:space="preserve"> and</w:t>
      </w:r>
      <w:r w:rsidRPr="00672EBE">
        <w:t xml:space="preserve"> based on the</w:t>
      </w:r>
      <w:r w:rsidR="003F3984">
        <w:t xml:space="preserve"> outputs of the</w:t>
      </w:r>
      <w:r w:rsidR="00A44402">
        <w:t xml:space="preserve"> RRA</w:t>
      </w:r>
      <w:r w:rsidRPr="00672EBE">
        <w:t xml:space="preserve">. Hence, the degree of planning, review and testing will not be the same for all class 7 </w:t>
      </w:r>
      <w:r w:rsidR="00233B3C">
        <w:t xml:space="preserve">dangerous </w:t>
      </w:r>
      <w:r w:rsidRPr="00672EBE">
        <w:t xml:space="preserve">goods and package types and dutyholders should be able to justify their approach to testing. </w:t>
      </w:r>
    </w:p>
    <w:p w14:paraId="53F93905" w14:textId="6291D080" w:rsidR="00672EBE" w:rsidRDefault="00C0163B" w:rsidP="00672EBE">
      <w:pPr>
        <w:pStyle w:val="F9-Paragraph"/>
      </w:pPr>
      <w:r w:rsidRPr="00C0163B">
        <w:t>Testing methods range from a desktop exercise (a discussion of the actions required for different emergency scenarios) to a full or partial simulation at a suitable site using vehicles and realistic props and involving all the relevant persons</w:t>
      </w:r>
      <w:r w:rsidR="000A5FF3">
        <w:t>,</w:t>
      </w:r>
      <w:r w:rsidRPr="00C0163B">
        <w:t xml:space="preserve"> including technical advisors. It is often useful to test both the consignors’ and carriers’ emergency plans at the same time to ensure compatibility and avoid duplication of testing.</w:t>
      </w:r>
    </w:p>
    <w:p w14:paraId="391C32E9" w14:textId="12113776" w:rsidR="0028493A" w:rsidRDefault="0028493A" w:rsidP="00672EBE">
      <w:pPr>
        <w:pStyle w:val="F9-Paragraph"/>
      </w:pPr>
      <w:r>
        <w:t>In deciding on the method of testing and the extent of testing of the emergency plan, dutyholders should consider the following:</w:t>
      </w:r>
    </w:p>
    <w:p w14:paraId="674FF94F" w14:textId="2D3ABE4A" w:rsidR="0028493A" w:rsidRDefault="0028493A" w:rsidP="0028493A">
      <w:pPr>
        <w:pStyle w:val="Bulletlist1"/>
      </w:pPr>
      <w:r>
        <w:t xml:space="preserve">The length of time since the last test – if it has been several years since a full test has taken place it may be appropriate to undertake a full test of the plan. </w:t>
      </w:r>
    </w:p>
    <w:p w14:paraId="7C83BB72" w14:textId="09432235" w:rsidR="00C30050" w:rsidRDefault="00C30050" w:rsidP="0028493A">
      <w:pPr>
        <w:pStyle w:val="Bulletlist1"/>
      </w:pPr>
      <w:r>
        <w:lastRenderedPageBreak/>
        <w:t xml:space="preserve">The extent of testing undertaken on the last occasion – if only partial or desktop exercises were undertaken in the previous three year interval, it may be appropriate to undertake a full test. </w:t>
      </w:r>
    </w:p>
    <w:p w14:paraId="385120C4" w14:textId="4BA56D36" w:rsidR="00C30050" w:rsidRDefault="00C30050" w:rsidP="0028493A">
      <w:pPr>
        <w:pStyle w:val="Bulletlist1"/>
      </w:pPr>
      <w:r>
        <w:t xml:space="preserve">Any revisions made by the review of the plan – if significant changes have been made to the plan a full test may be appropriate to test how the changes impact the wholistic response. </w:t>
      </w:r>
    </w:p>
    <w:p w14:paraId="12384BA4" w14:textId="751D4D9D" w:rsidR="00AD1614" w:rsidRDefault="00AD1614" w:rsidP="00AD1614">
      <w:pPr>
        <w:pStyle w:val="F9-Paragraph"/>
      </w:pPr>
      <w:r>
        <w:t>Similarly, various factors can influence what constitutes a suitable interval between tests of the plan. Dutyholders should consider the following in determining their testing programme:</w:t>
      </w:r>
    </w:p>
    <w:p w14:paraId="106BB15C" w14:textId="30F718C2" w:rsidR="00AD1614" w:rsidRDefault="00AD1614" w:rsidP="00AD1614">
      <w:pPr>
        <w:pStyle w:val="Bulletlist1"/>
      </w:pPr>
      <w:r>
        <w:t>The level of hazard posed by the package – it is appropriate to undertake more frequent testing</w:t>
      </w:r>
      <w:r w:rsidR="00233B3C">
        <w:t xml:space="preserve"> of</w:t>
      </w:r>
      <w:r>
        <w:t xml:space="preserve"> emergency plans for more hazardous radiation emergencies.</w:t>
      </w:r>
    </w:p>
    <w:p w14:paraId="59E9F9BA" w14:textId="14490213" w:rsidR="00AD1614" w:rsidRPr="00AD1614" w:rsidRDefault="00AD1614" w:rsidP="00AD1614">
      <w:pPr>
        <w:pStyle w:val="Bulletlist1"/>
      </w:pPr>
      <w:r w:rsidRPr="00AD1614">
        <w:t xml:space="preserve">The frequency of transport – it may be appropriate to undertake more frequent testing </w:t>
      </w:r>
      <w:r w:rsidR="00B008FB">
        <w:t xml:space="preserve">of emergency plans </w:t>
      </w:r>
      <w:r w:rsidRPr="00AD1614">
        <w:t>if the transport which could give rise to the radiation emergency is undertaken regularly.</w:t>
      </w:r>
    </w:p>
    <w:p w14:paraId="6E801990" w14:textId="77777777" w:rsidR="00AD1614" w:rsidRPr="00AD1614" w:rsidRDefault="00AD1614" w:rsidP="00AD1614">
      <w:pPr>
        <w:pStyle w:val="Bulletlist1"/>
      </w:pPr>
      <w:r w:rsidRPr="00AD1614">
        <w:t xml:space="preserve">Any revisions made by the review of the plan undertaken in accordance with Schedule 2 Paragraph 5(1) – if significant changes have been made to the plan the plan should be tested shortly after to ensure that the revised plan can be implemented and is effective. </w:t>
      </w:r>
    </w:p>
    <w:p w14:paraId="3E5899BA" w14:textId="09E06F34" w:rsidR="00AD1614" w:rsidRDefault="00AD1614" w:rsidP="00AD1614">
      <w:pPr>
        <w:pStyle w:val="Bulletlist1"/>
      </w:pPr>
      <w:r>
        <w:t>Significant changes in the personnel assigned roles in the emergency plan</w:t>
      </w:r>
      <w:r w:rsidR="008760F7">
        <w:t xml:space="preserve"> </w:t>
      </w:r>
      <w:r w:rsidR="00915957">
        <w:t>– it may be appropriate to test the plan shortly after significant changes in personnel with roles in the plan.</w:t>
      </w:r>
    </w:p>
    <w:p w14:paraId="7B0EC47C" w14:textId="56AC39C7" w:rsidR="00AD1614" w:rsidRDefault="00AD1614" w:rsidP="00AD1614">
      <w:pPr>
        <w:pStyle w:val="F9-Paragraph"/>
      </w:pPr>
      <w:r>
        <w:t>In addition, in deciding how the</w:t>
      </w:r>
      <w:r w:rsidR="00B008FB">
        <w:t xml:space="preserve"> emergency</w:t>
      </w:r>
      <w:r>
        <w:t xml:space="preserve"> plan is tested, dutyholders must consider lessons learned from past radiation emergencies and lessons learned from national and international level emergency exercises. </w:t>
      </w:r>
    </w:p>
    <w:p w14:paraId="1AEC9E13" w14:textId="771AB053" w:rsidR="004470BE" w:rsidRDefault="004470BE" w:rsidP="00AD1614">
      <w:pPr>
        <w:pStyle w:val="F9-Paragraph"/>
      </w:pPr>
      <w:r>
        <w:t xml:space="preserve">Test scenarios should be based on the RRA reasonably foreseeable scenarios which could give rise to a radiation emergency. </w:t>
      </w:r>
      <w:r w:rsidR="000B190B">
        <w:br/>
      </w:r>
      <w:r w:rsidRPr="004470BE">
        <w:t>Additional elements can be added to the test to ensure the plan is adequate to deal with variable factors which may affect the severity of the emergency. Such factors may include:</w:t>
      </w:r>
    </w:p>
    <w:p w14:paraId="70BCC78C" w14:textId="4090386F" w:rsidR="004470BE" w:rsidRPr="004470BE" w:rsidRDefault="004470BE" w:rsidP="004470BE">
      <w:pPr>
        <w:pStyle w:val="Bulletlist1"/>
      </w:pPr>
      <w:r w:rsidRPr="004470BE">
        <w:t xml:space="preserve">Coincident events, </w:t>
      </w:r>
      <w:r w:rsidR="000B190B">
        <w:t>for example,</w:t>
      </w:r>
      <w:r w:rsidRPr="004470BE">
        <w:t xml:space="preserve"> multi-vehicle incidents, multiple classes of dangerous goods involved or other hazards involved.</w:t>
      </w:r>
    </w:p>
    <w:p w14:paraId="079E2B25" w14:textId="74686CB8" w:rsidR="004470BE" w:rsidRDefault="004470BE" w:rsidP="004470BE">
      <w:pPr>
        <w:pStyle w:val="Bulletlist1"/>
      </w:pPr>
      <w:r>
        <w:t>Extreme weather conditions</w:t>
      </w:r>
    </w:p>
    <w:p w14:paraId="0C3500B4" w14:textId="3C06B292" w:rsidR="004470BE" w:rsidRDefault="004470BE" w:rsidP="004470BE">
      <w:pPr>
        <w:pStyle w:val="Bulletlist1"/>
      </w:pPr>
      <w:r>
        <w:t>Unavailability of emergency equipment</w:t>
      </w:r>
    </w:p>
    <w:p w14:paraId="7EBDA149" w14:textId="45C801B4" w:rsidR="004470BE" w:rsidRDefault="004470BE" w:rsidP="004470BE">
      <w:pPr>
        <w:pStyle w:val="Bulletlist1"/>
      </w:pPr>
      <w:r>
        <w:t>Loss of essential services, such as power or communications</w:t>
      </w:r>
    </w:p>
    <w:p w14:paraId="06550B2A" w14:textId="77777777" w:rsidR="004470BE" w:rsidRPr="004470BE" w:rsidRDefault="004470BE" w:rsidP="004470BE">
      <w:pPr>
        <w:pStyle w:val="Bulletlist1"/>
      </w:pPr>
      <w:r w:rsidRPr="004470BE">
        <w:lastRenderedPageBreak/>
        <w:t>Significant delays in support from consignor/carrier organisation or emergency services. This could be due to traffic, public interference or emergency services being required at other emergencies etc.</w:t>
      </w:r>
    </w:p>
    <w:p w14:paraId="156B44AD" w14:textId="6D98C9F5" w:rsidR="004470BE" w:rsidRDefault="004470BE" w:rsidP="004470BE">
      <w:pPr>
        <w:pStyle w:val="F9-Paragraph"/>
      </w:pPr>
      <w:r>
        <w:t xml:space="preserve">Debriefing after testing should encourage a blameless culture where people are free to offer constructive challenge, so that dutyholders can identify and implement improvements. </w:t>
      </w:r>
    </w:p>
    <w:p w14:paraId="748CCBCB" w14:textId="69D9300D" w:rsidR="007E629C" w:rsidRDefault="007E629C" w:rsidP="004470BE">
      <w:pPr>
        <w:pStyle w:val="F9-Paragraph"/>
      </w:pPr>
      <w:r>
        <w:t xml:space="preserve">It is important to note that testing should not take place on public roads and should not involve packages containing </w:t>
      </w:r>
      <w:r w:rsidR="00D73C84">
        <w:t>class 7 dangerous goods</w:t>
      </w:r>
      <w:r>
        <w:t xml:space="preserve">. Emergency services and the competent authority should only be involved with their express prior agreement. </w:t>
      </w:r>
    </w:p>
    <w:p w14:paraId="16EFB7C5" w14:textId="593D7E5B" w:rsidR="007E629C" w:rsidRDefault="007E629C" w:rsidP="007E629C">
      <w:pPr>
        <w:pStyle w:val="Heading3"/>
      </w:pPr>
      <w:r>
        <w:t>Report on the outcome of the test</w:t>
      </w:r>
    </w:p>
    <w:p w14:paraId="74B78565" w14:textId="23035BAD" w:rsidR="007E629C" w:rsidRDefault="007E629C" w:rsidP="007E629C">
      <w:pPr>
        <w:pStyle w:val="F9-Paragraph"/>
      </w:pPr>
      <w:r>
        <w:t xml:space="preserve">Dutyholders must prepare a report on the outcome of their test within 28 days after the test. This report must be sent to ONR within 56 days after the test. The detail and length of the report should be proportionate to the extent of the test. </w:t>
      </w:r>
      <w:r w:rsidR="00294CB1">
        <w:t>The report should contain the following aspects:</w:t>
      </w:r>
    </w:p>
    <w:p w14:paraId="24943C8E" w14:textId="49CD6985" w:rsidR="007E629C" w:rsidRDefault="007E629C" w:rsidP="007E629C">
      <w:pPr>
        <w:pStyle w:val="Bulletlist1"/>
      </w:pPr>
      <w:r>
        <w:t xml:space="preserve">An overview of the test, including the scenario and method of testing </w:t>
      </w:r>
      <w:r w:rsidR="000B190B">
        <w:br/>
      </w:r>
      <w:r>
        <w:t>(</w:t>
      </w:r>
      <w:proofErr w:type="spellStart"/>
      <w:r>
        <w:t>i.e</w:t>
      </w:r>
      <w:proofErr w:type="spellEnd"/>
      <w:r w:rsidR="000B190B">
        <w:t>,</w:t>
      </w:r>
      <w:r>
        <w:t>. desktop or full simulation) and who took part</w:t>
      </w:r>
      <w:r w:rsidR="00D73C84">
        <w:t>.</w:t>
      </w:r>
    </w:p>
    <w:p w14:paraId="65E3CE7A" w14:textId="5B6174BA" w:rsidR="007E629C" w:rsidRDefault="007E629C" w:rsidP="007E629C">
      <w:pPr>
        <w:pStyle w:val="Bulletlist1"/>
      </w:pPr>
      <w:r>
        <w:t>An assessment of the strengths and weaknesses of the emergency plan, and in particular any areas where the plan was insufficient to deal with the emergency scenario or could not be implemented</w:t>
      </w:r>
      <w:r w:rsidR="00D73C84">
        <w:t>.</w:t>
      </w:r>
    </w:p>
    <w:p w14:paraId="6F7515AE" w14:textId="23DF1677" w:rsidR="007E629C" w:rsidRDefault="007E629C" w:rsidP="007E629C">
      <w:pPr>
        <w:pStyle w:val="Bulletlist1"/>
      </w:pPr>
      <w:r>
        <w:t>Any areas where the carrier’s and consignor’s plans were not aligned</w:t>
      </w:r>
      <w:r w:rsidR="00D73C84">
        <w:t>.</w:t>
      </w:r>
    </w:p>
    <w:p w14:paraId="79CD9B9C" w14:textId="14CEB4E7" w:rsidR="007E629C" w:rsidRDefault="007E629C" w:rsidP="007E629C">
      <w:pPr>
        <w:pStyle w:val="Bulletlist1"/>
      </w:pPr>
      <w:r>
        <w:t>Any training requirements identified during the test</w:t>
      </w:r>
      <w:r w:rsidR="00D73C84">
        <w:t>.</w:t>
      </w:r>
    </w:p>
    <w:p w14:paraId="5FD7A2FC" w14:textId="4F62F117" w:rsidR="007E629C" w:rsidRDefault="007E629C" w:rsidP="007E629C">
      <w:pPr>
        <w:pStyle w:val="Bulletlist1"/>
      </w:pPr>
      <w:r>
        <w:t>Whether any further testing is required to test all aspects of the emergency plan</w:t>
      </w:r>
      <w:r w:rsidR="00D73C84">
        <w:t>.</w:t>
      </w:r>
    </w:p>
    <w:p w14:paraId="6E948C5D" w14:textId="01A328F5" w:rsidR="007E629C" w:rsidRDefault="007E629C" w:rsidP="007E629C">
      <w:pPr>
        <w:pStyle w:val="Bulletlist1"/>
      </w:pPr>
      <w:r>
        <w:t>Which aspects of the emergency plan should be targeted in future tests</w:t>
      </w:r>
      <w:r w:rsidR="00D73C84">
        <w:t>.</w:t>
      </w:r>
    </w:p>
    <w:p w14:paraId="53D9BE6D" w14:textId="3582A537" w:rsidR="007E629C" w:rsidRDefault="007E629C" w:rsidP="007E629C">
      <w:pPr>
        <w:pStyle w:val="Bulletlist1"/>
      </w:pPr>
      <w:r>
        <w:t>Whether test success criteria set by the dutyholder were met</w:t>
      </w:r>
      <w:r w:rsidR="00D73C84">
        <w:t>.</w:t>
      </w:r>
    </w:p>
    <w:p w14:paraId="636B3223" w14:textId="452B9D34" w:rsidR="007E629C" w:rsidRDefault="007E629C" w:rsidP="007E629C">
      <w:pPr>
        <w:pStyle w:val="Bulletlist1"/>
      </w:pPr>
      <w:r>
        <w:t>Action plans, as appropriate, identifying timescales and owners of the actions to resolve any identified shortfalls or learning</w:t>
      </w:r>
      <w:r w:rsidR="00D73C84">
        <w:t>.</w:t>
      </w:r>
    </w:p>
    <w:p w14:paraId="62ACB5F9" w14:textId="74DCB4EE" w:rsidR="00294CB1" w:rsidRDefault="00294CB1" w:rsidP="00294CB1">
      <w:pPr>
        <w:pStyle w:val="F9-Paragraph"/>
      </w:pPr>
      <w:r w:rsidRPr="00294CB1">
        <w:t>Where the report identified any weakness in the emergency plan, training requirements or any other area for improvement, the report should be clear on how these areas for improvement will be addressed. This review/revision of the emergency plan following the test is in addition to the review/revision of the emergency plan before the test</w:t>
      </w:r>
      <w:r w:rsidR="000B190B">
        <w:t>,</w:t>
      </w:r>
      <w:r w:rsidRPr="00294CB1">
        <w:t xml:space="preserve"> </w:t>
      </w:r>
      <w:r>
        <w:t xml:space="preserve">as described in </w:t>
      </w:r>
      <w:r w:rsidR="000B190B">
        <w:fldChar w:fldCharType="begin"/>
      </w:r>
      <w:r w:rsidR="000B190B">
        <w:instrText xml:space="preserve"> REF _Ref235712591 \r \h </w:instrText>
      </w:r>
      <w:r w:rsidR="000B190B">
        <w:fldChar w:fldCharType="separate"/>
      </w:r>
      <w:r w:rsidR="000B190B">
        <w:rPr>
          <w:cs/>
        </w:rPr>
        <w:t>‎</w:t>
      </w:r>
      <w:r w:rsidR="000B190B">
        <w:t>Section 6.3.1</w:t>
      </w:r>
      <w:r w:rsidR="000B190B">
        <w:fldChar w:fldCharType="end"/>
      </w:r>
      <w:r w:rsidRPr="00294CB1">
        <w:t>.</w:t>
      </w:r>
    </w:p>
    <w:p w14:paraId="393F5F3F" w14:textId="4A99FDD0" w:rsidR="009E4E3C" w:rsidRDefault="009E4E3C" w:rsidP="009E4E3C">
      <w:pPr>
        <w:pStyle w:val="Heading2"/>
      </w:pPr>
      <w:bookmarkStart w:id="12" w:name="_Toc235713333"/>
      <w:r>
        <w:lastRenderedPageBreak/>
        <w:t>Step 4 – Implementing the emergency plan</w:t>
      </w:r>
      <w:bookmarkEnd w:id="12"/>
    </w:p>
    <w:p w14:paraId="07102809" w14:textId="1DCD10AA" w:rsidR="009E4E3C" w:rsidRDefault="009E4E3C" w:rsidP="009E4E3C">
      <w:pPr>
        <w:pStyle w:val="Heading3"/>
      </w:pPr>
      <w:r>
        <w:t>Actions by drivers (or vessel masters), carriers and consignors</w:t>
      </w:r>
    </w:p>
    <w:p w14:paraId="5E1413A6" w14:textId="3FBB2FB1" w:rsidR="005E13E2" w:rsidRDefault="005E13E2" w:rsidP="005E13E2">
      <w:pPr>
        <w:pStyle w:val="F9-Paragraph"/>
      </w:pPr>
      <w:r>
        <w:t xml:space="preserve">In the event of a radiation emergency, or the occurrence of an event which could lead to such an emergency, the person(s) authorised to set emergency procedures in motion should initiate the emergency plan. This should involve undertaking initial actions to mitigate the consequences of the radiation emergency and notifying the carrier, consignor and other relevant organisations. The person or role in charge of coordinating mitigatory action should then take charge of the emergency response. </w:t>
      </w:r>
      <w:r w:rsidR="000C0621" w:rsidRPr="000C0621">
        <w:t>When one dutyholder (carrier or consignor) makes the decision to enact their emergency plan, other dutyholders associated with the incident should support and assist as required, including by enacting their own plans.</w:t>
      </w:r>
    </w:p>
    <w:p w14:paraId="5750D095" w14:textId="7C905EB0" w:rsidR="009E4E3C" w:rsidRPr="009E4E3C" w:rsidRDefault="009E4E3C" w:rsidP="009E4E3C">
      <w:pPr>
        <w:pStyle w:val="F9-Paragraph"/>
      </w:pPr>
      <w:r w:rsidRPr="009E4E3C">
        <w:t xml:space="preserve">Drivers should avoid unnecessary delays in making notifications, but CDG recognises that immediate notification is not always possible, for example, when drivers need to prioritise </w:t>
      </w:r>
      <w:r w:rsidR="00D5589D">
        <w:t>other</w:t>
      </w:r>
      <w:r w:rsidRPr="009E4E3C">
        <w:t xml:space="preserve"> actions or where they have become incapacitated. Hence, the legal duty on drivers, carriers and consignors is to notify relevant bodies as soon as reasonably practicable rather than immediately. </w:t>
      </w:r>
    </w:p>
    <w:p w14:paraId="77484BFE" w14:textId="09590865" w:rsidR="00D5589D" w:rsidRPr="00D5589D" w:rsidRDefault="00D5589D" w:rsidP="00D5589D">
      <w:pPr>
        <w:pStyle w:val="F9-Paragraph"/>
      </w:pPr>
      <w:r w:rsidRPr="00D5589D">
        <w:t xml:space="preserve">The actions required by CDG </w:t>
      </w:r>
      <w:r w:rsidR="00245277">
        <w:t xml:space="preserve">during a radiation emergency </w:t>
      </w:r>
      <w:r w:rsidRPr="00D5589D">
        <w:t xml:space="preserve">are summarised in </w:t>
      </w:r>
      <w:r w:rsidR="005D2A07">
        <w:fldChar w:fldCharType="begin"/>
      </w:r>
      <w:r w:rsidR="005D2A07">
        <w:instrText xml:space="preserve"> REF _Ref210989730 \h </w:instrText>
      </w:r>
      <w:r w:rsidR="005D2A07">
        <w:fldChar w:fldCharType="separate"/>
      </w:r>
      <w:r w:rsidR="0006326D">
        <w:t xml:space="preserve">Table </w:t>
      </w:r>
      <w:r w:rsidR="0006326D">
        <w:rPr>
          <w:noProof/>
        </w:rPr>
        <w:t>1</w:t>
      </w:r>
      <w:r w:rsidR="005D2A07">
        <w:fldChar w:fldCharType="end"/>
      </w:r>
      <w:r w:rsidRPr="00D5589D">
        <w:t>. In exceptional circumstances the emergency services may direct movement of the</w:t>
      </w:r>
      <w:r w:rsidR="00BE3CD8">
        <w:t xml:space="preserve"> class 7 dangerous</w:t>
      </w:r>
      <w:r w:rsidRPr="00D5589D">
        <w:t xml:space="preserve"> goods to a safe place or allow a recovery vehicle to move a loaded vehicle that has been involved in an accident or broken down. </w:t>
      </w:r>
    </w:p>
    <w:p w14:paraId="5DCFB454" w14:textId="7D491644" w:rsidR="009E4E3C" w:rsidRDefault="00B740E1" w:rsidP="000B190B">
      <w:pPr>
        <w:pStyle w:val="Caption"/>
        <w:spacing w:before="240" w:after="120"/>
        <w:ind w:left="131" w:firstLine="720"/>
      </w:pPr>
      <w:bookmarkStart w:id="13" w:name="_Ref210989730"/>
      <w:bookmarkStart w:id="14" w:name="_Ref210989725"/>
      <w:r>
        <w:t xml:space="preserve">Table </w:t>
      </w:r>
      <w:fldSimple w:instr=" SEQ Table \* ARABIC ">
        <w:r w:rsidR="0006326D">
          <w:rPr>
            <w:noProof/>
          </w:rPr>
          <w:t>1</w:t>
        </w:r>
      </w:fldSimple>
      <w:bookmarkEnd w:id="13"/>
      <w:r>
        <w:t xml:space="preserve"> – Summary of key duties when initiating an emergency plan</w:t>
      </w:r>
      <w:bookmarkEnd w:id="14"/>
    </w:p>
    <w:tbl>
      <w:tblPr>
        <w:tblStyle w:val="ONRTable1"/>
        <w:tblW w:w="8221" w:type="dxa"/>
        <w:tblInd w:w="851" w:type="dxa"/>
        <w:tblLook w:val="04A0" w:firstRow="1" w:lastRow="0" w:firstColumn="1" w:lastColumn="0" w:noHBand="0" w:noVBand="1"/>
      </w:tblPr>
      <w:tblGrid>
        <w:gridCol w:w="1387"/>
        <w:gridCol w:w="6834"/>
      </w:tblGrid>
      <w:tr w:rsidR="00B740E1" w:rsidRPr="00196ADB" w14:paraId="3288AC94" w14:textId="77777777" w:rsidTr="000B190B">
        <w:trPr>
          <w:cnfStyle w:val="100000000000" w:firstRow="1" w:lastRow="0" w:firstColumn="0" w:lastColumn="0" w:oddVBand="0" w:evenVBand="0" w:oddHBand="0" w:evenHBand="0" w:firstRowFirstColumn="0" w:firstRowLastColumn="0" w:lastRowFirstColumn="0" w:lastRowLastColumn="0"/>
          <w:cantSplit/>
          <w:tblHeader/>
        </w:trPr>
        <w:tc>
          <w:tcPr>
            <w:tcW w:w="567" w:type="dxa"/>
            <w:hideMark/>
          </w:tcPr>
          <w:p w14:paraId="690FE86B" w14:textId="75ADAEEB" w:rsidR="00B740E1" w:rsidRPr="00196ADB" w:rsidRDefault="00B740E1" w:rsidP="000B190B">
            <w:pPr>
              <w:pStyle w:val="TableText"/>
              <w:rPr>
                <w:b w:val="0"/>
                <w:bCs/>
              </w:rPr>
            </w:pPr>
            <w:r>
              <w:rPr>
                <w:b w:val="0"/>
                <w:bCs/>
              </w:rPr>
              <w:t>Dutyholder</w:t>
            </w:r>
          </w:p>
        </w:tc>
        <w:tc>
          <w:tcPr>
            <w:tcW w:w="7654" w:type="dxa"/>
          </w:tcPr>
          <w:p w14:paraId="34977C4F" w14:textId="767B9B09" w:rsidR="00B740E1" w:rsidRPr="00196ADB" w:rsidRDefault="00B740E1" w:rsidP="000B190B">
            <w:pPr>
              <w:pStyle w:val="TableText"/>
              <w:rPr>
                <w:b w:val="0"/>
                <w:bCs/>
              </w:rPr>
            </w:pPr>
            <w:r>
              <w:rPr>
                <w:b w:val="0"/>
                <w:bCs/>
              </w:rPr>
              <w:t>Key duties</w:t>
            </w:r>
          </w:p>
        </w:tc>
      </w:tr>
      <w:tr w:rsidR="00245277" w14:paraId="37CBB0D3" w14:textId="77777777" w:rsidTr="000B190B">
        <w:trPr>
          <w:cantSplit/>
        </w:trPr>
        <w:tc>
          <w:tcPr>
            <w:tcW w:w="567" w:type="dxa"/>
            <w:hideMark/>
          </w:tcPr>
          <w:p w14:paraId="4051875A" w14:textId="20C73AD4" w:rsidR="00245277" w:rsidRDefault="00245277" w:rsidP="000B190B">
            <w:pPr>
              <w:pStyle w:val="TableText"/>
            </w:pPr>
            <w:r>
              <w:t>Driver</w:t>
            </w:r>
          </w:p>
        </w:tc>
        <w:tc>
          <w:tcPr>
            <w:tcW w:w="7654" w:type="dxa"/>
          </w:tcPr>
          <w:p w14:paraId="70C30D94" w14:textId="135FF9DD" w:rsidR="00245277" w:rsidRPr="009F7773" w:rsidRDefault="00245277" w:rsidP="000B190B">
            <w:pPr>
              <w:pStyle w:val="TableText"/>
              <w:suppressAutoHyphens/>
              <w:autoSpaceDE w:val="0"/>
              <w:autoSpaceDN w:val="0"/>
              <w:adjustRightInd w:val="0"/>
              <w:spacing w:line="320" w:lineRule="atLeast"/>
              <w:textAlignment w:val="center"/>
            </w:pPr>
            <w:r>
              <w:t>As soon as reasonably practicable, n</w:t>
            </w:r>
            <w:r w:rsidRPr="009F7773">
              <w:t xml:space="preserve">otify </w:t>
            </w:r>
            <w:r>
              <w:t xml:space="preserve">the </w:t>
            </w:r>
            <w:r w:rsidRPr="009F7773">
              <w:t>emergency services, relevant local authority, consignor and carrier</w:t>
            </w:r>
            <w:r>
              <w:t>.</w:t>
            </w:r>
          </w:p>
          <w:p w14:paraId="7B04AD18" w14:textId="6E677A23" w:rsidR="009D5D85" w:rsidRDefault="00C53063" w:rsidP="000B190B">
            <w:pPr>
              <w:pStyle w:val="TableText"/>
            </w:pPr>
            <w:r>
              <w:t>C</w:t>
            </w:r>
            <w:r w:rsidR="009D5D85">
              <w:t xml:space="preserve">arry out initial </w:t>
            </w:r>
            <w:r w:rsidR="007912D0">
              <w:t>actions in accordance with the emergency plan.</w:t>
            </w:r>
          </w:p>
          <w:p w14:paraId="031E2DB2" w14:textId="2CD4CE8C" w:rsidR="00245277" w:rsidRDefault="00245277" w:rsidP="000B190B">
            <w:pPr>
              <w:pStyle w:val="TableText"/>
            </w:pPr>
            <w:r w:rsidRPr="009F7773">
              <w:t xml:space="preserve">Assist in handling </w:t>
            </w:r>
            <w:r>
              <w:t>the</w:t>
            </w:r>
            <w:r w:rsidRPr="009F7773">
              <w:t xml:space="preserve"> radiation emergenc</w:t>
            </w:r>
            <w:r>
              <w:t>y.</w:t>
            </w:r>
          </w:p>
        </w:tc>
      </w:tr>
      <w:tr w:rsidR="00245277" w14:paraId="19BF31C5" w14:textId="77777777" w:rsidTr="000B190B">
        <w:trPr>
          <w:cantSplit/>
        </w:trPr>
        <w:tc>
          <w:tcPr>
            <w:tcW w:w="567" w:type="dxa"/>
          </w:tcPr>
          <w:p w14:paraId="1C4B5A1C" w14:textId="5DA68C87" w:rsidR="00245277" w:rsidRDefault="00245277" w:rsidP="000B190B">
            <w:pPr>
              <w:pStyle w:val="TableText"/>
            </w:pPr>
            <w:r>
              <w:lastRenderedPageBreak/>
              <w:t>Carrier</w:t>
            </w:r>
          </w:p>
        </w:tc>
        <w:tc>
          <w:tcPr>
            <w:tcW w:w="7654" w:type="dxa"/>
          </w:tcPr>
          <w:p w14:paraId="1353D04E" w14:textId="55257238" w:rsidR="00245277" w:rsidRDefault="00245277" w:rsidP="000B190B">
            <w:pPr>
              <w:pStyle w:val="TableText"/>
            </w:pPr>
            <w:r>
              <w:t>Notify emergency services and local authority unless the driver has already done so.</w:t>
            </w:r>
          </w:p>
          <w:p w14:paraId="36A735C4" w14:textId="0BCC295C" w:rsidR="00245277" w:rsidRDefault="00245277" w:rsidP="000B190B">
            <w:pPr>
              <w:pStyle w:val="TableText"/>
            </w:pPr>
            <w:r>
              <w:t>Notify ONR</w:t>
            </w:r>
          </w:p>
          <w:p w14:paraId="47C662AA" w14:textId="0DD1FDBD" w:rsidR="00245277" w:rsidRDefault="00245277" w:rsidP="000B190B">
            <w:pPr>
              <w:pStyle w:val="TableText"/>
            </w:pPr>
            <w:r>
              <w:t xml:space="preserve">Assist in the handling the radiation emergency. This is likely to require the carrier to arrange for: </w:t>
            </w:r>
          </w:p>
          <w:p w14:paraId="20C3F205" w14:textId="2F9A75D2" w:rsidR="00245277" w:rsidRDefault="00245277" w:rsidP="000B190B">
            <w:pPr>
              <w:pStyle w:val="Bulletlist1"/>
              <w:spacing w:before="60" w:after="60"/>
              <w:ind w:left="481"/>
            </w:pPr>
            <w:r>
              <w:t>Notifying the consignor;</w:t>
            </w:r>
          </w:p>
          <w:p w14:paraId="182870A0" w14:textId="41D06CBB" w:rsidR="00245277" w:rsidRDefault="00245277" w:rsidP="000B190B">
            <w:pPr>
              <w:pStyle w:val="Bulletlist1"/>
              <w:spacing w:before="60" w:after="60"/>
              <w:ind w:left="481"/>
            </w:pPr>
            <w:r>
              <w:t xml:space="preserve">Examination of the load to determine whether contamination has occurred and confirm whether shielding has been affected; </w:t>
            </w:r>
          </w:p>
          <w:p w14:paraId="6275768D" w14:textId="28CF2001" w:rsidR="00245277" w:rsidRDefault="00245277" w:rsidP="000B190B">
            <w:pPr>
              <w:pStyle w:val="Bulletlist1"/>
              <w:spacing w:before="60" w:after="60"/>
              <w:ind w:left="481"/>
            </w:pPr>
            <w:r>
              <w:t xml:space="preserve">Safe disposal as required; and </w:t>
            </w:r>
          </w:p>
          <w:p w14:paraId="2B91F70B" w14:textId="2CE3780E" w:rsidR="00245277" w:rsidRDefault="00245277" w:rsidP="000B190B">
            <w:pPr>
              <w:pStyle w:val="Bulletlist1"/>
              <w:spacing w:before="60" w:after="60"/>
              <w:ind w:left="481"/>
            </w:pPr>
            <w:r>
              <w:t>Decontamination of the vehicle, train or vessel if necessary.</w:t>
            </w:r>
          </w:p>
        </w:tc>
      </w:tr>
      <w:tr w:rsidR="00245277" w14:paraId="7BACD474" w14:textId="77777777" w:rsidTr="000B190B">
        <w:trPr>
          <w:cantSplit/>
        </w:trPr>
        <w:tc>
          <w:tcPr>
            <w:tcW w:w="567" w:type="dxa"/>
          </w:tcPr>
          <w:p w14:paraId="56E52510" w14:textId="3A156D57" w:rsidR="00245277" w:rsidRDefault="00245277" w:rsidP="000B190B">
            <w:pPr>
              <w:pStyle w:val="TableText"/>
            </w:pPr>
            <w:r>
              <w:t>Consignor</w:t>
            </w:r>
          </w:p>
        </w:tc>
        <w:tc>
          <w:tcPr>
            <w:tcW w:w="7654" w:type="dxa"/>
          </w:tcPr>
          <w:p w14:paraId="667CD340" w14:textId="0316CE64" w:rsidR="00245277" w:rsidRDefault="00245277" w:rsidP="000B190B">
            <w:pPr>
              <w:pStyle w:val="TableText"/>
            </w:pPr>
            <w:r>
              <w:t xml:space="preserve">Notify </w:t>
            </w:r>
            <w:r w:rsidR="006A4A18">
              <w:t xml:space="preserve">the </w:t>
            </w:r>
            <w:r>
              <w:t>emergency services, relevant local authority and ONR of the event unless the driver or carrier has already done so</w:t>
            </w:r>
            <w:r w:rsidR="006A4A18">
              <w:t>.</w:t>
            </w:r>
          </w:p>
          <w:p w14:paraId="5DC13802" w14:textId="1CF87E9D" w:rsidR="00245277" w:rsidRDefault="00245277" w:rsidP="000B190B">
            <w:pPr>
              <w:pStyle w:val="TableText"/>
            </w:pPr>
            <w:r>
              <w:t>Provide ONR with details of the event</w:t>
            </w:r>
            <w:r w:rsidR="006A4A18">
              <w:t>.</w:t>
            </w:r>
          </w:p>
          <w:p w14:paraId="588E84EF" w14:textId="041E0DEE" w:rsidR="00245277" w:rsidRDefault="00245277" w:rsidP="000B190B">
            <w:pPr>
              <w:pStyle w:val="TableText"/>
            </w:pPr>
            <w:r>
              <w:t>Assist in the handling of the emergency</w:t>
            </w:r>
            <w:r w:rsidR="006A4A18">
              <w:t>.</w:t>
            </w:r>
          </w:p>
          <w:p w14:paraId="6E8EA75A" w14:textId="7D61FCD5" w:rsidR="00245277" w:rsidRDefault="00245277" w:rsidP="000B190B">
            <w:pPr>
              <w:pStyle w:val="TableText"/>
            </w:pPr>
            <w:r>
              <w:t>Notify ONR that the plan is initiated even if no action is taken</w:t>
            </w:r>
            <w:r w:rsidR="006A4A18">
              <w:t>.</w:t>
            </w:r>
          </w:p>
          <w:p w14:paraId="3DB8F571" w14:textId="341671E1" w:rsidR="00245277" w:rsidRDefault="00245277" w:rsidP="000B190B">
            <w:pPr>
              <w:pStyle w:val="TableText"/>
            </w:pPr>
            <w:r>
              <w:t>Ensure examination of the package to establish any damage or leaks that are not evident from a visual examination. Certify the package as suitable for onward transport (see ‘Consideration of packages involved in an emergency’ below).</w:t>
            </w:r>
          </w:p>
        </w:tc>
      </w:tr>
    </w:tbl>
    <w:p w14:paraId="332661C5" w14:textId="2DE6063B" w:rsidR="00B740E1" w:rsidRDefault="006A4A18" w:rsidP="006A4A18">
      <w:pPr>
        <w:pStyle w:val="Heading3"/>
      </w:pPr>
      <w:r>
        <w:t>Consideration of packages involved in a</w:t>
      </w:r>
      <w:r w:rsidR="00A30A8C">
        <w:t xml:space="preserve"> radiation </w:t>
      </w:r>
      <w:r>
        <w:t xml:space="preserve">emergency </w:t>
      </w:r>
    </w:p>
    <w:p w14:paraId="70269D0D" w14:textId="357C8F8C" w:rsidR="006A4A18" w:rsidRDefault="00A30A8C" w:rsidP="006A4A18">
      <w:pPr>
        <w:pStyle w:val="F9-Paragraph"/>
      </w:pPr>
      <w:r w:rsidRPr="00A30A8C">
        <w:t>A package that has been involved in a radiation emergency must not be carried or caused to be carried unless the consignor, or consignor’s agent, has undertaken an examination and issued a certificate to verify that the package complies with the requirements of CDG.</w:t>
      </w:r>
      <w:r w:rsidR="0071684D" w:rsidRPr="0071684D">
        <w:t xml:space="preserve"> A consignor’s agent can be an individual or organisation who are formally identified by the consignor as capable and authorised to act on their behalf regarding the duties defined.</w:t>
      </w:r>
    </w:p>
    <w:p w14:paraId="4697FD25" w14:textId="28BAA470" w:rsidR="00A30A8C" w:rsidRPr="00A30A8C" w:rsidRDefault="00A30A8C" w:rsidP="00A30A8C">
      <w:pPr>
        <w:pStyle w:val="F9-Paragraph"/>
      </w:pPr>
      <w:r w:rsidRPr="00A30A8C">
        <w:t>Before a package is certified as compliant with CDG after a</w:t>
      </w:r>
      <w:r w:rsidR="00035C48">
        <w:t xml:space="preserve"> radiation emergency</w:t>
      </w:r>
      <w:r w:rsidRPr="00A30A8C">
        <w:t xml:space="preserve">, </w:t>
      </w:r>
      <w:r w:rsidR="00392520">
        <w:t xml:space="preserve">the </w:t>
      </w:r>
      <w:r w:rsidRPr="00A30A8C">
        <w:t xml:space="preserve">consignor or their agent should consider whether there has been any: </w:t>
      </w:r>
    </w:p>
    <w:p w14:paraId="5108BD5B" w14:textId="77777777" w:rsidR="00A30A8C" w:rsidRDefault="00A30A8C" w:rsidP="00A30A8C">
      <w:pPr>
        <w:pStyle w:val="Bulletlist1"/>
      </w:pPr>
      <w:r>
        <w:t xml:space="preserve">Package damage that might result in contamination in excess of allowable levels for that type of package and contents; </w:t>
      </w:r>
    </w:p>
    <w:p w14:paraId="57553435" w14:textId="77777777" w:rsidR="00A30A8C" w:rsidRDefault="00A30A8C" w:rsidP="00A30A8C">
      <w:pPr>
        <w:pStyle w:val="Bulletlist1"/>
      </w:pPr>
      <w:r>
        <w:t xml:space="preserve">Shielding damage that could affect dose rate on the outside of the package; </w:t>
      </w:r>
    </w:p>
    <w:p w14:paraId="7AC0C186" w14:textId="77777777" w:rsidR="00A30A8C" w:rsidRDefault="00A30A8C" w:rsidP="00A30A8C">
      <w:pPr>
        <w:pStyle w:val="Bulletlist1"/>
      </w:pPr>
      <w:r>
        <w:t xml:space="preserve">Ingress of water that could have dispersed the contents, changed dose rates or affected the criticality safety index; </w:t>
      </w:r>
    </w:p>
    <w:p w14:paraId="4FCD1D93" w14:textId="77777777" w:rsidR="00A30A8C" w:rsidRDefault="00A30A8C" w:rsidP="00A30A8C">
      <w:pPr>
        <w:pStyle w:val="Bulletlist1"/>
      </w:pPr>
      <w:r>
        <w:lastRenderedPageBreak/>
        <w:t xml:space="preserve">Movement or redistribution of the contents that could have changed the dose rates; or </w:t>
      </w:r>
    </w:p>
    <w:p w14:paraId="0AF47FD3" w14:textId="77777777" w:rsidR="00A30A8C" w:rsidRDefault="00A30A8C" w:rsidP="00A30A8C">
      <w:pPr>
        <w:pStyle w:val="Bulletlist1"/>
      </w:pPr>
      <w:r>
        <w:t xml:space="preserve">Damage to labelling making it non-compliant for onward carriage.  </w:t>
      </w:r>
    </w:p>
    <w:p w14:paraId="0723622B" w14:textId="29D2BF6C" w:rsidR="00971D80" w:rsidRPr="00971D80" w:rsidRDefault="00971D80" w:rsidP="00971D80">
      <w:pPr>
        <w:pStyle w:val="F9-Paragraph"/>
      </w:pPr>
      <w:r w:rsidRPr="00971D80">
        <w:t>There is neither a prescribed format nor specified contents for the certificate required to authorise onward movement of packages involved in a</w:t>
      </w:r>
      <w:r w:rsidR="00035C48">
        <w:t xml:space="preserve"> radiation emergency</w:t>
      </w:r>
      <w:r w:rsidRPr="00971D80">
        <w:t xml:space="preserve">. The certificate may be in electronic or hard copy format, but the carrier must be able to produce it during onward transport. For the certificate to be considered adequate, it should: </w:t>
      </w:r>
    </w:p>
    <w:p w14:paraId="1B6750D5" w14:textId="54C00596" w:rsidR="00971D80" w:rsidRDefault="00971D80" w:rsidP="00971D80">
      <w:pPr>
        <w:pStyle w:val="Bulletlist1"/>
      </w:pPr>
      <w:r>
        <w:t xml:space="preserve">State that it is being issued by the consignor or their agent; </w:t>
      </w:r>
    </w:p>
    <w:p w14:paraId="6594AA5B" w14:textId="77777777" w:rsidR="00971D80" w:rsidRDefault="00971D80" w:rsidP="00971D80">
      <w:pPr>
        <w:pStyle w:val="Bulletlist1"/>
      </w:pPr>
      <w:r>
        <w:t xml:space="preserve">Contain a clear and unambiguous statement that the consignor confirms that the package is compliant with the relevant requirements of CDG; and </w:t>
      </w:r>
    </w:p>
    <w:p w14:paraId="135860FE" w14:textId="77777777" w:rsidR="00971D80" w:rsidRDefault="00971D80" w:rsidP="00971D80">
      <w:pPr>
        <w:pStyle w:val="Bulletlist1"/>
      </w:pPr>
      <w:r>
        <w:t xml:space="preserve">State that it is suitable for onward carriage. </w:t>
      </w:r>
    </w:p>
    <w:p w14:paraId="0E399F8C" w14:textId="13B2C576" w:rsidR="00971D80" w:rsidRDefault="00971D80" w:rsidP="00971D80">
      <w:pPr>
        <w:pStyle w:val="F9-Paragraph"/>
      </w:pPr>
      <w:r>
        <w:t>If the consignee and/or final destination of the package need</w:t>
      </w:r>
      <w:r w:rsidR="00C508AA">
        <w:t>s</w:t>
      </w:r>
      <w:r>
        <w:t xml:space="preserve"> to be changed as a result of the radiation emergency, the consignor should amend or replace the transport document to reflect this. </w:t>
      </w:r>
    </w:p>
    <w:p w14:paraId="1DA2E727" w14:textId="002F2681" w:rsidR="00F07C5B" w:rsidRDefault="00F07C5B" w:rsidP="00A723F0">
      <w:pPr>
        <w:pStyle w:val="F9-Paragraph"/>
      </w:pPr>
      <w:r w:rsidRPr="00F07C5B">
        <w:t>Organisations</w:t>
      </w:r>
      <w:r w:rsidR="00DB48B3">
        <w:t xml:space="preserve"> who may be</w:t>
      </w:r>
      <w:r w:rsidRPr="00F07C5B">
        <w:t xml:space="preserve"> </w:t>
      </w:r>
      <w:r w:rsidR="00DB48B3">
        <w:t xml:space="preserve">involved in the </w:t>
      </w:r>
      <w:r w:rsidR="00226D2A">
        <w:t>retrieval</w:t>
      </w:r>
      <w:r w:rsidR="00DB48B3">
        <w:t xml:space="preserve"> of a package, such as </w:t>
      </w:r>
      <w:r w:rsidRPr="00F07C5B">
        <w:t>crane operators</w:t>
      </w:r>
      <w:r w:rsidR="00DB1447">
        <w:t xml:space="preserve">, </w:t>
      </w:r>
      <w:r w:rsidR="00C7631C">
        <w:t>would likely be required to make arrangements to comply with IRR17 and CDG in order to undertake this role. If there is the potential to re</w:t>
      </w:r>
      <w:r w:rsidR="00675BAE">
        <w:t xml:space="preserve">quire the assistance of such an </w:t>
      </w:r>
      <w:r w:rsidR="006D2057">
        <w:t>organisation</w:t>
      </w:r>
      <w:r w:rsidR="00675BAE">
        <w:t xml:space="preserve"> in the </w:t>
      </w:r>
      <w:r w:rsidR="00165FED">
        <w:t>retrieval</w:t>
      </w:r>
      <w:r w:rsidR="00675BAE">
        <w:t xml:space="preserve"> of a package, dutyholders should make appropriate arrangements within their emergency plans </w:t>
      </w:r>
      <w:r w:rsidR="00631025">
        <w:t>for this to occur. This may involve the organisation working to the dutyholders</w:t>
      </w:r>
      <w:r w:rsidR="00053FCD">
        <w:t>’</w:t>
      </w:r>
      <w:r w:rsidR="00631025">
        <w:t xml:space="preserve"> arrangements </w:t>
      </w:r>
      <w:r w:rsidR="006D2057">
        <w:t xml:space="preserve">to enable that organisation to comply with IRR17 and CDG requirements. </w:t>
      </w:r>
    </w:p>
    <w:p w14:paraId="3C66F0A6" w14:textId="70C478E3" w:rsidR="00971D80" w:rsidRDefault="00971D80" w:rsidP="00971D80">
      <w:pPr>
        <w:pStyle w:val="Heading3"/>
      </w:pPr>
      <w:r>
        <w:t>Emergency exposures</w:t>
      </w:r>
    </w:p>
    <w:p w14:paraId="1ECD16B5" w14:textId="3C8ACA3F" w:rsidR="00971D80" w:rsidRPr="00971D80" w:rsidRDefault="00971D80" w:rsidP="00971D80">
      <w:pPr>
        <w:pStyle w:val="F9-Paragraph"/>
      </w:pPr>
      <w:r w:rsidRPr="00971D80">
        <w:t xml:space="preserve">Where a dutyholder has identified in the RRA a reasonably foreseeable radiation emergency which could give rise to emergency exposures, they should </w:t>
      </w:r>
      <w:r w:rsidR="007259D6">
        <w:t>make</w:t>
      </w:r>
      <w:r w:rsidR="00DE7C32">
        <w:t xml:space="preserve"> arrangements as laid out in CDG Schedule 2 Paragraph </w:t>
      </w:r>
      <w:r w:rsidR="00661115">
        <w:t>7</w:t>
      </w:r>
      <w:r w:rsidRPr="00971D80">
        <w:t xml:space="preserve">. </w:t>
      </w:r>
      <w:r w:rsidR="00D64B41">
        <w:t>Dutyholder’s arrangements for emergency exposures should include the following:</w:t>
      </w:r>
      <w:r w:rsidRPr="00971D80">
        <w:t xml:space="preserve"> </w:t>
      </w:r>
    </w:p>
    <w:p w14:paraId="3519F9B4" w14:textId="3CDDA56C" w:rsidR="00700320" w:rsidRDefault="00700320" w:rsidP="00700320">
      <w:pPr>
        <w:pStyle w:val="Bulletlist1"/>
      </w:pPr>
      <w:r>
        <w:t>Identification of employees and roles within the emergency plan who could be subject to emergency exposures.</w:t>
      </w:r>
    </w:p>
    <w:p w14:paraId="3B17A654" w14:textId="77777777" w:rsidR="00700320" w:rsidRDefault="00700320" w:rsidP="00700320">
      <w:pPr>
        <w:pStyle w:val="Bulletlist1"/>
      </w:pPr>
      <w:r>
        <w:t>The provision of appropriate training in radiation protection for employees to understand the health risks associated with exposure to ionising radiation and the precautions to take</w:t>
      </w:r>
    </w:p>
    <w:p w14:paraId="408D4AA1" w14:textId="6664CC14" w:rsidR="00700320" w:rsidRDefault="00700320" w:rsidP="00700320">
      <w:pPr>
        <w:pStyle w:val="Bulletlist1"/>
      </w:pPr>
      <w:r>
        <w:t>The provision of</w:t>
      </w:r>
      <w:r w:rsidR="005720D4">
        <w:t>,</w:t>
      </w:r>
      <w:r>
        <w:t xml:space="preserve"> and training for</w:t>
      </w:r>
      <w:r w:rsidR="005720D4">
        <w:t>,</w:t>
      </w:r>
      <w:r>
        <w:t xml:space="preserve"> any equipment or PPE to be used to restrict employees exposure to ionising radiation.</w:t>
      </w:r>
    </w:p>
    <w:p w14:paraId="0774CCF9" w14:textId="4E886FEF" w:rsidR="00700320" w:rsidRDefault="00700320" w:rsidP="00700320">
      <w:pPr>
        <w:pStyle w:val="Bulletlist1"/>
      </w:pPr>
      <w:r>
        <w:lastRenderedPageBreak/>
        <w:t>Arrangements for medical surveillance by appointed doctors or employment medical adviser</w:t>
      </w:r>
      <w:r w:rsidR="000E2D30">
        <w:t>s</w:t>
      </w:r>
      <w:r>
        <w:t xml:space="preserve"> to be carried out in the event of a radiation emergency where the dutyholder’s employees have received an emergency exposure.</w:t>
      </w:r>
    </w:p>
    <w:p w14:paraId="26E80EB3" w14:textId="2F6E533A" w:rsidR="00700320" w:rsidRDefault="00700320" w:rsidP="00700320">
      <w:pPr>
        <w:pStyle w:val="Bulletlist1"/>
      </w:pPr>
      <w:r>
        <w:t>Arrangements with an approved dosimetry service for dose assessment to be carried out in the event of a radiation emergency for employees who have received an emergency exposure. The arrangements should also provide for the dose assessment to be notified to the employer, ONR and the appointed doctor or medical adviser.</w:t>
      </w:r>
    </w:p>
    <w:p w14:paraId="2F88C33E" w14:textId="367B9B35" w:rsidR="00700320" w:rsidRDefault="00700320" w:rsidP="00700320">
      <w:pPr>
        <w:pStyle w:val="Bulletlist1"/>
      </w:pPr>
      <w:r>
        <w:t>Identification of those employees who are authorised to permit any employee to be subject to an emergency exposure.</w:t>
      </w:r>
    </w:p>
    <w:p w14:paraId="2CB6EFAD" w14:textId="1644814B" w:rsidR="00700320" w:rsidRDefault="00700320" w:rsidP="00700320">
      <w:pPr>
        <w:pStyle w:val="Bulletlist1"/>
      </w:pPr>
      <w:r>
        <w:t>Identification of dose levels which have been determined appropriate to be applied for the purposes of impl</w:t>
      </w:r>
      <w:r w:rsidR="008937B7">
        <w:t>ementing</w:t>
      </w:r>
      <w:r>
        <w:t xml:space="preserve"> the emergency plan and arrangements for ensuring that no employee is exposed to a dose greater than this. This does not apply to employees, who, after being informed of the risks involved in the intervention, agree to undergo an exposure greater than the dose level in order to save human life.</w:t>
      </w:r>
    </w:p>
    <w:p w14:paraId="011584A3" w14:textId="33CBECF2" w:rsidR="00700320" w:rsidRDefault="00700320" w:rsidP="00700320">
      <w:pPr>
        <w:pStyle w:val="Bulletlist1"/>
      </w:pPr>
      <w:r>
        <w:t>Arrangements to ensure that that no employee under 18 years of age or female employee who is pregnant or breastfeeding is subject to an emergency exposure.</w:t>
      </w:r>
    </w:p>
    <w:p w14:paraId="318E0AF3" w14:textId="5BC49506" w:rsidR="00700320" w:rsidRDefault="00700320" w:rsidP="00700320">
      <w:pPr>
        <w:pStyle w:val="Bulletlist1"/>
      </w:pPr>
      <w:r>
        <w:t>Arrangements to ensure that no employee is subject to an emergency exposure unless the employee has agreed to undergo such an exposure</w:t>
      </w:r>
      <w:r w:rsidR="00180471">
        <w:t>.</w:t>
      </w:r>
    </w:p>
    <w:p w14:paraId="79A25FAE" w14:textId="0F8AD2C5" w:rsidR="00971D80" w:rsidRPr="00971D80" w:rsidRDefault="00700320" w:rsidP="00180471">
      <w:pPr>
        <w:pStyle w:val="Bulletlist1"/>
      </w:pPr>
      <w:r>
        <w:t>Arrangements to ensure that the report on the consequences of a radiation emergency and the effectiveness of the emergency plan put into effect (as required by Paragraph 6(6)), is kept and recorded for the specified time</w:t>
      </w:r>
      <w:r w:rsidR="00180471">
        <w:t>.</w:t>
      </w:r>
    </w:p>
    <w:p w14:paraId="12151BAC" w14:textId="6A2A3AA8" w:rsidR="00971D80" w:rsidRPr="00971D80" w:rsidRDefault="004E0937" w:rsidP="00537BC1">
      <w:pPr>
        <w:pStyle w:val="Heading3"/>
      </w:pPr>
      <w:r>
        <w:t xml:space="preserve">Disapplication of dose limits </w:t>
      </w:r>
    </w:p>
    <w:p w14:paraId="537B6F71" w14:textId="76ABCE9F" w:rsidR="007C0E99" w:rsidRDefault="00371B28" w:rsidP="00A00A70">
      <w:pPr>
        <w:pStyle w:val="F9-Paragraph"/>
      </w:pPr>
      <w:r>
        <w:t>CDG</w:t>
      </w:r>
      <w:r w:rsidR="00FB46E6">
        <w:t xml:space="preserve"> Schedule 2, Paragraph 8</w:t>
      </w:r>
      <w:r>
        <w:t xml:space="preserve"> allows for the disapplication of dose limits that appear in IRR17. This applies to emergency workers who are engaged in preventing the occurrence of a radiation emergency or are acting to mitigate the consequences of a radiation emergency. </w:t>
      </w:r>
      <w:r w:rsidR="00F06D66" w:rsidRPr="00F06D66">
        <w:t xml:space="preserve">Disapplication of dose limits only applies where normal dose limits cannot be maintained during the </w:t>
      </w:r>
      <w:r w:rsidR="009406EE">
        <w:t xml:space="preserve">radiation </w:t>
      </w:r>
      <w:r w:rsidR="00F06D66" w:rsidRPr="00F06D66">
        <w:t>emergency, despite suitable and appropriate management of the emergency. Dose limits cannot be disapplied in relation to events which c</w:t>
      </w:r>
      <w:r w:rsidR="003C07E6">
        <w:t>annot</w:t>
      </w:r>
      <w:r w:rsidR="00F06D66" w:rsidRPr="00F06D66">
        <w:t xml:space="preserve"> lead to a radiation emergency. </w:t>
      </w:r>
      <w:r w:rsidR="00F06D66">
        <w:t xml:space="preserve">Regardless, </w:t>
      </w:r>
      <w:r w:rsidR="00F06D66" w:rsidRPr="00F06D66">
        <w:t xml:space="preserve">emergency workers cannot be exposed to an effective dose exceeding 500 mSv when engaged in emergency response. </w:t>
      </w:r>
    </w:p>
    <w:p w14:paraId="4E47A858" w14:textId="77777777" w:rsidR="000B190B" w:rsidRDefault="000B190B" w:rsidP="00A308FB">
      <w:pPr>
        <w:pStyle w:val="F9-Paragraph"/>
        <w:sectPr w:rsidR="000B190B" w:rsidSect="00B23A5E">
          <w:pgSz w:w="11906" w:h="16838" w:code="9"/>
          <w:pgMar w:top="1440" w:right="1440" w:bottom="1440" w:left="1440" w:header="397" w:footer="397" w:gutter="0"/>
          <w:cols w:space="312"/>
          <w:docGrid w:linePitch="360"/>
        </w:sectPr>
      </w:pPr>
    </w:p>
    <w:p w14:paraId="111EEC17" w14:textId="6C6C0C4B" w:rsidR="00F06D66" w:rsidRDefault="00F06D66" w:rsidP="00A308FB">
      <w:pPr>
        <w:pStyle w:val="F9-Paragraph"/>
      </w:pPr>
      <w:r w:rsidRPr="00F06D66">
        <w:lastRenderedPageBreak/>
        <w:t xml:space="preserve">Dutyholder’s arrangements </w:t>
      </w:r>
      <w:r w:rsidR="00EC212E">
        <w:t xml:space="preserve">for </w:t>
      </w:r>
      <w:r>
        <w:t>the disapplication of dose limits should</w:t>
      </w:r>
      <w:r w:rsidRPr="00F06D66">
        <w:t xml:space="preserve"> include</w:t>
      </w:r>
      <w:r w:rsidR="007C0E99">
        <w:t xml:space="preserve"> the i</w:t>
      </w:r>
      <w:r>
        <w:t xml:space="preserve">dentification of individuals who can authorise the disapplication of dose limits, how that decision maker will be advised and how they will be trained. </w:t>
      </w:r>
      <w:r w:rsidR="007C0E99">
        <w:t>Arrangements should also provide for reapplying IRR17 dose limits as early as possible to keep doses as low as reasonably practicable.</w:t>
      </w:r>
    </w:p>
    <w:p w14:paraId="56F1A9D0" w14:textId="08208380" w:rsidR="007C0E99" w:rsidRDefault="007C0E99" w:rsidP="00A308FB">
      <w:pPr>
        <w:pStyle w:val="F9-Paragraph"/>
      </w:pPr>
      <w:r w:rsidRPr="007C0E99">
        <w:t>Disapplication of dose limits cannot be justified once the reasons for disapplication cease to exist, for example where the radiation emergency has been prevented or mitigated, help has been provided to endangered persons or exposure has been prevented to a large number of persons.</w:t>
      </w:r>
    </w:p>
    <w:p w14:paraId="4B277C0F" w14:textId="0F1A71C4" w:rsidR="00D72B77" w:rsidRDefault="003E5BC4" w:rsidP="00D72B77">
      <w:pPr>
        <w:pStyle w:val="Heading3"/>
      </w:pPr>
      <w:r>
        <w:t>Reference levels</w:t>
      </w:r>
    </w:p>
    <w:p w14:paraId="7F1AE2C7" w14:textId="1449D914" w:rsidR="003E5BC4" w:rsidRDefault="003C71B2" w:rsidP="003E5BC4">
      <w:pPr>
        <w:pStyle w:val="F9-Paragraph"/>
      </w:pPr>
      <w:r>
        <w:t>Notwithstanding the above on the disapplication of dose limits, CDG requires dutyholders to prioritise keeping doses below a 100 mSv reference level or an emergency specific reference level if applicable</w:t>
      </w:r>
      <w:r w:rsidR="004909D6">
        <w:t>.</w:t>
      </w:r>
    </w:p>
    <w:p w14:paraId="3ABC1F1D" w14:textId="73A1D59B" w:rsidR="004909D6" w:rsidRPr="004909D6" w:rsidRDefault="004909D6" w:rsidP="004909D6">
      <w:pPr>
        <w:pStyle w:val="F9-Paragraph"/>
      </w:pPr>
      <w:r w:rsidRPr="004909D6">
        <w:t>Reference levels relate to the whole body effective dose that could be received during the response to an emergency and should be set in the range of 20–100 mSv effective dose (effective dose is the dose which may be received as a result of the emergency, either as an acute dose or over the course of a year). It is not sufficient to simply keep doses just below the reference level</w:t>
      </w:r>
      <w:r>
        <w:t xml:space="preserve"> and</w:t>
      </w:r>
      <w:r w:rsidRPr="004909D6">
        <w:t xml:space="preserve"> optimisation should be applied in all cases to restrict doses so far as is reasonably practicable. </w:t>
      </w:r>
    </w:p>
    <w:p w14:paraId="5E55A1BA" w14:textId="77777777" w:rsidR="004909D6" w:rsidRPr="004909D6" w:rsidRDefault="004909D6" w:rsidP="004909D6">
      <w:pPr>
        <w:pStyle w:val="F9-Paragraph"/>
      </w:pPr>
      <w:r w:rsidRPr="004909D6">
        <w:t xml:space="preserve">The local authority for the area where the event occurs may set lower reference levels to limit doses to responders and these may vary depending on the responder’s role. The local authority must take advice from the person(s) with relevant competency identified in the emergency plan. </w:t>
      </w:r>
    </w:p>
    <w:p w14:paraId="2230CAE4" w14:textId="6D3D01FF" w:rsidR="004909D6" w:rsidRDefault="00C1596C" w:rsidP="00C1596C">
      <w:pPr>
        <w:pStyle w:val="Heading2"/>
      </w:pPr>
      <w:bookmarkStart w:id="15" w:name="_Toc235713334"/>
      <w:r>
        <w:t>Step 5 – Reporting requirements after a radiation emergency</w:t>
      </w:r>
      <w:bookmarkEnd w:id="15"/>
    </w:p>
    <w:p w14:paraId="4ED06A2F" w14:textId="38D236D9" w:rsidR="00294FBB" w:rsidRDefault="00294FBB" w:rsidP="00294FBB">
      <w:pPr>
        <w:pStyle w:val="Heading3"/>
      </w:pPr>
      <w:r>
        <w:t xml:space="preserve">Handover report to recovery authority </w:t>
      </w:r>
    </w:p>
    <w:p w14:paraId="6FD7A464" w14:textId="110BD18A" w:rsidR="00294FBB" w:rsidRDefault="00BE3142" w:rsidP="00BE3142">
      <w:pPr>
        <w:pStyle w:val="F9-Paragraph"/>
      </w:pPr>
      <w:r>
        <w:t xml:space="preserve">The emergency services and the local authority </w:t>
      </w:r>
      <w:r w:rsidR="00782E9B">
        <w:t xml:space="preserve">in the area within which the radiation emergency took place will take responsibility for determining the transition from emergency to recovery phase. The recovery authority will </w:t>
      </w:r>
      <w:r w:rsidR="00782E9B" w:rsidRPr="00782E9B">
        <w:t xml:space="preserve">depend on where the emergency takes place. </w:t>
      </w:r>
    </w:p>
    <w:p w14:paraId="159200F6" w14:textId="7A5E61C5" w:rsidR="00782E9B" w:rsidRPr="00782E9B" w:rsidRDefault="00782E9B" w:rsidP="00782E9B">
      <w:pPr>
        <w:pStyle w:val="F9-Paragraph"/>
      </w:pPr>
      <w:r w:rsidRPr="00782E9B">
        <w:t xml:space="preserve">Consignors, in consultation with the carrier, must prepare a handover report to the </w:t>
      </w:r>
      <w:r>
        <w:t>authority responsible for recovery</w:t>
      </w:r>
      <w:r w:rsidRPr="00782E9B">
        <w:t xml:space="preserve"> as soon as reasonably practicable after the completion of the examination of the load. Arrangements for producing this handover report must be included in the transport emergency plan. </w:t>
      </w:r>
    </w:p>
    <w:p w14:paraId="13C4B11C" w14:textId="77777777" w:rsidR="000B190B" w:rsidRDefault="000B190B" w:rsidP="00782E9B">
      <w:pPr>
        <w:pStyle w:val="F9-Paragraph"/>
        <w:sectPr w:rsidR="000B190B" w:rsidSect="00B23A5E">
          <w:pgSz w:w="11906" w:h="16838" w:code="9"/>
          <w:pgMar w:top="1440" w:right="1440" w:bottom="1440" w:left="1440" w:header="397" w:footer="397" w:gutter="0"/>
          <w:cols w:space="312"/>
          <w:docGrid w:linePitch="360"/>
        </w:sectPr>
      </w:pPr>
    </w:p>
    <w:p w14:paraId="4FAC8454" w14:textId="542360FB" w:rsidR="00782E9B" w:rsidRPr="00782E9B" w:rsidRDefault="00782E9B" w:rsidP="00782E9B">
      <w:pPr>
        <w:pStyle w:val="F9-Paragraph"/>
      </w:pPr>
      <w:r w:rsidRPr="00782E9B">
        <w:lastRenderedPageBreak/>
        <w:t xml:space="preserve">The handover report covers the transition from emergency to recovery phase. The purpose of the handover report is to highlight to the recovery authority any risk of environmental contamination in the area where the event occurred. The handover report should include: </w:t>
      </w:r>
    </w:p>
    <w:p w14:paraId="3A3E1E9D" w14:textId="20220204" w:rsidR="00782E9B" w:rsidRDefault="00782E9B" w:rsidP="00782E9B">
      <w:pPr>
        <w:pStyle w:val="Bulletlist1"/>
      </w:pPr>
      <w:r>
        <w:t>Details of the incident giving rise to the radiation emergency</w:t>
      </w:r>
      <w:r w:rsidR="00A5036A">
        <w:t>.</w:t>
      </w:r>
    </w:p>
    <w:p w14:paraId="7C294BD1" w14:textId="6E7F8FE2" w:rsidR="00782E9B" w:rsidRDefault="00782E9B" w:rsidP="00782E9B">
      <w:pPr>
        <w:pStyle w:val="Bulletlist1"/>
      </w:pPr>
      <w:r>
        <w:t>A statement of whether the emergency plan was initiated and if so, the actions taken</w:t>
      </w:r>
      <w:r w:rsidR="00A5036A">
        <w:t>.</w:t>
      </w:r>
    </w:p>
    <w:p w14:paraId="574E8883" w14:textId="618406C3" w:rsidR="00782E9B" w:rsidRDefault="00782E9B" w:rsidP="00782E9B">
      <w:pPr>
        <w:pStyle w:val="Bulletlist1"/>
      </w:pPr>
      <w:r>
        <w:t>A statement on whether any part of the load was contaminated, and if so, the steps taken for the safe disposal of the relevant part of the load and any steps taken for the decontamination of the vehicle or train</w:t>
      </w:r>
      <w:r w:rsidR="00A5036A">
        <w:t>.</w:t>
      </w:r>
    </w:p>
    <w:p w14:paraId="7AD7DF88" w14:textId="57FB3371" w:rsidR="00782E9B" w:rsidRDefault="00782E9B" w:rsidP="00782E9B">
      <w:pPr>
        <w:pStyle w:val="Bulletlist1"/>
      </w:pPr>
      <w:r>
        <w:t>A statement on the anticipated effects of the radiation emergency on the environment</w:t>
      </w:r>
      <w:r w:rsidR="00A5036A">
        <w:t>.</w:t>
      </w:r>
    </w:p>
    <w:p w14:paraId="230CEA28" w14:textId="3D8A6EA8" w:rsidR="00782E9B" w:rsidRDefault="00782E9B" w:rsidP="00782E9B">
      <w:pPr>
        <w:pStyle w:val="Bulletlist1"/>
      </w:pPr>
      <w:r w:rsidRPr="00782E9B">
        <w:t>Any other relevant information which may assist in the transition from an emergency state</w:t>
      </w:r>
      <w:r w:rsidR="00A5036A">
        <w:t>.</w:t>
      </w:r>
    </w:p>
    <w:p w14:paraId="6814DEB2" w14:textId="7BCB3F88" w:rsidR="003C1CA5" w:rsidRDefault="00782E9B" w:rsidP="002664D5">
      <w:pPr>
        <w:pStyle w:val="F9-Paragraph"/>
        <w:spacing w:after="0" w:line="240" w:lineRule="auto"/>
      </w:pPr>
      <w:r w:rsidRPr="00782E9B">
        <w:t xml:space="preserve">CDG requirements for transport radiation emergencies do not extend to the recovery phase. However, during the recovery phase other CDG requirements will continue to apply regarding the packaging and transport of material from the scene along with relevant requirements from IRR17. </w:t>
      </w:r>
      <w:r w:rsidR="000B190B">
        <w:br/>
      </w:r>
      <w:r w:rsidRPr="00782E9B">
        <w:t xml:space="preserve">Other legislation not enforced by ONR will also apply, for example, legislation relating to environmental matters. </w:t>
      </w:r>
      <w:bookmarkEnd w:id="2"/>
    </w:p>
    <w:p w14:paraId="05D6E831" w14:textId="067234FF" w:rsidR="003C1CA5" w:rsidRDefault="00620A3F" w:rsidP="003C1CA5">
      <w:pPr>
        <w:pStyle w:val="Heading3"/>
      </w:pPr>
      <w:r>
        <w:t xml:space="preserve">Provisional and </w:t>
      </w:r>
      <w:r w:rsidR="003649B5">
        <w:t>f</w:t>
      </w:r>
      <w:r w:rsidR="00FA75FB">
        <w:t xml:space="preserve">ull assessment of </w:t>
      </w:r>
      <w:r>
        <w:t>consequences</w:t>
      </w:r>
    </w:p>
    <w:p w14:paraId="59D9B42F" w14:textId="785E3EB7" w:rsidR="003D1568" w:rsidRDefault="003D1568" w:rsidP="003D1568">
      <w:pPr>
        <w:pStyle w:val="F9-Paragraph"/>
      </w:pPr>
      <w:r>
        <w:t xml:space="preserve">CDG requires carriers and consignors, in the event of a radiation emergency, to assess the circumstances and consequences of the radiation emergency. </w:t>
      </w:r>
      <w:r w:rsidRPr="004107E5">
        <w:t>ONR</w:t>
      </w:r>
      <w:r w:rsidR="00B4160D">
        <w:t xml:space="preserve"> recommends</w:t>
      </w:r>
      <w:r w:rsidRPr="004107E5">
        <w:t xml:space="preserve"> that </w:t>
      </w:r>
      <w:r w:rsidR="00B4160D">
        <w:t xml:space="preserve">where </w:t>
      </w:r>
      <w:r w:rsidRPr="004107E5">
        <w:t xml:space="preserve">carriers and consignors collaborate to assess </w:t>
      </w:r>
      <w:r w:rsidR="00B4160D">
        <w:t>related</w:t>
      </w:r>
      <w:r w:rsidR="00B4160D" w:rsidRPr="004107E5">
        <w:t xml:space="preserve"> </w:t>
      </w:r>
      <w:r w:rsidRPr="004107E5">
        <w:t>emergency plans then</w:t>
      </w:r>
      <w:r w:rsidR="00B4160D">
        <w:t xml:space="preserve"> a</w:t>
      </w:r>
      <w:r w:rsidRPr="004107E5">
        <w:t xml:space="preserve"> single </w:t>
      </w:r>
      <w:r w:rsidR="00B4160D">
        <w:t xml:space="preserve">joint </w:t>
      </w:r>
      <w:r w:rsidRPr="004107E5">
        <w:t>report covering the combined findings on both emergency plans</w:t>
      </w:r>
      <w:r w:rsidR="00B4160D">
        <w:t xml:space="preserve"> should be submitted</w:t>
      </w:r>
      <w:r w:rsidRPr="004107E5">
        <w:t>. If dutyholders wish to produce separate reports they should ensure that there is a suitable exchange of information between them for all reports to include relevant details and cross referencing as appropriate.</w:t>
      </w:r>
      <w:r>
        <w:t xml:space="preserve"> </w:t>
      </w:r>
    </w:p>
    <w:p w14:paraId="0FE26730" w14:textId="294DBF4E" w:rsidR="003D1568" w:rsidRDefault="003D1568" w:rsidP="003D1568">
      <w:pPr>
        <w:pStyle w:val="F9-Paragraph"/>
      </w:pPr>
      <w:r>
        <w:t>The du</w:t>
      </w:r>
      <w:r w:rsidR="005720D4">
        <w:t>t</w:t>
      </w:r>
      <w:r>
        <w:t>yholders must first, as soon as reasonably practicable, make a provisional assessment</w:t>
      </w:r>
      <w:r w:rsidR="00F75EDD">
        <w:t>,</w:t>
      </w:r>
      <w:r>
        <w:t xml:space="preserve"> and in doing so consult:</w:t>
      </w:r>
    </w:p>
    <w:p w14:paraId="7B9D566E" w14:textId="77777777" w:rsidR="003D1568" w:rsidRDefault="003D1568" w:rsidP="003D1568">
      <w:pPr>
        <w:pStyle w:val="Bulletlist1"/>
      </w:pPr>
      <w:r>
        <w:t>The emergency services;</w:t>
      </w:r>
    </w:p>
    <w:p w14:paraId="5E09AA6D" w14:textId="77777777" w:rsidR="003D1568" w:rsidRDefault="003D1568" w:rsidP="003D1568">
      <w:pPr>
        <w:pStyle w:val="Bulletlist1"/>
      </w:pPr>
      <w:r>
        <w:t>The health authority in the area within which the radiation emergency took place;</w:t>
      </w:r>
    </w:p>
    <w:p w14:paraId="33DC0A2A" w14:textId="77777777" w:rsidR="003D1568" w:rsidRDefault="003D1568" w:rsidP="003D1568">
      <w:pPr>
        <w:pStyle w:val="Bulletlist1"/>
      </w:pPr>
      <w:r>
        <w:t>The local authority in the area within which the radiation emergency took place;</w:t>
      </w:r>
    </w:p>
    <w:p w14:paraId="1B7EBCAF" w14:textId="77777777" w:rsidR="003D1568" w:rsidRDefault="003D1568" w:rsidP="003D1568">
      <w:pPr>
        <w:pStyle w:val="Bulletlist1"/>
      </w:pPr>
      <w:r>
        <w:lastRenderedPageBreak/>
        <w:t xml:space="preserve">United Kingdom Health Security Agency, Public Health Wales or Health Protection Scotland as appropriate; and </w:t>
      </w:r>
    </w:p>
    <w:p w14:paraId="68194DBA" w14:textId="7C83B453" w:rsidR="003D1568" w:rsidRDefault="000530A9" w:rsidP="003D1568">
      <w:pPr>
        <w:pStyle w:val="Bulletlist1"/>
      </w:pPr>
      <w:r>
        <w:t>A</w:t>
      </w:r>
      <w:r w:rsidR="003D1568">
        <w:t xml:space="preserve">ny other person, body or authority “which has functions under the carriers or consignors emergency plan”. </w:t>
      </w:r>
    </w:p>
    <w:p w14:paraId="2DC7D5B4" w14:textId="77777777" w:rsidR="003D1568" w:rsidRDefault="003D1568" w:rsidP="003D1568">
      <w:pPr>
        <w:pStyle w:val="F9-Paragraph"/>
      </w:pPr>
      <w:r>
        <w:t xml:space="preserve">The dutyholders must then, within 12 months of the radiation emergency, make a full assessment of the consequences of the radiation emergency and the effectiveness of the emergency plan put into effect to deal with the radiation emergency. Within 28 days of completing the full assessment, the dutyholder must produce a report on the assessment findings and retain a copy of the report. The report must then be provided to ONR within 28 days of its completion. </w:t>
      </w:r>
      <w:r w:rsidRPr="00294FBB">
        <w:t>This report should include details of any emergency exposures, medical surveillances and treatment received by emergency workers. Any information relating to emergency exposures, medical surveillances or treatment should be kept for the same period as the dose records of those personnel.</w:t>
      </w:r>
    </w:p>
    <w:p w14:paraId="06F525CF" w14:textId="77777777" w:rsidR="000B190B" w:rsidRDefault="000B190B" w:rsidP="000B190B">
      <w:pPr>
        <w:pStyle w:val="F9-Paragraph"/>
        <w:numPr>
          <w:ilvl w:val="0"/>
          <w:numId w:val="0"/>
        </w:numPr>
        <w:ind w:left="851"/>
      </w:pPr>
    </w:p>
    <w:p w14:paraId="6FCD54FF" w14:textId="77777777" w:rsidR="000B190B" w:rsidRDefault="000B190B" w:rsidP="002042C2">
      <w:pPr>
        <w:pStyle w:val="Heading1"/>
        <w:numPr>
          <w:ilvl w:val="0"/>
          <w:numId w:val="0"/>
        </w:numPr>
        <w:ind w:left="851" w:hanging="851"/>
        <w:rPr>
          <w:color w:val="auto"/>
          <w:sz w:val="24"/>
        </w:rPr>
        <w:sectPr w:rsidR="000B190B" w:rsidSect="00B23A5E">
          <w:pgSz w:w="11906" w:h="16838" w:code="9"/>
          <w:pgMar w:top="1440" w:right="1440" w:bottom="1440" w:left="1440" w:header="397" w:footer="397" w:gutter="0"/>
          <w:cols w:space="312"/>
          <w:docGrid w:linePitch="360"/>
        </w:sectPr>
      </w:pPr>
    </w:p>
    <w:bookmarkStart w:id="16" w:name="_Toc235713335" w:displacedByCustomXml="next"/>
    <w:sdt>
      <w:sdtPr>
        <w:rPr>
          <w:color w:val="auto"/>
          <w:sz w:val="24"/>
        </w:rPr>
        <w:id w:val="-652758001"/>
        <w:docPartObj>
          <w:docPartGallery w:val="Bibliographies"/>
          <w:docPartUnique/>
        </w:docPartObj>
      </w:sdtPr>
      <w:sdtEndPr/>
      <w:sdtContent>
        <w:p w14:paraId="5F37DAE5" w14:textId="77777777" w:rsidR="002042C2" w:rsidRDefault="002042C2" w:rsidP="002042C2">
          <w:pPr>
            <w:pStyle w:val="Heading1"/>
            <w:numPr>
              <w:ilvl w:val="0"/>
              <w:numId w:val="0"/>
            </w:numPr>
            <w:ind w:left="851" w:hanging="851"/>
          </w:pPr>
          <w:r>
            <w:t>References</w:t>
          </w:r>
          <w:bookmarkEnd w:id="16"/>
        </w:p>
        <w:sdt>
          <w:sdtPr>
            <w:id w:val="-573587230"/>
            <w:bibliography/>
          </w:sdtPr>
          <w:sdtEndPr/>
          <w:sdtContent>
            <w:p w14:paraId="25BBDD87" w14:textId="77777777" w:rsidR="000B190B" w:rsidRDefault="002042C2" w:rsidP="00782E9B">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3"/>
                <w:gridCol w:w="8683"/>
              </w:tblGrid>
              <w:tr w:rsidR="000B190B" w:rsidRPr="000B190B" w14:paraId="2126E971" w14:textId="77777777" w:rsidTr="000B190B">
                <w:trPr>
                  <w:divId w:val="1613390971"/>
                  <w:tblCellSpacing w:w="15" w:type="dxa"/>
                </w:trPr>
                <w:tc>
                  <w:tcPr>
                    <w:tcW w:w="165" w:type="pct"/>
                    <w:hideMark/>
                  </w:tcPr>
                  <w:p w14:paraId="6260D0EF" w14:textId="46221CE8" w:rsidR="000B190B" w:rsidRPr="000B190B" w:rsidRDefault="000B190B" w:rsidP="000B190B">
                    <w:pPr>
                      <w:pStyle w:val="Bibliography"/>
                      <w:spacing w:before="60" w:after="60"/>
                      <w:rPr>
                        <w:noProof/>
                        <w:szCs w:val="24"/>
                      </w:rPr>
                    </w:pPr>
                    <w:r w:rsidRPr="000B190B">
                      <w:rPr>
                        <w:noProof/>
                      </w:rPr>
                      <w:t xml:space="preserve">[1] </w:t>
                    </w:r>
                  </w:p>
                </w:tc>
                <w:tc>
                  <w:tcPr>
                    <w:tcW w:w="4786" w:type="pct"/>
                    <w:hideMark/>
                  </w:tcPr>
                  <w:p w14:paraId="373C58C9" w14:textId="77777777" w:rsidR="000B190B" w:rsidRPr="000B190B" w:rsidRDefault="000B190B" w:rsidP="000B190B">
                    <w:pPr>
                      <w:pStyle w:val="Bibliography"/>
                      <w:spacing w:before="60" w:after="60"/>
                      <w:rPr>
                        <w:noProof/>
                      </w:rPr>
                    </w:pPr>
                    <w:r w:rsidRPr="000B190B">
                      <w:rPr>
                        <w:noProof/>
                      </w:rPr>
                      <w:t xml:space="preserve">The Carriage of Dangerous Goods and Use of Transportable Pressure Equipment Regulations 2009, UK Government, 2009. https://www.legislation.gov.uk/uksi/2009/1348/contents. </w:t>
                    </w:r>
                  </w:p>
                </w:tc>
              </w:tr>
              <w:tr w:rsidR="000B190B" w:rsidRPr="000B190B" w14:paraId="76ECCBF8" w14:textId="77777777" w:rsidTr="000B190B">
                <w:trPr>
                  <w:divId w:val="1613390971"/>
                  <w:tblCellSpacing w:w="15" w:type="dxa"/>
                </w:trPr>
                <w:tc>
                  <w:tcPr>
                    <w:tcW w:w="165" w:type="pct"/>
                    <w:hideMark/>
                  </w:tcPr>
                  <w:p w14:paraId="6CD66665" w14:textId="77777777" w:rsidR="000B190B" w:rsidRPr="000B190B" w:rsidRDefault="000B190B" w:rsidP="000B190B">
                    <w:pPr>
                      <w:pStyle w:val="Bibliography"/>
                      <w:spacing w:before="60" w:after="60"/>
                      <w:rPr>
                        <w:noProof/>
                      </w:rPr>
                    </w:pPr>
                    <w:r w:rsidRPr="000B190B">
                      <w:rPr>
                        <w:noProof/>
                      </w:rPr>
                      <w:t xml:space="preserve">[2] </w:t>
                    </w:r>
                  </w:p>
                </w:tc>
                <w:tc>
                  <w:tcPr>
                    <w:tcW w:w="4786" w:type="pct"/>
                    <w:hideMark/>
                  </w:tcPr>
                  <w:p w14:paraId="7823226E" w14:textId="77777777" w:rsidR="000B190B" w:rsidRPr="000B190B" w:rsidRDefault="000B190B" w:rsidP="000B190B">
                    <w:pPr>
                      <w:pStyle w:val="Bibliography"/>
                      <w:spacing w:before="60" w:after="60"/>
                      <w:rPr>
                        <w:noProof/>
                      </w:rPr>
                    </w:pPr>
                    <w:r w:rsidRPr="000B190B">
                      <w:rPr>
                        <w:noProof/>
                      </w:rPr>
                      <w:t xml:space="preserve">Health and Safety Executive. Work with ionising radiation. Ionising Radiations Regulations 2017 Approved Code of Practice and guidance. L121. </w:t>
                    </w:r>
                  </w:p>
                </w:tc>
              </w:tr>
              <w:tr w:rsidR="000B190B" w:rsidRPr="000B190B" w14:paraId="5A7AE8AE" w14:textId="77777777" w:rsidTr="000B190B">
                <w:trPr>
                  <w:divId w:val="1613390971"/>
                  <w:tblCellSpacing w:w="15" w:type="dxa"/>
                </w:trPr>
                <w:tc>
                  <w:tcPr>
                    <w:tcW w:w="165" w:type="pct"/>
                    <w:hideMark/>
                  </w:tcPr>
                  <w:p w14:paraId="7559EC97" w14:textId="77777777" w:rsidR="000B190B" w:rsidRPr="000B190B" w:rsidRDefault="000B190B" w:rsidP="000B190B">
                    <w:pPr>
                      <w:pStyle w:val="Bibliography"/>
                      <w:spacing w:before="60" w:after="60"/>
                      <w:rPr>
                        <w:noProof/>
                      </w:rPr>
                    </w:pPr>
                    <w:r w:rsidRPr="000B190B">
                      <w:rPr>
                        <w:noProof/>
                      </w:rPr>
                      <w:t xml:space="preserve">[3] </w:t>
                    </w:r>
                  </w:p>
                </w:tc>
                <w:tc>
                  <w:tcPr>
                    <w:tcW w:w="4786" w:type="pct"/>
                    <w:hideMark/>
                  </w:tcPr>
                  <w:p w14:paraId="15D654AB" w14:textId="77777777" w:rsidR="000B190B" w:rsidRPr="000B190B" w:rsidRDefault="000B190B" w:rsidP="000B190B">
                    <w:pPr>
                      <w:pStyle w:val="Bibliography"/>
                      <w:spacing w:before="60" w:after="60"/>
                      <w:rPr>
                        <w:noProof/>
                      </w:rPr>
                    </w:pPr>
                    <w:r w:rsidRPr="000B190B">
                      <w:rPr>
                        <w:noProof/>
                      </w:rPr>
                      <w:t xml:space="preserve">TD-TCA-GD-003 - Ionising Radiations Regulations 2017 (IRR17) Regulation 8 - Radiation Risk Assessment Guidance in Relation to the Civil Transport of Radioactive Material by Road, Rail and Inland Waterway. Issue 3. November 2022. </w:t>
                    </w:r>
                  </w:p>
                </w:tc>
              </w:tr>
              <w:tr w:rsidR="000B190B" w:rsidRPr="000B190B" w14:paraId="621567D1" w14:textId="77777777" w:rsidTr="000B190B">
                <w:trPr>
                  <w:divId w:val="1613390971"/>
                  <w:tblCellSpacing w:w="15" w:type="dxa"/>
                </w:trPr>
                <w:tc>
                  <w:tcPr>
                    <w:tcW w:w="165" w:type="pct"/>
                    <w:hideMark/>
                  </w:tcPr>
                  <w:p w14:paraId="383D3CC5" w14:textId="77777777" w:rsidR="000B190B" w:rsidRPr="000B190B" w:rsidRDefault="000B190B" w:rsidP="000B190B">
                    <w:pPr>
                      <w:pStyle w:val="Bibliography"/>
                      <w:spacing w:before="60" w:after="60"/>
                      <w:rPr>
                        <w:noProof/>
                      </w:rPr>
                    </w:pPr>
                    <w:r w:rsidRPr="000B190B">
                      <w:rPr>
                        <w:noProof/>
                      </w:rPr>
                      <w:t xml:space="preserve">[4] </w:t>
                    </w:r>
                  </w:p>
                </w:tc>
                <w:tc>
                  <w:tcPr>
                    <w:tcW w:w="4786" w:type="pct"/>
                    <w:hideMark/>
                  </w:tcPr>
                  <w:p w14:paraId="20511814" w14:textId="77777777" w:rsidR="000B190B" w:rsidRPr="000B190B" w:rsidRDefault="000B190B" w:rsidP="000B190B">
                    <w:pPr>
                      <w:pStyle w:val="Bibliography"/>
                      <w:spacing w:before="60" w:after="60"/>
                      <w:rPr>
                        <w:noProof/>
                      </w:rPr>
                    </w:pPr>
                    <w:r w:rsidRPr="000B190B">
                      <w:rPr>
                        <w:noProof/>
                      </w:rPr>
                      <w:t xml:space="preserve">Radioactive Material Transport Users Committee. Guidance Note. Guidance on Assessment of Acccident Doses during Carriage of Radioactive Material on Road/Rail as required under CDG09 (as amended). December 2023. </w:t>
                    </w:r>
                  </w:p>
                </w:tc>
              </w:tr>
              <w:tr w:rsidR="000B190B" w:rsidRPr="000B190B" w14:paraId="5DF68967" w14:textId="77777777" w:rsidTr="000B190B">
                <w:trPr>
                  <w:divId w:val="1613390971"/>
                  <w:tblCellSpacing w:w="15" w:type="dxa"/>
                </w:trPr>
                <w:tc>
                  <w:tcPr>
                    <w:tcW w:w="165" w:type="pct"/>
                    <w:hideMark/>
                  </w:tcPr>
                  <w:p w14:paraId="6A3CB1BD" w14:textId="77777777" w:rsidR="000B190B" w:rsidRPr="000B190B" w:rsidRDefault="000B190B" w:rsidP="000B190B">
                    <w:pPr>
                      <w:pStyle w:val="Bibliography"/>
                      <w:spacing w:before="60" w:after="60"/>
                      <w:rPr>
                        <w:noProof/>
                      </w:rPr>
                    </w:pPr>
                    <w:r w:rsidRPr="000B190B">
                      <w:rPr>
                        <w:noProof/>
                      </w:rPr>
                      <w:t xml:space="preserve">[5] </w:t>
                    </w:r>
                  </w:p>
                </w:tc>
                <w:tc>
                  <w:tcPr>
                    <w:tcW w:w="4786" w:type="pct"/>
                    <w:hideMark/>
                  </w:tcPr>
                  <w:p w14:paraId="357B8052" w14:textId="77777777" w:rsidR="000B190B" w:rsidRPr="000B190B" w:rsidRDefault="000B190B" w:rsidP="000B190B">
                    <w:pPr>
                      <w:pStyle w:val="Bibliography"/>
                      <w:spacing w:before="60" w:after="60"/>
                      <w:rPr>
                        <w:noProof/>
                      </w:rPr>
                    </w:pPr>
                    <w:r w:rsidRPr="000B190B">
                      <w:rPr>
                        <w:noProof/>
                      </w:rPr>
                      <w:t xml:space="preserve">IAEA Safety Series. Preparedness and Response for a Nuclear or Radiological Emergency Involving the Transport of Radioactive Material. SSG-65. https://www-pub.iaea.org/MTCD/Publications/PDF/PUB1960_web.pdf. </w:t>
                    </w:r>
                  </w:p>
                </w:tc>
              </w:tr>
              <w:tr w:rsidR="000B190B" w:rsidRPr="000B190B" w14:paraId="43318EC7" w14:textId="77777777" w:rsidTr="000B190B">
                <w:trPr>
                  <w:divId w:val="1613390971"/>
                  <w:tblCellSpacing w:w="15" w:type="dxa"/>
                </w:trPr>
                <w:tc>
                  <w:tcPr>
                    <w:tcW w:w="165" w:type="pct"/>
                    <w:hideMark/>
                  </w:tcPr>
                  <w:p w14:paraId="5602166C" w14:textId="77777777" w:rsidR="000B190B" w:rsidRPr="000B190B" w:rsidRDefault="000B190B" w:rsidP="000B190B">
                    <w:pPr>
                      <w:pStyle w:val="Bibliography"/>
                      <w:spacing w:before="60" w:after="60"/>
                      <w:rPr>
                        <w:noProof/>
                      </w:rPr>
                    </w:pPr>
                    <w:r w:rsidRPr="000B190B">
                      <w:rPr>
                        <w:noProof/>
                      </w:rPr>
                      <w:t xml:space="preserve">[6] </w:t>
                    </w:r>
                  </w:p>
                </w:tc>
                <w:tc>
                  <w:tcPr>
                    <w:tcW w:w="4786" w:type="pct"/>
                    <w:hideMark/>
                  </w:tcPr>
                  <w:p w14:paraId="29231D8E" w14:textId="77777777" w:rsidR="000B190B" w:rsidRPr="000B190B" w:rsidRDefault="000B190B" w:rsidP="000B190B">
                    <w:pPr>
                      <w:pStyle w:val="Bibliography"/>
                      <w:spacing w:before="60" w:after="60"/>
                      <w:rPr>
                        <w:noProof/>
                      </w:rPr>
                    </w:pPr>
                    <w:r w:rsidRPr="000B190B">
                      <w:rPr>
                        <w:noProof/>
                      </w:rPr>
                      <w:t xml:space="preserve">ONR. NS-INSP-GD-066. Technical Inspection Guide. The Carriage of Dangerous Goods and Use of Transportable Pressure Equipment Regulations 2009 - Schedule 2 - Radiation Emergencies. Issue 5. June 2025. </w:t>
                    </w:r>
                  </w:p>
                </w:tc>
              </w:tr>
            </w:tbl>
            <w:p w14:paraId="5F3F38FD" w14:textId="77777777" w:rsidR="000B190B" w:rsidRDefault="000B190B">
              <w:pPr>
                <w:divId w:val="1613390971"/>
                <w:rPr>
                  <w:rFonts w:eastAsia="Times New Roman"/>
                  <w:noProof/>
                </w:rPr>
              </w:pPr>
            </w:p>
            <w:p w14:paraId="64FF7493" w14:textId="77777777" w:rsidR="002042C2" w:rsidRDefault="002042C2" w:rsidP="00782E9B">
              <w:pPr>
                <w:sectPr w:rsidR="002042C2" w:rsidSect="00B23A5E">
                  <w:pgSz w:w="11906" w:h="16838" w:code="9"/>
                  <w:pgMar w:top="1440" w:right="1440" w:bottom="1440" w:left="1440" w:header="397" w:footer="397" w:gutter="0"/>
                  <w:cols w:space="312"/>
                  <w:docGrid w:linePitch="360"/>
                </w:sectPr>
              </w:pPr>
              <w:r>
                <w:rPr>
                  <w:b/>
                  <w:bCs/>
                  <w:noProof/>
                </w:rPr>
                <w:fldChar w:fldCharType="end"/>
              </w:r>
            </w:p>
          </w:sdtContent>
        </w:sdt>
      </w:sdtContent>
    </w:sdt>
    <w:p w14:paraId="6F46D183" w14:textId="3A9823F9" w:rsidR="002042C2" w:rsidRDefault="002042C2" w:rsidP="002042C2">
      <w:pPr>
        <w:pStyle w:val="Heading1"/>
        <w:numPr>
          <w:ilvl w:val="0"/>
          <w:numId w:val="0"/>
        </w:numPr>
        <w:ind w:left="851" w:hanging="851"/>
      </w:pPr>
      <w:bookmarkStart w:id="17" w:name="_Toc235713336"/>
      <w:r>
        <w:lastRenderedPageBreak/>
        <w:t>Glossary</w:t>
      </w:r>
      <w:bookmarkEnd w:id="17"/>
    </w:p>
    <w:p w14:paraId="6C2ADA02" w14:textId="77777777" w:rsidR="00C57BA2" w:rsidRDefault="00C57BA2" w:rsidP="000B190B">
      <w:pPr>
        <w:spacing w:before="60" w:after="60"/>
        <w:ind w:left="2160" w:hanging="2160"/>
      </w:pPr>
      <w:r>
        <w:t>ADR</w:t>
      </w:r>
      <w:r>
        <w:tab/>
        <w:t>Agreement Concerning the International Carriage of Dangerous Goods by Road</w:t>
      </w:r>
    </w:p>
    <w:p w14:paraId="42FA6F58" w14:textId="77777777" w:rsidR="00C57BA2" w:rsidRDefault="00C57BA2" w:rsidP="000B190B">
      <w:pPr>
        <w:spacing w:before="60" w:after="60"/>
        <w:ind w:left="2160" w:hanging="2160"/>
      </w:pPr>
      <w:r>
        <w:t>CDG</w:t>
      </w:r>
      <w:r>
        <w:tab/>
      </w:r>
      <w:r w:rsidRPr="006628AF">
        <w:t xml:space="preserve">The Carriage of Dangerous Goods and Use of Transportable Pressure Equipment Regulations 2009 </w:t>
      </w:r>
      <w:r>
        <w:t>(as amended)</w:t>
      </w:r>
    </w:p>
    <w:p w14:paraId="1C96C25B" w14:textId="77777777" w:rsidR="00C57BA2" w:rsidRDefault="00C57BA2" w:rsidP="000B190B">
      <w:pPr>
        <w:spacing w:before="60" w:after="60"/>
        <w:ind w:left="2160" w:hanging="2160"/>
      </w:pPr>
      <w:r>
        <w:t>DGSA</w:t>
      </w:r>
      <w:r>
        <w:tab/>
        <w:t>Dangerous Goods Safety Adviser</w:t>
      </w:r>
    </w:p>
    <w:p w14:paraId="489AB4B9" w14:textId="34565827" w:rsidR="00B52CFC" w:rsidRDefault="00B52CFC" w:rsidP="000B190B">
      <w:pPr>
        <w:spacing w:before="60" w:after="60"/>
        <w:ind w:left="2160" w:hanging="2160"/>
      </w:pPr>
      <w:r>
        <w:t>GB</w:t>
      </w:r>
      <w:r>
        <w:tab/>
        <w:t>Great Britain</w:t>
      </w:r>
    </w:p>
    <w:p w14:paraId="5EAAE5F6" w14:textId="77777777" w:rsidR="00C57BA2" w:rsidRDefault="00C57BA2" w:rsidP="000B190B">
      <w:pPr>
        <w:spacing w:before="60" w:after="60"/>
        <w:ind w:left="2160" w:hanging="2160"/>
      </w:pPr>
      <w:r>
        <w:t xml:space="preserve">HSE </w:t>
      </w:r>
      <w:r>
        <w:tab/>
        <w:t>Health and Safety Executive</w:t>
      </w:r>
    </w:p>
    <w:p w14:paraId="5D450474" w14:textId="77777777" w:rsidR="00C57BA2" w:rsidRDefault="00C57BA2" w:rsidP="000B190B">
      <w:pPr>
        <w:spacing w:before="60" w:after="60"/>
        <w:ind w:left="2160" w:hanging="2160"/>
      </w:pPr>
      <w:r>
        <w:t>IRR17</w:t>
      </w:r>
      <w:r>
        <w:tab/>
        <w:t>The Ionising Radiations Regulations 2017</w:t>
      </w:r>
    </w:p>
    <w:p w14:paraId="3BC8BA2C" w14:textId="77777777" w:rsidR="00C57BA2" w:rsidRDefault="00C57BA2" w:rsidP="000B190B">
      <w:pPr>
        <w:spacing w:before="60" w:after="60"/>
        <w:ind w:left="2160" w:hanging="2160"/>
      </w:pPr>
      <w:r>
        <w:t>NAIR</w:t>
      </w:r>
      <w:r>
        <w:tab/>
      </w:r>
      <w:r w:rsidRPr="00B53AB4">
        <w:t xml:space="preserve">National Arrangements for Incidents Involving Radioactivity </w:t>
      </w:r>
    </w:p>
    <w:p w14:paraId="67590AA4" w14:textId="01CBFBCC" w:rsidR="00B45BF5" w:rsidRDefault="00B45BF5" w:rsidP="000B190B">
      <w:pPr>
        <w:spacing w:before="60" w:after="60"/>
        <w:ind w:left="2160" w:hanging="2160"/>
      </w:pPr>
      <w:r>
        <w:t>NISR</w:t>
      </w:r>
      <w:r>
        <w:tab/>
        <w:t>Nuclear Industries Security Regulations 2003</w:t>
      </w:r>
    </w:p>
    <w:p w14:paraId="1E9AF045" w14:textId="77777777" w:rsidR="00C57BA2" w:rsidRDefault="00C57BA2" w:rsidP="000B190B">
      <w:pPr>
        <w:spacing w:before="60" w:after="60"/>
        <w:ind w:left="2160" w:hanging="2160"/>
      </w:pPr>
      <w:r>
        <w:t xml:space="preserve">ONR </w:t>
      </w:r>
      <w:r>
        <w:tab/>
        <w:t>Office for Nuclear Regulation</w:t>
      </w:r>
    </w:p>
    <w:p w14:paraId="39004914" w14:textId="77777777" w:rsidR="00C57BA2" w:rsidRDefault="00C57BA2" w:rsidP="000B190B">
      <w:pPr>
        <w:spacing w:before="60" w:after="60"/>
        <w:ind w:left="2160" w:hanging="2160"/>
      </w:pPr>
      <w:r>
        <w:t>PPE</w:t>
      </w:r>
      <w:r>
        <w:tab/>
        <w:t>Personal Protective Equipment</w:t>
      </w:r>
    </w:p>
    <w:p w14:paraId="5B005F14" w14:textId="77777777" w:rsidR="00C57BA2" w:rsidRDefault="00C57BA2" w:rsidP="000B190B">
      <w:pPr>
        <w:spacing w:before="60" w:after="60"/>
        <w:ind w:left="2160" w:hanging="2160"/>
      </w:pPr>
      <w:r>
        <w:t>RAMTUC</w:t>
      </w:r>
      <w:r>
        <w:tab/>
        <w:t>Radioactive Material Transport Users Committee</w:t>
      </w:r>
    </w:p>
    <w:p w14:paraId="65D53CC3" w14:textId="77777777" w:rsidR="00C57BA2" w:rsidRPr="00C40ECC" w:rsidRDefault="00C57BA2" w:rsidP="000B190B">
      <w:pPr>
        <w:spacing w:before="60" w:after="60"/>
        <w:ind w:left="2160" w:hanging="2160"/>
      </w:pPr>
      <w:r w:rsidRPr="00C40ECC">
        <w:t>RPA</w:t>
      </w:r>
      <w:r w:rsidRPr="00C40ECC">
        <w:tab/>
        <w:t>Radiation Protection Adviser</w:t>
      </w:r>
    </w:p>
    <w:p w14:paraId="4088EF8A" w14:textId="77777777" w:rsidR="00C57BA2" w:rsidRPr="00C40ECC" w:rsidRDefault="00C57BA2" w:rsidP="000B190B">
      <w:pPr>
        <w:spacing w:before="60" w:after="60"/>
        <w:ind w:left="2160" w:hanging="2160"/>
      </w:pPr>
      <w:r w:rsidRPr="00C40ECC">
        <w:t>RRA</w:t>
      </w:r>
      <w:r w:rsidRPr="00C40ECC">
        <w:tab/>
        <w:t>Radiation Risk Assessment</w:t>
      </w:r>
    </w:p>
    <w:p w14:paraId="0366EAE5" w14:textId="77777777" w:rsidR="00C57BA2" w:rsidRDefault="00C57BA2" w:rsidP="000B190B">
      <w:pPr>
        <w:spacing w:before="60" w:after="60"/>
        <w:ind w:left="2160" w:hanging="2160"/>
      </w:pPr>
      <w:r>
        <w:t>TIG</w:t>
      </w:r>
      <w:r>
        <w:tab/>
        <w:t>Technical Inspection Guide</w:t>
      </w:r>
    </w:p>
    <w:p w14:paraId="58332200" w14:textId="77777777" w:rsidR="00C57BA2" w:rsidRDefault="00C57BA2" w:rsidP="00C57BA2"/>
    <w:p w14:paraId="626999F4" w14:textId="0D49C0A6" w:rsidR="000B190B" w:rsidRDefault="000B190B" w:rsidP="000B190B">
      <w:pPr>
        <w:pStyle w:val="Heading1"/>
        <w:numPr>
          <w:ilvl w:val="0"/>
          <w:numId w:val="0"/>
        </w:numPr>
        <w:ind w:left="851" w:hanging="851"/>
      </w:pPr>
      <w:bookmarkStart w:id="18" w:name="_Toc235713337"/>
      <w:r>
        <w:t>Document control information</w:t>
      </w:r>
      <w:bookmarkEnd w:id="18"/>
    </w:p>
    <w:p w14:paraId="133C1718" w14:textId="6F4647F2" w:rsidR="00C10EF9" w:rsidRDefault="00C10EF9" w:rsidP="00C10EF9">
      <w:r w:rsidRPr="00C10EF9">
        <w:rPr>
          <w:b/>
          <w:bCs/>
        </w:rPr>
        <w:t>Authored by</w:t>
      </w:r>
      <w:r>
        <w:t xml:space="preserve">: </w:t>
      </w:r>
      <w:r w:rsidRPr="00C10EF9">
        <w:t xml:space="preserve">Nuclear Safety Inspector </w:t>
      </w:r>
    </w:p>
    <w:p w14:paraId="46D88FFC" w14:textId="5D22B196" w:rsidR="00C10EF9" w:rsidRDefault="00C10EF9" w:rsidP="00C10EF9">
      <w:r w:rsidRPr="00C10EF9">
        <w:rPr>
          <w:b/>
          <w:bCs/>
        </w:rPr>
        <w:t>Approved by</w:t>
      </w:r>
      <w:r>
        <w:t>: Head of Regulation for Transport Competent Authority (TCA)</w:t>
      </w:r>
    </w:p>
    <w:p w14:paraId="009633F6" w14:textId="165A1DF0" w:rsidR="00C10EF9" w:rsidRDefault="00C10EF9" w:rsidP="00C10EF9">
      <w:r w:rsidRPr="00C10EF9">
        <w:rPr>
          <w:b/>
          <w:bCs/>
        </w:rPr>
        <w:t>Published</w:t>
      </w:r>
      <w:r>
        <w:t>: July 2026</w:t>
      </w:r>
    </w:p>
    <w:p w14:paraId="1FDBB85A" w14:textId="7D555C1C" w:rsidR="00C10EF9" w:rsidRDefault="00C10EF9" w:rsidP="00C10EF9">
      <w:r w:rsidRPr="00C10EF9">
        <w:rPr>
          <w:b/>
          <w:bCs/>
        </w:rPr>
        <w:t>Next scheduled review</w:t>
      </w:r>
      <w:r>
        <w:t>: July 2029</w:t>
      </w:r>
    </w:p>
    <w:p w14:paraId="0F167648" w14:textId="0B9255BC" w:rsidR="00C10EF9" w:rsidRDefault="00C10EF9" w:rsidP="00C10EF9">
      <w:r w:rsidRPr="00C10EF9">
        <w:rPr>
          <w:b/>
          <w:bCs/>
        </w:rPr>
        <w:t>Document reference</w:t>
      </w:r>
      <w:r>
        <w:t>: ONR-TCA-GD-005</w:t>
      </w:r>
    </w:p>
    <w:p w14:paraId="0291C532" w14:textId="77777777" w:rsidR="00C10EF9" w:rsidRDefault="00C10EF9" w:rsidP="00C10EF9">
      <w:pPr>
        <w:pStyle w:val="Caption"/>
        <w:spacing w:before="240" w:after="120"/>
      </w:pPr>
    </w:p>
    <w:p w14:paraId="00F079F7" w14:textId="240F85EE" w:rsidR="00C10EF9" w:rsidRDefault="00C10EF9" w:rsidP="00C10EF9">
      <w:pPr>
        <w:pStyle w:val="Caption"/>
        <w:spacing w:before="240" w:after="120"/>
      </w:pPr>
      <w:r>
        <w:t>Revision commentary</w:t>
      </w:r>
    </w:p>
    <w:tbl>
      <w:tblPr>
        <w:tblStyle w:val="ONRTable1"/>
        <w:tblW w:w="0" w:type="auto"/>
        <w:tblInd w:w="0" w:type="dxa"/>
        <w:tblLook w:val="04A0" w:firstRow="1" w:lastRow="0" w:firstColumn="1" w:lastColumn="0" w:noHBand="0" w:noVBand="1"/>
      </w:tblPr>
      <w:tblGrid>
        <w:gridCol w:w="1276"/>
        <w:gridCol w:w="7750"/>
      </w:tblGrid>
      <w:tr w:rsidR="00C10EF9" w:rsidRPr="00C10EF9" w14:paraId="45BAFDFE" w14:textId="77777777" w:rsidTr="00C10EF9">
        <w:trPr>
          <w:cnfStyle w:val="100000000000" w:firstRow="1" w:lastRow="0" w:firstColumn="0" w:lastColumn="0" w:oddVBand="0" w:evenVBand="0" w:oddHBand="0" w:evenHBand="0" w:firstRowFirstColumn="0" w:firstRowLastColumn="0" w:lastRowFirstColumn="0" w:lastRowLastColumn="0"/>
        </w:trPr>
        <w:tc>
          <w:tcPr>
            <w:tcW w:w="1276" w:type="dxa"/>
          </w:tcPr>
          <w:p w14:paraId="2A8343FC" w14:textId="4AD64926" w:rsidR="00C10EF9" w:rsidRPr="00C10EF9" w:rsidRDefault="00C10EF9" w:rsidP="00C10EF9">
            <w:pPr>
              <w:spacing w:before="60" w:after="60"/>
              <w:rPr>
                <w:bCs/>
              </w:rPr>
            </w:pPr>
            <w:r w:rsidRPr="00C10EF9">
              <w:rPr>
                <w:rFonts w:eastAsia="Calibri" w:cs="Arial"/>
                <w:bCs/>
              </w:rPr>
              <w:t>Issue</w:t>
            </w:r>
          </w:p>
        </w:tc>
        <w:tc>
          <w:tcPr>
            <w:tcW w:w="7750" w:type="dxa"/>
          </w:tcPr>
          <w:p w14:paraId="08D3F06B" w14:textId="1BB79562" w:rsidR="00C10EF9" w:rsidRPr="00C10EF9" w:rsidRDefault="00C10EF9" w:rsidP="00C10EF9">
            <w:pPr>
              <w:spacing w:before="60" w:after="60"/>
              <w:rPr>
                <w:bCs/>
              </w:rPr>
            </w:pPr>
            <w:r w:rsidRPr="00C10EF9">
              <w:rPr>
                <w:bCs/>
              </w:rPr>
              <w:t>Description of update(s)</w:t>
            </w:r>
          </w:p>
        </w:tc>
      </w:tr>
      <w:tr w:rsidR="00C10EF9" w14:paraId="7D86B927" w14:textId="77777777" w:rsidTr="00C10EF9">
        <w:tc>
          <w:tcPr>
            <w:tcW w:w="1276" w:type="dxa"/>
          </w:tcPr>
          <w:p w14:paraId="31AED58C" w14:textId="125577C5" w:rsidR="00C10EF9" w:rsidRDefault="00C10EF9" w:rsidP="00C10EF9">
            <w:pPr>
              <w:spacing w:before="60" w:after="60"/>
            </w:pPr>
            <w:r>
              <w:t>1</w:t>
            </w:r>
          </w:p>
        </w:tc>
        <w:tc>
          <w:tcPr>
            <w:tcW w:w="7750" w:type="dxa"/>
          </w:tcPr>
          <w:p w14:paraId="1B433CF8" w14:textId="0EEF3B22" w:rsidR="00C10EF9" w:rsidRDefault="00C10EF9" w:rsidP="00C10EF9">
            <w:pPr>
              <w:spacing w:before="60" w:after="60"/>
            </w:pPr>
            <w:r>
              <w:t>First issue (March 2023)</w:t>
            </w:r>
          </w:p>
        </w:tc>
      </w:tr>
      <w:tr w:rsidR="00C10EF9" w14:paraId="47A5855E" w14:textId="77777777" w:rsidTr="00C10EF9">
        <w:tc>
          <w:tcPr>
            <w:tcW w:w="1276" w:type="dxa"/>
          </w:tcPr>
          <w:p w14:paraId="3479FCD0" w14:textId="73E08679" w:rsidR="00C10EF9" w:rsidRDefault="00C10EF9" w:rsidP="00C10EF9">
            <w:pPr>
              <w:spacing w:before="60" w:after="60"/>
            </w:pPr>
            <w:r>
              <w:t>2</w:t>
            </w:r>
          </w:p>
        </w:tc>
        <w:tc>
          <w:tcPr>
            <w:tcW w:w="7750" w:type="dxa"/>
          </w:tcPr>
          <w:p w14:paraId="46E483EA" w14:textId="752DAF88" w:rsidR="00C10EF9" w:rsidRDefault="00C10EF9" w:rsidP="00C10EF9">
            <w:pPr>
              <w:spacing w:before="60" w:after="60"/>
            </w:pPr>
            <w:r>
              <w:t>Major update. Removal of ‘What is a notifiable event’, ‘Who are emergency workers’ and ‘Prior information to the public’ sections.</w:t>
            </w:r>
          </w:p>
        </w:tc>
      </w:tr>
    </w:tbl>
    <w:p w14:paraId="6C1BABC9" w14:textId="77777777" w:rsidR="00C10EF9" w:rsidRDefault="00C10EF9" w:rsidP="00C10EF9"/>
    <w:sectPr w:rsidR="00C10EF9" w:rsidSect="00B23A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06893" w14:textId="77777777" w:rsidR="000B0895" w:rsidRDefault="000B0895" w:rsidP="007D199A">
      <w:pPr>
        <w:spacing w:after="0"/>
      </w:pPr>
      <w:r>
        <w:separator/>
      </w:r>
    </w:p>
    <w:p w14:paraId="70F8C569" w14:textId="77777777" w:rsidR="000B0895" w:rsidRDefault="000B0895"/>
  </w:endnote>
  <w:endnote w:type="continuationSeparator" w:id="0">
    <w:p w14:paraId="10B49B64" w14:textId="77777777" w:rsidR="000B0895" w:rsidRDefault="000B0895" w:rsidP="007D199A">
      <w:pPr>
        <w:spacing w:after="0"/>
      </w:pPr>
      <w:r>
        <w:continuationSeparator/>
      </w:r>
    </w:p>
    <w:p w14:paraId="7BBA0FCF" w14:textId="77777777" w:rsidR="000B0895" w:rsidRDefault="000B08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C0D" w14:textId="77777777" w:rsidR="00CE6198" w:rsidRDefault="00CE6198" w:rsidP="008229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8BD" w14:textId="645FF44B" w:rsidR="00CE6198" w:rsidRPr="00C10EF9" w:rsidRDefault="00C10EF9" w:rsidP="00B23A5E">
    <w:pPr>
      <w:pStyle w:val="Footer"/>
      <w:rPr>
        <w:rStyle w:val="PageNumber"/>
        <w:color w:val="22413A"/>
        <w:sz w:val="24"/>
      </w:rPr>
    </w:pPr>
    <w:r w:rsidRPr="00C10EF9">
      <w:rPr>
        <w:rStyle w:val="PageNumber"/>
        <w:color w:val="22413A"/>
        <w:sz w:val="24"/>
      </w:rPr>
      <w:t xml:space="preserve">Page </w:t>
    </w:r>
    <w:r w:rsidRPr="00C10EF9">
      <w:rPr>
        <w:rStyle w:val="PageNumber"/>
        <w:color w:val="22413A"/>
        <w:sz w:val="24"/>
      </w:rPr>
      <w:fldChar w:fldCharType="begin"/>
    </w:r>
    <w:r w:rsidRPr="00C10EF9">
      <w:rPr>
        <w:rStyle w:val="PageNumber"/>
        <w:color w:val="22413A"/>
        <w:sz w:val="24"/>
      </w:rPr>
      <w:instrText>PAGE  \* Arabic  \* MERGEFORMAT</w:instrText>
    </w:r>
    <w:r w:rsidRPr="00C10EF9">
      <w:rPr>
        <w:rStyle w:val="PageNumber"/>
        <w:color w:val="22413A"/>
        <w:sz w:val="24"/>
      </w:rPr>
      <w:fldChar w:fldCharType="separate"/>
    </w:r>
    <w:r w:rsidRPr="00C10EF9">
      <w:rPr>
        <w:rStyle w:val="PageNumber"/>
        <w:color w:val="22413A"/>
        <w:sz w:val="24"/>
      </w:rPr>
      <w:t>1</w:t>
    </w:r>
    <w:r w:rsidRPr="00C10EF9">
      <w:rPr>
        <w:rStyle w:val="PageNumber"/>
        <w:color w:val="22413A"/>
        <w:sz w:val="24"/>
      </w:rPr>
      <w:fldChar w:fldCharType="end"/>
    </w:r>
    <w:r w:rsidRPr="00C10EF9">
      <w:rPr>
        <w:rStyle w:val="PageNumber"/>
        <w:color w:val="22413A"/>
        <w:sz w:val="24"/>
      </w:rPr>
      <w:t xml:space="preserve"> of </w:t>
    </w:r>
    <w:r w:rsidRPr="00C10EF9">
      <w:rPr>
        <w:rStyle w:val="PageNumber"/>
        <w:color w:val="22413A"/>
        <w:sz w:val="24"/>
      </w:rPr>
      <w:fldChar w:fldCharType="begin"/>
    </w:r>
    <w:r w:rsidRPr="00C10EF9">
      <w:rPr>
        <w:rStyle w:val="PageNumber"/>
        <w:color w:val="22413A"/>
        <w:sz w:val="24"/>
      </w:rPr>
      <w:instrText>NUMPAGES  \* Arabic  \* MERGEFORMAT</w:instrText>
    </w:r>
    <w:r w:rsidRPr="00C10EF9">
      <w:rPr>
        <w:rStyle w:val="PageNumber"/>
        <w:color w:val="22413A"/>
        <w:sz w:val="24"/>
      </w:rPr>
      <w:fldChar w:fldCharType="separate"/>
    </w:r>
    <w:r w:rsidRPr="00C10EF9">
      <w:rPr>
        <w:rStyle w:val="PageNumber"/>
        <w:color w:val="22413A"/>
        <w:sz w:val="24"/>
      </w:rPr>
      <w:t>2</w:t>
    </w:r>
    <w:r w:rsidRPr="00C10EF9">
      <w:rPr>
        <w:rStyle w:val="PageNumber"/>
        <w:color w:val="22413A"/>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88191" w14:textId="77777777" w:rsidR="000B0895" w:rsidRPr="005E0344" w:rsidRDefault="000B0895" w:rsidP="005E0344">
      <w:pPr>
        <w:spacing w:after="120"/>
        <w:rPr>
          <w:color w:val="000000" w:themeColor="text2"/>
        </w:rPr>
      </w:pPr>
      <w:r w:rsidRPr="005E0344">
        <w:rPr>
          <w:color w:val="000000" w:themeColor="text2"/>
        </w:rPr>
        <w:separator/>
      </w:r>
    </w:p>
  </w:footnote>
  <w:footnote w:type="continuationSeparator" w:id="0">
    <w:p w14:paraId="10904763" w14:textId="77777777" w:rsidR="000B0895" w:rsidRPr="005E0344" w:rsidRDefault="000B0895" w:rsidP="0090581D">
      <w:pPr>
        <w:spacing w:after="120"/>
        <w:rPr>
          <w:color w:val="000000" w:themeColor="text2"/>
        </w:rPr>
      </w:pPr>
      <w:r w:rsidRPr="005E0344">
        <w:rPr>
          <w:color w:val="000000" w:themeColor="text2"/>
        </w:rPr>
        <w:continuationSeparator/>
      </w:r>
    </w:p>
    <w:p w14:paraId="0A0F660D" w14:textId="77777777" w:rsidR="000B0895" w:rsidRDefault="000B0895"/>
  </w:footnote>
  <w:footnote w:type="continuationNotice" w:id="1">
    <w:p w14:paraId="7D277AE6" w14:textId="77777777" w:rsidR="000B0895" w:rsidRDefault="000B0895">
      <w:pPr>
        <w:spacing w:after="0"/>
      </w:pPr>
    </w:p>
    <w:p w14:paraId="6EA2C974" w14:textId="77777777" w:rsidR="000B0895" w:rsidRDefault="000B0895"/>
  </w:footnote>
  <w:footnote w:id="2">
    <w:p w14:paraId="7B23B0EB" w14:textId="64E2FF58" w:rsidR="00481507" w:rsidRDefault="00481507" w:rsidP="000B190B">
      <w:pPr>
        <w:pStyle w:val="FootnoteText"/>
        <w:ind w:left="0" w:firstLine="0"/>
      </w:pPr>
      <w:r>
        <w:rPr>
          <w:rStyle w:val="FootnoteReference"/>
        </w:rPr>
        <w:footnoteRef/>
      </w:r>
      <w:r>
        <w:t xml:space="preserve"> </w:t>
      </w:r>
      <w:r w:rsidR="00DB0D6E">
        <w:t>CDG Reg 4(1A) specifically applies Schedule 2 (via Part 5, Reg 24) to transport via inland waterways, the definition of inland waterways is defined by the Maritime and Coastguard Agency</w:t>
      </w:r>
      <w:r w:rsidR="00DB0D6E" w:rsidRPr="00481507">
        <w:t xml:space="preserve"> </w:t>
      </w:r>
      <w:r w:rsidRPr="00481507">
        <w:t xml:space="preserve">MSN 1837 (M) Amendment </w:t>
      </w:r>
      <w:r>
        <w:t>3</w:t>
      </w:r>
      <w:r w:rsidRPr="00481507">
        <w:t xml:space="preserve"> categorisation of waters</w:t>
      </w:r>
      <w:r>
        <w:t xml:space="preserve"> - </w:t>
      </w:r>
      <w:hyperlink r:id="rId1" w:history="1">
        <w:r w:rsidR="000B190B" w:rsidRPr="008F1E68">
          <w:rPr>
            <w:rStyle w:val="Hyperlink"/>
          </w:rPr>
          <w:t>https://www.gov.uk/government/publications/msn-1837-m-amendment-3-categorisation-of-waters</w:t>
        </w:r>
      </w:hyperlink>
      <w:r w:rsidR="000B190B">
        <w:t xml:space="preserve"> </w:t>
      </w:r>
    </w:p>
  </w:footnote>
  <w:footnote w:id="3">
    <w:p w14:paraId="59C211E4" w14:textId="1DDC2151" w:rsidR="002B4BC1" w:rsidRDefault="002B4BC1" w:rsidP="000B190B">
      <w:pPr>
        <w:pStyle w:val="FootnoteText"/>
        <w:ind w:left="0" w:firstLine="0"/>
      </w:pPr>
      <w:r>
        <w:rPr>
          <w:rStyle w:val="FootnoteReference"/>
        </w:rPr>
        <w:footnoteRef/>
      </w:r>
      <w:r>
        <w:t xml:space="preserve"> </w:t>
      </w:r>
      <w:r w:rsidR="007476C7">
        <w:t xml:space="preserve">For detailed </w:t>
      </w:r>
      <w:r w:rsidR="003B4F31">
        <w:t>information</w:t>
      </w:r>
      <w:r w:rsidR="007476C7">
        <w:t xml:space="preserve"> on the transition from emergency response to recovery</w:t>
      </w:r>
      <w:r w:rsidR="000B190B">
        <w:t>, refer to</w:t>
      </w:r>
      <w:r w:rsidR="003B4F31">
        <w:t xml:space="preserve"> the </w:t>
      </w:r>
      <w:r w:rsidR="003B4F31" w:rsidRPr="003B4F31">
        <w:t>UK Recovery Handbook for Radiation Incidents 2024</w:t>
      </w:r>
      <w:r w:rsidR="000B190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8BC" w14:textId="77777777" w:rsidR="00267815" w:rsidRPr="00267815" w:rsidRDefault="00267815"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77777777" w:rsidR="00CE6198" w:rsidRDefault="00CE6198" w:rsidP="00091EEA">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6807CE4F" w:rsidR="00177666" w:rsidRPr="00196ADB" w:rsidRDefault="000B0895"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0B190B">
          <w:rPr>
            <w:sz w:val="20"/>
            <w:szCs w:val="24"/>
          </w:rPr>
          <w:t>Five steps to transport emergency planning</w:t>
        </w:r>
      </w:sdtContent>
    </w:sdt>
    <w:r w:rsidR="004E3932" w:rsidRPr="00196ADB">
      <w:rPr>
        <w:sz w:val="20"/>
        <w:szCs w:val="24"/>
      </w:rPr>
      <w:t xml:space="preserve"> | 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D45EFC">
          <w:rPr>
            <w:sz w:val="20"/>
            <w:szCs w:val="24"/>
          </w:rPr>
          <w:t>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394FE0"/>
    <w:multiLevelType w:val="multilevel"/>
    <w:tmpl w:val="0FBAAFF6"/>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upperRoman"/>
      <w:lvlText w:val="%3."/>
      <w:lvlJc w:val="left"/>
      <w:pPr>
        <w:ind w:left="1224" w:hanging="504"/>
      </w:pPr>
      <w:rPr>
        <w:rFonts w:hint="default"/>
      </w:rPr>
    </w:lvl>
    <w:lvl w:ilvl="3">
      <w:start w:val="1"/>
      <w:numFmt w:val="decimal"/>
      <w:lvlText w:val="%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26E68F7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B85957"/>
    <w:multiLevelType w:val="hybridMultilevel"/>
    <w:tmpl w:val="63E24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E83E54"/>
    <w:multiLevelType w:val="hybridMultilevel"/>
    <w:tmpl w:val="CBB0C0C8"/>
    <w:lvl w:ilvl="0" w:tplc="51300A06">
      <w:start w:val="1"/>
      <w:numFmt w:val="decimal"/>
      <w:pStyle w:val="F9-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CE0110"/>
    <w:multiLevelType w:val="multilevel"/>
    <w:tmpl w:val="371448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FF14E1"/>
    <w:multiLevelType w:val="hybridMultilevel"/>
    <w:tmpl w:val="BFF6BE3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5F46359"/>
    <w:multiLevelType w:val="hybridMultilevel"/>
    <w:tmpl w:val="1E284A8C"/>
    <w:lvl w:ilvl="0" w:tplc="76260F14">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447535"/>
    <w:multiLevelType w:val="multilevel"/>
    <w:tmpl w:val="FC8AD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5443409">
    <w:abstractNumId w:val="9"/>
  </w:num>
  <w:num w:numId="2" w16cid:durableId="823543523">
    <w:abstractNumId w:val="7"/>
  </w:num>
  <w:num w:numId="3" w16cid:durableId="2085639988">
    <w:abstractNumId w:val="6"/>
  </w:num>
  <w:num w:numId="4" w16cid:durableId="1262179006">
    <w:abstractNumId w:val="5"/>
  </w:num>
  <w:num w:numId="5" w16cid:durableId="1002776976">
    <w:abstractNumId w:val="4"/>
  </w:num>
  <w:num w:numId="6" w16cid:durableId="2131317494">
    <w:abstractNumId w:val="8"/>
  </w:num>
  <w:num w:numId="7" w16cid:durableId="1578203617">
    <w:abstractNumId w:val="3"/>
  </w:num>
  <w:num w:numId="8" w16cid:durableId="995184146">
    <w:abstractNumId w:val="2"/>
  </w:num>
  <w:num w:numId="9" w16cid:durableId="348718920">
    <w:abstractNumId w:val="1"/>
  </w:num>
  <w:num w:numId="10" w16cid:durableId="1368944693">
    <w:abstractNumId w:val="0"/>
  </w:num>
  <w:num w:numId="11" w16cid:durableId="816150589">
    <w:abstractNumId w:val="11"/>
  </w:num>
  <w:num w:numId="12" w16cid:durableId="1085146277">
    <w:abstractNumId w:val="24"/>
  </w:num>
  <w:num w:numId="13" w16cid:durableId="989944809">
    <w:abstractNumId w:val="16"/>
  </w:num>
  <w:num w:numId="14" w16cid:durableId="1148547717">
    <w:abstractNumId w:val="12"/>
  </w:num>
  <w:num w:numId="15" w16cid:durableId="1619264317">
    <w:abstractNumId w:val="24"/>
    <w:lvlOverride w:ilvl="0">
      <w:startOverride w:val="1"/>
    </w:lvlOverride>
  </w:num>
  <w:num w:numId="16" w16cid:durableId="1717772705">
    <w:abstractNumId w:val="16"/>
    <w:lvlOverride w:ilvl="0">
      <w:startOverride w:val="1"/>
    </w:lvlOverride>
  </w:num>
  <w:num w:numId="17" w16cid:durableId="1421370352">
    <w:abstractNumId w:val="12"/>
    <w:lvlOverride w:ilvl="0">
      <w:startOverride w:val="1"/>
    </w:lvlOverride>
  </w:num>
  <w:num w:numId="18" w16cid:durableId="802893121">
    <w:abstractNumId w:val="23"/>
  </w:num>
  <w:num w:numId="19" w16cid:durableId="1666081420">
    <w:abstractNumId w:val="19"/>
  </w:num>
  <w:num w:numId="20" w16cid:durableId="874538197">
    <w:abstractNumId w:val="14"/>
  </w:num>
  <w:num w:numId="21" w16cid:durableId="2057311976">
    <w:abstractNumId w:val="21"/>
  </w:num>
  <w:num w:numId="22" w16cid:durableId="689793726">
    <w:abstractNumId w:val="13"/>
  </w:num>
  <w:num w:numId="23" w16cid:durableId="48653822">
    <w:abstractNumId w:val="25"/>
  </w:num>
  <w:num w:numId="24" w16cid:durableId="1603800266">
    <w:abstractNumId w:val="18"/>
  </w:num>
  <w:num w:numId="25" w16cid:durableId="1864591591">
    <w:abstractNumId w:val="17"/>
  </w:num>
  <w:num w:numId="26" w16cid:durableId="832574242">
    <w:abstractNumId w:val="22"/>
  </w:num>
  <w:num w:numId="27" w16cid:durableId="1391732823">
    <w:abstractNumId w:val="17"/>
    <w:lvlOverride w:ilvl="0">
      <w:startOverride w:val="1"/>
    </w:lvlOverride>
  </w:num>
  <w:num w:numId="28" w16cid:durableId="496843312">
    <w:abstractNumId w:val="10"/>
  </w:num>
  <w:num w:numId="29" w16cid:durableId="467020381">
    <w:abstractNumId w:val="20"/>
  </w:num>
  <w:num w:numId="30" w16cid:durableId="2076936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3BCB"/>
    <w:rsid w:val="00004C16"/>
    <w:rsid w:val="00006545"/>
    <w:rsid w:val="00006C74"/>
    <w:rsid w:val="000106B4"/>
    <w:rsid w:val="00011177"/>
    <w:rsid w:val="000134CD"/>
    <w:rsid w:val="00014814"/>
    <w:rsid w:val="00022033"/>
    <w:rsid w:val="00023CBA"/>
    <w:rsid w:val="00024522"/>
    <w:rsid w:val="00024B2E"/>
    <w:rsid w:val="0002561B"/>
    <w:rsid w:val="00027F4F"/>
    <w:rsid w:val="00030430"/>
    <w:rsid w:val="0003078E"/>
    <w:rsid w:val="00031B89"/>
    <w:rsid w:val="00032E59"/>
    <w:rsid w:val="00035C48"/>
    <w:rsid w:val="0003693D"/>
    <w:rsid w:val="0004440F"/>
    <w:rsid w:val="00052C8A"/>
    <w:rsid w:val="000530A9"/>
    <w:rsid w:val="00053FCD"/>
    <w:rsid w:val="000548C8"/>
    <w:rsid w:val="00055850"/>
    <w:rsid w:val="0006326D"/>
    <w:rsid w:val="00064A1B"/>
    <w:rsid w:val="00064ACB"/>
    <w:rsid w:val="000700C4"/>
    <w:rsid w:val="00075605"/>
    <w:rsid w:val="00075C66"/>
    <w:rsid w:val="00077CEA"/>
    <w:rsid w:val="0008007B"/>
    <w:rsid w:val="000817D4"/>
    <w:rsid w:val="00081EA4"/>
    <w:rsid w:val="00082879"/>
    <w:rsid w:val="000838C4"/>
    <w:rsid w:val="00091EEA"/>
    <w:rsid w:val="0009225F"/>
    <w:rsid w:val="00094161"/>
    <w:rsid w:val="000A105C"/>
    <w:rsid w:val="000A5FF3"/>
    <w:rsid w:val="000B0895"/>
    <w:rsid w:val="000B190B"/>
    <w:rsid w:val="000C0621"/>
    <w:rsid w:val="000C1576"/>
    <w:rsid w:val="000C2DDC"/>
    <w:rsid w:val="000C3FF4"/>
    <w:rsid w:val="000C5F5A"/>
    <w:rsid w:val="000D1DA7"/>
    <w:rsid w:val="000D2FD4"/>
    <w:rsid w:val="000D3232"/>
    <w:rsid w:val="000D6212"/>
    <w:rsid w:val="000E20EA"/>
    <w:rsid w:val="000E2D30"/>
    <w:rsid w:val="000F1B7B"/>
    <w:rsid w:val="000F2ED4"/>
    <w:rsid w:val="000F7FA5"/>
    <w:rsid w:val="0010111E"/>
    <w:rsid w:val="001028E8"/>
    <w:rsid w:val="00103043"/>
    <w:rsid w:val="00107A25"/>
    <w:rsid w:val="00112BD6"/>
    <w:rsid w:val="001167E2"/>
    <w:rsid w:val="00121566"/>
    <w:rsid w:val="00122FCC"/>
    <w:rsid w:val="00124C2B"/>
    <w:rsid w:val="00125F94"/>
    <w:rsid w:val="00126752"/>
    <w:rsid w:val="00130B30"/>
    <w:rsid w:val="001318FF"/>
    <w:rsid w:val="00140E1C"/>
    <w:rsid w:val="00142708"/>
    <w:rsid w:val="00145E30"/>
    <w:rsid w:val="00147AE4"/>
    <w:rsid w:val="001524C7"/>
    <w:rsid w:val="001571E5"/>
    <w:rsid w:val="00165FED"/>
    <w:rsid w:val="001763B3"/>
    <w:rsid w:val="00177666"/>
    <w:rsid w:val="00180471"/>
    <w:rsid w:val="001849CA"/>
    <w:rsid w:val="00185410"/>
    <w:rsid w:val="00191157"/>
    <w:rsid w:val="00192352"/>
    <w:rsid w:val="00196ADB"/>
    <w:rsid w:val="001A12FA"/>
    <w:rsid w:val="001A1540"/>
    <w:rsid w:val="001B15E6"/>
    <w:rsid w:val="001B20AC"/>
    <w:rsid w:val="001B4D5A"/>
    <w:rsid w:val="001B7113"/>
    <w:rsid w:val="001C4D63"/>
    <w:rsid w:val="001D0DE0"/>
    <w:rsid w:val="001D5AFF"/>
    <w:rsid w:val="001D74B4"/>
    <w:rsid w:val="001E03E1"/>
    <w:rsid w:val="001F059F"/>
    <w:rsid w:val="00200811"/>
    <w:rsid w:val="00200CA1"/>
    <w:rsid w:val="002042C2"/>
    <w:rsid w:val="00211CFF"/>
    <w:rsid w:val="0021338D"/>
    <w:rsid w:val="00214D43"/>
    <w:rsid w:val="00222DCE"/>
    <w:rsid w:val="00223090"/>
    <w:rsid w:val="002238B4"/>
    <w:rsid w:val="00226D2A"/>
    <w:rsid w:val="002319AB"/>
    <w:rsid w:val="002319AC"/>
    <w:rsid w:val="00233B3C"/>
    <w:rsid w:val="00234342"/>
    <w:rsid w:val="0024040D"/>
    <w:rsid w:val="00242ECA"/>
    <w:rsid w:val="00245277"/>
    <w:rsid w:val="00251CD7"/>
    <w:rsid w:val="00253772"/>
    <w:rsid w:val="00255FA3"/>
    <w:rsid w:val="00257288"/>
    <w:rsid w:val="00261FB6"/>
    <w:rsid w:val="002629F8"/>
    <w:rsid w:val="00263396"/>
    <w:rsid w:val="002659FA"/>
    <w:rsid w:val="0026682A"/>
    <w:rsid w:val="00267433"/>
    <w:rsid w:val="00267491"/>
    <w:rsid w:val="002675F5"/>
    <w:rsid w:val="00267815"/>
    <w:rsid w:val="00272041"/>
    <w:rsid w:val="00276EF3"/>
    <w:rsid w:val="00280DDF"/>
    <w:rsid w:val="002828DB"/>
    <w:rsid w:val="0028493A"/>
    <w:rsid w:val="00285C6C"/>
    <w:rsid w:val="00286490"/>
    <w:rsid w:val="002917FF"/>
    <w:rsid w:val="00292ADF"/>
    <w:rsid w:val="00294CB1"/>
    <w:rsid w:val="00294FBB"/>
    <w:rsid w:val="002960FC"/>
    <w:rsid w:val="00296DBB"/>
    <w:rsid w:val="002A025C"/>
    <w:rsid w:val="002A0DEC"/>
    <w:rsid w:val="002A11FE"/>
    <w:rsid w:val="002A1D28"/>
    <w:rsid w:val="002B0AFE"/>
    <w:rsid w:val="002B1C53"/>
    <w:rsid w:val="002B4BC1"/>
    <w:rsid w:val="002B52B0"/>
    <w:rsid w:val="002B60C1"/>
    <w:rsid w:val="002B6666"/>
    <w:rsid w:val="002D68A7"/>
    <w:rsid w:val="002E0727"/>
    <w:rsid w:val="002E0BE4"/>
    <w:rsid w:val="002E2590"/>
    <w:rsid w:val="002E316C"/>
    <w:rsid w:val="002E31AD"/>
    <w:rsid w:val="002E3B58"/>
    <w:rsid w:val="002E3E8A"/>
    <w:rsid w:val="002E6A6A"/>
    <w:rsid w:val="002F3397"/>
    <w:rsid w:val="002F3A00"/>
    <w:rsid w:val="002F670D"/>
    <w:rsid w:val="002F7347"/>
    <w:rsid w:val="002F7908"/>
    <w:rsid w:val="0030089E"/>
    <w:rsid w:val="0030380D"/>
    <w:rsid w:val="00304A66"/>
    <w:rsid w:val="00304ED5"/>
    <w:rsid w:val="00310027"/>
    <w:rsid w:val="00312411"/>
    <w:rsid w:val="00312E1C"/>
    <w:rsid w:val="00314158"/>
    <w:rsid w:val="00323E71"/>
    <w:rsid w:val="00326F77"/>
    <w:rsid w:val="00332209"/>
    <w:rsid w:val="003401B0"/>
    <w:rsid w:val="00342260"/>
    <w:rsid w:val="00345D54"/>
    <w:rsid w:val="00346C8E"/>
    <w:rsid w:val="00351B8B"/>
    <w:rsid w:val="0035439B"/>
    <w:rsid w:val="003649B5"/>
    <w:rsid w:val="00364CAF"/>
    <w:rsid w:val="003668FB"/>
    <w:rsid w:val="00367BD5"/>
    <w:rsid w:val="00370279"/>
    <w:rsid w:val="00371B28"/>
    <w:rsid w:val="00380DD8"/>
    <w:rsid w:val="00390327"/>
    <w:rsid w:val="0039147D"/>
    <w:rsid w:val="00392520"/>
    <w:rsid w:val="00393B78"/>
    <w:rsid w:val="003978CA"/>
    <w:rsid w:val="003A01E9"/>
    <w:rsid w:val="003A4251"/>
    <w:rsid w:val="003A7D6C"/>
    <w:rsid w:val="003A7F3B"/>
    <w:rsid w:val="003B0C9A"/>
    <w:rsid w:val="003B4F31"/>
    <w:rsid w:val="003C0306"/>
    <w:rsid w:val="003C03FE"/>
    <w:rsid w:val="003C07E6"/>
    <w:rsid w:val="003C114C"/>
    <w:rsid w:val="003C1CA5"/>
    <w:rsid w:val="003C465D"/>
    <w:rsid w:val="003C62FD"/>
    <w:rsid w:val="003C71B2"/>
    <w:rsid w:val="003D0718"/>
    <w:rsid w:val="003D1568"/>
    <w:rsid w:val="003D495D"/>
    <w:rsid w:val="003D588A"/>
    <w:rsid w:val="003E098E"/>
    <w:rsid w:val="003E2FAE"/>
    <w:rsid w:val="003E3CD3"/>
    <w:rsid w:val="003E5BC4"/>
    <w:rsid w:val="003E5C0C"/>
    <w:rsid w:val="003F19D3"/>
    <w:rsid w:val="003F25A7"/>
    <w:rsid w:val="003F3984"/>
    <w:rsid w:val="003F42FB"/>
    <w:rsid w:val="00407CF7"/>
    <w:rsid w:val="004107E5"/>
    <w:rsid w:val="00415ED6"/>
    <w:rsid w:val="00417CAF"/>
    <w:rsid w:val="00420A11"/>
    <w:rsid w:val="00421BA2"/>
    <w:rsid w:val="00422265"/>
    <w:rsid w:val="00427682"/>
    <w:rsid w:val="00430866"/>
    <w:rsid w:val="004353CB"/>
    <w:rsid w:val="004373A7"/>
    <w:rsid w:val="00437D94"/>
    <w:rsid w:val="0044030C"/>
    <w:rsid w:val="004470BE"/>
    <w:rsid w:val="00455B14"/>
    <w:rsid w:val="004606A1"/>
    <w:rsid w:val="00461013"/>
    <w:rsid w:val="004648A4"/>
    <w:rsid w:val="00467B19"/>
    <w:rsid w:val="00470B48"/>
    <w:rsid w:val="00471380"/>
    <w:rsid w:val="004737CD"/>
    <w:rsid w:val="00481507"/>
    <w:rsid w:val="004848E8"/>
    <w:rsid w:val="00487FB3"/>
    <w:rsid w:val="00490821"/>
    <w:rsid w:val="004909D6"/>
    <w:rsid w:val="00492DE1"/>
    <w:rsid w:val="00494F0D"/>
    <w:rsid w:val="00496BFD"/>
    <w:rsid w:val="00496FF2"/>
    <w:rsid w:val="004A3DF2"/>
    <w:rsid w:val="004A688C"/>
    <w:rsid w:val="004B2E03"/>
    <w:rsid w:val="004B6B6C"/>
    <w:rsid w:val="004B7947"/>
    <w:rsid w:val="004C361D"/>
    <w:rsid w:val="004C375E"/>
    <w:rsid w:val="004C4891"/>
    <w:rsid w:val="004C4D6C"/>
    <w:rsid w:val="004D2C89"/>
    <w:rsid w:val="004D489D"/>
    <w:rsid w:val="004D5B79"/>
    <w:rsid w:val="004E0937"/>
    <w:rsid w:val="004E3932"/>
    <w:rsid w:val="004F1E79"/>
    <w:rsid w:val="004F5B06"/>
    <w:rsid w:val="004F5F33"/>
    <w:rsid w:val="0050103A"/>
    <w:rsid w:val="00503038"/>
    <w:rsid w:val="00503797"/>
    <w:rsid w:val="005101EF"/>
    <w:rsid w:val="00510C52"/>
    <w:rsid w:val="00511B0F"/>
    <w:rsid w:val="00521AA9"/>
    <w:rsid w:val="00527A9E"/>
    <w:rsid w:val="00531A18"/>
    <w:rsid w:val="00536895"/>
    <w:rsid w:val="00537BC1"/>
    <w:rsid w:val="00545E0E"/>
    <w:rsid w:val="005501CD"/>
    <w:rsid w:val="00550C74"/>
    <w:rsid w:val="0055388E"/>
    <w:rsid w:val="00557653"/>
    <w:rsid w:val="0056200E"/>
    <w:rsid w:val="00563D75"/>
    <w:rsid w:val="00563FD7"/>
    <w:rsid w:val="005669E1"/>
    <w:rsid w:val="005720D4"/>
    <w:rsid w:val="005722BC"/>
    <w:rsid w:val="005723CB"/>
    <w:rsid w:val="005754AE"/>
    <w:rsid w:val="00577FB5"/>
    <w:rsid w:val="00580762"/>
    <w:rsid w:val="005852D1"/>
    <w:rsid w:val="00587A22"/>
    <w:rsid w:val="00592174"/>
    <w:rsid w:val="0059299D"/>
    <w:rsid w:val="00595C8C"/>
    <w:rsid w:val="00597747"/>
    <w:rsid w:val="005A03C3"/>
    <w:rsid w:val="005A1B31"/>
    <w:rsid w:val="005A49B8"/>
    <w:rsid w:val="005A4B86"/>
    <w:rsid w:val="005A4CDD"/>
    <w:rsid w:val="005A6F81"/>
    <w:rsid w:val="005B21D2"/>
    <w:rsid w:val="005B2A61"/>
    <w:rsid w:val="005B57E4"/>
    <w:rsid w:val="005B5ABD"/>
    <w:rsid w:val="005C140A"/>
    <w:rsid w:val="005C1E52"/>
    <w:rsid w:val="005C3367"/>
    <w:rsid w:val="005C5F0B"/>
    <w:rsid w:val="005C604A"/>
    <w:rsid w:val="005C6763"/>
    <w:rsid w:val="005D2A07"/>
    <w:rsid w:val="005D3164"/>
    <w:rsid w:val="005D4C38"/>
    <w:rsid w:val="005D4ED2"/>
    <w:rsid w:val="005D70F0"/>
    <w:rsid w:val="005E0344"/>
    <w:rsid w:val="005E13E2"/>
    <w:rsid w:val="005E440B"/>
    <w:rsid w:val="005E4743"/>
    <w:rsid w:val="005E698E"/>
    <w:rsid w:val="005F2C85"/>
    <w:rsid w:val="005F6D7C"/>
    <w:rsid w:val="00605ADB"/>
    <w:rsid w:val="006070FE"/>
    <w:rsid w:val="00611C9F"/>
    <w:rsid w:val="00614AA1"/>
    <w:rsid w:val="00614FAA"/>
    <w:rsid w:val="00620A3F"/>
    <w:rsid w:val="006248DE"/>
    <w:rsid w:val="00625D46"/>
    <w:rsid w:val="00627555"/>
    <w:rsid w:val="00631025"/>
    <w:rsid w:val="006322A0"/>
    <w:rsid w:val="006361FD"/>
    <w:rsid w:val="0064226F"/>
    <w:rsid w:val="00642DDB"/>
    <w:rsid w:val="00644400"/>
    <w:rsid w:val="00651004"/>
    <w:rsid w:val="00653298"/>
    <w:rsid w:val="00661115"/>
    <w:rsid w:val="00663A7C"/>
    <w:rsid w:val="00667DF2"/>
    <w:rsid w:val="00670DF1"/>
    <w:rsid w:val="00671345"/>
    <w:rsid w:val="00672A9B"/>
    <w:rsid w:val="00672EBE"/>
    <w:rsid w:val="00675884"/>
    <w:rsid w:val="00675BAE"/>
    <w:rsid w:val="00687A80"/>
    <w:rsid w:val="00696EE0"/>
    <w:rsid w:val="00697980"/>
    <w:rsid w:val="006A19EF"/>
    <w:rsid w:val="006A1E11"/>
    <w:rsid w:val="006A43D5"/>
    <w:rsid w:val="006A4A18"/>
    <w:rsid w:val="006A525B"/>
    <w:rsid w:val="006B1584"/>
    <w:rsid w:val="006B628C"/>
    <w:rsid w:val="006B7750"/>
    <w:rsid w:val="006C045F"/>
    <w:rsid w:val="006C0794"/>
    <w:rsid w:val="006C0945"/>
    <w:rsid w:val="006C4196"/>
    <w:rsid w:val="006C63B0"/>
    <w:rsid w:val="006C76A2"/>
    <w:rsid w:val="006C792E"/>
    <w:rsid w:val="006D116C"/>
    <w:rsid w:val="006D2057"/>
    <w:rsid w:val="006D4390"/>
    <w:rsid w:val="006D459A"/>
    <w:rsid w:val="006E0B96"/>
    <w:rsid w:val="006E62B1"/>
    <w:rsid w:val="006E7C42"/>
    <w:rsid w:val="006F168A"/>
    <w:rsid w:val="006F5076"/>
    <w:rsid w:val="006F57CE"/>
    <w:rsid w:val="006F6009"/>
    <w:rsid w:val="006F7E5F"/>
    <w:rsid w:val="00700320"/>
    <w:rsid w:val="00700D48"/>
    <w:rsid w:val="00702ADA"/>
    <w:rsid w:val="0070321D"/>
    <w:rsid w:val="00705575"/>
    <w:rsid w:val="007068BA"/>
    <w:rsid w:val="00710D30"/>
    <w:rsid w:val="00711926"/>
    <w:rsid w:val="00712506"/>
    <w:rsid w:val="0071684D"/>
    <w:rsid w:val="00716AB1"/>
    <w:rsid w:val="00720C85"/>
    <w:rsid w:val="00721D63"/>
    <w:rsid w:val="00723B63"/>
    <w:rsid w:val="00724B2B"/>
    <w:rsid w:val="00725589"/>
    <w:rsid w:val="007259D6"/>
    <w:rsid w:val="007303A6"/>
    <w:rsid w:val="00732C7B"/>
    <w:rsid w:val="00734D2B"/>
    <w:rsid w:val="00737705"/>
    <w:rsid w:val="007408D4"/>
    <w:rsid w:val="0074125F"/>
    <w:rsid w:val="007420AC"/>
    <w:rsid w:val="00742617"/>
    <w:rsid w:val="00746808"/>
    <w:rsid w:val="007476C7"/>
    <w:rsid w:val="00782E9B"/>
    <w:rsid w:val="00783AFA"/>
    <w:rsid w:val="00785427"/>
    <w:rsid w:val="00790540"/>
    <w:rsid w:val="007912D0"/>
    <w:rsid w:val="00791DFF"/>
    <w:rsid w:val="00793EA0"/>
    <w:rsid w:val="00795CF4"/>
    <w:rsid w:val="007968CA"/>
    <w:rsid w:val="007A069C"/>
    <w:rsid w:val="007A43FF"/>
    <w:rsid w:val="007A72FA"/>
    <w:rsid w:val="007B08C7"/>
    <w:rsid w:val="007B3918"/>
    <w:rsid w:val="007C0E99"/>
    <w:rsid w:val="007C3C1D"/>
    <w:rsid w:val="007D168A"/>
    <w:rsid w:val="007D199A"/>
    <w:rsid w:val="007D2EBE"/>
    <w:rsid w:val="007E1C07"/>
    <w:rsid w:val="007E25D5"/>
    <w:rsid w:val="007E2F7D"/>
    <w:rsid w:val="007E435C"/>
    <w:rsid w:val="007E629C"/>
    <w:rsid w:val="007E68D5"/>
    <w:rsid w:val="007F01EF"/>
    <w:rsid w:val="007F24B6"/>
    <w:rsid w:val="007F38FB"/>
    <w:rsid w:val="0080063B"/>
    <w:rsid w:val="00803D94"/>
    <w:rsid w:val="00815CC3"/>
    <w:rsid w:val="00821337"/>
    <w:rsid w:val="008229BA"/>
    <w:rsid w:val="00824151"/>
    <w:rsid w:val="008308A1"/>
    <w:rsid w:val="00840E35"/>
    <w:rsid w:val="00841805"/>
    <w:rsid w:val="00843B55"/>
    <w:rsid w:val="00845390"/>
    <w:rsid w:val="00845BA5"/>
    <w:rsid w:val="0084601B"/>
    <w:rsid w:val="008519C8"/>
    <w:rsid w:val="008606F0"/>
    <w:rsid w:val="00865489"/>
    <w:rsid w:val="0086553D"/>
    <w:rsid w:val="0087248B"/>
    <w:rsid w:val="0087367E"/>
    <w:rsid w:val="00874FEB"/>
    <w:rsid w:val="008760F7"/>
    <w:rsid w:val="00876BF5"/>
    <w:rsid w:val="00880B85"/>
    <w:rsid w:val="00881B6F"/>
    <w:rsid w:val="00882AA4"/>
    <w:rsid w:val="00883E22"/>
    <w:rsid w:val="00884E43"/>
    <w:rsid w:val="00885D70"/>
    <w:rsid w:val="00887EC6"/>
    <w:rsid w:val="0089006D"/>
    <w:rsid w:val="0089084C"/>
    <w:rsid w:val="00893409"/>
    <w:rsid w:val="008937B7"/>
    <w:rsid w:val="00893D9F"/>
    <w:rsid w:val="0089495F"/>
    <w:rsid w:val="008A0633"/>
    <w:rsid w:val="008A2379"/>
    <w:rsid w:val="008A4329"/>
    <w:rsid w:val="008A578E"/>
    <w:rsid w:val="008B015A"/>
    <w:rsid w:val="008B1519"/>
    <w:rsid w:val="008B4F50"/>
    <w:rsid w:val="008B7BCC"/>
    <w:rsid w:val="008C50C3"/>
    <w:rsid w:val="008C7094"/>
    <w:rsid w:val="008D2B97"/>
    <w:rsid w:val="008D4261"/>
    <w:rsid w:val="008D4570"/>
    <w:rsid w:val="008D49A5"/>
    <w:rsid w:val="008D66B7"/>
    <w:rsid w:val="008D6C81"/>
    <w:rsid w:val="008E0C79"/>
    <w:rsid w:val="008E6CF0"/>
    <w:rsid w:val="008F1439"/>
    <w:rsid w:val="008F2B71"/>
    <w:rsid w:val="008F7051"/>
    <w:rsid w:val="008F77DE"/>
    <w:rsid w:val="008F7F2F"/>
    <w:rsid w:val="009029E8"/>
    <w:rsid w:val="009033A9"/>
    <w:rsid w:val="0090581D"/>
    <w:rsid w:val="0091439C"/>
    <w:rsid w:val="0091439E"/>
    <w:rsid w:val="00915481"/>
    <w:rsid w:val="00915957"/>
    <w:rsid w:val="00920572"/>
    <w:rsid w:val="00920BF2"/>
    <w:rsid w:val="009349A9"/>
    <w:rsid w:val="00935B20"/>
    <w:rsid w:val="00936C52"/>
    <w:rsid w:val="009406EE"/>
    <w:rsid w:val="009436C1"/>
    <w:rsid w:val="009447DF"/>
    <w:rsid w:val="00945C6A"/>
    <w:rsid w:val="00946008"/>
    <w:rsid w:val="0095489B"/>
    <w:rsid w:val="00955707"/>
    <w:rsid w:val="0095570E"/>
    <w:rsid w:val="00960942"/>
    <w:rsid w:val="00962ABC"/>
    <w:rsid w:val="00966FB9"/>
    <w:rsid w:val="009671CD"/>
    <w:rsid w:val="00971D80"/>
    <w:rsid w:val="009751A9"/>
    <w:rsid w:val="00980F9C"/>
    <w:rsid w:val="0098465F"/>
    <w:rsid w:val="0098588A"/>
    <w:rsid w:val="0098632B"/>
    <w:rsid w:val="0099578E"/>
    <w:rsid w:val="00997BFB"/>
    <w:rsid w:val="009A3596"/>
    <w:rsid w:val="009A7348"/>
    <w:rsid w:val="009B3733"/>
    <w:rsid w:val="009B3B1D"/>
    <w:rsid w:val="009B3D7C"/>
    <w:rsid w:val="009B462C"/>
    <w:rsid w:val="009C15F3"/>
    <w:rsid w:val="009C3689"/>
    <w:rsid w:val="009D5D85"/>
    <w:rsid w:val="009E07C2"/>
    <w:rsid w:val="009E0E52"/>
    <w:rsid w:val="009E26F5"/>
    <w:rsid w:val="009E4E3C"/>
    <w:rsid w:val="009F0C0F"/>
    <w:rsid w:val="009F3142"/>
    <w:rsid w:val="009F72F9"/>
    <w:rsid w:val="00A00205"/>
    <w:rsid w:val="00A00AF0"/>
    <w:rsid w:val="00A13DD2"/>
    <w:rsid w:val="00A14B5A"/>
    <w:rsid w:val="00A2225A"/>
    <w:rsid w:val="00A24184"/>
    <w:rsid w:val="00A248DE"/>
    <w:rsid w:val="00A30A8C"/>
    <w:rsid w:val="00A3567F"/>
    <w:rsid w:val="00A37698"/>
    <w:rsid w:val="00A41ED3"/>
    <w:rsid w:val="00A44402"/>
    <w:rsid w:val="00A5036A"/>
    <w:rsid w:val="00A55D7E"/>
    <w:rsid w:val="00A5671D"/>
    <w:rsid w:val="00A65E12"/>
    <w:rsid w:val="00A81D82"/>
    <w:rsid w:val="00A839B7"/>
    <w:rsid w:val="00A855A8"/>
    <w:rsid w:val="00A9118F"/>
    <w:rsid w:val="00A937C6"/>
    <w:rsid w:val="00A93E33"/>
    <w:rsid w:val="00AA61A6"/>
    <w:rsid w:val="00AA75A2"/>
    <w:rsid w:val="00AB3129"/>
    <w:rsid w:val="00AB6970"/>
    <w:rsid w:val="00AC1939"/>
    <w:rsid w:val="00AC4864"/>
    <w:rsid w:val="00AC55CD"/>
    <w:rsid w:val="00AC7C05"/>
    <w:rsid w:val="00AD0812"/>
    <w:rsid w:val="00AD0F22"/>
    <w:rsid w:val="00AD1614"/>
    <w:rsid w:val="00AD167C"/>
    <w:rsid w:val="00AD17C7"/>
    <w:rsid w:val="00AD4041"/>
    <w:rsid w:val="00AD5340"/>
    <w:rsid w:val="00AD74BC"/>
    <w:rsid w:val="00AE302B"/>
    <w:rsid w:val="00AE45E4"/>
    <w:rsid w:val="00B008FB"/>
    <w:rsid w:val="00B01AF0"/>
    <w:rsid w:val="00B0248D"/>
    <w:rsid w:val="00B02856"/>
    <w:rsid w:val="00B11DB5"/>
    <w:rsid w:val="00B16B44"/>
    <w:rsid w:val="00B16BE5"/>
    <w:rsid w:val="00B207C1"/>
    <w:rsid w:val="00B23A5E"/>
    <w:rsid w:val="00B241CC"/>
    <w:rsid w:val="00B259DF"/>
    <w:rsid w:val="00B26C25"/>
    <w:rsid w:val="00B37181"/>
    <w:rsid w:val="00B4160D"/>
    <w:rsid w:val="00B44B1F"/>
    <w:rsid w:val="00B45BF5"/>
    <w:rsid w:val="00B52CFC"/>
    <w:rsid w:val="00B64141"/>
    <w:rsid w:val="00B64E72"/>
    <w:rsid w:val="00B668D3"/>
    <w:rsid w:val="00B711B2"/>
    <w:rsid w:val="00B726C3"/>
    <w:rsid w:val="00B740E1"/>
    <w:rsid w:val="00B77913"/>
    <w:rsid w:val="00B824FB"/>
    <w:rsid w:val="00B82646"/>
    <w:rsid w:val="00B82983"/>
    <w:rsid w:val="00B83495"/>
    <w:rsid w:val="00B858F9"/>
    <w:rsid w:val="00B97359"/>
    <w:rsid w:val="00B97A8F"/>
    <w:rsid w:val="00BA4E58"/>
    <w:rsid w:val="00BA511D"/>
    <w:rsid w:val="00BA587A"/>
    <w:rsid w:val="00BA7074"/>
    <w:rsid w:val="00BB4679"/>
    <w:rsid w:val="00BB5BA7"/>
    <w:rsid w:val="00BB7829"/>
    <w:rsid w:val="00BC472E"/>
    <w:rsid w:val="00BC678A"/>
    <w:rsid w:val="00BD1457"/>
    <w:rsid w:val="00BE004D"/>
    <w:rsid w:val="00BE1FF4"/>
    <w:rsid w:val="00BE2AD9"/>
    <w:rsid w:val="00BE3142"/>
    <w:rsid w:val="00BE3CD8"/>
    <w:rsid w:val="00BE662E"/>
    <w:rsid w:val="00BF27FE"/>
    <w:rsid w:val="00BF30E2"/>
    <w:rsid w:val="00BF668D"/>
    <w:rsid w:val="00C0163B"/>
    <w:rsid w:val="00C043B3"/>
    <w:rsid w:val="00C054C3"/>
    <w:rsid w:val="00C079AB"/>
    <w:rsid w:val="00C10E61"/>
    <w:rsid w:val="00C10EF9"/>
    <w:rsid w:val="00C13505"/>
    <w:rsid w:val="00C13615"/>
    <w:rsid w:val="00C14787"/>
    <w:rsid w:val="00C1596C"/>
    <w:rsid w:val="00C1596D"/>
    <w:rsid w:val="00C15B8D"/>
    <w:rsid w:val="00C17010"/>
    <w:rsid w:val="00C20562"/>
    <w:rsid w:val="00C215C3"/>
    <w:rsid w:val="00C216C0"/>
    <w:rsid w:val="00C23A96"/>
    <w:rsid w:val="00C249C6"/>
    <w:rsid w:val="00C30050"/>
    <w:rsid w:val="00C30443"/>
    <w:rsid w:val="00C304B3"/>
    <w:rsid w:val="00C32B9D"/>
    <w:rsid w:val="00C32CC1"/>
    <w:rsid w:val="00C426EC"/>
    <w:rsid w:val="00C508AA"/>
    <w:rsid w:val="00C53063"/>
    <w:rsid w:val="00C57BA2"/>
    <w:rsid w:val="00C6483C"/>
    <w:rsid w:val="00C64AE9"/>
    <w:rsid w:val="00C70CFF"/>
    <w:rsid w:val="00C71026"/>
    <w:rsid w:val="00C718FE"/>
    <w:rsid w:val="00C73B8C"/>
    <w:rsid w:val="00C75AFE"/>
    <w:rsid w:val="00C7631C"/>
    <w:rsid w:val="00C76A55"/>
    <w:rsid w:val="00C772B0"/>
    <w:rsid w:val="00C81736"/>
    <w:rsid w:val="00C81C41"/>
    <w:rsid w:val="00C86CEC"/>
    <w:rsid w:val="00C8726C"/>
    <w:rsid w:val="00C87312"/>
    <w:rsid w:val="00C8773D"/>
    <w:rsid w:val="00C87ABB"/>
    <w:rsid w:val="00C91831"/>
    <w:rsid w:val="00C953DF"/>
    <w:rsid w:val="00C963E6"/>
    <w:rsid w:val="00CA7585"/>
    <w:rsid w:val="00CC1692"/>
    <w:rsid w:val="00CD1188"/>
    <w:rsid w:val="00CD5036"/>
    <w:rsid w:val="00CD5401"/>
    <w:rsid w:val="00CD7609"/>
    <w:rsid w:val="00CE2709"/>
    <w:rsid w:val="00CE2D64"/>
    <w:rsid w:val="00CE436B"/>
    <w:rsid w:val="00CE6198"/>
    <w:rsid w:val="00CE6CD6"/>
    <w:rsid w:val="00CF595E"/>
    <w:rsid w:val="00CF6230"/>
    <w:rsid w:val="00D017FC"/>
    <w:rsid w:val="00D0226A"/>
    <w:rsid w:val="00D02E41"/>
    <w:rsid w:val="00D10055"/>
    <w:rsid w:val="00D13147"/>
    <w:rsid w:val="00D22BC1"/>
    <w:rsid w:val="00D32B90"/>
    <w:rsid w:val="00D434E1"/>
    <w:rsid w:val="00D45EFC"/>
    <w:rsid w:val="00D463FF"/>
    <w:rsid w:val="00D47844"/>
    <w:rsid w:val="00D51F0C"/>
    <w:rsid w:val="00D52791"/>
    <w:rsid w:val="00D5589D"/>
    <w:rsid w:val="00D5715A"/>
    <w:rsid w:val="00D60BCB"/>
    <w:rsid w:val="00D62AF5"/>
    <w:rsid w:val="00D64B41"/>
    <w:rsid w:val="00D67FC0"/>
    <w:rsid w:val="00D71687"/>
    <w:rsid w:val="00D72B77"/>
    <w:rsid w:val="00D73C84"/>
    <w:rsid w:val="00D74813"/>
    <w:rsid w:val="00D94E3E"/>
    <w:rsid w:val="00DA1C18"/>
    <w:rsid w:val="00DA30BC"/>
    <w:rsid w:val="00DA6688"/>
    <w:rsid w:val="00DA69C2"/>
    <w:rsid w:val="00DA6D70"/>
    <w:rsid w:val="00DB0986"/>
    <w:rsid w:val="00DB0D6E"/>
    <w:rsid w:val="00DB1447"/>
    <w:rsid w:val="00DB28AB"/>
    <w:rsid w:val="00DB48B3"/>
    <w:rsid w:val="00DB6050"/>
    <w:rsid w:val="00DC2C34"/>
    <w:rsid w:val="00DC2FFC"/>
    <w:rsid w:val="00DD381D"/>
    <w:rsid w:val="00DE2C87"/>
    <w:rsid w:val="00DE459A"/>
    <w:rsid w:val="00DE7AC6"/>
    <w:rsid w:val="00DE7C32"/>
    <w:rsid w:val="00DF27DA"/>
    <w:rsid w:val="00DF4DBE"/>
    <w:rsid w:val="00E04163"/>
    <w:rsid w:val="00E06CB2"/>
    <w:rsid w:val="00E139EE"/>
    <w:rsid w:val="00E24DD4"/>
    <w:rsid w:val="00E32072"/>
    <w:rsid w:val="00E33680"/>
    <w:rsid w:val="00E3522D"/>
    <w:rsid w:val="00E36031"/>
    <w:rsid w:val="00E40820"/>
    <w:rsid w:val="00E4658F"/>
    <w:rsid w:val="00E52774"/>
    <w:rsid w:val="00E54A67"/>
    <w:rsid w:val="00E61C0D"/>
    <w:rsid w:val="00E62DB2"/>
    <w:rsid w:val="00E63EB4"/>
    <w:rsid w:val="00E66160"/>
    <w:rsid w:val="00E666B9"/>
    <w:rsid w:val="00E67FD2"/>
    <w:rsid w:val="00E71329"/>
    <w:rsid w:val="00E73526"/>
    <w:rsid w:val="00E83230"/>
    <w:rsid w:val="00E8363B"/>
    <w:rsid w:val="00E84966"/>
    <w:rsid w:val="00E8581C"/>
    <w:rsid w:val="00E872EA"/>
    <w:rsid w:val="00E87BD5"/>
    <w:rsid w:val="00E92383"/>
    <w:rsid w:val="00EA1B3A"/>
    <w:rsid w:val="00EA2109"/>
    <w:rsid w:val="00EB057A"/>
    <w:rsid w:val="00EB1021"/>
    <w:rsid w:val="00EB535B"/>
    <w:rsid w:val="00EB5950"/>
    <w:rsid w:val="00EB6ECB"/>
    <w:rsid w:val="00EC212E"/>
    <w:rsid w:val="00ED4D4E"/>
    <w:rsid w:val="00EE0C77"/>
    <w:rsid w:val="00EE4C22"/>
    <w:rsid w:val="00EE4E54"/>
    <w:rsid w:val="00EE6ECC"/>
    <w:rsid w:val="00EF10B2"/>
    <w:rsid w:val="00EF12FC"/>
    <w:rsid w:val="00EF415A"/>
    <w:rsid w:val="00EF4334"/>
    <w:rsid w:val="00F06D66"/>
    <w:rsid w:val="00F07C5B"/>
    <w:rsid w:val="00F1717C"/>
    <w:rsid w:val="00F22BE0"/>
    <w:rsid w:val="00F303E6"/>
    <w:rsid w:val="00F436BB"/>
    <w:rsid w:val="00F47145"/>
    <w:rsid w:val="00F545BF"/>
    <w:rsid w:val="00F550BE"/>
    <w:rsid w:val="00F648B8"/>
    <w:rsid w:val="00F71B56"/>
    <w:rsid w:val="00F74622"/>
    <w:rsid w:val="00F751F7"/>
    <w:rsid w:val="00F75EDD"/>
    <w:rsid w:val="00F81583"/>
    <w:rsid w:val="00F832C8"/>
    <w:rsid w:val="00F832CD"/>
    <w:rsid w:val="00F873B3"/>
    <w:rsid w:val="00F914E9"/>
    <w:rsid w:val="00F91F40"/>
    <w:rsid w:val="00F94FA1"/>
    <w:rsid w:val="00FA00BE"/>
    <w:rsid w:val="00FA33FE"/>
    <w:rsid w:val="00FA42B9"/>
    <w:rsid w:val="00FA755A"/>
    <w:rsid w:val="00FA75FB"/>
    <w:rsid w:val="00FB2B0F"/>
    <w:rsid w:val="00FB46E6"/>
    <w:rsid w:val="00FB4F6B"/>
    <w:rsid w:val="00FB5FE1"/>
    <w:rsid w:val="00FC0135"/>
    <w:rsid w:val="00FC0E8D"/>
    <w:rsid w:val="00FC46EF"/>
    <w:rsid w:val="00FC5B2E"/>
    <w:rsid w:val="00FD31B3"/>
    <w:rsid w:val="00FD4204"/>
    <w:rsid w:val="00FE1327"/>
    <w:rsid w:val="00FF11E3"/>
    <w:rsid w:val="00FF3CCB"/>
    <w:rsid w:val="00FF4316"/>
    <w:rsid w:val="00FF52CF"/>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2042C2"/>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2042C2"/>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B23A5E"/>
    <w:pPr>
      <w:numPr>
        <w:numId w:val="12"/>
      </w:numPr>
      <w:ind w:left="1134"/>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26"/>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18"/>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B23A5E"/>
    <w:pPr>
      <w:numPr>
        <w:numId w:val="25"/>
      </w:numPr>
      <w:spacing w:before="240" w:after="120"/>
      <w:ind w:left="851" w:hanging="851"/>
      <w:contextualSpacing w:val="0"/>
    </w:pPr>
  </w:style>
  <w:style w:type="character" w:customStyle="1" w:styleId="F9-ParagraphChar">
    <w:name w:val="F9 - # Paragraph Char"/>
    <w:basedOn w:val="DefaultParagraphFont"/>
    <w:link w:val="F9-Paragraph"/>
    <w:rsid w:val="00B23A5E"/>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paragraph" w:styleId="CommentSubject">
    <w:name w:val="annotation subject"/>
    <w:basedOn w:val="CommentText"/>
    <w:next w:val="CommentText"/>
    <w:link w:val="CommentSubjectChar"/>
    <w:uiPriority w:val="99"/>
    <w:semiHidden/>
    <w:unhideWhenUsed/>
    <w:rsid w:val="004A688C"/>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4A688C"/>
    <w:rPr>
      <w:rFonts w:ascii="Arial" w:eastAsiaTheme="minorHAnsi" w:hAnsi="Arial" w:cstheme="minorBidi"/>
      <w:b/>
      <w:bCs/>
      <w:lang w:eastAsia="en-US" w:bidi="he-IL"/>
    </w:rPr>
  </w:style>
  <w:style w:type="paragraph" w:styleId="Revision">
    <w:name w:val="Revision"/>
    <w:hidden/>
    <w:uiPriority w:val="99"/>
    <w:semiHidden/>
    <w:rsid w:val="001B20AC"/>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4661">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05120909">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33782102">
      <w:bodyDiv w:val="1"/>
      <w:marLeft w:val="0"/>
      <w:marRight w:val="0"/>
      <w:marTop w:val="0"/>
      <w:marBottom w:val="0"/>
      <w:divBdr>
        <w:top w:val="none" w:sz="0" w:space="0" w:color="auto"/>
        <w:left w:val="none" w:sz="0" w:space="0" w:color="auto"/>
        <w:bottom w:val="none" w:sz="0" w:space="0" w:color="auto"/>
        <w:right w:val="none" w:sz="0" w:space="0" w:color="auto"/>
      </w:divBdr>
    </w:div>
    <w:div w:id="271324425">
      <w:bodyDiv w:val="1"/>
      <w:marLeft w:val="0"/>
      <w:marRight w:val="0"/>
      <w:marTop w:val="0"/>
      <w:marBottom w:val="0"/>
      <w:divBdr>
        <w:top w:val="none" w:sz="0" w:space="0" w:color="auto"/>
        <w:left w:val="none" w:sz="0" w:space="0" w:color="auto"/>
        <w:bottom w:val="none" w:sz="0" w:space="0" w:color="auto"/>
        <w:right w:val="none" w:sz="0" w:space="0" w:color="auto"/>
      </w:divBdr>
    </w:div>
    <w:div w:id="318389385">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66293906">
      <w:bodyDiv w:val="1"/>
      <w:marLeft w:val="0"/>
      <w:marRight w:val="0"/>
      <w:marTop w:val="0"/>
      <w:marBottom w:val="0"/>
      <w:divBdr>
        <w:top w:val="none" w:sz="0" w:space="0" w:color="auto"/>
        <w:left w:val="none" w:sz="0" w:space="0" w:color="auto"/>
        <w:bottom w:val="none" w:sz="0" w:space="0" w:color="auto"/>
        <w:right w:val="none" w:sz="0" w:space="0" w:color="auto"/>
      </w:divBdr>
    </w:div>
    <w:div w:id="443117953">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70556749">
      <w:bodyDiv w:val="1"/>
      <w:marLeft w:val="0"/>
      <w:marRight w:val="0"/>
      <w:marTop w:val="0"/>
      <w:marBottom w:val="0"/>
      <w:divBdr>
        <w:top w:val="none" w:sz="0" w:space="0" w:color="auto"/>
        <w:left w:val="none" w:sz="0" w:space="0" w:color="auto"/>
        <w:bottom w:val="none" w:sz="0" w:space="0" w:color="auto"/>
        <w:right w:val="none" w:sz="0" w:space="0" w:color="auto"/>
      </w:divBdr>
    </w:div>
    <w:div w:id="489178245">
      <w:bodyDiv w:val="1"/>
      <w:marLeft w:val="0"/>
      <w:marRight w:val="0"/>
      <w:marTop w:val="0"/>
      <w:marBottom w:val="0"/>
      <w:divBdr>
        <w:top w:val="none" w:sz="0" w:space="0" w:color="auto"/>
        <w:left w:val="none" w:sz="0" w:space="0" w:color="auto"/>
        <w:bottom w:val="none" w:sz="0" w:space="0" w:color="auto"/>
        <w:right w:val="none" w:sz="0" w:space="0" w:color="auto"/>
      </w:divBdr>
    </w:div>
    <w:div w:id="496653769">
      <w:bodyDiv w:val="1"/>
      <w:marLeft w:val="0"/>
      <w:marRight w:val="0"/>
      <w:marTop w:val="0"/>
      <w:marBottom w:val="0"/>
      <w:divBdr>
        <w:top w:val="none" w:sz="0" w:space="0" w:color="auto"/>
        <w:left w:val="none" w:sz="0" w:space="0" w:color="auto"/>
        <w:bottom w:val="none" w:sz="0" w:space="0" w:color="auto"/>
        <w:right w:val="none" w:sz="0" w:space="0" w:color="auto"/>
      </w:divBdr>
    </w:div>
    <w:div w:id="512111789">
      <w:bodyDiv w:val="1"/>
      <w:marLeft w:val="0"/>
      <w:marRight w:val="0"/>
      <w:marTop w:val="0"/>
      <w:marBottom w:val="0"/>
      <w:divBdr>
        <w:top w:val="none" w:sz="0" w:space="0" w:color="auto"/>
        <w:left w:val="none" w:sz="0" w:space="0" w:color="auto"/>
        <w:bottom w:val="none" w:sz="0" w:space="0" w:color="auto"/>
        <w:right w:val="none" w:sz="0" w:space="0" w:color="auto"/>
      </w:divBdr>
    </w:div>
    <w:div w:id="526795907">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73316546">
      <w:bodyDiv w:val="1"/>
      <w:marLeft w:val="0"/>
      <w:marRight w:val="0"/>
      <w:marTop w:val="0"/>
      <w:marBottom w:val="0"/>
      <w:divBdr>
        <w:top w:val="none" w:sz="0" w:space="0" w:color="auto"/>
        <w:left w:val="none" w:sz="0" w:space="0" w:color="auto"/>
        <w:bottom w:val="none" w:sz="0" w:space="0" w:color="auto"/>
        <w:right w:val="none" w:sz="0" w:space="0" w:color="auto"/>
      </w:divBdr>
    </w:div>
    <w:div w:id="652640143">
      <w:bodyDiv w:val="1"/>
      <w:marLeft w:val="0"/>
      <w:marRight w:val="0"/>
      <w:marTop w:val="0"/>
      <w:marBottom w:val="0"/>
      <w:divBdr>
        <w:top w:val="none" w:sz="0" w:space="0" w:color="auto"/>
        <w:left w:val="none" w:sz="0" w:space="0" w:color="auto"/>
        <w:bottom w:val="none" w:sz="0" w:space="0" w:color="auto"/>
        <w:right w:val="none" w:sz="0" w:space="0" w:color="auto"/>
      </w:divBdr>
    </w:div>
    <w:div w:id="659236876">
      <w:bodyDiv w:val="1"/>
      <w:marLeft w:val="0"/>
      <w:marRight w:val="0"/>
      <w:marTop w:val="0"/>
      <w:marBottom w:val="0"/>
      <w:divBdr>
        <w:top w:val="none" w:sz="0" w:space="0" w:color="auto"/>
        <w:left w:val="none" w:sz="0" w:space="0" w:color="auto"/>
        <w:bottom w:val="none" w:sz="0" w:space="0" w:color="auto"/>
        <w:right w:val="none" w:sz="0" w:space="0" w:color="auto"/>
      </w:divBdr>
    </w:div>
    <w:div w:id="710880170">
      <w:bodyDiv w:val="1"/>
      <w:marLeft w:val="0"/>
      <w:marRight w:val="0"/>
      <w:marTop w:val="0"/>
      <w:marBottom w:val="0"/>
      <w:divBdr>
        <w:top w:val="none" w:sz="0" w:space="0" w:color="auto"/>
        <w:left w:val="none" w:sz="0" w:space="0" w:color="auto"/>
        <w:bottom w:val="none" w:sz="0" w:space="0" w:color="auto"/>
        <w:right w:val="none" w:sz="0" w:space="0" w:color="auto"/>
      </w:divBdr>
    </w:div>
    <w:div w:id="724451408">
      <w:bodyDiv w:val="1"/>
      <w:marLeft w:val="0"/>
      <w:marRight w:val="0"/>
      <w:marTop w:val="0"/>
      <w:marBottom w:val="0"/>
      <w:divBdr>
        <w:top w:val="none" w:sz="0" w:space="0" w:color="auto"/>
        <w:left w:val="none" w:sz="0" w:space="0" w:color="auto"/>
        <w:bottom w:val="none" w:sz="0" w:space="0" w:color="auto"/>
        <w:right w:val="none" w:sz="0" w:space="0" w:color="auto"/>
      </w:divBdr>
    </w:div>
    <w:div w:id="726876346">
      <w:bodyDiv w:val="1"/>
      <w:marLeft w:val="0"/>
      <w:marRight w:val="0"/>
      <w:marTop w:val="0"/>
      <w:marBottom w:val="0"/>
      <w:divBdr>
        <w:top w:val="none" w:sz="0" w:space="0" w:color="auto"/>
        <w:left w:val="none" w:sz="0" w:space="0" w:color="auto"/>
        <w:bottom w:val="none" w:sz="0" w:space="0" w:color="auto"/>
        <w:right w:val="none" w:sz="0" w:space="0" w:color="auto"/>
      </w:divBdr>
    </w:div>
    <w:div w:id="754089373">
      <w:bodyDiv w:val="1"/>
      <w:marLeft w:val="0"/>
      <w:marRight w:val="0"/>
      <w:marTop w:val="0"/>
      <w:marBottom w:val="0"/>
      <w:divBdr>
        <w:top w:val="none" w:sz="0" w:space="0" w:color="auto"/>
        <w:left w:val="none" w:sz="0" w:space="0" w:color="auto"/>
        <w:bottom w:val="none" w:sz="0" w:space="0" w:color="auto"/>
        <w:right w:val="none" w:sz="0" w:space="0" w:color="auto"/>
      </w:divBdr>
    </w:div>
    <w:div w:id="848712613">
      <w:bodyDiv w:val="1"/>
      <w:marLeft w:val="0"/>
      <w:marRight w:val="0"/>
      <w:marTop w:val="0"/>
      <w:marBottom w:val="0"/>
      <w:divBdr>
        <w:top w:val="none" w:sz="0" w:space="0" w:color="auto"/>
        <w:left w:val="none" w:sz="0" w:space="0" w:color="auto"/>
        <w:bottom w:val="none" w:sz="0" w:space="0" w:color="auto"/>
        <w:right w:val="none" w:sz="0" w:space="0" w:color="auto"/>
      </w:divBdr>
    </w:div>
    <w:div w:id="872546558">
      <w:bodyDiv w:val="1"/>
      <w:marLeft w:val="0"/>
      <w:marRight w:val="0"/>
      <w:marTop w:val="0"/>
      <w:marBottom w:val="0"/>
      <w:divBdr>
        <w:top w:val="none" w:sz="0" w:space="0" w:color="auto"/>
        <w:left w:val="none" w:sz="0" w:space="0" w:color="auto"/>
        <w:bottom w:val="none" w:sz="0" w:space="0" w:color="auto"/>
        <w:right w:val="none" w:sz="0" w:space="0" w:color="auto"/>
      </w:divBdr>
    </w:div>
    <w:div w:id="878473485">
      <w:bodyDiv w:val="1"/>
      <w:marLeft w:val="0"/>
      <w:marRight w:val="0"/>
      <w:marTop w:val="0"/>
      <w:marBottom w:val="0"/>
      <w:divBdr>
        <w:top w:val="none" w:sz="0" w:space="0" w:color="auto"/>
        <w:left w:val="none" w:sz="0" w:space="0" w:color="auto"/>
        <w:bottom w:val="none" w:sz="0" w:space="0" w:color="auto"/>
        <w:right w:val="none" w:sz="0" w:space="0" w:color="auto"/>
      </w:divBdr>
    </w:div>
    <w:div w:id="878518244">
      <w:bodyDiv w:val="1"/>
      <w:marLeft w:val="0"/>
      <w:marRight w:val="0"/>
      <w:marTop w:val="0"/>
      <w:marBottom w:val="0"/>
      <w:divBdr>
        <w:top w:val="none" w:sz="0" w:space="0" w:color="auto"/>
        <w:left w:val="none" w:sz="0" w:space="0" w:color="auto"/>
        <w:bottom w:val="none" w:sz="0" w:space="0" w:color="auto"/>
        <w:right w:val="none" w:sz="0" w:space="0" w:color="auto"/>
      </w:divBdr>
    </w:div>
    <w:div w:id="958536526">
      <w:bodyDiv w:val="1"/>
      <w:marLeft w:val="0"/>
      <w:marRight w:val="0"/>
      <w:marTop w:val="0"/>
      <w:marBottom w:val="0"/>
      <w:divBdr>
        <w:top w:val="none" w:sz="0" w:space="0" w:color="auto"/>
        <w:left w:val="none" w:sz="0" w:space="0" w:color="auto"/>
        <w:bottom w:val="none" w:sz="0" w:space="0" w:color="auto"/>
        <w:right w:val="none" w:sz="0" w:space="0" w:color="auto"/>
      </w:divBdr>
    </w:div>
    <w:div w:id="967277076">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1540077">
      <w:bodyDiv w:val="1"/>
      <w:marLeft w:val="0"/>
      <w:marRight w:val="0"/>
      <w:marTop w:val="0"/>
      <w:marBottom w:val="0"/>
      <w:divBdr>
        <w:top w:val="none" w:sz="0" w:space="0" w:color="auto"/>
        <w:left w:val="none" w:sz="0" w:space="0" w:color="auto"/>
        <w:bottom w:val="none" w:sz="0" w:space="0" w:color="auto"/>
        <w:right w:val="none" w:sz="0" w:space="0" w:color="auto"/>
      </w:divBdr>
    </w:div>
    <w:div w:id="1017997702">
      <w:bodyDiv w:val="1"/>
      <w:marLeft w:val="0"/>
      <w:marRight w:val="0"/>
      <w:marTop w:val="0"/>
      <w:marBottom w:val="0"/>
      <w:divBdr>
        <w:top w:val="none" w:sz="0" w:space="0" w:color="auto"/>
        <w:left w:val="none" w:sz="0" w:space="0" w:color="auto"/>
        <w:bottom w:val="none" w:sz="0" w:space="0" w:color="auto"/>
        <w:right w:val="none" w:sz="0" w:space="0" w:color="auto"/>
      </w:divBdr>
    </w:div>
    <w:div w:id="1124227042">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90415030">
      <w:bodyDiv w:val="1"/>
      <w:marLeft w:val="0"/>
      <w:marRight w:val="0"/>
      <w:marTop w:val="0"/>
      <w:marBottom w:val="0"/>
      <w:divBdr>
        <w:top w:val="none" w:sz="0" w:space="0" w:color="auto"/>
        <w:left w:val="none" w:sz="0" w:space="0" w:color="auto"/>
        <w:bottom w:val="none" w:sz="0" w:space="0" w:color="auto"/>
        <w:right w:val="none" w:sz="0" w:space="0" w:color="auto"/>
      </w:divBdr>
    </w:div>
    <w:div w:id="1231188590">
      <w:bodyDiv w:val="1"/>
      <w:marLeft w:val="0"/>
      <w:marRight w:val="0"/>
      <w:marTop w:val="0"/>
      <w:marBottom w:val="0"/>
      <w:divBdr>
        <w:top w:val="none" w:sz="0" w:space="0" w:color="auto"/>
        <w:left w:val="none" w:sz="0" w:space="0" w:color="auto"/>
        <w:bottom w:val="none" w:sz="0" w:space="0" w:color="auto"/>
        <w:right w:val="none" w:sz="0" w:space="0" w:color="auto"/>
      </w:divBdr>
    </w:div>
    <w:div w:id="1260677227">
      <w:bodyDiv w:val="1"/>
      <w:marLeft w:val="0"/>
      <w:marRight w:val="0"/>
      <w:marTop w:val="0"/>
      <w:marBottom w:val="0"/>
      <w:divBdr>
        <w:top w:val="none" w:sz="0" w:space="0" w:color="auto"/>
        <w:left w:val="none" w:sz="0" w:space="0" w:color="auto"/>
        <w:bottom w:val="none" w:sz="0" w:space="0" w:color="auto"/>
        <w:right w:val="none" w:sz="0" w:space="0" w:color="auto"/>
      </w:divBdr>
    </w:div>
    <w:div w:id="1295868163">
      <w:bodyDiv w:val="1"/>
      <w:marLeft w:val="0"/>
      <w:marRight w:val="0"/>
      <w:marTop w:val="0"/>
      <w:marBottom w:val="0"/>
      <w:divBdr>
        <w:top w:val="none" w:sz="0" w:space="0" w:color="auto"/>
        <w:left w:val="none" w:sz="0" w:space="0" w:color="auto"/>
        <w:bottom w:val="none" w:sz="0" w:space="0" w:color="auto"/>
        <w:right w:val="none" w:sz="0" w:space="0" w:color="auto"/>
      </w:divBdr>
    </w:div>
    <w:div w:id="1352146375">
      <w:bodyDiv w:val="1"/>
      <w:marLeft w:val="0"/>
      <w:marRight w:val="0"/>
      <w:marTop w:val="0"/>
      <w:marBottom w:val="0"/>
      <w:divBdr>
        <w:top w:val="none" w:sz="0" w:space="0" w:color="auto"/>
        <w:left w:val="none" w:sz="0" w:space="0" w:color="auto"/>
        <w:bottom w:val="none" w:sz="0" w:space="0" w:color="auto"/>
        <w:right w:val="none" w:sz="0" w:space="0" w:color="auto"/>
      </w:divBdr>
    </w:div>
    <w:div w:id="1363751765">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8962065">
      <w:bodyDiv w:val="1"/>
      <w:marLeft w:val="0"/>
      <w:marRight w:val="0"/>
      <w:marTop w:val="0"/>
      <w:marBottom w:val="0"/>
      <w:divBdr>
        <w:top w:val="none" w:sz="0" w:space="0" w:color="auto"/>
        <w:left w:val="none" w:sz="0" w:space="0" w:color="auto"/>
        <w:bottom w:val="none" w:sz="0" w:space="0" w:color="auto"/>
        <w:right w:val="none" w:sz="0" w:space="0" w:color="auto"/>
      </w:divBdr>
    </w:div>
    <w:div w:id="1487938182">
      <w:bodyDiv w:val="1"/>
      <w:marLeft w:val="0"/>
      <w:marRight w:val="0"/>
      <w:marTop w:val="0"/>
      <w:marBottom w:val="0"/>
      <w:divBdr>
        <w:top w:val="none" w:sz="0" w:space="0" w:color="auto"/>
        <w:left w:val="none" w:sz="0" w:space="0" w:color="auto"/>
        <w:bottom w:val="none" w:sz="0" w:space="0" w:color="auto"/>
        <w:right w:val="none" w:sz="0" w:space="0" w:color="auto"/>
      </w:divBdr>
    </w:div>
    <w:div w:id="1533809919">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6239874">
      <w:bodyDiv w:val="1"/>
      <w:marLeft w:val="0"/>
      <w:marRight w:val="0"/>
      <w:marTop w:val="0"/>
      <w:marBottom w:val="0"/>
      <w:divBdr>
        <w:top w:val="none" w:sz="0" w:space="0" w:color="auto"/>
        <w:left w:val="none" w:sz="0" w:space="0" w:color="auto"/>
        <w:bottom w:val="none" w:sz="0" w:space="0" w:color="auto"/>
        <w:right w:val="none" w:sz="0" w:space="0" w:color="auto"/>
      </w:divBdr>
    </w:div>
    <w:div w:id="1583250105">
      <w:bodyDiv w:val="1"/>
      <w:marLeft w:val="0"/>
      <w:marRight w:val="0"/>
      <w:marTop w:val="0"/>
      <w:marBottom w:val="0"/>
      <w:divBdr>
        <w:top w:val="none" w:sz="0" w:space="0" w:color="auto"/>
        <w:left w:val="none" w:sz="0" w:space="0" w:color="auto"/>
        <w:bottom w:val="none" w:sz="0" w:space="0" w:color="auto"/>
        <w:right w:val="none" w:sz="0" w:space="0" w:color="auto"/>
      </w:divBdr>
    </w:div>
    <w:div w:id="1613390971">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79716928">
      <w:bodyDiv w:val="1"/>
      <w:marLeft w:val="0"/>
      <w:marRight w:val="0"/>
      <w:marTop w:val="0"/>
      <w:marBottom w:val="0"/>
      <w:divBdr>
        <w:top w:val="none" w:sz="0" w:space="0" w:color="auto"/>
        <w:left w:val="none" w:sz="0" w:space="0" w:color="auto"/>
        <w:bottom w:val="none" w:sz="0" w:space="0" w:color="auto"/>
        <w:right w:val="none" w:sz="0" w:space="0" w:color="auto"/>
      </w:divBdr>
    </w:div>
    <w:div w:id="1782340227">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30365115">
      <w:bodyDiv w:val="1"/>
      <w:marLeft w:val="0"/>
      <w:marRight w:val="0"/>
      <w:marTop w:val="0"/>
      <w:marBottom w:val="0"/>
      <w:divBdr>
        <w:top w:val="none" w:sz="0" w:space="0" w:color="auto"/>
        <w:left w:val="none" w:sz="0" w:space="0" w:color="auto"/>
        <w:bottom w:val="none" w:sz="0" w:space="0" w:color="auto"/>
        <w:right w:val="none" w:sz="0" w:space="0" w:color="auto"/>
      </w:divBdr>
    </w:div>
    <w:div w:id="1925793770">
      <w:bodyDiv w:val="1"/>
      <w:marLeft w:val="0"/>
      <w:marRight w:val="0"/>
      <w:marTop w:val="0"/>
      <w:marBottom w:val="0"/>
      <w:divBdr>
        <w:top w:val="none" w:sz="0" w:space="0" w:color="auto"/>
        <w:left w:val="none" w:sz="0" w:space="0" w:color="auto"/>
        <w:bottom w:val="none" w:sz="0" w:space="0" w:color="auto"/>
        <w:right w:val="none" w:sz="0" w:space="0" w:color="auto"/>
      </w:divBdr>
    </w:div>
    <w:div w:id="1945112707">
      <w:bodyDiv w:val="1"/>
      <w:marLeft w:val="0"/>
      <w:marRight w:val="0"/>
      <w:marTop w:val="0"/>
      <w:marBottom w:val="0"/>
      <w:divBdr>
        <w:top w:val="none" w:sz="0" w:space="0" w:color="auto"/>
        <w:left w:val="none" w:sz="0" w:space="0" w:color="auto"/>
        <w:bottom w:val="none" w:sz="0" w:space="0" w:color="auto"/>
        <w:right w:val="none" w:sz="0" w:space="0" w:color="auto"/>
      </w:divBdr>
    </w:div>
    <w:div w:id="1984044652">
      <w:bodyDiv w:val="1"/>
      <w:marLeft w:val="0"/>
      <w:marRight w:val="0"/>
      <w:marTop w:val="0"/>
      <w:marBottom w:val="0"/>
      <w:divBdr>
        <w:top w:val="none" w:sz="0" w:space="0" w:color="auto"/>
        <w:left w:val="none" w:sz="0" w:space="0" w:color="auto"/>
        <w:bottom w:val="none" w:sz="0" w:space="0" w:color="auto"/>
        <w:right w:val="none" w:sz="0" w:space="0" w:color="auto"/>
      </w:divBdr>
    </w:div>
    <w:div w:id="2009745923">
      <w:bodyDiv w:val="1"/>
      <w:marLeft w:val="0"/>
      <w:marRight w:val="0"/>
      <w:marTop w:val="0"/>
      <w:marBottom w:val="0"/>
      <w:divBdr>
        <w:top w:val="none" w:sz="0" w:space="0" w:color="auto"/>
        <w:left w:val="none" w:sz="0" w:space="0" w:color="auto"/>
        <w:bottom w:val="none" w:sz="0" w:space="0" w:color="auto"/>
        <w:right w:val="none" w:sz="0" w:space="0" w:color="auto"/>
      </w:divBdr>
    </w:div>
    <w:div w:id="2024554796">
      <w:bodyDiv w:val="1"/>
      <w:marLeft w:val="0"/>
      <w:marRight w:val="0"/>
      <w:marTop w:val="0"/>
      <w:marBottom w:val="0"/>
      <w:divBdr>
        <w:top w:val="none" w:sz="0" w:space="0" w:color="auto"/>
        <w:left w:val="none" w:sz="0" w:space="0" w:color="auto"/>
        <w:bottom w:val="none" w:sz="0" w:space="0" w:color="auto"/>
        <w:right w:val="none" w:sz="0" w:space="0" w:color="auto"/>
      </w:divBdr>
    </w:div>
    <w:div w:id="2069256882">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header" Target="header4.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header" Target="header2.xml"/><Relationship Id="rId25"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styles" Target="styles.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5.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msn-1837-m-amendment-3-categorisation-of-wat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101B7"/>
    <w:rsid w:val="00142708"/>
    <w:rsid w:val="00183F29"/>
    <w:rsid w:val="00196257"/>
    <w:rsid w:val="001F4A13"/>
    <w:rsid w:val="002550FD"/>
    <w:rsid w:val="002675F5"/>
    <w:rsid w:val="00285C6C"/>
    <w:rsid w:val="00333F8E"/>
    <w:rsid w:val="00350199"/>
    <w:rsid w:val="003E1567"/>
    <w:rsid w:val="004158B0"/>
    <w:rsid w:val="004C4D6C"/>
    <w:rsid w:val="005101EF"/>
    <w:rsid w:val="005A49B8"/>
    <w:rsid w:val="00625D46"/>
    <w:rsid w:val="006D459A"/>
    <w:rsid w:val="007154C5"/>
    <w:rsid w:val="00764F6F"/>
    <w:rsid w:val="0083336C"/>
    <w:rsid w:val="00835E07"/>
    <w:rsid w:val="008D66B7"/>
    <w:rsid w:val="008F75C6"/>
    <w:rsid w:val="0095570E"/>
    <w:rsid w:val="00A009A6"/>
    <w:rsid w:val="00A657B0"/>
    <w:rsid w:val="00A91CA1"/>
    <w:rsid w:val="00B82983"/>
    <w:rsid w:val="00B83495"/>
    <w:rsid w:val="00B91BD1"/>
    <w:rsid w:val="00BF30E2"/>
    <w:rsid w:val="00C17C1E"/>
    <w:rsid w:val="00C41BCC"/>
    <w:rsid w:val="00CE0318"/>
    <w:rsid w:val="00DD7BA4"/>
    <w:rsid w:val="00E27559"/>
    <w:rsid w:val="00E318CE"/>
    <w:rsid w:val="00E646E1"/>
    <w:rsid w:val="00E73526"/>
    <w:rsid w:val="00F81583"/>
    <w:rsid w:val="00F91F40"/>
    <w:rsid w:val="00FA6F82"/>
    <w:rsid w:val="00FA7C4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66693000-3e12-4b44-a742-9a2ba35b7d28" ContentTypeId="0x0101000C70A82DFAAC384DB9F6EBA2C8B87C5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IEEE2006OfficeOnline.xsl" StyleName="IEEE" Version="2006">
  <b:Source>
    <b:Tag>CDG</b:Tag>
    <b:SourceType>Misc</b:SourceType>
    <b:Guid>{FB7EF2AF-A5C0-4AEF-8CCF-1ACB20F09654}</b:Guid>
    <b:Title>The Carriage of Dangerous Goods and Use of Transportable Pressure Equipment Regulations 2009, UK Government, 2009. https://www.legislation.gov.uk/uksi/2009/1348/contents</b:Title>
    <b:RefOrder>1</b:RefOrder>
  </b:Source>
  <b:Source>
    <b:Tag>Hea</b:Tag>
    <b:SourceType>Misc</b:SourceType>
    <b:Guid>{7B84A4D7-E520-40CF-A5A5-891FEF650322}</b:Guid>
    <b:Title>Health and Safety Executive. Work with ionising radiation. Ionising Radiations Regulations 2017 Approved Code of Practice and guidance. L121</b:Title>
    <b:RefOrder>2</b:RefOrder>
  </b:Source>
  <b:Source>
    <b:Tag>IAE2</b:Tag>
    <b:SourceType>Misc</b:SourceType>
    <b:Guid>{8573072D-10B0-438F-B5A9-709195E41315}</b:Guid>
    <b:Title>IAEA Safety Series. Preparedness and Response for a Nuclear or Radiological Emergency Involving the Transport of Radioactive Material. SSG-65. https://www-pub.iaea.org/MTCD/Publications/PDF/PUB1960_web.pdf</b:Title>
    <b:RefOrder>5</b:RefOrder>
  </b:Source>
  <b:Source>
    <b:Tag>TDT</b:Tag>
    <b:SourceType>Misc</b:SourceType>
    <b:Guid>{27B22415-C4C9-4BA4-806D-2A56CBF58409}</b:Guid>
    <b:Title>TD-TCA-GD-003 - Ionising Radiations Regulations 2017 (IRR17) Regulation 8 - Radiation Risk Assessment Guidance in Relation to the Civil Transport of Radioactive Material by Road, Rail and Inland Waterway. Issue 3. November 2022</b:Title>
    <b:RefOrder>3</b:RefOrder>
  </b:Source>
  <b:Source>
    <b:Tag>ONR32</b:Tag>
    <b:SourceType>Misc</b:SourceType>
    <b:Guid>{6C598569-93C0-4FEF-ABE2-445B3FA8540E}</b:Guid>
    <b:Title>ONR. NS-INSP-GD-066. Technical Inspection Guide. The Carriage of Dangerous Goods and Use of Transportable Pressure Equipment Regulations 2009 - Schedule 2 - Radiation Emergencies. Issue 5. June 2025</b:Title>
    <b:RefOrder>6</b:RefOrder>
  </b:Source>
  <b:Source>
    <b:Tag>Rad1</b:Tag>
    <b:SourceType>Misc</b:SourceType>
    <b:Guid>{944AF71B-1E00-4C73-94DA-D04A89BEF7AE}</b:Guid>
    <b:Title>Radioactive Material Transport Users Committee. Guidance Note. Guidance on Assessment of Acccident Doses during Carriage of Radioactive Material on Road/Rail as required under CDG09 (as amended). December 2023</b:Title>
    <b:RefOrder>4</b:RefOrder>
  </b:Source>
</b:Sources>
</file>

<file path=customXml/item6.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PolicyPortalDocRef xmlns="8c4e2855-9588-4bc9-9890-af639bd565eb" xsi:nil="true"/>
    <PolicyPortalDocType xmlns="8c4e2855-9588-4bc9-9890-af639bd565eb" xsi:nil="true"/>
    <PolicyPortalIssueDate xmlns="8c4e2855-9588-4bc9-9890-af639bd565eb" xsi:nil="true"/>
    <PolicyPortalOldDocRef xmlns="8c4e2855-9588-4bc9-9890-af639bd565eb" xsi:nil="true"/>
    <PolicyPortalOldRecordRef xmlns="8c4e2855-9588-4bc9-9890-af639bd565eb" xsi:nil="true"/>
    <PolicyPortalIssueNo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PolicyPortalReviewDate xmlns="8c4e2855-9588-4bc9-9890-af639bd565eb" xsi:nil="true"/>
    <PolicyPortalIssueHistoryComments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TaxCatchAll xmlns="05350e14-297a-489c-ad04-faf6563b232c"/>
    <dd2817321d504f1caee75a1112d299d4 xmlns="fbd4c4c3-96d4-4265-b68e-6a383a5dca66">
      <Terms xmlns="http://schemas.microsoft.com/office/infopath/2007/PartnerControls"/>
    </dd2817321d504f1caee75a1112d299d4>
    <PCR_x003f_ xmlns="fbd4c4c3-96d4-4265-b68e-6a383a5dca66">false</PCR_x003f_>
  </documentManagement>
</p:properties>
</file>

<file path=customXml/item7.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1" ma:contentTypeDescription="" ma:contentTypeScope="" ma:versionID="2a0239fb57c581bced025e54e7cca7e9">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f04dd8d70902c340475265b30303215b"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union memberTypes="dms:Text">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un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union memberTypes="dms:Text">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un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1E7696-64D0-4E76-BD09-5F47C27AB98C}">
  <ds:schemaRefs>
    <ds:schemaRef ds:uri="http://schemas.microsoft.com/sharepoint/v3/contenttype/forms"/>
  </ds:schemaRefs>
</ds:datastoreItem>
</file>

<file path=customXml/itemProps3.xml><?xml version="1.0" encoding="utf-8"?>
<ds:datastoreItem xmlns:ds="http://schemas.openxmlformats.org/officeDocument/2006/customXml" ds:itemID="{B9419ACF-FD9B-4EEB-B545-BB3F91B9B619}">
  <ds:schemaRefs>
    <ds:schemaRef ds:uri="Microsoft.SharePoint.Taxonomy.ContentTypeSync"/>
  </ds:schemaRefs>
</ds:datastoreItem>
</file>

<file path=customXml/itemProps4.xml><?xml version="1.0" encoding="utf-8"?>
<ds:datastoreItem xmlns:ds="http://schemas.openxmlformats.org/officeDocument/2006/customXml" ds:itemID="{490ED5B9-84BB-4E11-AB53-C0B8C211310C}">
  <ds:schemaRefs>
    <ds:schemaRef ds:uri="http://schemas.microsoft.com/sharepoint/events"/>
  </ds:schemaRefs>
</ds:datastoreItem>
</file>

<file path=customXml/itemProps5.xml><?xml version="1.0" encoding="utf-8"?>
<ds:datastoreItem xmlns:ds="http://schemas.openxmlformats.org/officeDocument/2006/customXml" ds:itemID="{A8DC905B-70FE-44F9-BBC7-560F8B3F6EA5}">
  <ds:schemaRefs>
    <ds:schemaRef ds:uri="http://schemas.openxmlformats.org/officeDocument/2006/bibliography"/>
  </ds:schemaRefs>
</ds:datastoreItem>
</file>

<file path=customXml/itemProps6.xml><?xml version="1.0" encoding="utf-8"?>
<ds:datastoreItem xmlns:ds="http://schemas.openxmlformats.org/officeDocument/2006/customXml" ds:itemID="{302464A8-7BA5-4131-8D06-4B18A77BE91D}">
  <ds:schemaRefs>
    <ds:schemaRef ds:uri="http://schemas.microsoft.com/office/2006/metadata/properties"/>
    <ds:schemaRef ds:uri="http://schemas.microsoft.com/office/infopath/2007/PartnerControls"/>
    <ds:schemaRef ds:uri="8c4e2855-9588-4bc9-9890-af639bd565eb"/>
    <ds:schemaRef ds:uri="05350e14-297a-489c-ad04-faf6563b232c"/>
    <ds:schemaRef ds:uri="fbd4c4c3-96d4-4265-b68e-6a383a5dca66"/>
  </ds:schemaRefs>
</ds:datastoreItem>
</file>

<file path=customXml/itemProps7.xml><?xml version="1.0" encoding="utf-8"?>
<ds:datastoreItem xmlns:ds="http://schemas.openxmlformats.org/officeDocument/2006/customXml" ds:itemID="{74682E86-D89C-4225-AECD-3E0C726B2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23</Pages>
  <Words>6828</Words>
  <Characters>37009</Characters>
  <Application>Microsoft Office Word</Application>
  <DocSecurity>0</DocSecurity>
  <Lines>740</Lines>
  <Paragraphs>347</Paragraphs>
  <ScaleCrop>false</ScaleCrop>
  <HeadingPairs>
    <vt:vector size="2" baseType="variant">
      <vt:variant>
        <vt:lpstr>Title</vt:lpstr>
      </vt:variant>
      <vt:variant>
        <vt:i4>1</vt:i4>
      </vt:variant>
    </vt:vector>
  </HeadingPairs>
  <TitlesOfParts>
    <vt:vector size="1" baseType="lpstr">
      <vt:lpstr>Five Steps to Transport Emergency Planning</vt:lpstr>
    </vt:vector>
  </TitlesOfParts>
  <Manager>Office for Nuclear Regulation</Manager>
  <Company>Office for Nuclear Regulation</Company>
  <LinksUpToDate>false</LinksUpToDate>
  <CharactersWithSpaces>43490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Five steps to transport emergency planning</dc:title>
  <dc:subject>[Subtitle or description]</dc:subject>
  <cp:keywords>[Key words separated by commas]</cp:keywords>
  <dc:description/>
  <cp:revision>3</cp:revision>
  <cp:lastPrinted>2016-11-28T11:35:00Z</cp:lastPrinted>
  <dcterms:created xsi:type="dcterms:W3CDTF">2026-07-23T14:34:00Z</dcterms:created>
  <dcterms:modified xsi:type="dcterms:W3CDTF">2026-07-23T14:35:00Z</dcterms:modified>
  <cp:contentStatus>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y fmtid="{D5CDD505-2E9C-101B-9397-08002B2CF9AE}" pid="10" name="MSIP_Label_22759de7-3255-46b5-8dfe-736652f9c6c1_Enabled">
    <vt:lpwstr>true</vt:lpwstr>
  </property>
  <property fmtid="{D5CDD505-2E9C-101B-9397-08002B2CF9AE}" pid="11" name="MSIP_Label_22759de7-3255-46b5-8dfe-736652f9c6c1_SetDate">
    <vt:lpwstr>2026-05-20T13:11:40Z</vt:lpwstr>
  </property>
  <property fmtid="{D5CDD505-2E9C-101B-9397-08002B2CF9AE}" pid="12" name="MSIP_Label_22759de7-3255-46b5-8dfe-736652f9c6c1_Method">
    <vt:lpwstr>Standard</vt:lpwstr>
  </property>
  <property fmtid="{D5CDD505-2E9C-101B-9397-08002B2CF9AE}" pid="13" name="MSIP_Label_22759de7-3255-46b5-8dfe-736652f9c6c1_Name">
    <vt:lpwstr>22759de7-3255-46b5-8dfe-736652f9c6c1</vt:lpwstr>
  </property>
  <property fmtid="{D5CDD505-2E9C-101B-9397-08002B2CF9AE}" pid="14" name="MSIP_Label_22759de7-3255-46b5-8dfe-736652f9c6c1_SiteId">
    <vt:lpwstr>c6ac664b-ae27-4d5d-b4e6-bb5717196fc7</vt:lpwstr>
  </property>
  <property fmtid="{D5CDD505-2E9C-101B-9397-08002B2CF9AE}" pid="15" name="MSIP_Label_22759de7-3255-46b5-8dfe-736652f9c6c1_ActionId">
    <vt:lpwstr>0ac9c504-cd88-4911-befb-67b30f997220</vt:lpwstr>
  </property>
  <property fmtid="{D5CDD505-2E9C-101B-9397-08002B2CF9AE}" pid="16" name="MSIP_Label_22759de7-3255-46b5-8dfe-736652f9c6c1_ContentBits">
    <vt:lpwstr>0</vt:lpwstr>
  </property>
  <property fmtid="{D5CDD505-2E9C-101B-9397-08002B2CF9AE}" pid="17" name="MSIP_Label_22759de7-3255-46b5-8dfe-736652f9c6c1_Tag">
    <vt:lpwstr>10, 3, 0, 1</vt:lpwstr>
  </property>
</Properties>
</file>